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235" w:rsidRDefault="009C7235" w:rsidP="007C1F74">
      <w:pPr>
        <w:pStyle w:val="RecNo"/>
        <w:spacing w:before="0"/>
      </w:pPr>
      <w:r>
        <w:t xml:space="preserve">RECOMMANDATION  </w:t>
      </w:r>
      <w:r w:rsidRPr="009C7235">
        <w:rPr>
          <w:rStyle w:val="href"/>
        </w:rPr>
        <w:t>UIT-R  F.1766</w:t>
      </w:r>
      <w:r w:rsidR="002F4721">
        <w:rPr>
          <w:rStyle w:val="href"/>
        </w:rPr>
        <w:t>-0</w:t>
      </w:r>
      <w:r w:rsidR="00DD49C8">
        <w:rPr>
          <w:rStyle w:val="FootnoteReference"/>
        </w:rPr>
        <w:footnoteReference w:customMarkFollows="1" w:id="1"/>
        <w:t>*</w:t>
      </w:r>
      <w:r w:rsidR="007C1F74">
        <w:rPr>
          <w:rStyle w:val="FootnoteReference"/>
        </w:rPr>
        <w:t>,</w:t>
      </w:r>
      <w:r w:rsidR="007C1F74">
        <w:rPr>
          <w:rStyle w:val="FootnoteReference"/>
        </w:rPr>
        <w:footnoteReference w:customMarkFollows="1" w:id="2"/>
        <w:t>**</w:t>
      </w:r>
    </w:p>
    <w:p w:rsidR="009C7235" w:rsidRDefault="009C7235" w:rsidP="009C7235">
      <w:pPr>
        <w:pStyle w:val="Rectitle"/>
      </w:pPr>
      <w:r>
        <w:t>Méthode permettant de déterminer sur la base du calcul de zones d'exclusion, la</w:t>
      </w:r>
      <w:r w:rsidR="00910B95">
        <w:br/>
      </w:r>
      <w:r>
        <w:t>probabilité pour qu'un observatoire de radioastronomie subisse des brouillages,</w:t>
      </w:r>
      <w:r w:rsidR="00910B95">
        <w:br/>
      </w:r>
      <w:r>
        <w:t>afin d'assurer une protection contre les brouillages causés par des applications</w:t>
      </w:r>
      <w:r>
        <w:br/>
        <w:t>à haute densité du service fixe point à multipoint exploitées</w:t>
      </w:r>
      <w:r>
        <w:br/>
        <w:t>dans les bandes au voisinage de 43 GHz</w:t>
      </w:r>
    </w:p>
    <w:p w:rsidR="00910B95" w:rsidRPr="00910B95" w:rsidRDefault="00DD49C8" w:rsidP="00910B95">
      <w:pPr>
        <w:pStyle w:val="Recdate"/>
      </w:pPr>
      <w:r>
        <w:t>(2006)</w:t>
      </w:r>
    </w:p>
    <w:p w:rsidR="009C7235" w:rsidRPr="00DD49C8" w:rsidRDefault="009C7235" w:rsidP="00910B95">
      <w:pPr>
        <w:pStyle w:val="HeadingSum"/>
        <w:rPr>
          <w:lang w:val="fr-FR"/>
        </w:rPr>
      </w:pPr>
      <w:r w:rsidRPr="00DD49C8">
        <w:rPr>
          <w:lang w:val="fr-FR"/>
        </w:rPr>
        <w:t xml:space="preserve">Domaine </w:t>
      </w:r>
      <w:r w:rsidR="00DD49C8" w:rsidRPr="00DD49C8">
        <w:rPr>
          <w:lang w:val="fr-FR"/>
        </w:rPr>
        <w:t>de compétence</w:t>
      </w:r>
    </w:p>
    <w:p w:rsidR="009C7235" w:rsidRPr="00DD49C8" w:rsidRDefault="009C7235" w:rsidP="00910B95">
      <w:pPr>
        <w:pStyle w:val="Summary"/>
        <w:rPr>
          <w:lang w:val="fr-FR"/>
        </w:rPr>
      </w:pPr>
      <w:r w:rsidRPr="00DD49C8">
        <w:rPr>
          <w:lang w:val="fr-FR"/>
        </w:rPr>
        <w:t>La présente Recommandation décrit une méthode qui permet de calculer des zones d'exclusion autour de sites de radioastronomie en ce qui concerne les stations d'émission des applications à haute densité du service fixe (HDFS) point à multipoint</w:t>
      </w:r>
      <w:r w:rsidR="00DD49C8" w:rsidRPr="00DD49C8">
        <w:rPr>
          <w:lang w:val="fr-FR"/>
        </w:rPr>
        <w:t xml:space="preserve"> (P-MP)</w:t>
      </w:r>
      <w:r w:rsidRPr="00DD49C8">
        <w:rPr>
          <w:lang w:val="fr-FR"/>
        </w:rPr>
        <w:t xml:space="preserve">, et que les administrations peuvent utiliser dans le cadre de discussions aux niveaux national et bilatéral pour protéger les sites de radioastronomie des brouillages susceptibles d'être causés par des stations de systèmes HDFS </w:t>
      </w:r>
      <w:r w:rsidR="00DD49C8">
        <w:rPr>
          <w:lang w:val="fr-FR"/>
        </w:rPr>
        <w:t>P-MP</w:t>
      </w:r>
      <w:r w:rsidRPr="00DD49C8">
        <w:rPr>
          <w:lang w:val="fr-FR"/>
        </w:rPr>
        <w:t>.</w:t>
      </w:r>
    </w:p>
    <w:p w:rsidR="009C7235" w:rsidRPr="004337E5" w:rsidRDefault="009C7235" w:rsidP="00910B95">
      <w:pPr>
        <w:pStyle w:val="Normalaftertitle"/>
      </w:pPr>
      <w:r w:rsidRPr="004337E5">
        <w:t>L'Assemblée des radiocommunications de l'UIT,</w:t>
      </w:r>
    </w:p>
    <w:p w:rsidR="009C7235" w:rsidRPr="00907FDE" w:rsidRDefault="009C7235" w:rsidP="009C7235">
      <w:pPr>
        <w:pStyle w:val="Call"/>
      </w:pPr>
      <w:proofErr w:type="gramStart"/>
      <w:r w:rsidRPr="00907FDE">
        <w:t>considérant</w:t>
      </w:r>
      <w:proofErr w:type="gramEnd"/>
    </w:p>
    <w:p w:rsidR="009C7235" w:rsidRPr="004337E5" w:rsidRDefault="009C7235" w:rsidP="009C7235">
      <w:r w:rsidRPr="004337E5">
        <w:t>a)</w:t>
      </w:r>
      <w:r w:rsidRPr="004337E5">
        <w:tab/>
      </w:r>
      <w:r w:rsidRPr="004337E5">
        <w:rPr>
          <w:snapToGrid w:val="0"/>
        </w:rPr>
        <w:t>que la bande de fréquences 42,5</w:t>
      </w:r>
      <w:r w:rsidRPr="004337E5">
        <w:rPr>
          <w:snapToGrid w:val="0"/>
        </w:rPr>
        <w:noBreakHyphen/>
        <w:t xml:space="preserve">43,5 GHz est utilisée ou doit </w:t>
      </w:r>
      <w:r>
        <w:rPr>
          <w:snapToGrid w:val="0"/>
        </w:rPr>
        <w:t xml:space="preserve">être utilisée pour les </w:t>
      </w:r>
      <w:r w:rsidRPr="004337E5">
        <w:rPr>
          <w:snapToGrid w:val="0"/>
        </w:rPr>
        <w:t>observations</w:t>
      </w:r>
      <w:r>
        <w:rPr>
          <w:snapToGrid w:val="0"/>
        </w:rPr>
        <w:t xml:space="preserve"> du continuum</w:t>
      </w:r>
      <w:r w:rsidRPr="004337E5">
        <w:rPr>
          <w:snapToGrid w:val="0"/>
        </w:rPr>
        <w:t>;</w:t>
      </w:r>
    </w:p>
    <w:p w:rsidR="009C7235" w:rsidRPr="00A101A9" w:rsidRDefault="009C7235" w:rsidP="009C7235">
      <w:pPr>
        <w:rPr>
          <w:snapToGrid w:val="0"/>
        </w:rPr>
      </w:pPr>
      <w:r w:rsidRPr="00A101A9">
        <w:rPr>
          <w:snapToGrid w:val="0"/>
        </w:rPr>
        <w:t>b)</w:t>
      </w:r>
      <w:r w:rsidRPr="00A101A9">
        <w:rPr>
          <w:snapToGrid w:val="0"/>
        </w:rPr>
        <w:tab/>
      </w:r>
      <w:r w:rsidRPr="00A101A9">
        <w:t>que les bandes de fréquences 42,77</w:t>
      </w:r>
      <w:r w:rsidRPr="00A101A9">
        <w:noBreakHyphen/>
        <w:t>42,87 GHz, 43,07</w:t>
      </w:r>
      <w:r w:rsidRPr="00A101A9">
        <w:noBreakHyphen/>
        <w:t>43,17 GHz et 43,37</w:t>
      </w:r>
      <w:r w:rsidRPr="00A101A9">
        <w:noBreakHyphen/>
        <w:t>43,47 GHz sont utilisées par les radioastronomes pour observer les raies spectrales de monoxyde de silicium;</w:t>
      </w:r>
    </w:p>
    <w:p w:rsidR="009C7235" w:rsidRPr="00A101A9" w:rsidRDefault="009C7235" w:rsidP="009C7235">
      <w:r w:rsidRPr="00A101A9">
        <w:t>c)</w:t>
      </w:r>
      <w:r w:rsidRPr="00A101A9">
        <w:tab/>
        <w:t xml:space="preserve">que ces observations peuvent </w:t>
      </w:r>
      <w:r>
        <w:t>être effectuées au moyen d'une seule antenne ou d'un réseau d'antennes utilisant les techniques d'interférométrie à très grande base (VLBI)</w:t>
      </w:r>
      <w:r w:rsidRPr="00A101A9">
        <w:t>;</w:t>
      </w:r>
    </w:p>
    <w:p w:rsidR="009C7235" w:rsidRPr="005A754A" w:rsidRDefault="009C7235" w:rsidP="009C7235">
      <w:r w:rsidRPr="005A754A">
        <w:t>d)</w:t>
      </w:r>
      <w:r w:rsidRPr="005A754A">
        <w:tab/>
        <w:t xml:space="preserve">que </w:t>
      </w:r>
      <w:r>
        <w:t>l</w:t>
      </w:r>
      <w:r w:rsidRPr="005A754A">
        <w:t>es observat</w:t>
      </w:r>
      <w:r>
        <w:t>oires</w:t>
      </w:r>
      <w:r w:rsidRPr="005A754A">
        <w:t xml:space="preserve"> </w:t>
      </w:r>
      <w:r>
        <w:t>utilisent</w:t>
      </w:r>
      <w:r w:rsidRPr="005A754A">
        <w:t xml:space="preserve"> des antennes </w:t>
      </w:r>
      <w:r>
        <w:t>à</w:t>
      </w:r>
      <w:r w:rsidRPr="005A754A">
        <w:t xml:space="preserve"> gain très élevé et </w:t>
      </w:r>
      <w:r>
        <w:t xml:space="preserve">à </w:t>
      </w:r>
      <w:r w:rsidRPr="005A754A">
        <w:t xml:space="preserve">des amplificateurs à très faible bruit pour recevoir des rayonnements radioélectriques </w:t>
      </w:r>
      <w:r>
        <w:t>cosmiques extrêmement faibles sur lesquels les astronomes n'ont aucun contrôle;</w:t>
      </w:r>
    </w:p>
    <w:p w:rsidR="009C7235" w:rsidRPr="00802D52" w:rsidRDefault="009C7235" w:rsidP="009C7235">
      <w:r w:rsidRPr="00802D52">
        <w:t>e)</w:t>
      </w:r>
      <w:r w:rsidRPr="00802D52">
        <w:tab/>
        <w:t xml:space="preserve">que les applications </w:t>
      </w:r>
      <w:r>
        <w:t xml:space="preserve">à </w:t>
      </w:r>
      <w:r w:rsidRPr="00802D52">
        <w:t>haute densité d</w:t>
      </w:r>
      <w:r>
        <w:t>u</w:t>
      </w:r>
      <w:r w:rsidRPr="00802D52">
        <w:t xml:space="preserve"> service fixe (HDFS) point à multipoint</w:t>
      </w:r>
      <w:r w:rsidR="00DD49C8">
        <w:t xml:space="preserve"> (P-MP)</w:t>
      </w:r>
      <w:r w:rsidRPr="00802D52">
        <w:t xml:space="preserve"> pourraient exiger l'utilisation de nombreux terminaux qu'il serait impossible de coordonner de manière individuelle;</w:t>
      </w:r>
    </w:p>
    <w:p w:rsidR="009C7235" w:rsidRPr="00DE161E" w:rsidRDefault="009C7235" w:rsidP="009C7235">
      <w:r w:rsidRPr="00DE161E">
        <w:t>f)</w:t>
      </w:r>
      <w:r w:rsidRPr="00DE161E">
        <w:tab/>
        <w:t>que les administrations souhaitant protéger un site de radioastronomie (</w:t>
      </w:r>
      <w:r>
        <w:t>SRA</w:t>
      </w:r>
      <w:r w:rsidRPr="00DE161E">
        <w:t xml:space="preserve">) </w:t>
      </w:r>
      <w:r>
        <w:t xml:space="preserve">des brouillages susceptibles d'être causés par des stations </w:t>
      </w:r>
      <w:r w:rsidRPr="00DE161E">
        <w:t xml:space="preserve">HDFS </w:t>
      </w:r>
      <w:r w:rsidR="00DD49C8">
        <w:t>P-MP</w:t>
      </w:r>
      <w:r>
        <w:t xml:space="preserve"> peuvent envisager l'utilisation d'une zone d'exclusion autour du site SRA dans leurs discussions aux niveaux national et bilatéral</w:t>
      </w:r>
      <w:r w:rsidRPr="00DE161E">
        <w:t xml:space="preserve">; </w:t>
      </w:r>
    </w:p>
    <w:p w:rsidR="009C7235" w:rsidRPr="0075318E" w:rsidRDefault="009C7235" w:rsidP="009C7235">
      <w:r w:rsidRPr="0075318E">
        <w:t>g)</w:t>
      </w:r>
      <w:r w:rsidRPr="0075318E">
        <w:tab/>
        <w:t xml:space="preserve">qu'il serait possible de mieux déterminer la taille de la zone d'exclusion en </w:t>
      </w:r>
      <w:r>
        <w:t>tenant compte des</w:t>
      </w:r>
      <w:r w:rsidRPr="0075318E">
        <w:t xml:space="preserve"> données topologiques et démographiques relevées autour des sites </w:t>
      </w:r>
      <w:r w:rsidR="00DD49C8">
        <w:t>SRA</w:t>
      </w:r>
      <w:r w:rsidRPr="0075318E">
        <w:t>,</w:t>
      </w:r>
    </w:p>
    <w:p w:rsidR="009C7235" w:rsidRPr="0075318E" w:rsidRDefault="009C7235" w:rsidP="009C7235">
      <w:pPr>
        <w:pStyle w:val="Call"/>
      </w:pPr>
      <w:proofErr w:type="gramStart"/>
      <w:r w:rsidRPr="0075318E">
        <w:lastRenderedPageBreak/>
        <w:t>reconnaissant</w:t>
      </w:r>
      <w:proofErr w:type="gramEnd"/>
    </w:p>
    <w:p w:rsidR="009C7235" w:rsidRPr="0075318E" w:rsidRDefault="00BA7511" w:rsidP="009C7235">
      <w:r w:rsidRPr="007C1F74">
        <w:t>a)</w:t>
      </w:r>
      <w:r w:rsidR="009C7235" w:rsidRPr="0075318E">
        <w:tab/>
        <w:t>que la bande de fréquences</w:t>
      </w:r>
      <w:r w:rsidR="009C7235">
        <w:t xml:space="preserve"> 42,</w:t>
      </w:r>
      <w:r w:rsidR="009C7235" w:rsidRPr="0075318E">
        <w:t>5</w:t>
      </w:r>
      <w:r w:rsidR="009C7235" w:rsidRPr="0075318E">
        <w:noBreakHyphen/>
        <w:t>43</w:t>
      </w:r>
      <w:r w:rsidR="009C7235">
        <w:t>,</w:t>
      </w:r>
      <w:r w:rsidR="009C7235" w:rsidRPr="0075318E">
        <w:t>5 GHz</w:t>
      </w:r>
      <w:r w:rsidR="009C7235">
        <w:t xml:space="preserve"> est attribuée au service de radioastronomie (SRA) à l'échelle mondiale et à titre primaire</w:t>
      </w:r>
      <w:r w:rsidR="009C7235" w:rsidRPr="0075318E">
        <w:t>;</w:t>
      </w:r>
    </w:p>
    <w:p w:rsidR="009C7235" w:rsidRPr="007B56C0" w:rsidRDefault="00BA7511" w:rsidP="009C7235">
      <w:r w:rsidRPr="007C1F74">
        <w:t>b)</w:t>
      </w:r>
      <w:r w:rsidR="009C7235" w:rsidRPr="00F96437">
        <w:tab/>
        <w:t xml:space="preserve">que le </w:t>
      </w:r>
      <w:r w:rsidR="009C7235">
        <w:t>numéro </w:t>
      </w:r>
      <w:r w:rsidR="009C7235" w:rsidRPr="007B56C0">
        <w:t xml:space="preserve">5.149 du Règlement des radiocommunications (RR) </w:t>
      </w:r>
      <w:r w:rsidR="009C7235">
        <w:t>dispose que «</w:t>
      </w:r>
      <w:r w:rsidR="009C7235" w:rsidRPr="007B56C0">
        <w:t>en assignant des fréquences aux stations des autres services auxquels les bandes 42,5</w:t>
      </w:r>
      <w:r w:rsidR="009C7235" w:rsidRPr="007B56C0">
        <w:noBreakHyphen/>
        <w:t>43,5 GHz, 42,77</w:t>
      </w:r>
      <w:r w:rsidR="009C7235" w:rsidRPr="007B56C0">
        <w:noBreakHyphen/>
        <w:t>42,87 GHz, 43,07</w:t>
      </w:r>
      <w:r w:rsidR="009C7235" w:rsidRPr="007B56C0">
        <w:noBreakHyphen/>
        <w:t>43,17 GHz, 43,37</w:t>
      </w:r>
      <w:r w:rsidR="009C7235" w:rsidRPr="007B56C0">
        <w:noBreakHyphen/>
        <w:t>43,47 GHz sont attribuées, les administrations sont instamment priées de prendre toutes les mesures pratiquement réalisables pour protéger le service de radioastronomie contre les brouillages préjudiciables</w:t>
      </w:r>
      <w:r w:rsidR="009C7235">
        <w:t>»</w:t>
      </w:r>
      <w:r w:rsidR="009C7235" w:rsidRPr="007B56C0">
        <w:t>;</w:t>
      </w:r>
    </w:p>
    <w:p w:rsidR="009C7235" w:rsidRPr="00EB6546" w:rsidRDefault="00BA7511" w:rsidP="009C7235">
      <w:r w:rsidRPr="007C1F74">
        <w:t>c)</w:t>
      </w:r>
      <w:r w:rsidR="009C7235" w:rsidRPr="00EB6546">
        <w:tab/>
        <w:t>que la bande 42,5</w:t>
      </w:r>
      <w:r w:rsidR="009C7235" w:rsidRPr="00EB6546">
        <w:noBreakHyphen/>
        <w:t>43,5 GHz est, de plus, attribuée au service fixe à titre primaire;</w:t>
      </w:r>
    </w:p>
    <w:p w:rsidR="009C7235" w:rsidRPr="00EB6546" w:rsidRDefault="00BA7511" w:rsidP="009C7235">
      <w:r w:rsidRPr="007C1F74">
        <w:t>d)</w:t>
      </w:r>
      <w:r w:rsidR="009C7235" w:rsidRPr="00EB6546">
        <w:tab/>
      </w:r>
      <w:r w:rsidR="009C7235">
        <w:t>qu'aux termes du</w:t>
      </w:r>
      <w:r w:rsidR="009C7235" w:rsidRPr="00EB6546">
        <w:t xml:space="preserve"> numéro 5.547 du RR, la bande 42,5</w:t>
      </w:r>
      <w:r w:rsidR="009C7235" w:rsidRPr="00EB6546">
        <w:noBreakHyphen/>
        <w:t xml:space="preserve">43,5 GHz est disponible pour les applications </w:t>
      </w:r>
      <w:r w:rsidR="009C7235">
        <w:t>à haute densité du service fixe</w:t>
      </w:r>
      <w:r w:rsidR="009C7235" w:rsidRPr="00EB6546">
        <w:t xml:space="preserve"> et que les administrations devraient prendre en considération ce qui précède lorsqu'elles examinent les dispositions réglementaires applicables à cette bande,</w:t>
      </w:r>
    </w:p>
    <w:p w:rsidR="009C7235" w:rsidRPr="00907FDE" w:rsidRDefault="009C7235" w:rsidP="009C7235">
      <w:pPr>
        <w:pStyle w:val="Call"/>
      </w:pPr>
      <w:proofErr w:type="gramStart"/>
      <w:r w:rsidRPr="00907FDE">
        <w:t>notant</w:t>
      </w:r>
      <w:proofErr w:type="gramEnd"/>
    </w:p>
    <w:p w:rsidR="009C7235" w:rsidRPr="00EB6546" w:rsidRDefault="009C7235" w:rsidP="009C7235">
      <w:r w:rsidRPr="00EB6546">
        <w:t>a)</w:t>
      </w:r>
      <w:r w:rsidRPr="00EB6546">
        <w:tab/>
        <w:t>qu'aux termes de la Résolution 79 (CMR</w:t>
      </w:r>
      <w:r w:rsidRPr="00EB6546">
        <w:noBreakHyphen/>
        <w:t xml:space="preserve">2000), </w:t>
      </w:r>
      <w:r>
        <w:t>l'UIT</w:t>
      </w:r>
      <w:r>
        <w:noBreakHyphen/>
        <w:t>R est invitée à «</w:t>
      </w:r>
      <w:r w:rsidRPr="00EB6546">
        <w:t>mener des études sur la distance de coordination entre des stations de radioastron</w:t>
      </w:r>
      <w:r w:rsidR="00035DA4">
        <w:t>omie fonctionnant dans la bande </w:t>
      </w:r>
      <w:r>
        <w:t>42,</w:t>
      </w:r>
      <w:r w:rsidRPr="00EB6546">
        <w:t>5</w:t>
      </w:r>
      <w:r w:rsidRPr="00EB6546">
        <w:noBreakHyphen/>
        <w:t>43</w:t>
      </w:r>
      <w:r>
        <w:t>,</w:t>
      </w:r>
      <w:r w:rsidRPr="00EB6546">
        <w:t xml:space="preserve">5 GHz </w:t>
      </w:r>
      <w:r>
        <w:t xml:space="preserve">et des stations HDFS </w:t>
      </w:r>
      <w:r w:rsidR="00D30DD8">
        <w:t>P-MP</w:t>
      </w:r>
      <w:r>
        <w:t xml:space="preserve"> dans le but d'élaborer des Recommandations UIT</w:t>
      </w:r>
      <w:r>
        <w:noBreakHyphen/>
        <w:t>R»</w:t>
      </w:r>
      <w:r w:rsidRPr="00EB6546">
        <w:t>;</w:t>
      </w:r>
    </w:p>
    <w:p w:rsidR="009C7235" w:rsidRPr="004A3490" w:rsidRDefault="009C7235" w:rsidP="00030BDA">
      <w:r w:rsidRPr="004A3490">
        <w:t>b)</w:t>
      </w:r>
      <w:r w:rsidRPr="004A3490">
        <w:tab/>
        <w:t xml:space="preserve">que </w:t>
      </w:r>
      <w:r w:rsidR="00DD49C8">
        <w:t>la</w:t>
      </w:r>
      <w:r>
        <w:t xml:space="preserve"> Recommandation</w:t>
      </w:r>
      <w:r w:rsidR="00DD49C8">
        <w:t xml:space="preserve"> UIT-R</w:t>
      </w:r>
      <w:r>
        <w:t> </w:t>
      </w:r>
      <w:r w:rsidRPr="004A3490">
        <w:t>F.</w:t>
      </w:r>
      <w:r w:rsidR="00DD49C8">
        <w:t>176</w:t>
      </w:r>
      <w:r w:rsidR="00E006BE">
        <w:t>0</w:t>
      </w:r>
      <w:r w:rsidRPr="004A3490">
        <w:t xml:space="preserve"> décrit une méthode de calcul de la </w:t>
      </w:r>
      <w:r w:rsidR="00E006BE">
        <w:t xml:space="preserve">distribution de </w:t>
      </w:r>
      <w:r w:rsidRPr="004A3490">
        <w:t>puissance isotro</w:t>
      </w:r>
      <w:r>
        <w:t>pe rayonnée équivalente cumulative</w:t>
      </w:r>
      <w:r w:rsidRPr="004A3490">
        <w:t xml:space="preserve"> (</w:t>
      </w:r>
      <w:r>
        <w:t>p.i.r.e.c.</w:t>
      </w:r>
      <w:r w:rsidRPr="004A3490">
        <w:t xml:space="preserve">) </w:t>
      </w:r>
      <w:r w:rsidR="00E006BE">
        <w:t>produite par des applications à haute densité du service fixe point à multipoint fonctionnant dans des bandes au-dessus de 30 GHz</w:t>
      </w:r>
      <w:r w:rsidRPr="004A3490">
        <w:t>,</w:t>
      </w:r>
    </w:p>
    <w:p w:rsidR="009C7235" w:rsidRPr="00907FDE" w:rsidRDefault="009C7235" w:rsidP="009C7235">
      <w:pPr>
        <w:pStyle w:val="Call"/>
      </w:pPr>
      <w:proofErr w:type="gramStart"/>
      <w:r w:rsidRPr="00907FDE">
        <w:t>recommande</w:t>
      </w:r>
      <w:proofErr w:type="gramEnd"/>
    </w:p>
    <w:p w:rsidR="009C7235" w:rsidRPr="004D3CD0" w:rsidRDefault="009C7235" w:rsidP="009C7235">
      <w:pPr>
        <w:rPr>
          <w:snapToGrid w:val="0"/>
        </w:rPr>
      </w:pPr>
      <w:r w:rsidRPr="004D3CD0">
        <w:rPr>
          <w:b/>
          <w:bCs/>
          <w:snapToGrid w:val="0"/>
        </w:rPr>
        <w:t>1</w:t>
      </w:r>
      <w:r w:rsidRPr="004D3CD0">
        <w:rPr>
          <w:snapToGrid w:val="0"/>
        </w:rPr>
        <w:tab/>
      </w:r>
      <w:r>
        <w:rPr>
          <w:snapToGrid w:val="0"/>
        </w:rPr>
        <w:t>d'utiliser</w:t>
      </w:r>
      <w:r w:rsidRPr="004D3CD0">
        <w:rPr>
          <w:snapToGrid w:val="0"/>
        </w:rPr>
        <w:t xml:space="preserve"> l'Annexe 1 </w:t>
      </w:r>
      <w:r>
        <w:rPr>
          <w:snapToGrid w:val="0"/>
        </w:rPr>
        <w:t xml:space="preserve">pour déterminer, sur la base des distributions de la p.i.r.e.c., </w:t>
      </w:r>
      <w:r w:rsidRPr="004D3CD0">
        <w:rPr>
          <w:snapToGrid w:val="0"/>
        </w:rPr>
        <w:t xml:space="preserve">la probabilité </w:t>
      </w:r>
      <w:r>
        <w:rPr>
          <w:snapToGrid w:val="0"/>
        </w:rPr>
        <w:t xml:space="preserve">pour qu'un observatoire SRA subisse des brouillages de la part de stations HDFS </w:t>
      </w:r>
      <w:r w:rsidR="00DD49C8">
        <w:rPr>
          <w:snapToGrid w:val="0"/>
        </w:rPr>
        <w:t>P-MP</w:t>
      </w:r>
      <w:r>
        <w:rPr>
          <w:snapToGrid w:val="0"/>
        </w:rPr>
        <w:t xml:space="preserve"> installées à l'extérieur d'une zone d'exclusion donnée</w:t>
      </w:r>
      <w:r w:rsidRPr="004D3CD0">
        <w:rPr>
          <w:snapToGrid w:val="0"/>
        </w:rPr>
        <w:t>;</w:t>
      </w:r>
    </w:p>
    <w:p w:rsidR="009C7235" w:rsidRDefault="009C7235" w:rsidP="009C7235">
      <w:pPr>
        <w:rPr>
          <w:snapToGrid w:val="0"/>
        </w:rPr>
      </w:pPr>
      <w:r w:rsidRPr="00576FB0">
        <w:rPr>
          <w:b/>
          <w:bCs/>
          <w:snapToGrid w:val="0"/>
        </w:rPr>
        <w:t>2</w:t>
      </w:r>
      <w:r w:rsidRPr="00576FB0">
        <w:rPr>
          <w:snapToGrid w:val="0"/>
        </w:rPr>
        <w:tab/>
      </w:r>
      <w:r>
        <w:rPr>
          <w:snapToGrid w:val="0"/>
        </w:rPr>
        <w:t xml:space="preserve">d'utiliser </w:t>
      </w:r>
      <w:r w:rsidRPr="00576FB0">
        <w:rPr>
          <w:snapToGrid w:val="0"/>
        </w:rPr>
        <w:t>l'Annexe</w:t>
      </w:r>
      <w:r>
        <w:rPr>
          <w:snapToGrid w:val="0"/>
        </w:rPr>
        <w:t> 2</w:t>
      </w:r>
      <w:r w:rsidRPr="00576FB0">
        <w:rPr>
          <w:snapToGrid w:val="0"/>
        </w:rPr>
        <w:t xml:space="preserve"> pour déterminer la zone d'exclusion autour du site </w:t>
      </w:r>
      <w:r>
        <w:rPr>
          <w:snapToGrid w:val="0"/>
        </w:rPr>
        <w:t>SRA</w:t>
      </w:r>
      <w:r w:rsidRPr="00576FB0">
        <w:rPr>
          <w:snapToGrid w:val="0"/>
        </w:rPr>
        <w:t xml:space="preserve">, définie par un affaiblissement de propagation </w:t>
      </w:r>
      <w:r>
        <w:rPr>
          <w:snapToGrid w:val="0"/>
        </w:rPr>
        <w:t>depuis ce site</w:t>
      </w:r>
      <w:r w:rsidRPr="00576FB0">
        <w:rPr>
          <w:snapToGrid w:val="0"/>
        </w:rPr>
        <w:t xml:space="preserve">, </w:t>
      </w:r>
      <w:r>
        <w:rPr>
          <w:snapToGrid w:val="0"/>
        </w:rPr>
        <w:t xml:space="preserve">à l'extérieur de laquelle des stations HDFS </w:t>
      </w:r>
      <w:r w:rsidR="00DD49C8">
        <w:rPr>
          <w:snapToGrid w:val="0"/>
        </w:rPr>
        <w:t>P-MP</w:t>
      </w:r>
      <w:r>
        <w:rPr>
          <w:snapToGrid w:val="0"/>
        </w:rPr>
        <w:t xml:space="preserve"> peuvent être installées sans risquer de causer des brouillages inacceptables au service SRA, en utilisant la méthode décrite dans l'Annexe 1 pour calculer la probabilité de brouillage</w:t>
      </w:r>
      <w:r w:rsidRPr="00576FB0">
        <w:rPr>
          <w:snapToGrid w:val="0"/>
        </w:rPr>
        <w:t>.</w:t>
      </w:r>
    </w:p>
    <w:p w:rsidR="00D1175A" w:rsidRDefault="00D1175A" w:rsidP="009C7235">
      <w:pPr>
        <w:rPr>
          <w:snapToGrid w:val="0"/>
        </w:rPr>
      </w:pPr>
    </w:p>
    <w:p w:rsidR="009C7235" w:rsidRPr="001F30FD" w:rsidRDefault="009C7235" w:rsidP="00910B95">
      <w:pPr>
        <w:pStyle w:val="AnnexNoTitle"/>
      </w:pPr>
      <w:r w:rsidRPr="001F30FD">
        <w:lastRenderedPageBreak/>
        <w:t>Annexe 1</w:t>
      </w:r>
      <w:r w:rsidRPr="001F30FD">
        <w:br/>
      </w:r>
      <w:r w:rsidRPr="001F30FD">
        <w:br/>
        <w:t>Méthode permettant de déterminer, sur la base de</w:t>
      </w:r>
      <w:r>
        <w:t>s</w:t>
      </w:r>
      <w:r w:rsidRPr="001F30FD">
        <w:t xml:space="preserve"> distributions </w:t>
      </w:r>
      <w:r>
        <w:t>de la p.i.r.e.c.</w:t>
      </w:r>
      <w:r w:rsidRPr="001F30FD">
        <w:t>,</w:t>
      </w:r>
      <w:r>
        <w:br/>
      </w:r>
      <w:r w:rsidRPr="001F30FD">
        <w:t xml:space="preserve">la probabilité </w:t>
      </w:r>
      <w:r>
        <w:t>pour qu'un observatoire de radioastronomie subisse des</w:t>
      </w:r>
      <w:r w:rsidR="00DD49C8">
        <w:br/>
      </w:r>
      <w:r w:rsidRPr="001F30FD">
        <w:t>brouillage</w:t>
      </w:r>
      <w:r>
        <w:t>s</w:t>
      </w:r>
      <w:r w:rsidRPr="001F30FD">
        <w:t xml:space="preserve"> </w:t>
      </w:r>
      <w:r>
        <w:t xml:space="preserve">de la part de </w:t>
      </w:r>
      <w:r w:rsidRPr="001F30FD">
        <w:t xml:space="preserve">stations HDFS </w:t>
      </w:r>
      <w:r w:rsidR="00DD49C8">
        <w:t>P-MP</w:t>
      </w:r>
      <w:r w:rsidRPr="001F30FD">
        <w:t xml:space="preserve"> </w:t>
      </w:r>
      <w:r>
        <w:t>installées</w:t>
      </w:r>
      <w:r>
        <w:br/>
      </w:r>
      <w:r w:rsidRPr="001F30FD">
        <w:t>à l'extérieu</w:t>
      </w:r>
      <w:r w:rsidR="00DD49C8">
        <w:t>r d'une zone d'exclusion donnée</w:t>
      </w:r>
    </w:p>
    <w:p w:rsidR="009C7235" w:rsidRPr="000D230E" w:rsidRDefault="009C7235" w:rsidP="009C7235">
      <w:pPr>
        <w:pStyle w:val="Heading1"/>
      </w:pPr>
      <w:r w:rsidRPr="000D230E">
        <w:t>1</w:t>
      </w:r>
      <w:r w:rsidRPr="000D230E">
        <w:tab/>
        <w:t>Introduction</w:t>
      </w:r>
    </w:p>
    <w:p w:rsidR="009C7235" w:rsidRPr="000D230E" w:rsidRDefault="009C7235" w:rsidP="00624DB1">
      <w:pPr>
        <w:keepLines/>
      </w:pPr>
      <w:r w:rsidRPr="000D230E">
        <w:t>Afin d'être en mesure d'assurer le niveau de protection requis au service de radioastronomie, il est nécessaire de prévoir les niveaux de brouillage</w:t>
      </w:r>
      <w:r>
        <w:t>s</w:t>
      </w:r>
      <w:r w:rsidRPr="000D230E">
        <w:t xml:space="preserve"> susceptible</w:t>
      </w:r>
      <w:r>
        <w:t>s</w:t>
      </w:r>
      <w:r w:rsidRPr="000D230E">
        <w:t xml:space="preserve"> d'être causés à un site de radioastronomie par des stations HDFS </w:t>
      </w:r>
      <w:r w:rsidR="00DD49C8">
        <w:t>P-MP</w:t>
      </w:r>
      <w:r w:rsidRPr="000D230E">
        <w:t xml:space="preserve">. Ce niveau de brouillage dépendra des caractéristiques supposées pour chaque service ainsi que du terrain </w:t>
      </w:r>
      <w:r>
        <w:t>sur lequel est situé le</w:t>
      </w:r>
      <w:r w:rsidRPr="000D230E">
        <w:t xml:space="preserve"> site de radioastronomie</w:t>
      </w:r>
      <w:r>
        <w:t xml:space="preserve"> et de l'écho environnant</w:t>
      </w:r>
      <w:r w:rsidRPr="000D230E">
        <w:t>.</w:t>
      </w:r>
    </w:p>
    <w:p w:rsidR="009C7235" w:rsidRPr="000D230E" w:rsidRDefault="009C7235" w:rsidP="009C7235">
      <w:r w:rsidRPr="000D230E">
        <w:t>Un certain nombre de paramètres d'entrée ne sont pas disponibles sous la forme de constante</w:t>
      </w:r>
      <w:r>
        <w:t>s</w:t>
      </w:r>
      <w:r w:rsidRPr="000D230E">
        <w:t xml:space="preserve"> numérique</w:t>
      </w:r>
      <w:r>
        <w:t>s</w:t>
      </w:r>
      <w:r w:rsidRPr="000D230E">
        <w:t xml:space="preserve">, mais </w:t>
      </w:r>
      <w:r>
        <w:t>sous la forme</w:t>
      </w:r>
      <w:r w:rsidRPr="000D230E">
        <w:t xml:space="preserve"> d'une distribution. Par exemple, l'affaiblissement de propagation entre deux points dépend d'un certain nombre de paramètres comprenant le pourcentage de temps. La méthode décrite dans la présente Annexe est </w:t>
      </w:r>
      <w:r>
        <w:t>fondée sur des techniques Monte</w:t>
      </w:r>
      <w:r>
        <w:noBreakHyphen/>
      </w:r>
      <w:r w:rsidRPr="000D230E">
        <w:t xml:space="preserve">Carlo consistant à effectuer la convolution des distributions d'entrée </w:t>
      </w:r>
      <w:r>
        <w:t>à partir</w:t>
      </w:r>
      <w:r w:rsidRPr="000D230E">
        <w:t xml:space="preserve"> d'une équation de brouillage afin </w:t>
      </w:r>
      <w:r>
        <w:t>d'obtenir une distribution des</w:t>
      </w:r>
      <w:r w:rsidRPr="000D230E">
        <w:t xml:space="preserve"> brouillage</w:t>
      </w:r>
      <w:r>
        <w:t>s</w:t>
      </w:r>
      <w:r w:rsidRPr="000D230E">
        <w:t xml:space="preserve"> par rapport à la probabilité de dépassement de ces niveaux de brouillage.</w:t>
      </w:r>
    </w:p>
    <w:p w:rsidR="009C7235" w:rsidRPr="000D230E" w:rsidRDefault="009C7235" w:rsidP="009C7235">
      <w:r w:rsidRPr="000D230E">
        <w:t xml:space="preserve">Cette méthode permet d'effectuer une comparaison </w:t>
      </w:r>
      <w:r>
        <w:t>par rapport aux</w:t>
      </w:r>
      <w:r w:rsidRPr="000D230E">
        <w:t xml:space="preserve"> seuils </w:t>
      </w:r>
      <w:r>
        <w:t>SRA</w:t>
      </w:r>
      <w:r w:rsidRPr="000D230E">
        <w:t xml:space="preserve"> indiqués dans la Recommandation UIT-R RA.769, qui sont définis en fonction d'un seuil de brouillage (puissance moyenne au cours de l'observation) et de la probabilité </w:t>
      </w:r>
      <w:r>
        <w:t>pour qu'une</w:t>
      </w:r>
      <w:r w:rsidRPr="000D230E">
        <w:t xml:space="preserve"> observation</w:t>
      </w:r>
      <w:r>
        <w:t xml:space="preserve"> subisse des brouillages</w:t>
      </w:r>
      <w:r w:rsidRPr="000D230E">
        <w:t>.</w:t>
      </w:r>
    </w:p>
    <w:p w:rsidR="009C7235" w:rsidRPr="000D230E" w:rsidRDefault="009C7235" w:rsidP="009C7235">
      <w:r w:rsidRPr="000D230E">
        <w:t>Le calcul passe par trois étapes:</w:t>
      </w:r>
    </w:p>
    <w:p w:rsidR="009C7235" w:rsidRPr="000D230E" w:rsidRDefault="009C7235" w:rsidP="009C7235">
      <w:pPr>
        <w:pStyle w:val="enumlev1"/>
      </w:pPr>
      <w:r w:rsidRPr="000D230E">
        <w:t>1</w:t>
      </w:r>
      <w:r w:rsidRPr="000D230E">
        <w:tab/>
        <w:t xml:space="preserve">définition du modèle </w:t>
      </w:r>
      <w:r>
        <w:t>SRA</w:t>
      </w:r>
      <w:r w:rsidRPr="000D230E">
        <w:t>;</w:t>
      </w:r>
    </w:p>
    <w:p w:rsidR="009C7235" w:rsidRPr="000D230E" w:rsidRDefault="009C7235" w:rsidP="009C7235">
      <w:pPr>
        <w:pStyle w:val="enumlev1"/>
      </w:pPr>
      <w:r w:rsidRPr="000D230E">
        <w:t>2</w:t>
      </w:r>
      <w:r w:rsidRPr="000D230E">
        <w:tab/>
        <w:t xml:space="preserve">définition du modèle HDFS </w:t>
      </w:r>
      <w:r w:rsidR="00DD49C8">
        <w:t>P-MP</w:t>
      </w:r>
      <w:r w:rsidRPr="000D230E">
        <w:t>;</w:t>
      </w:r>
    </w:p>
    <w:p w:rsidR="009C7235" w:rsidRPr="000D230E" w:rsidRDefault="009C7235" w:rsidP="009C7235">
      <w:pPr>
        <w:pStyle w:val="enumlev1"/>
      </w:pPr>
      <w:r>
        <w:t>3</w:t>
      </w:r>
      <w:r>
        <w:tab/>
        <w:t>calcul des</w:t>
      </w:r>
      <w:r w:rsidRPr="000D230E">
        <w:t xml:space="preserve"> brouillage</w:t>
      </w:r>
      <w:r>
        <w:t>s</w:t>
      </w:r>
      <w:r w:rsidRPr="000D230E">
        <w:t>.</w:t>
      </w:r>
    </w:p>
    <w:p w:rsidR="009C7235" w:rsidRPr="000D230E" w:rsidRDefault="009C7235" w:rsidP="009C7235">
      <w:r w:rsidRPr="000D230E">
        <w:t>Chacune de ces étapes est décrite dans les paragraphes qui suivent.</w:t>
      </w:r>
    </w:p>
    <w:p w:rsidR="009C7235" w:rsidRPr="000D230E" w:rsidRDefault="009C7235" w:rsidP="009C7235">
      <w:pPr>
        <w:pStyle w:val="Heading1"/>
      </w:pPr>
      <w:r w:rsidRPr="000D230E">
        <w:t>2</w:t>
      </w:r>
      <w:r w:rsidRPr="000D230E">
        <w:tab/>
        <w:t xml:space="preserve">Modèle </w:t>
      </w:r>
      <w:r>
        <w:t>SRA</w:t>
      </w:r>
      <w:r w:rsidRPr="000D230E">
        <w:t xml:space="preserve"> </w:t>
      </w:r>
    </w:p>
    <w:p w:rsidR="009C7235" w:rsidRPr="000D230E" w:rsidRDefault="009C7235" w:rsidP="009C7235">
      <w:pPr>
        <w:pStyle w:val="Heading2"/>
      </w:pPr>
      <w:r w:rsidRPr="000D230E">
        <w:t>2.1</w:t>
      </w:r>
      <w:r w:rsidRPr="000D230E">
        <w:tab/>
        <w:t>Seuil de brouillage</w:t>
      </w:r>
    </w:p>
    <w:p w:rsidR="009C7235" w:rsidRPr="000D230E" w:rsidRDefault="009C7235" w:rsidP="009C7235">
      <w:r w:rsidRPr="000D230E">
        <w:t xml:space="preserve">Le modèle </w:t>
      </w:r>
      <w:r>
        <w:t>SRA</w:t>
      </w:r>
      <w:r w:rsidRPr="000D230E">
        <w:t xml:space="preserve"> repose sur les critères de protection applicables aux mesures en radioastronomie, décrits dans la Recommandation UIT-R RA.769. Afin </w:t>
      </w:r>
      <w:r>
        <w:t xml:space="preserve">d'assurer la protection du </w:t>
      </w:r>
      <w:r w:rsidRPr="000D230E">
        <w:t>service de radioastronomie, il est nécessaire d'obtenir une probabilité de (100 </w:t>
      </w:r>
      <w:r w:rsidRPr="000D230E">
        <w:sym w:font="Symbol" w:char="F02D"/>
      </w:r>
      <w:r w:rsidRPr="000D230E">
        <w:t> </w:t>
      </w:r>
      <w:r w:rsidRPr="000D230E">
        <w:rPr>
          <w:i/>
          <w:iCs/>
        </w:rPr>
        <w:t>x</w:t>
      </w:r>
      <w:r w:rsidRPr="000D230E">
        <w:t>)% pour qu'une observation soit exempte de brouillage</w:t>
      </w:r>
      <w:r>
        <w:t>s</w:t>
      </w:r>
      <w:r w:rsidRPr="000D230E">
        <w:t xml:space="preserve">. </w:t>
      </w:r>
    </w:p>
    <w:p w:rsidR="009C7235" w:rsidRPr="000D230E" w:rsidRDefault="009C7235" w:rsidP="009C7235">
      <w:r w:rsidRPr="000D230E">
        <w:t>Une observation est exempte de brouillage</w:t>
      </w:r>
      <w:r>
        <w:t>s</w:t>
      </w:r>
      <w:r w:rsidRPr="000D230E">
        <w:t xml:space="preserve"> si la puissance brouilleuse moyenne au cours </w:t>
      </w:r>
      <w:r>
        <w:t xml:space="preserve">de la </w:t>
      </w:r>
      <w:r w:rsidRPr="000D230E">
        <w:t xml:space="preserve">période d'intégration </w:t>
      </w:r>
      <w:r w:rsidRPr="00DD49C8">
        <w:rPr>
          <w:i/>
        </w:rPr>
        <w:t>T</w:t>
      </w:r>
      <w:r w:rsidRPr="000D230E">
        <w:t xml:space="preserve"> est inférieure aux niveaux définis dans l'Annexe 1 de la Recommandation UIT-R RA.769. Une valeur de </w:t>
      </w:r>
      <w:r w:rsidRPr="00DD49C8">
        <w:rPr>
          <w:i/>
        </w:rPr>
        <w:t>T</w:t>
      </w:r>
      <w:r w:rsidRPr="000D230E">
        <w:t xml:space="preserve"> = 2 000 s est généralement utilisée dans le cadre de la présente Recommandation et dans le cadre d'autres analyses de partage avec le service de </w:t>
      </w:r>
      <w:r w:rsidR="00DD49C8">
        <w:t>SRA</w:t>
      </w:r>
      <w:r w:rsidRPr="000D230E">
        <w:t>.</w:t>
      </w:r>
    </w:p>
    <w:p w:rsidR="009C7235" w:rsidRPr="000D230E" w:rsidRDefault="009C7235" w:rsidP="009C7235">
      <w:r w:rsidRPr="000D230E">
        <w:t>Cette période d'intégration permet en outre de déterminer la sensibilité du récepteur et</w:t>
      </w:r>
      <w:r>
        <w:t>,</w:t>
      </w:r>
      <w:r w:rsidRPr="000D230E">
        <w:t xml:space="preserve"> ainsi</w:t>
      </w:r>
      <w:r>
        <w:t>,</w:t>
      </w:r>
      <w:r w:rsidRPr="000D230E">
        <w:t xml:space="preserve"> le seuil ou le niveau moyen de brouillage. Ces derniers varient en fonction du type d'observation, selon qu'il s'agit d'observations du continuum ou d'observations de raie</w:t>
      </w:r>
      <w:r>
        <w:t>s</w:t>
      </w:r>
      <w:r w:rsidRPr="000D230E">
        <w:t xml:space="preserve"> spectrale</w:t>
      </w:r>
      <w:r>
        <w:t>s</w:t>
      </w:r>
      <w:r w:rsidRPr="000D230E">
        <w:t xml:space="preserve">. Les observations du </w:t>
      </w:r>
      <w:r w:rsidRPr="000D230E">
        <w:lastRenderedPageBreak/>
        <w:t xml:space="preserve">continuum étant plus sensibles </w:t>
      </w:r>
      <w:r>
        <w:t xml:space="preserve">que celles </w:t>
      </w:r>
      <w:r w:rsidRPr="000D230E">
        <w:t xml:space="preserve">des raies spectrales, elles </w:t>
      </w:r>
      <w:r>
        <w:t>exigent</w:t>
      </w:r>
      <w:r w:rsidRPr="000D230E">
        <w:t xml:space="preserve"> un seuil </w:t>
      </w:r>
      <w:r>
        <w:t xml:space="preserve">de brouillage </w:t>
      </w:r>
      <w:r w:rsidRPr="000D230E">
        <w:t xml:space="preserve">plus faible. Le fonctionnement d'un télescope faisant partie intégrante d'un système VLBI entraîne des </w:t>
      </w:r>
      <w:r>
        <w:t>seuils</w:t>
      </w:r>
      <w:r w:rsidRPr="000D230E">
        <w:t xml:space="preserve"> élevés </w:t>
      </w:r>
      <w:r>
        <w:t xml:space="preserve">de brouillage </w:t>
      </w:r>
      <w:r w:rsidRPr="000D230E">
        <w:t>en raison de la faible corrélation des sources de brouillage.</w:t>
      </w:r>
    </w:p>
    <w:p w:rsidR="009C7235" w:rsidRPr="000D230E" w:rsidRDefault="009C7235" w:rsidP="009C7235">
      <w:r w:rsidRPr="000D230E">
        <w:t xml:space="preserve">Les valeurs indiquées dans le Tableau 1 </w:t>
      </w:r>
      <w:r>
        <w:t xml:space="preserve">de </w:t>
      </w:r>
      <w:r w:rsidRPr="000D230E">
        <w:t xml:space="preserve">la Recommandation UIT-R RA.769 définissent </w:t>
      </w:r>
      <w:r>
        <w:t>d</w:t>
      </w:r>
      <w:r w:rsidRPr="000D230E">
        <w:t>es seuils moyens de brouillage en termes de densité spectrale de puissance surfacique, en prenant pour hypothèse un gain dans le récepteur de 0 dBi. Cela correspond à une antenne dont les lobes latéraux, tels que spécifiés dans la Recommandation UIT-R</w:t>
      </w:r>
      <w:r>
        <w:t xml:space="preserve"> </w:t>
      </w:r>
      <w:r w:rsidRPr="000D230E">
        <w:t>SA.509, présente</w:t>
      </w:r>
      <w:r>
        <w:t>nt</w:t>
      </w:r>
      <w:r w:rsidRPr="000D230E">
        <w:t xml:space="preserve"> un angle hors axe de 19</w:t>
      </w:r>
      <w:r w:rsidRPr="000D230E">
        <w:sym w:font="Symbol" w:char="F0B0"/>
      </w:r>
      <w:r w:rsidRPr="000D230E">
        <w:t>. Afin de p</w:t>
      </w:r>
      <w:r>
        <w:t>ouvoir modéliser des télescopes SRA</w:t>
      </w:r>
      <w:r w:rsidRPr="000D230E">
        <w:t xml:space="preserve"> </w:t>
      </w:r>
      <w:r>
        <w:t>pour</w:t>
      </w:r>
      <w:r w:rsidRPr="000D230E">
        <w:t xml:space="preserve"> des angles d'élévation plus faibles et de prendre en considération d'autres </w:t>
      </w:r>
      <w:r>
        <w:t>diagrammes</w:t>
      </w:r>
      <w:r w:rsidRPr="000D230E">
        <w:t xml:space="preserve"> de gain pour le télescope, il est nécessaire de définir le seuil en termes de brouillage au niveau du récepteur, c'est-à-dire en utilisant </w:t>
      </w:r>
      <w:r w:rsidRPr="000D230E">
        <w:sym w:font="Symbol" w:char="F044"/>
      </w:r>
      <w:r w:rsidRPr="00DD49C8">
        <w:rPr>
          <w:i/>
        </w:rPr>
        <w:t>P</w:t>
      </w:r>
      <w:r w:rsidRPr="00DD49C8">
        <w:rPr>
          <w:i/>
          <w:vertAlign w:val="subscript"/>
        </w:rPr>
        <w:t>H</w:t>
      </w:r>
      <w:r w:rsidRPr="000D230E">
        <w:t xml:space="preserve"> tel que défini dans l'équation (4) de </w:t>
      </w:r>
      <w:r>
        <w:t xml:space="preserve">cette </w:t>
      </w:r>
      <w:r w:rsidRPr="000D230E">
        <w:t>Recommandation.</w:t>
      </w:r>
    </w:p>
    <w:p w:rsidR="009C7235" w:rsidRPr="000D230E" w:rsidRDefault="009C7235" w:rsidP="009C7235">
      <w:r w:rsidRPr="000D230E">
        <w:t>Comme il a été souligné ci-dessus, une probabilité de (100 </w:t>
      </w:r>
      <w:r w:rsidRPr="000D230E">
        <w:sym w:font="Symbol" w:char="F02D"/>
      </w:r>
      <w:r w:rsidRPr="000D230E">
        <w:t> </w:t>
      </w:r>
      <w:r w:rsidRPr="000D230E">
        <w:rPr>
          <w:i/>
          <w:iCs/>
        </w:rPr>
        <w:t>x</w:t>
      </w:r>
      <w:r w:rsidRPr="000D230E">
        <w:t>)% est nécessaire pour qu'une observation soit exempte de brouillage</w:t>
      </w:r>
      <w:r>
        <w:t>s</w:t>
      </w:r>
      <w:r w:rsidRPr="000D230E">
        <w:t>, c'est-à-dire pour que ce seuil ne soit pas dépassé. La Recommandation UIT-R RA.1513 défini</w:t>
      </w:r>
      <w:r>
        <w:t>t</w:t>
      </w:r>
      <w:r w:rsidRPr="000D230E">
        <w:t xml:space="preserve"> cette probabilité pour un </w:t>
      </w:r>
      <w:r>
        <w:t>réseau unique; dans le cas d'un</w:t>
      </w:r>
      <w:r w:rsidRPr="000D230E">
        <w:t xml:space="preserve"> </w:t>
      </w:r>
      <w:r>
        <w:t>déploiement</w:t>
      </w:r>
      <w:r w:rsidRPr="000D230E">
        <w:t xml:space="preserve"> de stations HDFS </w:t>
      </w:r>
      <w:r w:rsidR="00DD49C8">
        <w:t>P-MP</w:t>
      </w:r>
      <w:r w:rsidRPr="000D230E">
        <w:t xml:space="preserve">, il convient d'utiliser une valeur de </w:t>
      </w:r>
      <w:r w:rsidRPr="000D230E">
        <w:rPr>
          <w:i/>
          <w:iCs/>
        </w:rPr>
        <w:t>x</w:t>
      </w:r>
      <w:r w:rsidRPr="000D230E">
        <w:t xml:space="preserve"> = 2%.</w:t>
      </w:r>
    </w:p>
    <w:p w:rsidR="009C7235" w:rsidRPr="000D230E" w:rsidRDefault="009C7235" w:rsidP="009C7235">
      <w:pPr>
        <w:pStyle w:val="Heading2"/>
      </w:pPr>
      <w:r w:rsidRPr="000D230E">
        <w:t>2.2</w:t>
      </w:r>
      <w:r w:rsidRPr="000D230E">
        <w:tab/>
        <w:t>Emplacement</w:t>
      </w:r>
    </w:p>
    <w:p w:rsidR="009C7235" w:rsidRPr="000D230E" w:rsidRDefault="009C7235" w:rsidP="009C7235">
      <w:r w:rsidRPr="000D230E">
        <w:t xml:space="preserve">L'emplacement de l'antenne </w:t>
      </w:r>
      <w:r>
        <w:t>SRA</w:t>
      </w:r>
      <w:r w:rsidRPr="000D230E">
        <w:t xml:space="preserve"> est défini par sa latitude, </w:t>
      </w:r>
      <w:r>
        <w:t xml:space="preserve">sa </w:t>
      </w:r>
      <w:r w:rsidRPr="000D230E">
        <w:t xml:space="preserve">longitude et </w:t>
      </w:r>
      <w:r>
        <w:t xml:space="preserve">sa </w:t>
      </w:r>
      <w:r w:rsidRPr="000D230E">
        <w:t xml:space="preserve">hauteur au-dessus du </w:t>
      </w:r>
      <w:r>
        <w:t>sol</w:t>
      </w:r>
      <w:r w:rsidRPr="000D230E">
        <w:t>.</w:t>
      </w:r>
    </w:p>
    <w:p w:rsidR="009C7235" w:rsidRPr="000D230E" w:rsidRDefault="009C7235" w:rsidP="009C7235">
      <w:pPr>
        <w:pStyle w:val="Heading2"/>
      </w:pPr>
      <w:r w:rsidRPr="000D230E">
        <w:t>2.3</w:t>
      </w:r>
      <w:r w:rsidRPr="000D230E">
        <w:tab/>
        <w:t>Diagramme de gain</w:t>
      </w:r>
    </w:p>
    <w:p w:rsidR="009C7235" w:rsidRPr="000D230E" w:rsidRDefault="009C7235" w:rsidP="009C7235">
      <w:r w:rsidRPr="000D230E">
        <w:t xml:space="preserve">Il convient de modéliser l'antenne </w:t>
      </w:r>
      <w:r>
        <w:t>SRA</w:t>
      </w:r>
      <w:r w:rsidRPr="000D230E">
        <w:t xml:space="preserve"> au moyen d'un diagramme de gain approprié, tel que celui qui est spécifié dans les Recommandations UIT-R S.1238 ou UI</w:t>
      </w:r>
      <w:r>
        <w:t>T</w:t>
      </w:r>
      <w:r w:rsidRPr="000D230E">
        <w:t>-R RA.</w:t>
      </w:r>
      <w:r w:rsidR="00DD49C8">
        <w:t>16</w:t>
      </w:r>
      <w:r w:rsidR="00D30DD8">
        <w:t>3</w:t>
      </w:r>
      <w:r w:rsidR="00DD49C8">
        <w:t>0</w:t>
      </w:r>
      <w:r w:rsidRPr="000D230E">
        <w:t>, ou, selon le cas</w:t>
      </w:r>
      <w:r>
        <w:t>,</w:t>
      </w:r>
      <w:r w:rsidRPr="000D230E">
        <w:t xml:space="preserve"> au moyen de données mesurées. Comme il est indiqué ci-dessus, le seuil de brouillage est fondé sur le brouillage moyen calculé </w:t>
      </w:r>
      <w:r>
        <w:t>en règle générale au cours d'</w:t>
      </w:r>
      <w:r w:rsidRPr="000D230E">
        <w:t xml:space="preserve">une période </w:t>
      </w:r>
      <w:r>
        <w:t>d'observation de 2 000 s</w:t>
      </w:r>
      <w:r w:rsidRPr="000D230E">
        <w:t xml:space="preserve">. En supposant que l'environnement de propagation et </w:t>
      </w:r>
      <w:r>
        <w:t>le déploiement de stations </w:t>
      </w:r>
      <w:r w:rsidRPr="000D230E">
        <w:t xml:space="preserve">HDFS </w:t>
      </w:r>
      <w:r w:rsidR="00DD49C8">
        <w:t>P-MP</w:t>
      </w:r>
      <w:r w:rsidRPr="000D230E">
        <w:t xml:space="preserve"> </w:t>
      </w:r>
      <w:r>
        <w:t>ne varient pas</w:t>
      </w:r>
      <w:r w:rsidRPr="000D230E">
        <w:t xml:space="preserve"> pendant cette période, le brouillage moyen sera celui qui sera calculé </w:t>
      </w:r>
      <w:r>
        <w:t>à</w:t>
      </w:r>
      <w:r w:rsidRPr="000D230E">
        <w:t xml:space="preserve"> </w:t>
      </w:r>
      <w:r>
        <w:t>l'aide</w:t>
      </w:r>
      <w:r w:rsidRPr="000D230E">
        <w:t xml:space="preserve"> du gain moyen au cours de l'observation. </w:t>
      </w:r>
    </w:p>
    <w:p w:rsidR="009C7235" w:rsidRPr="000D230E" w:rsidRDefault="009C7235" w:rsidP="009C7235">
      <w:r w:rsidRPr="000D230E">
        <w:t xml:space="preserve">On peut déterminer le gain moyen d'un télescope </w:t>
      </w:r>
      <w:r>
        <w:t>SRA</w:t>
      </w:r>
      <w:r w:rsidRPr="000D230E">
        <w:t xml:space="preserve"> en procédant comme suit:</w:t>
      </w:r>
    </w:p>
    <w:p w:rsidR="009C7235" w:rsidRPr="000D230E" w:rsidRDefault="00DD49C8" w:rsidP="009C7235">
      <w:pPr>
        <w:pStyle w:val="enumlev1"/>
      </w:pPr>
      <w:r>
        <w:t>–</w:t>
      </w:r>
      <w:r w:rsidR="009C7235" w:rsidRPr="000D230E">
        <w:tab/>
        <w:t>placer un certain nombre de points de mesure (par exemple, tous les 3</w:t>
      </w:r>
      <w:r w:rsidR="009C7235" w:rsidRPr="000D230E">
        <w:sym w:font="Symbol" w:char="F0B0"/>
      </w:r>
      <w:r w:rsidR="009C7235" w:rsidRPr="000D230E">
        <w:t xml:space="preserve">) sur l'horizon autour du site </w:t>
      </w:r>
      <w:r w:rsidR="009C7235">
        <w:t>SRA</w:t>
      </w:r>
      <w:r w:rsidR="009C7235" w:rsidRPr="000D230E">
        <w:t xml:space="preserve"> </w:t>
      </w:r>
      <w:r w:rsidR="009C7235">
        <w:t>soumis à l'essai</w:t>
      </w:r>
      <w:r w:rsidR="009C7235" w:rsidRPr="000D230E">
        <w:t>;</w:t>
      </w:r>
    </w:p>
    <w:p w:rsidR="009C7235" w:rsidRPr="000D230E" w:rsidRDefault="00DD49C8" w:rsidP="009C7235">
      <w:pPr>
        <w:pStyle w:val="enumlev1"/>
      </w:pPr>
      <w:r>
        <w:t>–</w:t>
      </w:r>
      <w:r w:rsidR="009C7235" w:rsidRPr="000D230E">
        <w:tab/>
      </w:r>
      <w:r w:rsidR="009C7235">
        <w:t>utiliser pour</w:t>
      </w:r>
      <w:r w:rsidR="009C7235" w:rsidRPr="000D230E">
        <w:t xml:space="preserve"> l'antenne </w:t>
      </w:r>
      <w:r w:rsidR="009C7235">
        <w:t>SRA</w:t>
      </w:r>
      <w:r w:rsidR="009C7235" w:rsidRPr="000D230E">
        <w:t xml:space="preserve"> le diagramme de gain sélectionné comme il est décrit ci</w:t>
      </w:r>
      <w:r w:rsidR="009C7235" w:rsidRPr="000D230E">
        <w:noBreakHyphen/>
        <w:t>dessus;</w:t>
      </w:r>
    </w:p>
    <w:p w:rsidR="009C7235" w:rsidRPr="000D230E" w:rsidRDefault="00DD49C8" w:rsidP="009C7235">
      <w:pPr>
        <w:pStyle w:val="enumlev1"/>
      </w:pPr>
      <w:r>
        <w:t>–</w:t>
      </w:r>
      <w:r w:rsidR="009C7235" w:rsidRPr="000D230E">
        <w:tab/>
        <w:t xml:space="preserve">fixer l'élévation de l'antenne </w:t>
      </w:r>
      <w:r w:rsidR="009C7235">
        <w:t>à la valeur minimale</w:t>
      </w:r>
      <w:r w:rsidR="009C7235" w:rsidRPr="000D230E">
        <w:t xml:space="preserve"> pour les observations effectuées sur ce site (par exemple 5</w:t>
      </w:r>
      <w:r w:rsidR="009C7235" w:rsidRPr="000D230E">
        <w:sym w:font="Symbol" w:char="F0B0"/>
      </w:r>
      <w:r w:rsidR="009C7235" w:rsidRPr="000D230E">
        <w:t xml:space="preserve">) et </w:t>
      </w:r>
      <w:r w:rsidR="009C7235">
        <w:t>l'</w:t>
      </w:r>
      <w:r w:rsidR="009C7235" w:rsidRPr="000D230E">
        <w:t>azimut à 0;</w:t>
      </w:r>
    </w:p>
    <w:p w:rsidR="009C7235" w:rsidRPr="000D230E" w:rsidRDefault="00DD49C8" w:rsidP="009C7235">
      <w:pPr>
        <w:pStyle w:val="enumlev1"/>
      </w:pPr>
      <w:r>
        <w:t>–</w:t>
      </w:r>
      <w:r w:rsidR="009C7235" w:rsidRPr="000D230E">
        <w:tab/>
        <w:t xml:space="preserve">augmenter l'élévation de l'antenne à </w:t>
      </w:r>
      <w:r w:rsidR="009C7235">
        <w:t>une vitesse égale à la vitesse de</w:t>
      </w:r>
      <w:r w:rsidR="009C7235" w:rsidRPr="000D230E">
        <w:t xml:space="preserve"> rotation de la Terre pendant 2 000 s;</w:t>
      </w:r>
    </w:p>
    <w:p w:rsidR="009C7235" w:rsidRPr="000D230E" w:rsidRDefault="00DD49C8" w:rsidP="009C7235">
      <w:pPr>
        <w:pStyle w:val="enumlev1"/>
      </w:pPr>
      <w:r>
        <w:t>–</w:t>
      </w:r>
      <w:r w:rsidR="009C7235" w:rsidRPr="000D230E">
        <w:tab/>
        <w:t xml:space="preserve">déterminer le gain moyen à chaque point de mesure pendant cette période. A noter que </w:t>
      </w:r>
      <w:r w:rsidR="009C7235">
        <w:t>pour déterminer cette</w:t>
      </w:r>
      <w:r w:rsidR="009C7235" w:rsidRPr="000D230E">
        <w:t xml:space="preserve"> moyenne</w:t>
      </w:r>
      <w:r w:rsidR="009C7235">
        <w:t>, il convient d'employer des unités linéaires plutôt qu</w:t>
      </w:r>
      <w:r w:rsidR="009C7235" w:rsidRPr="000D230E">
        <w:t xml:space="preserve">e </w:t>
      </w:r>
      <w:r w:rsidR="009C7235">
        <w:t xml:space="preserve">des </w:t>
      </w:r>
      <w:r w:rsidR="009C7235" w:rsidRPr="000D230E">
        <w:t>dBi, même si les valeurs données dans le tableau qui en résulte peuvent être exprimées en dBi.</w:t>
      </w:r>
    </w:p>
    <w:p w:rsidR="009C7235" w:rsidRPr="000D230E" w:rsidRDefault="009C7235" w:rsidP="009C7235">
      <w:r w:rsidRPr="000D230E">
        <w:t xml:space="preserve">Le tableau </w:t>
      </w:r>
      <w:r>
        <w:t>représentant le</w:t>
      </w:r>
      <w:r w:rsidRPr="000D230E">
        <w:t xml:space="preserve"> {(gain moyen pendant 2 000 s)</w:t>
      </w:r>
      <w:r>
        <w:t>, (angle par rapport à la direction de l'azimut SRA</w:t>
      </w:r>
      <w:r w:rsidRPr="000D230E">
        <w:t xml:space="preserve">)} peut être utilisé pour représenter le diagramme de gain moyen de l'antenne </w:t>
      </w:r>
      <w:r>
        <w:t>SRA</w:t>
      </w:r>
      <w:r w:rsidRPr="000D230E">
        <w:t xml:space="preserve"> en direction de l'horizon au cours d'une observation donnée.</w:t>
      </w:r>
    </w:p>
    <w:p w:rsidR="009C7235" w:rsidRPr="005530AB" w:rsidRDefault="009C7235" w:rsidP="009C7235">
      <w:pPr>
        <w:pStyle w:val="Heading2"/>
        <w:ind w:left="792" w:hanging="792"/>
      </w:pPr>
      <w:r w:rsidRPr="005530AB">
        <w:t>2.4</w:t>
      </w:r>
      <w:r w:rsidRPr="005530AB">
        <w:tab/>
        <w:t>Résumé</w:t>
      </w:r>
    </w:p>
    <w:p w:rsidR="009C7235" w:rsidRDefault="009C7235" w:rsidP="00D1175A">
      <w:r w:rsidRPr="005530AB">
        <w:t xml:space="preserve">Les paramètres d'entrée nécessaires pour définir le service </w:t>
      </w:r>
      <w:r>
        <w:t>SRA</w:t>
      </w:r>
      <w:r w:rsidRPr="005530AB">
        <w:t xml:space="preserve"> dans le modèle sont résumés dans le Tableau 1.</w:t>
      </w:r>
    </w:p>
    <w:p w:rsidR="009C7235" w:rsidRPr="005530AB" w:rsidRDefault="009C7235" w:rsidP="00D1175A">
      <w:pPr>
        <w:pStyle w:val="TableNo"/>
      </w:pPr>
      <w:r w:rsidRPr="005530AB">
        <w:lastRenderedPageBreak/>
        <w:t>TABLE</w:t>
      </w:r>
      <w:r w:rsidR="00910B95" w:rsidRPr="005530AB">
        <w:t>AU</w:t>
      </w:r>
      <w:r w:rsidRPr="005530AB">
        <w:t xml:space="preserve"> 1</w:t>
      </w:r>
    </w:p>
    <w:p w:rsidR="009C7235" w:rsidRPr="005530AB" w:rsidRDefault="009C7235" w:rsidP="009C7235">
      <w:pPr>
        <w:pStyle w:val="Tabletitle"/>
        <w:keepNext w:val="0"/>
      </w:pPr>
      <w:r w:rsidRPr="005530AB">
        <w:t xml:space="preserve">Paramètres relatifs au modèle </w:t>
      </w:r>
      <w:r>
        <w:t>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9C7235" w:rsidRPr="005530AB">
        <w:trPr>
          <w:jc w:val="center"/>
        </w:trPr>
        <w:tc>
          <w:tcPr>
            <w:tcW w:w="3402" w:type="dxa"/>
          </w:tcPr>
          <w:p w:rsidR="009C7235" w:rsidRPr="005530AB" w:rsidRDefault="009C7235" w:rsidP="00D30DD8">
            <w:pPr>
              <w:pStyle w:val="Tablehead"/>
            </w:pPr>
            <w:r>
              <w:t>Paramètre d'e</w:t>
            </w:r>
            <w:r w:rsidRPr="005530AB">
              <w:t>ntrée</w:t>
            </w:r>
          </w:p>
        </w:tc>
        <w:tc>
          <w:tcPr>
            <w:tcW w:w="6237" w:type="dxa"/>
          </w:tcPr>
          <w:p w:rsidR="009C7235" w:rsidRPr="005530AB" w:rsidRDefault="009C7235" w:rsidP="00910B95">
            <w:pPr>
              <w:pStyle w:val="Tablehead"/>
            </w:pPr>
            <w:r w:rsidRPr="005530AB">
              <w:t>Source</w:t>
            </w:r>
          </w:p>
        </w:tc>
      </w:tr>
      <w:tr w:rsidR="009C7235" w:rsidRPr="005530AB">
        <w:trPr>
          <w:jc w:val="center"/>
        </w:trPr>
        <w:tc>
          <w:tcPr>
            <w:tcW w:w="3402" w:type="dxa"/>
          </w:tcPr>
          <w:p w:rsidR="009C7235" w:rsidRPr="005530AB" w:rsidRDefault="009C7235" w:rsidP="00DD49C8">
            <w:pPr>
              <w:pStyle w:val="Tabletext"/>
              <w:keepNext/>
              <w:jc w:val="left"/>
            </w:pPr>
            <w:r w:rsidRPr="005530AB">
              <w:t>Seuil de brouillage</w:t>
            </w:r>
          </w:p>
        </w:tc>
        <w:tc>
          <w:tcPr>
            <w:tcW w:w="6237" w:type="dxa"/>
          </w:tcPr>
          <w:p w:rsidR="009C7235" w:rsidRPr="005530AB" w:rsidRDefault="009C7235" w:rsidP="00DD49C8">
            <w:pPr>
              <w:pStyle w:val="Tabletext"/>
              <w:keepNext/>
              <w:jc w:val="left"/>
            </w:pPr>
            <w:r w:rsidRPr="005530AB">
              <w:t xml:space="preserve">Brouillage moyen </w:t>
            </w:r>
            <w:r>
              <w:t>pendant</w:t>
            </w:r>
            <w:r w:rsidRPr="005530AB">
              <w:t xml:space="preserve"> une période d'observation de 2 000 s, calculé à partir de la Recommandation UIT-R RA.769 pour le type d'observation </w:t>
            </w:r>
            <w:r>
              <w:t>considéré.</w:t>
            </w:r>
          </w:p>
        </w:tc>
      </w:tr>
      <w:tr w:rsidR="009C7235" w:rsidRPr="005530AB">
        <w:trPr>
          <w:jc w:val="center"/>
        </w:trPr>
        <w:tc>
          <w:tcPr>
            <w:tcW w:w="3402" w:type="dxa"/>
          </w:tcPr>
          <w:p w:rsidR="009C7235" w:rsidRPr="005530AB" w:rsidRDefault="009C7235" w:rsidP="00DD49C8">
            <w:pPr>
              <w:pStyle w:val="Tabletext"/>
              <w:keepNext/>
              <w:jc w:val="left"/>
            </w:pPr>
            <w:r w:rsidRPr="005530AB">
              <w:t xml:space="preserve">Probabilité acceptable </w:t>
            </w:r>
            <w:r>
              <w:t xml:space="preserve">pour qu'une </w:t>
            </w:r>
            <w:r w:rsidRPr="005530AB">
              <w:t>observation s</w:t>
            </w:r>
            <w:r>
              <w:t>ubisse</w:t>
            </w:r>
            <w:r w:rsidRPr="005530AB">
              <w:t xml:space="preserve"> des brouillages</w:t>
            </w:r>
          </w:p>
        </w:tc>
        <w:tc>
          <w:tcPr>
            <w:tcW w:w="6237" w:type="dxa"/>
          </w:tcPr>
          <w:p w:rsidR="009C7235" w:rsidRPr="005530AB" w:rsidRDefault="009C7235" w:rsidP="00DD49C8">
            <w:pPr>
              <w:pStyle w:val="Tabletext"/>
              <w:keepNext/>
              <w:jc w:val="left"/>
            </w:pPr>
            <w:r>
              <w:t xml:space="preserve">En provenance d'un </w:t>
            </w:r>
            <w:r w:rsidRPr="005530AB">
              <w:t xml:space="preserve">réseau HDFS </w:t>
            </w:r>
            <w:r w:rsidR="00DD49C8">
              <w:t>P-MP</w:t>
            </w:r>
            <w:r w:rsidRPr="005530AB">
              <w:t>, 2% d'après la Recommandation UIT-R RA.1513</w:t>
            </w:r>
          </w:p>
        </w:tc>
      </w:tr>
      <w:tr w:rsidR="009C7235" w:rsidRPr="005530AB">
        <w:trPr>
          <w:jc w:val="center"/>
        </w:trPr>
        <w:tc>
          <w:tcPr>
            <w:tcW w:w="3402" w:type="dxa"/>
          </w:tcPr>
          <w:p w:rsidR="009C7235" w:rsidRPr="005530AB" w:rsidRDefault="009C7235" w:rsidP="00DD49C8">
            <w:pPr>
              <w:pStyle w:val="Tabletext"/>
              <w:keepNext/>
              <w:jc w:val="left"/>
            </w:pPr>
            <w:r w:rsidRPr="005530AB">
              <w:t>Latitude d</w:t>
            </w:r>
            <w:r>
              <w:t>u site SRA</w:t>
            </w:r>
          </w:p>
        </w:tc>
        <w:tc>
          <w:tcPr>
            <w:tcW w:w="6237" w:type="dxa"/>
          </w:tcPr>
          <w:p w:rsidR="009C7235" w:rsidRPr="005530AB" w:rsidRDefault="009C7235" w:rsidP="00DD49C8">
            <w:pPr>
              <w:pStyle w:val="Tabletext"/>
              <w:keepNext/>
              <w:jc w:val="left"/>
            </w:pPr>
            <w:r w:rsidRPr="005530AB">
              <w:t xml:space="preserve">Depuis l'emplacement du site </w:t>
            </w:r>
            <w:r>
              <w:t>SRA</w:t>
            </w:r>
          </w:p>
        </w:tc>
      </w:tr>
      <w:tr w:rsidR="009C7235" w:rsidRPr="005530AB">
        <w:trPr>
          <w:jc w:val="center"/>
        </w:trPr>
        <w:tc>
          <w:tcPr>
            <w:tcW w:w="3402" w:type="dxa"/>
          </w:tcPr>
          <w:p w:rsidR="009C7235" w:rsidRPr="005530AB" w:rsidRDefault="009C7235" w:rsidP="00DD49C8">
            <w:pPr>
              <w:pStyle w:val="Tabletext"/>
              <w:jc w:val="left"/>
            </w:pPr>
            <w:r w:rsidRPr="005530AB">
              <w:t xml:space="preserve">Longitude </w:t>
            </w:r>
            <w:r>
              <w:t>du site</w:t>
            </w:r>
            <w:r w:rsidRPr="005530AB">
              <w:t xml:space="preserve"> </w:t>
            </w:r>
            <w:r>
              <w:t>SRA</w:t>
            </w:r>
          </w:p>
        </w:tc>
        <w:tc>
          <w:tcPr>
            <w:tcW w:w="6237" w:type="dxa"/>
          </w:tcPr>
          <w:p w:rsidR="009C7235" w:rsidRPr="005530AB" w:rsidRDefault="009C7235" w:rsidP="00DD49C8">
            <w:pPr>
              <w:pStyle w:val="Tabletext"/>
              <w:jc w:val="left"/>
            </w:pPr>
            <w:r w:rsidRPr="005530AB">
              <w:t xml:space="preserve">Depuis l'emplacement du site </w:t>
            </w:r>
            <w:r>
              <w:t>SRA</w:t>
            </w:r>
          </w:p>
        </w:tc>
      </w:tr>
      <w:tr w:rsidR="009C7235" w:rsidRPr="005530AB">
        <w:trPr>
          <w:jc w:val="center"/>
        </w:trPr>
        <w:tc>
          <w:tcPr>
            <w:tcW w:w="3402" w:type="dxa"/>
          </w:tcPr>
          <w:p w:rsidR="009C7235" w:rsidRPr="0087487E" w:rsidRDefault="009C7235" w:rsidP="00DD49C8">
            <w:pPr>
              <w:pStyle w:val="Tabletext"/>
              <w:jc w:val="left"/>
            </w:pPr>
            <w:r w:rsidRPr="0087487E">
              <w:t xml:space="preserve">Hauteur d'antenne SRA </w:t>
            </w:r>
            <w:r>
              <w:t>au</w:t>
            </w:r>
            <w:r>
              <w:noBreakHyphen/>
              <w:t>dessus du sol</w:t>
            </w:r>
          </w:p>
        </w:tc>
        <w:tc>
          <w:tcPr>
            <w:tcW w:w="6237" w:type="dxa"/>
          </w:tcPr>
          <w:p w:rsidR="009C7235" w:rsidRPr="005530AB" w:rsidRDefault="009C7235" w:rsidP="00DD49C8">
            <w:pPr>
              <w:pStyle w:val="Tabletext"/>
              <w:jc w:val="left"/>
            </w:pPr>
            <w:r w:rsidRPr="005530AB">
              <w:t xml:space="preserve">Depuis l'emplacement du site </w:t>
            </w:r>
            <w:r>
              <w:t>SRA</w:t>
            </w:r>
          </w:p>
        </w:tc>
      </w:tr>
      <w:tr w:rsidR="009C7235" w:rsidRPr="005530AB">
        <w:trPr>
          <w:jc w:val="center"/>
        </w:trPr>
        <w:tc>
          <w:tcPr>
            <w:tcW w:w="3402" w:type="dxa"/>
          </w:tcPr>
          <w:p w:rsidR="009C7235" w:rsidRPr="005530AB" w:rsidRDefault="009C7235" w:rsidP="00DD49C8">
            <w:pPr>
              <w:pStyle w:val="Tabletext"/>
              <w:jc w:val="left"/>
            </w:pPr>
            <w:r w:rsidRPr="005530AB">
              <w:t>Gain moyen au cours de l'observation</w:t>
            </w:r>
          </w:p>
        </w:tc>
        <w:tc>
          <w:tcPr>
            <w:tcW w:w="6237" w:type="dxa"/>
          </w:tcPr>
          <w:p w:rsidR="009C7235" w:rsidRPr="005530AB" w:rsidRDefault="009C7235" w:rsidP="00DD49C8">
            <w:pPr>
              <w:pStyle w:val="Tabletext"/>
              <w:jc w:val="left"/>
            </w:pPr>
            <w:r w:rsidRPr="005530AB">
              <w:t xml:space="preserve">Tableau représentant le {(gain moyen </w:t>
            </w:r>
            <w:r>
              <w:t xml:space="preserve">pendant </w:t>
            </w:r>
            <w:r w:rsidRPr="005530AB">
              <w:t xml:space="preserve">2 000 s), (angle par rapport à </w:t>
            </w:r>
            <w:r>
              <w:t xml:space="preserve">la direction à </w:t>
            </w:r>
            <w:r w:rsidRPr="005530AB">
              <w:t xml:space="preserve">l'azimut </w:t>
            </w:r>
            <w:r>
              <w:t>SRA</w:t>
            </w:r>
            <w:r w:rsidRPr="005530AB">
              <w:t>)}, calculé au moyen de l'algorithme décrit ci-dessus</w:t>
            </w:r>
          </w:p>
        </w:tc>
      </w:tr>
    </w:tbl>
    <w:p w:rsidR="00910B95" w:rsidRPr="00D30DD8" w:rsidRDefault="00910B95" w:rsidP="00910B95">
      <w:pPr>
        <w:pStyle w:val="Tablefin"/>
        <w:rPr>
          <w:lang w:val="fr-FR"/>
        </w:rPr>
      </w:pPr>
    </w:p>
    <w:p w:rsidR="009C7235" w:rsidRPr="005530AB" w:rsidRDefault="009C7235" w:rsidP="00910B95">
      <w:pPr>
        <w:pStyle w:val="Heading1"/>
      </w:pPr>
      <w:r w:rsidRPr="005530AB">
        <w:t>3</w:t>
      </w:r>
      <w:r w:rsidRPr="005530AB">
        <w:tab/>
        <w:t xml:space="preserve">Modèle applicable aux systèmes HDFS </w:t>
      </w:r>
      <w:r w:rsidR="00DD49C8">
        <w:t>P-MP</w:t>
      </w:r>
    </w:p>
    <w:p w:rsidR="009C7235" w:rsidRPr="005530AB" w:rsidRDefault="009C7235" w:rsidP="00910B95">
      <w:pPr>
        <w:pStyle w:val="Heading2"/>
      </w:pPr>
      <w:r w:rsidRPr="005530AB">
        <w:t>3.1</w:t>
      </w:r>
      <w:r w:rsidRPr="005530AB">
        <w:tab/>
        <w:t xml:space="preserve">Distribution(s) de puissance </w:t>
      </w:r>
      <w:r>
        <w:t>p.i.r.e.c.</w:t>
      </w:r>
    </w:p>
    <w:p w:rsidR="009C7235" w:rsidRPr="005530AB" w:rsidRDefault="009C7235" w:rsidP="00030BDA">
      <w:r w:rsidRPr="005530AB">
        <w:t xml:space="preserve">Les systèmes HDFS </w:t>
      </w:r>
      <w:r w:rsidR="00DD49C8">
        <w:t>P-MP</w:t>
      </w:r>
      <w:r w:rsidRPr="005530AB">
        <w:t xml:space="preserve"> peuvent </w:t>
      </w:r>
      <w:r>
        <w:t>présenter diverses caractéristiques et être employés dans une large gamme de services</w:t>
      </w:r>
      <w:r w:rsidRPr="005530AB">
        <w:t xml:space="preserve"> </w:t>
      </w:r>
      <w:r>
        <w:t>et d'</w:t>
      </w:r>
      <w:r w:rsidRPr="005530AB">
        <w:t>architecture</w:t>
      </w:r>
      <w:r>
        <w:t>s</w:t>
      </w:r>
      <w:r w:rsidRPr="005530AB">
        <w:t xml:space="preserve">. Pour faciliter la réglementation de </w:t>
      </w:r>
      <w:r>
        <w:t>la</w:t>
      </w:r>
      <w:r w:rsidRPr="005530AB">
        <w:t xml:space="preserve"> bande</w:t>
      </w:r>
      <w:r>
        <w:t xml:space="preserve"> concernée</w:t>
      </w:r>
      <w:r w:rsidRPr="005530AB">
        <w:t xml:space="preserve">, il est possible d'élaborer des modèles de référence </w:t>
      </w:r>
      <w:r>
        <w:t>fondés sur des</w:t>
      </w:r>
      <w:r w:rsidRPr="005530AB">
        <w:t xml:space="preserve"> caractéristiques telles que la taille maximale de cellule, la p.i.r.e., la hauteur d'antenne, etc. A partir de ces modèles de référence, il est possible de calculer les distributions de la p.i.r.e. cumulative (</w:t>
      </w:r>
      <w:r>
        <w:t>p.i.r.e.c.</w:t>
      </w:r>
      <w:r w:rsidRPr="005530AB">
        <w:t xml:space="preserve">) définissant la probabilité </w:t>
      </w:r>
      <w:r>
        <w:t xml:space="preserve">pour </w:t>
      </w:r>
      <w:r w:rsidRPr="005530AB">
        <w:t xml:space="preserve">que la </w:t>
      </w:r>
      <w:r>
        <w:t>p.i.r.e.c.</w:t>
      </w:r>
      <w:r w:rsidRPr="005530AB">
        <w:t xml:space="preserve"> à l'intérieur d'une zone ou d'un </w:t>
      </w:r>
      <w:r>
        <w:t>secteur</w:t>
      </w:r>
      <w:r w:rsidRPr="005530AB">
        <w:t xml:space="preserve"> ne dépasse une certaine valeur. L'algorithme permettant de calculer ces distributions d</w:t>
      </w:r>
      <w:r>
        <w:t>e p.i.r.e.c.</w:t>
      </w:r>
      <w:r w:rsidRPr="005530AB">
        <w:t xml:space="preserve"> est décrit dans </w:t>
      </w:r>
      <w:r w:rsidR="00DD49C8">
        <w:t>la</w:t>
      </w:r>
      <w:r w:rsidRPr="005530AB">
        <w:t xml:space="preserve"> Recommandation UIT</w:t>
      </w:r>
      <w:r w:rsidRPr="005530AB">
        <w:noBreakHyphen/>
        <w:t>R </w:t>
      </w:r>
      <w:r w:rsidR="00E006BE">
        <w:t xml:space="preserve">F.1760 – </w:t>
      </w:r>
      <w:r w:rsidR="00E006BE">
        <w:rPr>
          <w:color w:val="000000"/>
        </w:rPr>
        <w:t>Méthode de calcul de la distribution de puissance isotrope rayonnée équivalente cumulative (p.i.r.e.c.) produite par des applications à haute densité du service fixe point à multipoint fonctionnant dans des bandes au-dessus de 30 GHz identifiées pour de telles utilisations</w:t>
      </w:r>
      <w:r w:rsidRPr="005530AB">
        <w:t>.</w:t>
      </w:r>
    </w:p>
    <w:p w:rsidR="009C7235" w:rsidRPr="005530AB" w:rsidRDefault="009C7235" w:rsidP="00910B95">
      <w:r>
        <w:t>La p.i.r.e.c.</w:t>
      </w:r>
      <w:r w:rsidRPr="005530AB">
        <w:t xml:space="preserve"> </w:t>
      </w:r>
      <w:r>
        <w:t xml:space="preserve">est fonction des </w:t>
      </w:r>
      <w:r w:rsidRPr="005530AB">
        <w:t xml:space="preserve">caractéristiques de tous les émetteurs </w:t>
      </w:r>
      <w:r>
        <w:t xml:space="preserve">situés </w:t>
      </w:r>
      <w:r w:rsidRPr="005530AB">
        <w:t xml:space="preserve">à l'intérieur du </w:t>
      </w:r>
      <w:r>
        <w:t>secteur</w:t>
      </w:r>
      <w:r w:rsidRPr="005530AB">
        <w:t xml:space="preserve">, y compris des aspects tels que la commande de puissance, les diagrammes de gain, l'agrégation et l'écho. Le déploiement de terminaux HDFS </w:t>
      </w:r>
      <w:r w:rsidR="00DD49C8">
        <w:t>P-MP</w:t>
      </w:r>
      <w:r w:rsidRPr="005530AB">
        <w:t xml:space="preserve"> variera d'un </w:t>
      </w:r>
      <w:r>
        <w:t>secteur</w:t>
      </w:r>
      <w:r w:rsidRPr="005530AB">
        <w:t xml:space="preserve"> à </w:t>
      </w:r>
      <w:r>
        <w:t>l'</w:t>
      </w:r>
      <w:r w:rsidRPr="005530AB">
        <w:t>autre</w:t>
      </w:r>
      <w:r>
        <w:t>:</w:t>
      </w:r>
      <w:r w:rsidRPr="005530AB">
        <w:t xml:space="preserve"> de nombreux </w:t>
      </w:r>
      <w:r>
        <w:t>secteurs</w:t>
      </w:r>
      <w:r w:rsidRPr="005530AB">
        <w:t xml:space="preserve"> sont susceptibles</w:t>
      </w:r>
      <w:r>
        <w:t xml:space="preserve"> de produire une large gamme de</w:t>
      </w:r>
      <w:r w:rsidRPr="005530AB">
        <w:t xml:space="preserve"> </w:t>
      </w:r>
      <w:r>
        <w:t>p.i.r.e.c.</w:t>
      </w:r>
      <w:r w:rsidRPr="005530AB">
        <w:t xml:space="preserve"> telle que définie par la distribution.</w:t>
      </w:r>
    </w:p>
    <w:p w:rsidR="009C7235" w:rsidRPr="005530AB" w:rsidRDefault="009C7235" w:rsidP="00910B95">
      <w:r w:rsidRPr="005530AB">
        <w:t xml:space="preserve">Un scénario pourrait être fondé sur le déploiement généralisé d'un </w:t>
      </w:r>
      <w:r>
        <w:t>modèle</w:t>
      </w:r>
      <w:r w:rsidRPr="005530AB">
        <w:t xml:space="preserve"> de référence unique applicable aux stations HDFS </w:t>
      </w:r>
      <w:r w:rsidR="00DD49C8">
        <w:t>P-MP</w:t>
      </w:r>
      <w:r w:rsidRPr="005530AB">
        <w:t xml:space="preserve">, </w:t>
      </w:r>
      <w:r>
        <w:t>dont le paramètre d'entrée</w:t>
      </w:r>
      <w:r w:rsidRPr="005530AB">
        <w:t xml:space="preserve"> serait une distribution </w:t>
      </w:r>
      <w:r>
        <w:t>de p.i.r.e.c.</w:t>
      </w:r>
      <w:r w:rsidRPr="005530AB">
        <w:t xml:space="preserve"> unique. Toutefois, des déploiements plus complexes pourraient faire intervenir différents types de modèles de référence HDFS </w:t>
      </w:r>
      <w:r w:rsidR="00DD49C8">
        <w:t>P-MP</w:t>
      </w:r>
      <w:r w:rsidRPr="005530AB">
        <w:t xml:space="preserve">, pour lesquels des distributions </w:t>
      </w:r>
      <w:r>
        <w:t>de p.i.r.e.c.</w:t>
      </w:r>
      <w:r w:rsidRPr="005530AB">
        <w:t xml:space="preserve"> multiples seraient nécessaires.</w:t>
      </w:r>
    </w:p>
    <w:p w:rsidR="009C7235" w:rsidRPr="005530AB" w:rsidRDefault="009C7235" w:rsidP="009C7235">
      <w:pPr>
        <w:pStyle w:val="Heading2"/>
      </w:pPr>
      <w:r w:rsidRPr="005530AB">
        <w:t>3.2</w:t>
      </w:r>
      <w:r w:rsidRPr="005530AB">
        <w:tab/>
        <w:t>Hauteur de l'émetteur</w:t>
      </w:r>
    </w:p>
    <w:p w:rsidR="009C7235" w:rsidRPr="005530AB" w:rsidRDefault="009C7235" w:rsidP="00910B95">
      <w:r w:rsidRPr="005530AB">
        <w:t xml:space="preserve">La hauteur de l'émetteur, qui sera la hauteur maximale pouvant être utilisée pour chaque modèle de référence, est associée à la distribution </w:t>
      </w:r>
      <w:r>
        <w:t>de p.i.r.e.c.</w:t>
      </w:r>
    </w:p>
    <w:p w:rsidR="009C7235" w:rsidRPr="005530AB" w:rsidRDefault="009C7235" w:rsidP="009C7235">
      <w:pPr>
        <w:pStyle w:val="Heading2"/>
      </w:pPr>
      <w:r w:rsidRPr="005530AB">
        <w:lastRenderedPageBreak/>
        <w:t>3.3</w:t>
      </w:r>
      <w:r w:rsidRPr="005530AB">
        <w:tab/>
        <w:t>Zone de déploiement</w:t>
      </w:r>
    </w:p>
    <w:p w:rsidR="009C7235" w:rsidRPr="005530AB" w:rsidRDefault="009C7235" w:rsidP="00910B95">
      <w:r w:rsidRPr="005530AB">
        <w:t xml:space="preserve">La zone de déploiement, qui représente les emplacements auxquels pourraient se trouver des émetteurs HDFS </w:t>
      </w:r>
      <w:r w:rsidR="00DD49C8">
        <w:t>P-MP</w:t>
      </w:r>
      <w:r w:rsidRPr="005530AB">
        <w:t>, est généralement comprise entre:</w:t>
      </w:r>
    </w:p>
    <w:p w:rsidR="009C7235" w:rsidRPr="005530AB" w:rsidRDefault="00DD49C8" w:rsidP="00910B95">
      <w:pPr>
        <w:pStyle w:val="enumlev1"/>
      </w:pPr>
      <w:r>
        <w:t>–</w:t>
      </w:r>
      <w:r w:rsidR="009C7235" w:rsidRPr="005530AB">
        <w:tab/>
        <w:t xml:space="preserve">la zone d'exclusion autour du site </w:t>
      </w:r>
      <w:r w:rsidR="009C7235">
        <w:t>SRA</w:t>
      </w:r>
      <w:r w:rsidR="009C7235" w:rsidRPr="005530AB">
        <w:t xml:space="preserve">, à l'intérieur de laquelle le déploiement de stations HDFS </w:t>
      </w:r>
      <w:r>
        <w:t>P-MP</w:t>
      </w:r>
      <w:r w:rsidR="009C7235" w:rsidRPr="005530AB">
        <w:t xml:space="preserve"> n'est pas autorisé. Elle pourrait être </w:t>
      </w:r>
      <w:r w:rsidR="009C7235">
        <w:t xml:space="preserve">définie en fonction de la </w:t>
      </w:r>
      <w:r w:rsidR="009C7235" w:rsidRPr="005530AB">
        <w:t xml:space="preserve">distance depuis le site </w:t>
      </w:r>
      <w:r w:rsidR="009C7235">
        <w:t>SRA</w:t>
      </w:r>
      <w:r w:rsidR="009C7235" w:rsidRPr="005530AB">
        <w:t xml:space="preserve">, </w:t>
      </w:r>
      <w:r w:rsidR="009C7235" w:rsidRPr="00DD49C8">
        <w:rPr>
          <w:i/>
        </w:rPr>
        <w:t>D</w:t>
      </w:r>
      <w:r w:rsidR="009C7235" w:rsidRPr="005530AB">
        <w:t xml:space="preserve">, ou </w:t>
      </w:r>
      <w:r w:rsidR="009C7235">
        <w:t xml:space="preserve">en fonction </w:t>
      </w:r>
      <w:r w:rsidR="009C7235" w:rsidRPr="005530AB">
        <w:t>des emplacements pour lesquels l'affaiblissement de propagation fondé sur un modèle</w:t>
      </w:r>
      <w:r w:rsidR="009C7235">
        <w:t>,</w:t>
      </w:r>
      <w:r w:rsidR="009C7235" w:rsidRPr="005530AB">
        <w:t xml:space="preserve"> tel que celui défini dans la Recommandation UIT-R P.452, est supérieur à une</w:t>
      </w:r>
      <w:r w:rsidR="009C7235">
        <w:t xml:space="preserve"> valeur spécifiée (</w:t>
      </w:r>
      <w:r w:rsidR="009C7235" w:rsidRPr="00DD49C8">
        <w:rPr>
          <w:i/>
        </w:rPr>
        <w:t>L</w:t>
      </w:r>
      <w:r w:rsidR="009C7235" w:rsidRPr="005530AB">
        <w:rPr>
          <w:vertAlign w:val="subscript"/>
        </w:rPr>
        <w:t>452</w:t>
      </w:r>
      <w:r w:rsidR="009C7235">
        <w:t> &gt; </w:t>
      </w:r>
      <w:r w:rsidR="009C7235" w:rsidRPr="00DD49C8">
        <w:rPr>
          <w:i/>
        </w:rPr>
        <w:t>X</w:t>
      </w:r>
      <w:r w:rsidR="009C7235">
        <w:t> </w:t>
      </w:r>
      <w:r w:rsidR="009C7235" w:rsidRPr="005530AB">
        <w:t>dB</w:t>
      </w:r>
      <w:r w:rsidR="009C7235">
        <w:t>)</w:t>
      </w:r>
      <w:r w:rsidR="009C7235" w:rsidRPr="005530AB">
        <w:t>;</w:t>
      </w:r>
    </w:p>
    <w:p w:rsidR="009C7235" w:rsidRPr="005530AB" w:rsidRDefault="00DD49C8" w:rsidP="00910B95">
      <w:pPr>
        <w:pStyle w:val="enumlev1"/>
      </w:pPr>
      <w:r>
        <w:t>–</w:t>
      </w:r>
      <w:r w:rsidR="009C7235" w:rsidRPr="005530AB">
        <w:tab/>
        <w:t xml:space="preserve">la distance maximale </w:t>
      </w:r>
      <w:r w:rsidR="009C7235" w:rsidRPr="00DD49C8">
        <w:rPr>
          <w:i/>
        </w:rPr>
        <w:t>D</w:t>
      </w:r>
      <w:r w:rsidR="009C7235" w:rsidRPr="00DD49C8">
        <w:rPr>
          <w:i/>
          <w:vertAlign w:val="subscript"/>
        </w:rPr>
        <w:t>max</w:t>
      </w:r>
      <w:r w:rsidR="009C7235" w:rsidRPr="005530AB">
        <w:t xml:space="preserve"> à partir de laquelle un déploiement supplémentaire entraînerait une augmentation négligeable du niveau de brouillage calculé</w:t>
      </w:r>
      <w:r w:rsidR="009C7235">
        <w:t>,</w:t>
      </w:r>
      <w:r w:rsidR="009C7235" w:rsidRPr="005530AB">
        <w:t xml:space="preserve"> </w:t>
      </w:r>
      <w:r w:rsidR="009C7235">
        <w:t>qui n'aurait donc pas à être pris</w:t>
      </w:r>
      <w:r w:rsidR="009C7235" w:rsidRPr="005530AB">
        <w:t xml:space="preserve"> en considération.</w:t>
      </w:r>
    </w:p>
    <w:p w:rsidR="009C7235" w:rsidRPr="005530AB" w:rsidRDefault="009C7235" w:rsidP="009C7235">
      <w:r w:rsidRPr="005530AB">
        <w:t xml:space="preserve">Les zones d'exclusion fondées sur la distance sont représentées par </w:t>
      </w:r>
      <w:r>
        <w:t>des cercles centrés sur le site SRA, alors que l</w:t>
      </w:r>
      <w:r w:rsidRPr="005530AB">
        <w:t xml:space="preserve">es zones d'exclusion fondées sur l'affaiblissement de propagation peuvent être </w:t>
      </w:r>
      <w:r>
        <w:t xml:space="preserve">représentées par </w:t>
      </w:r>
      <w:r w:rsidRPr="005530AB">
        <w:t>des polygones.</w:t>
      </w:r>
    </w:p>
    <w:p w:rsidR="009C7235" w:rsidRPr="005530AB" w:rsidRDefault="009C7235" w:rsidP="009C7235">
      <w:r w:rsidRPr="005530AB">
        <w:t xml:space="preserve">La distance maximale à prendre en considération variera en fonction de la taille de la zone d'exclusion. Par exemple, avec une zone d'exclusion définie par </w:t>
      </w:r>
      <w:r w:rsidRPr="00DD49C8">
        <w:rPr>
          <w:i/>
        </w:rPr>
        <w:t>D</w:t>
      </w:r>
      <w:r w:rsidRPr="005530AB">
        <w:t xml:space="preserve"> = 50 km, il n'est pas nécessaire de </w:t>
      </w:r>
      <w:r>
        <w:t xml:space="preserve">tenir compte du </w:t>
      </w:r>
      <w:r w:rsidRPr="005530AB">
        <w:t xml:space="preserve">déploiement de stations HDFS </w:t>
      </w:r>
      <w:r w:rsidR="00D30DD8">
        <w:t>P-</w:t>
      </w:r>
      <w:r w:rsidR="00DD49C8">
        <w:t>MP</w:t>
      </w:r>
      <w:r w:rsidRPr="005530AB">
        <w:t xml:space="preserve"> au-delà de </w:t>
      </w:r>
      <w:r w:rsidRPr="00DD49C8">
        <w:rPr>
          <w:i/>
        </w:rPr>
        <w:t>D</w:t>
      </w:r>
      <w:r w:rsidRPr="00DD49C8">
        <w:rPr>
          <w:i/>
          <w:vertAlign w:val="subscript"/>
        </w:rPr>
        <w:t>max</w:t>
      </w:r>
      <w:r w:rsidR="00660956">
        <w:t> </w:t>
      </w:r>
      <w:r w:rsidRPr="005530AB">
        <w:t>=</w:t>
      </w:r>
      <w:r w:rsidR="00660956">
        <w:t> </w:t>
      </w:r>
      <w:r w:rsidRPr="005530AB">
        <w:t>110</w:t>
      </w:r>
      <w:r w:rsidR="00660956">
        <w:t> </w:t>
      </w:r>
      <w:r w:rsidRPr="005530AB">
        <w:t xml:space="preserve">km. On peut déterminer la valeur de </w:t>
      </w:r>
      <w:r w:rsidRPr="0084347E">
        <w:rPr>
          <w:i/>
        </w:rPr>
        <w:t>D</w:t>
      </w:r>
      <w:r w:rsidRPr="0084347E">
        <w:rPr>
          <w:i/>
          <w:vertAlign w:val="subscript"/>
        </w:rPr>
        <w:t>max</w:t>
      </w:r>
      <w:r w:rsidRPr="005530AB">
        <w:t xml:space="preserve"> en continuant à ajouter d'autres stations brouilleuses jusqu'à ce que l'augmentation du niveau de brouillage soit négligeable. Si la zone de déploiement est un anneau étroit autour du site </w:t>
      </w:r>
      <w:r>
        <w:t>SRA</w:t>
      </w:r>
      <w:r w:rsidRPr="005530AB">
        <w:t xml:space="preserve">, il </w:t>
      </w:r>
      <w:r>
        <w:t>conviendrait</w:t>
      </w:r>
      <w:r w:rsidRPr="005530AB">
        <w:t xml:space="preserve"> alors probablement </w:t>
      </w:r>
      <w:r>
        <w:t>d'</w:t>
      </w:r>
      <w:r w:rsidRPr="005530AB">
        <w:t xml:space="preserve">augmenter </w:t>
      </w:r>
      <w:r w:rsidRPr="0084347E">
        <w:rPr>
          <w:i/>
        </w:rPr>
        <w:t>D</w:t>
      </w:r>
      <w:r w:rsidRPr="0084347E">
        <w:rPr>
          <w:i/>
          <w:vertAlign w:val="subscript"/>
        </w:rPr>
        <w:t>max</w:t>
      </w:r>
      <w:r w:rsidRPr="005530AB">
        <w:t>.</w:t>
      </w:r>
    </w:p>
    <w:p w:rsidR="009C7235" w:rsidRPr="005530AB" w:rsidRDefault="009C7235" w:rsidP="009C7235">
      <w:r w:rsidRPr="005530AB">
        <w:t xml:space="preserve">A l'intérieur de la zone de déploiement, il convient de placer un </w:t>
      </w:r>
      <w:r>
        <w:t>ensemble</w:t>
      </w:r>
      <w:r w:rsidRPr="005530AB">
        <w:t xml:space="preserve"> de points de mesure à intervalles réguliers, chacun représentant un </w:t>
      </w:r>
      <w:r>
        <w:t>secteur</w:t>
      </w:r>
      <w:r w:rsidRPr="005530AB">
        <w:t>. L</w:t>
      </w:r>
      <w:r>
        <w:t>a zone utilisée pour calculer la p.i.r.e.c.</w:t>
      </w:r>
      <w:r w:rsidRPr="005530AB">
        <w:t xml:space="preserve"> détermine la distance de séparation entre les points de mesure.</w:t>
      </w:r>
    </w:p>
    <w:p w:rsidR="009C7235" w:rsidRPr="005530AB" w:rsidRDefault="009C7235" w:rsidP="009C7235">
      <w:r w:rsidRPr="005530AB">
        <w:t xml:space="preserve">La zone de déploiement pourrait contenir une répartition uniforme de </w:t>
      </w:r>
      <w:r>
        <w:t>secteurs</w:t>
      </w:r>
      <w:r w:rsidRPr="005530AB">
        <w:t xml:space="preserve">, tous les </w:t>
      </w:r>
      <w:r>
        <w:t>secteurs</w:t>
      </w:r>
      <w:r w:rsidRPr="005530AB">
        <w:t xml:space="preserve"> représentant le même modèle de référence HDFS </w:t>
      </w:r>
      <w:r w:rsidR="00660956">
        <w:t>P-MP</w:t>
      </w:r>
      <w:r w:rsidRPr="005530AB">
        <w:t>, ou des emplacements associés à différents types de service, d'architecture, etc.</w:t>
      </w:r>
      <w:r>
        <w:t>,</w:t>
      </w:r>
      <w:r w:rsidRPr="005530AB">
        <w:t xml:space="preserve"> représentés par des distributions </w:t>
      </w:r>
      <w:r>
        <w:t>de p.i.r.e.c.</w:t>
      </w:r>
      <w:r w:rsidRPr="005530AB">
        <w:t xml:space="preserve"> différentes. La zone de déploiement pourrait </w:t>
      </w:r>
      <w:r>
        <w:t xml:space="preserve">aussi </w:t>
      </w:r>
      <w:r w:rsidRPr="005530AB">
        <w:t>inclure des zones dans lesquelles de</w:t>
      </w:r>
      <w:r>
        <w:t>s</w:t>
      </w:r>
      <w:r w:rsidRPr="005530AB">
        <w:t xml:space="preserve"> station</w:t>
      </w:r>
      <w:r>
        <w:t>s </w:t>
      </w:r>
      <w:r w:rsidRPr="005530AB">
        <w:t xml:space="preserve">HDFS </w:t>
      </w:r>
      <w:r w:rsidR="00660956">
        <w:t>P-MP</w:t>
      </w:r>
      <w:r w:rsidRPr="005530AB">
        <w:t xml:space="preserve"> ne serai</w:t>
      </w:r>
      <w:r>
        <w:t>en</w:t>
      </w:r>
      <w:r w:rsidRPr="005530AB">
        <w:t xml:space="preserve">t </w:t>
      </w:r>
      <w:r>
        <w:t>pas déployées</w:t>
      </w:r>
      <w:r w:rsidRPr="005530AB">
        <w:t>.</w:t>
      </w:r>
    </w:p>
    <w:p w:rsidR="009C7235" w:rsidRPr="005530AB" w:rsidRDefault="009C7235" w:rsidP="009C7235">
      <w:r w:rsidRPr="005530AB">
        <w:t xml:space="preserve">La distribution </w:t>
      </w:r>
      <w:r>
        <w:t>de p.i.r.e.c.</w:t>
      </w:r>
      <w:r w:rsidRPr="005530AB">
        <w:t xml:space="preserve"> pourrait représenter soit des émissions dans la bande</w:t>
      </w:r>
      <w:r>
        <w:t>,</w:t>
      </w:r>
      <w:r w:rsidRPr="005530AB">
        <w:t xml:space="preserve"> soit des émissions hors bande </w:t>
      </w:r>
      <w:r>
        <w:t>(O</w:t>
      </w:r>
      <w:r w:rsidR="00660956">
        <w:t>o</w:t>
      </w:r>
      <w:r>
        <w:t xml:space="preserve">B, </w:t>
      </w:r>
      <w:r w:rsidRPr="00190DB5">
        <w:rPr>
          <w:i/>
          <w:iCs/>
        </w:rPr>
        <w:t>out</w:t>
      </w:r>
      <w:r w:rsidRPr="00190DB5">
        <w:rPr>
          <w:i/>
          <w:iCs/>
        </w:rPr>
        <w:noBreakHyphen/>
        <w:t>of</w:t>
      </w:r>
      <w:r w:rsidRPr="00190DB5">
        <w:rPr>
          <w:i/>
          <w:iCs/>
        </w:rPr>
        <w:noBreakHyphen/>
        <w:t>band</w:t>
      </w:r>
      <w:r>
        <w:t xml:space="preserve">) </w:t>
      </w:r>
      <w:r w:rsidRPr="005530AB">
        <w:t xml:space="preserve">provenant d'émetteurs HDFS </w:t>
      </w:r>
      <w:r w:rsidR="00660956">
        <w:t>P-MP</w:t>
      </w:r>
      <w:r w:rsidRPr="005530AB">
        <w:t xml:space="preserve">. Dans le cas d'une analyse des </w:t>
      </w:r>
      <w:r w:rsidR="00660956">
        <w:t>OoB</w:t>
      </w:r>
      <w:r w:rsidRPr="005530AB">
        <w:t xml:space="preserve">, un affaiblissement du signal par rapport aux émissions dans la bande, </w:t>
      </w:r>
      <w:r w:rsidRPr="00660956">
        <w:rPr>
          <w:i/>
        </w:rPr>
        <w:t>A</w:t>
      </w:r>
      <w:r w:rsidRPr="00660956">
        <w:rPr>
          <w:i/>
          <w:vertAlign w:val="subscript"/>
        </w:rPr>
        <w:t>O</w:t>
      </w:r>
      <w:r w:rsidR="00660956" w:rsidRPr="00660956">
        <w:rPr>
          <w:i/>
          <w:vertAlign w:val="subscript"/>
        </w:rPr>
        <w:t>o</w:t>
      </w:r>
      <w:r w:rsidRPr="00660956">
        <w:rPr>
          <w:i/>
          <w:vertAlign w:val="subscript"/>
        </w:rPr>
        <w:t>B</w:t>
      </w:r>
      <w:r w:rsidRPr="00190DB5">
        <w:t>,</w:t>
      </w:r>
      <w:r>
        <w:rPr>
          <w:vertAlign w:val="subscript"/>
        </w:rPr>
        <w:t xml:space="preserve"> </w:t>
      </w:r>
      <w:r>
        <w:t>est possible</w:t>
      </w:r>
      <w:r w:rsidRPr="005530AB">
        <w:t>.</w:t>
      </w:r>
    </w:p>
    <w:p w:rsidR="009C7235" w:rsidRPr="005530AB" w:rsidRDefault="009C7235" w:rsidP="009C7235">
      <w:r w:rsidRPr="005530AB">
        <w:t xml:space="preserve">L'Annexe 2 de la présente Recommandation </w:t>
      </w:r>
      <w:r>
        <w:t>décrit</w:t>
      </w:r>
      <w:r w:rsidRPr="005530AB">
        <w:t xml:space="preserve"> différentes méthodes et différents algorithmes permettant de définir une zone de déploiement.</w:t>
      </w:r>
    </w:p>
    <w:p w:rsidR="009C7235" w:rsidRPr="005530AB" w:rsidRDefault="009C7235" w:rsidP="00910B95">
      <w:pPr>
        <w:pStyle w:val="Heading2"/>
      </w:pPr>
      <w:r w:rsidRPr="005530AB">
        <w:t>3.4</w:t>
      </w:r>
      <w:r w:rsidRPr="005530AB">
        <w:tab/>
        <w:t>Résumé</w:t>
      </w:r>
    </w:p>
    <w:p w:rsidR="009C7235" w:rsidRDefault="009C7235" w:rsidP="00910B95">
      <w:r w:rsidRPr="005530AB">
        <w:t xml:space="preserve">Les paramètres d'entrée nécessaires pour définir les stations HDFS </w:t>
      </w:r>
      <w:r w:rsidR="00660956">
        <w:t>P-MP</w:t>
      </w:r>
      <w:r w:rsidRPr="005530AB">
        <w:t xml:space="preserve"> dans le modèle sont récapitulés dans le Tableau 2.</w:t>
      </w:r>
    </w:p>
    <w:p w:rsidR="009C7235" w:rsidRPr="005530AB" w:rsidRDefault="00D1175A" w:rsidP="00910B95">
      <w:pPr>
        <w:pStyle w:val="TableNo"/>
      </w:pPr>
      <w:r>
        <w:br w:type="page"/>
      </w:r>
      <w:r w:rsidR="009C7235" w:rsidRPr="005530AB">
        <w:lastRenderedPageBreak/>
        <w:t>TABLE</w:t>
      </w:r>
      <w:r w:rsidR="00910B95" w:rsidRPr="005530AB">
        <w:t>AU</w:t>
      </w:r>
      <w:r w:rsidR="009C7235" w:rsidRPr="005530AB">
        <w:t xml:space="preserve"> 2</w:t>
      </w:r>
    </w:p>
    <w:p w:rsidR="009C7235" w:rsidRPr="005530AB" w:rsidRDefault="009C7235" w:rsidP="00624DB1">
      <w:pPr>
        <w:pStyle w:val="Tabletitle"/>
      </w:pPr>
      <w:r w:rsidRPr="005530AB">
        <w:t>Paramètres du modèle HDFS point à multipoint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9C7235" w:rsidRPr="005530AB">
        <w:trPr>
          <w:jc w:val="center"/>
        </w:trPr>
        <w:tc>
          <w:tcPr>
            <w:tcW w:w="3402" w:type="dxa"/>
          </w:tcPr>
          <w:p w:rsidR="009C7235" w:rsidRPr="005530AB" w:rsidRDefault="009C7235" w:rsidP="009C7235">
            <w:pPr>
              <w:pStyle w:val="Tablehead"/>
              <w:keepNext w:val="0"/>
            </w:pPr>
            <w:r>
              <w:t>Paramètre</w:t>
            </w:r>
            <w:r w:rsidRPr="005530AB">
              <w:t xml:space="preserve"> d'entrée</w:t>
            </w:r>
          </w:p>
        </w:tc>
        <w:tc>
          <w:tcPr>
            <w:tcW w:w="6237" w:type="dxa"/>
          </w:tcPr>
          <w:p w:rsidR="009C7235" w:rsidRPr="005530AB" w:rsidRDefault="009C7235" w:rsidP="009C7235">
            <w:pPr>
              <w:pStyle w:val="Tablehead"/>
              <w:keepNext w:val="0"/>
            </w:pPr>
            <w:r w:rsidRPr="005530AB">
              <w:t>Source</w:t>
            </w:r>
          </w:p>
        </w:tc>
      </w:tr>
      <w:tr w:rsidR="009C7235" w:rsidRPr="005530AB">
        <w:trPr>
          <w:jc w:val="center"/>
        </w:trPr>
        <w:tc>
          <w:tcPr>
            <w:tcW w:w="3402" w:type="dxa"/>
          </w:tcPr>
          <w:p w:rsidR="009C7235" w:rsidRPr="001F30FD" w:rsidRDefault="009C7235" w:rsidP="00660956">
            <w:pPr>
              <w:pStyle w:val="Tabletext"/>
              <w:keepNext/>
              <w:rPr>
                <w:lang w:val="en-US"/>
              </w:rPr>
            </w:pPr>
            <w:r w:rsidRPr="001F30FD">
              <w:rPr>
                <w:lang w:val="en-US"/>
              </w:rPr>
              <w:t xml:space="preserve">Distribution(s) </w:t>
            </w:r>
            <w:r>
              <w:rPr>
                <w:lang w:val="en-US"/>
              </w:rPr>
              <w:t>de p.i.r.e.c.</w:t>
            </w:r>
            <w:r w:rsidRPr="001F30FD">
              <w:rPr>
                <w:lang w:val="en-US"/>
              </w:rPr>
              <w:t xml:space="preserve"> </w:t>
            </w:r>
          </w:p>
        </w:tc>
        <w:tc>
          <w:tcPr>
            <w:tcW w:w="6237" w:type="dxa"/>
          </w:tcPr>
          <w:p w:rsidR="009C7235" w:rsidRPr="005530AB" w:rsidRDefault="009C7235" w:rsidP="00660956">
            <w:pPr>
              <w:pStyle w:val="Tabletext"/>
              <w:keepNext/>
              <w:jc w:val="left"/>
            </w:pPr>
            <w:r w:rsidRPr="005530AB">
              <w:t>Calculée(s) au moyen de l'algorithme défini dans l</w:t>
            </w:r>
            <w:r w:rsidR="00660956">
              <w:t>a</w:t>
            </w:r>
            <w:r w:rsidRPr="005530AB">
              <w:t xml:space="preserve"> Recommandation UIT-R F.</w:t>
            </w:r>
            <w:r w:rsidR="00660956">
              <w:t>176</w:t>
            </w:r>
            <w:r w:rsidR="00E006BE">
              <w:t>0</w:t>
            </w:r>
          </w:p>
        </w:tc>
      </w:tr>
      <w:tr w:rsidR="009C7235" w:rsidRPr="005530AB">
        <w:trPr>
          <w:jc w:val="center"/>
        </w:trPr>
        <w:tc>
          <w:tcPr>
            <w:tcW w:w="3402" w:type="dxa"/>
          </w:tcPr>
          <w:p w:rsidR="009C7235" w:rsidRPr="005530AB" w:rsidRDefault="009C7235" w:rsidP="00910B95">
            <w:pPr>
              <w:pStyle w:val="Tabletext"/>
            </w:pPr>
            <w:r w:rsidRPr="005530AB">
              <w:t>Hauteur d'émetteur</w:t>
            </w:r>
          </w:p>
        </w:tc>
        <w:tc>
          <w:tcPr>
            <w:tcW w:w="6237" w:type="dxa"/>
          </w:tcPr>
          <w:p w:rsidR="009C7235" w:rsidRPr="005530AB" w:rsidRDefault="009C7235" w:rsidP="00660956">
            <w:pPr>
              <w:pStyle w:val="Tabletext"/>
              <w:jc w:val="left"/>
            </w:pPr>
            <w:r w:rsidRPr="005530AB">
              <w:t xml:space="preserve">Telle que définie pour chaque modèle de référence (variable d'une distribution </w:t>
            </w:r>
            <w:r>
              <w:t>de p.i.r.e.c.</w:t>
            </w:r>
            <w:r w:rsidRPr="005530AB">
              <w:t xml:space="preserve"> à </w:t>
            </w:r>
            <w:r>
              <w:t>l'</w:t>
            </w:r>
            <w:r w:rsidRPr="005530AB">
              <w:t>autre)</w:t>
            </w:r>
          </w:p>
        </w:tc>
      </w:tr>
      <w:tr w:rsidR="009C7235" w:rsidRPr="005530AB">
        <w:trPr>
          <w:jc w:val="center"/>
        </w:trPr>
        <w:tc>
          <w:tcPr>
            <w:tcW w:w="3402" w:type="dxa"/>
          </w:tcPr>
          <w:p w:rsidR="009C7235" w:rsidRPr="005530AB" w:rsidRDefault="009C7235" w:rsidP="00910B95">
            <w:pPr>
              <w:pStyle w:val="Tabletext"/>
            </w:pPr>
            <w:r w:rsidRPr="005530AB">
              <w:t>Zone de déploiement</w:t>
            </w:r>
          </w:p>
        </w:tc>
        <w:tc>
          <w:tcPr>
            <w:tcW w:w="6237" w:type="dxa"/>
          </w:tcPr>
          <w:p w:rsidR="009C7235" w:rsidRPr="005530AB" w:rsidRDefault="009C7235" w:rsidP="00660956">
            <w:pPr>
              <w:pStyle w:val="Tabletext"/>
              <w:jc w:val="left"/>
            </w:pPr>
            <w:r w:rsidRPr="005530AB">
              <w:t>Ensemble de points de mesure compris entre la zone d'exclusion et la distance maximale à prendre en considération</w:t>
            </w:r>
            <w:r>
              <w:t>,</w:t>
            </w:r>
            <w:r w:rsidRPr="005530AB">
              <w:t xml:space="preserve"> </w:t>
            </w:r>
            <w:r w:rsidRPr="00660956">
              <w:rPr>
                <w:i/>
              </w:rPr>
              <w:t>D</w:t>
            </w:r>
            <w:r w:rsidRPr="00660956">
              <w:rPr>
                <w:i/>
                <w:vertAlign w:val="subscript"/>
              </w:rPr>
              <w:t>max</w:t>
            </w:r>
            <w:r w:rsidRPr="005530AB">
              <w:rPr>
                <w:sz w:val="24"/>
              </w:rPr>
              <w:t>.</w:t>
            </w:r>
            <w:r w:rsidRPr="005530AB">
              <w:t xml:space="preserve"> Chaque point de mesure est associé à une hauteur d'émetteur et à une distribution </w:t>
            </w:r>
            <w:r>
              <w:t>de p.i.r.e.c.</w:t>
            </w:r>
          </w:p>
        </w:tc>
      </w:tr>
      <w:tr w:rsidR="009C7235" w:rsidRPr="005530AB">
        <w:trPr>
          <w:jc w:val="center"/>
        </w:trPr>
        <w:tc>
          <w:tcPr>
            <w:tcW w:w="3402" w:type="dxa"/>
          </w:tcPr>
          <w:p w:rsidR="009C7235" w:rsidRPr="005530AB" w:rsidRDefault="009C7235" w:rsidP="00910B95">
            <w:pPr>
              <w:pStyle w:val="Tabletext"/>
            </w:pPr>
            <w:r w:rsidRPr="005530AB">
              <w:t xml:space="preserve">Si nécessaire, </w:t>
            </w:r>
            <w:r w:rsidRPr="00660956">
              <w:rPr>
                <w:i/>
              </w:rPr>
              <w:t>A</w:t>
            </w:r>
            <w:r w:rsidRPr="00660956">
              <w:rPr>
                <w:i/>
                <w:vertAlign w:val="subscript"/>
              </w:rPr>
              <w:t>O</w:t>
            </w:r>
            <w:r w:rsidR="00660956" w:rsidRPr="00660956">
              <w:rPr>
                <w:i/>
                <w:vertAlign w:val="subscript"/>
              </w:rPr>
              <w:t>o</w:t>
            </w:r>
            <w:r w:rsidRPr="00660956">
              <w:rPr>
                <w:i/>
                <w:vertAlign w:val="subscript"/>
              </w:rPr>
              <w:t>B</w:t>
            </w:r>
          </w:p>
        </w:tc>
        <w:tc>
          <w:tcPr>
            <w:tcW w:w="6237" w:type="dxa"/>
          </w:tcPr>
          <w:p w:rsidR="009C7235" w:rsidRPr="005530AB" w:rsidRDefault="009C7235" w:rsidP="00660956">
            <w:pPr>
              <w:pStyle w:val="Tabletext"/>
              <w:jc w:val="left"/>
            </w:pPr>
            <w:r w:rsidRPr="005530AB">
              <w:t>Si nécessai</w:t>
            </w:r>
            <w:r>
              <w:t xml:space="preserve">re, un affaiblissement entre les émissions </w:t>
            </w:r>
            <w:r w:rsidRPr="005530AB">
              <w:t xml:space="preserve">dans la bande et </w:t>
            </w:r>
            <w:r>
              <w:t>les émissions</w:t>
            </w:r>
            <w:r w:rsidRPr="005530AB">
              <w:t xml:space="preserve"> </w:t>
            </w:r>
            <w:r w:rsidR="00660956">
              <w:t>OoB</w:t>
            </w:r>
            <w:r w:rsidRPr="005530AB">
              <w:t xml:space="preserve"> est </w:t>
            </w:r>
            <w:r>
              <w:t>appliqué</w:t>
            </w:r>
            <w:r w:rsidRPr="005530AB">
              <w:t xml:space="preserve">. Pour </w:t>
            </w:r>
            <w:r>
              <w:t xml:space="preserve">une </w:t>
            </w:r>
            <w:r w:rsidRPr="005530AB">
              <w:t xml:space="preserve">analyse </w:t>
            </w:r>
            <w:r>
              <w:t xml:space="preserve">des émissions </w:t>
            </w:r>
            <w:r w:rsidRPr="005530AB">
              <w:t>dans la bande</w:t>
            </w:r>
            <w:r w:rsidR="00D30DD8">
              <w:t>, ce champ peut être mis à zéro</w:t>
            </w:r>
          </w:p>
        </w:tc>
      </w:tr>
    </w:tbl>
    <w:p w:rsidR="00910B95" w:rsidRPr="00D30DD8" w:rsidRDefault="00910B95" w:rsidP="00910B95">
      <w:pPr>
        <w:pStyle w:val="Tablefin"/>
        <w:rPr>
          <w:lang w:val="fr-FR"/>
        </w:rPr>
      </w:pPr>
    </w:p>
    <w:p w:rsidR="009C7235" w:rsidRPr="00E775C9" w:rsidRDefault="009C7235" w:rsidP="009C7235">
      <w:pPr>
        <w:pStyle w:val="Heading1"/>
      </w:pPr>
      <w:r>
        <w:t>4</w:t>
      </w:r>
      <w:r>
        <w:tab/>
        <w:t>Calcul des</w:t>
      </w:r>
      <w:r w:rsidRPr="00E775C9">
        <w:t xml:space="preserve"> brouillage</w:t>
      </w:r>
      <w:r>
        <w:t>s</w:t>
      </w:r>
    </w:p>
    <w:p w:rsidR="009C7235" w:rsidRDefault="009C7235" w:rsidP="009C7235">
      <w:r>
        <w:t>La méthode Monte</w:t>
      </w:r>
      <w:r>
        <w:noBreakHyphen/>
      </w:r>
      <w:r w:rsidRPr="00E775C9">
        <w:t>Carlo consiste à calculer le brouillage cumulatif moyen pour une série d'échantillons. Elle repose sur la convolution de trois paramètres d'entrée vari</w:t>
      </w:r>
      <w:r>
        <w:t xml:space="preserve">ables, à savoir le déploiement de stations </w:t>
      </w:r>
      <w:r w:rsidRPr="00E775C9">
        <w:t xml:space="preserve">HDFS </w:t>
      </w:r>
      <w:r w:rsidR="00660956">
        <w:t>P-MP</w:t>
      </w:r>
      <w:r w:rsidRPr="00E775C9">
        <w:t xml:space="preserve">, l'environnement de propagation et l'azimut </w:t>
      </w:r>
      <w:r>
        <w:t>du site SRA</w:t>
      </w:r>
      <w:r w:rsidRPr="00E775C9">
        <w:t>. Cette convolution est représentée dans la Fig</w:t>
      </w:r>
      <w:r>
        <w:t>.</w:t>
      </w:r>
      <w:r w:rsidRPr="00E775C9">
        <w:t> 1.</w:t>
      </w:r>
    </w:p>
    <w:p w:rsidR="009C7235" w:rsidRPr="00E775C9" w:rsidRDefault="009C7235" w:rsidP="00910B95">
      <w:pPr>
        <w:pStyle w:val="FigureNo"/>
      </w:pPr>
      <w:r w:rsidRPr="00E775C9">
        <w:t>FIGURE 1</w:t>
      </w:r>
    </w:p>
    <w:p w:rsidR="009C7235" w:rsidRPr="00E775C9" w:rsidRDefault="009C7235" w:rsidP="009C7235">
      <w:pPr>
        <w:pStyle w:val="Figuretitle"/>
      </w:pPr>
      <w:r>
        <w:t>Méthode Monte</w:t>
      </w:r>
      <w:r>
        <w:noBreakHyphen/>
      </w:r>
      <w:r w:rsidRPr="00E775C9">
        <w:t>Carlo de calcul du brouillage cumulatif</w:t>
      </w:r>
    </w:p>
    <w:p w:rsidR="009C7235" w:rsidRPr="00E775C9" w:rsidRDefault="00660956" w:rsidP="00910B95">
      <w:pPr>
        <w:pStyle w:val="Figure"/>
      </w:pPr>
      <w:r>
        <w:object w:dxaOrig="8916" w:dyaOrig="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190.65pt" o:ole="" o:allowoverlap="f">
            <v:imagedata r:id="rId7" o:title=""/>
          </v:shape>
          <o:OLEObject Type="Embed" ProgID="CorelDRAW.Graphic.12" ShapeID="_x0000_i1025" DrawAspect="Content" ObjectID="_1574228299" r:id="rId8"/>
        </w:object>
      </w:r>
    </w:p>
    <w:p w:rsidR="00D1175A" w:rsidRDefault="00D1175A" w:rsidP="00910B95"/>
    <w:p w:rsidR="009C7235" w:rsidRPr="00E775C9" w:rsidRDefault="009C7235" w:rsidP="00910B95">
      <w:r w:rsidRPr="00E775C9">
        <w:t xml:space="preserve">Pour chaque échantillon, on calcule le brouillage cumulatif moyen </w:t>
      </w:r>
      <w:r w:rsidRPr="00D30DD8">
        <w:rPr>
          <w:i/>
        </w:rPr>
        <w:t>I</w:t>
      </w:r>
      <w:r w:rsidRPr="00E775C9">
        <w:t xml:space="preserve"> </w:t>
      </w:r>
      <w:r>
        <w:t>comme suit</w:t>
      </w:r>
      <w:r w:rsidRPr="00E775C9">
        <w:t>:</w:t>
      </w:r>
    </w:p>
    <w:p w:rsidR="009C7235" w:rsidRPr="00E775C9" w:rsidRDefault="009C7235" w:rsidP="009C7235">
      <w:pPr>
        <w:pStyle w:val="Equation"/>
      </w:pPr>
      <w:r w:rsidRPr="00E775C9">
        <w:tab/>
      </w:r>
      <w:r w:rsidRPr="00E775C9">
        <w:tab/>
      </w:r>
      <w:r w:rsidR="00660956" w:rsidRPr="00660956">
        <w:rPr>
          <w:position w:val="-36"/>
        </w:rPr>
        <w:object w:dxaOrig="5400" w:dyaOrig="620">
          <v:shape id="_x0000_i1026" type="#_x0000_t75" style="width:270.15pt;height:30.55pt" o:ole="" fillcolor="window">
            <v:imagedata r:id="rId9" o:title=""/>
          </v:shape>
          <o:OLEObject Type="Embed" ProgID="Equation.3" ShapeID="_x0000_i1026" DrawAspect="Content" ObjectID="_1574228300" r:id="rId10"/>
        </w:object>
      </w:r>
      <w:r w:rsidRPr="00E775C9">
        <w:tab/>
        <w:t>(1)</w:t>
      </w:r>
    </w:p>
    <w:p w:rsidR="009C7235" w:rsidRPr="00E775C9" w:rsidRDefault="009C7235" w:rsidP="00D1175A">
      <w:pPr>
        <w:keepNext/>
      </w:pPr>
      <w:proofErr w:type="gramStart"/>
      <w:r w:rsidRPr="00E775C9">
        <w:t>où</w:t>
      </w:r>
      <w:proofErr w:type="gramEnd"/>
      <w:r w:rsidRPr="00E775C9">
        <w:t>:</w:t>
      </w:r>
    </w:p>
    <w:p w:rsidR="009C7235" w:rsidRPr="009C7235" w:rsidRDefault="009C7235" w:rsidP="009C7235">
      <w:pPr>
        <w:pStyle w:val="Equationlegend"/>
        <w:rPr>
          <w:lang w:val="fr-FR"/>
        </w:rPr>
      </w:pPr>
      <w:r w:rsidRPr="009C7235">
        <w:rPr>
          <w:lang w:val="fr-FR"/>
        </w:rPr>
        <w:tab/>
      </w:r>
      <w:r w:rsidRPr="009C7235">
        <w:rPr>
          <w:i/>
          <w:iCs/>
          <w:lang w:val="fr-FR"/>
        </w:rPr>
        <w:t>i</w:t>
      </w:r>
      <w:r w:rsidR="00660956">
        <w:rPr>
          <w:lang w:val="fr-FR"/>
        </w:rPr>
        <w:t>:</w:t>
      </w:r>
      <w:r w:rsidRPr="009C7235">
        <w:rPr>
          <w:lang w:val="fr-FR"/>
        </w:rPr>
        <w:t xml:space="preserve"> </w:t>
      </w:r>
      <w:r w:rsidRPr="009C7235">
        <w:rPr>
          <w:lang w:val="fr-FR"/>
        </w:rPr>
        <w:tab/>
      </w:r>
      <w:r w:rsidRPr="009C7235">
        <w:rPr>
          <w:i/>
          <w:iCs/>
          <w:lang w:val="fr-FR"/>
        </w:rPr>
        <w:t>i</w:t>
      </w:r>
      <w:r w:rsidRPr="009C7235">
        <w:rPr>
          <w:lang w:val="fr-FR"/>
        </w:rPr>
        <w:t>-ième numéro d'échantillon</w:t>
      </w:r>
    </w:p>
    <w:p w:rsidR="009C7235" w:rsidRPr="009C7235" w:rsidRDefault="009C7235" w:rsidP="009C7235">
      <w:pPr>
        <w:pStyle w:val="Equationlegend"/>
        <w:rPr>
          <w:lang w:val="fr-FR"/>
        </w:rPr>
      </w:pPr>
      <w:r w:rsidRPr="009C7235">
        <w:rPr>
          <w:lang w:val="fr-FR"/>
        </w:rPr>
        <w:lastRenderedPageBreak/>
        <w:tab/>
      </w:r>
      <w:proofErr w:type="gramStart"/>
      <w:r w:rsidRPr="009C7235">
        <w:rPr>
          <w:i/>
          <w:iCs/>
          <w:lang w:val="fr-FR"/>
        </w:rPr>
        <w:t>j</w:t>
      </w:r>
      <w:proofErr w:type="gramEnd"/>
      <w:r w:rsidR="00660956">
        <w:rPr>
          <w:lang w:val="fr-FR"/>
        </w:rPr>
        <w:t>:</w:t>
      </w:r>
      <w:r w:rsidRPr="009C7235">
        <w:rPr>
          <w:lang w:val="fr-FR"/>
        </w:rPr>
        <w:t xml:space="preserve"> </w:t>
      </w:r>
      <w:r w:rsidRPr="009C7235">
        <w:rPr>
          <w:lang w:val="fr-FR"/>
        </w:rPr>
        <w:tab/>
      </w:r>
      <w:r w:rsidRPr="009C7235">
        <w:rPr>
          <w:i/>
          <w:iCs/>
          <w:lang w:val="fr-FR"/>
        </w:rPr>
        <w:t>j</w:t>
      </w:r>
      <w:r w:rsidRPr="009C7235">
        <w:rPr>
          <w:lang w:val="fr-FR"/>
        </w:rPr>
        <w:t>-ième secteur</w:t>
      </w:r>
    </w:p>
    <w:p w:rsidR="009C7235" w:rsidRPr="009C7235" w:rsidRDefault="009C7235" w:rsidP="009C7235">
      <w:pPr>
        <w:pStyle w:val="Equationlegend"/>
        <w:rPr>
          <w:lang w:val="fr-FR"/>
        </w:rPr>
      </w:pPr>
      <w:r w:rsidRPr="009C7235">
        <w:rPr>
          <w:lang w:val="fr-FR"/>
        </w:rPr>
        <w:tab/>
      </w:r>
      <w:r w:rsidRPr="009C7235">
        <w:rPr>
          <w:i/>
          <w:iCs/>
          <w:lang w:val="fr-FR"/>
        </w:rPr>
        <w:t>PIREC</w:t>
      </w:r>
      <w:r w:rsidRPr="009C7235">
        <w:rPr>
          <w:lang w:val="fr-FR"/>
        </w:rPr>
        <w:t>(</w:t>
      </w:r>
      <w:proofErr w:type="gramStart"/>
      <w:r w:rsidRPr="009C7235">
        <w:rPr>
          <w:i/>
          <w:iCs/>
          <w:lang w:val="fr-FR"/>
        </w:rPr>
        <w:t>p</w:t>
      </w:r>
      <w:r w:rsidRPr="009C7235">
        <w:rPr>
          <w:i/>
          <w:iCs/>
          <w:vertAlign w:val="subscript"/>
          <w:lang w:val="fr-FR"/>
        </w:rPr>
        <w:t>i,j</w:t>
      </w:r>
      <w:proofErr w:type="gramEnd"/>
      <w:r w:rsidRPr="009C7235">
        <w:rPr>
          <w:lang w:val="fr-FR"/>
        </w:rPr>
        <w:t>)</w:t>
      </w:r>
      <w:r w:rsidR="00660956">
        <w:rPr>
          <w:lang w:val="fr-FR"/>
        </w:rPr>
        <w:t>:</w:t>
      </w:r>
      <w:r w:rsidRPr="009C7235">
        <w:rPr>
          <w:lang w:val="fr-FR"/>
        </w:rPr>
        <w:t xml:space="preserve"> </w:t>
      </w:r>
      <w:r w:rsidRPr="009C7235">
        <w:rPr>
          <w:lang w:val="fr-FR"/>
        </w:rPr>
        <w:tab/>
        <w:t xml:space="preserve">p.i.r.e. cumulative pour la probabilité </w:t>
      </w:r>
      <w:r w:rsidRPr="009C7235">
        <w:rPr>
          <w:i/>
          <w:iCs/>
          <w:lang w:val="fr-FR"/>
        </w:rPr>
        <w:t>p</w:t>
      </w:r>
      <w:r w:rsidRPr="009C7235">
        <w:rPr>
          <w:i/>
          <w:iCs/>
          <w:vertAlign w:val="subscript"/>
          <w:lang w:val="fr-FR"/>
        </w:rPr>
        <w:t>i,j</w:t>
      </w:r>
    </w:p>
    <w:p w:rsidR="009C7235" w:rsidRPr="009C7235" w:rsidRDefault="009C7235" w:rsidP="009C7235">
      <w:pPr>
        <w:pStyle w:val="Equationlegend"/>
        <w:rPr>
          <w:lang w:val="fr-FR"/>
        </w:rPr>
      </w:pPr>
      <w:r w:rsidRPr="009C7235">
        <w:rPr>
          <w:lang w:val="fr-FR"/>
        </w:rPr>
        <w:tab/>
      </w:r>
      <w:proofErr w:type="gramStart"/>
      <w:r w:rsidRPr="009C7235">
        <w:rPr>
          <w:i/>
          <w:iCs/>
          <w:lang w:val="fr-FR"/>
        </w:rPr>
        <w:t>p</w:t>
      </w:r>
      <w:r w:rsidRPr="009C7235">
        <w:rPr>
          <w:i/>
          <w:iCs/>
          <w:vertAlign w:val="subscript"/>
          <w:lang w:val="fr-FR"/>
        </w:rPr>
        <w:t>i,j</w:t>
      </w:r>
      <w:proofErr w:type="gramEnd"/>
      <w:r w:rsidR="00660956">
        <w:rPr>
          <w:lang w:val="fr-FR"/>
        </w:rPr>
        <w:t>:</w:t>
      </w:r>
      <w:r w:rsidRPr="009C7235">
        <w:rPr>
          <w:lang w:val="fr-FR"/>
        </w:rPr>
        <w:t xml:space="preserve"> </w:t>
      </w:r>
      <w:r w:rsidRPr="009C7235">
        <w:rPr>
          <w:lang w:val="fr-FR"/>
        </w:rPr>
        <w:tab/>
        <w:t xml:space="preserve">probabilité pour le </w:t>
      </w:r>
      <w:r w:rsidRPr="00660956">
        <w:rPr>
          <w:i/>
          <w:lang w:val="fr-FR"/>
        </w:rPr>
        <w:t>i</w:t>
      </w:r>
      <w:r w:rsidRPr="009C7235">
        <w:rPr>
          <w:lang w:val="fr-FR"/>
        </w:rPr>
        <w:t xml:space="preserve">-ième échantillon pour le </w:t>
      </w:r>
      <w:r w:rsidRPr="00D30DD8">
        <w:rPr>
          <w:i/>
          <w:lang w:val="fr-FR"/>
        </w:rPr>
        <w:t>j</w:t>
      </w:r>
      <w:r w:rsidRPr="009C7235">
        <w:rPr>
          <w:lang w:val="fr-FR"/>
        </w:rPr>
        <w:t>-ième secteur</w:t>
      </w:r>
    </w:p>
    <w:p w:rsidR="009C7235" w:rsidRPr="009C7235" w:rsidRDefault="009C7235" w:rsidP="009C7235">
      <w:pPr>
        <w:pStyle w:val="Equationlegend"/>
        <w:rPr>
          <w:lang w:val="fr-FR"/>
        </w:rPr>
      </w:pPr>
      <w:r w:rsidRPr="009C7235">
        <w:rPr>
          <w:lang w:val="fr-FR"/>
        </w:rPr>
        <w:tab/>
      </w:r>
      <w:r w:rsidRPr="009C7235">
        <w:rPr>
          <w:i/>
          <w:iCs/>
          <w:lang w:val="fr-FR"/>
        </w:rPr>
        <w:t>L</w:t>
      </w:r>
      <w:r w:rsidRPr="009C7235">
        <w:rPr>
          <w:vertAlign w:val="subscript"/>
          <w:lang w:val="fr-FR"/>
        </w:rPr>
        <w:t>452</w:t>
      </w:r>
      <w:r w:rsidRPr="009C7235">
        <w:rPr>
          <w:lang w:val="fr-FR"/>
        </w:rPr>
        <w:t>(</w:t>
      </w:r>
      <w:r w:rsidRPr="009C7235">
        <w:rPr>
          <w:i/>
          <w:iCs/>
          <w:lang w:val="fr-FR"/>
        </w:rPr>
        <w:t>p</w:t>
      </w:r>
      <w:r w:rsidRPr="009C7235">
        <w:rPr>
          <w:i/>
          <w:iCs/>
          <w:vertAlign w:val="subscript"/>
          <w:lang w:val="fr-FR"/>
        </w:rPr>
        <w:t>i</w:t>
      </w:r>
      <w:r w:rsidRPr="009C7235">
        <w:rPr>
          <w:i/>
          <w:iCs/>
          <w:lang w:val="fr-FR"/>
        </w:rPr>
        <w:t>, j</w:t>
      </w:r>
      <w:r w:rsidRPr="009C7235">
        <w:rPr>
          <w:lang w:val="fr-FR"/>
        </w:rPr>
        <w:t>)</w:t>
      </w:r>
      <w:r w:rsidR="001F1CD5">
        <w:rPr>
          <w:lang w:val="fr-FR"/>
        </w:rPr>
        <w:t>:</w:t>
      </w:r>
      <w:r w:rsidRPr="009C7235">
        <w:rPr>
          <w:lang w:val="fr-FR"/>
        </w:rPr>
        <w:t xml:space="preserve"> </w:t>
      </w:r>
      <w:r w:rsidRPr="009C7235">
        <w:rPr>
          <w:lang w:val="fr-FR"/>
        </w:rPr>
        <w:tab/>
      </w:r>
      <w:r w:rsidR="00660956" w:rsidRPr="009C7235">
        <w:rPr>
          <w:lang w:val="fr-FR"/>
        </w:rPr>
        <w:t>a</w:t>
      </w:r>
      <w:r w:rsidRPr="009C7235">
        <w:rPr>
          <w:lang w:val="fr-FR"/>
        </w:rPr>
        <w:t xml:space="preserve">ffaiblissement défini dans la Recommandation UIT-R P.452 pour la probabilité </w:t>
      </w:r>
      <w:r w:rsidRPr="009C7235">
        <w:rPr>
          <w:i/>
          <w:iCs/>
          <w:lang w:val="fr-FR"/>
        </w:rPr>
        <w:t>p</w:t>
      </w:r>
      <w:r w:rsidRPr="009C7235">
        <w:rPr>
          <w:i/>
          <w:iCs/>
          <w:vertAlign w:val="subscript"/>
          <w:lang w:val="fr-FR"/>
        </w:rPr>
        <w:t>i</w:t>
      </w:r>
      <w:r w:rsidRPr="009C7235">
        <w:rPr>
          <w:lang w:val="fr-FR"/>
        </w:rPr>
        <w:t xml:space="preserve"> pour le </w:t>
      </w:r>
      <w:r w:rsidRPr="009C7235">
        <w:rPr>
          <w:i/>
          <w:iCs/>
          <w:lang w:val="fr-FR"/>
        </w:rPr>
        <w:t>j</w:t>
      </w:r>
      <w:r w:rsidRPr="009C7235">
        <w:rPr>
          <w:lang w:val="fr-FR"/>
        </w:rPr>
        <w:t>-ième secteur</w:t>
      </w:r>
    </w:p>
    <w:p w:rsidR="009C7235" w:rsidRPr="009C7235" w:rsidRDefault="009C7235" w:rsidP="009C7235">
      <w:pPr>
        <w:pStyle w:val="Equationlegend"/>
        <w:rPr>
          <w:lang w:val="fr-FR"/>
        </w:rPr>
      </w:pPr>
      <w:r w:rsidRPr="009C7235">
        <w:rPr>
          <w:lang w:val="fr-FR"/>
        </w:rPr>
        <w:tab/>
      </w:r>
      <w:proofErr w:type="gramStart"/>
      <w:r w:rsidRPr="009C7235">
        <w:rPr>
          <w:i/>
          <w:iCs/>
          <w:lang w:val="fr-FR"/>
        </w:rPr>
        <w:t>p</w:t>
      </w:r>
      <w:r w:rsidRPr="009C7235">
        <w:rPr>
          <w:i/>
          <w:iCs/>
          <w:vertAlign w:val="subscript"/>
          <w:lang w:val="fr-FR"/>
        </w:rPr>
        <w:t>i</w:t>
      </w:r>
      <w:proofErr w:type="gramEnd"/>
      <w:r w:rsidR="00660956">
        <w:rPr>
          <w:lang w:val="fr-FR"/>
        </w:rPr>
        <w:t>:</w:t>
      </w:r>
      <w:r w:rsidRPr="009C7235">
        <w:rPr>
          <w:lang w:val="fr-FR"/>
        </w:rPr>
        <w:t xml:space="preserve"> </w:t>
      </w:r>
      <w:r w:rsidRPr="009C7235">
        <w:rPr>
          <w:lang w:val="fr-FR"/>
        </w:rPr>
        <w:tab/>
        <w:t xml:space="preserve">probabilité d'utilisation dans la Recommandation UIT-R P.452 pour le </w:t>
      </w:r>
      <w:r w:rsidRPr="009C7235">
        <w:rPr>
          <w:i/>
          <w:iCs/>
          <w:lang w:val="fr-FR"/>
        </w:rPr>
        <w:t>i</w:t>
      </w:r>
      <w:r w:rsidRPr="009C7235">
        <w:rPr>
          <w:lang w:val="fr-FR"/>
        </w:rPr>
        <w:t>-ième échantillon</w:t>
      </w:r>
    </w:p>
    <w:p w:rsidR="009C7235" w:rsidRPr="009C7235" w:rsidRDefault="009C7235" w:rsidP="009C7235">
      <w:pPr>
        <w:pStyle w:val="Equationlegend"/>
        <w:rPr>
          <w:lang w:val="fr-FR"/>
        </w:rPr>
      </w:pPr>
      <w:r w:rsidRPr="009C7235">
        <w:rPr>
          <w:lang w:val="fr-FR"/>
        </w:rPr>
        <w:tab/>
      </w:r>
      <w:proofErr w:type="gramStart"/>
      <w:r w:rsidRPr="009C7235">
        <w:rPr>
          <w:i/>
          <w:iCs/>
          <w:lang w:val="fr-FR"/>
        </w:rPr>
        <w:t>G</w:t>
      </w:r>
      <w:r w:rsidRPr="009C7235">
        <w:rPr>
          <w:i/>
          <w:iCs/>
          <w:vertAlign w:val="subscript"/>
          <w:lang w:val="fr-FR"/>
        </w:rPr>
        <w:t>SRA</w:t>
      </w:r>
      <w:r w:rsidRPr="009C7235">
        <w:rPr>
          <w:lang w:val="fr-FR"/>
        </w:rPr>
        <w:t>(</w:t>
      </w:r>
      <w:proofErr w:type="gramEnd"/>
      <w:r w:rsidRPr="009C7235">
        <w:rPr>
          <w:i/>
          <w:iCs/>
          <w:lang w:val="fr-FR"/>
        </w:rPr>
        <w:t>j, az</w:t>
      </w:r>
      <w:r w:rsidRPr="009C7235">
        <w:rPr>
          <w:i/>
          <w:iCs/>
          <w:vertAlign w:val="subscript"/>
          <w:lang w:val="fr-FR"/>
        </w:rPr>
        <w:t>i</w:t>
      </w:r>
      <w:r w:rsidRPr="009C7235">
        <w:rPr>
          <w:lang w:val="fr-FR"/>
        </w:rPr>
        <w:t>)</w:t>
      </w:r>
      <w:r w:rsidR="00660956">
        <w:rPr>
          <w:lang w:val="fr-FR"/>
        </w:rPr>
        <w:t>:</w:t>
      </w:r>
      <w:r w:rsidRPr="009C7235">
        <w:rPr>
          <w:lang w:val="fr-FR"/>
        </w:rPr>
        <w:t xml:space="preserve"> </w:t>
      </w:r>
      <w:r w:rsidRPr="009C7235">
        <w:rPr>
          <w:lang w:val="fr-FR"/>
        </w:rPr>
        <w:tab/>
        <w:t xml:space="preserve">gain moyen de réception SRA au cours de l'observation en direction du </w:t>
      </w:r>
      <w:r w:rsidRPr="009C7235">
        <w:rPr>
          <w:i/>
          <w:iCs/>
          <w:lang w:val="fr-FR"/>
        </w:rPr>
        <w:t>j</w:t>
      </w:r>
      <w:r w:rsidRPr="009C7235">
        <w:rPr>
          <w:lang w:val="fr-FR"/>
        </w:rPr>
        <w:t xml:space="preserve">-ième secteur pour l'angle de pointage SRA </w:t>
      </w:r>
      <w:r w:rsidRPr="009C7235">
        <w:rPr>
          <w:i/>
          <w:iCs/>
          <w:lang w:val="fr-FR"/>
        </w:rPr>
        <w:t>az</w:t>
      </w:r>
      <w:r w:rsidRPr="009C7235">
        <w:rPr>
          <w:i/>
          <w:iCs/>
          <w:vertAlign w:val="subscript"/>
          <w:lang w:val="fr-FR"/>
        </w:rPr>
        <w:t>i</w:t>
      </w:r>
    </w:p>
    <w:p w:rsidR="009C7235" w:rsidRPr="009C7235" w:rsidRDefault="009C7235" w:rsidP="009C7235">
      <w:pPr>
        <w:pStyle w:val="Equationlegend"/>
        <w:rPr>
          <w:lang w:val="fr-FR"/>
        </w:rPr>
      </w:pPr>
      <w:r w:rsidRPr="009C7235">
        <w:rPr>
          <w:lang w:val="fr-FR"/>
        </w:rPr>
        <w:tab/>
      </w:r>
      <w:r w:rsidRPr="009C7235">
        <w:rPr>
          <w:i/>
          <w:iCs/>
          <w:lang w:val="fr-FR"/>
        </w:rPr>
        <w:t>A</w:t>
      </w:r>
      <w:r w:rsidRPr="009C7235">
        <w:rPr>
          <w:i/>
          <w:iCs/>
          <w:vertAlign w:val="subscript"/>
          <w:lang w:val="fr-FR"/>
        </w:rPr>
        <w:t>O</w:t>
      </w:r>
      <w:r w:rsidR="00660956" w:rsidRPr="009C7235">
        <w:rPr>
          <w:i/>
          <w:iCs/>
          <w:vertAlign w:val="subscript"/>
          <w:lang w:val="fr-FR"/>
        </w:rPr>
        <w:t>o</w:t>
      </w:r>
      <w:r w:rsidRPr="009C7235">
        <w:rPr>
          <w:i/>
          <w:iCs/>
          <w:vertAlign w:val="subscript"/>
          <w:lang w:val="fr-FR"/>
        </w:rPr>
        <w:t>B</w:t>
      </w:r>
      <w:r w:rsidR="00660956">
        <w:rPr>
          <w:lang w:val="fr-FR"/>
        </w:rPr>
        <w:t>:</w:t>
      </w:r>
      <w:r w:rsidRPr="009C7235">
        <w:rPr>
          <w:lang w:val="fr-FR"/>
        </w:rPr>
        <w:t xml:space="preserve"> </w:t>
      </w:r>
      <w:r w:rsidRPr="009C7235">
        <w:rPr>
          <w:lang w:val="fr-FR"/>
        </w:rPr>
        <w:tab/>
        <w:t xml:space="preserve">affaiblissement entre les émissions dans la bande et les émissions </w:t>
      </w:r>
      <w:r w:rsidR="00660956">
        <w:rPr>
          <w:lang w:val="fr-FR"/>
        </w:rPr>
        <w:t>OoB</w:t>
      </w:r>
      <w:r w:rsidRPr="009C7235">
        <w:rPr>
          <w:lang w:val="fr-FR"/>
        </w:rPr>
        <w:t>. Dans le cas de l'analyse des émissions dans la bande, ce champ peut être ignoré ou mis à zéro.</w:t>
      </w:r>
    </w:p>
    <w:p w:rsidR="009C7235" w:rsidRPr="00E775C9" w:rsidRDefault="009C7235" w:rsidP="009C7235">
      <w:r w:rsidRPr="00E775C9">
        <w:t xml:space="preserve">A noter que </w:t>
      </w:r>
      <w:r w:rsidRPr="00E775C9">
        <w:rPr>
          <w:i/>
          <w:iCs/>
        </w:rPr>
        <w:t>L</w:t>
      </w:r>
      <w:r w:rsidRPr="00E775C9">
        <w:rPr>
          <w:vertAlign w:val="subscript"/>
        </w:rPr>
        <w:t>452</w:t>
      </w:r>
      <w:r w:rsidRPr="00E775C9">
        <w:t xml:space="preserve"> est censé être un nombre positif représentant un affaiblissement.</w:t>
      </w:r>
    </w:p>
    <w:p w:rsidR="009C7235" w:rsidRPr="00E775C9" w:rsidRDefault="009C7235" w:rsidP="009C7235">
      <w:r w:rsidRPr="00E775C9">
        <w:t xml:space="preserve">On utilise les hauteurs d'antenne de l'émetteur HDFS </w:t>
      </w:r>
      <w:r w:rsidR="00660956">
        <w:t>P-MP</w:t>
      </w:r>
      <w:r w:rsidRPr="00E775C9">
        <w:t xml:space="preserve"> du récepteur </w:t>
      </w:r>
      <w:r>
        <w:t>SRA</w:t>
      </w:r>
      <w:r w:rsidRPr="00E775C9">
        <w:t xml:space="preserve"> conformément au modèle de propagation de la Recommandation </w:t>
      </w:r>
      <w:r>
        <w:t>UIT</w:t>
      </w:r>
      <w:r w:rsidRPr="00E775C9">
        <w:t>-R P.452 afin de déterminer l'affaiblissement, le cas échéant.</w:t>
      </w:r>
    </w:p>
    <w:p w:rsidR="009C7235" w:rsidRPr="00E775C9" w:rsidRDefault="009C7235" w:rsidP="009C7235">
      <w:r w:rsidRPr="00E775C9">
        <w:t>A partir de l'équation (1), on calcule la probabilité pour qu'une observation subisse des brouillages en suivant les étapes ci-après:</w:t>
      </w:r>
    </w:p>
    <w:p w:rsidR="009C7235" w:rsidRPr="00E775C9" w:rsidRDefault="00660956" w:rsidP="009C7235">
      <w:pPr>
        <w:pStyle w:val="enumlev1"/>
      </w:pPr>
      <w:r>
        <w:t xml:space="preserve">Etape </w:t>
      </w:r>
      <w:r w:rsidR="009C7235" w:rsidRPr="00E775C9">
        <w:t>1</w:t>
      </w:r>
      <w:r w:rsidR="009C7235" w:rsidRPr="00E775C9">
        <w:tab/>
      </w:r>
      <w:r w:rsidR="009C7235">
        <w:t>Poser</w:t>
      </w:r>
      <w:r w:rsidR="009C7235" w:rsidRPr="00E775C9">
        <w:t xml:space="preserve"> le nombre d'échantillons </w:t>
      </w:r>
      <w:r w:rsidR="009C7235" w:rsidRPr="00660956">
        <w:rPr>
          <w:i/>
        </w:rPr>
        <w:t>N</w:t>
      </w:r>
      <w:r w:rsidR="009C7235" w:rsidRPr="00E775C9">
        <w:t xml:space="preserve"> = 0.</w:t>
      </w:r>
    </w:p>
    <w:p w:rsidR="009C7235" w:rsidRPr="00E775C9" w:rsidRDefault="00660956" w:rsidP="009C7235">
      <w:pPr>
        <w:pStyle w:val="enumlev1"/>
      </w:pPr>
      <w:r>
        <w:t xml:space="preserve">Etape </w:t>
      </w:r>
      <w:r w:rsidR="009C7235" w:rsidRPr="00E775C9">
        <w:t>2</w:t>
      </w:r>
      <w:r w:rsidR="009C7235" w:rsidRPr="00E775C9">
        <w:tab/>
      </w:r>
      <w:r w:rsidR="009C7235">
        <w:t>Poser</w:t>
      </w:r>
      <w:r w:rsidR="009C7235" w:rsidRPr="00E775C9">
        <w:t xml:space="preserve"> les observations subissant des brouillages </w:t>
      </w:r>
      <w:r w:rsidR="009C7235" w:rsidRPr="00660956">
        <w:rPr>
          <w:i/>
        </w:rPr>
        <w:t>M</w:t>
      </w:r>
      <w:r w:rsidR="009C7235" w:rsidRPr="00E775C9">
        <w:t xml:space="preserve"> = 0.</w:t>
      </w:r>
    </w:p>
    <w:p w:rsidR="009C7235" w:rsidRPr="00E775C9" w:rsidRDefault="00660956" w:rsidP="009C7235">
      <w:pPr>
        <w:pStyle w:val="enumlev1"/>
      </w:pPr>
      <w:r>
        <w:t xml:space="preserve">Etape </w:t>
      </w:r>
      <w:r w:rsidR="009C7235" w:rsidRPr="00E775C9">
        <w:t>3</w:t>
      </w:r>
      <w:r w:rsidR="009C7235" w:rsidRPr="00E775C9">
        <w:tab/>
        <w:t xml:space="preserve">Si le nombre </w:t>
      </w:r>
      <w:r w:rsidR="009C7235">
        <w:t>d</w:t>
      </w:r>
      <w:r w:rsidR="009C7235" w:rsidRPr="00E775C9">
        <w:t>'échantillon</w:t>
      </w:r>
      <w:r w:rsidR="009C7235">
        <w:t>s</w:t>
      </w:r>
      <w:r w:rsidR="009C7235" w:rsidRPr="00E775C9">
        <w:t xml:space="preserve"> </w:t>
      </w:r>
      <w:r w:rsidR="009C7235" w:rsidRPr="00660956">
        <w:rPr>
          <w:i/>
        </w:rPr>
        <w:t>N</w:t>
      </w:r>
      <w:r w:rsidR="009C7235" w:rsidRPr="00E775C9">
        <w:t xml:space="preserve"> &lt; </w:t>
      </w:r>
      <w:r w:rsidR="009C7235" w:rsidRPr="00660956">
        <w:rPr>
          <w:i/>
        </w:rPr>
        <w:t>N</w:t>
      </w:r>
      <w:r w:rsidR="009C7235" w:rsidRPr="00660956">
        <w:rPr>
          <w:i/>
          <w:vertAlign w:val="subscript"/>
        </w:rPr>
        <w:t>max</w:t>
      </w:r>
      <w:r w:rsidR="009C7235">
        <w:t xml:space="preserve">, </w:t>
      </w:r>
      <w:r w:rsidR="009C7235" w:rsidRPr="00E775C9">
        <w:t>répéter les étapes 4 à 17.</w:t>
      </w:r>
    </w:p>
    <w:p w:rsidR="009C7235" w:rsidRPr="00E775C9" w:rsidRDefault="00660956" w:rsidP="009C7235">
      <w:pPr>
        <w:pStyle w:val="enumlev1"/>
      </w:pPr>
      <w:r>
        <w:t xml:space="preserve">Etape </w:t>
      </w:r>
      <w:r w:rsidR="009C7235" w:rsidRPr="00E775C9">
        <w:t>4</w:t>
      </w:r>
      <w:r w:rsidR="009C7235" w:rsidRPr="00E775C9">
        <w:tab/>
        <w:t xml:space="preserve">Calculer l'azimut de l'antenne </w:t>
      </w:r>
      <w:r w:rsidR="009C7235">
        <w:t>SRA</w:t>
      </w:r>
      <w:r w:rsidR="009C7235" w:rsidRPr="00E775C9">
        <w:t xml:space="preserve"> Az = </w:t>
      </w:r>
      <w:r w:rsidR="009C7235">
        <w:t>random (–180, +</w:t>
      </w:r>
      <w:r w:rsidR="009C7235" w:rsidRPr="00E775C9">
        <w:t>180).</w:t>
      </w:r>
    </w:p>
    <w:p w:rsidR="009C7235" w:rsidRPr="00E775C9" w:rsidRDefault="00660956" w:rsidP="001F1CD5">
      <w:pPr>
        <w:pStyle w:val="enumlev1"/>
      </w:pPr>
      <w:r>
        <w:t xml:space="preserve">Etape </w:t>
      </w:r>
      <w:r w:rsidR="009C7235" w:rsidRPr="00E775C9">
        <w:t>5</w:t>
      </w:r>
      <w:r w:rsidR="009C7235" w:rsidRPr="00E775C9">
        <w:tab/>
        <w:t xml:space="preserve">Calculer le pourcentage de temps </w:t>
      </w:r>
      <w:r w:rsidR="009C7235" w:rsidRPr="00E775C9">
        <w:rPr>
          <w:i/>
          <w:iCs/>
        </w:rPr>
        <w:t>p</w:t>
      </w:r>
      <w:r w:rsidR="009C7235" w:rsidRPr="00E775C9">
        <w:rPr>
          <w:i/>
          <w:iCs/>
          <w:vertAlign w:val="subscript"/>
        </w:rPr>
        <w:t>i</w:t>
      </w:r>
      <w:r w:rsidR="009C7235" w:rsidRPr="00E775C9">
        <w:t xml:space="preserve"> = </w:t>
      </w:r>
      <w:r w:rsidR="009C7235">
        <w:t>random</w:t>
      </w:r>
      <w:r w:rsidR="009C7235" w:rsidRPr="00E775C9">
        <w:t xml:space="preserve"> (0, 100) </w:t>
      </w:r>
      <w:r w:rsidR="009C7235">
        <w:t>d'après</w:t>
      </w:r>
      <w:r w:rsidR="009C7235" w:rsidRPr="00E775C9">
        <w:t xml:space="preserve"> la Recommandation UIT</w:t>
      </w:r>
      <w:r w:rsidR="009C7235" w:rsidRPr="00E775C9">
        <w:noBreakHyphen/>
        <w:t>R P.452.</w:t>
      </w:r>
    </w:p>
    <w:p w:rsidR="009C7235" w:rsidRPr="00E775C9" w:rsidRDefault="00660956" w:rsidP="009C7235">
      <w:pPr>
        <w:pStyle w:val="enumlev1"/>
      </w:pPr>
      <w:r>
        <w:t xml:space="preserve">Etape </w:t>
      </w:r>
      <w:r w:rsidR="009C7235" w:rsidRPr="00E775C9">
        <w:t>6</w:t>
      </w:r>
      <w:r w:rsidR="009C7235" w:rsidRPr="00E775C9">
        <w:tab/>
      </w:r>
      <w:r w:rsidR="009C7235">
        <w:t>Poser</w:t>
      </w:r>
      <w:r w:rsidR="009C7235" w:rsidRPr="00E775C9">
        <w:t xml:space="preserve"> le brouillage moyen cumulatif </w:t>
      </w:r>
      <w:r w:rsidR="009C7235" w:rsidRPr="00E775C9">
        <w:rPr>
          <w:i/>
          <w:iCs/>
        </w:rPr>
        <w:t>I</w:t>
      </w:r>
      <w:r w:rsidR="009C7235" w:rsidRPr="00E775C9">
        <w:t xml:space="preserve"> = 0.</w:t>
      </w:r>
    </w:p>
    <w:p w:rsidR="009C7235" w:rsidRPr="00E775C9" w:rsidRDefault="00660956" w:rsidP="001F1CD5">
      <w:pPr>
        <w:pStyle w:val="enumlev1"/>
      </w:pPr>
      <w:r>
        <w:t xml:space="preserve">Etape </w:t>
      </w:r>
      <w:r w:rsidR="009C7235" w:rsidRPr="00E775C9">
        <w:t>7</w:t>
      </w:r>
      <w:r w:rsidR="009C7235" w:rsidRPr="00E775C9">
        <w:tab/>
        <w:t xml:space="preserve">Pour chaque point de mesure à l'intérieur de la zone de déploiement, </w:t>
      </w:r>
      <w:r w:rsidR="009C7235" w:rsidRPr="00E775C9">
        <w:rPr>
          <w:i/>
          <w:iCs/>
        </w:rPr>
        <w:t>j</w:t>
      </w:r>
      <w:r w:rsidR="009C7235" w:rsidRPr="00E775C9">
        <w:t>, répéter les étapes 8 à 14.</w:t>
      </w:r>
    </w:p>
    <w:p w:rsidR="009C7235" w:rsidRPr="00E775C9" w:rsidRDefault="00660956" w:rsidP="001F1CD5">
      <w:pPr>
        <w:pStyle w:val="enumlev1"/>
      </w:pPr>
      <w:r>
        <w:t xml:space="preserve">Etape </w:t>
      </w:r>
      <w:r w:rsidR="009C7235" w:rsidRPr="00E775C9">
        <w:t>8</w:t>
      </w:r>
      <w:r w:rsidR="009C7235" w:rsidRPr="00E775C9">
        <w:tab/>
        <w:t xml:space="preserve">Calculer la probabilité de déploiement de </w:t>
      </w:r>
      <w:r w:rsidR="009C7235">
        <w:t>secteur</w:t>
      </w:r>
      <w:r w:rsidR="009C7235" w:rsidRPr="00E775C9">
        <w:t xml:space="preserve"> pour le </w:t>
      </w:r>
      <w:r w:rsidR="009C7235" w:rsidRPr="00E775C9">
        <w:rPr>
          <w:i/>
          <w:iCs/>
        </w:rPr>
        <w:t>j</w:t>
      </w:r>
      <w:r w:rsidR="009C7235" w:rsidRPr="00E775C9">
        <w:t xml:space="preserve">-ième point de mesure </w:t>
      </w:r>
      <w:proofErr w:type="gramStart"/>
      <w:r w:rsidR="009C7235" w:rsidRPr="00E775C9">
        <w:rPr>
          <w:i/>
          <w:iCs/>
        </w:rPr>
        <w:t>p</w:t>
      </w:r>
      <w:r w:rsidR="009C7235" w:rsidRPr="00E775C9">
        <w:rPr>
          <w:i/>
          <w:iCs/>
          <w:vertAlign w:val="subscript"/>
        </w:rPr>
        <w:t>i,j</w:t>
      </w:r>
      <w:proofErr w:type="gramEnd"/>
      <w:r w:rsidR="009C7235">
        <w:t> = random</w:t>
      </w:r>
      <w:r w:rsidR="009C7235" w:rsidRPr="00E775C9">
        <w:t xml:space="preserve"> (0, 1).</w:t>
      </w:r>
    </w:p>
    <w:p w:rsidR="009C7235" w:rsidRPr="00E775C9" w:rsidRDefault="00660956" w:rsidP="00660956">
      <w:pPr>
        <w:pStyle w:val="enumlev1"/>
        <w:ind w:left="2160" w:hanging="2160"/>
      </w:pPr>
      <w:r>
        <w:tab/>
      </w:r>
      <w:r>
        <w:tab/>
        <w:t xml:space="preserve">Etape </w:t>
      </w:r>
      <w:r w:rsidR="009C7235" w:rsidRPr="00E775C9">
        <w:t>9a</w:t>
      </w:r>
      <w:r w:rsidR="009C7235" w:rsidRPr="00E775C9">
        <w:tab/>
        <w:t>Dans le cas de systèmes AMR</w:t>
      </w:r>
      <w:r w:rsidR="009C7235">
        <w:t>F</w:t>
      </w:r>
      <w:r w:rsidR="009C7235" w:rsidRPr="00E775C9">
        <w:t xml:space="preserve">, </w:t>
      </w:r>
      <w:r w:rsidR="009C7235">
        <w:t xml:space="preserve">en </w:t>
      </w:r>
      <w:r w:rsidR="009C7235" w:rsidRPr="00E775C9">
        <w:t xml:space="preserve">utilisant la distribution </w:t>
      </w:r>
      <w:r w:rsidR="009C7235">
        <w:t>de p.i.r.e.c.</w:t>
      </w:r>
      <w:r w:rsidR="009C7235" w:rsidRPr="00E775C9">
        <w:t xml:space="preserve"> pour le </w:t>
      </w:r>
      <w:r w:rsidR="009C7235" w:rsidRPr="00E775C9">
        <w:rPr>
          <w:i/>
          <w:iCs/>
        </w:rPr>
        <w:t>j</w:t>
      </w:r>
      <w:r w:rsidR="009C7235" w:rsidRPr="00E775C9">
        <w:t>-ièm</w:t>
      </w:r>
      <w:r w:rsidR="009C7235">
        <w:t>e point de mesure, déterminer la p.i.r.e.c.</w:t>
      </w:r>
      <w:r w:rsidR="009C7235" w:rsidRPr="00E775C9">
        <w:t>(</w:t>
      </w:r>
      <w:proofErr w:type="gramStart"/>
      <w:r w:rsidR="009C7235" w:rsidRPr="00E775C9">
        <w:rPr>
          <w:i/>
          <w:iCs/>
        </w:rPr>
        <w:t>p</w:t>
      </w:r>
      <w:r w:rsidR="009C7235" w:rsidRPr="00E775C9">
        <w:rPr>
          <w:i/>
          <w:iCs/>
          <w:vertAlign w:val="subscript"/>
        </w:rPr>
        <w:t>i,j</w:t>
      </w:r>
      <w:proofErr w:type="gramEnd"/>
      <w:r w:rsidR="009C7235" w:rsidRPr="00E775C9">
        <w:t>).</w:t>
      </w:r>
    </w:p>
    <w:p w:rsidR="009C7235" w:rsidRPr="00E775C9" w:rsidRDefault="00660956" w:rsidP="00660956">
      <w:pPr>
        <w:pStyle w:val="enumlev1"/>
        <w:ind w:left="2160" w:hanging="2160"/>
      </w:pPr>
      <w:r>
        <w:tab/>
      </w:r>
      <w:r>
        <w:tab/>
        <w:t xml:space="preserve">Etape </w:t>
      </w:r>
      <w:r w:rsidR="009C7235" w:rsidRPr="00E775C9">
        <w:t>9b</w:t>
      </w:r>
      <w:r w:rsidR="009C7235" w:rsidRPr="00E775C9">
        <w:tab/>
        <w:t xml:space="preserve">Dans le cas de systèmes AMRT, </w:t>
      </w:r>
      <w:r w:rsidR="009C7235">
        <w:t xml:space="preserve">en </w:t>
      </w:r>
      <w:r w:rsidR="009C7235" w:rsidRPr="00E775C9">
        <w:t xml:space="preserve">utilisant la distribution </w:t>
      </w:r>
      <w:r w:rsidR="009C7235">
        <w:t>de p.i.r.e.c.</w:t>
      </w:r>
      <w:r w:rsidR="009C7235" w:rsidRPr="00E775C9">
        <w:t xml:space="preserve"> pour le </w:t>
      </w:r>
      <w:r w:rsidR="009C7235" w:rsidRPr="00E775C9">
        <w:rPr>
          <w:i/>
          <w:iCs/>
        </w:rPr>
        <w:t>j</w:t>
      </w:r>
      <w:r w:rsidR="009C7235" w:rsidRPr="00E775C9">
        <w:t xml:space="preserve">-ième point </w:t>
      </w:r>
      <w:r w:rsidR="009C7235">
        <w:t>de mesure, déterminer la p.i.r.e.c.</w:t>
      </w:r>
      <w:r w:rsidR="009C7235" w:rsidRPr="00E775C9">
        <w:t>(</w:t>
      </w:r>
      <w:proofErr w:type="gramStart"/>
      <w:r w:rsidR="009C7235" w:rsidRPr="00E775C9">
        <w:rPr>
          <w:i/>
          <w:iCs/>
        </w:rPr>
        <w:t>p</w:t>
      </w:r>
      <w:r w:rsidR="009C7235" w:rsidRPr="00E775C9">
        <w:rPr>
          <w:i/>
          <w:iCs/>
          <w:vertAlign w:val="subscript"/>
        </w:rPr>
        <w:t>i,j</w:t>
      </w:r>
      <w:proofErr w:type="gramEnd"/>
      <w:r w:rsidR="009C7235" w:rsidRPr="00E775C9">
        <w:t xml:space="preserve">), en choisissant au hasard </w:t>
      </w:r>
      <w:r w:rsidR="009C7235" w:rsidRPr="00E775C9">
        <w:rPr>
          <w:i/>
          <w:iCs/>
        </w:rPr>
        <w:t>x</w:t>
      </w:r>
      <w:r w:rsidR="009C7235" w:rsidRPr="00E775C9">
        <w:t xml:space="preserve"> échantillons où </w:t>
      </w:r>
      <w:r w:rsidR="009C7235" w:rsidRPr="00E775C9">
        <w:rPr>
          <w:i/>
          <w:iCs/>
        </w:rPr>
        <w:t>x</w:t>
      </w:r>
      <w:r w:rsidR="009C7235" w:rsidRPr="00E775C9">
        <w:t xml:space="preserve"> représente le nombre de créneaux temporels de subdivision des s</w:t>
      </w:r>
      <w:r w:rsidR="009C7235">
        <w:t>ystèmes AMRT, puis calculer la p.i.r.e.c.</w:t>
      </w:r>
      <w:r w:rsidR="009C7235" w:rsidRPr="00E775C9">
        <w:t xml:space="preserve"> en prenant la moyenne des </w:t>
      </w:r>
      <w:r w:rsidR="009C7235" w:rsidRPr="00660956">
        <w:rPr>
          <w:i/>
        </w:rPr>
        <w:t>x</w:t>
      </w:r>
      <w:r w:rsidR="009C7235" w:rsidRPr="00E775C9">
        <w:t xml:space="preserve"> échantillons.</w:t>
      </w:r>
    </w:p>
    <w:p w:rsidR="009C7235" w:rsidRPr="00E775C9" w:rsidRDefault="00660956" w:rsidP="00660956">
      <w:pPr>
        <w:pStyle w:val="enumlev1"/>
        <w:ind w:left="1191" w:hanging="1191"/>
      </w:pPr>
      <w:r>
        <w:t xml:space="preserve">Etape </w:t>
      </w:r>
      <w:r w:rsidR="009C7235" w:rsidRPr="00E775C9">
        <w:t>10</w:t>
      </w:r>
      <w:r w:rsidR="009C7235" w:rsidRPr="00E775C9">
        <w:tab/>
        <w:t xml:space="preserve">Calculer l'affaiblissement UIT-R P.452 entre le </w:t>
      </w:r>
      <w:r w:rsidR="009C7235" w:rsidRPr="00660956">
        <w:rPr>
          <w:i/>
        </w:rPr>
        <w:t>j</w:t>
      </w:r>
      <w:r w:rsidR="009C7235" w:rsidRPr="00E775C9">
        <w:t xml:space="preserve">-ième point de mesure et le site </w:t>
      </w:r>
      <w:r w:rsidR="009C7235">
        <w:t>SRA</w:t>
      </w:r>
      <w:r w:rsidR="009C7235" w:rsidRPr="00E775C9">
        <w:t xml:space="preserve"> pour le pourcentage de temps </w:t>
      </w:r>
      <w:r w:rsidR="009C7235" w:rsidRPr="00E775C9">
        <w:rPr>
          <w:i/>
          <w:iCs/>
        </w:rPr>
        <w:t>p</w:t>
      </w:r>
      <w:r w:rsidR="009C7235" w:rsidRPr="00E775C9">
        <w:t xml:space="preserve">, </w:t>
      </w:r>
      <w:r w:rsidR="009C7235" w:rsidRPr="00E775C9">
        <w:rPr>
          <w:i/>
          <w:iCs/>
        </w:rPr>
        <w:t>L</w:t>
      </w:r>
      <w:r w:rsidR="009C7235" w:rsidRPr="00E775C9">
        <w:rPr>
          <w:vertAlign w:val="subscript"/>
        </w:rPr>
        <w:t>452</w:t>
      </w:r>
      <w:r w:rsidR="009C7235" w:rsidRPr="00E775C9">
        <w:t>(</w:t>
      </w:r>
      <w:proofErr w:type="gramStart"/>
      <w:r w:rsidR="009C7235" w:rsidRPr="00E775C9">
        <w:rPr>
          <w:i/>
          <w:iCs/>
        </w:rPr>
        <w:t>p</w:t>
      </w:r>
      <w:r w:rsidR="009C7235" w:rsidRPr="00E775C9">
        <w:rPr>
          <w:i/>
          <w:iCs/>
          <w:vertAlign w:val="subscript"/>
        </w:rPr>
        <w:t>i</w:t>
      </w:r>
      <w:r w:rsidR="009C7235" w:rsidRPr="00E775C9">
        <w:rPr>
          <w:i/>
          <w:iCs/>
        </w:rPr>
        <w:t>,j</w:t>
      </w:r>
      <w:proofErr w:type="gramEnd"/>
      <w:r w:rsidR="009C7235" w:rsidRPr="00E775C9">
        <w:t>).</w:t>
      </w:r>
    </w:p>
    <w:p w:rsidR="009C7235" w:rsidRPr="00E775C9" w:rsidRDefault="00660956" w:rsidP="00660956">
      <w:pPr>
        <w:pStyle w:val="enumlev1"/>
        <w:ind w:left="1191" w:hanging="1191"/>
      </w:pPr>
      <w:r>
        <w:t xml:space="preserve">Etape </w:t>
      </w:r>
      <w:r w:rsidR="009C7235" w:rsidRPr="00E775C9">
        <w:t>11</w:t>
      </w:r>
      <w:r w:rsidR="009C7235" w:rsidRPr="00E775C9">
        <w:tab/>
        <w:t xml:space="preserve">Calculer la différence d'azimut </w:t>
      </w:r>
      <w:r w:rsidR="009C7235" w:rsidRPr="00E775C9">
        <w:sym w:font="Symbol" w:char="F0D1"/>
      </w:r>
      <w:r w:rsidR="009C7235" w:rsidRPr="00660956">
        <w:rPr>
          <w:i/>
        </w:rPr>
        <w:t>Az</w:t>
      </w:r>
      <w:r w:rsidR="009C7235" w:rsidRPr="00660956">
        <w:rPr>
          <w:i/>
          <w:vertAlign w:val="subscript"/>
        </w:rPr>
        <w:t>j</w:t>
      </w:r>
      <w:r w:rsidR="009C7235" w:rsidRPr="00E775C9">
        <w:t xml:space="preserve"> entre l'azimut </w:t>
      </w:r>
      <w:r w:rsidR="009C7235">
        <w:t>du site</w:t>
      </w:r>
      <w:r w:rsidR="009C7235" w:rsidRPr="00E775C9">
        <w:t xml:space="preserve"> </w:t>
      </w:r>
      <w:r w:rsidR="009C7235">
        <w:t>SRA et l'azimut au niveau du site SRA</w:t>
      </w:r>
      <w:r w:rsidR="009C7235" w:rsidRPr="00E775C9">
        <w:t xml:space="preserve"> en direction du </w:t>
      </w:r>
      <w:r w:rsidR="009C7235" w:rsidRPr="00660956">
        <w:rPr>
          <w:i/>
        </w:rPr>
        <w:t>j</w:t>
      </w:r>
      <w:r w:rsidR="009C7235" w:rsidRPr="00E775C9">
        <w:t>-ième point de mesure.</w:t>
      </w:r>
    </w:p>
    <w:p w:rsidR="009C7235" w:rsidRPr="00E775C9" w:rsidRDefault="00660956" w:rsidP="00660956">
      <w:pPr>
        <w:pStyle w:val="enumlev1"/>
        <w:ind w:left="1191" w:hanging="1191"/>
      </w:pPr>
      <w:r>
        <w:t xml:space="preserve">Etape </w:t>
      </w:r>
      <w:r w:rsidR="009C7235" w:rsidRPr="00E775C9">
        <w:t>12</w:t>
      </w:r>
      <w:r w:rsidR="009C7235" w:rsidRPr="00E775C9">
        <w:tab/>
        <w:t xml:space="preserve">Calculer le gain moyen </w:t>
      </w:r>
      <w:r w:rsidR="009C7235" w:rsidRPr="00E775C9">
        <w:rPr>
          <w:i/>
          <w:iCs/>
        </w:rPr>
        <w:t>G</w:t>
      </w:r>
      <w:r w:rsidR="009C7235">
        <w:rPr>
          <w:i/>
          <w:iCs/>
          <w:vertAlign w:val="subscript"/>
        </w:rPr>
        <w:t>SRA</w:t>
      </w:r>
      <w:r w:rsidR="009C7235" w:rsidRPr="00E775C9">
        <w:rPr>
          <w:i/>
          <w:iCs/>
          <w:vertAlign w:val="subscript"/>
        </w:rPr>
        <w:t>, j</w:t>
      </w:r>
      <w:r w:rsidR="009C7235" w:rsidRPr="00E775C9">
        <w:t xml:space="preserve"> au niveau du site </w:t>
      </w:r>
      <w:r w:rsidR="009C7235">
        <w:t>SRA</w:t>
      </w:r>
      <w:r w:rsidR="009C7235" w:rsidRPr="00E775C9">
        <w:t xml:space="preserve"> en direction du </w:t>
      </w:r>
      <w:r w:rsidR="009C7235" w:rsidRPr="001F1CD5">
        <w:rPr>
          <w:i/>
        </w:rPr>
        <w:t>j</w:t>
      </w:r>
      <w:r w:rsidR="009C7235" w:rsidRPr="00E775C9">
        <w:t xml:space="preserve">-ème point de mesure en recherchant le gain moyen associé à la différence d'azimut </w:t>
      </w:r>
      <w:r w:rsidR="009C7235" w:rsidRPr="00E775C9">
        <w:sym w:font="Symbol" w:char="F0D1"/>
      </w:r>
      <w:r w:rsidR="009C7235" w:rsidRPr="00E775C9">
        <w:rPr>
          <w:i/>
          <w:iCs/>
        </w:rPr>
        <w:t>Az</w:t>
      </w:r>
      <w:r w:rsidR="009C7235" w:rsidRPr="00E775C9">
        <w:rPr>
          <w:i/>
          <w:iCs/>
          <w:vertAlign w:val="subscript"/>
        </w:rPr>
        <w:t>j</w:t>
      </w:r>
      <w:r w:rsidR="009C7235" w:rsidRPr="00E775C9">
        <w:t>, au moyen d</w:t>
      </w:r>
      <w:r w:rsidR="009C7235">
        <w:t>'une</w:t>
      </w:r>
      <w:r w:rsidR="009C7235" w:rsidRPr="00E775C9">
        <w:t xml:space="preserve"> interpolation linéaire si nécessaire.</w:t>
      </w:r>
    </w:p>
    <w:p w:rsidR="009C7235" w:rsidRPr="00E775C9" w:rsidRDefault="00660956" w:rsidP="00660956">
      <w:pPr>
        <w:pStyle w:val="enumlev1"/>
        <w:ind w:left="1191" w:hanging="1191"/>
      </w:pPr>
      <w:r>
        <w:lastRenderedPageBreak/>
        <w:t xml:space="preserve">Etape </w:t>
      </w:r>
      <w:r w:rsidR="009C7235" w:rsidRPr="00E775C9">
        <w:t>13</w:t>
      </w:r>
      <w:r w:rsidR="009C7235" w:rsidRPr="00E775C9">
        <w:tab/>
        <w:t>Calculer le</w:t>
      </w:r>
      <w:r w:rsidR="009C7235">
        <w:t>s</w:t>
      </w:r>
      <w:r w:rsidR="009C7235" w:rsidRPr="00E775C9">
        <w:t xml:space="preserve"> brouillage</w:t>
      </w:r>
      <w:r w:rsidR="009C7235">
        <w:t>s</w:t>
      </w:r>
      <w:r w:rsidR="009C7235" w:rsidRPr="00E775C9">
        <w:t xml:space="preserve"> entre ce point de mesure et le site </w:t>
      </w:r>
      <w:r w:rsidR="009C7235">
        <w:t>SRA</w:t>
      </w:r>
      <w:r w:rsidR="009C7235" w:rsidRPr="00E775C9">
        <w:t xml:space="preserve"> </w:t>
      </w:r>
      <w:r w:rsidR="009C7235">
        <w:t>comme suit</w:t>
      </w:r>
      <w:r w:rsidR="009C7235" w:rsidRPr="00E775C9">
        <w:t xml:space="preserve"> (</w:t>
      </w:r>
      <w:r w:rsidR="009C7235">
        <w:t>sachant</w:t>
      </w:r>
      <w:r w:rsidR="009C7235" w:rsidRPr="00E775C9">
        <w:t xml:space="preserve"> que pour l'analyse dans la bande, </w:t>
      </w:r>
      <w:r w:rsidR="009C7235" w:rsidRPr="00E775C9">
        <w:rPr>
          <w:i/>
          <w:iCs/>
        </w:rPr>
        <w:t>A</w:t>
      </w:r>
      <w:r w:rsidR="009C7235" w:rsidRPr="00E775C9">
        <w:rPr>
          <w:i/>
          <w:iCs/>
          <w:vertAlign w:val="subscript"/>
        </w:rPr>
        <w:t>O</w:t>
      </w:r>
      <w:r w:rsidRPr="00E775C9">
        <w:rPr>
          <w:i/>
          <w:iCs/>
          <w:vertAlign w:val="subscript"/>
        </w:rPr>
        <w:t>o</w:t>
      </w:r>
      <w:r w:rsidR="009C7235" w:rsidRPr="00E775C9">
        <w:rPr>
          <w:i/>
          <w:iCs/>
          <w:vertAlign w:val="subscript"/>
        </w:rPr>
        <w:t>B</w:t>
      </w:r>
      <w:r w:rsidR="009C7235" w:rsidRPr="00E775C9">
        <w:t xml:space="preserve"> = 0):</w:t>
      </w:r>
    </w:p>
    <w:p w:rsidR="009C7235" w:rsidRPr="00E775C9" w:rsidRDefault="00660956" w:rsidP="009C7235">
      <w:pPr>
        <w:pStyle w:val="enumlev1"/>
      </w:pPr>
      <w:r>
        <w:tab/>
      </w:r>
      <w:r>
        <w:tab/>
      </w:r>
      <w:r>
        <w:tab/>
      </w:r>
      <w:r w:rsidR="009C7235" w:rsidRPr="00E775C9">
        <w:tab/>
      </w:r>
      <w:r w:rsidR="009C7235" w:rsidRPr="00E775C9">
        <w:rPr>
          <w:i/>
          <w:iCs/>
        </w:rPr>
        <w:t>I</w:t>
      </w:r>
      <w:r w:rsidR="009C7235" w:rsidRPr="00E775C9">
        <w:rPr>
          <w:i/>
          <w:iCs/>
          <w:vertAlign w:val="subscript"/>
        </w:rPr>
        <w:t>j</w:t>
      </w:r>
      <w:r w:rsidR="009C7235" w:rsidRPr="00E775C9">
        <w:t xml:space="preserve"> = </w:t>
      </w:r>
      <w:r w:rsidR="009C7235">
        <w:rPr>
          <w:i/>
          <w:iCs/>
        </w:rPr>
        <w:t>PIREC</w:t>
      </w:r>
      <w:r w:rsidR="009C7235" w:rsidRPr="00E775C9">
        <w:t>(</w:t>
      </w:r>
      <w:proofErr w:type="gramStart"/>
      <w:r w:rsidR="009C7235" w:rsidRPr="00E775C9">
        <w:rPr>
          <w:i/>
          <w:iCs/>
        </w:rPr>
        <w:t>p</w:t>
      </w:r>
      <w:r w:rsidR="009C7235" w:rsidRPr="00E775C9">
        <w:rPr>
          <w:i/>
          <w:iCs/>
          <w:vertAlign w:val="subscript"/>
        </w:rPr>
        <w:t>i,j</w:t>
      </w:r>
      <w:proofErr w:type="gramEnd"/>
      <w:r w:rsidR="009C7235" w:rsidRPr="00E775C9">
        <w:t xml:space="preserve">) – </w:t>
      </w:r>
      <w:r w:rsidR="009C7235" w:rsidRPr="00E775C9">
        <w:rPr>
          <w:i/>
          <w:iCs/>
        </w:rPr>
        <w:t>L</w:t>
      </w:r>
      <w:r w:rsidR="009C7235" w:rsidRPr="00E775C9">
        <w:rPr>
          <w:vertAlign w:val="subscript"/>
        </w:rPr>
        <w:t>452</w:t>
      </w:r>
      <w:r w:rsidR="009C7235" w:rsidRPr="00E775C9">
        <w:t>(</w:t>
      </w:r>
      <w:r w:rsidR="009C7235" w:rsidRPr="00660956">
        <w:rPr>
          <w:i/>
        </w:rPr>
        <w:t>p</w:t>
      </w:r>
      <w:r w:rsidR="009C7235" w:rsidRPr="00660956">
        <w:rPr>
          <w:i/>
          <w:vertAlign w:val="subscript"/>
        </w:rPr>
        <w:t>i</w:t>
      </w:r>
      <w:r w:rsidR="009C7235" w:rsidRPr="00E775C9">
        <w:t>,</w:t>
      </w:r>
      <w:r w:rsidR="009C7235" w:rsidRPr="00660956">
        <w:rPr>
          <w:i/>
        </w:rPr>
        <w:t>j</w:t>
      </w:r>
      <w:r w:rsidR="009C7235" w:rsidRPr="00E775C9">
        <w:t xml:space="preserve">) + </w:t>
      </w:r>
      <w:r w:rsidR="009C7235" w:rsidRPr="00E775C9">
        <w:rPr>
          <w:i/>
          <w:iCs/>
        </w:rPr>
        <w:t>G</w:t>
      </w:r>
      <w:r w:rsidR="009C7235">
        <w:rPr>
          <w:i/>
          <w:iCs/>
          <w:vertAlign w:val="subscript"/>
        </w:rPr>
        <w:t>SRA</w:t>
      </w:r>
      <w:r w:rsidR="009C7235" w:rsidRPr="00E775C9">
        <w:rPr>
          <w:i/>
          <w:iCs/>
          <w:vertAlign w:val="subscript"/>
        </w:rPr>
        <w:t>,j</w:t>
      </w:r>
      <w:r w:rsidR="009C7235" w:rsidRPr="00E775C9">
        <w:rPr>
          <w:i/>
          <w:iCs/>
        </w:rPr>
        <w:t xml:space="preserve"> </w:t>
      </w:r>
      <w:r w:rsidR="009C7235" w:rsidRPr="00E775C9">
        <w:t xml:space="preserve">– </w:t>
      </w:r>
      <w:r w:rsidR="009C7235" w:rsidRPr="00E775C9">
        <w:rPr>
          <w:i/>
          <w:iCs/>
        </w:rPr>
        <w:t>A</w:t>
      </w:r>
      <w:r w:rsidR="009C7235" w:rsidRPr="00E775C9">
        <w:rPr>
          <w:i/>
          <w:iCs/>
          <w:vertAlign w:val="subscript"/>
        </w:rPr>
        <w:t>O</w:t>
      </w:r>
      <w:r w:rsidRPr="00E775C9">
        <w:rPr>
          <w:i/>
          <w:iCs/>
          <w:vertAlign w:val="subscript"/>
        </w:rPr>
        <w:t>o</w:t>
      </w:r>
      <w:r w:rsidR="009C7235" w:rsidRPr="00E775C9">
        <w:rPr>
          <w:i/>
          <w:iCs/>
          <w:vertAlign w:val="subscript"/>
        </w:rPr>
        <w:t>B</w:t>
      </w:r>
    </w:p>
    <w:p w:rsidR="009C7235" w:rsidRPr="00E775C9" w:rsidRDefault="00660956" w:rsidP="009C7235">
      <w:pPr>
        <w:pStyle w:val="enumlev1"/>
      </w:pPr>
      <w:r>
        <w:t xml:space="preserve">Etape </w:t>
      </w:r>
      <w:r w:rsidR="009C7235" w:rsidRPr="00E775C9">
        <w:t>14</w:t>
      </w:r>
      <w:r w:rsidR="009C7235" w:rsidRPr="00E775C9">
        <w:tab/>
        <w:t xml:space="preserve">Incrémenter le brouillage moyen cumulatif </w:t>
      </w:r>
      <w:r w:rsidR="009C7235" w:rsidRPr="00E775C9">
        <w:rPr>
          <w:i/>
          <w:iCs/>
        </w:rPr>
        <w:t>I</w:t>
      </w:r>
      <w:r w:rsidR="009C7235" w:rsidRPr="00E775C9">
        <w:t xml:space="preserve"> par </w:t>
      </w:r>
      <w:r w:rsidR="009C7235" w:rsidRPr="00E775C9">
        <w:rPr>
          <w:i/>
          <w:iCs/>
        </w:rPr>
        <w:t>I</w:t>
      </w:r>
      <w:r w:rsidR="009C7235" w:rsidRPr="00E775C9">
        <w:rPr>
          <w:i/>
          <w:iCs/>
          <w:vertAlign w:val="subscript"/>
        </w:rPr>
        <w:t>j</w:t>
      </w:r>
      <w:r w:rsidR="009C7235" w:rsidRPr="00E775C9">
        <w:t>:</w:t>
      </w:r>
    </w:p>
    <w:p w:rsidR="009C7235" w:rsidRPr="00E775C9" w:rsidRDefault="00D82480" w:rsidP="009C7235">
      <w:pPr>
        <w:pStyle w:val="enumlev1"/>
      </w:pPr>
      <w:r>
        <w:tab/>
      </w:r>
      <w:r>
        <w:tab/>
      </w:r>
      <w:r>
        <w:tab/>
      </w:r>
      <w:r w:rsidR="009C7235" w:rsidRPr="00E775C9">
        <w:tab/>
      </w:r>
      <w:r w:rsidR="009C7235" w:rsidRPr="00E775C9">
        <w:rPr>
          <w:i/>
          <w:iCs/>
        </w:rPr>
        <w:t>I</w:t>
      </w:r>
      <w:r w:rsidR="009C7235" w:rsidRPr="00E775C9">
        <w:t xml:space="preserve"> </w:t>
      </w:r>
      <w:r w:rsidR="009C7235" w:rsidRPr="00E775C9">
        <w:sym w:font="Symbol" w:char="F0DE"/>
      </w:r>
      <w:r w:rsidR="009C7235" w:rsidRPr="00E775C9">
        <w:t xml:space="preserve"> </w:t>
      </w:r>
      <w:r w:rsidR="009C7235" w:rsidRPr="00E775C9">
        <w:rPr>
          <w:i/>
          <w:iCs/>
        </w:rPr>
        <w:t>I</w:t>
      </w:r>
      <w:r w:rsidR="009C7235" w:rsidRPr="00E775C9">
        <w:t xml:space="preserve"> + 10^(</w:t>
      </w:r>
      <w:r w:rsidR="009C7235" w:rsidRPr="00E775C9">
        <w:rPr>
          <w:i/>
          <w:iCs/>
        </w:rPr>
        <w:t>I</w:t>
      </w:r>
      <w:r w:rsidR="009C7235" w:rsidRPr="00E775C9">
        <w:rPr>
          <w:i/>
          <w:iCs/>
          <w:vertAlign w:val="subscript"/>
        </w:rPr>
        <w:t>j</w:t>
      </w:r>
      <w:r w:rsidR="009C7235" w:rsidRPr="00E775C9">
        <w:t>/10)</w:t>
      </w:r>
    </w:p>
    <w:p w:rsidR="009C7235" w:rsidRPr="00E775C9" w:rsidRDefault="00D82480" w:rsidP="00D82480">
      <w:pPr>
        <w:pStyle w:val="enumlev1"/>
        <w:ind w:left="1191" w:hanging="1191"/>
      </w:pPr>
      <w:r>
        <w:t xml:space="preserve">Etape </w:t>
      </w:r>
      <w:r w:rsidR="009C7235" w:rsidRPr="00E775C9">
        <w:t>15</w:t>
      </w:r>
      <w:r w:rsidR="009C7235" w:rsidRPr="00E775C9">
        <w:tab/>
      </w:r>
      <w:r w:rsidR="009C7235">
        <w:t xml:space="preserve">Lorsque tous les points de mesure ont été inclus, </w:t>
      </w:r>
      <w:r w:rsidR="009C7235" w:rsidRPr="00E775C9">
        <w:t xml:space="preserve">convertir le brouillage moyen cumulatif </w:t>
      </w:r>
      <w:r w:rsidR="009C7235" w:rsidRPr="00E775C9">
        <w:rPr>
          <w:i/>
          <w:iCs/>
        </w:rPr>
        <w:t>I</w:t>
      </w:r>
      <w:r w:rsidR="009C7235" w:rsidRPr="00E775C9">
        <w:t xml:space="preserve"> en dB:</w:t>
      </w:r>
    </w:p>
    <w:p w:rsidR="009C7235" w:rsidRPr="00E775C9" w:rsidRDefault="00D82480" w:rsidP="00910B95">
      <w:pPr>
        <w:pStyle w:val="enumlev1"/>
      </w:pPr>
      <w:r>
        <w:tab/>
      </w:r>
      <w:r>
        <w:tab/>
      </w:r>
      <w:r>
        <w:tab/>
      </w:r>
      <w:r w:rsidR="009C7235" w:rsidRPr="00E775C9">
        <w:tab/>
      </w:r>
      <w:r w:rsidR="009C7235" w:rsidRPr="00E775C9">
        <w:rPr>
          <w:i/>
          <w:iCs/>
        </w:rPr>
        <w:t>I</w:t>
      </w:r>
      <w:r w:rsidR="009C7235" w:rsidRPr="00E775C9">
        <w:t xml:space="preserve"> </w:t>
      </w:r>
      <w:r w:rsidR="009C7235" w:rsidRPr="00E775C9">
        <w:sym w:font="Symbol" w:char="F0DE"/>
      </w:r>
      <w:r w:rsidR="009C7235" w:rsidRPr="00E775C9">
        <w:t xml:space="preserve"> 10 log</w:t>
      </w:r>
      <w:r w:rsidR="009C7235" w:rsidRPr="00E775C9">
        <w:rPr>
          <w:vertAlign w:val="subscript"/>
        </w:rPr>
        <w:t>10 </w:t>
      </w:r>
      <w:r w:rsidR="009C7235" w:rsidRPr="00E775C9">
        <w:t>(</w:t>
      </w:r>
      <w:r w:rsidR="009C7235" w:rsidRPr="00E775C9">
        <w:rPr>
          <w:i/>
          <w:iCs/>
        </w:rPr>
        <w:t>I</w:t>
      </w:r>
      <w:r w:rsidR="009C7235" w:rsidRPr="00E775C9">
        <w:t>)</w:t>
      </w:r>
    </w:p>
    <w:p w:rsidR="009C7235" w:rsidRPr="00E775C9" w:rsidRDefault="00D82480" w:rsidP="00D82480">
      <w:pPr>
        <w:pStyle w:val="enumlev1"/>
        <w:ind w:left="1191" w:hanging="1191"/>
      </w:pPr>
      <w:r>
        <w:t xml:space="preserve">Etape </w:t>
      </w:r>
      <w:r w:rsidR="009C7235" w:rsidRPr="00E775C9">
        <w:t>16</w:t>
      </w:r>
      <w:r w:rsidR="009C7235" w:rsidRPr="00E775C9">
        <w:tab/>
        <w:t xml:space="preserve">Si le brouillage moyen cumulatif </w:t>
      </w:r>
      <w:r w:rsidR="009C7235" w:rsidRPr="00E775C9">
        <w:rPr>
          <w:i/>
          <w:iCs/>
        </w:rPr>
        <w:t xml:space="preserve">I </w:t>
      </w:r>
      <w:r w:rsidR="009C7235" w:rsidRPr="00E775C9">
        <w:t xml:space="preserve">dépasse le seuil </w:t>
      </w:r>
      <w:r w:rsidR="009C7235">
        <w:t>SRA</w:t>
      </w:r>
      <w:r w:rsidR="009C7235" w:rsidRPr="00E775C9">
        <w:t>, incrémenter le nombre d'observa</w:t>
      </w:r>
      <w:r w:rsidR="009C7235">
        <w:t>tions subissant des brouillages</w:t>
      </w:r>
      <w:r w:rsidR="009C7235" w:rsidRPr="00E775C9">
        <w:t xml:space="preserve">, </w:t>
      </w:r>
      <w:r w:rsidR="009C7235" w:rsidRPr="00D82480">
        <w:rPr>
          <w:i/>
        </w:rPr>
        <w:t>M</w:t>
      </w:r>
      <w:r w:rsidR="009C7235" w:rsidRPr="00E775C9">
        <w:t>.</w:t>
      </w:r>
    </w:p>
    <w:p w:rsidR="009C7235" w:rsidRPr="00E775C9" w:rsidRDefault="00D82480" w:rsidP="009C7235">
      <w:pPr>
        <w:pStyle w:val="enumlev1"/>
      </w:pPr>
      <w:r>
        <w:t xml:space="preserve">Etape </w:t>
      </w:r>
      <w:r w:rsidR="009C7235" w:rsidRPr="00E775C9">
        <w:t>17</w:t>
      </w:r>
      <w:r w:rsidR="009C7235" w:rsidRPr="00E775C9">
        <w:tab/>
        <w:t xml:space="preserve">Incrémenter le nombre d'échantillons, </w:t>
      </w:r>
      <w:r w:rsidR="009C7235" w:rsidRPr="00D82480">
        <w:rPr>
          <w:i/>
        </w:rPr>
        <w:t>N</w:t>
      </w:r>
      <w:r w:rsidR="009C7235" w:rsidRPr="00E775C9">
        <w:t>.</w:t>
      </w:r>
    </w:p>
    <w:p w:rsidR="009C7235" w:rsidRPr="00E775C9" w:rsidRDefault="00D82480" w:rsidP="009C7235">
      <w:pPr>
        <w:pStyle w:val="enumlev1"/>
      </w:pPr>
      <w:r>
        <w:t xml:space="preserve">Etape </w:t>
      </w:r>
      <w:r w:rsidR="009C7235" w:rsidRPr="00E775C9">
        <w:t>18</w:t>
      </w:r>
      <w:r w:rsidR="009C7235" w:rsidRPr="00E775C9">
        <w:tab/>
        <w:t xml:space="preserve">Calculer la probabilité pour qu'une observation subisse des brouillages, </w:t>
      </w:r>
      <w:r w:rsidR="009C7235" w:rsidRPr="00E775C9">
        <w:rPr>
          <w:i/>
          <w:iCs/>
        </w:rPr>
        <w:t>P</w:t>
      </w:r>
      <w:r w:rsidR="009C7235" w:rsidRPr="00E775C9">
        <w:rPr>
          <w:i/>
          <w:iCs/>
          <w:vertAlign w:val="subscript"/>
        </w:rPr>
        <w:t>ob</w:t>
      </w:r>
      <w:r>
        <w:t> </w:t>
      </w:r>
      <w:r w:rsidR="009C7235" w:rsidRPr="00E775C9">
        <w:t>=</w:t>
      </w:r>
      <w:r>
        <w:t> </w:t>
      </w:r>
      <w:r w:rsidR="009C7235" w:rsidRPr="00E775C9">
        <w:t>100</w:t>
      </w:r>
      <w:r w:rsidR="009C7235" w:rsidRPr="00D82480">
        <w:rPr>
          <w:i/>
        </w:rPr>
        <w:t>M</w:t>
      </w:r>
      <w:r w:rsidR="009C7235" w:rsidRPr="00E775C9">
        <w:t>/</w:t>
      </w:r>
      <w:r w:rsidR="009C7235" w:rsidRPr="00D82480">
        <w:rPr>
          <w:i/>
        </w:rPr>
        <w:t>N</w:t>
      </w:r>
      <w:r w:rsidR="009C7235" w:rsidRPr="00E775C9">
        <w:t>.</w:t>
      </w:r>
    </w:p>
    <w:p w:rsidR="009C7235" w:rsidRPr="00E775C9" w:rsidRDefault="009C7235" w:rsidP="009C7235">
      <w:pPr>
        <w:pStyle w:val="Note"/>
      </w:pPr>
      <w:r>
        <w:t>NOTE 1 – </w:t>
      </w:r>
      <w:r w:rsidRPr="00E775C9">
        <w:t>Nombre d'échantillons requis</w:t>
      </w:r>
      <w:r>
        <w:t xml:space="preserve"> – </w:t>
      </w:r>
      <w:r w:rsidRPr="00E775C9">
        <w:t>évaluer la signification statistique.</w:t>
      </w:r>
    </w:p>
    <w:p w:rsidR="009C7235" w:rsidRPr="00E775C9" w:rsidRDefault="009C7235" w:rsidP="009C7235">
      <w:r w:rsidRPr="00E775C9">
        <w:t xml:space="preserve">On peut déterminer la </w:t>
      </w:r>
      <w:r>
        <w:t>signification</w:t>
      </w:r>
      <w:r w:rsidRPr="00E775C9">
        <w:t xml:space="preserve"> des résultats en </w:t>
      </w:r>
      <w:r>
        <w:t xml:space="preserve">appliquant </w:t>
      </w:r>
      <w:r w:rsidRPr="00E775C9">
        <w:t xml:space="preserve">l'essai de </w:t>
      </w:r>
      <w:r>
        <w:t xml:space="preserve">la distribution du </w:t>
      </w:r>
      <w:r w:rsidRPr="009F2817">
        <w:rPr>
          <w:i/>
          <w:iCs/>
        </w:rPr>
        <w:t>t</w:t>
      </w:r>
      <w:r>
        <w:t xml:space="preserve"> de Student</w:t>
      </w:r>
      <w:r w:rsidRPr="00E775C9">
        <w:t xml:space="preserve">. Cette méthode consiste à calculer </w:t>
      </w:r>
      <w:r>
        <w:t>l'écart</w:t>
      </w:r>
      <w:r w:rsidRPr="00E775C9">
        <w:t xml:space="preserve"> par rapport à la </w:t>
      </w:r>
      <w:r>
        <w:t>moyenne de la population divisé</w:t>
      </w:r>
      <w:r w:rsidRPr="00E775C9">
        <w:t xml:space="preserve"> par l'erreur </w:t>
      </w:r>
      <w:r>
        <w:t>type</w:t>
      </w:r>
      <w:r w:rsidRPr="00E775C9">
        <w:t xml:space="preserve"> estimée</w:t>
      </w:r>
      <w:r>
        <w:t>, autrement dit</w:t>
      </w:r>
      <w:r w:rsidRPr="00E775C9">
        <w:t>:</w:t>
      </w:r>
    </w:p>
    <w:p w:rsidR="009C7235" w:rsidRPr="00E775C9" w:rsidRDefault="009C7235" w:rsidP="009C7235">
      <w:pPr>
        <w:pStyle w:val="Equation"/>
      </w:pPr>
      <w:r w:rsidRPr="00E775C9">
        <w:tab/>
      </w:r>
      <w:r w:rsidRPr="00E775C9">
        <w:tab/>
      </w:r>
      <w:r w:rsidRPr="00E775C9">
        <w:rPr>
          <w:position w:val="-32"/>
        </w:rPr>
        <w:object w:dxaOrig="1240" w:dyaOrig="700">
          <v:shape id="_x0000_i1027" type="#_x0000_t75" style="width:62.2pt;height:35.15pt" o:ole="" fillcolor="window">
            <v:imagedata r:id="rId11" o:title=""/>
          </v:shape>
          <o:OLEObject Type="Embed" ProgID="Equation.3" ShapeID="_x0000_i1027" DrawAspect="Content" ObjectID="_1574228301" r:id="rId12"/>
        </w:object>
      </w:r>
    </w:p>
    <w:p w:rsidR="009C7235" w:rsidRPr="00E775C9" w:rsidRDefault="009C7235" w:rsidP="009C7235">
      <w:proofErr w:type="gramStart"/>
      <w:r w:rsidRPr="00E775C9">
        <w:t>où</w:t>
      </w:r>
      <w:proofErr w:type="gramEnd"/>
      <w:r w:rsidRPr="00E775C9">
        <w:t>:</w:t>
      </w:r>
    </w:p>
    <w:p w:rsidR="009C7235" w:rsidRPr="009C7235" w:rsidRDefault="009C7235" w:rsidP="009C7235">
      <w:pPr>
        <w:pStyle w:val="Equationlegend"/>
        <w:rPr>
          <w:lang w:val="fr-FR"/>
        </w:rPr>
      </w:pPr>
      <w:r w:rsidRPr="009C7235">
        <w:rPr>
          <w:lang w:val="fr-FR"/>
        </w:rPr>
        <w:tab/>
      </w:r>
      <w:r w:rsidRPr="00E775C9">
        <w:rPr>
          <w:position w:val="-6"/>
        </w:rPr>
        <w:object w:dxaOrig="220" w:dyaOrig="260">
          <v:shape id="_x0000_i1028" type="#_x0000_t75" style="width:11.5pt;height:12.65pt" o:ole="" fillcolor="window">
            <v:imagedata r:id="rId13" o:title=""/>
          </v:shape>
          <o:OLEObject Type="Embed" ProgID="Equation.3" ShapeID="_x0000_i1028" DrawAspect="Content" ObjectID="_1574228302" r:id="rId14"/>
        </w:object>
      </w:r>
      <w:r w:rsidR="00D82480">
        <w:rPr>
          <w:lang w:val="fr-FR"/>
        </w:rPr>
        <w:t>:</w:t>
      </w:r>
      <w:r w:rsidRPr="009C7235">
        <w:rPr>
          <w:lang w:val="fr-FR"/>
        </w:rPr>
        <w:t xml:space="preserve"> </w:t>
      </w:r>
      <w:r w:rsidRPr="009C7235">
        <w:rPr>
          <w:lang w:val="fr-FR"/>
        </w:rPr>
        <w:tab/>
        <w:t>moyenne calculée à partir de l'échantillon</w:t>
      </w:r>
    </w:p>
    <w:p w:rsidR="009C7235" w:rsidRPr="009C7235" w:rsidRDefault="009C7235" w:rsidP="009C7235">
      <w:pPr>
        <w:pStyle w:val="Equationlegend"/>
        <w:rPr>
          <w:lang w:val="fr-FR"/>
        </w:rPr>
      </w:pPr>
      <w:r w:rsidRPr="009C7235">
        <w:rPr>
          <w:lang w:val="fr-FR"/>
        </w:rPr>
        <w:tab/>
      </w:r>
      <w:r w:rsidRPr="00E775C9">
        <w:rPr>
          <w:position w:val="-10"/>
        </w:rPr>
        <w:object w:dxaOrig="200" w:dyaOrig="260">
          <v:shape id="_x0000_i1029" type="#_x0000_t75" style="width:9.8pt;height:12.65pt" o:ole="" fillcolor="window">
            <v:imagedata r:id="rId15" o:title=""/>
          </v:shape>
          <o:OLEObject Type="Embed" ProgID="Equation.3" ShapeID="_x0000_i1029" DrawAspect="Content" ObjectID="_1574228303" r:id="rId16"/>
        </w:object>
      </w:r>
      <w:r w:rsidRPr="009C7235">
        <w:rPr>
          <w:lang w:val="fr-FR"/>
        </w:rPr>
        <w:t xml:space="preserve"> </w:t>
      </w:r>
      <w:r w:rsidR="00D82480">
        <w:rPr>
          <w:lang w:val="fr-FR"/>
        </w:rPr>
        <w:t>:</w:t>
      </w:r>
      <w:r w:rsidRPr="009C7235">
        <w:rPr>
          <w:lang w:val="fr-FR"/>
        </w:rPr>
        <w:t xml:space="preserve"> </w:t>
      </w:r>
      <w:r w:rsidRPr="009C7235">
        <w:rPr>
          <w:lang w:val="fr-FR"/>
        </w:rPr>
        <w:tab/>
        <w:t>moyenne calculée à partir de la population totale</w:t>
      </w:r>
    </w:p>
    <w:p w:rsidR="009C7235" w:rsidRPr="009C7235" w:rsidRDefault="009C7235" w:rsidP="009C7235">
      <w:pPr>
        <w:pStyle w:val="Equationlegend"/>
        <w:rPr>
          <w:lang w:val="fr-FR"/>
        </w:rPr>
      </w:pPr>
      <w:r w:rsidRPr="009C7235">
        <w:rPr>
          <w:lang w:val="fr-FR"/>
        </w:rPr>
        <w:tab/>
      </w:r>
      <w:r w:rsidRPr="00E775C9">
        <w:rPr>
          <w:position w:val="-12"/>
        </w:rPr>
        <w:object w:dxaOrig="460" w:dyaOrig="360">
          <v:shape id="_x0000_i1030" type="#_x0000_t75" style="width:23.6pt;height:17.85pt" o:ole="" fillcolor="window">
            <v:imagedata r:id="rId17" o:title=""/>
          </v:shape>
          <o:OLEObject Type="Embed" ProgID="Equation.3" ShapeID="_x0000_i1030" DrawAspect="Content" ObjectID="_1574228304" r:id="rId18"/>
        </w:object>
      </w:r>
      <w:r w:rsidRPr="009C7235">
        <w:rPr>
          <w:lang w:val="fr-FR"/>
        </w:rPr>
        <w:t xml:space="preserve"> </w:t>
      </w:r>
      <w:r w:rsidR="00D82480">
        <w:rPr>
          <w:lang w:val="fr-FR"/>
        </w:rPr>
        <w:t>:</w:t>
      </w:r>
      <w:r w:rsidRPr="009C7235">
        <w:rPr>
          <w:lang w:val="fr-FR"/>
        </w:rPr>
        <w:t xml:space="preserve"> </w:t>
      </w:r>
      <w:r w:rsidRPr="009C7235">
        <w:rPr>
          <w:lang w:val="fr-FR"/>
        </w:rPr>
        <w:tab/>
        <w:t>écart type de l'échantillon</w:t>
      </w:r>
    </w:p>
    <w:p w:rsidR="009C7235" w:rsidRPr="009C7235" w:rsidRDefault="009C7235" w:rsidP="009C7235">
      <w:pPr>
        <w:pStyle w:val="Equationlegend"/>
        <w:rPr>
          <w:lang w:val="fr-FR"/>
        </w:rPr>
      </w:pPr>
      <w:r w:rsidRPr="009C7235">
        <w:rPr>
          <w:lang w:val="fr-FR"/>
        </w:rPr>
        <w:tab/>
      </w:r>
      <w:proofErr w:type="gramStart"/>
      <w:r w:rsidRPr="009C7235">
        <w:rPr>
          <w:i/>
          <w:iCs/>
          <w:lang w:val="fr-FR"/>
        </w:rPr>
        <w:t>n</w:t>
      </w:r>
      <w:proofErr w:type="gramEnd"/>
      <w:r w:rsidRPr="009C7235">
        <w:rPr>
          <w:lang w:val="fr-FR"/>
        </w:rPr>
        <w:t xml:space="preserve"> </w:t>
      </w:r>
      <w:r w:rsidR="00D82480">
        <w:rPr>
          <w:lang w:val="fr-FR"/>
        </w:rPr>
        <w:t>:</w:t>
      </w:r>
      <w:r w:rsidRPr="009C7235">
        <w:rPr>
          <w:lang w:val="fr-FR"/>
        </w:rPr>
        <w:t xml:space="preserve"> </w:t>
      </w:r>
      <w:r w:rsidRPr="009C7235">
        <w:rPr>
          <w:lang w:val="fr-FR"/>
        </w:rPr>
        <w:tab/>
        <w:t>taille de l'échantillon.</w:t>
      </w:r>
    </w:p>
    <w:p w:rsidR="009C7235" w:rsidRPr="00E775C9" w:rsidRDefault="009C7235" w:rsidP="009C7235">
      <w:r w:rsidRPr="00E775C9">
        <w:t xml:space="preserve">On peut ensuite </w:t>
      </w:r>
      <w:r>
        <w:t>comparer cela par rapport à</w:t>
      </w:r>
      <w:r w:rsidRPr="00E775C9">
        <w:t xml:space="preserve"> la probabilité de distribution </w:t>
      </w:r>
      <w:r w:rsidRPr="00D82480">
        <w:rPr>
          <w:i/>
        </w:rPr>
        <w:t>t</w:t>
      </w:r>
      <w:r w:rsidRPr="00E775C9">
        <w:t xml:space="preserve"> d'une hypothèse (par exemple, l'hypothèse selon laquelle </w:t>
      </w:r>
      <w:r w:rsidRPr="00E775C9">
        <w:rPr>
          <w:position w:val="-10"/>
        </w:rPr>
        <w:object w:dxaOrig="720" w:dyaOrig="320">
          <v:shape id="_x0000_i1031" type="#_x0000_t75" style="width:36.3pt;height:15.55pt" o:ole="" fillcolor="window">
            <v:imagedata r:id="rId19" o:title=""/>
          </v:shape>
          <o:OLEObject Type="Embed" ProgID="Equation.3" ShapeID="_x0000_i1031" DrawAspect="Content" ObjectID="_1574228305" r:id="rId20"/>
        </w:object>
      </w:r>
      <w:r w:rsidRPr="00E775C9">
        <w:t xml:space="preserve">) </w:t>
      </w:r>
      <w:r>
        <w:t>pour le</w:t>
      </w:r>
      <w:r w:rsidRPr="00E775C9">
        <w:t xml:space="preserve"> niveau requis de certitude.</w:t>
      </w:r>
    </w:p>
    <w:p w:rsidR="009C7235" w:rsidRPr="00172111" w:rsidRDefault="009C7235" w:rsidP="009C7235">
      <w:r w:rsidRPr="00172111">
        <w:t xml:space="preserve">Les étapes qui suivent montrent la manière </w:t>
      </w:r>
      <w:r>
        <w:t>d'implémenter cela</w:t>
      </w:r>
      <w:r w:rsidRPr="00172111">
        <w:t xml:space="preserve"> dans l'algorithme:</w:t>
      </w:r>
    </w:p>
    <w:p w:rsidR="009C7235" w:rsidRPr="00172111" w:rsidRDefault="00D82480" w:rsidP="001F1CD5">
      <w:pPr>
        <w:pStyle w:val="enumlev1"/>
      </w:pPr>
      <w:r>
        <w:t xml:space="preserve">Etape </w:t>
      </w:r>
      <w:r w:rsidR="009C7235" w:rsidRPr="00172111">
        <w:t>1</w:t>
      </w:r>
      <w:r w:rsidR="009C7235" w:rsidRPr="00172111">
        <w:tab/>
      </w:r>
      <w:r w:rsidR="009C7235">
        <w:t>Définir</w:t>
      </w:r>
      <w:r w:rsidR="009C7235" w:rsidRPr="00172111">
        <w:t xml:space="preserve"> la simulation pour </w:t>
      </w:r>
      <w:r w:rsidR="009C7235">
        <w:t>enregistrer la probabilité</w:t>
      </w:r>
      <w:r w:rsidR="009C7235" w:rsidRPr="00172111">
        <w:t xml:space="preserve"> </w:t>
      </w:r>
      <w:r w:rsidR="009C7235">
        <w:t xml:space="preserve">de dépassement de </w:t>
      </w:r>
      <w:r w:rsidR="009C7235" w:rsidRPr="00172111">
        <w:rPr>
          <w:i/>
          <w:iCs/>
        </w:rPr>
        <w:t>I</w:t>
      </w:r>
      <w:r w:rsidR="009C7235">
        <w:rPr>
          <w:i/>
          <w:iCs/>
        </w:rPr>
        <w:t xml:space="preserve"> </w:t>
      </w:r>
      <w:r w:rsidR="009C7235">
        <w:t>tous les 1 000 pas de temps.</w:t>
      </w:r>
    </w:p>
    <w:p w:rsidR="009C7235" w:rsidRPr="00172111" w:rsidRDefault="00D82480" w:rsidP="009C7235">
      <w:pPr>
        <w:pStyle w:val="enumlev1"/>
      </w:pPr>
      <w:r>
        <w:t xml:space="preserve">Etape </w:t>
      </w:r>
      <w:r w:rsidR="009C7235" w:rsidRPr="00172111">
        <w:t>2</w:t>
      </w:r>
      <w:r w:rsidR="009C7235" w:rsidRPr="00172111">
        <w:tab/>
        <w:t xml:space="preserve">Exécuter 5 </w:t>
      </w:r>
      <w:r w:rsidR="009C7235">
        <w:t>ensembles de 1 000 pas de temps.</w:t>
      </w:r>
    </w:p>
    <w:p w:rsidR="009C7235" w:rsidRPr="00172111" w:rsidRDefault="00D82480" w:rsidP="009C7235">
      <w:pPr>
        <w:pStyle w:val="enumlev1"/>
      </w:pPr>
      <w:r>
        <w:t xml:space="preserve">Etape </w:t>
      </w:r>
      <w:r w:rsidR="009C7235" w:rsidRPr="00172111">
        <w:t>3</w:t>
      </w:r>
      <w:r w:rsidR="009C7235" w:rsidRPr="00172111">
        <w:tab/>
        <w:t xml:space="preserve">Evaluer la signification </w:t>
      </w:r>
      <w:r w:rsidR="009C7235" w:rsidRPr="00172111">
        <w:rPr>
          <w:i/>
          <w:iCs/>
        </w:rPr>
        <w:t>t</w:t>
      </w:r>
      <w:r w:rsidR="009C7235">
        <w:t xml:space="preserve"> </w:t>
      </w:r>
      <w:r w:rsidR="009C7235" w:rsidRPr="00172111">
        <w:t xml:space="preserve">des données actualisées </w:t>
      </w:r>
      <w:r w:rsidR="009C7235">
        <w:t>pour le niveau requis de certitude.</w:t>
      </w:r>
    </w:p>
    <w:p w:rsidR="009C7235" w:rsidRPr="00172111" w:rsidRDefault="00D82480" w:rsidP="009C7235">
      <w:pPr>
        <w:pStyle w:val="enumlev1"/>
      </w:pPr>
      <w:r>
        <w:t xml:space="preserve">Etape </w:t>
      </w:r>
      <w:r w:rsidR="009C7235" w:rsidRPr="00172111">
        <w:t>4</w:t>
      </w:r>
      <w:r w:rsidR="009C7235" w:rsidRPr="00172111">
        <w:tab/>
        <w:t>Si ces données ne sont pas significatives, exécuter 1 000 a</w:t>
      </w:r>
      <w:r w:rsidR="009C7235">
        <w:t>utres pas et passer à l'étape 3.</w:t>
      </w:r>
    </w:p>
    <w:p w:rsidR="009C7235" w:rsidRPr="00172111" w:rsidRDefault="00D82480" w:rsidP="009C7235">
      <w:pPr>
        <w:pStyle w:val="enumlev1"/>
      </w:pPr>
      <w:r>
        <w:t xml:space="preserve">Etape </w:t>
      </w:r>
      <w:r w:rsidR="009C7235" w:rsidRPr="00172111">
        <w:t>5</w:t>
      </w:r>
      <w:r w:rsidR="009C7235" w:rsidRPr="00172111">
        <w:tab/>
        <w:t>Si elles sont significatives, indiquer les résultats.</w:t>
      </w:r>
    </w:p>
    <w:p w:rsidR="009C7235" w:rsidRPr="00172111" w:rsidRDefault="009C7235" w:rsidP="009C7235">
      <w:pPr>
        <w:pStyle w:val="Note"/>
        <w:spacing w:before="160"/>
      </w:pPr>
      <w:r w:rsidRPr="00172111">
        <w:t>NOTE</w:t>
      </w:r>
      <w:r>
        <w:t> 2 – </w:t>
      </w:r>
      <w:r w:rsidRPr="00172111">
        <w:t>Utiliser la Recommandation UIT-R P.452.</w:t>
      </w:r>
    </w:p>
    <w:p w:rsidR="009C7235" w:rsidRPr="00172111" w:rsidRDefault="009C7235" w:rsidP="009C7235">
      <w:pPr>
        <w:tabs>
          <w:tab w:val="clear" w:pos="794"/>
        </w:tabs>
      </w:pPr>
      <w:r w:rsidRPr="00172111">
        <w:t xml:space="preserve">Le pourcentage de temps </w:t>
      </w:r>
      <w:r w:rsidRPr="00D82480">
        <w:rPr>
          <w:i/>
        </w:rPr>
        <w:t>P</w:t>
      </w:r>
      <w:r w:rsidRPr="00172111">
        <w:t xml:space="preserve"> de la Recommandation UIT-R P.452 est un nombre aléatoire </w:t>
      </w:r>
      <w:r>
        <w:t>pris dans une</w:t>
      </w:r>
      <w:r w:rsidRPr="00172111">
        <w:t xml:space="preserve"> distribution uniforme entre 0 et 100%. Pour assurer la compatibilité avec les intervalles de probabilité qu'autorise la méthode définie dans </w:t>
      </w:r>
      <w:r>
        <w:t>ladite</w:t>
      </w:r>
      <w:r w:rsidRPr="00172111">
        <w:t xml:space="preserve"> Recommandation, il convient d'appliquer les limites suivantes:</w:t>
      </w:r>
    </w:p>
    <w:p w:rsidR="009C7235" w:rsidRPr="00172111" w:rsidRDefault="009C7235" w:rsidP="009C7235">
      <w:pPr>
        <w:pStyle w:val="enumlev1"/>
      </w:pPr>
      <w:r w:rsidRPr="00172111">
        <w:t>–</w:t>
      </w:r>
      <w:r w:rsidRPr="00172111">
        <w:tab/>
        <w:t xml:space="preserve">si </w:t>
      </w:r>
      <w:r w:rsidRPr="00D82480">
        <w:rPr>
          <w:i/>
        </w:rPr>
        <w:t>P</w:t>
      </w:r>
      <w:r w:rsidRPr="00172111">
        <w:t xml:space="preserve"> est supérieur à 50%, </w:t>
      </w:r>
      <w:r>
        <w:t>poser</w:t>
      </w:r>
      <w:r w:rsidRPr="00172111">
        <w:t xml:space="preserve"> </w:t>
      </w:r>
      <w:r w:rsidRPr="00D82480">
        <w:rPr>
          <w:i/>
        </w:rPr>
        <w:t>P</w:t>
      </w:r>
      <w:r w:rsidRPr="00172111">
        <w:t xml:space="preserve"> = 50%;</w:t>
      </w:r>
    </w:p>
    <w:p w:rsidR="009C7235" w:rsidRPr="00172111" w:rsidRDefault="009C7235" w:rsidP="009C7235">
      <w:pPr>
        <w:pStyle w:val="enumlev1"/>
      </w:pPr>
      <w:r w:rsidRPr="00172111">
        <w:t>–</w:t>
      </w:r>
      <w:r w:rsidRPr="00172111">
        <w:tab/>
        <w:t xml:space="preserve">si </w:t>
      </w:r>
      <w:r w:rsidRPr="00D82480">
        <w:rPr>
          <w:i/>
        </w:rPr>
        <w:t>P</w:t>
      </w:r>
      <w:r w:rsidRPr="00172111">
        <w:t xml:space="preserve"> est inférieur à </w:t>
      </w:r>
      <w:r>
        <w:t>0,</w:t>
      </w:r>
      <w:r w:rsidRPr="00172111">
        <w:t xml:space="preserve">001%, </w:t>
      </w:r>
      <w:r>
        <w:t xml:space="preserve">poser </w:t>
      </w:r>
      <w:r w:rsidRPr="00D82480">
        <w:rPr>
          <w:i/>
        </w:rPr>
        <w:t>P</w:t>
      </w:r>
      <w:r>
        <w:t xml:space="preserve"> = 0,</w:t>
      </w:r>
      <w:r w:rsidRPr="00172111">
        <w:t>001%.</w:t>
      </w:r>
    </w:p>
    <w:p w:rsidR="009C7235" w:rsidRPr="00172111" w:rsidRDefault="009C7235" w:rsidP="009C7235">
      <w:r w:rsidRPr="00172111">
        <w:t>Lorsqu'elles sont disponibles, les bases de données relatives au terrain et à l'écho doivent être utilisées pour le calcul de l'affaiblissement défini dans la Recommandation UIT</w:t>
      </w:r>
      <w:r w:rsidRPr="00172111">
        <w:noBreakHyphen/>
        <w:t>R P.452.</w:t>
      </w:r>
    </w:p>
    <w:p w:rsidR="009C7235" w:rsidRPr="00172111" w:rsidRDefault="009C7235" w:rsidP="009C7235">
      <w:pPr>
        <w:pStyle w:val="Heading1"/>
      </w:pPr>
      <w:r w:rsidRPr="00172111">
        <w:lastRenderedPageBreak/>
        <w:t>5</w:t>
      </w:r>
      <w:r w:rsidRPr="00172111">
        <w:tab/>
      </w:r>
      <w:r>
        <w:t>Résultat de la méthode</w:t>
      </w:r>
    </w:p>
    <w:p w:rsidR="009C7235" w:rsidRPr="00172111" w:rsidRDefault="009C7235" w:rsidP="009C7235">
      <w:r>
        <w:t xml:space="preserve">Le résultat que donne la méthode </w:t>
      </w:r>
      <w:r w:rsidRPr="00172111">
        <w:t xml:space="preserve">est une probabilité pour qu'une observation subisse des brouillages, </w:t>
      </w:r>
      <w:r w:rsidRPr="00D82480">
        <w:rPr>
          <w:i/>
        </w:rPr>
        <w:t>P</w:t>
      </w:r>
      <w:r w:rsidRPr="00D82480">
        <w:rPr>
          <w:i/>
          <w:vertAlign w:val="subscript"/>
        </w:rPr>
        <w:t>ob</w:t>
      </w:r>
      <w:r w:rsidRPr="00172111">
        <w:t>.</w:t>
      </w:r>
    </w:p>
    <w:p w:rsidR="009C7235" w:rsidRPr="00172111" w:rsidRDefault="009C7235" w:rsidP="009C7235">
      <w:r>
        <w:t xml:space="preserve">Cette </w:t>
      </w:r>
      <w:r w:rsidRPr="00172111">
        <w:t xml:space="preserve">probabilité </w:t>
      </w:r>
      <w:r>
        <w:t xml:space="preserve">peut être comparée </w:t>
      </w:r>
      <w:r w:rsidRPr="00172111">
        <w:t xml:space="preserve">avec la probabilité </w:t>
      </w:r>
      <w:r>
        <w:t xml:space="preserve">pour qu'une observation subisse des brouillages </w:t>
      </w:r>
      <w:r w:rsidRPr="00172111">
        <w:t>acceptable</w:t>
      </w:r>
      <w:r>
        <w:t>s</w:t>
      </w:r>
      <w:r w:rsidRPr="00172111">
        <w:t xml:space="preserve">, à savoir 2% pour un réseau HDFS </w:t>
      </w:r>
      <w:r w:rsidR="00D82480">
        <w:t>P-MP</w:t>
      </w:r>
      <w:r w:rsidRPr="00172111">
        <w:t>.</w:t>
      </w:r>
    </w:p>
    <w:p w:rsidR="009C7235" w:rsidRPr="00172111" w:rsidRDefault="009C7235" w:rsidP="009C7235">
      <w:r w:rsidRPr="00172111">
        <w:t xml:space="preserve">Par conséquent, pour protéger le site </w:t>
      </w:r>
      <w:r>
        <w:t>SRA</w:t>
      </w:r>
      <w:r w:rsidRPr="00172111">
        <w:t>, la condition suivante doit être vraie:</w:t>
      </w:r>
    </w:p>
    <w:p w:rsidR="009C7235" w:rsidRDefault="009C7235" w:rsidP="009C7235">
      <w:pPr>
        <w:pStyle w:val="Equation"/>
        <w:spacing w:before="240"/>
      </w:pPr>
      <w:r w:rsidRPr="00172111">
        <w:tab/>
      </w:r>
      <w:r w:rsidRPr="00172111">
        <w:tab/>
      </w:r>
      <w:r w:rsidRPr="00D82480">
        <w:rPr>
          <w:i/>
        </w:rPr>
        <w:t>P</w:t>
      </w:r>
      <w:r w:rsidRPr="00D82480">
        <w:rPr>
          <w:i/>
          <w:vertAlign w:val="subscript"/>
        </w:rPr>
        <w:t>ob</w:t>
      </w:r>
      <w:r w:rsidRPr="00172111">
        <w:t xml:space="preserve"> </w:t>
      </w:r>
      <w:r w:rsidRPr="00172111">
        <w:sym w:font="Symbol" w:char="F0A3"/>
      </w:r>
      <w:r w:rsidRPr="00172111">
        <w:t xml:space="preserve"> 2%</w:t>
      </w:r>
      <w:r w:rsidRPr="00172111">
        <w:tab/>
        <w:t>(2)</w:t>
      </w:r>
    </w:p>
    <w:p w:rsidR="009C7235" w:rsidRDefault="009C7235" w:rsidP="00D82480"/>
    <w:p w:rsidR="00D1175A" w:rsidRDefault="00D1175A" w:rsidP="00D82480"/>
    <w:p w:rsidR="009C7235" w:rsidRPr="00172111" w:rsidRDefault="00E006BE" w:rsidP="00910B95">
      <w:pPr>
        <w:pStyle w:val="AppendixNoTitle"/>
      </w:pPr>
      <w:r>
        <w:t xml:space="preserve">Pièce jointe </w:t>
      </w:r>
      <w:r w:rsidR="009C7235" w:rsidRPr="00172111">
        <w:t>1</w:t>
      </w:r>
      <w:r w:rsidR="009C7235" w:rsidRPr="00172111">
        <w:br/>
      </w:r>
      <w:r w:rsidR="00D30DD8">
        <w:t>à</w:t>
      </w:r>
      <w:r w:rsidR="009C7235" w:rsidRPr="00172111">
        <w:t xml:space="preserve"> </w:t>
      </w:r>
      <w:r w:rsidR="009C7235">
        <w:t>l'</w:t>
      </w:r>
      <w:r w:rsidR="009C7235" w:rsidRPr="00172111">
        <w:t>Annexe 1</w:t>
      </w:r>
      <w:r w:rsidR="009C7235" w:rsidRPr="00172111">
        <w:br/>
      </w:r>
      <w:r w:rsidR="009C7235" w:rsidRPr="00172111">
        <w:br/>
        <w:t>Exemple de calcul</w:t>
      </w:r>
    </w:p>
    <w:p w:rsidR="009C7235" w:rsidRPr="00172111" w:rsidRDefault="00E006BE" w:rsidP="00910B95">
      <w:pPr>
        <w:pStyle w:val="Normalaftertitle"/>
      </w:pPr>
      <w:r>
        <w:t>L</w:t>
      </w:r>
      <w:r w:rsidR="00030BDA">
        <w:t>a présente P</w:t>
      </w:r>
      <w:r>
        <w:t>ièce jointe</w:t>
      </w:r>
      <w:r w:rsidR="00D82480" w:rsidRPr="00172111">
        <w:t xml:space="preserve"> </w:t>
      </w:r>
      <w:r w:rsidR="009C7235" w:rsidRPr="00172111">
        <w:t>décrit un exemple d'utilisation de la méthode définie dans l'A</w:t>
      </w:r>
      <w:r w:rsidR="009C7235">
        <w:t>nnexe </w:t>
      </w:r>
      <w:r w:rsidR="009C7235" w:rsidRPr="00172111">
        <w:t xml:space="preserve">1 </w:t>
      </w:r>
      <w:r w:rsidR="009C7235">
        <w:t>permettant de</w:t>
      </w:r>
      <w:r w:rsidR="009C7235" w:rsidRPr="00172111">
        <w:t xml:space="preserve"> déterminer la probabilité pour qu'une observation effectuée à l'observatoire Jodrell Bank soit exposée à des brouillages </w:t>
      </w:r>
      <w:r w:rsidR="009C7235">
        <w:t xml:space="preserve">consécutifs au </w:t>
      </w:r>
      <w:r w:rsidR="009C7235" w:rsidRPr="00172111">
        <w:t>déploiement à grande échelle de</w:t>
      </w:r>
      <w:r w:rsidR="00655B0B">
        <w:t xml:space="preserve"> réseaux HDFS P</w:t>
      </w:r>
      <w:r w:rsidR="00655B0B">
        <w:noBreakHyphen/>
      </w:r>
      <w:r w:rsidR="00D82480">
        <w:t>MP</w:t>
      </w:r>
      <w:r w:rsidR="009C7235" w:rsidRPr="00172111">
        <w:t>.</w:t>
      </w:r>
    </w:p>
    <w:p w:rsidR="009C7235" w:rsidRPr="00172111" w:rsidRDefault="009C7235" w:rsidP="009C7235">
      <w:pPr>
        <w:pStyle w:val="Headingb"/>
      </w:pPr>
      <w:r w:rsidRPr="00172111">
        <w:t xml:space="preserve">Modèle </w:t>
      </w:r>
      <w:r>
        <w:t>SRA</w:t>
      </w:r>
      <w:r w:rsidRPr="00172111">
        <w:t xml:space="preserve"> </w:t>
      </w:r>
    </w:p>
    <w:p w:rsidR="009C7235" w:rsidRPr="00172111" w:rsidRDefault="009C7235" w:rsidP="00910B95">
      <w:r w:rsidRPr="00172111">
        <w:t xml:space="preserve">Les paramètres </w:t>
      </w:r>
      <w:r>
        <w:t>donnés</w:t>
      </w:r>
      <w:r w:rsidRPr="00172111">
        <w:t xml:space="preserve"> dans le Tableau 3 </w:t>
      </w:r>
      <w:r>
        <w:t>représentaient les paramètres d'entrée</w:t>
      </w:r>
      <w:r w:rsidRPr="00172111">
        <w:t xml:space="preserve"> du modèle de Jodrell Bank.</w:t>
      </w:r>
    </w:p>
    <w:p w:rsidR="009C7235" w:rsidRPr="00172111" w:rsidRDefault="009C7235" w:rsidP="00910B95">
      <w:pPr>
        <w:pStyle w:val="TableNo"/>
      </w:pPr>
      <w:r w:rsidRPr="00172111">
        <w:t>TABLEAU 3</w:t>
      </w:r>
    </w:p>
    <w:p w:rsidR="009C7235" w:rsidRPr="00172111" w:rsidRDefault="009C7235" w:rsidP="00910B95">
      <w:pPr>
        <w:pStyle w:val="Tabletitle"/>
      </w:pPr>
      <w:r w:rsidRPr="00172111">
        <w:t xml:space="preserve">Paramètres d'entrée </w:t>
      </w:r>
      <w:r>
        <w:t>SRA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686"/>
      </w:tblGrid>
      <w:tr w:rsidR="009C7235" w:rsidRPr="00172111">
        <w:trPr>
          <w:jc w:val="center"/>
        </w:trPr>
        <w:tc>
          <w:tcPr>
            <w:tcW w:w="3686" w:type="dxa"/>
          </w:tcPr>
          <w:p w:rsidR="009C7235" w:rsidRPr="00172111" w:rsidRDefault="009C7235" w:rsidP="00910B95">
            <w:pPr>
              <w:pStyle w:val="Tabletext"/>
            </w:pPr>
            <w:r w:rsidRPr="00172111">
              <w:t>Bande de fréquences</w:t>
            </w:r>
          </w:p>
        </w:tc>
        <w:tc>
          <w:tcPr>
            <w:tcW w:w="3686" w:type="dxa"/>
          </w:tcPr>
          <w:p w:rsidR="009C7235" w:rsidRPr="00172111" w:rsidRDefault="009C7235" w:rsidP="00910B95">
            <w:pPr>
              <w:pStyle w:val="Tabletext"/>
            </w:pPr>
            <w:r w:rsidRPr="00172111">
              <w:t>43 GHz</w:t>
            </w:r>
          </w:p>
        </w:tc>
      </w:tr>
      <w:tr w:rsidR="009C7235" w:rsidRPr="00172111">
        <w:trPr>
          <w:jc w:val="center"/>
        </w:trPr>
        <w:tc>
          <w:tcPr>
            <w:tcW w:w="3686" w:type="dxa"/>
          </w:tcPr>
          <w:p w:rsidR="009C7235" w:rsidRPr="00172111" w:rsidRDefault="009C7235" w:rsidP="00910B95">
            <w:pPr>
              <w:pStyle w:val="Tabletext"/>
            </w:pPr>
            <w:r>
              <w:t>Type d'observation</w:t>
            </w:r>
          </w:p>
        </w:tc>
        <w:tc>
          <w:tcPr>
            <w:tcW w:w="3686" w:type="dxa"/>
          </w:tcPr>
          <w:p w:rsidR="009C7235" w:rsidRPr="00172111" w:rsidRDefault="009C7235" w:rsidP="00910B95">
            <w:pPr>
              <w:pStyle w:val="Tabletext"/>
            </w:pPr>
            <w:r w:rsidRPr="00172111">
              <w:t xml:space="preserve">Analyse du continuum </w:t>
            </w:r>
          </w:p>
        </w:tc>
      </w:tr>
      <w:tr w:rsidR="009C7235" w:rsidRPr="00172111">
        <w:trPr>
          <w:jc w:val="center"/>
        </w:trPr>
        <w:tc>
          <w:tcPr>
            <w:tcW w:w="3686" w:type="dxa"/>
          </w:tcPr>
          <w:p w:rsidR="009C7235" w:rsidRPr="00172111" w:rsidRDefault="009C7235" w:rsidP="00910B95">
            <w:pPr>
              <w:pStyle w:val="Tabletext"/>
            </w:pPr>
            <w:r w:rsidRPr="00172111">
              <w:t>Elévation minimale</w:t>
            </w:r>
          </w:p>
        </w:tc>
        <w:tc>
          <w:tcPr>
            <w:tcW w:w="3686" w:type="dxa"/>
          </w:tcPr>
          <w:p w:rsidR="009C7235" w:rsidRPr="00172111" w:rsidRDefault="009C7235" w:rsidP="00910B95">
            <w:pPr>
              <w:pStyle w:val="Tabletext"/>
            </w:pPr>
            <w:r w:rsidRPr="00172111">
              <w:t>5</w:t>
            </w:r>
            <w:r w:rsidRPr="00172111">
              <w:sym w:font="Symbol" w:char="F0B0"/>
            </w:r>
          </w:p>
        </w:tc>
      </w:tr>
      <w:tr w:rsidR="009C7235" w:rsidRPr="00172111">
        <w:trPr>
          <w:jc w:val="center"/>
        </w:trPr>
        <w:tc>
          <w:tcPr>
            <w:tcW w:w="3686" w:type="dxa"/>
          </w:tcPr>
          <w:p w:rsidR="009C7235" w:rsidRPr="00172111" w:rsidRDefault="009C7235" w:rsidP="00910B95">
            <w:pPr>
              <w:pStyle w:val="Tabletext"/>
            </w:pPr>
            <w:r w:rsidRPr="00172111">
              <w:t>Latitude du site</w:t>
            </w:r>
          </w:p>
        </w:tc>
        <w:tc>
          <w:tcPr>
            <w:tcW w:w="3686" w:type="dxa"/>
          </w:tcPr>
          <w:p w:rsidR="009C7235" w:rsidRPr="00172111" w:rsidRDefault="009C7235" w:rsidP="00910B95">
            <w:pPr>
              <w:pStyle w:val="Tabletext"/>
            </w:pPr>
            <w:r w:rsidRPr="00172111">
              <w:t>+53</w:t>
            </w:r>
            <w:r w:rsidRPr="00172111">
              <w:sym w:font="Symbol" w:char="F0B0"/>
            </w:r>
            <w:r w:rsidRPr="00172111">
              <w:t xml:space="preserve"> 14’ 1,2”</w:t>
            </w:r>
          </w:p>
        </w:tc>
      </w:tr>
      <w:tr w:rsidR="009C7235" w:rsidRPr="00172111">
        <w:trPr>
          <w:jc w:val="center"/>
        </w:trPr>
        <w:tc>
          <w:tcPr>
            <w:tcW w:w="3686" w:type="dxa"/>
          </w:tcPr>
          <w:p w:rsidR="009C7235" w:rsidRPr="00172111" w:rsidRDefault="009C7235" w:rsidP="00910B95">
            <w:pPr>
              <w:pStyle w:val="Tabletext"/>
            </w:pPr>
            <w:r w:rsidRPr="00172111">
              <w:t>Longitude du site</w:t>
            </w:r>
          </w:p>
        </w:tc>
        <w:tc>
          <w:tcPr>
            <w:tcW w:w="3686" w:type="dxa"/>
          </w:tcPr>
          <w:p w:rsidR="009C7235" w:rsidRPr="00172111" w:rsidRDefault="009C7235" w:rsidP="00910B95">
            <w:pPr>
              <w:pStyle w:val="Tabletext"/>
            </w:pPr>
            <w:r w:rsidRPr="00172111">
              <w:t>–02</w:t>
            </w:r>
            <w:r w:rsidRPr="00172111">
              <w:sym w:font="Symbol" w:char="F0B0"/>
            </w:r>
            <w:r w:rsidRPr="00172111">
              <w:t xml:space="preserve"> 18’ 8,9”</w:t>
            </w:r>
          </w:p>
        </w:tc>
      </w:tr>
      <w:tr w:rsidR="009C7235" w:rsidRPr="00172111">
        <w:trPr>
          <w:jc w:val="center"/>
        </w:trPr>
        <w:tc>
          <w:tcPr>
            <w:tcW w:w="3686" w:type="dxa"/>
          </w:tcPr>
          <w:p w:rsidR="009C7235" w:rsidRPr="00172111" w:rsidRDefault="009C7235" w:rsidP="00910B95">
            <w:pPr>
              <w:pStyle w:val="Tabletext"/>
            </w:pPr>
            <w:r w:rsidRPr="00172111">
              <w:t>Hauteur d'antenne</w:t>
            </w:r>
          </w:p>
        </w:tc>
        <w:tc>
          <w:tcPr>
            <w:tcW w:w="3686" w:type="dxa"/>
          </w:tcPr>
          <w:p w:rsidR="009C7235" w:rsidRPr="00172111" w:rsidRDefault="009C7235" w:rsidP="00910B95">
            <w:pPr>
              <w:pStyle w:val="Tabletext"/>
            </w:pPr>
            <w:r>
              <w:t>30 m au</w:t>
            </w:r>
            <w:r>
              <w:noBreakHyphen/>
            </w:r>
            <w:r w:rsidRPr="00172111">
              <w:t>dessus du sol</w:t>
            </w:r>
          </w:p>
        </w:tc>
      </w:tr>
      <w:tr w:rsidR="009C7235" w:rsidRPr="00172111">
        <w:trPr>
          <w:jc w:val="center"/>
        </w:trPr>
        <w:tc>
          <w:tcPr>
            <w:tcW w:w="3686" w:type="dxa"/>
          </w:tcPr>
          <w:p w:rsidR="009C7235" w:rsidRPr="00172111" w:rsidRDefault="009C7235" w:rsidP="00910B95">
            <w:pPr>
              <w:pStyle w:val="Tabletext"/>
            </w:pPr>
            <w:r w:rsidRPr="00172111">
              <w:t>Modèle de diagramme d</w:t>
            </w:r>
            <w:r>
              <w:t>e</w:t>
            </w:r>
            <w:r w:rsidRPr="00172111">
              <w:t xml:space="preserve"> gain</w:t>
            </w:r>
          </w:p>
        </w:tc>
        <w:tc>
          <w:tcPr>
            <w:tcW w:w="3686" w:type="dxa"/>
          </w:tcPr>
          <w:p w:rsidR="009C7235" w:rsidRPr="00172111" w:rsidRDefault="00D82480" w:rsidP="00910B95">
            <w:pPr>
              <w:pStyle w:val="Tabletext"/>
            </w:pPr>
            <w:r w:rsidRPr="00172111">
              <w:t>Rec</w:t>
            </w:r>
            <w:r>
              <w:t>.</w:t>
            </w:r>
            <w:r w:rsidRPr="00172111">
              <w:t xml:space="preserve"> </w:t>
            </w:r>
            <w:r w:rsidR="009C7235" w:rsidRPr="00172111">
              <w:t>UIT-R S.1428</w:t>
            </w:r>
          </w:p>
        </w:tc>
      </w:tr>
    </w:tbl>
    <w:p w:rsidR="00910B95" w:rsidRPr="00D82480" w:rsidRDefault="00910B95" w:rsidP="00910B95">
      <w:pPr>
        <w:pStyle w:val="Tablefin"/>
        <w:rPr>
          <w:lang w:val="fr-FR"/>
        </w:rPr>
      </w:pPr>
    </w:p>
    <w:p w:rsidR="009C7235" w:rsidRPr="00172111" w:rsidRDefault="009C7235" w:rsidP="009C7235">
      <w:r w:rsidRPr="00172111">
        <w:t>En fonction du type et de la fréquence des observations, on a calculé les seuils de brouillage du Tableau 4 à partir des Recommandations UIT-R RA.769 et UIT-R RA.1513.</w:t>
      </w:r>
    </w:p>
    <w:p w:rsidR="009C7235" w:rsidRPr="00172111" w:rsidRDefault="009C7235" w:rsidP="00910B95">
      <w:pPr>
        <w:pStyle w:val="TableNo"/>
      </w:pPr>
      <w:r w:rsidRPr="00172111">
        <w:lastRenderedPageBreak/>
        <w:t>TABLEAU 4</w:t>
      </w:r>
    </w:p>
    <w:p w:rsidR="009C7235" w:rsidRPr="00172111" w:rsidRDefault="009C7235" w:rsidP="00910B95">
      <w:pPr>
        <w:pStyle w:val="Tabletitle"/>
      </w:pPr>
      <w:r w:rsidRPr="00172111">
        <w:t xml:space="preserve">Seuils </w:t>
      </w:r>
      <w:r>
        <w:t>SRA</w:t>
      </w:r>
      <w:r w:rsidRPr="0017211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686"/>
      </w:tblGrid>
      <w:tr w:rsidR="009C7235" w:rsidRPr="00172111">
        <w:trPr>
          <w:jc w:val="center"/>
        </w:trPr>
        <w:tc>
          <w:tcPr>
            <w:tcW w:w="3686" w:type="dxa"/>
          </w:tcPr>
          <w:p w:rsidR="009C7235" w:rsidRPr="00172111" w:rsidRDefault="009C7235" w:rsidP="00D82480">
            <w:pPr>
              <w:pStyle w:val="Tabletext"/>
              <w:keepNext/>
              <w:jc w:val="left"/>
            </w:pPr>
            <w:r w:rsidRPr="00172111">
              <w:t>Seuil du brouillage moyen durant une observation de 2 000 s</w:t>
            </w:r>
          </w:p>
        </w:tc>
        <w:tc>
          <w:tcPr>
            <w:tcW w:w="3686" w:type="dxa"/>
          </w:tcPr>
          <w:p w:rsidR="009C7235" w:rsidRPr="00172111" w:rsidRDefault="009C7235" w:rsidP="00D82480">
            <w:pPr>
              <w:pStyle w:val="Tabletext"/>
              <w:keepNext/>
            </w:pPr>
            <w:r w:rsidRPr="00172111">
              <w:t>–220,6 dB(W/MHz)</w:t>
            </w:r>
          </w:p>
        </w:tc>
      </w:tr>
      <w:tr w:rsidR="009C7235" w:rsidRPr="00172111">
        <w:trPr>
          <w:jc w:val="center"/>
        </w:trPr>
        <w:tc>
          <w:tcPr>
            <w:tcW w:w="3686" w:type="dxa"/>
          </w:tcPr>
          <w:p w:rsidR="009C7235" w:rsidRPr="00172111" w:rsidRDefault="009C7235" w:rsidP="00910B95">
            <w:pPr>
              <w:pStyle w:val="Tabletext"/>
              <w:jc w:val="left"/>
            </w:pPr>
            <w:r w:rsidRPr="00172111">
              <w:t xml:space="preserve">Probabilité acceptable </w:t>
            </w:r>
            <w:r>
              <w:t>pour qu'une observation subisse des</w:t>
            </w:r>
            <w:r w:rsidR="00D82480">
              <w:br/>
            </w:r>
            <w:r>
              <w:t xml:space="preserve">brouillages </w:t>
            </w:r>
            <w:r w:rsidRPr="00D82480">
              <w:rPr>
                <w:i/>
              </w:rPr>
              <w:t>P</w:t>
            </w:r>
            <w:r w:rsidRPr="00D82480">
              <w:rPr>
                <w:i/>
                <w:vertAlign w:val="subscript"/>
              </w:rPr>
              <w:t>ob</w:t>
            </w:r>
          </w:p>
        </w:tc>
        <w:tc>
          <w:tcPr>
            <w:tcW w:w="3686" w:type="dxa"/>
          </w:tcPr>
          <w:p w:rsidR="009C7235" w:rsidRPr="00172111" w:rsidRDefault="009C7235" w:rsidP="00910B95">
            <w:pPr>
              <w:pStyle w:val="Tabletext"/>
            </w:pPr>
            <w:r w:rsidRPr="00172111">
              <w:t>2%</w:t>
            </w:r>
          </w:p>
        </w:tc>
      </w:tr>
    </w:tbl>
    <w:p w:rsidR="00910B95" w:rsidRPr="00D82480" w:rsidRDefault="00910B95" w:rsidP="00910B95">
      <w:pPr>
        <w:pStyle w:val="Tablefin"/>
        <w:rPr>
          <w:lang w:val="fr-FR"/>
        </w:rPr>
      </w:pPr>
    </w:p>
    <w:p w:rsidR="009C7235" w:rsidRPr="00172111" w:rsidRDefault="009C7235" w:rsidP="00910B95">
      <w:r w:rsidRPr="00172111">
        <w:t>A partir</w:t>
      </w:r>
      <w:r>
        <w:t xml:space="preserve"> de l'angle d'élévation minimal</w:t>
      </w:r>
      <w:r w:rsidRPr="00172111">
        <w:t xml:space="preserve"> et d'une période d'observation de 2 000 s, on a calculé les plages </w:t>
      </w:r>
      <w:r>
        <w:t xml:space="preserve">des angles </w:t>
      </w:r>
      <w:r w:rsidRPr="00172111">
        <w:t xml:space="preserve">azimut et d'élévation d'antenne </w:t>
      </w:r>
      <w:r>
        <w:t>(</w:t>
      </w:r>
      <w:r w:rsidRPr="00172111">
        <w:t>Tableau 5</w:t>
      </w:r>
      <w:r>
        <w:t>)</w:t>
      </w:r>
      <w:r w:rsidRPr="00172111">
        <w:t>.</w:t>
      </w:r>
    </w:p>
    <w:p w:rsidR="009C7235" w:rsidRPr="00172111" w:rsidRDefault="009C7235" w:rsidP="00910B95">
      <w:pPr>
        <w:pStyle w:val="TableNo"/>
      </w:pPr>
      <w:r w:rsidRPr="00172111">
        <w:t>TABLE</w:t>
      </w:r>
      <w:r w:rsidR="00910B95" w:rsidRPr="00172111">
        <w:t>AU</w:t>
      </w:r>
      <w:r w:rsidRPr="00172111">
        <w:t xml:space="preserve"> 5</w:t>
      </w:r>
    </w:p>
    <w:p w:rsidR="009C7235" w:rsidRPr="00172111" w:rsidRDefault="009C7235" w:rsidP="00910B95">
      <w:pPr>
        <w:pStyle w:val="Tabletitle"/>
      </w:pPr>
      <w:r w:rsidRPr="00172111">
        <w:t>Plage</w:t>
      </w:r>
      <w:r>
        <w:t>s</w:t>
      </w:r>
      <w:r w:rsidRPr="00172111">
        <w:t xml:space="preserve"> des angles d'azimut et d'élévation </w:t>
      </w:r>
      <w:r>
        <w:t>SRA</w:t>
      </w:r>
      <w:r w:rsidRPr="0017211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701"/>
      </w:tblGrid>
      <w:tr w:rsidR="009C7235" w:rsidRPr="00172111">
        <w:trPr>
          <w:jc w:val="center"/>
        </w:trPr>
        <w:tc>
          <w:tcPr>
            <w:tcW w:w="2268" w:type="dxa"/>
          </w:tcPr>
          <w:p w:rsidR="009C7235" w:rsidRPr="00172111" w:rsidRDefault="009C7235" w:rsidP="009C7235">
            <w:pPr>
              <w:pStyle w:val="Tablehead"/>
            </w:pPr>
          </w:p>
        </w:tc>
        <w:tc>
          <w:tcPr>
            <w:tcW w:w="1701" w:type="dxa"/>
          </w:tcPr>
          <w:p w:rsidR="009C7235" w:rsidRPr="00172111" w:rsidRDefault="009C7235" w:rsidP="009C7235">
            <w:pPr>
              <w:pStyle w:val="Tablehead"/>
            </w:pPr>
            <w:r w:rsidRPr="00172111">
              <w:t>Début</w:t>
            </w:r>
          </w:p>
        </w:tc>
        <w:tc>
          <w:tcPr>
            <w:tcW w:w="1701" w:type="dxa"/>
          </w:tcPr>
          <w:p w:rsidR="009C7235" w:rsidRPr="00172111" w:rsidRDefault="009C7235" w:rsidP="009C7235">
            <w:pPr>
              <w:pStyle w:val="Tablehead"/>
            </w:pPr>
            <w:r w:rsidRPr="00172111">
              <w:t>Fin</w:t>
            </w:r>
          </w:p>
        </w:tc>
      </w:tr>
      <w:tr w:rsidR="009C7235" w:rsidRPr="00172111">
        <w:trPr>
          <w:jc w:val="center"/>
        </w:trPr>
        <w:tc>
          <w:tcPr>
            <w:tcW w:w="2268" w:type="dxa"/>
          </w:tcPr>
          <w:p w:rsidR="009C7235" w:rsidRPr="00172111" w:rsidRDefault="009C7235" w:rsidP="009C7235">
            <w:pPr>
              <w:pStyle w:val="Tabletext"/>
              <w:jc w:val="center"/>
            </w:pPr>
            <w:r w:rsidRPr="00172111">
              <w:t>Azimut</w:t>
            </w:r>
          </w:p>
        </w:tc>
        <w:tc>
          <w:tcPr>
            <w:tcW w:w="1701" w:type="dxa"/>
          </w:tcPr>
          <w:p w:rsidR="009C7235" w:rsidRPr="00172111" w:rsidRDefault="009C7235" w:rsidP="009C7235">
            <w:pPr>
              <w:pStyle w:val="Tabletext"/>
              <w:jc w:val="center"/>
            </w:pPr>
            <w:r w:rsidRPr="00172111">
              <w:t>0</w:t>
            </w:r>
            <w:r w:rsidRPr="00172111">
              <w:sym w:font="Symbol" w:char="F0B0"/>
            </w:r>
          </w:p>
        </w:tc>
        <w:tc>
          <w:tcPr>
            <w:tcW w:w="1701" w:type="dxa"/>
          </w:tcPr>
          <w:p w:rsidR="009C7235" w:rsidRPr="00172111" w:rsidRDefault="009C7235" w:rsidP="009C7235">
            <w:pPr>
              <w:pStyle w:val="Tabletext"/>
              <w:jc w:val="center"/>
            </w:pPr>
            <w:r w:rsidRPr="00172111">
              <w:t>0</w:t>
            </w:r>
            <w:r w:rsidRPr="00172111">
              <w:sym w:font="Symbol" w:char="F0B0"/>
            </w:r>
          </w:p>
        </w:tc>
      </w:tr>
      <w:tr w:rsidR="009C7235" w:rsidRPr="00172111">
        <w:trPr>
          <w:jc w:val="center"/>
        </w:trPr>
        <w:tc>
          <w:tcPr>
            <w:tcW w:w="2268" w:type="dxa"/>
            <w:tcBorders>
              <w:bottom w:val="single" w:sz="4" w:space="0" w:color="auto"/>
            </w:tcBorders>
          </w:tcPr>
          <w:p w:rsidR="009C7235" w:rsidRPr="00172111" w:rsidRDefault="009C7235" w:rsidP="009C7235">
            <w:pPr>
              <w:pStyle w:val="Tabletext"/>
              <w:jc w:val="center"/>
            </w:pPr>
            <w:r w:rsidRPr="00172111">
              <w:t>Elévation</w:t>
            </w:r>
          </w:p>
        </w:tc>
        <w:tc>
          <w:tcPr>
            <w:tcW w:w="1701" w:type="dxa"/>
            <w:tcBorders>
              <w:bottom w:val="single" w:sz="4" w:space="0" w:color="auto"/>
            </w:tcBorders>
          </w:tcPr>
          <w:p w:rsidR="009C7235" w:rsidRPr="00172111" w:rsidRDefault="009C7235" w:rsidP="009C7235">
            <w:pPr>
              <w:pStyle w:val="Tabletext"/>
              <w:jc w:val="center"/>
            </w:pPr>
            <w:r w:rsidRPr="00172111">
              <w:t>5</w:t>
            </w:r>
            <w:r w:rsidRPr="00172111">
              <w:sym w:font="Symbol" w:char="F0B0"/>
            </w:r>
          </w:p>
        </w:tc>
        <w:tc>
          <w:tcPr>
            <w:tcW w:w="1701" w:type="dxa"/>
            <w:tcBorders>
              <w:bottom w:val="single" w:sz="4" w:space="0" w:color="auto"/>
            </w:tcBorders>
          </w:tcPr>
          <w:p w:rsidR="009C7235" w:rsidRPr="00172111" w:rsidRDefault="009C7235" w:rsidP="009C7235">
            <w:pPr>
              <w:pStyle w:val="Tabletext"/>
              <w:jc w:val="center"/>
            </w:pPr>
            <w:r w:rsidRPr="00172111">
              <w:t>13,33</w:t>
            </w:r>
            <w:r w:rsidRPr="00172111">
              <w:sym w:font="Symbol" w:char="F0B0"/>
            </w:r>
            <w:r w:rsidRPr="00172111">
              <w:rPr>
                <w:vertAlign w:val="superscript"/>
              </w:rPr>
              <w:t>(1)</w:t>
            </w:r>
          </w:p>
        </w:tc>
      </w:tr>
      <w:tr w:rsidR="009C7235" w:rsidRPr="00172111">
        <w:trPr>
          <w:jc w:val="center"/>
        </w:trPr>
        <w:tc>
          <w:tcPr>
            <w:tcW w:w="5670" w:type="dxa"/>
            <w:gridSpan w:val="3"/>
            <w:tcBorders>
              <w:left w:val="nil"/>
              <w:bottom w:val="nil"/>
              <w:right w:val="nil"/>
            </w:tcBorders>
          </w:tcPr>
          <w:p w:rsidR="009C7235" w:rsidRPr="00172111" w:rsidRDefault="009C7235" w:rsidP="00910B95">
            <w:pPr>
              <w:pStyle w:val="Tablelegend"/>
            </w:pPr>
            <w:r w:rsidRPr="00172111">
              <w:rPr>
                <w:vertAlign w:val="superscript"/>
              </w:rPr>
              <w:t>(1)</w:t>
            </w:r>
            <w:r w:rsidRPr="00172111">
              <w:tab/>
              <w:t>Après 2 000 s</w:t>
            </w:r>
            <w:r>
              <w:t>, la Terre a effectué</w:t>
            </w:r>
            <w:r w:rsidRPr="00172111">
              <w:t xml:space="preserve"> une rotation de 8,33</w:t>
            </w:r>
            <w:r w:rsidRPr="00172111">
              <w:sym w:font="Symbol" w:char="F0B0"/>
            </w:r>
            <w:r w:rsidRPr="00172111">
              <w:t xml:space="preserve"> (13,33</w:t>
            </w:r>
            <w:r w:rsidRPr="00172111">
              <w:sym w:font="Symbol" w:char="F0B0"/>
            </w:r>
            <w:r w:rsidRPr="00172111">
              <w:t xml:space="preserve"> = 5</w:t>
            </w:r>
            <w:r w:rsidRPr="00172111">
              <w:sym w:font="Symbol" w:char="F0B0"/>
            </w:r>
            <w:r w:rsidRPr="00172111">
              <w:t xml:space="preserve"> + 8,33</w:t>
            </w:r>
            <w:r w:rsidRPr="00172111">
              <w:sym w:font="Symbol" w:char="F0B0"/>
            </w:r>
            <w:r w:rsidRPr="00172111">
              <w:t>).</w:t>
            </w:r>
          </w:p>
        </w:tc>
      </w:tr>
    </w:tbl>
    <w:p w:rsidR="00910B95" w:rsidRPr="00D30DD8" w:rsidRDefault="00910B95" w:rsidP="00910B95">
      <w:pPr>
        <w:pStyle w:val="Tablefin"/>
        <w:rPr>
          <w:lang w:val="fr-FR"/>
        </w:rPr>
      </w:pPr>
    </w:p>
    <w:p w:rsidR="009C7235" w:rsidRDefault="009C7235" w:rsidP="00910B95">
      <w:r w:rsidRPr="00172111">
        <w:t xml:space="preserve">A partir d'un ensemble de points de mesure </w:t>
      </w:r>
      <w:r>
        <w:t xml:space="preserve">espacés de 3° </w:t>
      </w:r>
      <w:r w:rsidRPr="00172111">
        <w:t>sur l'horizon, on a calculé le gain moyen pour le diagramme de gain défini dans la Recommandation UIT</w:t>
      </w:r>
      <w:r w:rsidRPr="00172111">
        <w:noBreakHyphen/>
        <w:t xml:space="preserve">R S.1428 </w:t>
      </w:r>
      <w:r>
        <w:t>(</w:t>
      </w:r>
      <w:r w:rsidR="00D82480">
        <w:t xml:space="preserve">voir la </w:t>
      </w:r>
      <w:r w:rsidRPr="00172111">
        <w:t>Fig</w:t>
      </w:r>
      <w:r>
        <w:t>. </w:t>
      </w:r>
      <w:r w:rsidRPr="00172111">
        <w:t>2</w:t>
      </w:r>
      <w:r>
        <w:t>)</w:t>
      </w:r>
      <w:r w:rsidRPr="00172111">
        <w:t>.</w:t>
      </w:r>
    </w:p>
    <w:p w:rsidR="009C7235" w:rsidRPr="00172111" w:rsidRDefault="009C7235" w:rsidP="00910B95">
      <w:pPr>
        <w:pStyle w:val="FigureNo"/>
        <w:keepNext/>
      </w:pPr>
      <w:r w:rsidRPr="00172111">
        <w:t>FIGURE 2</w:t>
      </w:r>
    </w:p>
    <w:p w:rsidR="009C7235" w:rsidRDefault="009C7235" w:rsidP="00910B95">
      <w:pPr>
        <w:pStyle w:val="Figuretitle"/>
      </w:pPr>
      <w:r w:rsidRPr="00172111">
        <w:t xml:space="preserve">Gain moyen d'une antenne </w:t>
      </w:r>
      <w:r>
        <w:t>SRA</w:t>
      </w:r>
      <w:r w:rsidRPr="00172111">
        <w:t xml:space="preserve"> sur la base de la Recommandation UIT-R S.1428</w:t>
      </w:r>
    </w:p>
    <w:p w:rsidR="00910B95" w:rsidRPr="00910B95" w:rsidRDefault="00D82480" w:rsidP="00910B95">
      <w:pPr>
        <w:pStyle w:val="Figure"/>
      </w:pPr>
      <w:r>
        <w:object w:dxaOrig="9579" w:dyaOrig="6039">
          <v:shape id="_x0000_i1032" type="#_x0000_t75" style="width:479.25pt;height:302.4pt" o:ole="" o:allowoverlap="f">
            <v:imagedata r:id="rId21" o:title=""/>
          </v:shape>
          <o:OLEObject Type="Embed" ProgID="CorelDRAW.Graphic.12" ShapeID="_x0000_i1032" DrawAspect="Content" ObjectID="_1574228306" r:id="rId22"/>
        </w:object>
      </w:r>
    </w:p>
    <w:p w:rsidR="009C7235" w:rsidRPr="00172111" w:rsidRDefault="009C7235" w:rsidP="009C7235">
      <w:pPr>
        <w:pStyle w:val="Headingb"/>
      </w:pPr>
      <w:r w:rsidRPr="00172111">
        <w:lastRenderedPageBreak/>
        <w:t xml:space="preserve">Modèle HDFS </w:t>
      </w:r>
      <w:r w:rsidR="00D82480">
        <w:t>P-MP</w:t>
      </w:r>
    </w:p>
    <w:p w:rsidR="009C7235" w:rsidRPr="00172111" w:rsidRDefault="009C7235" w:rsidP="009C7235">
      <w:r w:rsidRPr="00172111">
        <w:t xml:space="preserve">Le modèle de référence utilisé pour calculer la distribution </w:t>
      </w:r>
      <w:r>
        <w:t xml:space="preserve">de p.i.r.e.c. </w:t>
      </w:r>
      <w:r w:rsidRPr="00172111">
        <w:t>défini</w:t>
      </w:r>
      <w:r>
        <w:t>t</w:t>
      </w:r>
      <w:r w:rsidRPr="00172111">
        <w:t xml:space="preserve"> les caractéristiques des stations HDFS </w:t>
      </w:r>
      <w:r w:rsidR="00D82480">
        <w:t>P-MP</w:t>
      </w:r>
      <w:r w:rsidRPr="00172111">
        <w:t xml:space="preserve">. </w:t>
      </w:r>
      <w:r>
        <w:t>En l'occurrence</w:t>
      </w:r>
      <w:r w:rsidRPr="00172111">
        <w:t>, il s'agissait d'un réseau d'accès hertzien fixe à large bande utilisant des antennes de station de base</w:t>
      </w:r>
      <w:r>
        <w:t xml:space="preserve"> situées à </w:t>
      </w:r>
      <w:r w:rsidRPr="00172111">
        <w:t xml:space="preserve">20 m </w:t>
      </w:r>
      <w:r>
        <w:t>au</w:t>
      </w:r>
      <w:r>
        <w:noBreakHyphen/>
        <w:t>dessus du sol et</w:t>
      </w:r>
      <w:r w:rsidRPr="00172111">
        <w:t xml:space="preserve"> desservant des clients commerciaux </w:t>
      </w:r>
      <w:r>
        <w:t>disposant</w:t>
      </w:r>
      <w:r w:rsidRPr="00172111">
        <w:t xml:space="preserve"> d'antennes </w:t>
      </w:r>
      <w:r>
        <w:t>situées à</w:t>
      </w:r>
      <w:r w:rsidRPr="00172111">
        <w:t xml:space="preserve"> 5 m </w:t>
      </w:r>
      <w:r>
        <w:t>au</w:t>
      </w:r>
      <w:r>
        <w:noBreakHyphen/>
        <w:t>dessus du sol</w:t>
      </w:r>
      <w:r w:rsidRPr="00172111">
        <w:t xml:space="preserve">, </w:t>
      </w:r>
      <w:r>
        <w:t>en considérant</w:t>
      </w:r>
      <w:r w:rsidRPr="00172111">
        <w:t xml:space="preserve"> la transmission </w:t>
      </w:r>
      <w:r>
        <w:t xml:space="preserve">en </w:t>
      </w:r>
      <w:r w:rsidRPr="00172111">
        <w:t>amont entre le client et la station de base.</w:t>
      </w:r>
    </w:p>
    <w:p w:rsidR="009C7235" w:rsidRPr="00172111" w:rsidRDefault="009C7235" w:rsidP="009C7235">
      <w:r w:rsidRPr="00172111">
        <w:t xml:space="preserve">L'objectif de l'analyse </w:t>
      </w:r>
      <w:r>
        <w:t>consistait</w:t>
      </w:r>
      <w:r w:rsidRPr="00172111">
        <w:t xml:space="preserve"> à déterminer si une zone d'exclusion </w:t>
      </w:r>
      <w:r>
        <w:t xml:space="preserve">définie sur la base d'un affaiblissement </w:t>
      </w:r>
      <w:r w:rsidRPr="00D82480">
        <w:rPr>
          <w:i/>
        </w:rPr>
        <w:t>L</w:t>
      </w:r>
      <w:r w:rsidRPr="00172111">
        <w:rPr>
          <w:vertAlign w:val="subscript"/>
        </w:rPr>
        <w:t>452</w:t>
      </w:r>
      <w:r w:rsidRPr="00172111">
        <w:t xml:space="preserve">(10%) </w:t>
      </w:r>
      <w:r w:rsidRPr="00172111">
        <w:sym w:font="Symbol" w:char="F0B3"/>
      </w:r>
      <w:r w:rsidRPr="00172111">
        <w:t xml:space="preserve"> 161 dB serait suffisante pour protéger </w:t>
      </w:r>
      <w:r>
        <w:t>le site</w:t>
      </w:r>
      <w:r w:rsidRPr="00172111">
        <w:t xml:space="preserve"> </w:t>
      </w:r>
      <w:r>
        <w:t>SRA</w:t>
      </w:r>
      <w:r w:rsidRPr="00172111">
        <w:t xml:space="preserve"> des émissions </w:t>
      </w:r>
      <w:r w:rsidR="00D82480">
        <w:t>OoB</w:t>
      </w:r>
      <w:r w:rsidRPr="00172111">
        <w:t xml:space="preserve"> </w:t>
      </w:r>
      <w:r>
        <w:t>consécutives au</w:t>
      </w:r>
      <w:r w:rsidRPr="00172111">
        <w:t xml:space="preserve"> dé</w:t>
      </w:r>
      <w:r>
        <w:t>p</w:t>
      </w:r>
      <w:r w:rsidRPr="00172111">
        <w:t xml:space="preserve">loiement à grande échelle de ce type de réseau HDFS </w:t>
      </w:r>
      <w:r w:rsidR="00D82480">
        <w:t>P-MP</w:t>
      </w:r>
      <w:r w:rsidRPr="00172111">
        <w:t>.</w:t>
      </w:r>
    </w:p>
    <w:p w:rsidR="009C7235" w:rsidRDefault="009C7235" w:rsidP="009C7235">
      <w:r w:rsidRPr="00172111">
        <w:t xml:space="preserve">L'algorithme défini dans </w:t>
      </w:r>
      <w:r w:rsidR="00D82480">
        <w:t>la</w:t>
      </w:r>
      <w:r w:rsidRPr="00172111">
        <w:t xml:space="preserve"> Recommandation UIT-R F.</w:t>
      </w:r>
      <w:r w:rsidR="00D82480">
        <w:t>176</w:t>
      </w:r>
      <w:r w:rsidR="00030BDA">
        <w:t>0</w:t>
      </w:r>
      <w:r w:rsidRPr="00172111">
        <w:t xml:space="preserve"> a été utilis</w:t>
      </w:r>
      <w:r>
        <w:t>é pour calculer la distribution de p.i.r.e.c.</w:t>
      </w:r>
      <w:r w:rsidRPr="00172111">
        <w:t xml:space="preserve"> représenté</w:t>
      </w:r>
      <w:r>
        <w:t>e</w:t>
      </w:r>
      <w:r w:rsidRPr="00172111">
        <w:t xml:space="preserve"> dans la Fig</w:t>
      </w:r>
      <w:r>
        <w:t>. </w:t>
      </w:r>
      <w:r w:rsidRPr="00172111">
        <w:t>3 sous la forme d'un histogramme et d'une fonction de distribution cumulative</w:t>
      </w:r>
      <w:r w:rsidR="00D30DD8">
        <w:t xml:space="preserve"> (FDC)</w:t>
      </w:r>
      <w:r w:rsidRPr="00172111">
        <w:t>.</w:t>
      </w:r>
    </w:p>
    <w:p w:rsidR="009C7235" w:rsidRPr="00AB099A" w:rsidRDefault="009C7235" w:rsidP="00D30DD8">
      <w:pPr>
        <w:pStyle w:val="FigureNo"/>
        <w:keepNext/>
      </w:pPr>
      <w:r w:rsidRPr="00AB099A">
        <w:t>FIGURE 3</w:t>
      </w:r>
    </w:p>
    <w:p w:rsidR="009C7235" w:rsidRDefault="009C7235" w:rsidP="00910B95">
      <w:pPr>
        <w:pStyle w:val="Figuretitle"/>
      </w:pPr>
      <w:r>
        <w:t>Histogramme de la puissance p.i.r.e.c.</w:t>
      </w:r>
      <w:r w:rsidRPr="00AB099A">
        <w:t xml:space="preserve"> et fonction de distribution cumulative</w:t>
      </w:r>
      <w:r>
        <w:br/>
      </w:r>
      <w:r w:rsidRPr="00AB099A">
        <w:t>pour le modèle de référence de station</w:t>
      </w:r>
      <w:r>
        <w:t>s</w:t>
      </w:r>
      <w:r w:rsidRPr="00AB099A">
        <w:t xml:space="preserve"> HDFS </w:t>
      </w:r>
      <w:r w:rsidR="00D82480">
        <w:t>P-MP</w:t>
      </w:r>
    </w:p>
    <w:p w:rsidR="00910B95" w:rsidRPr="00910B95" w:rsidRDefault="00D82480" w:rsidP="00910B95">
      <w:pPr>
        <w:pStyle w:val="Figure"/>
      </w:pPr>
      <w:r>
        <w:object w:dxaOrig="9215" w:dyaOrig="3272">
          <v:shape id="_x0000_i1033" type="#_x0000_t75" style="width:460.2pt;height:163pt" o:ole="" o:allowoverlap="f">
            <v:imagedata r:id="rId23" o:title=""/>
          </v:shape>
          <o:OLEObject Type="Embed" ProgID="CorelDRAW.Graphic.12" ShapeID="_x0000_i1033" DrawAspect="Content" ObjectID="_1574228307" r:id="rId24"/>
        </w:object>
      </w:r>
    </w:p>
    <w:p w:rsidR="009C7235" w:rsidRPr="00AB099A" w:rsidRDefault="009C7235" w:rsidP="00F7629D">
      <w:pPr>
        <w:pStyle w:val="Normalaftertitle"/>
      </w:pPr>
      <w:r w:rsidRPr="00AB099A">
        <w:t xml:space="preserve">Chaque </w:t>
      </w:r>
      <w:r>
        <w:t>secteur</w:t>
      </w:r>
      <w:r w:rsidRPr="00AB099A">
        <w:t xml:space="preserve"> représentait toutes les </w:t>
      </w:r>
      <w:r>
        <w:t>émissions à l'intérieur</w:t>
      </w:r>
      <w:r w:rsidRPr="00AB099A">
        <w:t xml:space="preserve"> d'une zone de 4 × 4 km.</w:t>
      </w:r>
    </w:p>
    <w:p w:rsidR="009C7235" w:rsidRDefault="009C7235" w:rsidP="009C7235">
      <w:r>
        <w:t xml:space="preserve">L'équipement du client était situé à 5 m au-dessus du sol et l'affaiblissement du signal </w:t>
      </w:r>
      <w:r w:rsidR="00D82480">
        <w:t>OoB</w:t>
      </w:r>
      <w:r>
        <w:t xml:space="preserve"> était de 46,79 dB par rapport aux émissions dans la bande.</w:t>
      </w:r>
    </w:p>
    <w:p w:rsidR="009C7235" w:rsidRDefault="009C7235" w:rsidP="009C7235">
      <w:r w:rsidRPr="00166E7E">
        <w:t xml:space="preserve">La zone d'exclusion de </w:t>
      </w:r>
      <w:r w:rsidRPr="00166E7E">
        <w:rPr>
          <w:i/>
          <w:iCs/>
        </w:rPr>
        <w:t>L</w:t>
      </w:r>
      <w:r w:rsidRPr="00166E7E">
        <w:rPr>
          <w:vertAlign w:val="subscript"/>
        </w:rPr>
        <w:t>452</w:t>
      </w:r>
      <w:r w:rsidRPr="00166E7E">
        <w:t xml:space="preserve">(10%) </w:t>
      </w:r>
      <w:r>
        <w:sym w:font="Symbol" w:char="F0B3"/>
      </w:r>
      <w:r w:rsidRPr="00166E7E">
        <w:t xml:space="preserve"> 161 dB correspond à une zone de déploiement </w:t>
      </w:r>
      <w:r>
        <w:t xml:space="preserve">constituée </w:t>
      </w:r>
      <w:r w:rsidRPr="00166E7E">
        <w:t xml:space="preserve">de points de mesure </w:t>
      </w:r>
      <w:r>
        <w:t>(</w:t>
      </w:r>
      <w:r w:rsidR="00D82480">
        <w:t xml:space="preserve">voir la </w:t>
      </w:r>
      <w:r w:rsidRPr="00166E7E">
        <w:t>Fig</w:t>
      </w:r>
      <w:r>
        <w:t>.</w:t>
      </w:r>
      <w:r w:rsidRPr="00166E7E">
        <w:t xml:space="preserve"> 4</w:t>
      </w:r>
      <w:r>
        <w:t>)</w:t>
      </w:r>
      <w:r w:rsidRPr="00166E7E">
        <w:t>.</w:t>
      </w:r>
    </w:p>
    <w:p w:rsidR="009C7235" w:rsidRPr="00166E7E" w:rsidRDefault="009C7235" w:rsidP="00D82480">
      <w:pPr>
        <w:pStyle w:val="FigureNo"/>
        <w:keepNext/>
      </w:pPr>
      <w:r w:rsidRPr="00166E7E">
        <w:lastRenderedPageBreak/>
        <w:t>FIGURE 4</w:t>
      </w:r>
    </w:p>
    <w:p w:rsidR="009C7235" w:rsidRDefault="009C7235" w:rsidP="00910B95">
      <w:pPr>
        <w:pStyle w:val="Figuretitle"/>
      </w:pPr>
      <w:r w:rsidRPr="00166E7E">
        <w:t xml:space="preserve">Zone de déploiement </w:t>
      </w:r>
      <w:r>
        <w:t>dans laquelle est définie une zone d'exclusion selon</w:t>
      </w:r>
      <w:r w:rsidRPr="00166E7E">
        <w:t xml:space="preserve"> </w:t>
      </w:r>
      <w:r w:rsidRPr="00D82480">
        <w:rPr>
          <w:i/>
        </w:rPr>
        <w:t>L</w:t>
      </w:r>
      <w:r w:rsidRPr="00166E7E">
        <w:rPr>
          <w:vertAlign w:val="subscript"/>
        </w:rPr>
        <w:t>452</w:t>
      </w:r>
      <w:r w:rsidRPr="00166E7E">
        <w:t xml:space="preserve">(10%) </w:t>
      </w:r>
      <w:r>
        <w:sym w:font="Symbol" w:char="F0B3"/>
      </w:r>
      <w:r w:rsidRPr="00166E7E">
        <w:t xml:space="preserve"> 161 dB</w:t>
      </w:r>
    </w:p>
    <w:p w:rsidR="00910B95" w:rsidRPr="00910B95" w:rsidRDefault="00D82480" w:rsidP="00910B95">
      <w:pPr>
        <w:pStyle w:val="Figure"/>
      </w:pPr>
      <w:r>
        <w:object w:dxaOrig="6093" w:dyaOrig="4133">
          <v:shape id="_x0000_i1034" type="#_x0000_t75" style="width:304.7pt;height:206.8pt" o:ole="" o:allowoverlap="f">
            <v:imagedata r:id="rId25" o:title=""/>
          </v:shape>
          <o:OLEObject Type="Embed" ProgID="CorelDRAW.Graphic.12" ShapeID="_x0000_i1034" DrawAspect="Content" ObjectID="_1574228308" r:id="rId26"/>
        </w:object>
      </w:r>
    </w:p>
    <w:p w:rsidR="009C7235" w:rsidRPr="00166E7E" w:rsidRDefault="009C7235" w:rsidP="009C7235">
      <w:pPr>
        <w:pStyle w:val="Headingb"/>
      </w:pPr>
      <w:r>
        <w:t>Calcul des</w:t>
      </w:r>
      <w:r w:rsidRPr="00166E7E">
        <w:t xml:space="preserve"> brouillage</w:t>
      </w:r>
      <w:r>
        <w:t>s</w:t>
      </w:r>
    </w:p>
    <w:p w:rsidR="009C7235" w:rsidRDefault="009C7235" w:rsidP="009C7235">
      <w:r w:rsidRPr="00166E7E">
        <w:t xml:space="preserve">A partir des paramètres définis ci-dessus, on a calculé une distribution du brouillage </w:t>
      </w:r>
      <w:r>
        <w:t>en fonction de</w:t>
      </w:r>
      <w:r w:rsidRPr="00166E7E">
        <w:t xml:space="preserve"> la probabilité </w:t>
      </w:r>
      <w:r>
        <w:t>de dépassement du brouillage pour 10 000 échantillons. Le graphique ainsi obtenu est représenté dans la Fig. 5. Le seuil SRA est représenté sur ce graphique sous la forme d'un triangle.</w:t>
      </w:r>
    </w:p>
    <w:p w:rsidR="009C7235" w:rsidRPr="008E0D30" w:rsidRDefault="009C7235" w:rsidP="00D30DD8">
      <w:pPr>
        <w:pStyle w:val="FigureNo"/>
        <w:keepNext/>
      </w:pPr>
      <w:r w:rsidRPr="008E0D30">
        <w:t>FIGURE 5</w:t>
      </w:r>
    </w:p>
    <w:p w:rsidR="009C7235" w:rsidRDefault="009C7235" w:rsidP="00910B95">
      <w:pPr>
        <w:pStyle w:val="Figuretitle"/>
      </w:pPr>
      <w:r w:rsidRPr="00166E7E">
        <w:t>Exemple de foncti</w:t>
      </w:r>
      <w:r>
        <w:t>on de distribution cumulative des</w:t>
      </w:r>
      <w:r w:rsidRPr="00166E7E">
        <w:t xml:space="preserve"> brouillage</w:t>
      </w:r>
      <w:r>
        <w:t>s</w:t>
      </w:r>
      <w:r w:rsidRPr="00166E7E">
        <w:t xml:space="preserve"> </w:t>
      </w:r>
      <w:r>
        <w:t>causés par des</w:t>
      </w:r>
      <w:r w:rsidRPr="00166E7E">
        <w:t xml:space="preserve"> stations</w:t>
      </w:r>
      <w:r w:rsidR="00D82480">
        <w:br/>
      </w:r>
      <w:r w:rsidRPr="00166E7E">
        <w:t xml:space="preserve">HDFS </w:t>
      </w:r>
      <w:r w:rsidR="00D82480">
        <w:t>P-MP</w:t>
      </w:r>
      <w:r>
        <w:t xml:space="preserve"> au service de radioastronomie</w:t>
      </w:r>
    </w:p>
    <w:p w:rsidR="00910B95" w:rsidRPr="00910B95" w:rsidRDefault="00D82480" w:rsidP="00910B95">
      <w:pPr>
        <w:pStyle w:val="Figure"/>
      </w:pPr>
      <w:r>
        <w:object w:dxaOrig="9644" w:dyaOrig="5732">
          <v:shape id="_x0000_i1035" type="#_x0000_t75" style="width:482.1pt;height:286.85pt" o:ole="" o:allowoverlap="f">
            <v:imagedata r:id="rId27" o:title=""/>
          </v:shape>
          <o:OLEObject Type="Embed" ProgID="CorelDRAW.Graphic.12" ShapeID="_x0000_i1035" DrawAspect="Content" ObjectID="_1574228309" r:id="rId28"/>
        </w:object>
      </w:r>
    </w:p>
    <w:p w:rsidR="009C7235" w:rsidRPr="00166E7E" w:rsidRDefault="009C7235" w:rsidP="00910B95">
      <w:pPr>
        <w:pStyle w:val="Headingb"/>
      </w:pPr>
      <w:r>
        <w:lastRenderedPageBreak/>
        <w:t>Résultat</w:t>
      </w:r>
      <w:r w:rsidRPr="00166E7E">
        <w:t xml:space="preserve"> de la méthode</w:t>
      </w:r>
    </w:p>
    <w:p w:rsidR="009C7235" w:rsidRDefault="009C7235" w:rsidP="009C7235">
      <w:r w:rsidRPr="00166E7E">
        <w:t xml:space="preserve">La probabilité </w:t>
      </w:r>
      <w:r w:rsidRPr="00D82480">
        <w:rPr>
          <w:i/>
        </w:rPr>
        <w:t>P</w:t>
      </w:r>
      <w:r w:rsidRPr="00D82480">
        <w:rPr>
          <w:i/>
          <w:vertAlign w:val="subscript"/>
        </w:rPr>
        <w:t>ob</w:t>
      </w:r>
      <w:r w:rsidRPr="00166E7E">
        <w:t xml:space="preserve"> = 4% calculée est supérieure au niveau requis de 2%. </w:t>
      </w:r>
      <w:r>
        <w:t xml:space="preserve">Il faudrait par conséquent élargir la </w:t>
      </w:r>
      <w:r w:rsidRPr="00166E7E">
        <w:t xml:space="preserve">zone d'exclusion afin de protéger l'observatoire </w:t>
      </w:r>
      <w:r>
        <w:t xml:space="preserve">de </w:t>
      </w:r>
      <w:r w:rsidR="00D82480">
        <w:t>SRA</w:t>
      </w:r>
      <w:r w:rsidRPr="00166E7E">
        <w:t>.</w:t>
      </w:r>
    </w:p>
    <w:p w:rsidR="00D1175A" w:rsidRDefault="00D1175A" w:rsidP="009C7235"/>
    <w:p w:rsidR="00D82480" w:rsidRDefault="00D82480" w:rsidP="009C7235"/>
    <w:p w:rsidR="009C7235" w:rsidRPr="00166E7E" w:rsidRDefault="009C7235" w:rsidP="00910B95">
      <w:pPr>
        <w:pStyle w:val="AnnexNoTitle"/>
      </w:pPr>
      <w:r w:rsidRPr="00166E7E">
        <w:t>Annexe 2</w:t>
      </w:r>
      <w:r w:rsidRPr="00166E7E">
        <w:br/>
      </w:r>
      <w:r w:rsidRPr="00166E7E">
        <w:br/>
      </w:r>
      <w:r w:rsidRPr="00166E7E">
        <w:rPr>
          <w:snapToGrid w:val="0"/>
        </w:rPr>
        <w:t xml:space="preserve">Méthode permettant de déterminer la zone d'exclusion autour </w:t>
      </w:r>
      <w:r>
        <w:rPr>
          <w:snapToGrid w:val="0"/>
        </w:rPr>
        <w:t xml:space="preserve">d'un </w:t>
      </w:r>
      <w:r w:rsidRPr="00166E7E">
        <w:rPr>
          <w:snapToGrid w:val="0"/>
        </w:rPr>
        <w:t xml:space="preserve">site </w:t>
      </w:r>
      <w:r w:rsidR="00D82480">
        <w:rPr>
          <w:snapToGrid w:val="0"/>
        </w:rPr>
        <w:t>SRA</w:t>
      </w:r>
      <w:r w:rsidRPr="00166E7E">
        <w:rPr>
          <w:snapToGrid w:val="0"/>
        </w:rPr>
        <w:t>, définie</w:t>
      </w:r>
      <w:r>
        <w:rPr>
          <w:snapToGrid w:val="0"/>
        </w:rPr>
        <w:t xml:space="preserve"> en fonction d'</w:t>
      </w:r>
      <w:r w:rsidRPr="00166E7E">
        <w:rPr>
          <w:snapToGrid w:val="0"/>
        </w:rPr>
        <w:t>un affaiblissement de propagation</w:t>
      </w:r>
      <w:r w:rsidR="00D1175A">
        <w:rPr>
          <w:snapToGrid w:val="0"/>
        </w:rPr>
        <w:t xml:space="preserve"> </w:t>
      </w:r>
      <w:r>
        <w:rPr>
          <w:snapToGrid w:val="0"/>
        </w:rPr>
        <w:t>depuis ce site</w:t>
      </w:r>
      <w:r w:rsidRPr="00166E7E">
        <w:rPr>
          <w:snapToGrid w:val="0"/>
        </w:rPr>
        <w:t>,</w:t>
      </w:r>
      <w:r w:rsidR="00D1175A">
        <w:rPr>
          <w:snapToGrid w:val="0"/>
        </w:rPr>
        <w:br/>
      </w:r>
      <w:r>
        <w:rPr>
          <w:snapToGrid w:val="0"/>
        </w:rPr>
        <w:t>à</w:t>
      </w:r>
      <w:r w:rsidR="00D1175A">
        <w:rPr>
          <w:snapToGrid w:val="0"/>
        </w:rPr>
        <w:t xml:space="preserve"> </w:t>
      </w:r>
      <w:r>
        <w:rPr>
          <w:snapToGrid w:val="0"/>
        </w:rPr>
        <w:t>l'extérieur de laquelle peuvent être déployées des stations</w:t>
      </w:r>
      <w:r w:rsidR="00D1175A">
        <w:rPr>
          <w:snapToGrid w:val="0"/>
        </w:rPr>
        <w:br/>
      </w:r>
      <w:r>
        <w:rPr>
          <w:snapToGrid w:val="0"/>
        </w:rPr>
        <w:t xml:space="preserve">à </w:t>
      </w:r>
      <w:r w:rsidR="00D82480">
        <w:rPr>
          <w:snapToGrid w:val="0"/>
        </w:rPr>
        <w:t>HDFS P-MP</w:t>
      </w:r>
      <w:r>
        <w:rPr>
          <w:snapToGrid w:val="0"/>
        </w:rPr>
        <w:t xml:space="preserve"> sans risquer</w:t>
      </w:r>
      <w:r w:rsidR="00D1175A">
        <w:rPr>
          <w:snapToGrid w:val="0"/>
        </w:rPr>
        <w:t xml:space="preserve"> </w:t>
      </w:r>
      <w:r>
        <w:rPr>
          <w:snapToGrid w:val="0"/>
        </w:rPr>
        <w:t xml:space="preserve">de causer des brouillages au site </w:t>
      </w:r>
      <w:r w:rsidR="00D82480">
        <w:rPr>
          <w:snapToGrid w:val="0"/>
        </w:rPr>
        <w:t>SRA</w:t>
      </w:r>
    </w:p>
    <w:p w:rsidR="009C7235" w:rsidRPr="00166E7E" w:rsidRDefault="009C7235" w:rsidP="009C7235">
      <w:pPr>
        <w:pStyle w:val="Normalaftertitle"/>
      </w:pPr>
      <w:r w:rsidRPr="00166E7E">
        <w:t xml:space="preserve">La présente Annexe décrit une méthode </w:t>
      </w:r>
      <w:r>
        <w:t xml:space="preserve">qui permet de </w:t>
      </w:r>
      <w:r w:rsidRPr="00166E7E">
        <w:t>définir une zo</w:t>
      </w:r>
      <w:r>
        <w:t>ne d'exclusion autour d'un site SRA en ce qui concerne les</w:t>
      </w:r>
      <w:r w:rsidRPr="00166E7E">
        <w:t xml:space="preserve"> stations </w:t>
      </w:r>
      <w:r>
        <w:t>d'émission des applications HDFS</w:t>
      </w:r>
      <w:r w:rsidRPr="00166E7E">
        <w:t xml:space="preserve"> </w:t>
      </w:r>
      <w:r w:rsidR="00D82480">
        <w:t>P-MP</w:t>
      </w:r>
      <w:r>
        <w:t>, et que les </w:t>
      </w:r>
      <w:r w:rsidRPr="00166E7E">
        <w:t xml:space="preserve">administrations peuvent </w:t>
      </w:r>
      <w:r>
        <w:t>utiliser</w:t>
      </w:r>
      <w:r w:rsidRPr="00166E7E">
        <w:t xml:space="preserve"> dans le</w:t>
      </w:r>
      <w:r>
        <w:t xml:space="preserve"> cadre de discussions au niveau national et bilatéral</w:t>
      </w:r>
      <w:r w:rsidRPr="00166E7E">
        <w:t xml:space="preserve"> </w:t>
      </w:r>
      <w:r>
        <w:t>pour</w:t>
      </w:r>
      <w:r w:rsidRPr="00166E7E">
        <w:t xml:space="preserve"> protéger les sites </w:t>
      </w:r>
      <w:r>
        <w:t>SRA</w:t>
      </w:r>
      <w:r w:rsidRPr="00166E7E">
        <w:t xml:space="preserve"> d</w:t>
      </w:r>
      <w:r>
        <w:t>es</w:t>
      </w:r>
      <w:r w:rsidRPr="00166E7E">
        <w:t xml:space="preserve"> brouillage</w:t>
      </w:r>
      <w:r>
        <w:t>s</w:t>
      </w:r>
      <w:r w:rsidRPr="00166E7E">
        <w:t xml:space="preserve"> susceptible</w:t>
      </w:r>
      <w:r>
        <w:t>s</w:t>
      </w:r>
      <w:r w:rsidRPr="00166E7E">
        <w:t xml:space="preserve"> d'</w:t>
      </w:r>
      <w:r>
        <w:t xml:space="preserve">être causés par des stations HDFS </w:t>
      </w:r>
      <w:r w:rsidR="00D82480">
        <w:t>P-MP</w:t>
      </w:r>
      <w:r w:rsidRPr="00166E7E">
        <w:t>.</w:t>
      </w:r>
    </w:p>
    <w:p w:rsidR="009C7235" w:rsidRPr="008D0B9B" w:rsidRDefault="009C7235" w:rsidP="009C7235">
      <w:pPr>
        <w:pStyle w:val="Heading1"/>
        <w:ind w:left="792" w:hanging="792"/>
      </w:pPr>
      <w:r w:rsidRPr="008D0B9B">
        <w:t>1</w:t>
      </w:r>
      <w:r w:rsidRPr="008D0B9B">
        <w:tab/>
        <w:t xml:space="preserve">Définition d'une zone d'exclusion </w:t>
      </w:r>
      <w:r>
        <w:t>en fonction</w:t>
      </w:r>
      <w:r w:rsidRPr="008D0B9B">
        <w:t xml:space="preserve"> de l'affaiblissement de propagation</w:t>
      </w:r>
    </w:p>
    <w:p w:rsidR="009C7235" w:rsidRDefault="009C7235" w:rsidP="009C7235">
      <w:r w:rsidRPr="008D0B9B">
        <w:t>Une des méthodes visant à protéger des services</w:t>
      </w:r>
      <w:r>
        <w:t>,</w:t>
      </w:r>
      <w:r w:rsidRPr="008D0B9B">
        <w:t xml:space="preserve"> tels que le service </w:t>
      </w:r>
      <w:r>
        <w:t>SRA contre les brouillages consiste à définir une zone d'exclusion autour du site en question, à l'intérieur de laquelle la transmission n'est pas autorisée. Il est possible de définir la zone d'exclusion en fonction de la distance avec le risque d'obtenir une grande zone d'exclusion étant donné que les azimuts correspondant au cas le plus défavorable exigent souvent de grandes distances de séparation.</w:t>
      </w:r>
    </w:p>
    <w:p w:rsidR="009C7235" w:rsidRPr="008D0B9B" w:rsidRDefault="009C7235" w:rsidP="009C7235">
      <w:r>
        <w:t xml:space="preserve">Une solution plus efficace consiste à définir la zone d'exclusion en fonction de l'affaiblissement de propagation, de telle façon que la distance de séparation requise varie en fonction de l'azimut. </w:t>
      </w:r>
      <w:r w:rsidRPr="008D0B9B">
        <w:t xml:space="preserve">Les contours de coordination présentent un certain affaiblissement de propagation compte tenu des différentes caractéristiques de propagation </w:t>
      </w:r>
      <w:r>
        <w:t xml:space="preserve">des ondes radio sur la terre et la mer. Cette solution peut être appliquée au terrain local et à un modèle de propagation détaillé tel que celui qui est décrit dans la Recommandation UIT-R </w:t>
      </w:r>
      <w:r w:rsidRPr="008D0B9B">
        <w:t>P.452.</w:t>
      </w:r>
    </w:p>
    <w:p w:rsidR="009C7235" w:rsidRPr="008D0B9B" w:rsidRDefault="009C7235" w:rsidP="009C7235">
      <w:r w:rsidRPr="008D0B9B">
        <w:t xml:space="preserve">On </w:t>
      </w:r>
      <w:r>
        <w:t>définit</w:t>
      </w:r>
      <w:r w:rsidRPr="008D0B9B">
        <w:t xml:space="preserve"> ensuite la zone d'exclusion en autorisant la transmission en des emplacements pour lesquels l'affaiblissement de propagation en direction du site </w:t>
      </w:r>
      <w:r w:rsidR="00D30DD8">
        <w:t>SRA</w:t>
      </w:r>
      <w:r>
        <w:t>,</w:t>
      </w:r>
      <w:r w:rsidRPr="008D0B9B">
        <w:t xml:space="preserve"> tel que calculé conformément à la Recommandation UIT-R</w:t>
      </w:r>
      <w:r>
        <w:t xml:space="preserve"> P.452,</w:t>
      </w:r>
      <w:r w:rsidRPr="008D0B9B">
        <w:t xml:space="preserve"> </w:t>
      </w:r>
      <w:r w:rsidRPr="00D82480">
        <w:rPr>
          <w:i/>
        </w:rPr>
        <w:t>L</w:t>
      </w:r>
      <w:r w:rsidRPr="008D0B9B">
        <w:rPr>
          <w:vertAlign w:val="subscript"/>
        </w:rPr>
        <w:t>452</w:t>
      </w:r>
      <w:r w:rsidRPr="008D0B9B">
        <w:t xml:space="preserve">, </w:t>
      </w:r>
      <w:r>
        <w:t>pendant un pourcentage de temps tel que</w:t>
      </w:r>
      <w:r w:rsidRPr="008D0B9B">
        <w:t xml:space="preserve"> 10%</w:t>
      </w:r>
      <w:r>
        <w:t>,</w:t>
      </w:r>
      <w:r w:rsidRPr="008D0B9B">
        <w:t xml:space="preserve"> </w:t>
      </w:r>
      <w:r>
        <w:t>est supérieur à une valeur définie, c'est</w:t>
      </w:r>
      <w:r>
        <w:noBreakHyphen/>
        <w:t>à</w:t>
      </w:r>
      <w:r>
        <w:noBreakHyphen/>
        <w:t>dire</w:t>
      </w:r>
      <w:r w:rsidRPr="008D0B9B">
        <w:t>:</w:t>
      </w:r>
    </w:p>
    <w:p w:rsidR="00D1175A" w:rsidRPr="007C1F74" w:rsidRDefault="00D1175A" w:rsidP="00D1175A">
      <w:pPr>
        <w:pStyle w:val="Blanc"/>
        <w:rPr>
          <w:lang w:val="fr-CH"/>
        </w:rPr>
      </w:pPr>
    </w:p>
    <w:p w:rsidR="009C7235" w:rsidRPr="00836311" w:rsidRDefault="009C7235" w:rsidP="00D1175A">
      <w:pPr>
        <w:pStyle w:val="Equation"/>
      </w:pPr>
      <w:r w:rsidRPr="008D0B9B">
        <w:tab/>
      </w:r>
      <w:r w:rsidRPr="008D0B9B">
        <w:tab/>
      </w:r>
      <w:r w:rsidRPr="00D82480">
        <w:rPr>
          <w:i/>
        </w:rPr>
        <w:t>L</w:t>
      </w:r>
      <w:r w:rsidRPr="00836311">
        <w:rPr>
          <w:vertAlign w:val="subscript"/>
        </w:rPr>
        <w:t>452</w:t>
      </w:r>
      <w:r w:rsidRPr="00836311">
        <w:t xml:space="preserve">(10%) </w:t>
      </w:r>
      <w:r>
        <w:sym w:font="Symbol" w:char="F0B3"/>
      </w:r>
      <w:r w:rsidRPr="00836311">
        <w:t xml:space="preserve"> </w:t>
      </w:r>
      <w:r w:rsidRPr="00D82480">
        <w:rPr>
          <w:i/>
        </w:rPr>
        <w:t>X</w:t>
      </w:r>
      <w:r w:rsidRPr="00836311">
        <w:t xml:space="preserve"> dB</w:t>
      </w:r>
      <w:r w:rsidRPr="00836311">
        <w:tab/>
        <w:t>(</w:t>
      </w:r>
      <w:r w:rsidR="00D30DD8">
        <w:t>3</w:t>
      </w:r>
      <w:r w:rsidRPr="00836311">
        <w:t>)</w:t>
      </w:r>
    </w:p>
    <w:p w:rsidR="00D1175A" w:rsidRPr="007C1F74" w:rsidRDefault="00D1175A" w:rsidP="00D1175A">
      <w:pPr>
        <w:pStyle w:val="Blanc"/>
        <w:rPr>
          <w:lang w:val="fr-CH"/>
        </w:rPr>
      </w:pPr>
    </w:p>
    <w:p w:rsidR="009C7235" w:rsidRDefault="009C7235" w:rsidP="00D1175A">
      <w:r w:rsidRPr="0033589A">
        <w:t>La Fig</w:t>
      </w:r>
      <w:r>
        <w:t>.</w:t>
      </w:r>
      <w:r w:rsidRPr="0033589A">
        <w:t xml:space="preserve"> 6 </w:t>
      </w:r>
      <w:r>
        <w:t>illustre le</w:t>
      </w:r>
      <w:r w:rsidRPr="0033589A">
        <w:t xml:space="preserve"> déploiement de stations HDFS </w:t>
      </w:r>
      <w:r w:rsidR="00D82480">
        <w:t>P-MP</w:t>
      </w:r>
      <w:r w:rsidRPr="0033589A">
        <w:t xml:space="preserve"> à l'extérieur de zones d'exclusion définies en fonction de la distance et en fonction de </w:t>
      </w:r>
      <w:r w:rsidRPr="00D82480">
        <w:rPr>
          <w:i/>
        </w:rPr>
        <w:t>L</w:t>
      </w:r>
      <w:r w:rsidRPr="0033589A">
        <w:rPr>
          <w:vertAlign w:val="subscript"/>
        </w:rPr>
        <w:t>452</w:t>
      </w:r>
      <w:r w:rsidRPr="0033589A">
        <w:t>.</w:t>
      </w:r>
    </w:p>
    <w:p w:rsidR="009C7235" w:rsidRDefault="009C7235" w:rsidP="00910B95">
      <w:pPr>
        <w:pStyle w:val="FigureNo"/>
        <w:keepNext/>
      </w:pPr>
      <w:r>
        <w:lastRenderedPageBreak/>
        <w:t>FIGURE 6</w:t>
      </w:r>
    </w:p>
    <w:p w:rsidR="009C7235" w:rsidRDefault="009C7235" w:rsidP="00910B95">
      <w:pPr>
        <w:pStyle w:val="Figuretitle"/>
        <w:rPr>
          <w:vertAlign w:val="subscript"/>
        </w:rPr>
      </w:pPr>
      <w:r w:rsidRPr="0033589A">
        <w:t xml:space="preserve">Zones d'exclusion fondées sur la distance et sur </w:t>
      </w:r>
      <w:r w:rsidRPr="00D82480">
        <w:rPr>
          <w:i/>
        </w:rPr>
        <w:t>L</w:t>
      </w:r>
      <w:r w:rsidRPr="0033589A">
        <w:rPr>
          <w:vertAlign w:val="subscript"/>
        </w:rPr>
        <w:t>452</w:t>
      </w:r>
    </w:p>
    <w:p w:rsidR="00910B95" w:rsidRPr="00910B95" w:rsidRDefault="00D30DD8" w:rsidP="00910B95">
      <w:pPr>
        <w:pStyle w:val="Figure"/>
      </w:pPr>
      <w:r>
        <w:object w:dxaOrig="8894" w:dyaOrig="3890">
          <v:shape id="_x0000_i1036" type="#_x0000_t75" style="width:444.65pt;height:194.1pt" o:ole="" o:allowoverlap="f">
            <v:imagedata r:id="rId29" o:title=""/>
          </v:shape>
          <o:OLEObject Type="Embed" ProgID="CorelDRAW.Graphic.12" ShapeID="_x0000_i1036" DrawAspect="Content" ObjectID="_1574228310" r:id="rId30"/>
        </w:object>
      </w:r>
    </w:p>
    <w:p w:rsidR="009C7235" w:rsidRDefault="009C7235" w:rsidP="00F7629D">
      <w:pPr>
        <w:pStyle w:val="Normalaftertitle"/>
      </w:pPr>
      <w:r w:rsidRPr="0033589A">
        <w:t xml:space="preserve">En règle générale, les zones d'exclusion fondées sur </w:t>
      </w:r>
      <w:r w:rsidRPr="00D82480">
        <w:rPr>
          <w:i/>
        </w:rPr>
        <w:t>L</w:t>
      </w:r>
      <w:r w:rsidRPr="0033589A">
        <w:rPr>
          <w:vertAlign w:val="subscript"/>
        </w:rPr>
        <w:t>452</w:t>
      </w:r>
      <w:r w:rsidRPr="0033589A">
        <w:t xml:space="preserve"> </w:t>
      </w:r>
      <w:r>
        <w:t xml:space="preserve">ont une surface plus petite que celles fondées sur la distance. Par exemple, les deux déploiements représentés dans la Fig. 7 permettent tous les deux de protéger le site SRA contre les brouillages à partir du même modèle de référence HDFS </w:t>
      </w:r>
      <w:r w:rsidR="00D82480">
        <w:t>P-MP</w:t>
      </w:r>
      <w:r>
        <w:t>.</w:t>
      </w:r>
    </w:p>
    <w:p w:rsidR="009C7235" w:rsidRDefault="009C7235" w:rsidP="00910B95">
      <w:pPr>
        <w:pStyle w:val="FigureNo"/>
        <w:keepNext/>
      </w:pPr>
      <w:r>
        <w:t>FIGURE 7</w:t>
      </w:r>
    </w:p>
    <w:p w:rsidR="009C7235" w:rsidRDefault="009C7235" w:rsidP="00910B95">
      <w:pPr>
        <w:pStyle w:val="Figuretitle"/>
        <w:rPr>
          <w:vertAlign w:val="subscript"/>
        </w:rPr>
      </w:pPr>
      <w:r w:rsidRPr="0033589A">
        <w:t xml:space="preserve">Exemple de zones d'exclusion fondées sur la distance et sur </w:t>
      </w:r>
      <w:r w:rsidRPr="00D82480">
        <w:rPr>
          <w:i/>
        </w:rPr>
        <w:t>L</w:t>
      </w:r>
      <w:r w:rsidRPr="0033589A">
        <w:rPr>
          <w:vertAlign w:val="subscript"/>
        </w:rPr>
        <w:t>452</w:t>
      </w:r>
    </w:p>
    <w:p w:rsidR="00910B95" w:rsidRPr="00910B95" w:rsidRDefault="00D82480" w:rsidP="00910B95">
      <w:pPr>
        <w:pStyle w:val="Figure"/>
      </w:pPr>
      <w:r>
        <w:object w:dxaOrig="9678" w:dyaOrig="3325">
          <v:shape id="_x0000_i1037" type="#_x0000_t75" style="width:484.4pt;height:166.45pt" o:ole="" o:allowoverlap="f">
            <v:imagedata r:id="rId31" o:title=""/>
          </v:shape>
          <o:OLEObject Type="Embed" ProgID="CorelDRAW.Graphic.12" ShapeID="_x0000_i1037" DrawAspect="Content" ObjectID="_1574228311" r:id="rId32"/>
        </w:object>
      </w:r>
    </w:p>
    <w:p w:rsidR="009C7235" w:rsidRDefault="009C7235" w:rsidP="00F7629D">
      <w:pPr>
        <w:pStyle w:val="Normalaftertitle"/>
      </w:pPr>
      <w:r w:rsidRPr="0033589A">
        <w:t xml:space="preserve">Dans les deux cas, les points de mesure situés dans la mer ont été supprimés. </w:t>
      </w:r>
      <w:r>
        <w:t>Pour ces deux cas, les zones d'exclusion données en exemple ont été définies selon les méthodes indiquées dans le Tableau 6 ci-après</w:t>
      </w:r>
      <w:r w:rsidRPr="0033589A">
        <w:t>:</w:t>
      </w:r>
    </w:p>
    <w:p w:rsidR="009C7235" w:rsidRDefault="009C7235" w:rsidP="009C7235">
      <w:pPr>
        <w:pStyle w:val="TableNo"/>
      </w:pPr>
      <w:r>
        <w:lastRenderedPageBreak/>
        <w:t>TABLE</w:t>
      </w:r>
      <w:r w:rsidR="00910B95">
        <w:t>AU</w:t>
      </w:r>
      <w:r>
        <w:t xml:space="preserve"> 6</w:t>
      </w:r>
    </w:p>
    <w:p w:rsidR="009C7235" w:rsidRPr="0033589A" w:rsidRDefault="009C7235" w:rsidP="00910B95">
      <w:pPr>
        <w:pStyle w:val="Tabletitle"/>
      </w:pPr>
      <w:r w:rsidRPr="0033589A">
        <w:t xml:space="preserve">Comparaison des deux méthodes de définition des zones d'exclusion </w:t>
      </w:r>
      <w:r>
        <w:br/>
      </w:r>
      <w:r w:rsidRPr="0033589A">
        <w:t>à partir d'exemples de résultats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9C7235">
        <w:trPr>
          <w:jc w:val="center"/>
        </w:trPr>
        <w:tc>
          <w:tcPr>
            <w:tcW w:w="3175" w:type="dxa"/>
          </w:tcPr>
          <w:p w:rsidR="009C7235" w:rsidRDefault="009C7235" w:rsidP="00910B95">
            <w:pPr>
              <w:pStyle w:val="Tablehead"/>
            </w:pPr>
            <w:r>
              <w:t>Type de zone d'exclusion</w:t>
            </w:r>
          </w:p>
        </w:tc>
        <w:tc>
          <w:tcPr>
            <w:tcW w:w="3232" w:type="dxa"/>
          </w:tcPr>
          <w:p w:rsidR="009C7235" w:rsidRPr="005734EE" w:rsidRDefault="009C7235" w:rsidP="00910B95">
            <w:pPr>
              <w:pStyle w:val="Tablehead"/>
            </w:pPr>
            <w:r w:rsidRPr="005734EE">
              <w:t>En fonction de la distance</w:t>
            </w:r>
          </w:p>
        </w:tc>
        <w:tc>
          <w:tcPr>
            <w:tcW w:w="3232" w:type="dxa"/>
          </w:tcPr>
          <w:p w:rsidR="009C7235" w:rsidRDefault="009C7235" w:rsidP="00910B95">
            <w:pPr>
              <w:pStyle w:val="Tablehead"/>
            </w:pPr>
            <w:r w:rsidRPr="005734EE">
              <w:t>En fonction de</w:t>
            </w:r>
            <w:r>
              <w:t xml:space="preserve"> </w:t>
            </w:r>
            <w:r w:rsidRPr="00D82480">
              <w:rPr>
                <w:i/>
              </w:rPr>
              <w:t>L</w:t>
            </w:r>
            <w:r>
              <w:rPr>
                <w:vertAlign w:val="subscript"/>
              </w:rPr>
              <w:t>452</w:t>
            </w:r>
            <w:r>
              <w:t>(10%)</w:t>
            </w:r>
          </w:p>
        </w:tc>
      </w:tr>
      <w:tr w:rsidR="009C7235">
        <w:trPr>
          <w:jc w:val="center"/>
        </w:trPr>
        <w:tc>
          <w:tcPr>
            <w:tcW w:w="3175" w:type="dxa"/>
          </w:tcPr>
          <w:p w:rsidR="009C7235" w:rsidRDefault="009C7235" w:rsidP="00D82480">
            <w:pPr>
              <w:pStyle w:val="Tabletext"/>
              <w:keepNext/>
            </w:pPr>
            <w:r>
              <w:t>Paramètre de zone d'exclusion</w:t>
            </w:r>
          </w:p>
        </w:tc>
        <w:tc>
          <w:tcPr>
            <w:tcW w:w="3232" w:type="dxa"/>
          </w:tcPr>
          <w:p w:rsidR="009C7235" w:rsidRDefault="009C7235" w:rsidP="00D30DD8">
            <w:pPr>
              <w:pStyle w:val="Tabletext"/>
              <w:keepNext/>
              <w:jc w:val="center"/>
            </w:pPr>
            <w:r w:rsidRPr="00D82480">
              <w:rPr>
                <w:i/>
              </w:rPr>
              <w:t>D</w:t>
            </w:r>
            <w:r>
              <w:t xml:space="preserve"> </w:t>
            </w:r>
            <w:r>
              <w:sym w:font="Symbol" w:char="F0B3"/>
            </w:r>
            <w:r>
              <w:t xml:space="preserve"> 66 km</w:t>
            </w:r>
          </w:p>
        </w:tc>
        <w:tc>
          <w:tcPr>
            <w:tcW w:w="3232" w:type="dxa"/>
          </w:tcPr>
          <w:p w:rsidR="009C7235" w:rsidRDefault="009C7235" w:rsidP="00D30DD8">
            <w:pPr>
              <w:pStyle w:val="Tabletext"/>
              <w:keepNext/>
              <w:jc w:val="center"/>
            </w:pPr>
            <w:r w:rsidRPr="00D82480">
              <w:rPr>
                <w:i/>
              </w:rPr>
              <w:t>L</w:t>
            </w:r>
            <w:r>
              <w:rPr>
                <w:vertAlign w:val="subscript"/>
              </w:rPr>
              <w:t>452</w:t>
            </w:r>
            <w:r>
              <w:t xml:space="preserve">(10%) </w:t>
            </w:r>
            <w:r>
              <w:sym w:font="Symbol" w:char="F0B3"/>
            </w:r>
            <w:r>
              <w:t xml:space="preserve"> 176 dB</w:t>
            </w:r>
          </w:p>
        </w:tc>
      </w:tr>
      <w:tr w:rsidR="009C7235">
        <w:trPr>
          <w:jc w:val="center"/>
        </w:trPr>
        <w:tc>
          <w:tcPr>
            <w:tcW w:w="3175" w:type="dxa"/>
          </w:tcPr>
          <w:p w:rsidR="009C7235" w:rsidRPr="00272555" w:rsidRDefault="009C7235" w:rsidP="00910B95">
            <w:pPr>
              <w:pStyle w:val="Tabletext"/>
            </w:pPr>
            <w:r w:rsidRPr="00272555">
              <w:t>Taille de la zone d'exclusion</w:t>
            </w:r>
          </w:p>
        </w:tc>
        <w:tc>
          <w:tcPr>
            <w:tcW w:w="3232" w:type="dxa"/>
          </w:tcPr>
          <w:p w:rsidR="009C7235" w:rsidRDefault="009C7235" w:rsidP="00D30DD8">
            <w:pPr>
              <w:pStyle w:val="Tabletext"/>
              <w:jc w:val="center"/>
            </w:pPr>
            <w:r>
              <w:t>14 186 km</w:t>
            </w:r>
            <w:r>
              <w:rPr>
                <w:sz w:val="26"/>
                <w:vertAlign w:val="superscript"/>
              </w:rPr>
              <w:t>2</w:t>
            </w:r>
          </w:p>
        </w:tc>
        <w:tc>
          <w:tcPr>
            <w:tcW w:w="3232" w:type="dxa"/>
          </w:tcPr>
          <w:p w:rsidR="009C7235" w:rsidRDefault="009C7235" w:rsidP="00D30DD8">
            <w:pPr>
              <w:pStyle w:val="Tabletext"/>
              <w:jc w:val="center"/>
            </w:pPr>
            <w:r>
              <w:t>5 162 km</w:t>
            </w:r>
            <w:r>
              <w:rPr>
                <w:sz w:val="26"/>
                <w:vertAlign w:val="superscript"/>
              </w:rPr>
              <w:t>2</w:t>
            </w:r>
          </w:p>
        </w:tc>
      </w:tr>
    </w:tbl>
    <w:p w:rsidR="00D1175A" w:rsidRPr="00D1175A" w:rsidRDefault="00D1175A" w:rsidP="00F7629D">
      <w:pPr>
        <w:pStyle w:val="Tablefin"/>
      </w:pPr>
    </w:p>
    <w:p w:rsidR="009C7235" w:rsidRPr="0033589A" w:rsidRDefault="009C7235" w:rsidP="00910B95">
      <w:r>
        <w:t xml:space="preserve">La définition des </w:t>
      </w:r>
      <w:r w:rsidRPr="0033589A">
        <w:t xml:space="preserve">zones d'exclusion en fonction de </w:t>
      </w:r>
      <w:r w:rsidRPr="00D82480">
        <w:rPr>
          <w:i/>
        </w:rPr>
        <w:t>L</w:t>
      </w:r>
      <w:r w:rsidRPr="0033589A">
        <w:rPr>
          <w:vertAlign w:val="subscript"/>
        </w:rPr>
        <w:t>452</w:t>
      </w:r>
      <w:r w:rsidRPr="0033589A">
        <w:t xml:space="preserve">(10%) </w:t>
      </w:r>
      <w:r>
        <w:t xml:space="preserve">est par conséquent un moyen efficace et souple de protéger des services, tels que le service </w:t>
      </w:r>
      <w:r w:rsidR="00D30DD8">
        <w:t>SRA</w:t>
      </w:r>
      <w:r>
        <w:t>, contre les brouillages</w:t>
      </w:r>
      <w:r w:rsidRPr="0033589A">
        <w:t>.</w:t>
      </w:r>
    </w:p>
    <w:p w:rsidR="009C7235" w:rsidRPr="00D03387" w:rsidRDefault="009C7235" w:rsidP="009C7235">
      <w:pPr>
        <w:pStyle w:val="Heading1"/>
      </w:pPr>
      <w:r w:rsidRPr="00D03387">
        <w:t>2</w:t>
      </w:r>
      <w:r w:rsidRPr="00D03387">
        <w:tab/>
        <w:t>Calcul de la taille d'une zone d'exclusion</w:t>
      </w:r>
    </w:p>
    <w:p w:rsidR="009C7235" w:rsidRPr="00D03387" w:rsidRDefault="009C7235" w:rsidP="009C7235">
      <w:r w:rsidRPr="00D03387">
        <w:t xml:space="preserve">Pour déterminer une valeur appropriée de zone d'exclusion de </w:t>
      </w:r>
      <w:r w:rsidRPr="00D82480">
        <w:rPr>
          <w:i/>
        </w:rPr>
        <w:t>X</w:t>
      </w:r>
      <w:r w:rsidRPr="00D03387">
        <w:t xml:space="preserve"> de telle manière que </w:t>
      </w:r>
      <w:r w:rsidRPr="00D82480">
        <w:rPr>
          <w:i/>
        </w:rPr>
        <w:t>L</w:t>
      </w:r>
      <w:r w:rsidRPr="00D03387">
        <w:rPr>
          <w:vertAlign w:val="subscript"/>
        </w:rPr>
        <w:t>452</w:t>
      </w:r>
      <w:r w:rsidRPr="00D03387">
        <w:t xml:space="preserve">(10%) </w:t>
      </w:r>
      <w:r w:rsidRPr="00D03387">
        <w:sym w:font="Symbol" w:char="F0B3"/>
      </w:r>
      <w:r w:rsidRPr="00D03387">
        <w:t xml:space="preserve"> </w:t>
      </w:r>
      <w:r w:rsidRPr="00D82480">
        <w:rPr>
          <w:i/>
        </w:rPr>
        <w:t>X</w:t>
      </w:r>
      <w:r w:rsidRPr="00D03387">
        <w:t xml:space="preserve"> permettrait de protéger le </w:t>
      </w:r>
      <w:r>
        <w:t>site</w:t>
      </w:r>
      <w:r w:rsidRPr="00D03387">
        <w:t xml:space="preserve"> </w:t>
      </w:r>
      <w:r w:rsidR="00D82480">
        <w:t>SRA</w:t>
      </w:r>
      <w:r w:rsidRPr="00D03387">
        <w:t xml:space="preserve">, il est nécessaire de suivre une procédure itérative, telle que celle indiquée dans les étapes ci-dessous. Pour calculer la probabilité </w:t>
      </w:r>
      <w:r w:rsidRPr="00D82480">
        <w:rPr>
          <w:i/>
        </w:rPr>
        <w:t>P</w:t>
      </w:r>
      <w:r w:rsidRPr="00D82480">
        <w:rPr>
          <w:i/>
          <w:vertAlign w:val="subscript"/>
        </w:rPr>
        <w:t>ob</w:t>
      </w:r>
      <w:r w:rsidRPr="00D03387">
        <w:t xml:space="preserve">, la probabilité pour qu'une observation </w:t>
      </w:r>
      <w:r>
        <w:t>SRA</w:t>
      </w:r>
      <w:r w:rsidRPr="00D03387">
        <w:t xml:space="preserve"> subisse des brouillages pour une valeur particulière de </w:t>
      </w:r>
      <w:r w:rsidRPr="00D82480">
        <w:rPr>
          <w:i/>
        </w:rPr>
        <w:t>X</w:t>
      </w:r>
      <w:r w:rsidRPr="00D03387">
        <w:t xml:space="preserve">, </w:t>
      </w:r>
      <w:r>
        <w:t xml:space="preserve">on utilise un </w:t>
      </w:r>
      <w:r w:rsidRPr="00D03387">
        <w:t>algorithme établi à partir de la méthode décrite dans l'Annexe 1 d</w:t>
      </w:r>
      <w:r w:rsidR="00D82480">
        <w:t>e cette Recommandation</w:t>
      </w:r>
      <w:r w:rsidRPr="00D03387">
        <w:t>.</w:t>
      </w:r>
    </w:p>
    <w:p w:rsidR="009C7235" w:rsidRPr="00D03387" w:rsidRDefault="00D82480" w:rsidP="009C7235">
      <w:pPr>
        <w:pStyle w:val="enumlev1"/>
      </w:pPr>
      <w:r>
        <w:t xml:space="preserve">Etape </w:t>
      </w:r>
      <w:r w:rsidR="009C7235" w:rsidRPr="00D03387">
        <w:t>1</w:t>
      </w:r>
      <w:r w:rsidR="001F1CD5">
        <w:t>:</w:t>
      </w:r>
      <w:r w:rsidR="001F1CD5">
        <w:tab/>
      </w:r>
      <w:r w:rsidR="009C7235" w:rsidRPr="00D03387">
        <w:tab/>
      </w:r>
      <w:r w:rsidR="009C7235">
        <w:t xml:space="preserve">Effectuer </w:t>
      </w:r>
      <w:r w:rsidR="009C7235" w:rsidRPr="00D03387">
        <w:t xml:space="preserve">une estimation initiale de </w:t>
      </w:r>
      <w:r w:rsidR="009C7235" w:rsidRPr="00D82480">
        <w:rPr>
          <w:i/>
        </w:rPr>
        <w:t>X</w:t>
      </w:r>
      <w:r w:rsidR="009C7235" w:rsidRPr="00D03387">
        <w:rPr>
          <w:vertAlign w:val="subscript"/>
        </w:rPr>
        <w:t>1</w:t>
      </w:r>
      <w:r w:rsidR="009C7235" w:rsidRPr="00D03387">
        <w:t xml:space="preserve"> (par exemple </w:t>
      </w:r>
      <w:r w:rsidR="009C7235" w:rsidRPr="00D82480">
        <w:rPr>
          <w:i/>
        </w:rPr>
        <w:t>X</w:t>
      </w:r>
      <w:r w:rsidR="009C7235" w:rsidRPr="00D03387">
        <w:rPr>
          <w:vertAlign w:val="subscript"/>
        </w:rPr>
        <w:t>1</w:t>
      </w:r>
      <w:r w:rsidR="009C7235" w:rsidRPr="00D03387">
        <w:t xml:space="preserve"> = 200 dB).</w:t>
      </w:r>
    </w:p>
    <w:p w:rsidR="009C7235" w:rsidRPr="00D03387" w:rsidRDefault="00D82480" w:rsidP="00D82480">
      <w:pPr>
        <w:pStyle w:val="enumlev1"/>
        <w:ind w:left="1191" w:hanging="1191"/>
      </w:pPr>
      <w:r>
        <w:t xml:space="preserve">Etape </w:t>
      </w:r>
      <w:r w:rsidR="009C7235" w:rsidRPr="00D03387">
        <w:t>2</w:t>
      </w:r>
      <w:r w:rsidR="001F1CD5">
        <w:t>:</w:t>
      </w:r>
      <w:r w:rsidR="001F1CD5">
        <w:tab/>
      </w:r>
      <w:r w:rsidR="009C7235" w:rsidRPr="00D03387">
        <w:tab/>
        <w:t xml:space="preserve">Calculer la probabilité pour qu'une observation subisse des brouillages </w:t>
      </w:r>
      <w:r w:rsidR="009C7235">
        <w:t>consécutifs au</w:t>
      </w:r>
      <w:r w:rsidR="009C7235" w:rsidRPr="00D03387">
        <w:t xml:space="preserve"> déploiement de stations HDFS </w:t>
      </w:r>
      <w:r>
        <w:t>P-MP</w:t>
      </w:r>
      <w:r w:rsidR="009C7235" w:rsidRPr="00D03387">
        <w:t xml:space="preserve">, </w:t>
      </w:r>
      <w:r w:rsidR="009C7235" w:rsidRPr="00D82480">
        <w:rPr>
          <w:i/>
        </w:rPr>
        <w:t>P</w:t>
      </w:r>
      <w:r w:rsidR="009C7235" w:rsidRPr="00D82480">
        <w:rPr>
          <w:i/>
          <w:vertAlign w:val="subscript"/>
        </w:rPr>
        <w:t>ob</w:t>
      </w:r>
      <w:r w:rsidR="009C7235" w:rsidRPr="00D03387">
        <w:rPr>
          <w:vertAlign w:val="subscript"/>
        </w:rPr>
        <w:t>-1</w:t>
      </w:r>
      <w:r w:rsidR="009C7235" w:rsidRPr="00D03387">
        <w:t xml:space="preserve"> = </w:t>
      </w:r>
      <w:r w:rsidR="009C7235" w:rsidRPr="00D82480">
        <w:rPr>
          <w:i/>
        </w:rPr>
        <w:t>P</w:t>
      </w:r>
      <w:r w:rsidR="009C7235" w:rsidRPr="00D82480">
        <w:rPr>
          <w:i/>
          <w:vertAlign w:val="subscript"/>
        </w:rPr>
        <w:t>ob</w:t>
      </w:r>
      <w:r w:rsidR="009C7235" w:rsidRPr="00D03387">
        <w:t>(</w:t>
      </w:r>
      <w:r w:rsidR="009C7235" w:rsidRPr="00D82480">
        <w:rPr>
          <w:i/>
        </w:rPr>
        <w:t>X</w:t>
      </w:r>
      <w:r w:rsidR="009C7235" w:rsidRPr="00D03387">
        <w:rPr>
          <w:vertAlign w:val="subscript"/>
        </w:rPr>
        <w:t>1</w:t>
      </w:r>
      <w:r w:rsidR="009C7235" w:rsidRPr="00D03387">
        <w:t xml:space="preserve">), en utilisant </w:t>
      </w:r>
      <w:r w:rsidR="009C7235">
        <w:t>la</w:t>
      </w:r>
      <w:r w:rsidR="009C7235" w:rsidRPr="00D03387">
        <w:t xml:space="preserve"> zone de déploiement définie par les emplacements pour lesquels </w:t>
      </w:r>
      <w:r w:rsidR="009C7235" w:rsidRPr="00D82480">
        <w:rPr>
          <w:i/>
        </w:rPr>
        <w:t>L</w:t>
      </w:r>
      <w:r w:rsidR="009C7235" w:rsidRPr="00D03387">
        <w:rPr>
          <w:vertAlign w:val="subscript"/>
        </w:rPr>
        <w:t>452</w:t>
      </w:r>
      <w:r w:rsidR="009C7235" w:rsidRPr="00D03387">
        <w:t>(10%)  </w:t>
      </w:r>
      <w:r w:rsidR="009C7235" w:rsidRPr="00D03387">
        <w:sym w:font="Symbol" w:char="F0B3"/>
      </w:r>
      <w:r w:rsidR="009C7235" w:rsidRPr="00D03387">
        <w:t xml:space="preserve">  </w:t>
      </w:r>
      <w:r w:rsidR="009C7235" w:rsidRPr="00D82480">
        <w:rPr>
          <w:i/>
        </w:rPr>
        <w:t>X</w:t>
      </w:r>
      <w:r w:rsidR="009C7235" w:rsidRPr="00D03387">
        <w:rPr>
          <w:vertAlign w:val="subscript"/>
        </w:rPr>
        <w:t>1</w:t>
      </w:r>
      <w:r w:rsidR="009C7235" w:rsidRPr="00D03387">
        <w:t>.</w:t>
      </w:r>
    </w:p>
    <w:p w:rsidR="009C7235" w:rsidRPr="00D03387" w:rsidRDefault="00D82480" w:rsidP="009C7235">
      <w:pPr>
        <w:pStyle w:val="enumlev1"/>
      </w:pPr>
      <w:r>
        <w:t xml:space="preserve">Etape </w:t>
      </w:r>
      <w:r w:rsidR="009C7235" w:rsidRPr="00D03387">
        <w:t>3</w:t>
      </w:r>
      <w:r w:rsidR="001F1CD5">
        <w:t>:</w:t>
      </w:r>
      <w:r w:rsidR="001F1CD5">
        <w:tab/>
      </w:r>
      <w:r w:rsidR="009C7235" w:rsidRPr="00D03387">
        <w:tab/>
        <w:t xml:space="preserve">Si </w:t>
      </w:r>
      <w:r w:rsidR="009C7235" w:rsidRPr="00D82480">
        <w:rPr>
          <w:i/>
        </w:rPr>
        <w:t>P</w:t>
      </w:r>
      <w:r w:rsidR="009C7235" w:rsidRPr="00D82480">
        <w:rPr>
          <w:i/>
          <w:vertAlign w:val="subscript"/>
        </w:rPr>
        <w:t>ob</w:t>
      </w:r>
      <w:r w:rsidR="009C7235" w:rsidRPr="00D03387">
        <w:rPr>
          <w:vertAlign w:val="subscript"/>
        </w:rPr>
        <w:t>-1</w:t>
      </w:r>
      <w:r w:rsidR="009C7235" w:rsidRPr="00D03387">
        <w:t xml:space="preserve"> &gt; 2% (le seuil </w:t>
      </w:r>
      <w:r w:rsidR="009C7235">
        <w:t>SRA</w:t>
      </w:r>
      <w:r w:rsidR="009C7235" w:rsidRPr="00D03387">
        <w:t xml:space="preserve">), prendre l'estimation suivante </w:t>
      </w:r>
      <w:r w:rsidR="009C7235" w:rsidRPr="00D82480">
        <w:rPr>
          <w:i/>
        </w:rPr>
        <w:t>X</w:t>
      </w:r>
      <w:r w:rsidR="009C7235" w:rsidRPr="00D03387">
        <w:rPr>
          <w:vertAlign w:val="subscript"/>
        </w:rPr>
        <w:t>2</w:t>
      </w:r>
      <w:r w:rsidR="009C7235" w:rsidRPr="00D03387">
        <w:t xml:space="preserve"> = </w:t>
      </w:r>
      <w:r w:rsidR="009C7235" w:rsidRPr="00D82480">
        <w:rPr>
          <w:i/>
        </w:rPr>
        <w:t>X</w:t>
      </w:r>
      <w:r w:rsidR="009C7235" w:rsidRPr="00D03387">
        <w:rPr>
          <w:vertAlign w:val="subscript"/>
        </w:rPr>
        <w:t xml:space="preserve">1 </w:t>
      </w:r>
      <w:r w:rsidR="009C7235" w:rsidRPr="00D03387">
        <w:t>+ 16 dB.</w:t>
      </w:r>
    </w:p>
    <w:p w:rsidR="009C7235" w:rsidRPr="00D03387" w:rsidRDefault="00D82480" w:rsidP="009C7235">
      <w:pPr>
        <w:pStyle w:val="enumlev1"/>
      </w:pPr>
      <w:r>
        <w:t xml:space="preserve">Etape </w:t>
      </w:r>
      <w:r w:rsidR="009C7235" w:rsidRPr="00D03387">
        <w:t>4</w:t>
      </w:r>
      <w:r w:rsidR="001F1CD5">
        <w:t>:</w:t>
      </w:r>
      <w:r w:rsidR="001F1CD5">
        <w:tab/>
      </w:r>
      <w:r w:rsidR="009C7235" w:rsidRPr="00D03387">
        <w:tab/>
        <w:t xml:space="preserve">Si </w:t>
      </w:r>
      <w:r w:rsidR="009C7235" w:rsidRPr="00D82480">
        <w:rPr>
          <w:i/>
        </w:rPr>
        <w:t>P</w:t>
      </w:r>
      <w:r w:rsidR="009C7235" w:rsidRPr="00D82480">
        <w:rPr>
          <w:i/>
          <w:vertAlign w:val="subscript"/>
        </w:rPr>
        <w:t>ob</w:t>
      </w:r>
      <w:r w:rsidR="009C7235" w:rsidRPr="00D03387">
        <w:rPr>
          <w:vertAlign w:val="subscript"/>
        </w:rPr>
        <w:t>-1</w:t>
      </w:r>
      <w:r w:rsidR="009C7235" w:rsidRPr="00D03387">
        <w:t xml:space="preserve"> &lt; 2% (le seuil </w:t>
      </w:r>
      <w:r w:rsidR="009C7235">
        <w:t>SRA</w:t>
      </w:r>
      <w:r w:rsidR="009C7235" w:rsidRPr="00D03387">
        <w:t xml:space="preserve">) prendre l'estimation suivante </w:t>
      </w:r>
      <w:r w:rsidR="009C7235" w:rsidRPr="00D82480">
        <w:rPr>
          <w:i/>
        </w:rPr>
        <w:t>X</w:t>
      </w:r>
      <w:r w:rsidR="009C7235" w:rsidRPr="00D03387">
        <w:rPr>
          <w:vertAlign w:val="subscript"/>
        </w:rPr>
        <w:t>2</w:t>
      </w:r>
      <w:r w:rsidR="009C7235" w:rsidRPr="00D03387">
        <w:t xml:space="preserve"> = </w:t>
      </w:r>
      <w:r w:rsidR="009C7235" w:rsidRPr="00D82480">
        <w:rPr>
          <w:i/>
        </w:rPr>
        <w:t>X</w:t>
      </w:r>
      <w:r w:rsidR="009C7235" w:rsidRPr="00D03387">
        <w:rPr>
          <w:vertAlign w:val="subscript"/>
        </w:rPr>
        <w:t xml:space="preserve">1 </w:t>
      </w:r>
      <w:r w:rsidR="009C7235" w:rsidRPr="00D03387">
        <w:t>– 16 dB.</w:t>
      </w:r>
    </w:p>
    <w:p w:rsidR="009C7235" w:rsidRPr="00D03387" w:rsidRDefault="00D82480" w:rsidP="00D82480">
      <w:pPr>
        <w:pStyle w:val="enumlev1"/>
        <w:ind w:left="1191" w:hanging="1191"/>
      </w:pPr>
      <w:r>
        <w:t xml:space="preserve">Etape </w:t>
      </w:r>
      <w:r w:rsidR="009C7235" w:rsidRPr="00D03387">
        <w:t>5</w:t>
      </w:r>
      <w:r w:rsidR="001F1CD5">
        <w:t>:</w:t>
      </w:r>
      <w:r w:rsidR="001F1CD5">
        <w:tab/>
      </w:r>
      <w:r w:rsidR="009C7235" w:rsidRPr="00D03387">
        <w:tab/>
        <w:t xml:space="preserve">Répéter les étapes 2 à 5 jusqu'à ce que </w:t>
      </w:r>
      <w:r w:rsidR="009C7235" w:rsidRPr="00D82480">
        <w:rPr>
          <w:i/>
        </w:rPr>
        <w:t>X</w:t>
      </w:r>
      <w:r w:rsidR="009C7235" w:rsidRPr="00D82480">
        <w:rPr>
          <w:i/>
          <w:vertAlign w:val="subscript"/>
        </w:rPr>
        <w:t>n</w:t>
      </w:r>
      <w:r w:rsidR="009C7235" w:rsidRPr="00D03387">
        <w:t xml:space="preserve"> et </w:t>
      </w:r>
      <w:r w:rsidR="009C7235" w:rsidRPr="00D82480">
        <w:rPr>
          <w:i/>
        </w:rPr>
        <w:t>X</w:t>
      </w:r>
      <w:r w:rsidR="009C7235" w:rsidRPr="00D82480">
        <w:rPr>
          <w:i/>
          <w:vertAlign w:val="subscript"/>
        </w:rPr>
        <w:t>n</w:t>
      </w:r>
      <w:r w:rsidR="009C7235" w:rsidRPr="00D03387">
        <w:rPr>
          <w:vertAlign w:val="subscript"/>
        </w:rPr>
        <w:t>+1</w:t>
      </w:r>
      <w:r w:rsidR="009C7235" w:rsidRPr="00D03387">
        <w:t xml:space="preserve"> </w:t>
      </w:r>
      <w:r w:rsidR="009C7235">
        <w:t>donnent</w:t>
      </w:r>
      <w:r w:rsidR="009C7235" w:rsidRPr="00D03387">
        <w:t xml:space="preserve"> </w:t>
      </w:r>
      <w:r w:rsidR="009C7235" w:rsidRPr="00D82480">
        <w:rPr>
          <w:i/>
        </w:rPr>
        <w:t>P</w:t>
      </w:r>
      <w:r w:rsidR="009C7235" w:rsidRPr="00D82480">
        <w:rPr>
          <w:i/>
          <w:vertAlign w:val="subscript"/>
        </w:rPr>
        <w:t>ob</w:t>
      </w:r>
      <w:r w:rsidR="009C7235" w:rsidRPr="00D03387">
        <w:rPr>
          <w:vertAlign w:val="subscript"/>
        </w:rPr>
        <w:t>-</w:t>
      </w:r>
      <w:r w:rsidR="009C7235" w:rsidRPr="00D82480">
        <w:rPr>
          <w:i/>
          <w:vertAlign w:val="subscript"/>
        </w:rPr>
        <w:t>n</w:t>
      </w:r>
      <w:r w:rsidR="009C7235" w:rsidRPr="00D03387">
        <w:t xml:space="preserve"> et </w:t>
      </w:r>
      <w:r w:rsidR="009C7235" w:rsidRPr="00D82480">
        <w:rPr>
          <w:i/>
        </w:rPr>
        <w:t>P</w:t>
      </w:r>
      <w:r w:rsidR="009C7235" w:rsidRPr="00D82480">
        <w:rPr>
          <w:i/>
          <w:vertAlign w:val="subscript"/>
        </w:rPr>
        <w:t>ob</w:t>
      </w:r>
      <w:r w:rsidR="009C7235" w:rsidRPr="00D03387">
        <w:rPr>
          <w:vertAlign w:val="subscript"/>
        </w:rPr>
        <w:t>-</w:t>
      </w:r>
      <w:r w:rsidR="009C7235" w:rsidRPr="00D82480">
        <w:rPr>
          <w:i/>
          <w:vertAlign w:val="subscript"/>
        </w:rPr>
        <w:t>n</w:t>
      </w:r>
      <w:r w:rsidR="009C7235" w:rsidRPr="00D03387">
        <w:rPr>
          <w:vertAlign w:val="subscript"/>
        </w:rPr>
        <w:t>+1</w:t>
      </w:r>
      <w:r w:rsidR="009C7235" w:rsidRPr="00D03387">
        <w:t xml:space="preserve"> qui entourent le seuil requis de 2%.</w:t>
      </w:r>
    </w:p>
    <w:p w:rsidR="009C7235" w:rsidRPr="00D03387" w:rsidRDefault="00D82480" w:rsidP="00D82480">
      <w:pPr>
        <w:pStyle w:val="enumlev1"/>
        <w:ind w:left="1191" w:hanging="1191"/>
      </w:pPr>
      <w:r>
        <w:t xml:space="preserve">Etape </w:t>
      </w:r>
      <w:r w:rsidR="009C7235" w:rsidRPr="00D03387">
        <w:t>6</w:t>
      </w:r>
      <w:r w:rsidR="001F1CD5">
        <w:t>:</w:t>
      </w:r>
      <w:r w:rsidR="001F1CD5">
        <w:tab/>
      </w:r>
      <w:r w:rsidR="009C7235" w:rsidRPr="00D03387">
        <w:tab/>
      </w:r>
      <w:r w:rsidR="009C7235">
        <w:t>Effectuer une recherche binaire (</w:t>
      </w:r>
      <w:r w:rsidR="009C7235" w:rsidRPr="00D03387">
        <w:t>Binary chop</w:t>
      </w:r>
      <w:r w:rsidR="009C7235">
        <w:t>)</w:t>
      </w:r>
      <w:r w:rsidR="009C7235" w:rsidRPr="00D03387">
        <w:t xml:space="preserve"> </w:t>
      </w:r>
      <w:r w:rsidR="009C7235">
        <w:t>sur</w:t>
      </w:r>
      <w:r w:rsidR="009C7235" w:rsidRPr="00D03387">
        <w:t xml:space="preserve"> </w:t>
      </w:r>
      <w:r w:rsidR="009C7235" w:rsidRPr="00D82480">
        <w:rPr>
          <w:i/>
        </w:rPr>
        <w:t>X</w:t>
      </w:r>
      <w:r w:rsidR="009C7235" w:rsidRPr="00D82480">
        <w:rPr>
          <w:i/>
          <w:vertAlign w:val="subscript"/>
        </w:rPr>
        <w:t>n</w:t>
      </w:r>
      <w:r w:rsidR="009C7235" w:rsidRPr="00D03387">
        <w:t xml:space="preserve"> et </w:t>
      </w:r>
      <w:r w:rsidR="009C7235" w:rsidRPr="00D82480">
        <w:rPr>
          <w:i/>
        </w:rPr>
        <w:t>X</w:t>
      </w:r>
      <w:r w:rsidR="009C7235" w:rsidRPr="00D82480">
        <w:rPr>
          <w:i/>
          <w:vertAlign w:val="subscript"/>
        </w:rPr>
        <w:t>n</w:t>
      </w:r>
      <w:r w:rsidR="009C7235" w:rsidRPr="00D03387">
        <w:rPr>
          <w:vertAlign w:val="subscript"/>
        </w:rPr>
        <w:t>+1</w:t>
      </w:r>
      <w:r w:rsidR="009C7235" w:rsidRPr="00D03387">
        <w:t xml:space="preserve"> jusqu'à ce que la différence entre les deux soit de 1 dB, c'est-à-dire </w:t>
      </w:r>
      <w:r w:rsidR="009C7235" w:rsidRPr="00D03387">
        <w:rPr>
          <w:position w:val="-14"/>
        </w:rPr>
        <w:object w:dxaOrig="1460" w:dyaOrig="400">
          <v:shape id="_x0000_i1038" type="#_x0000_t75" style="width:72.6pt;height:20.15pt" o:ole="" fillcolor="window">
            <v:imagedata r:id="rId33" o:title=""/>
          </v:shape>
          <o:OLEObject Type="Embed" ProgID="Equation.3" ShapeID="_x0000_i1038" DrawAspect="Content" ObjectID="_1574228312" r:id="rId34"/>
        </w:object>
      </w:r>
      <w:r w:rsidR="009C7235" w:rsidRPr="00D03387">
        <w:t>dB.</w:t>
      </w:r>
    </w:p>
    <w:p w:rsidR="009C7235" w:rsidRPr="00D03387" w:rsidRDefault="00D82480" w:rsidP="00D82480">
      <w:pPr>
        <w:pStyle w:val="enumlev1"/>
        <w:ind w:left="1191" w:hanging="1191"/>
      </w:pPr>
      <w:r>
        <w:t xml:space="preserve">Etape </w:t>
      </w:r>
      <w:r w:rsidR="009C7235" w:rsidRPr="00D03387">
        <w:t>7</w:t>
      </w:r>
      <w:r w:rsidR="001F1CD5">
        <w:t>:</w:t>
      </w:r>
      <w:r w:rsidR="001F1CD5">
        <w:tab/>
      </w:r>
      <w:r w:rsidR="009C7235" w:rsidRPr="00D03387">
        <w:tab/>
        <w:t xml:space="preserve">Le résultat </w:t>
      </w:r>
      <w:r w:rsidR="009C7235">
        <w:t>correspond à la</w:t>
      </w:r>
      <w:r w:rsidR="009C7235" w:rsidRPr="00D03387">
        <w:t xml:space="preserve"> plus grande </w:t>
      </w:r>
      <w:r w:rsidR="009C7235">
        <w:t xml:space="preserve">des valeurs </w:t>
      </w:r>
      <w:r w:rsidR="009C7235" w:rsidRPr="00D03387">
        <w:t xml:space="preserve">de </w:t>
      </w:r>
      <w:r w:rsidR="009C7235" w:rsidRPr="00D82480">
        <w:rPr>
          <w:i/>
        </w:rPr>
        <w:t>X</w:t>
      </w:r>
      <w:r w:rsidR="009C7235" w:rsidRPr="00D82480">
        <w:rPr>
          <w:i/>
          <w:vertAlign w:val="subscript"/>
        </w:rPr>
        <w:t>n</w:t>
      </w:r>
      <w:r w:rsidR="009C7235" w:rsidRPr="00D03387">
        <w:t xml:space="preserve"> et </w:t>
      </w:r>
      <w:r w:rsidR="009C7235" w:rsidRPr="00D82480">
        <w:rPr>
          <w:i/>
        </w:rPr>
        <w:t>X</w:t>
      </w:r>
      <w:r w:rsidR="009C7235" w:rsidRPr="00D82480">
        <w:rPr>
          <w:i/>
          <w:vertAlign w:val="subscript"/>
        </w:rPr>
        <w:t>n</w:t>
      </w:r>
      <w:r w:rsidR="009C7235" w:rsidRPr="00D03387">
        <w:rPr>
          <w:vertAlign w:val="subscript"/>
        </w:rPr>
        <w:t>+1</w:t>
      </w:r>
      <w:r w:rsidR="009C7235" w:rsidRPr="00D03387">
        <w:t xml:space="preserve">, c'est-à-dire </w:t>
      </w:r>
      <w:r w:rsidR="009C7235">
        <w:t>à la valeur pour laquelle</w:t>
      </w:r>
      <w:r w:rsidR="009C7235" w:rsidRPr="00D03387">
        <w:t xml:space="preserve"> </w:t>
      </w:r>
      <w:r w:rsidR="009C7235" w:rsidRPr="00D82480">
        <w:rPr>
          <w:i/>
        </w:rPr>
        <w:t>P</w:t>
      </w:r>
      <w:r w:rsidR="009C7235" w:rsidRPr="00D82480">
        <w:rPr>
          <w:i/>
          <w:vertAlign w:val="subscript"/>
        </w:rPr>
        <w:t>ob</w:t>
      </w:r>
      <w:r w:rsidR="009C7235" w:rsidRPr="00D03387">
        <w:t xml:space="preserve"> &lt; 2%.</w:t>
      </w:r>
    </w:p>
    <w:p w:rsidR="009C7235" w:rsidRPr="00D03387" w:rsidRDefault="009C7235" w:rsidP="009C7235">
      <w:pPr>
        <w:pStyle w:val="Note"/>
      </w:pPr>
      <w:r w:rsidRPr="00D03387">
        <w:t>NOTES</w:t>
      </w:r>
    </w:p>
    <w:p w:rsidR="009C7235" w:rsidRPr="00D03387" w:rsidRDefault="009C7235" w:rsidP="00D82480">
      <w:pPr>
        <w:pStyle w:val="Note"/>
        <w:ind w:left="720" w:hanging="720"/>
      </w:pPr>
      <w:r w:rsidRPr="00D03387">
        <w:t>a)</w:t>
      </w:r>
      <w:r w:rsidRPr="00D03387">
        <w:tab/>
      </w:r>
      <w:r>
        <w:t xml:space="preserve">Dans certains cas, la recherche du couple de valeurs de </w:t>
      </w:r>
      <w:r w:rsidRPr="00D82480">
        <w:rPr>
          <w:i/>
        </w:rPr>
        <w:t>X</w:t>
      </w:r>
      <w:r w:rsidRPr="00D82480">
        <w:rPr>
          <w:i/>
          <w:vertAlign w:val="subscript"/>
        </w:rPr>
        <w:t>n</w:t>
      </w:r>
      <w:r w:rsidRPr="00D03387">
        <w:t>,</w:t>
      </w:r>
      <w:r>
        <w:t xml:space="preserve"> peut se faire par pas inférieurs ou supérieurs à 16 dB.</w:t>
      </w:r>
    </w:p>
    <w:p w:rsidR="009C7235" w:rsidRPr="00D03387" w:rsidRDefault="009C7235" w:rsidP="00D82480">
      <w:pPr>
        <w:pStyle w:val="Note"/>
        <w:ind w:left="720" w:hanging="720"/>
      </w:pPr>
      <w:r w:rsidRPr="00D03387">
        <w:t>b)</w:t>
      </w:r>
      <w:r w:rsidRPr="00D03387">
        <w:tab/>
        <w:t xml:space="preserve">Même s'il est possible de continuer </w:t>
      </w:r>
      <w:r>
        <w:t>la</w:t>
      </w:r>
      <w:r w:rsidRPr="00D03387">
        <w:t xml:space="preserve"> recherche itérative de telle manière que la différence entre </w:t>
      </w:r>
      <w:r w:rsidRPr="00D82480">
        <w:rPr>
          <w:i/>
        </w:rPr>
        <w:t>X</w:t>
      </w:r>
      <w:r w:rsidRPr="00D82480">
        <w:rPr>
          <w:i/>
          <w:vertAlign w:val="subscript"/>
        </w:rPr>
        <w:t>N</w:t>
      </w:r>
      <w:r w:rsidRPr="00D03387">
        <w:t xml:space="preserve"> et </w:t>
      </w:r>
      <w:r w:rsidRPr="00D82480">
        <w:rPr>
          <w:i/>
        </w:rPr>
        <w:t>X</w:t>
      </w:r>
      <w:r w:rsidRPr="00D82480">
        <w:rPr>
          <w:i/>
          <w:vertAlign w:val="subscript"/>
        </w:rPr>
        <w:t>n</w:t>
      </w:r>
      <w:r w:rsidRPr="00D03387">
        <w:rPr>
          <w:vertAlign w:val="subscript"/>
        </w:rPr>
        <w:t>+1</w:t>
      </w:r>
      <w:r w:rsidRPr="00D03387">
        <w:t xml:space="preserve"> soit inférieure à 1 dB, il convient de noter que </w:t>
      </w:r>
      <w:r>
        <w:t xml:space="preserve">le </w:t>
      </w:r>
      <w:r w:rsidRPr="00D03387">
        <w:t xml:space="preserve">modèle de propagation de la Recommandation UIT-R P.452 </w:t>
      </w:r>
      <w:r>
        <w:t>a ses limites</w:t>
      </w:r>
      <w:r w:rsidRPr="00D03387">
        <w:t>.</w:t>
      </w:r>
    </w:p>
    <w:p w:rsidR="009C7235" w:rsidRPr="00D03387" w:rsidRDefault="009C7235" w:rsidP="009C7235">
      <w:pPr>
        <w:pStyle w:val="Heading1"/>
      </w:pPr>
      <w:r w:rsidRPr="00D03387">
        <w:t>3</w:t>
      </w:r>
      <w:r w:rsidRPr="00D03387">
        <w:tab/>
        <w:t>Types de zone d'exclusion</w:t>
      </w:r>
    </w:p>
    <w:p w:rsidR="009C7235" w:rsidRPr="00D03387" w:rsidRDefault="009C7235" w:rsidP="009C7235">
      <w:pPr>
        <w:pStyle w:val="Heading2"/>
      </w:pPr>
      <w:r w:rsidRPr="00D03387">
        <w:t>3.1</w:t>
      </w:r>
      <w:r w:rsidRPr="00D03387">
        <w:tab/>
        <w:t xml:space="preserve">Modèles de référence HDFS </w:t>
      </w:r>
      <w:r w:rsidR="00D82480">
        <w:t>P-MP</w:t>
      </w:r>
      <w:r w:rsidRPr="00D03387">
        <w:t xml:space="preserve"> </w:t>
      </w:r>
    </w:p>
    <w:p w:rsidR="009C7235" w:rsidRPr="00D03387" w:rsidRDefault="009C7235" w:rsidP="009C7235">
      <w:r w:rsidRPr="00D03387">
        <w:t xml:space="preserve">La taille d'une zone d'exclusion dépendra du modèle de référence HDFS </w:t>
      </w:r>
      <w:r w:rsidR="00D82480">
        <w:t>P-MP</w:t>
      </w:r>
      <w:r w:rsidRPr="00D03387">
        <w:t xml:space="preserve"> tel que spécifié au moyen de la distribution </w:t>
      </w:r>
      <w:r>
        <w:t>de p.i.r.e.c.</w:t>
      </w:r>
      <w:r w:rsidRPr="00D03387">
        <w:t xml:space="preserve"> et de la hauteur </w:t>
      </w:r>
      <w:r>
        <w:t>d'</w:t>
      </w:r>
      <w:r w:rsidRPr="00D03387">
        <w:t xml:space="preserve">antenne. </w:t>
      </w:r>
      <w:r w:rsidRPr="00D82480">
        <w:rPr>
          <w:i/>
        </w:rPr>
        <w:t>L</w:t>
      </w:r>
      <w:r w:rsidRPr="00D03387">
        <w:rPr>
          <w:vertAlign w:val="subscript"/>
        </w:rPr>
        <w:t>452</w:t>
      </w:r>
      <w:r w:rsidRPr="00D03387">
        <w:t xml:space="preserve">(10%) </w:t>
      </w:r>
      <w:r>
        <w:t xml:space="preserve">tient compte de </w:t>
      </w:r>
      <w:r w:rsidRPr="00D03387">
        <w:t>cette hauteur, la zone d'exclusion étant valable pour les antennes inférieures ou égales à cette hauteur.</w:t>
      </w:r>
    </w:p>
    <w:p w:rsidR="009C7235" w:rsidRPr="00D03387" w:rsidRDefault="009C7235" w:rsidP="009C7235">
      <w:r w:rsidRPr="00D03387">
        <w:t xml:space="preserve">A l'intérieur de la bande, différents modèles de référence HDFS </w:t>
      </w:r>
      <w:r w:rsidR="00D82480">
        <w:t>P-MP</w:t>
      </w:r>
      <w:r>
        <w:t xml:space="preserve"> pourraient être envisagés en fonction de différents critères tels que:</w:t>
      </w:r>
    </w:p>
    <w:p w:rsidR="009C7235" w:rsidRPr="00D03387" w:rsidRDefault="00D82480" w:rsidP="009C7235">
      <w:pPr>
        <w:pStyle w:val="enumlev1"/>
      </w:pPr>
      <w:r>
        <w:lastRenderedPageBreak/>
        <w:t>–</w:t>
      </w:r>
      <w:r w:rsidR="009C7235" w:rsidRPr="00D03387">
        <w:tab/>
        <w:t>l'architecture: point à multipoint</w:t>
      </w:r>
      <w:r>
        <w:t xml:space="preserve"> (P-MP)</w:t>
      </w:r>
      <w:r w:rsidR="009C7235" w:rsidRPr="00D03387">
        <w:t xml:space="preserve"> ou multipoint à multipoint</w:t>
      </w:r>
      <w:r>
        <w:t xml:space="preserve"> (MP-MP)</w:t>
      </w:r>
      <w:r w:rsidR="009C7235" w:rsidRPr="00D03387">
        <w:t>;</w:t>
      </w:r>
    </w:p>
    <w:p w:rsidR="009C7235" w:rsidRPr="00D03387" w:rsidRDefault="00D82480" w:rsidP="009C7235">
      <w:pPr>
        <w:pStyle w:val="enumlev1"/>
      </w:pPr>
      <w:r>
        <w:t>–</w:t>
      </w:r>
      <w:r w:rsidR="009C7235" w:rsidRPr="00D03387">
        <w:tab/>
        <w:t xml:space="preserve">la direction: </w:t>
      </w:r>
      <w:r w:rsidR="009C7235">
        <w:t>en</w:t>
      </w:r>
      <w:r w:rsidR="009C7235" w:rsidRPr="00D03387">
        <w:t xml:space="preserve"> amont ou </w:t>
      </w:r>
      <w:r w:rsidR="009C7235">
        <w:t>en</w:t>
      </w:r>
      <w:r w:rsidR="009C7235" w:rsidRPr="00D03387">
        <w:t xml:space="preserve"> aval;</w:t>
      </w:r>
    </w:p>
    <w:p w:rsidR="009C7235" w:rsidRPr="00D03387" w:rsidRDefault="00D82480" w:rsidP="009C7235">
      <w:pPr>
        <w:pStyle w:val="enumlev1"/>
      </w:pPr>
      <w:r>
        <w:t>–</w:t>
      </w:r>
      <w:r w:rsidR="009C7235" w:rsidRPr="00D03387">
        <w:tab/>
        <w:t>l'environnement: urbain à haute densité ou rural à faible densité.</w:t>
      </w:r>
    </w:p>
    <w:p w:rsidR="009C7235" w:rsidRDefault="009C7235" w:rsidP="009C7235">
      <w:r w:rsidRPr="00D03387">
        <w:t xml:space="preserve">Chaque modèle de référence se traduirait par différentes tailles de zone d'exclusion, </w:t>
      </w:r>
      <w:r>
        <w:t xml:space="preserve">de </w:t>
      </w:r>
      <w:r w:rsidRPr="00D03387">
        <w:t>tel</w:t>
      </w:r>
      <w:r>
        <w:t>le</w:t>
      </w:r>
      <w:r w:rsidRPr="00D03387">
        <w:t xml:space="preserve"> </w:t>
      </w:r>
      <w:r>
        <w:t xml:space="preserve">façon </w:t>
      </w:r>
      <w:r w:rsidRPr="00D03387">
        <w:t xml:space="preserve">que </w:t>
      </w:r>
      <w:r>
        <w:t>des ensembles puissent être définis (</w:t>
      </w:r>
      <w:r w:rsidR="00D82480">
        <w:t xml:space="preserve">voir le </w:t>
      </w:r>
      <w:r>
        <w:t>Tableau 7)</w:t>
      </w:r>
      <w:r w:rsidRPr="00D03387">
        <w:t>.</w:t>
      </w:r>
    </w:p>
    <w:p w:rsidR="009C7235" w:rsidRPr="00D03387" w:rsidRDefault="009C7235" w:rsidP="00910B95">
      <w:pPr>
        <w:pStyle w:val="TableNo"/>
      </w:pPr>
      <w:r w:rsidRPr="00D03387">
        <w:t>TABLE</w:t>
      </w:r>
      <w:r w:rsidR="00910B95" w:rsidRPr="00D03387">
        <w:t>AU</w:t>
      </w:r>
      <w:r w:rsidRPr="00D03387">
        <w:t xml:space="preserve"> 7</w:t>
      </w:r>
    </w:p>
    <w:p w:rsidR="009C7235" w:rsidRPr="00D03387" w:rsidRDefault="009C7235" w:rsidP="00910B95">
      <w:pPr>
        <w:pStyle w:val="Tabletitle"/>
      </w:pPr>
      <w:r w:rsidRPr="00D03387">
        <w:t xml:space="preserve">Ensemble de zones d'exclusion </w:t>
      </w:r>
      <w:r>
        <w:t>correspondant à un ensemble</w:t>
      </w:r>
      <w:r>
        <w:br/>
        <w:t xml:space="preserve"> de modèles de </w:t>
      </w:r>
      <w:r w:rsidRPr="00D03387">
        <w:t xml:space="preserve">référence HDFS </w:t>
      </w:r>
      <w:r w:rsidR="00D30DD8">
        <w:t>P-MP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9C7235" w:rsidRPr="00D03387">
        <w:trPr>
          <w:jc w:val="center"/>
        </w:trPr>
        <w:tc>
          <w:tcPr>
            <w:tcW w:w="3175" w:type="dxa"/>
          </w:tcPr>
          <w:p w:rsidR="009C7235" w:rsidRPr="00D03387" w:rsidRDefault="009C7235" w:rsidP="00910B95">
            <w:pPr>
              <w:pStyle w:val="Tablehead"/>
            </w:pPr>
            <w:r>
              <w:t>Système</w:t>
            </w:r>
            <w:r w:rsidRPr="00D03387">
              <w:t xml:space="preserve"> HDFS </w:t>
            </w:r>
            <w:r w:rsidR="00D82480">
              <w:t>P-MP</w:t>
            </w:r>
          </w:p>
        </w:tc>
        <w:tc>
          <w:tcPr>
            <w:tcW w:w="3232" w:type="dxa"/>
          </w:tcPr>
          <w:p w:rsidR="009C7235" w:rsidRPr="00D03387" w:rsidRDefault="009C7235" w:rsidP="00910B95">
            <w:pPr>
              <w:pStyle w:val="Tablehead"/>
            </w:pPr>
            <w:r w:rsidRPr="00D03387">
              <w:t>Zone d'exclusion</w:t>
            </w:r>
          </w:p>
        </w:tc>
        <w:tc>
          <w:tcPr>
            <w:tcW w:w="3232" w:type="dxa"/>
          </w:tcPr>
          <w:p w:rsidR="009C7235" w:rsidRPr="00D03387" w:rsidRDefault="009C7235" w:rsidP="00910B95">
            <w:pPr>
              <w:pStyle w:val="Tablehead"/>
            </w:pPr>
            <w:r w:rsidRPr="00D03387">
              <w:t>Hauteur maximale</w:t>
            </w:r>
          </w:p>
        </w:tc>
      </w:tr>
      <w:tr w:rsidR="009C7235" w:rsidRPr="00D03387">
        <w:trPr>
          <w:jc w:val="center"/>
        </w:trPr>
        <w:tc>
          <w:tcPr>
            <w:tcW w:w="3175" w:type="dxa"/>
          </w:tcPr>
          <w:p w:rsidR="009C7235" w:rsidRPr="00D03387" w:rsidRDefault="009C7235" w:rsidP="00D82480">
            <w:pPr>
              <w:pStyle w:val="Tabletext"/>
              <w:jc w:val="center"/>
            </w:pPr>
            <w:r w:rsidRPr="00D03387">
              <w:t>Modèle de référence 1</w:t>
            </w:r>
          </w:p>
        </w:tc>
        <w:tc>
          <w:tcPr>
            <w:tcW w:w="3232" w:type="dxa"/>
          </w:tcPr>
          <w:p w:rsidR="009C7235" w:rsidRPr="00D03387" w:rsidRDefault="009C7235" w:rsidP="00D82480">
            <w:pPr>
              <w:pStyle w:val="Tabletext"/>
              <w:jc w:val="center"/>
            </w:pPr>
            <w:r w:rsidRPr="00D03387">
              <w:t xml:space="preserve">EZ: </w:t>
            </w:r>
            <w:r w:rsidRPr="00D82480">
              <w:rPr>
                <w:i/>
              </w:rPr>
              <w:t>L</w:t>
            </w:r>
            <w:r w:rsidRPr="00D03387">
              <w:rPr>
                <w:vertAlign w:val="subscript"/>
              </w:rPr>
              <w:t>452</w:t>
            </w:r>
            <w:r w:rsidRPr="00D03387">
              <w:t xml:space="preserve">(10%) </w:t>
            </w:r>
            <w:r w:rsidRPr="00D03387">
              <w:sym w:font="Symbol" w:char="F0B3"/>
            </w:r>
            <w:r w:rsidRPr="00D03387">
              <w:t xml:space="preserve"> </w:t>
            </w:r>
            <w:r w:rsidRPr="00D82480">
              <w:rPr>
                <w:i/>
              </w:rPr>
              <w:t>X</w:t>
            </w:r>
            <w:r w:rsidRPr="00D03387">
              <w:rPr>
                <w:vertAlign w:val="subscript"/>
              </w:rPr>
              <w:t>1</w:t>
            </w:r>
          </w:p>
        </w:tc>
        <w:tc>
          <w:tcPr>
            <w:tcW w:w="3232" w:type="dxa"/>
          </w:tcPr>
          <w:p w:rsidR="009C7235" w:rsidRPr="00D03387" w:rsidRDefault="009C7235" w:rsidP="00D82480">
            <w:pPr>
              <w:pStyle w:val="Tabletext"/>
              <w:jc w:val="center"/>
            </w:pPr>
            <w:r w:rsidRPr="00D03387">
              <w:t xml:space="preserve">Hauteur </w:t>
            </w:r>
            <w:r w:rsidRPr="00D03387">
              <w:sym w:font="Symbol" w:char="F0A3"/>
            </w:r>
            <w:r w:rsidRPr="00D03387">
              <w:t xml:space="preserve"> </w:t>
            </w:r>
            <w:r w:rsidRPr="00D82480">
              <w:rPr>
                <w:i/>
              </w:rPr>
              <w:t>H</w:t>
            </w:r>
            <w:r w:rsidRPr="00D03387">
              <w:rPr>
                <w:vertAlign w:val="subscript"/>
              </w:rPr>
              <w:t>1</w:t>
            </w:r>
          </w:p>
        </w:tc>
      </w:tr>
      <w:tr w:rsidR="009C7235" w:rsidRPr="00D03387">
        <w:trPr>
          <w:jc w:val="center"/>
        </w:trPr>
        <w:tc>
          <w:tcPr>
            <w:tcW w:w="3175" w:type="dxa"/>
          </w:tcPr>
          <w:p w:rsidR="009C7235" w:rsidRPr="00D03387" w:rsidRDefault="009C7235" w:rsidP="00D82480">
            <w:pPr>
              <w:pStyle w:val="Tabletext"/>
              <w:jc w:val="center"/>
            </w:pPr>
            <w:r w:rsidRPr="00D03387">
              <w:t>:</w:t>
            </w:r>
          </w:p>
        </w:tc>
        <w:tc>
          <w:tcPr>
            <w:tcW w:w="3232" w:type="dxa"/>
          </w:tcPr>
          <w:p w:rsidR="009C7235" w:rsidRPr="00D03387" w:rsidRDefault="009C7235" w:rsidP="00D82480">
            <w:pPr>
              <w:pStyle w:val="Tabletext"/>
              <w:jc w:val="center"/>
            </w:pPr>
            <w:r w:rsidRPr="00D03387">
              <w:t>:</w:t>
            </w:r>
          </w:p>
        </w:tc>
        <w:tc>
          <w:tcPr>
            <w:tcW w:w="3232" w:type="dxa"/>
          </w:tcPr>
          <w:p w:rsidR="009C7235" w:rsidRPr="00D03387" w:rsidRDefault="009C7235" w:rsidP="00D82480">
            <w:pPr>
              <w:pStyle w:val="Tabletext"/>
              <w:jc w:val="center"/>
            </w:pPr>
            <w:r w:rsidRPr="00D03387">
              <w:t>:</w:t>
            </w:r>
          </w:p>
        </w:tc>
      </w:tr>
      <w:tr w:rsidR="009C7235" w:rsidRPr="00D03387">
        <w:trPr>
          <w:jc w:val="center"/>
        </w:trPr>
        <w:tc>
          <w:tcPr>
            <w:tcW w:w="3175" w:type="dxa"/>
          </w:tcPr>
          <w:p w:rsidR="009C7235" w:rsidRPr="00D03387" w:rsidRDefault="009C7235" w:rsidP="00D82480">
            <w:pPr>
              <w:pStyle w:val="Tabletext"/>
              <w:jc w:val="center"/>
            </w:pPr>
            <w:r w:rsidRPr="00D03387">
              <w:t xml:space="preserve">Modèle de référence </w:t>
            </w:r>
            <w:r w:rsidRPr="00D82480">
              <w:rPr>
                <w:i/>
              </w:rPr>
              <w:t>n</w:t>
            </w:r>
          </w:p>
        </w:tc>
        <w:tc>
          <w:tcPr>
            <w:tcW w:w="3232" w:type="dxa"/>
          </w:tcPr>
          <w:p w:rsidR="009C7235" w:rsidRPr="00D03387" w:rsidRDefault="009C7235" w:rsidP="00D82480">
            <w:pPr>
              <w:pStyle w:val="Tabletext"/>
              <w:jc w:val="center"/>
            </w:pPr>
            <w:r w:rsidRPr="00D03387">
              <w:t xml:space="preserve">EZ: </w:t>
            </w:r>
            <w:r w:rsidRPr="00D82480">
              <w:rPr>
                <w:i/>
              </w:rPr>
              <w:t>L</w:t>
            </w:r>
            <w:r w:rsidRPr="00D03387">
              <w:rPr>
                <w:vertAlign w:val="subscript"/>
              </w:rPr>
              <w:t>452</w:t>
            </w:r>
            <w:r w:rsidRPr="00D03387">
              <w:t xml:space="preserve">(10%) </w:t>
            </w:r>
            <w:r w:rsidRPr="00D03387">
              <w:sym w:font="Symbol" w:char="F0B3"/>
            </w:r>
            <w:r w:rsidRPr="00D03387">
              <w:t xml:space="preserve"> </w:t>
            </w:r>
            <w:r w:rsidRPr="00D82480">
              <w:rPr>
                <w:i/>
              </w:rPr>
              <w:t>X</w:t>
            </w:r>
            <w:r w:rsidRPr="00D82480">
              <w:rPr>
                <w:i/>
                <w:vertAlign w:val="subscript"/>
              </w:rPr>
              <w:t>n</w:t>
            </w:r>
          </w:p>
        </w:tc>
        <w:tc>
          <w:tcPr>
            <w:tcW w:w="3232" w:type="dxa"/>
          </w:tcPr>
          <w:p w:rsidR="009C7235" w:rsidRPr="00D03387" w:rsidRDefault="009C7235" w:rsidP="00D82480">
            <w:pPr>
              <w:pStyle w:val="Tabletext"/>
              <w:jc w:val="center"/>
            </w:pPr>
            <w:r w:rsidRPr="00D03387">
              <w:t xml:space="preserve">Hauteur </w:t>
            </w:r>
            <w:r w:rsidRPr="00D03387">
              <w:sym w:font="Symbol" w:char="F0A3"/>
            </w:r>
            <w:r w:rsidRPr="00D03387">
              <w:t xml:space="preserve"> </w:t>
            </w:r>
            <w:r w:rsidRPr="00D82480">
              <w:rPr>
                <w:i/>
              </w:rPr>
              <w:t>H</w:t>
            </w:r>
            <w:r w:rsidRPr="00D82480">
              <w:rPr>
                <w:i/>
                <w:vertAlign w:val="subscript"/>
              </w:rPr>
              <w:t>n</w:t>
            </w:r>
          </w:p>
        </w:tc>
      </w:tr>
    </w:tbl>
    <w:p w:rsidR="00D1175A" w:rsidRPr="00D1175A" w:rsidRDefault="00D1175A" w:rsidP="00F7629D">
      <w:pPr>
        <w:pStyle w:val="Tablefin"/>
      </w:pPr>
    </w:p>
    <w:p w:rsidR="009C7235" w:rsidRPr="0008357B" w:rsidRDefault="009C7235" w:rsidP="00910B95">
      <w:r w:rsidRPr="0008357B">
        <w:t xml:space="preserve">Il serait possible de protéger le site </w:t>
      </w:r>
      <w:r w:rsidR="00D82480">
        <w:t>SRA</w:t>
      </w:r>
      <w:r w:rsidR="00D82480" w:rsidRPr="0008357B">
        <w:t xml:space="preserve"> </w:t>
      </w:r>
      <w:r w:rsidRPr="0008357B">
        <w:t>soit en utilisant la taille la plus grande de zone d'exclusion et la hauteur associée, soit en utilisant la zone d'exclusion associée à chaque modèle de référence (par exemple, par une segmentation de bande). Pour être efficace, chaque zone d'exclusion devrait être associée aux hypothèses des modèles de référence utilisés pour calculer les p.i.r.e.c.</w:t>
      </w:r>
    </w:p>
    <w:p w:rsidR="009C7235" w:rsidRPr="00D03387" w:rsidRDefault="009C7235" w:rsidP="009C7235">
      <w:pPr>
        <w:pStyle w:val="Heading2"/>
      </w:pPr>
      <w:r w:rsidRPr="00D03387">
        <w:t>3.2</w:t>
      </w:r>
      <w:r w:rsidRPr="00D03387">
        <w:tab/>
        <w:t>Zones d'exclusion fondées sur la démographie</w:t>
      </w:r>
    </w:p>
    <w:p w:rsidR="009C7235" w:rsidRPr="00D03387" w:rsidRDefault="009C7235" w:rsidP="009C7235">
      <w:r w:rsidRPr="00D03387">
        <w:t xml:space="preserve">La zone de déploiement examinée ci-dessus supposait la distribution uniforme d'un seul modèle de référence autour du site </w:t>
      </w:r>
      <w:r>
        <w:t xml:space="preserve">SRA, ce qui </w:t>
      </w:r>
      <w:r w:rsidRPr="00D03387">
        <w:t>peut conduire à des situations défavorables</w:t>
      </w:r>
      <w:r>
        <w:t xml:space="preserve"> telles que le </w:t>
      </w:r>
      <w:r w:rsidRPr="00D03387">
        <w:t xml:space="preserve">déploiement de stations HDFS </w:t>
      </w:r>
      <w:r w:rsidR="00D82480">
        <w:t>P-MP</w:t>
      </w:r>
      <w:r w:rsidRPr="00D03387">
        <w:t xml:space="preserve"> dans des zones montagneuses. </w:t>
      </w:r>
      <w:r>
        <w:t>L</w:t>
      </w:r>
      <w:r w:rsidRPr="00D03387">
        <w:t>es emplacements</w:t>
      </w:r>
      <w:r>
        <w:t xml:space="preserve"> situés dans ces zones</w:t>
      </w:r>
      <w:r w:rsidRPr="00D03387">
        <w:t xml:space="preserve"> qui ne devraient pas représenter un marché </w:t>
      </w:r>
      <w:r>
        <w:t>pour les opérateurs de stations </w:t>
      </w:r>
      <w:r w:rsidRPr="00D03387">
        <w:t xml:space="preserve">HDFS </w:t>
      </w:r>
      <w:r w:rsidR="00D82480">
        <w:t>P-MP</w:t>
      </w:r>
      <w:r w:rsidRPr="00D03387">
        <w:t>, risquent de produire des niveaux élevés de brouillage</w:t>
      </w:r>
      <w:r>
        <w:t>s</w:t>
      </w:r>
      <w:r w:rsidRPr="00D03387">
        <w:t xml:space="preserve"> s'ils sont en visibilité directe avec le site </w:t>
      </w:r>
      <w:r>
        <w:t>SRA</w:t>
      </w:r>
      <w:r w:rsidRPr="00D03387">
        <w:t>.</w:t>
      </w:r>
    </w:p>
    <w:p w:rsidR="009C7235" w:rsidRPr="00D03387" w:rsidRDefault="009C7235" w:rsidP="009C7235">
      <w:r w:rsidRPr="00D03387">
        <w:t xml:space="preserve">Il peut donc être plus réaliste d'exclure les emplacements auxquels il n'est </w:t>
      </w:r>
      <w:r>
        <w:t xml:space="preserve">pas </w:t>
      </w:r>
      <w:r w:rsidRPr="00D03387">
        <w:t xml:space="preserve">prévu d'installer </w:t>
      </w:r>
      <w:r>
        <w:t>des</w:t>
      </w:r>
      <w:r w:rsidRPr="00D03387">
        <w:t xml:space="preserve"> station</w:t>
      </w:r>
      <w:r>
        <w:t>s</w:t>
      </w:r>
      <w:r w:rsidRPr="00D03387">
        <w:t xml:space="preserve"> HDFS </w:t>
      </w:r>
      <w:r w:rsidR="00D82480">
        <w:t>P-MP</w:t>
      </w:r>
      <w:r w:rsidRPr="00D03387">
        <w:t xml:space="preserve">, et d'utiliser des modèles de référence </w:t>
      </w:r>
      <w:r>
        <w:t xml:space="preserve">qui </w:t>
      </w:r>
      <w:r w:rsidRPr="00D03387">
        <w:t>vari</w:t>
      </w:r>
      <w:r>
        <w:t>e</w:t>
      </w:r>
      <w:r w:rsidRPr="00D03387">
        <w:t xml:space="preserve">nt en fonction de l'emplacement. </w:t>
      </w:r>
    </w:p>
    <w:p w:rsidR="009C7235" w:rsidRDefault="009C7235" w:rsidP="00035DA4">
      <w:r w:rsidRPr="00D03387">
        <w:t>La Fig</w:t>
      </w:r>
      <w:r w:rsidR="00035DA4">
        <w:t>ure</w:t>
      </w:r>
      <w:r w:rsidRPr="00D03387">
        <w:t xml:space="preserve"> 8 représente deux exemples de modèles de référence dont le déploiement </w:t>
      </w:r>
      <w:r>
        <w:t xml:space="preserve">est censé se faire en fonction </w:t>
      </w:r>
      <w:r w:rsidRPr="00D03387">
        <w:t>de la densité de population. Cette zone de déploiement serait ensuite utilisée comme point de départ pour calculer la zone d'exclusion requise.</w:t>
      </w:r>
    </w:p>
    <w:p w:rsidR="009C7235" w:rsidRPr="00D03387" w:rsidRDefault="009C7235" w:rsidP="00D82480">
      <w:pPr>
        <w:pStyle w:val="FigureNo"/>
        <w:keepNext/>
      </w:pPr>
      <w:r w:rsidRPr="00D03387">
        <w:lastRenderedPageBreak/>
        <w:t>FIGURE 8</w:t>
      </w:r>
    </w:p>
    <w:p w:rsidR="009C7235" w:rsidRDefault="009C7235" w:rsidP="00910B95">
      <w:pPr>
        <w:pStyle w:val="Figuretitle"/>
      </w:pPr>
      <w:r w:rsidRPr="00D03387">
        <w:t>Zone</w:t>
      </w:r>
      <w:r>
        <w:t>s</w:t>
      </w:r>
      <w:r w:rsidRPr="00D03387">
        <w:t xml:space="preserve"> de déploiement de stations HDFS </w:t>
      </w:r>
      <w:r w:rsidR="00D82480">
        <w:t>P-MP</w:t>
      </w:r>
      <w:r w:rsidRPr="00D03387">
        <w:t xml:space="preserve"> </w:t>
      </w:r>
      <w:r>
        <w:t xml:space="preserve">définies </w:t>
      </w:r>
      <w:r w:rsidRPr="00D03387">
        <w:t xml:space="preserve">autour du site Jodrell Bank </w:t>
      </w:r>
      <w:r>
        <w:t xml:space="preserve">en fonction </w:t>
      </w:r>
      <w:r w:rsidRPr="00D03387">
        <w:t>de la démographie:</w:t>
      </w:r>
      <w:r w:rsidR="00D30DD8">
        <w:br/>
      </w:r>
      <w:r w:rsidRPr="00D03387">
        <w:t xml:space="preserve">Zone de déploiement de </w:t>
      </w:r>
      <w:r>
        <w:t xml:space="preserve">référence </w:t>
      </w:r>
      <w:r w:rsidRPr="00D03387">
        <w:t xml:space="preserve">et zone de déploiement </w:t>
      </w:r>
      <w:r>
        <w:t>incluant</w:t>
      </w:r>
      <w:r w:rsidRPr="00D03387">
        <w:t xml:space="preserve"> une zone d'exclusion</w:t>
      </w:r>
    </w:p>
    <w:p w:rsidR="009C7235" w:rsidRDefault="00D82480" w:rsidP="009C7235">
      <w:pPr>
        <w:pStyle w:val="Figure"/>
      </w:pPr>
      <w:r>
        <w:object w:dxaOrig="9679" w:dyaOrig="3445">
          <v:shape id="_x0000_i1039" type="#_x0000_t75" style="width:484.4pt;height:172.2pt" o:ole="" o:allowoverlap="f">
            <v:imagedata r:id="rId35" o:title=""/>
          </v:shape>
          <o:OLEObject Type="Embed" ProgID="CorelDRAW.Graphic.12" ShapeID="_x0000_i1039" DrawAspect="Content" ObjectID="_1574228313" r:id="rId36"/>
        </w:object>
      </w:r>
    </w:p>
    <w:p w:rsidR="009C7235" w:rsidRPr="00D03387" w:rsidRDefault="009C7235" w:rsidP="00E11F13">
      <w:r w:rsidRPr="00D03387">
        <w:t>Dans la Fig</w:t>
      </w:r>
      <w:r w:rsidR="00E11F13">
        <w:t>ure</w:t>
      </w:r>
      <w:r w:rsidRPr="00D03387">
        <w:t xml:space="preserve"> 8, les cercles représentent les modèles de référence HDFS </w:t>
      </w:r>
      <w:r w:rsidR="00D82480">
        <w:t>P-MP</w:t>
      </w:r>
      <w:r w:rsidRPr="00D03387">
        <w:t xml:space="preserve"> pour les zones urbaines et les croix représentent </w:t>
      </w:r>
      <w:r>
        <w:t xml:space="preserve">ceux pour </w:t>
      </w:r>
      <w:r w:rsidRPr="00D03387">
        <w:t>les zones rurales.</w:t>
      </w:r>
    </w:p>
    <w:p w:rsidR="009C7235" w:rsidRPr="00D03387" w:rsidRDefault="009C7235" w:rsidP="009C7235">
      <w:pPr>
        <w:pStyle w:val="Heading2"/>
      </w:pPr>
      <w:r w:rsidRPr="00D03387">
        <w:t>3.3</w:t>
      </w:r>
      <w:r w:rsidRPr="00D03387">
        <w:tab/>
        <w:t>Zones multiples</w:t>
      </w:r>
    </w:p>
    <w:p w:rsidR="009C7235" w:rsidRPr="00D03387" w:rsidRDefault="009C7235" w:rsidP="009C7235">
      <w:r w:rsidRPr="00D03387">
        <w:t xml:space="preserve">La méthode </w:t>
      </w:r>
      <w:r>
        <w:t>décrite ci</w:t>
      </w:r>
      <w:r>
        <w:noBreakHyphen/>
        <w:t xml:space="preserve">dessus </w:t>
      </w:r>
      <w:r w:rsidRPr="00D03387">
        <w:t xml:space="preserve">était fondée sur une seule zone d'exclusion à l'intérieur de laquelle aucune </w:t>
      </w:r>
      <w:r>
        <w:t>émission</w:t>
      </w:r>
      <w:r w:rsidRPr="00D03387">
        <w:t xml:space="preserve"> n'était autorisée. Cette zone d'exclusion pouvait être </w:t>
      </w:r>
      <w:r>
        <w:t xml:space="preserve">associée à </w:t>
      </w:r>
      <w:r w:rsidRPr="00D03387">
        <w:t xml:space="preserve">une zone restreinte; </w:t>
      </w:r>
      <w:r>
        <w:t>on trouvera ci</w:t>
      </w:r>
      <w:r>
        <w:noBreakHyphen/>
        <w:t xml:space="preserve">après les </w:t>
      </w:r>
      <w:r w:rsidRPr="00D03387">
        <w:t xml:space="preserve">caractéristiques des différentes zones </w:t>
      </w:r>
      <w:r>
        <w:t>correspondant à différents comportements.</w:t>
      </w:r>
    </w:p>
    <w:p w:rsidR="009C7235" w:rsidRPr="00D03387" w:rsidRDefault="009C7235" w:rsidP="009C7235">
      <w:r w:rsidRPr="00D03387">
        <w:rPr>
          <w:b/>
        </w:rPr>
        <w:t>Zone non restreinte</w:t>
      </w:r>
      <w:r w:rsidRPr="00D03387">
        <w:t>: Dan</w:t>
      </w:r>
      <w:r>
        <w:t>s cette zone, l'exploitation de</w:t>
      </w:r>
      <w:r w:rsidRPr="00D03387">
        <w:t xml:space="preserve"> stations HDFS </w:t>
      </w:r>
      <w:r w:rsidR="00D82480">
        <w:t>P-MP</w:t>
      </w:r>
      <w:r w:rsidRPr="00D03387">
        <w:t xml:space="preserve"> par les opérateurs </w:t>
      </w:r>
      <w:r>
        <w:t>se ferait librement, les seules limites étant les</w:t>
      </w:r>
      <w:r w:rsidRPr="00D03387">
        <w:t xml:space="preserve"> restrictions entre opérateurs.</w:t>
      </w:r>
    </w:p>
    <w:p w:rsidR="009C7235" w:rsidRPr="00D03387" w:rsidRDefault="009C7235" w:rsidP="009C7235">
      <w:r w:rsidRPr="00D03387">
        <w:rPr>
          <w:b/>
        </w:rPr>
        <w:t>Zone restreinte</w:t>
      </w:r>
      <w:r w:rsidRPr="00D03387">
        <w:t xml:space="preserve">: </w:t>
      </w:r>
      <w:r>
        <w:t>Dans</w:t>
      </w:r>
      <w:r w:rsidRPr="00D03387">
        <w:t xml:space="preserve"> cette zone, les stations HDFS </w:t>
      </w:r>
      <w:r w:rsidR="00D82480">
        <w:t>P-MP</w:t>
      </w:r>
      <w:r w:rsidRPr="00D03387">
        <w:t xml:space="preserve"> seraient autorisées à émettre moyennant certaines restrictions </w:t>
      </w:r>
      <w:r>
        <w:t>d'exploitation</w:t>
      </w:r>
      <w:r w:rsidRPr="00D03387">
        <w:t xml:space="preserve"> définies et convenues.</w:t>
      </w:r>
    </w:p>
    <w:p w:rsidR="009C7235" w:rsidRPr="00D03387" w:rsidRDefault="009C7235" w:rsidP="009C7235">
      <w:r w:rsidRPr="00D03387">
        <w:rPr>
          <w:b/>
        </w:rPr>
        <w:t>Zone d'exclusion</w:t>
      </w:r>
      <w:r w:rsidRPr="00D03387">
        <w:t xml:space="preserve">: </w:t>
      </w:r>
      <w:r>
        <w:t xml:space="preserve">Dans </w:t>
      </w:r>
      <w:r w:rsidRPr="00D03387">
        <w:t xml:space="preserve">cette zone, aucune </w:t>
      </w:r>
      <w:r>
        <w:t>station</w:t>
      </w:r>
      <w:r w:rsidRPr="00D03387">
        <w:t xml:space="preserve"> HDFS </w:t>
      </w:r>
      <w:r w:rsidR="00D82480">
        <w:t>P-MP</w:t>
      </w:r>
      <w:r w:rsidRPr="00D03387">
        <w:t xml:space="preserve"> ne serait autorisée</w:t>
      </w:r>
      <w:r>
        <w:t xml:space="preserve"> à émettre</w:t>
      </w:r>
      <w:r w:rsidRPr="00D03387">
        <w:t>.</w:t>
      </w:r>
    </w:p>
    <w:p w:rsidR="009C7235" w:rsidRPr="006F1CDE" w:rsidRDefault="009C7235" w:rsidP="009C7235">
      <w:r>
        <w:t xml:space="preserve">Parmi les </w:t>
      </w:r>
      <w:r w:rsidRPr="00D03387">
        <w:t>restriction</w:t>
      </w:r>
      <w:r>
        <w:t>s</w:t>
      </w:r>
      <w:r w:rsidRPr="00D03387">
        <w:t xml:space="preserve"> imposée</w:t>
      </w:r>
      <w:r>
        <w:t>s</w:t>
      </w:r>
      <w:r w:rsidRPr="00D03387">
        <w:t xml:space="preserve"> dans la zone restreinte pourrait </w:t>
      </w:r>
      <w:r>
        <w:t xml:space="preserve">figurer l'interdiction de </w:t>
      </w:r>
      <w:r w:rsidRPr="00D03387">
        <w:t xml:space="preserve">pointer les antennes à l'intérieur d'un angle donné du site </w:t>
      </w:r>
      <w:r>
        <w:t>SRA</w:t>
      </w:r>
      <w:r w:rsidRPr="00D03387">
        <w:t xml:space="preserve">. </w:t>
      </w:r>
      <w:r>
        <w:t>Il serait par conséquent nécessaire d'utiliser d</w:t>
      </w:r>
      <w:r w:rsidRPr="00D03387">
        <w:t xml:space="preserve">eux </w:t>
      </w:r>
      <w:r>
        <w:t>p.i.r.e.c. différentes</w:t>
      </w:r>
      <w:r w:rsidRPr="00D03387">
        <w:t xml:space="preserve">, une pour la zone non restreinte et une </w:t>
      </w:r>
      <w:r>
        <w:t xml:space="preserve">autre </w:t>
      </w:r>
      <w:r w:rsidRPr="00D03387">
        <w:t>pour la zone restreinte</w:t>
      </w:r>
      <w:r w:rsidRPr="006F1CDE">
        <w:t>.</w:t>
      </w:r>
    </w:p>
    <w:p w:rsidR="009C7235" w:rsidRPr="0000585A" w:rsidRDefault="009C7235" w:rsidP="009C7235">
      <w:pPr>
        <w:pStyle w:val="Heading2"/>
      </w:pPr>
      <w:r w:rsidRPr="0000585A">
        <w:t>3.4</w:t>
      </w:r>
      <w:r w:rsidRPr="0000585A">
        <w:tab/>
        <w:t xml:space="preserve">Zones d'exclusion visant à protéger les émissions dans la bande et </w:t>
      </w:r>
      <w:r>
        <w:t>l</w:t>
      </w:r>
      <w:r w:rsidRPr="0000585A">
        <w:t xml:space="preserve">es émissions </w:t>
      </w:r>
      <w:r w:rsidR="00D82480">
        <w:t>OoB</w:t>
      </w:r>
    </w:p>
    <w:p w:rsidR="009C7235" w:rsidRPr="0000585A" w:rsidRDefault="009C7235" w:rsidP="009C7235">
      <w:r w:rsidRPr="0000585A">
        <w:t xml:space="preserve">Cette méthode permet non seulement de protéger le service </w:t>
      </w:r>
      <w:r>
        <w:t>SRA</w:t>
      </w:r>
      <w:r w:rsidRPr="0000585A">
        <w:t xml:space="preserve"> des </w:t>
      </w:r>
      <w:r>
        <w:t xml:space="preserve">émissions des </w:t>
      </w:r>
      <w:r w:rsidRPr="0000585A">
        <w:t xml:space="preserve">stations HDFS </w:t>
      </w:r>
      <w:r w:rsidR="00D82480">
        <w:t>P-MP</w:t>
      </w:r>
      <w:r w:rsidRPr="0000585A">
        <w:t xml:space="preserve"> fonctionnant à la même fréquence, mais également </w:t>
      </w:r>
      <w:r>
        <w:t xml:space="preserve">de définir des zones d'exclusion visant à </w:t>
      </w:r>
      <w:r w:rsidRPr="0000585A">
        <w:t xml:space="preserve">protéger le service </w:t>
      </w:r>
      <w:r>
        <w:t>SRA</w:t>
      </w:r>
      <w:r w:rsidRPr="0000585A">
        <w:t xml:space="preserve"> des émissions </w:t>
      </w:r>
      <w:r w:rsidR="00D82480">
        <w:t>OoB</w:t>
      </w:r>
      <w:r w:rsidRPr="0000585A">
        <w:t>. L'</w:t>
      </w:r>
      <w:r>
        <w:t>a</w:t>
      </w:r>
      <w:r w:rsidRPr="0000585A">
        <w:t xml:space="preserve">lgorithme permettant de calculer la probabilité pour qu'une observation subisse des brouillages, </w:t>
      </w:r>
      <w:r w:rsidRPr="00D82480">
        <w:rPr>
          <w:i/>
        </w:rPr>
        <w:t>P</w:t>
      </w:r>
      <w:r w:rsidRPr="00D82480">
        <w:rPr>
          <w:i/>
          <w:vertAlign w:val="subscript"/>
        </w:rPr>
        <w:t>ob</w:t>
      </w:r>
      <w:r>
        <w:t xml:space="preserve">, </w:t>
      </w:r>
      <w:r w:rsidRPr="0000585A">
        <w:t>inclu</w:t>
      </w:r>
      <w:r>
        <w:t>t</w:t>
      </w:r>
      <w:r w:rsidRPr="0000585A">
        <w:t xml:space="preserve"> un terme visant à tenir compte de </w:t>
      </w:r>
      <w:r w:rsidRPr="00D82480">
        <w:rPr>
          <w:i/>
        </w:rPr>
        <w:t>A</w:t>
      </w:r>
      <w:r w:rsidRPr="00D82480">
        <w:rPr>
          <w:i/>
          <w:vertAlign w:val="subscript"/>
        </w:rPr>
        <w:t>O</w:t>
      </w:r>
      <w:r w:rsidR="00D82480" w:rsidRPr="00D82480">
        <w:rPr>
          <w:i/>
          <w:vertAlign w:val="subscript"/>
        </w:rPr>
        <w:t>o</w:t>
      </w:r>
      <w:r w:rsidRPr="00D82480">
        <w:rPr>
          <w:i/>
          <w:vertAlign w:val="subscript"/>
        </w:rPr>
        <w:t>B</w:t>
      </w:r>
      <w:r w:rsidRPr="0000585A">
        <w:t xml:space="preserve"> pour l'affaiblissement entre les émissions dans la bande et les émissions </w:t>
      </w:r>
      <w:r w:rsidR="00D82480">
        <w:t>OoB</w:t>
      </w:r>
      <w:r w:rsidRPr="0000585A">
        <w:t>.</w:t>
      </w:r>
    </w:p>
    <w:p w:rsidR="009C7235" w:rsidRDefault="009C7235" w:rsidP="009C7235">
      <w:r w:rsidRPr="0000585A">
        <w:t>On peut employer cette méthode pour définir deux zones d'exclusion, une pour un fonctionnement à la même fréquence et une autre pour un fonctionnement dans une bande adjacente.</w:t>
      </w:r>
    </w:p>
    <w:p w:rsidR="009C7235" w:rsidRDefault="009C7235" w:rsidP="009C7235"/>
    <w:p w:rsidR="009C7235" w:rsidRPr="0000585A" w:rsidRDefault="00E006BE" w:rsidP="00910B95">
      <w:pPr>
        <w:pStyle w:val="AppendixNoTitle"/>
      </w:pPr>
      <w:r>
        <w:lastRenderedPageBreak/>
        <w:t>Pièce jointe</w:t>
      </w:r>
      <w:r w:rsidRPr="0000585A">
        <w:t xml:space="preserve"> </w:t>
      </w:r>
      <w:r w:rsidR="009C7235" w:rsidRPr="0000585A">
        <w:t>1</w:t>
      </w:r>
      <w:r w:rsidR="009C7235" w:rsidRPr="0000585A">
        <w:br/>
      </w:r>
      <w:r w:rsidR="00D30DD8">
        <w:t>à</w:t>
      </w:r>
      <w:r w:rsidR="009C7235" w:rsidRPr="0000585A">
        <w:t xml:space="preserve"> </w:t>
      </w:r>
      <w:r w:rsidR="009C7235">
        <w:t>l'</w:t>
      </w:r>
      <w:r w:rsidR="009C7235" w:rsidRPr="0000585A">
        <w:t>Annexe 2</w:t>
      </w:r>
      <w:r w:rsidR="009C7235" w:rsidRPr="0000585A">
        <w:br/>
      </w:r>
      <w:r w:rsidR="009C7235" w:rsidRPr="0000585A">
        <w:br/>
        <w:t>Exemple de calcul</w:t>
      </w:r>
    </w:p>
    <w:p w:rsidR="009C7235" w:rsidRPr="0000585A" w:rsidRDefault="00D776CD" w:rsidP="009C7235">
      <w:pPr>
        <w:pStyle w:val="Normalaftertitle"/>
      </w:pPr>
      <w:r>
        <w:t>L</w:t>
      </w:r>
      <w:r w:rsidR="00030BDA">
        <w:t>a présente P</w:t>
      </w:r>
      <w:r>
        <w:t>ièce jointe</w:t>
      </w:r>
      <w:r w:rsidR="00D82480" w:rsidRPr="0000585A">
        <w:t xml:space="preserve"> </w:t>
      </w:r>
      <w:r w:rsidR="009C7235" w:rsidRPr="0000585A">
        <w:t xml:space="preserve">donne un exemple d'utilisation de la méthode décrite dans l'Annexe 2 permettant de déterminer la zone d'exclusion nécessaire pour protéger le site Jodrell Bank des brouillages inacceptables causés par le déploiement à grande échelle de réseaux HDFS </w:t>
      </w:r>
      <w:r w:rsidR="00D82480">
        <w:t>P-MP</w:t>
      </w:r>
      <w:r w:rsidR="009C7235" w:rsidRPr="0000585A">
        <w:t>.</w:t>
      </w:r>
    </w:p>
    <w:p w:rsidR="009C7235" w:rsidRPr="0000585A" w:rsidRDefault="009C7235" w:rsidP="009C7235">
      <w:pPr>
        <w:pStyle w:val="Headingb"/>
      </w:pPr>
      <w:r w:rsidRPr="0000585A">
        <w:t xml:space="preserve">Modèle </w:t>
      </w:r>
      <w:r>
        <w:t>SRA</w:t>
      </w:r>
      <w:r w:rsidRPr="0000585A">
        <w:t xml:space="preserve"> </w:t>
      </w:r>
    </w:p>
    <w:p w:rsidR="009C7235" w:rsidRPr="0000585A" w:rsidRDefault="009C7235">
      <w:r w:rsidRPr="0000585A">
        <w:t xml:space="preserve">Le modèle </w:t>
      </w:r>
      <w:r>
        <w:t>SRA</w:t>
      </w:r>
      <w:r w:rsidRPr="0000585A">
        <w:t xml:space="preserve"> est décrit dans </w:t>
      </w:r>
      <w:r w:rsidR="00D776CD">
        <w:t xml:space="preserve">la </w:t>
      </w:r>
      <w:r w:rsidR="00030BDA">
        <w:t>P</w:t>
      </w:r>
      <w:r w:rsidR="00D776CD">
        <w:t>ièce jointe</w:t>
      </w:r>
      <w:r w:rsidR="00D776CD" w:rsidRPr="0000585A">
        <w:t xml:space="preserve"> </w:t>
      </w:r>
      <w:r w:rsidRPr="0000585A">
        <w:t xml:space="preserve">1 </w:t>
      </w:r>
      <w:r w:rsidR="00D30DD8">
        <w:t>à</w:t>
      </w:r>
      <w:r w:rsidRPr="0000585A">
        <w:t xml:space="preserve"> l'Annexe 1.</w:t>
      </w:r>
    </w:p>
    <w:p w:rsidR="009C7235" w:rsidRPr="0000585A" w:rsidRDefault="009C7235" w:rsidP="009C7235">
      <w:pPr>
        <w:pStyle w:val="Headingb"/>
      </w:pPr>
      <w:r w:rsidRPr="0000585A">
        <w:t>Modèle H</w:t>
      </w:r>
      <w:r>
        <w:t>D</w:t>
      </w:r>
      <w:r w:rsidRPr="0000585A">
        <w:t>FS</w:t>
      </w:r>
    </w:p>
    <w:p w:rsidR="009C7235" w:rsidRPr="0000585A" w:rsidRDefault="009C7235">
      <w:r w:rsidRPr="0000585A">
        <w:t xml:space="preserve">Le modèle HDFS </w:t>
      </w:r>
      <w:r w:rsidR="00D82480">
        <w:t>P-MP</w:t>
      </w:r>
      <w:r w:rsidRPr="0000585A">
        <w:t xml:space="preserve"> est décrit dans </w:t>
      </w:r>
      <w:r w:rsidR="00D776CD">
        <w:t xml:space="preserve">la </w:t>
      </w:r>
      <w:r w:rsidR="00030BDA">
        <w:t>P</w:t>
      </w:r>
      <w:r w:rsidR="00D776CD">
        <w:t>ièce jointe</w:t>
      </w:r>
      <w:r w:rsidRPr="0000585A">
        <w:t xml:space="preserve"> 1 </w:t>
      </w:r>
      <w:r w:rsidR="00D30DD8">
        <w:t>à</w:t>
      </w:r>
      <w:r w:rsidRPr="0000585A">
        <w:t xml:space="preserve"> l'Annexe 1.</w:t>
      </w:r>
    </w:p>
    <w:p w:rsidR="009C7235" w:rsidRPr="0000585A" w:rsidRDefault="009C7235" w:rsidP="009C7235">
      <w:pPr>
        <w:pStyle w:val="Headingb"/>
      </w:pPr>
      <w:r w:rsidRPr="0000585A">
        <w:t xml:space="preserve">Calcul </w:t>
      </w:r>
      <w:r>
        <w:t>des</w:t>
      </w:r>
      <w:r w:rsidRPr="0000585A">
        <w:t xml:space="preserve"> brouillage</w:t>
      </w:r>
      <w:r>
        <w:t>s</w:t>
      </w:r>
    </w:p>
    <w:p w:rsidR="009C7235" w:rsidRDefault="009C7235" w:rsidP="009C7235">
      <w:pPr>
        <w:spacing w:after="120"/>
      </w:pPr>
      <w:r w:rsidRPr="0000585A">
        <w:t>Le Tableau 8 donne les itérations nécessaires pour calculer la taille de la zone d'exclusion.</w:t>
      </w:r>
    </w:p>
    <w:p w:rsidR="009C7235" w:rsidRPr="0000585A" w:rsidRDefault="009C7235" w:rsidP="00910B95">
      <w:pPr>
        <w:pStyle w:val="TableNo"/>
      </w:pPr>
      <w:r w:rsidRPr="0000585A">
        <w:t>TABLE</w:t>
      </w:r>
      <w:r w:rsidR="00910B95" w:rsidRPr="0000585A">
        <w:t>AU</w:t>
      </w:r>
      <w:r w:rsidRPr="0000585A">
        <w:t xml:space="preserve"> 8</w:t>
      </w:r>
    </w:p>
    <w:p w:rsidR="009C7235" w:rsidRPr="0000585A" w:rsidRDefault="009C7235" w:rsidP="00910B95">
      <w:pPr>
        <w:pStyle w:val="Tabletitle"/>
      </w:pPr>
      <w:r w:rsidRPr="0000585A">
        <w:t>Itération de la taille d'une zone d'exclusion au moyen</w:t>
      </w:r>
      <w:r>
        <w:br/>
      </w:r>
      <w:r w:rsidRPr="0000585A">
        <w:t xml:space="preserve"> des méthodes des Annexes 1 et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985"/>
      </w:tblGrid>
      <w:tr w:rsidR="009C7235" w:rsidRPr="0000585A">
        <w:trPr>
          <w:jc w:val="center"/>
        </w:trPr>
        <w:tc>
          <w:tcPr>
            <w:tcW w:w="1985" w:type="dxa"/>
          </w:tcPr>
          <w:p w:rsidR="009C7235" w:rsidRPr="0000585A" w:rsidRDefault="009C7235" w:rsidP="00910B95">
            <w:pPr>
              <w:pStyle w:val="Tablehead"/>
            </w:pPr>
            <w:r w:rsidRPr="0000585A">
              <w:t>Itération</w:t>
            </w:r>
          </w:p>
        </w:tc>
        <w:tc>
          <w:tcPr>
            <w:tcW w:w="3402" w:type="dxa"/>
          </w:tcPr>
          <w:p w:rsidR="009C7235" w:rsidRPr="0000585A" w:rsidRDefault="009C7235" w:rsidP="00910B95">
            <w:pPr>
              <w:pStyle w:val="Tablehead"/>
            </w:pPr>
            <w:r w:rsidRPr="0000585A">
              <w:t>Taille de la zone d'exclusion</w:t>
            </w:r>
            <w:r w:rsidRPr="0000585A">
              <w:br/>
            </w:r>
            <w:r w:rsidRPr="00D82480">
              <w:rPr>
                <w:i/>
              </w:rPr>
              <w:t>L</w:t>
            </w:r>
            <w:r w:rsidRPr="0000585A">
              <w:rPr>
                <w:vertAlign w:val="subscript"/>
              </w:rPr>
              <w:t>452</w:t>
            </w:r>
            <w:r w:rsidRPr="0000585A">
              <w:t xml:space="preserve">(10%) </w:t>
            </w:r>
            <w:r w:rsidRPr="0000585A">
              <w:sym w:font="Symbol" w:char="F0B3"/>
            </w:r>
            <w:r w:rsidRPr="0000585A">
              <w:t xml:space="preserve"> </w:t>
            </w:r>
            <w:r w:rsidRPr="00D82480">
              <w:rPr>
                <w:i/>
              </w:rPr>
              <w:t>X</w:t>
            </w:r>
            <w:r w:rsidRPr="00D82480">
              <w:t xml:space="preserve"> </w:t>
            </w:r>
            <w:r w:rsidRPr="0000585A">
              <w:t>dB</w:t>
            </w:r>
          </w:p>
        </w:tc>
        <w:tc>
          <w:tcPr>
            <w:tcW w:w="1985" w:type="dxa"/>
          </w:tcPr>
          <w:p w:rsidR="009C7235" w:rsidRPr="0000585A" w:rsidRDefault="009C7235" w:rsidP="00910B95">
            <w:pPr>
              <w:pStyle w:val="Tablehead"/>
            </w:pPr>
            <w:r w:rsidRPr="00D82480">
              <w:rPr>
                <w:i/>
              </w:rPr>
              <w:t>P</w:t>
            </w:r>
            <w:r w:rsidRPr="00D82480">
              <w:rPr>
                <w:i/>
                <w:vertAlign w:val="subscript"/>
              </w:rPr>
              <w:t>ob</w:t>
            </w:r>
            <w:r w:rsidR="00D82480">
              <w:rPr>
                <w:vertAlign w:val="subscript"/>
              </w:rPr>
              <w:br/>
            </w:r>
            <w:r w:rsidR="00D82480" w:rsidRPr="00D82480">
              <w:rPr>
                <w:rFonts w:ascii="Times New Roman Bold" w:hAnsi="Times New Roman Bold"/>
                <w:szCs w:val="22"/>
              </w:rPr>
              <w:t>(%)</w:t>
            </w:r>
          </w:p>
        </w:tc>
      </w:tr>
      <w:tr w:rsidR="009C7235" w:rsidRPr="0000585A">
        <w:trPr>
          <w:jc w:val="center"/>
        </w:trPr>
        <w:tc>
          <w:tcPr>
            <w:tcW w:w="1985" w:type="dxa"/>
          </w:tcPr>
          <w:p w:rsidR="009C7235" w:rsidRPr="0000585A" w:rsidRDefault="009C7235" w:rsidP="00910B95">
            <w:pPr>
              <w:pStyle w:val="Tabletext"/>
              <w:jc w:val="center"/>
            </w:pPr>
            <w:r w:rsidRPr="0000585A">
              <w:t>1</w:t>
            </w:r>
          </w:p>
        </w:tc>
        <w:tc>
          <w:tcPr>
            <w:tcW w:w="3402" w:type="dxa"/>
          </w:tcPr>
          <w:p w:rsidR="009C7235" w:rsidRPr="0000585A" w:rsidRDefault="009C7235" w:rsidP="00910B95">
            <w:pPr>
              <w:pStyle w:val="Tabletext"/>
              <w:jc w:val="center"/>
            </w:pPr>
            <w:r w:rsidRPr="0000585A">
              <w:t>200</w:t>
            </w:r>
          </w:p>
        </w:tc>
        <w:tc>
          <w:tcPr>
            <w:tcW w:w="1985" w:type="dxa"/>
          </w:tcPr>
          <w:p w:rsidR="009C7235" w:rsidRPr="0000585A" w:rsidRDefault="009C7235" w:rsidP="00910B95">
            <w:pPr>
              <w:pStyle w:val="Tabletext"/>
              <w:jc w:val="center"/>
            </w:pPr>
            <w:r w:rsidRPr="0000585A">
              <w:t>0,0</w:t>
            </w:r>
          </w:p>
        </w:tc>
      </w:tr>
      <w:tr w:rsidR="009C7235" w:rsidRPr="0000585A">
        <w:trPr>
          <w:jc w:val="center"/>
        </w:trPr>
        <w:tc>
          <w:tcPr>
            <w:tcW w:w="1985" w:type="dxa"/>
          </w:tcPr>
          <w:p w:rsidR="009C7235" w:rsidRPr="0000585A" w:rsidRDefault="009C7235" w:rsidP="00910B95">
            <w:pPr>
              <w:pStyle w:val="Tabletext"/>
              <w:jc w:val="center"/>
            </w:pPr>
            <w:r w:rsidRPr="0000585A">
              <w:t>2</w:t>
            </w:r>
          </w:p>
        </w:tc>
        <w:tc>
          <w:tcPr>
            <w:tcW w:w="3402" w:type="dxa"/>
          </w:tcPr>
          <w:p w:rsidR="009C7235" w:rsidRPr="0000585A" w:rsidRDefault="009C7235" w:rsidP="00910B95">
            <w:pPr>
              <w:pStyle w:val="Tabletext"/>
              <w:jc w:val="center"/>
            </w:pPr>
            <w:r w:rsidRPr="0000585A">
              <w:t>180</w:t>
            </w:r>
          </w:p>
        </w:tc>
        <w:tc>
          <w:tcPr>
            <w:tcW w:w="1985" w:type="dxa"/>
          </w:tcPr>
          <w:p w:rsidR="009C7235" w:rsidRPr="0000585A" w:rsidRDefault="009C7235" w:rsidP="00910B95">
            <w:pPr>
              <w:pStyle w:val="Tabletext"/>
              <w:jc w:val="center"/>
            </w:pPr>
            <w:r w:rsidRPr="0000585A">
              <w:t>0,0</w:t>
            </w:r>
          </w:p>
        </w:tc>
      </w:tr>
      <w:tr w:rsidR="009C7235" w:rsidRPr="0000585A">
        <w:trPr>
          <w:jc w:val="center"/>
        </w:trPr>
        <w:tc>
          <w:tcPr>
            <w:tcW w:w="1985" w:type="dxa"/>
          </w:tcPr>
          <w:p w:rsidR="009C7235" w:rsidRPr="0000585A" w:rsidRDefault="009C7235" w:rsidP="00910B95">
            <w:pPr>
              <w:pStyle w:val="Tabletext"/>
              <w:jc w:val="center"/>
            </w:pPr>
            <w:r w:rsidRPr="0000585A">
              <w:t>3</w:t>
            </w:r>
          </w:p>
        </w:tc>
        <w:tc>
          <w:tcPr>
            <w:tcW w:w="3402" w:type="dxa"/>
          </w:tcPr>
          <w:p w:rsidR="009C7235" w:rsidRPr="0000585A" w:rsidRDefault="009C7235" w:rsidP="00910B95">
            <w:pPr>
              <w:pStyle w:val="Tabletext"/>
              <w:jc w:val="center"/>
            </w:pPr>
            <w:r w:rsidRPr="0000585A">
              <w:t>160</w:t>
            </w:r>
          </w:p>
        </w:tc>
        <w:tc>
          <w:tcPr>
            <w:tcW w:w="1985" w:type="dxa"/>
          </w:tcPr>
          <w:p w:rsidR="009C7235" w:rsidRPr="0000585A" w:rsidRDefault="009C7235" w:rsidP="00910B95">
            <w:pPr>
              <w:pStyle w:val="Tabletext"/>
              <w:jc w:val="center"/>
            </w:pPr>
            <w:r w:rsidRPr="0000585A">
              <w:t>4,3</w:t>
            </w:r>
          </w:p>
        </w:tc>
      </w:tr>
      <w:tr w:rsidR="009C7235" w:rsidRPr="0000585A">
        <w:trPr>
          <w:jc w:val="center"/>
        </w:trPr>
        <w:tc>
          <w:tcPr>
            <w:tcW w:w="1985" w:type="dxa"/>
          </w:tcPr>
          <w:p w:rsidR="009C7235" w:rsidRPr="0000585A" w:rsidRDefault="009C7235" w:rsidP="00910B95">
            <w:pPr>
              <w:pStyle w:val="Tabletext"/>
              <w:jc w:val="center"/>
            </w:pPr>
            <w:r w:rsidRPr="0000585A">
              <w:t>4</w:t>
            </w:r>
          </w:p>
        </w:tc>
        <w:tc>
          <w:tcPr>
            <w:tcW w:w="3402" w:type="dxa"/>
          </w:tcPr>
          <w:p w:rsidR="009C7235" w:rsidRPr="0000585A" w:rsidRDefault="009C7235" w:rsidP="00910B95">
            <w:pPr>
              <w:pStyle w:val="Tabletext"/>
              <w:jc w:val="center"/>
            </w:pPr>
            <w:r w:rsidRPr="0000585A">
              <w:t>170</w:t>
            </w:r>
          </w:p>
        </w:tc>
        <w:tc>
          <w:tcPr>
            <w:tcW w:w="1985" w:type="dxa"/>
          </w:tcPr>
          <w:p w:rsidR="009C7235" w:rsidRPr="0000585A" w:rsidRDefault="009C7235" w:rsidP="00910B95">
            <w:pPr>
              <w:pStyle w:val="Tabletext"/>
              <w:jc w:val="center"/>
            </w:pPr>
            <w:r w:rsidRPr="0000585A">
              <w:t>0,1</w:t>
            </w:r>
          </w:p>
        </w:tc>
      </w:tr>
      <w:tr w:rsidR="009C7235" w:rsidRPr="0000585A">
        <w:trPr>
          <w:jc w:val="center"/>
        </w:trPr>
        <w:tc>
          <w:tcPr>
            <w:tcW w:w="1985" w:type="dxa"/>
          </w:tcPr>
          <w:p w:rsidR="009C7235" w:rsidRPr="0000585A" w:rsidRDefault="009C7235" w:rsidP="00910B95">
            <w:pPr>
              <w:pStyle w:val="Tabletext"/>
              <w:jc w:val="center"/>
            </w:pPr>
            <w:r w:rsidRPr="0000585A">
              <w:t>5</w:t>
            </w:r>
          </w:p>
        </w:tc>
        <w:tc>
          <w:tcPr>
            <w:tcW w:w="3402" w:type="dxa"/>
          </w:tcPr>
          <w:p w:rsidR="009C7235" w:rsidRPr="0000585A" w:rsidRDefault="009C7235" w:rsidP="00910B95">
            <w:pPr>
              <w:pStyle w:val="Tabletext"/>
              <w:jc w:val="center"/>
            </w:pPr>
            <w:r w:rsidRPr="0000585A">
              <w:t>165</w:t>
            </w:r>
          </w:p>
        </w:tc>
        <w:tc>
          <w:tcPr>
            <w:tcW w:w="1985" w:type="dxa"/>
          </w:tcPr>
          <w:p w:rsidR="009C7235" w:rsidRPr="0000585A" w:rsidRDefault="009C7235" w:rsidP="00910B95">
            <w:pPr>
              <w:pStyle w:val="Tabletext"/>
              <w:jc w:val="center"/>
            </w:pPr>
            <w:r w:rsidRPr="0000585A">
              <w:t>0,3</w:t>
            </w:r>
          </w:p>
        </w:tc>
      </w:tr>
      <w:tr w:rsidR="009C7235" w:rsidRPr="0000585A">
        <w:trPr>
          <w:jc w:val="center"/>
        </w:trPr>
        <w:tc>
          <w:tcPr>
            <w:tcW w:w="1985" w:type="dxa"/>
          </w:tcPr>
          <w:p w:rsidR="009C7235" w:rsidRPr="0000585A" w:rsidRDefault="009C7235" w:rsidP="00910B95">
            <w:pPr>
              <w:pStyle w:val="Tabletext"/>
              <w:jc w:val="center"/>
            </w:pPr>
            <w:r w:rsidRPr="0000585A">
              <w:t>6</w:t>
            </w:r>
          </w:p>
        </w:tc>
        <w:tc>
          <w:tcPr>
            <w:tcW w:w="3402" w:type="dxa"/>
          </w:tcPr>
          <w:p w:rsidR="009C7235" w:rsidRPr="0000585A" w:rsidRDefault="009C7235" w:rsidP="00910B95">
            <w:pPr>
              <w:pStyle w:val="Tabletext"/>
              <w:jc w:val="center"/>
            </w:pPr>
            <w:r w:rsidRPr="0000585A">
              <w:t>162</w:t>
            </w:r>
          </w:p>
        </w:tc>
        <w:tc>
          <w:tcPr>
            <w:tcW w:w="1985" w:type="dxa"/>
          </w:tcPr>
          <w:p w:rsidR="009C7235" w:rsidRPr="0000585A" w:rsidRDefault="009C7235" w:rsidP="00910B95">
            <w:pPr>
              <w:pStyle w:val="Tabletext"/>
              <w:jc w:val="center"/>
            </w:pPr>
            <w:r w:rsidRPr="0000585A">
              <w:t>1,0</w:t>
            </w:r>
          </w:p>
        </w:tc>
      </w:tr>
      <w:tr w:rsidR="009C7235" w:rsidRPr="0000585A">
        <w:trPr>
          <w:jc w:val="center"/>
        </w:trPr>
        <w:tc>
          <w:tcPr>
            <w:tcW w:w="1985" w:type="dxa"/>
          </w:tcPr>
          <w:p w:rsidR="009C7235" w:rsidRPr="0000585A" w:rsidRDefault="009C7235" w:rsidP="00910B95">
            <w:pPr>
              <w:pStyle w:val="Tabletext"/>
              <w:jc w:val="center"/>
            </w:pPr>
            <w:r w:rsidRPr="0000585A">
              <w:t>7</w:t>
            </w:r>
          </w:p>
        </w:tc>
        <w:tc>
          <w:tcPr>
            <w:tcW w:w="3402" w:type="dxa"/>
          </w:tcPr>
          <w:p w:rsidR="009C7235" w:rsidRPr="0000585A" w:rsidRDefault="009C7235" w:rsidP="00910B95">
            <w:pPr>
              <w:pStyle w:val="Tabletext"/>
              <w:jc w:val="center"/>
            </w:pPr>
            <w:r w:rsidRPr="0000585A">
              <w:t>161</w:t>
            </w:r>
          </w:p>
        </w:tc>
        <w:tc>
          <w:tcPr>
            <w:tcW w:w="1985" w:type="dxa"/>
          </w:tcPr>
          <w:p w:rsidR="009C7235" w:rsidRPr="0000585A" w:rsidRDefault="009C7235" w:rsidP="00910B95">
            <w:pPr>
              <w:pStyle w:val="Tabletext"/>
              <w:jc w:val="center"/>
            </w:pPr>
            <w:r w:rsidRPr="0000585A">
              <w:t>4,0</w:t>
            </w:r>
          </w:p>
        </w:tc>
      </w:tr>
    </w:tbl>
    <w:p w:rsidR="00910B95" w:rsidRDefault="00910B95" w:rsidP="00910B95">
      <w:pPr>
        <w:pStyle w:val="Tablefin"/>
      </w:pPr>
    </w:p>
    <w:p w:rsidR="009C7235" w:rsidRPr="0000585A" w:rsidRDefault="009C7235" w:rsidP="00910B95">
      <w:r>
        <w:t xml:space="preserve">Ainsi, </w:t>
      </w:r>
      <w:r w:rsidRPr="0000585A">
        <w:t xml:space="preserve">pour assurer la protection du site </w:t>
      </w:r>
      <w:r>
        <w:t>SRA</w:t>
      </w:r>
      <w:r w:rsidRPr="0000585A">
        <w:t xml:space="preserve"> vis</w:t>
      </w:r>
      <w:r>
        <w:noBreakHyphen/>
      </w:r>
      <w:r w:rsidRPr="0000585A">
        <w:t>à</w:t>
      </w:r>
      <w:r>
        <w:noBreakHyphen/>
      </w:r>
      <w:r w:rsidRPr="0000585A">
        <w:t xml:space="preserve">vis du modèle de référence HDFS </w:t>
      </w:r>
      <w:r w:rsidR="00D82480">
        <w:t>P-MP</w:t>
      </w:r>
      <w:r w:rsidRPr="0000585A">
        <w:t xml:space="preserve"> cité en exemple, </w:t>
      </w:r>
      <w:r>
        <w:t xml:space="preserve">la taille de la </w:t>
      </w:r>
      <w:r w:rsidRPr="0000585A">
        <w:t xml:space="preserve">zone d'exclusion </w:t>
      </w:r>
      <w:r>
        <w:t>devrait être telle que</w:t>
      </w:r>
      <w:r w:rsidRPr="0000585A">
        <w:t>:</w:t>
      </w:r>
    </w:p>
    <w:p w:rsidR="00D1175A" w:rsidRPr="007C1F74" w:rsidRDefault="00D1175A" w:rsidP="00D1175A">
      <w:pPr>
        <w:pStyle w:val="Blanc"/>
        <w:rPr>
          <w:lang w:val="fr-CH"/>
        </w:rPr>
      </w:pPr>
    </w:p>
    <w:p w:rsidR="009C7235" w:rsidRPr="0000585A" w:rsidRDefault="009C7235" w:rsidP="00D82480">
      <w:pPr>
        <w:pStyle w:val="Equation"/>
      </w:pPr>
      <w:r w:rsidRPr="0000585A">
        <w:tab/>
      </w:r>
      <w:r w:rsidRPr="0000585A">
        <w:tab/>
      </w:r>
      <w:r w:rsidRPr="00D82480">
        <w:rPr>
          <w:i/>
        </w:rPr>
        <w:t>L</w:t>
      </w:r>
      <w:r w:rsidRPr="0000585A">
        <w:rPr>
          <w:vertAlign w:val="subscript"/>
        </w:rPr>
        <w:t>452</w:t>
      </w:r>
      <w:r w:rsidRPr="0000585A">
        <w:t xml:space="preserve">(10%) </w:t>
      </w:r>
      <w:r w:rsidRPr="0000585A">
        <w:sym w:font="Symbol" w:char="F0B3"/>
      </w:r>
      <w:r w:rsidRPr="0000585A">
        <w:t xml:space="preserve"> 162 dB</w:t>
      </w:r>
    </w:p>
    <w:p w:rsidR="00D1175A" w:rsidRPr="007C1F74" w:rsidRDefault="00D1175A" w:rsidP="00D1175A">
      <w:pPr>
        <w:pStyle w:val="Blanc"/>
        <w:rPr>
          <w:lang w:val="fr-CH"/>
        </w:rPr>
      </w:pPr>
    </w:p>
    <w:p w:rsidR="009C7235" w:rsidRDefault="009C7235" w:rsidP="009C7235">
      <w:pPr>
        <w:spacing w:before="240"/>
      </w:pPr>
      <w:r w:rsidRPr="0000585A">
        <w:t>Cet exemple de zone d'exclusion est représenté dans la Fig</w:t>
      </w:r>
      <w:r>
        <w:t>.</w:t>
      </w:r>
      <w:r w:rsidRPr="0000585A">
        <w:t xml:space="preserve"> 9.</w:t>
      </w:r>
    </w:p>
    <w:p w:rsidR="009C7235" w:rsidRPr="0000585A" w:rsidRDefault="009C7235" w:rsidP="00910B95">
      <w:pPr>
        <w:pStyle w:val="FigureNo"/>
        <w:keepNext/>
      </w:pPr>
      <w:r w:rsidRPr="0000585A">
        <w:lastRenderedPageBreak/>
        <w:t>FIGURE 9</w:t>
      </w:r>
    </w:p>
    <w:p w:rsidR="009C7235" w:rsidRDefault="009C7235" w:rsidP="00910B95">
      <w:pPr>
        <w:pStyle w:val="Figuretitle"/>
      </w:pPr>
      <w:r w:rsidRPr="0000585A">
        <w:t xml:space="preserve">Exemple de zone d'exclusion: </w:t>
      </w:r>
      <w:r>
        <w:t>c</w:t>
      </w:r>
      <w:r w:rsidRPr="0000585A">
        <w:t xml:space="preserve">ontour de </w:t>
      </w:r>
      <w:r w:rsidRPr="00D82480">
        <w:rPr>
          <w:i/>
        </w:rPr>
        <w:t>L</w:t>
      </w:r>
      <w:r w:rsidRPr="0000585A">
        <w:rPr>
          <w:vertAlign w:val="subscript"/>
        </w:rPr>
        <w:t xml:space="preserve">452 </w:t>
      </w:r>
      <w:r w:rsidRPr="0000585A">
        <w:t>(10%) = 162 dB</w:t>
      </w:r>
    </w:p>
    <w:p w:rsidR="00910B95" w:rsidRPr="00910B95" w:rsidRDefault="00D82480" w:rsidP="00910B95">
      <w:pPr>
        <w:pStyle w:val="Figure"/>
      </w:pPr>
      <w:r>
        <w:object w:dxaOrig="4879" w:dyaOrig="4724">
          <v:shape id="_x0000_i1040" type="#_x0000_t75" style="width:243.65pt;height:236.15pt" o:ole="" o:allowoverlap="f">
            <v:imagedata r:id="rId37" o:title=""/>
          </v:shape>
          <o:OLEObject Type="Embed" ProgID="CorelDRAW.Graphic.12" ShapeID="_x0000_i1040" DrawAspect="Content" ObjectID="_1574228314" r:id="rId38"/>
        </w:object>
      </w:r>
    </w:p>
    <w:p w:rsidR="001257D7" w:rsidRPr="004101B7" w:rsidRDefault="001257D7" w:rsidP="005E5F55">
      <w:bookmarkStart w:id="0" w:name="_GoBack"/>
      <w:bookmarkEnd w:id="0"/>
    </w:p>
    <w:p w:rsidR="001257D7" w:rsidRPr="004101B7" w:rsidRDefault="001257D7" w:rsidP="005E5F55"/>
    <w:p w:rsidR="0064496E" w:rsidRDefault="0064496E" w:rsidP="009D70DA">
      <w:pPr>
        <w:pStyle w:val="Line"/>
      </w:pPr>
    </w:p>
    <w:sectPr w:rsidR="0064496E">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F13" w:rsidRDefault="00E11F13">
      <w:r>
        <w:separator/>
      </w:r>
    </w:p>
  </w:endnote>
  <w:endnote w:type="continuationSeparator" w:id="0">
    <w:p w:rsidR="00E11F13" w:rsidRDefault="00E1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F13" w:rsidRDefault="00E11F13">
      <w:r>
        <w:separator/>
      </w:r>
    </w:p>
  </w:footnote>
  <w:footnote w:type="continuationSeparator" w:id="0">
    <w:p w:rsidR="00E11F13" w:rsidRDefault="00E11F13">
      <w:r>
        <w:continuationSeparator/>
      </w:r>
    </w:p>
  </w:footnote>
  <w:footnote w:id="1">
    <w:p w:rsidR="00E11F13" w:rsidRPr="00DD49C8" w:rsidRDefault="00E11F13">
      <w:pPr>
        <w:pStyle w:val="FootnoteText"/>
      </w:pPr>
      <w:r>
        <w:rPr>
          <w:rStyle w:val="FootnoteReference"/>
        </w:rPr>
        <w:t>*</w:t>
      </w:r>
      <w:r>
        <w:tab/>
      </w:r>
      <w:r w:rsidRPr="00631C35">
        <w:t>La présente Recommandation doit être portée à l'attention de la Commission d'études 7</w:t>
      </w:r>
      <w:r>
        <w:t xml:space="preserve"> de radiocommunications</w:t>
      </w:r>
      <w:r w:rsidRPr="00631C35">
        <w:t>.</w:t>
      </w:r>
    </w:p>
  </w:footnote>
  <w:footnote w:id="2">
    <w:p w:rsidR="00E11F13" w:rsidRPr="007C1F74" w:rsidRDefault="00E11F13">
      <w:pPr>
        <w:pStyle w:val="FootnoteText"/>
        <w:rPr>
          <w:lang w:val="fr-CH"/>
        </w:rPr>
      </w:pPr>
      <w:r>
        <w:rPr>
          <w:rStyle w:val="FootnoteReference"/>
        </w:rPr>
        <w:t>**</w:t>
      </w:r>
      <w:r>
        <w:tab/>
      </w:r>
      <w:r w:rsidRPr="007C1F74">
        <w:rPr>
          <w:szCs w:val="22"/>
        </w:rPr>
        <w:t>La Commission d’études 5 des radiocommunications a apporté des modifications rédactionnelles à la présente Recommandation en 2017 conformément aux dispositions de la Résolution UIT-R 1</w:t>
      </w:r>
      <w:r w:rsidRPr="007C1F74">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F13" w:rsidRDefault="00E11F1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629D">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F7629D">
      <w:rPr>
        <w:b/>
        <w:bCs/>
        <w:noProof/>
      </w:rPr>
      <w:t>UIT-R  F.1766-0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F13" w:rsidRDefault="00E11F13" w:rsidP="002F4721">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7629D">
      <w:rPr>
        <w:b/>
        <w:bCs/>
        <w:noProof/>
      </w:rPr>
      <w:t>UIT-R  F.1766-0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629D">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D7"/>
    <w:rsid w:val="00030BDA"/>
    <w:rsid w:val="00035DA4"/>
    <w:rsid w:val="000E1448"/>
    <w:rsid w:val="001257D7"/>
    <w:rsid w:val="001E7ACC"/>
    <w:rsid w:val="001F1CD5"/>
    <w:rsid w:val="002F4721"/>
    <w:rsid w:val="00334247"/>
    <w:rsid w:val="00363E41"/>
    <w:rsid w:val="003802EC"/>
    <w:rsid w:val="003F7BB1"/>
    <w:rsid w:val="004E3151"/>
    <w:rsid w:val="005E5F55"/>
    <w:rsid w:val="00624DB1"/>
    <w:rsid w:val="0064496E"/>
    <w:rsid w:val="00655B0B"/>
    <w:rsid w:val="00660956"/>
    <w:rsid w:val="00676B82"/>
    <w:rsid w:val="007A462F"/>
    <w:rsid w:val="007C1F74"/>
    <w:rsid w:val="0084347E"/>
    <w:rsid w:val="00910B95"/>
    <w:rsid w:val="00993301"/>
    <w:rsid w:val="009C7235"/>
    <w:rsid w:val="009D70DA"/>
    <w:rsid w:val="00A266D7"/>
    <w:rsid w:val="00A43077"/>
    <w:rsid w:val="00A63371"/>
    <w:rsid w:val="00AF1F8D"/>
    <w:rsid w:val="00AF41EB"/>
    <w:rsid w:val="00B40106"/>
    <w:rsid w:val="00B55E79"/>
    <w:rsid w:val="00BA7511"/>
    <w:rsid w:val="00C21140"/>
    <w:rsid w:val="00C61537"/>
    <w:rsid w:val="00CA3EE1"/>
    <w:rsid w:val="00CE1CB7"/>
    <w:rsid w:val="00D00139"/>
    <w:rsid w:val="00D1175A"/>
    <w:rsid w:val="00D15790"/>
    <w:rsid w:val="00D30DD8"/>
    <w:rsid w:val="00D776CD"/>
    <w:rsid w:val="00D82480"/>
    <w:rsid w:val="00D85C0E"/>
    <w:rsid w:val="00DD49C8"/>
    <w:rsid w:val="00DF7446"/>
    <w:rsid w:val="00E006BE"/>
    <w:rsid w:val="00E11F13"/>
    <w:rsid w:val="00E312B8"/>
    <w:rsid w:val="00E73DE3"/>
    <w:rsid w:val="00F042CE"/>
    <w:rsid w:val="00F7629D"/>
    <w:rsid w:val="00F878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15:docId w15:val="{69EB6327-0B1D-4E89-A2F2-78FEFC2C5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2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10B95"/>
    <w:pPr>
      <w:keepNext/>
      <w:keepLines/>
      <w:spacing w:before="480"/>
      <w:ind w:left="794" w:hanging="794"/>
      <w:outlineLvl w:val="0"/>
    </w:pPr>
    <w:rPr>
      <w:b/>
    </w:rPr>
  </w:style>
  <w:style w:type="paragraph" w:styleId="Heading2">
    <w:name w:val="heading 2"/>
    <w:basedOn w:val="Heading1"/>
    <w:next w:val="Normal"/>
    <w:qFormat/>
    <w:rsid w:val="00910B95"/>
    <w:pPr>
      <w:spacing w:before="320"/>
      <w:outlineLvl w:val="1"/>
    </w:pPr>
  </w:style>
  <w:style w:type="paragraph" w:styleId="Heading3">
    <w:name w:val="heading 3"/>
    <w:basedOn w:val="Heading1"/>
    <w:next w:val="Normal"/>
    <w:qFormat/>
    <w:rsid w:val="00910B95"/>
    <w:pPr>
      <w:spacing w:before="200"/>
      <w:outlineLvl w:val="2"/>
    </w:pPr>
  </w:style>
  <w:style w:type="paragraph" w:styleId="Heading4">
    <w:name w:val="heading 4"/>
    <w:basedOn w:val="Heading3"/>
    <w:next w:val="Normal"/>
    <w:qFormat/>
    <w:rsid w:val="00910B95"/>
    <w:pPr>
      <w:tabs>
        <w:tab w:val="clear" w:pos="794"/>
        <w:tab w:val="left" w:pos="992"/>
      </w:tabs>
      <w:ind w:left="992" w:hanging="992"/>
      <w:outlineLvl w:val="3"/>
    </w:pPr>
  </w:style>
  <w:style w:type="paragraph" w:styleId="Heading5">
    <w:name w:val="heading 5"/>
    <w:basedOn w:val="Heading4"/>
    <w:next w:val="Normal"/>
    <w:qFormat/>
    <w:rsid w:val="00910B95"/>
    <w:pPr>
      <w:outlineLvl w:val="4"/>
    </w:pPr>
  </w:style>
  <w:style w:type="paragraph" w:styleId="Heading6">
    <w:name w:val="heading 6"/>
    <w:basedOn w:val="Heading4"/>
    <w:next w:val="Normal"/>
    <w:qFormat/>
    <w:rsid w:val="00910B95"/>
    <w:pPr>
      <w:tabs>
        <w:tab w:val="clear" w:pos="992"/>
        <w:tab w:val="clear" w:pos="1191"/>
      </w:tabs>
      <w:ind w:left="1588" w:hanging="1588"/>
      <w:outlineLvl w:val="5"/>
    </w:pPr>
  </w:style>
  <w:style w:type="paragraph" w:styleId="Heading7">
    <w:name w:val="heading 7"/>
    <w:basedOn w:val="Heading6"/>
    <w:next w:val="Normal"/>
    <w:qFormat/>
    <w:rsid w:val="00910B95"/>
    <w:pPr>
      <w:outlineLvl w:val="6"/>
    </w:pPr>
  </w:style>
  <w:style w:type="paragraph" w:styleId="Heading8">
    <w:name w:val="heading 8"/>
    <w:basedOn w:val="Heading6"/>
    <w:next w:val="Normal"/>
    <w:qFormat/>
    <w:rsid w:val="00910B95"/>
    <w:pPr>
      <w:outlineLvl w:val="7"/>
    </w:pPr>
  </w:style>
  <w:style w:type="paragraph" w:styleId="Heading9">
    <w:name w:val="heading 9"/>
    <w:basedOn w:val="Heading6"/>
    <w:next w:val="Normal"/>
    <w:qFormat/>
    <w:rsid w:val="00910B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10B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10B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10B95"/>
  </w:style>
  <w:style w:type="paragraph" w:customStyle="1" w:styleId="Headingb">
    <w:name w:val="Heading_b"/>
    <w:basedOn w:val="Heading3"/>
    <w:next w:val="Normal"/>
    <w:rsid w:val="00910B95"/>
    <w:pPr>
      <w:spacing w:before="160"/>
      <w:ind w:left="0" w:firstLine="0"/>
      <w:outlineLvl w:val="9"/>
    </w:pPr>
  </w:style>
  <w:style w:type="paragraph" w:customStyle="1" w:styleId="Headingi">
    <w:name w:val="Heading_i"/>
    <w:basedOn w:val="Heading3"/>
    <w:next w:val="Normal"/>
    <w:rsid w:val="00910B95"/>
    <w:pPr>
      <w:spacing w:before="160"/>
      <w:ind w:left="0" w:firstLine="0"/>
    </w:pPr>
    <w:rPr>
      <w:b w:val="0"/>
      <w:i/>
    </w:rPr>
  </w:style>
  <w:style w:type="character" w:customStyle="1" w:styleId="href">
    <w:name w:val="href"/>
    <w:basedOn w:val="DefaultParagraphFont"/>
    <w:rsid w:val="00910B95"/>
  </w:style>
  <w:style w:type="paragraph" w:customStyle="1" w:styleId="enumlev1">
    <w:name w:val="enumlev1"/>
    <w:basedOn w:val="Normal"/>
    <w:rsid w:val="00910B95"/>
    <w:pPr>
      <w:spacing w:before="80"/>
      <w:ind w:left="794" w:hanging="794"/>
    </w:pPr>
  </w:style>
  <w:style w:type="paragraph" w:customStyle="1" w:styleId="enumlev2">
    <w:name w:val="enumlev2"/>
    <w:basedOn w:val="enumlev1"/>
    <w:rsid w:val="00910B95"/>
    <w:pPr>
      <w:ind w:left="1191" w:hanging="397"/>
    </w:pPr>
  </w:style>
  <w:style w:type="paragraph" w:customStyle="1" w:styleId="enumlev3">
    <w:name w:val="enumlev3"/>
    <w:basedOn w:val="enumlev2"/>
    <w:rsid w:val="00910B95"/>
    <w:pPr>
      <w:ind w:left="1588"/>
    </w:pPr>
  </w:style>
  <w:style w:type="paragraph" w:customStyle="1" w:styleId="Normalaftertitle">
    <w:name w:val="Normal_after_title"/>
    <w:basedOn w:val="Normal"/>
    <w:next w:val="Normal"/>
    <w:rsid w:val="00910B95"/>
    <w:pPr>
      <w:spacing w:before="320"/>
    </w:pPr>
  </w:style>
  <w:style w:type="paragraph" w:customStyle="1" w:styleId="Note">
    <w:name w:val="Note"/>
    <w:basedOn w:val="Normal"/>
    <w:rsid w:val="00910B9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10B9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10B95"/>
    <w:pPr>
      <w:keepNext/>
      <w:keepLines/>
      <w:spacing w:before="240"/>
      <w:jc w:val="center"/>
    </w:pPr>
    <w:rPr>
      <w:b/>
      <w:sz w:val="28"/>
    </w:rPr>
  </w:style>
  <w:style w:type="paragraph" w:customStyle="1" w:styleId="Recref">
    <w:name w:val="Rec_ref"/>
    <w:basedOn w:val="Normal"/>
    <w:next w:val="Recdate"/>
    <w:rsid w:val="00910B95"/>
    <w:pPr>
      <w:jc w:val="center"/>
    </w:pPr>
  </w:style>
  <w:style w:type="paragraph" w:customStyle="1" w:styleId="Recdate">
    <w:name w:val="Rec_date"/>
    <w:basedOn w:val="Recref"/>
    <w:next w:val="Normal"/>
    <w:rsid w:val="00910B95"/>
    <w:pPr>
      <w:jc w:val="right"/>
    </w:pPr>
  </w:style>
  <w:style w:type="paragraph" w:customStyle="1" w:styleId="HeadingSum">
    <w:name w:val="Heading_Sum"/>
    <w:basedOn w:val="Headingb"/>
    <w:next w:val="Normal"/>
    <w:rsid w:val="00910B95"/>
    <w:pPr>
      <w:spacing w:before="240"/>
    </w:pPr>
    <w:rPr>
      <w:sz w:val="22"/>
      <w:lang w:val="es-ES_tradnl"/>
    </w:rPr>
  </w:style>
  <w:style w:type="paragraph" w:customStyle="1" w:styleId="AnnexNoTitle">
    <w:name w:val="Annex_NoTitle"/>
    <w:basedOn w:val="Normal"/>
    <w:next w:val="Normalaftertitle"/>
    <w:rsid w:val="00F7629D"/>
    <w:pPr>
      <w:keepNext/>
      <w:keepLines/>
      <w:spacing w:before="480" w:after="80"/>
      <w:jc w:val="center"/>
      <w:outlineLvl w:val="0"/>
    </w:pPr>
    <w:rPr>
      <w:b/>
      <w:sz w:val="28"/>
    </w:rPr>
  </w:style>
  <w:style w:type="paragraph" w:customStyle="1" w:styleId="AppendixNoTitle">
    <w:name w:val="Appendix_NoTitle"/>
    <w:basedOn w:val="AnnexNoTitle"/>
    <w:next w:val="Normal"/>
    <w:rsid w:val="00910B95"/>
  </w:style>
  <w:style w:type="paragraph" w:customStyle="1" w:styleId="Tablefin">
    <w:name w:val="Table_fin"/>
    <w:basedOn w:val="Normal"/>
    <w:next w:val="Normal"/>
    <w:rsid w:val="00910B95"/>
    <w:pPr>
      <w:spacing w:before="0"/>
    </w:pPr>
    <w:rPr>
      <w:sz w:val="20"/>
      <w:lang w:val="en-GB"/>
    </w:rPr>
  </w:style>
  <w:style w:type="paragraph" w:customStyle="1" w:styleId="Tablehead">
    <w:name w:val="Table_head"/>
    <w:basedOn w:val="Normal"/>
    <w:next w:val="Normal"/>
    <w:rsid w:val="00910B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10B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10B95"/>
    <w:pPr>
      <w:keepNext/>
      <w:spacing w:before="360" w:after="120"/>
      <w:jc w:val="center"/>
    </w:pPr>
  </w:style>
  <w:style w:type="paragraph" w:customStyle="1" w:styleId="Tabletext">
    <w:name w:val="Table_text"/>
    <w:basedOn w:val="Normal"/>
    <w:rsid w:val="00910B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10B95"/>
    <w:pPr>
      <w:tabs>
        <w:tab w:val="clear" w:pos="1191"/>
        <w:tab w:val="clear" w:pos="1588"/>
        <w:tab w:val="clear" w:pos="1985"/>
        <w:tab w:val="center" w:pos="4820"/>
        <w:tab w:val="right" w:pos="9639"/>
      </w:tabs>
    </w:pPr>
  </w:style>
  <w:style w:type="paragraph" w:customStyle="1" w:styleId="Equationlegend">
    <w:name w:val="Equation_legend"/>
    <w:basedOn w:val="NormalIndent"/>
    <w:rsid w:val="00910B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10B95"/>
    <w:pPr>
      <w:ind w:left="794"/>
    </w:pPr>
  </w:style>
  <w:style w:type="paragraph" w:customStyle="1" w:styleId="Figurelegend">
    <w:name w:val="Figure_legend"/>
    <w:basedOn w:val="Normal"/>
    <w:rsid w:val="00910B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10B95"/>
    <w:pPr>
      <w:keepLines/>
      <w:spacing w:before="480" w:after="80"/>
      <w:jc w:val="center"/>
    </w:pPr>
    <w:rPr>
      <w:caps/>
      <w:sz w:val="18"/>
    </w:rPr>
  </w:style>
  <w:style w:type="paragraph" w:customStyle="1" w:styleId="Figuretitle">
    <w:name w:val="Figure_title"/>
    <w:basedOn w:val="Normal"/>
    <w:next w:val="Figure"/>
    <w:rsid w:val="00910B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910B95"/>
    <w:pPr>
      <w:spacing w:before="0" w:after="240"/>
    </w:pPr>
  </w:style>
  <w:style w:type="paragraph" w:customStyle="1" w:styleId="tocpart">
    <w:name w:val="tocpart"/>
    <w:basedOn w:val="Normal"/>
    <w:rsid w:val="00910B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10B95"/>
    <w:pPr>
      <w:keepNext/>
      <w:keepLines/>
      <w:spacing w:before="480"/>
      <w:jc w:val="center"/>
    </w:pPr>
    <w:rPr>
      <w:sz w:val="28"/>
    </w:rPr>
  </w:style>
  <w:style w:type="paragraph" w:customStyle="1" w:styleId="Arttitle">
    <w:name w:val="Art_title"/>
    <w:basedOn w:val="Normal"/>
    <w:next w:val="Normalaftertitle"/>
    <w:rsid w:val="00910B95"/>
    <w:pPr>
      <w:keepNext/>
      <w:keepLines/>
      <w:spacing w:before="240"/>
      <w:jc w:val="center"/>
    </w:pPr>
    <w:rPr>
      <w:b/>
      <w:sz w:val="28"/>
    </w:rPr>
  </w:style>
  <w:style w:type="paragraph" w:customStyle="1" w:styleId="Blanc">
    <w:name w:val="Blanc"/>
    <w:basedOn w:val="Normal"/>
    <w:next w:val="Tabletext"/>
    <w:rsid w:val="00910B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10B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10B95"/>
    <w:pPr>
      <w:keepNext/>
      <w:keepLines/>
      <w:spacing w:before="160"/>
      <w:ind w:left="794"/>
    </w:pPr>
    <w:rPr>
      <w:i/>
    </w:rPr>
  </w:style>
  <w:style w:type="paragraph" w:customStyle="1" w:styleId="ChapNo">
    <w:name w:val="Chap_No"/>
    <w:basedOn w:val="ArtNo"/>
    <w:next w:val="Chaptitle"/>
    <w:rsid w:val="00910B95"/>
    <w:rPr>
      <w:b/>
    </w:rPr>
  </w:style>
  <w:style w:type="paragraph" w:customStyle="1" w:styleId="Chaptitle">
    <w:name w:val="Chap_title"/>
    <w:basedOn w:val="Arttitle"/>
    <w:next w:val="Normalaftertitle"/>
    <w:rsid w:val="00910B95"/>
  </w:style>
  <w:style w:type="character" w:styleId="FootnoteReference">
    <w:name w:val="footnote reference"/>
    <w:semiHidden/>
    <w:rsid w:val="00910B95"/>
    <w:rPr>
      <w:position w:val="6"/>
      <w:sz w:val="18"/>
    </w:rPr>
  </w:style>
  <w:style w:type="paragraph" w:styleId="FootnoteText">
    <w:name w:val="footnote text"/>
    <w:basedOn w:val="Normal"/>
    <w:semiHidden/>
    <w:rsid w:val="00910B95"/>
    <w:pPr>
      <w:keepLines/>
      <w:tabs>
        <w:tab w:val="left" w:pos="255"/>
      </w:tabs>
      <w:ind w:left="255" w:hanging="255"/>
    </w:pPr>
    <w:rPr>
      <w:sz w:val="22"/>
    </w:rPr>
  </w:style>
  <w:style w:type="paragraph" w:styleId="Index1">
    <w:name w:val="index 1"/>
    <w:basedOn w:val="Normal"/>
    <w:next w:val="Normal"/>
    <w:semiHidden/>
    <w:rsid w:val="00910B95"/>
  </w:style>
  <w:style w:type="paragraph" w:styleId="Index2">
    <w:name w:val="index 2"/>
    <w:basedOn w:val="Normal"/>
    <w:next w:val="Normal"/>
    <w:semiHidden/>
    <w:rsid w:val="00910B95"/>
    <w:pPr>
      <w:ind w:left="283"/>
    </w:pPr>
  </w:style>
  <w:style w:type="paragraph" w:styleId="Index3">
    <w:name w:val="index 3"/>
    <w:basedOn w:val="Normal"/>
    <w:next w:val="Normal"/>
    <w:semiHidden/>
    <w:rsid w:val="00910B95"/>
    <w:pPr>
      <w:ind w:left="566"/>
    </w:pPr>
  </w:style>
  <w:style w:type="paragraph" w:styleId="IndexHeading">
    <w:name w:val="index heading"/>
    <w:basedOn w:val="Normal"/>
    <w:next w:val="Index1"/>
    <w:semiHidden/>
    <w:rsid w:val="00910B95"/>
  </w:style>
  <w:style w:type="paragraph" w:customStyle="1" w:styleId="Line">
    <w:name w:val="Line"/>
    <w:basedOn w:val="Normal"/>
    <w:next w:val="Normal"/>
    <w:rsid w:val="00910B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10B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10B95"/>
  </w:style>
  <w:style w:type="paragraph" w:customStyle="1" w:styleId="Partref">
    <w:name w:val="Part_ref"/>
    <w:basedOn w:val="Normal"/>
    <w:next w:val="Normal"/>
    <w:rsid w:val="00910B95"/>
    <w:pPr>
      <w:keepNext/>
      <w:keepLines/>
      <w:spacing w:after="280"/>
      <w:jc w:val="center"/>
    </w:pPr>
  </w:style>
  <w:style w:type="paragraph" w:customStyle="1" w:styleId="Parttitle">
    <w:name w:val="Part_title"/>
    <w:basedOn w:val="Normal"/>
    <w:next w:val="Normalaftertitle"/>
    <w:rsid w:val="00910B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10B95"/>
  </w:style>
  <w:style w:type="paragraph" w:customStyle="1" w:styleId="QuestionNo">
    <w:name w:val="Question_No"/>
    <w:basedOn w:val="RecNo"/>
    <w:next w:val="Normal"/>
    <w:rsid w:val="00910B95"/>
  </w:style>
  <w:style w:type="paragraph" w:customStyle="1" w:styleId="Questionref">
    <w:name w:val="Question_ref"/>
    <w:basedOn w:val="Recref"/>
    <w:next w:val="Questiondate"/>
    <w:rsid w:val="00910B95"/>
  </w:style>
  <w:style w:type="paragraph" w:customStyle="1" w:styleId="Questiontitle">
    <w:name w:val="Question_title"/>
    <w:basedOn w:val="Normal"/>
    <w:next w:val="Questionref"/>
    <w:rsid w:val="00910B95"/>
  </w:style>
  <w:style w:type="paragraph" w:customStyle="1" w:styleId="Reftext">
    <w:name w:val="Ref_text"/>
    <w:basedOn w:val="Normal"/>
    <w:rsid w:val="00910B95"/>
    <w:pPr>
      <w:ind w:left="794" w:hanging="794"/>
    </w:pPr>
    <w:rPr>
      <w:sz w:val="22"/>
    </w:rPr>
  </w:style>
  <w:style w:type="paragraph" w:customStyle="1" w:styleId="Reftitle">
    <w:name w:val="Ref_title"/>
    <w:basedOn w:val="Normal"/>
    <w:next w:val="Reftext"/>
    <w:rsid w:val="00910B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10B95"/>
  </w:style>
  <w:style w:type="paragraph" w:customStyle="1" w:styleId="RepNo">
    <w:name w:val="Rep_No"/>
    <w:basedOn w:val="RecNo"/>
    <w:next w:val="Reptitle"/>
    <w:rsid w:val="00910B95"/>
  </w:style>
  <w:style w:type="paragraph" w:customStyle="1" w:styleId="Reptitle">
    <w:name w:val="Rep_title"/>
    <w:basedOn w:val="Rectitle"/>
    <w:next w:val="Repref"/>
    <w:rsid w:val="00910B95"/>
  </w:style>
  <w:style w:type="paragraph" w:customStyle="1" w:styleId="Repref">
    <w:name w:val="Rep_ref"/>
    <w:basedOn w:val="Recref"/>
    <w:next w:val="Repdate"/>
    <w:rsid w:val="00910B95"/>
  </w:style>
  <w:style w:type="paragraph" w:customStyle="1" w:styleId="Resdate">
    <w:name w:val="Res_date"/>
    <w:basedOn w:val="Recdate"/>
    <w:next w:val="Normalaftertitle"/>
    <w:rsid w:val="00910B95"/>
  </w:style>
  <w:style w:type="paragraph" w:customStyle="1" w:styleId="ResNo">
    <w:name w:val="Res_No"/>
    <w:basedOn w:val="RecNo"/>
    <w:next w:val="Normal"/>
    <w:rsid w:val="00910B95"/>
  </w:style>
  <w:style w:type="paragraph" w:customStyle="1" w:styleId="Resref">
    <w:name w:val="Res_ref"/>
    <w:basedOn w:val="Recref"/>
    <w:next w:val="Resdate"/>
    <w:rsid w:val="00910B95"/>
  </w:style>
  <w:style w:type="paragraph" w:customStyle="1" w:styleId="Restitle">
    <w:name w:val="Res_title"/>
    <w:basedOn w:val="Normal"/>
    <w:next w:val="Resref"/>
    <w:rsid w:val="00910B95"/>
  </w:style>
  <w:style w:type="paragraph" w:customStyle="1" w:styleId="SectionNo">
    <w:name w:val="Section_No"/>
    <w:basedOn w:val="Normal"/>
    <w:next w:val="Normal"/>
    <w:rsid w:val="00910B95"/>
  </w:style>
  <w:style w:type="paragraph" w:customStyle="1" w:styleId="Sectiontitle">
    <w:name w:val="Section_title"/>
    <w:basedOn w:val="Normal"/>
    <w:next w:val="Normalaftertitle"/>
    <w:rsid w:val="00910B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10B95"/>
    <w:pPr>
      <w:tabs>
        <w:tab w:val="clear" w:pos="794"/>
        <w:tab w:val="clear" w:pos="1191"/>
        <w:tab w:val="clear" w:pos="1588"/>
        <w:tab w:val="clear" w:pos="1985"/>
        <w:tab w:val="right" w:pos="9611"/>
      </w:tabs>
    </w:pPr>
    <w:rPr>
      <w:i/>
    </w:rPr>
  </w:style>
  <w:style w:type="paragraph" w:styleId="TOC1">
    <w:name w:val="toc 1"/>
    <w:basedOn w:val="Normal"/>
    <w:semiHidden/>
    <w:rsid w:val="00910B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10B95"/>
    <w:pPr>
      <w:tabs>
        <w:tab w:val="clear" w:pos="567"/>
        <w:tab w:val="left" w:pos="1276"/>
      </w:tabs>
      <w:spacing w:before="160"/>
      <w:ind w:left="1276" w:hanging="709"/>
    </w:pPr>
  </w:style>
  <w:style w:type="paragraph" w:styleId="TOC3">
    <w:name w:val="toc 3"/>
    <w:basedOn w:val="TOC2"/>
    <w:semiHidden/>
    <w:rsid w:val="00910B95"/>
    <w:pPr>
      <w:tabs>
        <w:tab w:val="clear" w:pos="1276"/>
        <w:tab w:val="left" w:pos="2155"/>
      </w:tabs>
      <w:ind w:left="2155" w:hanging="879"/>
    </w:pPr>
  </w:style>
  <w:style w:type="paragraph" w:styleId="TOC4">
    <w:name w:val="toc 4"/>
    <w:basedOn w:val="TOC3"/>
    <w:semiHidden/>
    <w:rsid w:val="00910B95"/>
    <w:pPr>
      <w:tabs>
        <w:tab w:val="left" w:pos="3261"/>
      </w:tabs>
      <w:spacing w:before="80"/>
      <w:ind w:left="3261" w:hanging="993"/>
    </w:pPr>
  </w:style>
  <w:style w:type="paragraph" w:styleId="TOC5">
    <w:name w:val="toc 5"/>
    <w:basedOn w:val="TOC4"/>
    <w:semiHidden/>
    <w:rsid w:val="00910B95"/>
  </w:style>
  <w:style w:type="paragraph" w:styleId="TOC6">
    <w:name w:val="toc 6"/>
    <w:basedOn w:val="TOC4"/>
    <w:semiHidden/>
    <w:rsid w:val="00910B95"/>
  </w:style>
  <w:style w:type="paragraph" w:styleId="TOC7">
    <w:name w:val="toc 7"/>
    <w:basedOn w:val="TOC4"/>
    <w:semiHidden/>
    <w:rsid w:val="00910B95"/>
  </w:style>
  <w:style w:type="paragraph" w:styleId="TOC8">
    <w:name w:val="toc 8"/>
    <w:basedOn w:val="TOC4"/>
    <w:semiHidden/>
    <w:rsid w:val="00910B95"/>
  </w:style>
  <w:style w:type="paragraph" w:customStyle="1" w:styleId="Annexref">
    <w:name w:val="Annex_ref"/>
    <w:basedOn w:val="Normal"/>
    <w:next w:val="Normalaftertitle"/>
    <w:rsid w:val="00910B95"/>
    <w:pPr>
      <w:keepNext/>
      <w:keepLines/>
      <w:spacing w:after="280"/>
      <w:jc w:val="center"/>
    </w:pPr>
  </w:style>
  <w:style w:type="paragraph" w:customStyle="1" w:styleId="Appendixref">
    <w:name w:val="Appendix_ref"/>
    <w:basedOn w:val="Annexref"/>
    <w:next w:val="Normalaftertitle"/>
    <w:rsid w:val="00910B95"/>
  </w:style>
  <w:style w:type="paragraph" w:customStyle="1" w:styleId="Tabletitle">
    <w:name w:val="Table_title"/>
    <w:basedOn w:val="Normal"/>
    <w:next w:val="Tablehead"/>
    <w:rsid w:val="00910B95"/>
    <w:pPr>
      <w:keepNext/>
      <w:spacing w:before="0" w:after="120"/>
      <w:jc w:val="center"/>
    </w:pPr>
    <w:rPr>
      <w:b/>
    </w:rPr>
  </w:style>
  <w:style w:type="paragraph" w:customStyle="1" w:styleId="Summary">
    <w:name w:val="Summary"/>
    <w:basedOn w:val="Normal"/>
    <w:next w:val="Normalaftertitle"/>
    <w:rsid w:val="00910B95"/>
    <w:pPr>
      <w:spacing w:after="480"/>
    </w:pPr>
    <w:rPr>
      <w:sz w:val="22"/>
      <w:lang w:val="es-ES_tradnl"/>
    </w:rPr>
  </w:style>
  <w:style w:type="character" w:styleId="Hyperlink">
    <w:name w:val="Hyperlink"/>
    <w:rsid w:val="00BA751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2E357-ADA2-46F2-834E-082D4D571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59</TotalTime>
  <Pages>20</Pages>
  <Words>5967</Words>
  <Characters>32512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5.10.06      SP_x000d_
1ère épreuve              18.10.06      SP_x000d_
2è épreuve                  25.10.06      SP</dc:description>
  <cp:lastModifiedBy>Gachet, Christelle</cp:lastModifiedBy>
  <cp:revision>8</cp:revision>
  <cp:lastPrinted>2005-02-10T15:54:00Z</cp:lastPrinted>
  <dcterms:created xsi:type="dcterms:W3CDTF">2017-12-07T15:11:00Z</dcterms:created>
  <dcterms:modified xsi:type="dcterms:W3CDTF">2017-12-08T07:50:00Z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