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7F34" w14:textId="77777777" w:rsidR="00FF4CB2" w:rsidRDefault="00FF4CB2" w:rsidP="00FF4CB2"/>
    <w:p w14:paraId="6B54EFF7" w14:textId="77777777" w:rsidR="00FF4CB2" w:rsidRDefault="00FF4CB2" w:rsidP="00FF4CB2">
      <w:pPr>
        <w:tabs>
          <w:tab w:val="clear" w:pos="794"/>
          <w:tab w:val="clear" w:pos="1191"/>
          <w:tab w:val="clear" w:pos="1588"/>
          <w:tab w:val="clear" w:pos="1985"/>
        </w:tabs>
      </w:pPr>
    </w:p>
    <w:p w14:paraId="3486BD29" w14:textId="17A04D69" w:rsidR="00FF4CB2" w:rsidRPr="000C3696" w:rsidRDefault="00FF4CB2" w:rsidP="00FF4CB2">
      <w:pPr>
        <w:pStyle w:val="CoverNumber"/>
        <w:rPr>
          <w:lang w:val="en-GB"/>
        </w:rPr>
      </w:pPr>
      <w:r w:rsidRPr="000C3696">
        <w:rPr>
          <w:lang w:val="en-GB"/>
        </w:rPr>
        <w:t>Recommendation ITU-R F.1763-2</w:t>
      </w:r>
    </w:p>
    <w:p w14:paraId="30138D0F" w14:textId="2BEFCD39" w:rsidR="00FF4CB2" w:rsidRPr="00FF4CB2" w:rsidRDefault="00FF4CB2" w:rsidP="00FF4CB2">
      <w:pPr>
        <w:pStyle w:val="CoverDate"/>
        <w:rPr>
          <w:lang w:val="en-GB"/>
        </w:rPr>
      </w:pPr>
      <w:r w:rsidRPr="00FF4CB2">
        <w:rPr>
          <w:lang w:val="en-GB"/>
        </w:rPr>
        <w:t>(02/2026)</w:t>
      </w:r>
    </w:p>
    <w:p w14:paraId="79175701" w14:textId="77777777" w:rsidR="00FF4CB2" w:rsidRPr="004A6FEB" w:rsidRDefault="00FF4CB2" w:rsidP="00FF4CB2">
      <w:pPr>
        <w:pStyle w:val="CoverSeries"/>
      </w:pPr>
      <w:r>
        <w:t>F</w:t>
      </w:r>
      <w:r w:rsidRPr="00146733">
        <w:t xml:space="preserve"> Series: </w:t>
      </w:r>
      <w:r w:rsidRPr="009C71B9">
        <w:rPr>
          <w:lang w:val="en-GB"/>
        </w:rPr>
        <w:t>Fixed service</w:t>
      </w:r>
    </w:p>
    <w:p w14:paraId="0F71CA69" w14:textId="2A55DDE9" w:rsidR="00FF4CB2" w:rsidRPr="004A6FEB" w:rsidRDefault="00FF4CB2" w:rsidP="00FF4CB2">
      <w:pPr>
        <w:pStyle w:val="CoverTitle"/>
      </w:pPr>
      <w:r w:rsidRPr="00FF4CB2">
        <w:rPr>
          <w:lang w:val="en-GB"/>
        </w:rPr>
        <w:t>Radio interface standards for broadband wireless access systems</w:t>
      </w:r>
      <w:r>
        <w:rPr>
          <w:lang w:val="en-GB"/>
        </w:rPr>
        <w:t xml:space="preserve"> </w:t>
      </w:r>
      <w:r w:rsidRPr="00FF4CB2">
        <w:rPr>
          <w:lang w:val="en-GB"/>
        </w:rPr>
        <w:t>in the fixed service operating below 66</w:t>
      </w:r>
      <w:r>
        <w:rPr>
          <w:lang w:val="en-GB"/>
        </w:rPr>
        <w:t> </w:t>
      </w:r>
      <w:r w:rsidRPr="00FF4CB2">
        <w:rPr>
          <w:lang w:val="en-GB"/>
        </w:rPr>
        <w:t>GHz</w:t>
      </w:r>
    </w:p>
    <w:p w14:paraId="1B6EDA2A" w14:textId="77777777" w:rsidR="00FF4CB2" w:rsidRPr="005373E0" w:rsidRDefault="00FF4CB2" w:rsidP="00FF4CB2">
      <w:pPr>
        <w:rPr>
          <w:lang w:val="en-US"/>
        </w:rPr>
      </w:pPr>
    </w:p>
    <w:p w14:paraId="06B443B2" w14:textId="77777777" w:rsidR="00FF4CB2" w:rsidRPr="005373E0" w:rsidRDefault="00FF4CB2" w:rsidP="00FF4CB2"/>
    <w:p w14:paraId="4C95AD40" w14:textId="77777777" w:rsidR="00FF4CB2" w:rsidRPr="005373E0" w:rsidRDefault="00FF4CB2" w:rsidP="00FF4CB2">
      <w:pPr>
        <w:sectPr w:rsidR="00FF4CB2" w:rsidRPr="005373E0" w:rsidSect="00FF4CB2">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252442D3" w14:textId="77777777" w:rsidR="00FF4CB2" w:rsidRPr="00586EF8" w:rsidRDefault="00FF4CB2" w:rsidP="00FF4CB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7B245292" w14:textId="77777777" w:rsidR="00FF4CB2" w:rsidRDefault="00FF4CB2" w:rsidP="00FF4CB2">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3B80948A" w14:textId="77777777" w:rsidR="00FF4CB2" w:rsidRDefault="00FF4CB2" w:rsidP="00FF4CB2">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4ECF4261" w14:textId="77777777" w:rsidR="00FF4CB2" w:rsidRPr="00B714F3" w:rsidRDefault="00FF4CB2" w:rsidP="00FF4CB2">
      <w:pPr>
        <w:pStyle w:val="Heading1"/>
        <w:spacing w:before="680"/>
        <w:jc w:val="center"/>
        <w:rPr>
          <w:szCs w:val="24"/>
          <w:lang w:val="en-US"/>
        </w:rPr>
      </w:pPr>
      <w:r w:rsidRPr="00B714F3">
        <w:rPr>
          <w:szCs w:val="24"/>
          <w:lang w:val="en-US"/>
        </w:rPr>
        <w:t>INTELLECTUAL PROPERTY RIGHT</w:t>
      </w:r>
      <w:r>
        <w:rPr>
          <w:szCs w:val="24"/>
          <w:lang w:val="en-US"/>
        </w:rPr>
        <w:t>S</w:t>
      </w:r>
    </w:p>
    <w:p w14:paraId="003271B0" w14:textId="77777777" w:rsidR="00FF4CB2" w:rsidRPr="00FE1B04" w:rsidRDefault="00FF4CB2" w:rsidP="00FF4CB2">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2A401660" w14:textId="77777777" w:rsidR="00FF4CB2" w:rsidRPr="00B714F3" w:rsidRDefault="00FF4CB2" w:rsidP="00FF4CB2">
      <w:pPr>
        <w:tabs>
          <w:tab w:val="clear" w:pos="794"/>
          <w:tab w:val="clear" w:pos="1191"/>
          <w:tab w:val="clear" w:pos="1588"/>
          <w:tab w:val="clear" w:pos="1985"/>
        </w:tabs>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9" w:history="1">
        <w:r w:rsidRPr="00FE1B04">
          <w:rPr>
            <w:color w:val="0000FF"/>
            <w:sz w:val="20"/>
            <w:u w:val="single"/>
            <w:lang w:val="en-US"/>
          </w:rPr>
          <w:t>https://www.itu.int/en/ITU-R/study-groups/Pages/itu-r-patent-information.aspx</w:t>
        </w:r>
      </w:hyperlink>
      <w:r w:rsidRPr="00B714F3">
        <w:rPr>
          <w:sz w:val="20"/>
          <w:lang w:val="en-US"/>
        </w:rPr>
        <w:t>.</w:t>
      </w:r>
    </w:p>
    <w:p w14:paraId="77A72582" w14:textId="77777777" w:rsidR="00FF4CB2" w:rsidRDefault="00FF4CB2" w:rsidP="00FF4CB2">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FF4CB2" w:rsidRPr="005F7CD0" w14:paraId="5A9AFAAB" w14:textId="77777777" w:rsidTr="00AD19F2">
        <w:tc>
          <w:tcPr>
            <w:tcW w:w="9360" w:type="dxa"/>
            <w:gridSpan w:val="2"/>
          </w:tcPr>
          <w:p w14:paraId="6256E323" w14:textId="77777777" w:rsidR="00FF4CB2" w:rsidRPr="00036EE3" w:rsidRDefault="00FF4CB2" w:rsidP="00AD19F2">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3A5499BF" w14:textId="77777777" w:rsidR="00FF4CB2" w:rsidRPr="00036EE3" w:rsidRDefault="00FF4CB2"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Pr>
                  <w:rStyle w:val="Hyperlink"/>
                  <w:b w:val="0"/>
                  <w:sz w:val="18"/>
                  <w:szCs w:val="18"/>
                  <w:lang w:val="en-US"/>
                </w:rPr>
                <w:t>https://www.itu.int/publ/R-REC/en</w:t>
              </w:r>
            </w:hyperlink>
            <w:r w:rsidRPr="00CE0A43">
              <w:rPr>
                <w:b w:val="0"/>
                <w:sz w:val="18"/>
                <w:szCs w:val="18"/>
                <w:lang w:val="en-US"/>
              </w:rPr>
              <w:t>)</w:t>
            </w:r>
          </w:p>
        </w:tc>
      </w:tr>
      <w:tr w:rsidR="00FF4CB2" w:rsidRPr="00036EE3" w14:paraId="53520DCF" w14:textId="77777777" w:rsidTr="00AD19F2">
        <w:tc>
          <w:tcPr>
            <w:tcW w:w="1140" w:type="dxa"/>
            <w:tcBorders>
              <w:bottom w:val="nil"/>
            </w:tcBorders>
            <w:vAlign w:val="bottom"/>
          </w:tcPr>
          <w:p w14:paraId="068F5A80" w14:textId="77777777" w:rsidR="00FF4CB2" w:rsidRPr="00036EE3" w:rsidRDefault="00FF4CB2" w:rsidP="00AD19F2">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448F94F3" w14:textId="77777777" w:rsidR="00FF4CB2" w:rsidRPr="00036EE3" w:rsidRDefault="00FF4CB2"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FF4CB2" w:rsidRPr="00A4173A" w14:paraId="2080A399" w14:textId="77777777" w:rsidTr="00AD19F2">
        <w:tc>
          <w:tcPr>
            <w:tcW w:w="1140" w:type="dxa"/>
            <w:tcBorders>
              <w:top w:val="nil"/>
              <w:bottom w:val="nil"/>
            </w:tcBorders>
          </w:tcPr>
          <w:p w14:paraId="0DE8AEBF" w14:textId="77777777" w:rsidR="00FF4CB2" w:rsidRPr="00A4173A" w:rsidRDefault="00FF4CB2" w:rsidP="00AD19F2">
            <w:pPr>
              <w:spacing w:before="30" w:after="30"/>
              <w:ind w:left="57"/>
              <w:jc w:val="left"/>
              <w:rPr>
                <w:b/>
                <w:sz w:val="20"/>
                <w:lang w:val="en-US"/>
              </w:rPr>
            </w:pPr>
            <w:r w:rsidRPr="00A4173A">
              <w:rPr>
                <w:b/>
                <w:sz w:val="20"/>
                <w:lang w:val="en-US"/>
              </w:rPr>
              <w:t>BO</w:t>
            </w:r>
          </w:p>
        </w:tc>
        <w:tc>
          <w:tcPr>
            <w:tcW w:w="8220" w:type="dxa"/>
            <w:tcBorders>
              <w:top w:val="nil"/>
              <w:bottom w:val="nil"/>
            </w:tcBorders>
          </w:tcPr>
          <w:p w14:paraId="3284821F" w14:textId="77777777" w:rsidR="00FF4CB2" w:rsidRPr="00A4173A" w:rsidRDefault="00FF4CB2"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A4173A">
              <w:rPr>
                <w:b w:val="0"/>
                <w:bCs/>
                <w:sz w:val="20"/>
                <w:lang w:val="en-US"/>
              </w:rPr>
              <w:t>Satellite delivery</w:t>
            </w:r>
          </w:p>
        </w:tc>
      </w:tr>
      <w:tr w:rsidR="00FF4CB2" w:rsidRPr="005F7CD0" w14:paraId="1F2D3EEB" w14:textId="77777777" w:rsidTr="00AD19F2">
        <w:tc>
          <w:tcPr>
            <w:tcW w:w="1140" w:type="dxa"/>
            <w:tcBorders>
              <w:top w:val="nil"/>
            </w:tcBorders>
          </w:tcPr>
          <w:p w14:paraId="0210F13D" w14:textId="77777777" w:rsidR="00FF4CB2" w:rsidRPr="00036EE3" w:rsidRDefault="00FF4CB2" w:rsidP="00AD19F2">
            <w:pPr>
              <w:spacing w:before="30" w:after="30"/>
              <w:ind w:left="57"/>
              <w:jc w:val="left"/>
              <w:rPr>
                <w:b/>
                <w:bCs/>
                <w:sz w:val="20"/>
                <w:lang w:val="en-US"/>
              </w:rPr>
            </w:pPr>
            <w:r w:rsidRPr="00036EE3">
              <w:rPr>
                <w:b/>
                <w:bCs/>
                <w:sz w:val="20"/>
                <w:lang w:val="en-US"/>
              </w:rPr>
              <w:t>BR</w:t>
            </w:r>
          </w:p>
        </w:tc>
        <w:tc>
          <w:tcPr>
            <w:tcW w:w="8220" w:type="dxa"/>
            <w:tcBorders>
              <w:top w:val="nil"/>
            </w:tcBorders>
          </w:tcPr>
          <w:p w14:paraId="5F035DAA" w14:textId="77777777" w:rsidR="00FF4CB2" w:rsidRPr="00036EE3" w:rsidRDefault="00FF4CB2"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FF4CB2" w:rsidRPr="00B76D85" w14:paraId="1379CBE4" w14:textId="77777777" w:rsidTr="00AD19F2">
        <w:tc>
          <w:tcPr>
            <w:tcW w:w="1140" w:type="dxa"/>
            <w:shd w:val="clear" w:color="auto" w:fill="FFFFFF" w:themeFill="background1"/>
          </w:tcPr>
          <w:p w14:paraId="25D38707" w14:textId="77777777" w:rsidR="00FF4CB2" w:rsidRPr="00192E38" w:rsidRDefault="00FF4CB2" w:rsidP="00AD19F2">
            <w:pPr>
              <w:spacing w:before="30" w:after="30"/>
              <w:ind w:left="57"/>
              <w:jc w:val="left"/>
              <w:rPr>
                <w:b/>
                <w:bCs/>
                <w:sz w:val="20"/>
                <w:lang w:val="en-US"/>
              </w:rPr>
            </w:pPr>
            <w:r w:rsidRPr="00192E38">
              <w:rPr>
                <w:b/>
                <w:bCs/>
                <w:sz w:val="20"/>
                <w:lang w:val="en-US"/>
              </w:rPr>
              <w:t>BS</w:t>
            </w:r>
          </w:p>
        </w:tc>
        <w:tc>
          <w:tcPr>
            <w:tcW w:w="8220" w:type="dxa"/>
            <w:shd w:val="clear" w:color="auto" w:fill="FFFFFF" w:themeFill="background1"/>
          </w:tcPr>
          <w:p w14:paraId="3EEFE039" w14:textId="77777777" w:rsidR="00FF4CB2" w:rsidRPr="00192E38" w:rsidRDefault="00FF4CB2"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192E38">
              <w:rPr>
                <w:sz w:val="20"/>
                <w:lang w:val="fr-CH"/>
              </w:rPr>
              <w:t>Broadcasting service (</w:t>
            </w:r>
            <w:proofErr w:type="spellStart"/>
            <w:r w:rsidRPr="00192E38">
              <w:rPr>
                <w:sz w:val="20"/>
                <w:lang w:val="fr-CH"/>
              </w:rPr>
              <w:t>sound</w:t>
            </w:r>
            <w:proofErr w:type="spellEnd"/>
            <w:r w:rsidRPr="00192E38">
              <w:rPr>
                <w:sz w:val="20"/>
                <w:lang w:val="fr-CH"/>
              </w:rPr>
              <w:t>)</w:t>
            </w:r>
          </w:p>
        </w:tc>
      </w:tr>
      <w:tr w:rsidR="00FF4CB2" w:rsidRPr="00ED2695" w14:paraId="2BB62635" w14:textId="77777777" w:rsidTr="00AD19F2">
        <w:tc>
          <w:tcPr>
            <w:tcW w:w="1140" w:type="dxa"/>
            <w:shd w:val="clear" w:color="auto" w:fill="FFFFFF" w:themeFill="background1"/>
          </w:tcPr>
          <w:p w14:paraId="428FB3DC" w14:textId="77777777" w:rsidR="00FF4CB2" w:rsidRPr="00E040CD" w:rsidRDefault="00FF4CB2" w:rsidP="00AD19F2">
            <w:pPr>
              <w:spacing w:before="30" w:after="30"/>
              <w:ind w:left="57"/>
              <w:jc w:val="left"/>
              <w:rPr>
                <w:b/>
                <w:bCs/>
                <w:sz w:val="20"/>
                <w:lang w:val="en-US"/>
              </w:rPr>
            </w:pPr>
            <w:r w:rsidRPr="00E040CD">
              <w:rPr>
                <w:b/>
                <w:bCs/>
                <w:sz w:val="20"/>
                <w:lang w:val="en-US"/>
              </w:rPr>
              <w:t>BT</w:t>
            </w:r>
          </w:p>
        </w:tc>
        <w:tc>
          <w:tcPr>
            <w:tcW w:w="8220" w:type="dxa"/>
            <w:shd w:val="clear" w:color="auto" w:fill="FFFFFF" w:themeFill="background1"/>
          </w:tcPr>
          <w:p w14:paraId="1DF3C415" w14:textId="77777777" w:rsidR="00FF4CB2" w:rsidRPr="00E040CD" w:rsidRDefault="00FF4CB2"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040CD">
              <w:rPr>
                <w:b w:val="0"/>
                <w:sz w:val="20"/>
                <w:lang w:val="en-US"/>
              </w:rPr>
              <w:t>Broadcasting service (television)</w:t>
            </w:r>
          </w:p>
        </w:tc>
      </w:tr>
      <w:tr w:rsidR="00FF4CB2" w:rsidRPr="00036EE3" w14:paraId="4D16890E" w14:textId="77777777" w:rsidTr="00AD19F2">
        <w:tc>
          <w:tcPr>
            <w:tcW w:w="1140" w:type="dxa"/>
            <w:shd w:val="clear" w:color="auto" w:fill="F2F2F2" w:themeFill="background1" w:themeFillShade="F2"/>
          </w:tcPr>
          <w:p w14:paraId="05E48B29" w14:textId="77777777" w:rsidR="00FF4CB2" w:rsidRPr="00E040CD" w:rsidRDefault="00FF4CB2" w:rsidP="00AD19F2">
            <w:pPr>
              <w:spacing w:before="30" w:after="30"/>
              <w:ind w:left="57"/>
              <w:jc w:val="left"/>
              <w:rPr>
                <w:b/>
                <w:bCs/>
                <w:color w:val="000080"/>
                <w:sz w:val="20"/>
                <w:lang w:val="en-US"/>
              </w:rPr>
            </w:pPr>
            <w:r w:rsidRPr="00E040CD">
              <w:rPr>
                <w:b/>
                <w:bCs/>
                <w:color w:val="000080"/>
                <w:sz w:val="20"/>
                <w:lang w:val="en-US"/>
              </w:rPr>
              <w:t>F</w:t>
            </w:r>
          </w:p>
        </w:tc>
        <w:tc>
          <w:tcPr>
            <w:tcW w:w="8220" w:type="dxa"/>
            <w:shd w:val="clear" w:color="auto" w:fill="F2F2F2" w:themeFill="background1" w:themeFillShade="F2"/>
          </w:tcPr>
          <w:p w14:paraId="2BBB5772" w14:textId="77777777" w:rsidR="00FF4CB2" w:rsidRPr="00E040CD" w:rsidRDefault="00FF4CB2"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en-US"/>
              </w:rPr>
            </w:pPr>
            <w:r w:rsidRPr="00E040CD">
              <w:rPr>
                <w:b/>
                <w:bCs/>
                <w:color w:val="000080"/>
                <w:sz w:val="20"/>
                <w:lang w:val="en-US"/>
              </w:rPr>
              <w:t>Fixed service</w:t>
            </w:r>
          </w:p>
        </w:tc>
      </w:tr>
      <w:tr w:rsidR="00FF4CB2" w:rsidRPr="00036EE3" w14:paraId="3E6EB3B3" w14:textId="77777777" w:rsidTr="00AD19F2">
        <w:tc>
          <w:tcPr>
            <w:tcW w:w="1140" w:type="dxa"/>
          </w:tcPr>
          <w:p w14:paraId="7494B35A" w14:textId="77777777" w:rsidR="00FF4CB2" w:rsidRPr="00906589" w:rsidRDefault="00FF4CB2" w:rsidP="00AD19F2">
            <w:pPr>
              <w:spacing w:before="30" w:after="30"/>
              <w:ind w:left="57"/>
              <w:jc w:val="left"/>
              <w:rPr>
                <w:b/>
                <w:bCs/>
                <w:sz w:val="20"/>
                <w:lang w:val="en-US"/>
              </w:rPr>
            </w:pPr>
            <w:r w:rsidRPr="00906589">
              <w:rPr>
                <w:b/>
                <w:bCs/>
                <w:sz w:val="20"/>
                <w:lang w:val="en-US"/>
              </w:rPr>
              <w:t>M</w:t>
            </w:r>
          </w:p>
        </w:tc>
        <w:tc>
          <w:tcPr>
            <w:tcW w:w="8220" w:type="dxa"/>
          </w:tcPr>
          <w:p w14:paraId="07B178AA" w14:textId="77777777" w:rsidR="00FF4CB2" w:rsidRPr="00906589" w:rsidRDefault="00FF4CB2"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FF4CB2" w:rsidRPr="00036EE3" w14:paraId="7520A652" w14:textId="77777777" w:rsidTr="00AD19F2">
        <w:tc>
          <w:tcPr>
            <w:tcW w:w="1140" w:type="dxa"/>
          </w:tcPr>
          <w:p w14:paraId="37F0BEBB" w14:textId="77777777" w:rsidR="00FF4CB2" w:rsidRPr="00036EE3" w:rsidRDefault="00FF4CB2" w:rsidP="00AD19F2">
            <w:pPr>
              <w:spacing w:before="30" w:after="30"/>
              <w:ind w:left="57"/>
              <w:jc w:val="left"/>
              <w:rPr>
                <w:b/>
                <w:bCs/>
                <w:sz w:val="20"/>
                <w:lang w:val="fr-CH"/>
              </w:rPr>
            </w:pPr>
            <w:r w:rsidRPr="00036EE3">
              <w:rPr>
                <w:b/>
                <w:bCs/>
                <w:sz w:val="20"/>
                <w:lang w:val="fr-CH"/>
              </w:rPr>
              <w:t>P</w:t>
            </w:r>
          </w:p>
        </w:tc>
        <w:tc>
          <w:tcPr>
            <w:tcW w:w="8220" w:type="dxa"/>
          </w:tcPr>
          <w:p w14:paraId="29D1EA92" w14:textId="77777777" w:rsidR="00FF4CB2" w:rsidRPr="00036EE3" w:rsidRDefault="00FF4CB2" w:rsidP="00AD19F2">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FF4CB2" w:rsidRPr="00036EE3" w14:paraId="0C1C46D6" w14:textId="77777777" w:rsidTr="00AD19F2">
        <w:tc>
          <w:tcPr>
            <w:tcW w:w="1140" w:type="dxa"/>
          </w:tcPr>
          <w:p w14:paraId="00999C57" w14:textId="77777777" w:rsidR="00FF4CB2" w:rsidRPr="00036EE3" w:rsidRDefault="00FF4CB2" w:rsidP="00AD19F2">
            <w:pPr>
              <w:spacing w:before="30" w:after="30"/>
              <w:ind w:left="57"/>
              <w:jc w:val="left"/>
              <w:rPr>
                <w:b/>
                <w:bCs/>
                <w:sz w:val="20"/>
                <w:lang w:val="en-US"/>
              </w:rPr>
            </w:pPr>
            <w:r w:rsidRPr="00036EE3">
              <w:rPr>
                <w:b/>
                <w:bCs/>
                <w:sz w:val="20"/>
                <w:lang w:val="en-US"/>
              </w:rPr>
              <w:t>RA</w:t>
            </w:r>
          </w:p>
        </w:tc>
        <w:tc>
          <w:tcPr>
            <w:tcW w:w="8220" w:type="dxa"/>
          </w:tcPr>
          <w:p w14:paraId="200F7586" w14:textId="77777777" w:rsidR="00FF4CB2" w:rsidRPr="00036EE3" w:rsidRDefault="00FF4CB2"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FF4CB2" w:rsidRPr="00036EE3" w14:paraId="10D4B151" w14:textId="77777777" w:rsidTr="00AD19F2">
        <w:tc>
          <w:tcPr>
            <w:tcW w:w="1140" w:type="dxa"/>
          </w:tcPr>
          <w:p w14:paraId="33D644B7" w14:textId="77777777" w:rsidR="00FF4CB2" w:rsidRPr="00036EE3" w:rsidRDefault="00FF4CB2" w:rsidP="00AD19F2">
            <w:pPr>
              <w:spacing w:before="30" w:after="30"/>
              <w:ind w:left="57"/>
              <w:jc w:val="left"/>
              <w:rPr>
                <w:b/>
                <w:bCs/>
                <w:sz w:val="20"/>
                <w:lang w:val="en-US"/>
              </w:rPr>
            </w:pPr>
            <w:r w:rsidRPr="00036EE3">
              <w:rPr>
                <w:b/>
                <w:bCs/>
                <w:sz w:val="20"/>
                <w:lang w:val="en-US"/>
              </w:rPr>
              <w:t>RS</w:t>
            </w:r>
          </w:p>
        </w:tc>
        <w:tc>
          <w:tcPr>
            <w:tcW w:w="8220" w:type="dxa"/>
          </w:tcPr>
          <w:p w14:paraId="3E16EED2" w14:textId="77777777" w:rsidR="00FF4CB2" w:rsidRPr="00036EE3" w:rsidRDefault="00FF4CB2"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FF4CB2" w:rsidRPr="00036EE3" w14:paraId="70BFBB72" w14:textId="77777777" w:rsidTr="00AD19F2">
        <w:tc>
          <w:tcPr>
            <w:tcW w:w="1140" w:type="dxa"/>
            <w:tcBorders>
              <w:bottom w:val="nil"/>
            </w:tcBorders>
          </w:tcPr>
          <w:p w14:paraId="4AA32314" w14:textId="77777777" w:rsidR="00FF4CB2" w:rsidRPr="00036EE3" w:rsidRDefault="00FF4CB2" w:rsidP="00AD19F2">
            <w:pPr>
              <w:spacing w:before="30" w:after="30"/>
              <w:ind w:left="57"/>
              <w:jc w:val="left"/>
              <w:rPr>
                <w:b/>
                <w:bCs/>
                <w:sz w:val="20"/>
                <w:lang w:val="en-US"/>
              </w:rPr>
            </w:pPr>
            <w:r w:rsidRPr="00036EE3">
              <w:rPr>
                <w:b/>
                <w:bCs/>
                <w:sz w:val="20"/>
                <w:lang w:val="en-US"/>
              </w:rPr>
              <w:t>S</w:t>
            </w:r>
          </w:p>
        </w:tc>
        <w:tc>
          <w:tcPr>
            <w:tcW w:w="8220" w:type="dxa"/>
            <w:tcBorders>
              <w:bottom w:val="nil"/>
            </w:tcBorders>
          </w:tcPr>
          <w:p w14:paraId="6F858803" w14:textId="77777777" w:rsidR="00FF4CB2" w:rsidRPr="00036EE3" w:rsidRDefault="00FF4CB2" w:rsidP="00AD19F2">
            <w:pPr>
              <w:spacing w:before="30" w:after="30"/>
              <w:jc w:val="left"/>
              <w:rPr>
                <w:sz w:val="20"/>
                <w:lang w:val="en-US"/>
              </w:rPr>
            </w:pPr>
            <w:r w:rsidRPr="00036EE3">
              <w:rPr>
                <w:sz w:val="20"/>
                <w:lang w:val="en-US"/>
              </w:rPr>
              <w:t>Fixed-satellite service</w:t>
            </w:r>
          </w:p>
        </w:tc>
      </w:tr>
      <w:tr w:rsidR="00FF4CB2" w:rsidRPr="00B76D85" w14:paraId="12EEA98B" w14:textId="77777777" w:rsidTr="00AD19F2">
        <w:tc>
          <w:tcPr>
            <w:tcW w:w="1140" w:type="dxa"/>
            <w:tcBorders>
              <w:top w:val="nil"/>
              <w:bottom w:val="nil"/>
            </w:tcBorders>
            <w:shd w:val="clear" w:color="auto" w:fill="FFFFFF" w:themeFill="background1"/>
          </w:tcPr>
          <w:p w14:paraId="0686F509" w14:textId="77777777" w:rsidR="00FF4CB2" w:rsidRPr="00B76D85" w:rsidRDefault="00FF4CB2" w:rsidP="00AD19F2">
            <w:pPr>
              <w:spacing w:before="30" w:after="30"/>
              <w:ind w:left="57"/>
              <w:jc w:val="left"/>
              <w:rPr>
                <w:b/>
                <w:bCs/>
                <w:sz w:val="20"/>
                <w:lang w:val="en-US"/>
              </w:rPr>
            </w:pPr>
            <w:r w:rsidRPr="00B76D85">
              <w:rPr>
                <w:b/>
                <w:bCs/>
                <w:sz w:val="20"/>
                <w:lang w:val="en-US"/>
              </w:rPr>
              <w:t>SA</w:t>
            </w:r>
          </w:p>
        </w:tc>
        <w:tc>
          <w:tcPr>
            <w:tcW w:w="8220" w:type="dxa"/>
            <w:tcBorders>
              <w:top w:val="nil"/>
              <w:bottom w:val="nil"/>
            </w:tcBorders>
            <w:shd w:val="clear" w:color="auto" w:fill="FFFFFF" w:themeFill="background1"/>
          </w:tcPr>
          <w:p w14:paraId="02730E0D" w14:textId="77777777" w:rsidR="00FF4CB2" w:rsidRPr="00B76D85" w:rsidRDefault="00FF4CB2" w:rsidP="00AD19F2">
            <w:pPr>
              <w:spacing w:before="30" w:after="30"/>
              <w:jc w:val="left"/>
              <w:rPr>
                <w:sz w:val="20"/>
                <w:lang w:val="en-US"/>
              </w:rPr>
            </w:pPr>
            <w:r w:rsidRPr="00B76D85">
              <w:rPr>
                <w:sz w:val="20"/>
                <w:lang w:val="en-US"/>
              </w:rPr>
              <w:t>Space applications and meteorology</w:t>
            </w:r>
          </w:p>
        </w:tc>
      </w:tr>
      <w:tr w:rsidR="00FF4CB2" w:rsidRPr="005F7CD0" w14:paraId="08203668" w14:textId="77777777" w:rsidTr="00AD19F2">
        <w:tc>
          <w:tcPr>
            <w:tcW w:w="1140" w:type="dxa"/>
            <w:tcBorders>
              <w:top w:val="nil"/>
              <w:bottom w:val="nil"/>
            </w:tcBorders>
          </w:tcPr>
          <w:p w14:paraId="68EB0267" w14:textId="77777777" w:rsidR="00FF4CB2" w:rsidRPr="00036EE3" w:rsidRDefault="00FF4CB2" w:rsidP="00AD19F2">
            <w:pPr>
              <w:spacing w:before="30" w:after="30"/>
              <w:ind w:left="57"/>
              <w:jc w:val="left"/>
              <w:rPr>
                <w:b/>
                <w:bCs/>
                <w:sz w:val="20"/>
                <w:lang w:val="en-US"/>
              </w:rPr>
            </w:pPr>
            <w:r w:rsidRPr="00036EE3">
              <w:rPr>
                <w:b/>
                <w:bCs/>
                <w:sz w:val="20"/>
                <w:lang w:val="en-US"/>
              </w:rPr>
              <w:t>SF</w:t>
            </w:r>
          </w:p>
        </w:tc>
        <w:tc>
          <w:tcPr>
            <w:tcW w:w="8220" w:type="dxa"/>
            <w:tcBorders>
              <w:top w:val="nil"/>
              <w:bottom w:val="nil"/>
            </w:tcBorders>
          </w:tcPr>
          <w:p w14:paraId="1AC81026" w14:textId="77777777" w:rsidR="00FF4CB2" w:rsidRPr="00036EE3" w:rsidRDefault="00FF4CB2" w:rsidP="00AD19F2">
            <w:pPr>
              <w:spacing w:before="30" w:after="30"/>
              <w:jc w:val="left"/>
              <w:rPr>
                <w:sz w:val="20"/>
                <w:lang w:val="en-US"/>
              </w:rPr>
            </w:pPr>
            <w:r w:rsidRPr="00036EE3">
              <w:rPr>
                <w:sz w:val="20"/>
                <w:lang w:val="en-US"/>
              </w:rPr>
              <w:t>Frequency sharing and coordination between fixed-satellite and fixed service systems</w:t>
            </w:r>
          </w:p>
        </w:tc>
      </w:tr>
      <w:tr w:rsidR="00FF4CB2" w:rsidRPr="00036EE3" w14:paraId="243F390D" w14:textId="77777777" w:rsidTr="00AD19F2">
        <w:tc>
          <w:tcPr>
            <w:tcW w:w="1140" w:type="dxa"/>
            <w:tcBorders>
              <w:top w:val="nil"/>
              <w:bottom w:val="nil"/>
            </w:tcBorders>
          </w:tcPr>
          <w:p w14:paraId="56D3FAE3" w14:textId="77777777" w:rsidR="00FF4CB2" w:rsidRPr="001B164E" w:rsidRDefault="00FF4CB2" w:rsidP="00AD19F2">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1D4CBEC4" w14:textId="77777777" w:rsidR="00FF4CB2" w:rsidRPr="001B164E" w:rsidRDefault="00FF4CB2" w:rsidP="00AD19F2">
            <w:pPr>
              <w:spacing w:before="30" w:after="30"/>
              <w:jc w:val="left"/>
              <w:rPr>
                <w:rFonts w:hAnsi="Times New Roman Bold"/>
                <w:sz w:val="20"/>
                <w:lang w:val="en-US"/>
              </w:rPr>
            </w:pPr>
            <w:r w:rsidRPr="001B164E">
              <w:rPr>
                <w:rFonts w:hAnsi="Times New Roman Bold"/>
                <w:sz w:val="20"/>
                <w:lang w:val="en-US"/>
              </w:rPr>
              <w:t>Spectrum management</w:t>
            </w:r>
          </w:p>
        </w:tc>
      </w:tr>
      <w:tr w:rsidR="00FF4CB2" w:rsidRPr="00036EE3" w14:paraId="66E1FE97" w14:textId="77777777" w:rsidTr="00AD19F2">
        <w:tc>
          <w:tcPr>
            <w:tcW w:w="1140" w:type="dxa"/>
            <w:tcBorders>
              <w:top w:val="nil"/>
            </w:tcBorders>
          </w:tcPr>
          <w:p w14:paraId="287C6504" w14:textId="77777777" w:rsidR="00FF4CB2" w:rsidRPr="00036EE3" w:rsidRDefault="00FF4CB2" w:rsidP="00AD19F2">
            <w:pPr>
              <w:spacing w:before="30" w:after="30"/>
              <w:ind w:left="57"/>
              <w:jc w:val="left"/>
              <w:rPr>
                <w:b/>
                <w:bCs/>
                <w:sz w:val="20"/>
                <w:lang w:val="en-US"/>
              </w:rPr>
            </w:pPr>
            <w:r w:rsidRPr="00036EE3">
              <w:rPr>
                <w:b/>
                <w:bCs/>
                <w:sz w:val="20"/>
                <w:lang w:val="en-US"/>
              </w:rPr>
              <w:t>SNG</w:t>
            </w:r>
          </w:p>
        </w:tc>
        <w:tc>
          <w:tcPr>
            <w:tcW w:w="8220" w:type="dxa"/>
            <w:tcBorders>
              <w:top w:val="nil"/>
            </w:tcBorders>
          </w:tcPr>
          <w:p w14:paraId="473C1442" w14:textId="77777777" w:rsidR="00FF4CB2" w:rsidRPr="00036EE3" w:rsidRDefault="00FF4CB2" w:rsidP="00AD19F2">
            <w:pPr>
              <w:spacing w:before="30" w:after="30"/>
              <w:jc w:val="left"/>
              <w:rPr>
                <w:sz w:val="20"/>
                <w:lang w:val="en-US"/>
              </w:rPr>
            </w:pPr>
            <w:r w:rsidRPr="00036EE3">
              <w:rPr>
                <w:sz w:val="20"/>
                <w:lang w:val="en-US"/>
              </w:rPr>
              <w:t>Satellite news gathering</w:t>
            </w:r>
          </w:p>
        </w:tc>
      </w:tr>
      <w:tr w:rsidR="00FF4CB2" w:rsidRPr="005F7CD0" w14:paraId="277413F7" w14:textId="77777777" w:rsidTr="00AD19F2">
        <w:tc>
          <w:tcPr>
            <w:tcW w:w="1140" w:type="dxa"/>
          </w:tcPr>
          <w:p w14:paraId="06F0E62A" w14:textId="77777777" w:rsidR="00FF4CB2" w:rsidRPr="00036EE3" w:rsidRDefault="00FF4CB2" w:rsidP="00AD19F2">
            <w:pPr>
              <w:spacing w:before="30" w:after="30"/>
              <w:ind w:left="57"/>
              <w:jc w:val="left"/>
              <w:rPr>
                <w:b/>
                <w:bCs/>
                <w:sz w:val="20"/>
                <w:lang w:val="en-US"/>
              </w:rPr>
            </w:pPr>
            <w:r w:rsidRPr="00036EE3">
              <w:rPr>
                <w:b/>
                <w:bCs/>
                <w:sz w:val="20"/>
                <w:lang w:val="en-US"/>
              </w:rPr>
              <w:t>TF</w:t>
            </w:r>
          </w:p>
        </w:tc>
        <w:tc>
          <w:tcPr>
            <w:tcW w:w="8220" w:type="dxa"/>
          </w:tcPr>
          <w:p w14:paraId="62BA7DAC" w14:textId="77777777" w:rsidR="00FF4CB2" w:rsidRPr="00036EE3" w:rsidRDefault="00FF4CB2" w:rsidP="00AD19F2">
            <w:pPr>
              <w:spacing w:before="30" w:after="30"/>
              <w:jc w:val="left"/>
              <w:rPr>
                <w:sz w:val="20"/>
                <w:lang w:val="en-US"/>
              </w:rPr>
            </w:pPr>
            <w:r w:rsidRPr="00036EE3">
              <w:rPr>
                <w:sz w:val="20"/>
                <w:lang w:val="en-US"/>
              </w:rPr>
              <w:t>Time signals and frequency standards emissions</w:t>
            </w:r>
          </w:p>
        </w:tc>
      </w:tr>
      <w:tr w:rsidR="00FF4CB2" w:rsidRPr="00036EE3" w14:paraId="2A77BF04" w14:textId="77777777" w:rsidTr="00AD19F2">
        <w:tc>
          <w:tcPr>
            <w:tcW w:w="1140" w:type="dxa"/>
          </w:tcPr>
          <w:p w14:paraId="2B2EB476" w14:textId="77777777" w:rsidR="00FF4CB2" w:rsidRPr="00036EE3" w:rsidRDefault="00FF4CB2" w:rsidP="00AD19F2">
            <w:pPr>
              <w:spacing w:before="30" w:after="30"/>
              <w:ind w:left="57"/>
              <w:jc w:val="left"/>
              <w:rPr>
                <w:b/>
                <w:bCs/>
                <w:sz w:val="20"/>
                <w:lang w:val="en-US"/>
              </w:rPr>
            </w:pPr>
            <w:r w:rsidRPr="00036EE3">
              <w:rPr>
                <w:b/>
                <w:bCs/>
                <w:sz w:val="20"/>
                <w:lang w:val="en-US"/>
              </w:rPr>
              <w:t>V</w:t>
            </w:r>
          </w:p>
        </w:tc>
        <w:tc>
          <w:tcPr>
            <w:tcW w:w="8220" w:type="dxa"/>
          </w:tcPr>
          <w:p w14:paraId="39CDE284" w14:textId="77777777" w:rsidR="00FF4CB2" w:rsidRPr="00036EE3" w:rsidRDefault="00FF4CB2" w:rsidP="00AD19F2">
            <w:pPr>
              <w:spacing w:before="30" w:after="180"/>
              <w:jc w:val="left"/>
              <w:rPr>
                <w:sz w:val="20"/>
                <w:lang w:val="en-US"/>
              </w:rPr>
            </w:pPr>
            <w:r w:rsidRPr="00036EE3">
              <w:rPr>
                <w:sz w:val="20"/>
                <w:lang w:val="en-US"/>
              </w:rPr>
              <w:t>Vocabulary and related subjects</w:t>
            </w:r>
          </w:p>
        </w:tc>
      </w:tr>
    </w:tbl>
    <w:p w14:paraId="4EE7C6DB" w14:textId="77777777" w:rsidR="00FF4CB2" w:rsidRPr="00036EE3" w:rsidRDefault="00FF4CB2" w:rsidP="00FF4CB2">
      <w:pPr>
        <w:spacing w:before="30" w:after="30"/>
        <w:jc w:val="center"/>
        <w:rPr>
          <w:sz w:val="20"/>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FF4CB2" w:rsidRPr="005F7CD0" w14:paraId="0F5CF74A" w14:textId="77777777" w:rsidTr="00AD19F2">
        <w:tc>
          <w:tcPr>
            <w:tcW w:w="9609" w:type="dxa"/>
          </w:tcPr>
          <w:p w14:paraId="2CC4A790" w14:textId="77777777" w:rsidR="00FF4CB2" w:rsidRPr="002F5199" w:rsidRDefault="00FF4CB2" w:rsidP="00AD19F2">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C87794B" w14:textId="77777777" w:rsidR="00FF4CB2" w:rsidRDefault="00FF4CB2" w:rsidP="00FF4CB2">
      <w:pPr>
        <w:spacing w:before="0"/>
        <w:jc w:val="center"/>
        <w:rPr>
          <w:sz w:val="22"/>
          <w:lang w:val="en-US"/>
        </w:rPr>
      </w:pPr>
    </w:p>
    <w:p w14:paraId="744520EA" w14:textId="77777777" w:rsidR="00FF4CB2" w:rsidRPr="002F5199" w:rsidRDefault="00FF4CB2" w:rsidP="00FF4CB2">
      <w:pPr>
        <w:spacing w:before="0"/>
        <w:jc w:val="right"/>
        <w:rPr>
          <w:i/>
          <w:iCs/>
          <w:sz w:val="20"/>
          <w:lang w:val="en-US"/>
        </w:rPr>
      </w:pPr>
      <w:r w:rsidRPr="002F5199">
        <w:rPr>
          <w:i/>
          <w:iCs/>
          <w:sz w:val="20"/>
          <w:lang w:val="en-US"/>
        </w:rPr>
        <w:t>Electronic Publication</w:t>
      </w:r>
    </w:p>
    <w:p w14:paraId="1B0C95CA" w14:textId="77777777" w:rsidR="00FF4CB2" w:rsidRPr="002F5199" w:rsidRDefault="00FF4CB2" w:rsidP="00FF4CB2">
      <w:pPr>
        <w:spacing w:before="0"/>
        <w:jc w:val="right"/>
        <w:rPr>
          <w:sz w:val="20"/>
          <w:lang w:val="en-US"/>
        </w:rPr>
      </w:pPr>
      <w:smartTag w:uri="urn:schemas-microsoft-com:office:smarttags" w:element="State">
        <w:smartTag w:uri="urn:schemas-microsoft-com:office:smarttags" w:element="City">
          <w:r w:rsidRPr="002F5199">
            <w:rPr>
              <w:sz w:val="20"/>
              <w:lang w:val="en-US"/>
            </w:rPr>
            <w:t>Geneva</w:t>
          </w:r>
        </w:smartTag>
      </w:smartTag>
      <w:r w:rsidRPr="002F5199">
        <w:rPr>
          <w:sz w:val="20"/>
          <w:lang w:val="en-US"/>
        </w:rPr>
        <w:t>, 20</w:t>
      </w:r>
      <w:r>
        <w:rPr>
          <w:sz w:val="20"/>
          <w:lang w:val="en-US"/>
        </w:rPr>
        <w:t>26</w:t>
      </w:r>
    </w:p>
    <w:p w14:paraId="4CDB25B2" w14:textId="77777777" w:rsidR="00FF4CB2" w:rsidRPr="00470E28" w:rsidRDefault="00FF4CB2" w:rsidP="00FF4CB2">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26</w:t>
      </w:r>
    </w:p>
    <w:p w14:paraId="0E420A2A" w14:textId="77777777" w:rsidR="00FF4CB2" w:rsidRPr="00470E28" w:rsidRDefault="00FF4CB2" w:rsidP="00FF4CB2">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168CA156" w14:textId="77777777" w:rsidR="00FF4CB2" w:rsidRDefault="00FF4CB2" w:rsidP="00FF4CB2">
      <w:pPr>
        <w:spacing w:before="160"/>
        <w:rPr>
          <w:i/>
          <w:sz w:val="20"/>
          <w:lang w:val="en-US"/>
        </w:rPr>
        <w:sectPr w:rsidR="00FF4CB2" w:rsidSect="00FF4CB2">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2C161CF0" w14:textId="3F784726" w:rsidR="00FF4CB2" w:rsidRPr="00B874C6" w:rsidRDefault="00FF4CB2" w:rsidP="00FF4CB2">
      <w:pPr>
        <w:pStyle w:val="RecNo"/>
        <w:rPr>
          <w:lang w:val="en-US"/>
        </w:rPr>
      </w:pPr>
      <w:bookmarkStart w:id="2" w:name="irecnoe"/>
      <w:bookmarkEnd w:id="2"/>
      <w:r w:rsidRPr="00D4676A">
        <w:lastRenderedPageBreak/>
        <w:t>RECOMMENDATION</w:t>
      </w:r>
      <w:r w:rsidRPr="00BF487A">
        <w:t xml:space="preserve">  </w:t>
      </w:r>
      <w:r w:rsidRPr="00BF487A">
        <w:rPr>
          <w:rStyle w:val="href"/>
          <w:lang w:val="en-US"/>
        </w:rPr>
        <w:t xml:space="preserve">ITU-R  </w:t>
      </w:r>
      <w:r>
        <w:rPr>
          <w:rStyle w:val="href"/>
          <w:lang w:val="en-US"/>
        </w:rPr>
        <w:t>F</w:t>
      </w:r>
      <w:r w:rsidRPr="00BF487A">
        <w:rPr>
          <w:rStyle w:val="href"/>
          <w:lang w:val="en-US"/>
        </w:rPr>
        <w:t>.</w:t>
      </w:r>
      <w:r>
        <w:rPr>
          <w:rStyle w:val="href"/>
          <w:lang w:val="en-US"/>
        </w:rPr>
        <w:t>1763-</w:t>
      </w:r>
      <w:r w:rsidR="007652EB">
        <w:rPr>
          <w:rStyle w:val="href"/>
          <w:lang w:val="en-US"/>
        </w:rPr>
        <w:t>2</w:t>
      </w:r>
    </w:p>
    <w:p w14:paraId="6760DB9B" w14:textId="1561F506" w:rsidR="00FF4CB2" w:rsidRDefault="00FF4CB2" w:rsidP="007652EB">
      <w:pPr>
        <w:pStyle w:val="Rectitle"/>
      </w:pPr>
      <w:r w:rsidRPr="003A3EF5">
        <w:t>Radio interface standards for broadband wireless access systems</w:t>
      </w:r>
      <w:r w:rsidR="007652EB">
        <w:t xml:space="preserve"> </w:t>
      </w:r>
      <w:r w:rsidRPr="003A3EF5">
        <w:t xml:space="preserve">in the fixed service </w:t>
      </w:r>
      <w:r w:rsidRPr="00FF748F">
        <w:t>operating below 66 GHz</w:t>
      </w:r>
    </w:p>
    <w:p w14:paraId="111DD17A" w14:textId="44CE5F5E" w:rsidR="007652EB" w:rsidRPr="003A3EF5" w:rsidRDefault="007652EB" w:rsidP="007652EB">
      <w:pPr>
        <w:pStyle w:val="Questionref"/>
        <w:rPr>
          <w:lang w:eastAsia="zh-CN"/>
        </w:rPr>
      </w:pPr>
      <w:r w:rsidRPr="003A3EF5">
        <w:rPr>
          <w:lang w:eastAsia="zh-CN"/>
        </w:rPr>
        <w:t xml:space="preserve">Question </w:t>
      </w:r>
      <w:hyperlink r:id="rId13" w:history="1">
        <w:r w:rsidRPr="000C3696">
          <w:rPr>
            <w:rStyle w:val="Hyperlink"/>
            <w:color w:val="auto"/>
            <w:u w:val="none"/>
            <w:lang w:eastAsia="zh-CN"/>
          </w:rPr>
          <w:t>ITU-R 215-4/5</w:t>
        </w:r>
      </w:hyperlink>
    </w:p>
    <w:p w14:paraId="3FF9EF9D" w14:textId="77777777" w:rsidR="007652EB" w:rsidRPr="003A3EF5" w:rsidRDefault="007652EB" w:rsidP="007652EB">
      <w:pPr>
        <w:pStyle w:val="Recdate"/>
        <w:rPr>
          <w:lang w:eastAsia="zh-CN"/>
        </w:rPr>
      </w:pPr>
      <w:r w:rsidRPr="003A3EF5">
        <w:rPr>
          <w:lang w:eastAsia="zh-CN"/>
        </w:rPr>
        <w:t>(2006-2014</w:t>
      </w:r>
      <w:r>
        <w:rPr>
          <w:lang w:eastAsia="zh-CN"/>
        </w:rPr>
        <w:t>-2026</w:t>
      </w:r>
      <w:r w:rsidRPr="003A3EF5">
        <w:rPr>
          <w:lang w:eastAsia="zh-CN"/>
        </w:rPr>
        <w:t>)</w:t>
      </w:r>
    </w:p>
    <w:p w14:paraId="726A4003" w14:textId="77777777" w:rsidR="007652EB" w:rsidRPr="003A3EF5" w:rsidRDefault="007652EB" w:rsidP="007652EB">
      <w:pPr>
        <w:pStyle w:val="HeadingSum"/>
        <w:rPr>
          <w:lang w:val="en-GB"/>
        </w:rPr>
      </w:pPr>
      <w:r w:rsidRPr="003A3EF5">
        <w:rPr>
          <w:lang w:val="en-GB"/>
        </w:rPr>
        <w:t>Scope</w:t>
      </w:r>
    </w:p>
    <w:p w14:paraId="71269518" w14:textId="77777777" w:rsidR="007652EB" w:rsidRPr="003A3EF5" w:rsidRDefault="007652EB" w:rsidP="007652EB">
      <w:pPr>
        <w:pStyle w:val="Summary"/>
        <w:spacing w:after="0"/>
        <w:rPr>
          <w:lang w:val="en-GB"/>
        </w:rPr>
      </w:pPr>
      <w:r w:rsidRPr="003A3EF5">
        <w:rPr>
          <w:lang w:val="en-GB"/>
        </w:rPr>
        <w:t>This Recommendation identifies specific radio interface standards that may be utilized for broadband wireless access (BWA)</w:t>
      </w:r>
      <w:r w:rsidRPr="003A3EF5">
        <w:rPr>
          <w:rStyle w:val="FootnoteReference"/>
          <w:lang w:val="en-GB"/>
        </w:rPr>
        <w:footnoteReference w:id="1"/>
      </w:r>
      <w:r w:rsidRPr="003A3EF5">
        <w:rPr>
          <w:lang w:val="en-GB"/>
        </w:rPr>
        <w:t xml:space="preserve"> systems in the fixed service, addressing profiles for the recommended interoperability standards. It provides references to the standards for interoperability between BWA systems.</w:t>
      </w:r>
    </w:p>
    <w:p w14:paraId="7032AA09" w14:textId="77777777" w:rsidR="007652EB" w:rsidRPr="003A3EF5" w:rsidRDefault="007652EB" w:rsidP="007652EB">
      <w:pPr>
        <w:pStyle w:val="Summary"/>
        <w:spacing w:after="0"/>
        <w:rPr>
          <w:lang w:val="en-GB"/>
        </w:rPr>
      </w:pPr>
      <w:r w:rsidRPr="003A3EF5">
        <w:rPr>
          <w:lang w:val="en-GB"/>
        </w:rPr>
        <w:t>The interoperability standards referenced in this Recommendation include the following specifications:</w:t>
      </w:r>
    </w:p>
    <w:p w14:paraId="62B1FFE5" w14:textId="77777777" w:rsidR="007652EB" w:rsidRPr="003A3EF5" w:rsidRDefault="007652EB" w:rsidP="007652EB">
      <w:pPr>
        <w:pStyle w:val="Summary"/>
        <w:spacing w:after="0"/>
        <w:rPr>
          <w:lang w:val="en-GB"/>
        </w:rPr>
      </w:pPr>
      <w:r w:rsidRPr="003A3EF5">
        <w:rPr>
          <w:lang w:val="en-GB"/>
        </w:rPr>
        <w:t>–</w:t>
      </w:r>
      <w:r w:rsidRPr="003A3EF5">
        <w:rPr>
          <w:lang w:val="en-GB"/>
        </w:rPr>
        <w:tab/>
        <w:t>system profiles;</w:t>
      </w:r>
    </w:p>
    <w:p w14:paraId="61B2F24B" w14:textId="77777777" w:rsidR="007652EB" w:rsidRPr="003A3EF5" w:rsidRDefault="007652EB" w:rsidP="007652EB">
      <w:pPr>
        <w:pStyle w:val="Summary"/>
        <w:spacing w:after="0"/>
        <w:rPr>
          <w:lang w:val="en-GB"/>
        </w:rPr>
      </w:pPr>
      <w:r w:rsidRPr="003A3EF5">
        <w:rPr>
          <w:lang w:val="en-GB"/>
        </w:rPr>
        <w:t>–</w:t>
      </w:r>
      <w:r w:rsidRPr="003A3EF5">
        <w:rPr>
          <w:lang w:val="en-GB"/>
        </w:rPr>
        <w:tab/>
        <w:t>physical layer parameters, i.e. channelization, modulation scheme, data rates;</w:t>
      </w:r>
    </w:p>
    <w:p w14:paraId="29061BFC" w14:textId="77777777" w:rsidR="007652EB" w:rsidRPr="003A3EF5" w:rsidRDefault="007652EB" w:rsidP="007652EB">
      <w:pPr>
        <w:pStyle w:val="Summary"/>
        <w:spacing w:after="0"/>
        <w:rPr>
          <w:lang w:val="en-GB"/>
        </w:rPr>
      </w:pPr>
      <w:r w:rsidRPr="003A3EF5">
        <w:rPr>
          <w:lang w:val="en-GB"/>
        </w:rPr>
        <w:t>–</w:t>
      </w:r>
      <w:r w:rsidRPr="003A3EF5">
        <w:rPr>
          <w:lang w:val="en-GB"/>
        </w:rPr>
        <w:tab/>
        <w:t>medium access control (MAC) layer messages and header fields.</w:t>
      </w:r>
    </w:p>
    <w:p w14:paraId="6A6C6C3C" w14:textId="77777777" w:rsidR="007652EB" w:rsidRPr="003A3EF5" w:rsidRDefault="007652EB" w:rsidP="007652EB">
      <w:pPr>
        <w:pStyle w:val="Summary"/>
        <w:spacing w:after="0"/>
        <w:rPr>
          <w:lang w:val="en-GB"/>
        </w:rPr>
      </w:pPr>
      <w:r w:rsidRPr="003A3EF5">
        <w:rPr>
          <w:lang w:val="en-GB"/>
        </w:rPr>
        <w:t>This Recommendation is not intended to deal with the identification of suitable frequency bands for BWA systems, nor any regulatory issues.</w:t>
      </w:r>
    </w:p>
    <w:p w14:paraId="5C8123E5" w14:textId="77777777" w:rsidR="007652EB" w:rsidRPr="003A3EF5" w:rsidRDefault="007652EB" w:rsidP="007652EB">
      <w:pPr>
        <w:pStyle w:val="Headingb"/>
        <w:rPr>
          <w:lang w:eastAsia="ja-JP"/>
        </w:rPr>
      </w:pPr>
      <w:r w:rsidRPr="007652EB">
        <w:t>Keywords</w:t>
      </w:r>
    </w:p>
    <w:p w14:paraId="614AE9D2" w14:textId="77777777" w:rsidR="007652EB" w:rsidRPr="003A3EF5" w:rsidRDefault="007652EB" w:rsidP="007652EB">
      <w:pPr>
        <w:rPr>
          <w:lang w:eastAsia="ja-JP"/>
        </w:rPr>
      </w:pPr>
      <w:r w:rsidRPr="003A3EF5">
        <w:rPr>
          <w:lang w:eastAsia="zh-CN"/>
        </w:rPr>
        <w:t xml:space="preserve">Fixed broadband wireless access, </w:t>
      </w:r>
      <w:r w:rsidRPr="003A3EF5">
        <w:rPr>
          <w:lang w:eastAsia="ja-JP"/>
        </w:rPr>
        <w:t>broadband wireless access, BWA, radio interface standards</w:t>
      </w:r>
    </w:p>
    <w:p w14:paraId="11F91122" w14:textId="77777777" w:rsidR="007652EB" w:rsidRPr="003A3EF5" w:rsidRDefault="007652EB" w:rsidP="007652EB">
      <w:pPr>
        <w:pStyle w:val="Normalaftertitle"/>
      </w:pPr>
      <w:r w:rsidRPr="003A3EF5">
        <w:t>The ITU Radiocommunication Assembly,</w:t>
      </w:r>
    </w:p>
    <w:p w14:paraId="1B12F1C9" w14:textId="77777777" w:rsidR="007652EB" w:rsidRPr="003A3EF5" w:rsidRDefault="007652EB" w:rsidP="007652EB">
      <w:pPr>
        <w:pStyle w:val="Call"/>
        <w:rPr>
          <w:lang w:eastAsia="ja-JP"/>
        </w:rPr>
      </w:pPr>
      <w:r w:rsidRPr="003A3EF5">
        <w:t>c</w:t>
      </w:r>
      <w:r w:rsidRPr="003A3EF5">
        <w:rPr>
          <w:lang w:eastAsia="ja-JP"/>
        </w:rPr>
        <w:t>onsidering</w:t>
      </w:r>
    </w:p>
    <w:p w14:paraId="40D27AD8" w14:textId="77777777" w:rsidR="007652EB" w:rsidRPr="003A3EF5" w:rsidRDefault="007652EB" w:rsidP="007652EB">
      <w:pPr>
        <w:rPr>
          <w:lang w:eastAsia="ja-JP"/>
        </w:rPr>
      </w:pPr>
      <w:r w:rsidRPr="003A3EF5">
        <w:rPr>
          <w:i/>
          <w:iCs/>
          <w:lang w:eastAsia="ja-JP"/>
        </w:rPr>
        <w:t>a)</w:t>
      </w:r>
      <w:r w:rsidRPr="003A3EF5">
        <w:rPr>
          <w:i/>
          <w:iCs/>
          <w:lang w:eastAsia="ja-JP"/>
        </w:rPr>
        <w:tab/>
      </w:r>
      <w:r w:rsidRPr="003A3EF5">
        <w:rPr>
          <w:lang w:eastAsia="ja-JP"/>
        </w:rPr>
        <w:t xml:space="preserve">that </w:t>
      </w:r>
      <w:r w:rsidRPr="003A3EF5">
        <w:t xml:space="preserve">it is useful </w:t>
      </w:r>
      <w:r w:rsidRPr="003A3EF5">
        <w:rPr>
          <w:lang w:eastAsia="ja-JP"/>
        </w:rPr>
        <w:t xml:space="preserve">to identify standards </w:t>
      </w:r>
      <w:r w:rsidRPr="003A3EF5">
        <w:t xml:space="preserve">for broadband wireless access (BWA) systems </w:t>
      </w:r>
      <w:r w:rsidRPr="003A3EF5">
        <w:rPr>
          <w:szCs w:val="28"/>
        </w:rPr>
        <w:t>in the fixed service</w:t>
      </w:r>
      <w:r w:rsidRPr="003A3EF5">
        <w:t xml:space="preserve"> for international use;</w:t>
      </w:r>
    </w:p>
    <w:p w14:paraId="65BF8D9A" w14:textId="77777777" w:rsidR="007652EB" w:rsidRPr="003A3EF5" w:rsidRDefault="007652EB" w:rsidP="007652EB">
      <w:pPr>
        <w:rPr>
          <w:lang w:eastAsia="ja-JP"/>
        </w:rPr>
      </w:pPr>
      <w:r w:rsidRPr="003A3EF5">
        <w:rPr>
          <w:i/>
          <w:iCs/>
          <w:lang w:eastAsia="ja-JP"/>
        </w:rPr>
        <w:t>b)</w:t>
      </w:r>
      <w:r w:rsidRPr="003A3EF5">
        <w:rPr>
          <w:lang w:eastAsia="ja-JP"/>
        </w:rPr>
        <w:tab/>
      </w:r>
      <w:r w:rsidRPr="003A3EF5">
        <w:t>that</w:t>
      </w:r>
      <w:r w:rsidRPr="003A3EF5">
        <w:rPr>
          <w:lang w:eastAsia="ja-JP"/>
        </w:rPr>
        <w:t xml:space="preserve"> the standards for BWA systems in the fixed services are developed by standardization development bodies with broad international participation;</w:t>
      </w:r>
    </w:p>
    <w:p w14:paraId="00A844AF" w14:textId="77777777" w:rsidR="007652EB" w:rsidRPr="003A3EF5" w:rsidRDefault="007652EB" w:rsidP="007652EB">
      <w:pPr>
        <w:rPr>
          <w:lang w:eastAsia="ja-JP"/>
        </w:rPr>
      </w:pPr>
      <w:r w:rsidRPr="003A3EF5">
        <w:rPr>
          <w:i/>
          <w:iCs/>
          <w:lang w:eastAsia="ja-JP"/>
        </w:rPr>
        <w:t>c)</w:t>
      </w:r>
      <w:r w:rsidRPr="003A3EF5">
        <w:rPr>
          <w:lang w:eastAsia="ja-JP"/>
        </w:rPr>
        <w:tab/>
        <w:t>that standards for systems operating in the mobile service can be utilized to provide fixed BWA;</w:t>
      </w:r>
    </w:p>
    <w:p w14:paraId="525FAB17" w14:textId="77777777" w:rsidR="007652EB" w:rsidRPr="003A3EF5" w:rsidRDefault="007652EB" w:rsidP="007652EB">
      <w:pPr>
        <w:rPr>
          <w:lang w:eastAsia="ja-JP"/>
        </w:rPr>
      </w:pPr>
      <w:r w:rsidRPr="003A3EF5">
        <w:rPr>
          <w:i/>
          <w:iCs/>
          <w:lang w:eastAsia="ja-JP"/>
        </w:rPr>
        <w:t>d)</w:t>
      </w:r>
      <w:r w:rsidRPr="003A3EF5">
        <w:rPr>
          <w:lang w:eastAsia="ja-JP"/>
        </w:rPr>
        <w:tab/>
        <w:t>that standards for BWA support a wide range of fixed and nomadic broadband applications, such as voice and videoconferencing, in urban, suburban, and rural areas,</w:t>
      </w:r>
    </w:p>
    <w:p w14:paraId="3B337011" w14:textId="77777777" w:rsidR="007652EB" w:rsidRPr="003A3EF5" w:rsidRDefault="007652EB" w:rsidP="007652EB">
      <w:pPr>
        <w:pStyle w:val="Call"/>
        <w:rPr>
          <w:lang w:eastAsia="zh-CN"/>
        </w:rPr>
      </w:pPr>
      <w:r w:rsidRPr="003A3EF5">
        <w:rPr>
          <w:lang w:eastAsia="ja-JP"/>
        </w:rPr>
        <w:t>recognizing</w:t>
      </w:r>
    </w:p>
    <w:p w14:paraId="3F5F11E5" w14:textId="77777777" w:rsidR="007652EB" w:rsidRPr="007652EB" w:rsidRDefault="007652EB" w:rsidP="007652EB">
      <w:r w:rsidRPr="007652EB">
        <w:rPr>
          <w:i/>
          <w:iCs/>
        </w:rPr>
        <w:t>a)</w:t>
      </w:r>
      <w:r w:rsidRPr="007652EB">
        <w:rPr>
          <w:lang w:eastAsia="ja-JP"/>
        </w:rPr>
        <w:tab/>
      </w:r>
      <w:r w:rsidRPr="007652EB">
        <w:rPr>
          <w:lang w:eastAsia="zh-CN"/>
        </w:rPr>
        <w:t xml:space="preserve">that </w:t>
      </w:r>
      <w:r w:rsidRPr="007652EB">
        <w:rPr>
          <w:lang w:eastAsia="ja-JP"/>
        </w:rPr>
        <w:t xml:space="preserve">Recommendation </w:t>
      </w:r>
      <w:hyperlink r:id="rId14" w:history="1">
        <w:r w:rsidRPr="007652EB">
          <w:rPr>
            <w:rStyle w:val="Hyperlink"/>
            <w:color w:val="auto"/>
            <w:u w:val="none"/>
            <w:lang w:eastAsia="ja-JP"/>
          </w:rPr>
          <w:t>ITU-R F.1401</w:t>
        </w:r>
      </w:hyperlink>
      <w:r w:rsidRPr="007652EB">
        <w:rPr>
          <w:lang w:eastAsia="ja-JP"/>
        </w:rPr>
        <w:t xml:space="preserve"> provides considerations for the </w:t>
      </w:r>
      <w:r w:rsidRPr="007652EB">
        <w:t>identification of possible frequency bands for fixed wireless access and related sharing studies;</w:t>
      </w:r>
    </w:p>
    <w:p w14:paraId="3D3E503D" w14:textId="77777777" w:rsidR="007652EB" w:rsidRPr="007652EB" w:rsidRDefault="007652EB" w:rsidP="007652EB">
      <w:pPr>
        <w:rPr>
          <w:lang w:eastAsia="ja-JP"/>
        </w:rPr>
      </w:pPr>
      <w:r w:rsidRPr="007652EB">
        <w:rPr>
          <w:i/>
          <w:iCs/>
        </w:rPr>
        <w:t>b)</w:t>
      </w:r>
      <w:r w:rsidRPr="007652EB">
        <w:tab/>
      </w:r>
      <w:r w:rsidRPr="007652EB">
        <w:rPr>
          <w:lang w:eastAsia="zh-CN"/>
        </w:rPr>
        <w:t xml:space="preserve">that </w:t>
      </w:r>
      <w:r w:rsidRPr="007652EB">
        <w:t>the Handbook on Fixed Wireless Access (Volume 1 of the Land Mobile (including Wireless Access)), also includes a number of proprietary solutions for fixed BWA;</w:t>
      </w:r>
    </w:p>
    <w:p w14:paraId="1A990A08" w14:textId="77777777" w:rsidR="007652EB" w:rsidRPr="007652EB" w:rsidRDefault="007652EB" w:rsidP="007652EB">
      <w:pPr>
        <w:rPr>
          <w:lang w:eastAsia="ja-JP"/>
        </w:rPr>
      </w:pPr>
      <w:r w:rsidRPr="007652EB">
        <w:rPr>
          <w:i/>
          <w:iCs/>
        </w:rPr>
        <w:t>c)</w:t>
      </w:r>
      <w:r w:rsidRPr="007652EB">
        <w:rPr>
          <w:i/>
          <w:iCs/>
        </w:rPr>
        <w:tab/>
      </w:r>
      <w:r w:rsidRPr="007652EB">
        <w:rPr>
          <w:lang w:eastAsia="zh-CN"/>
        </w:rPr>
        <w:t>that</w:t>
      </w:r>
      <w:r w:rsidRPr="007652EB">
        <w:rPr>
          <w:i/>
          <w:iCs/>
          <w:lang w:eastAsia="zh-CN"/>
        </w:rPr>
        <w:t xml:space="preserve"> </w:t>
      </w:r>
      <w:r w:rsidRPr="007652EB">
        <w:t xml:space="preserve">Recommendation </w:t>
      </w:r>
      <w:hyperlink r:id="rId15" w:history="1">
        <w:r w:rsidRPr="007652EB">
          <w:rPr>
            <w:rStyle w:val="Hyperlink"/>
            <w:color w:val="auto"/>
            <w:u w:val="none"/>
          </w:rPr>
          <w:t>ITU-R F.1499</w:t>
        </w:r>
      </w:hyperlink>
      <w:r w:rsidRPr="007652EB">
        <w:t xml:space="preserve"> specifies radio transmission systems for fixed broadband wireless access (BWA) based on cable modem standards;</w:t>
      </w:r>
    </w:p>
    <w:p w14:paraId="7C228E86" w14:textId="77777777" w:rsidR="007652EB" w:rsidRPr="007652EB" w:rsidRDefault="007652EB" w:rsidP="007652EB">
      <w:r w:rsidRPr="007652EB">
        <w:rPr>
          <w:i/>
          <w:iCs/>
        </w:rPr>
        <w:lastRenderedPageBreak/>
        <w:t>d)</w:t>
      </w:r>
      <w:r w:rsidRPr="007652EB">
        <w:tab/>
      </w:r>
      <w:r w:rsidRPr="007652EB">
        <w:rPr>
          <w:lang w:eastAsia="zh-CN"/>
        </w:rPr>
        <w:t xml:space="preserve">that </w:t>
      </w:r>
      <w:r w:rsidRPr="007652EB">
        <w:t xml:space="preserve">Recommendation </w:t>
      </w:r>
      <w:hyperlink r:id="rId16" w:history="1">
        <w:r w:rsidRPr="007652EB">
          <w:rPr>
            <w:rStyle w:val="Hyperlink"/>
            <w:color w:val="auto"/>
            <w:u w:val="none"/>
          </w:rPr>
          <w:t>ITU-R M.1450</w:t>
        </w:r>
      </w:hyperlink>
      <w:r w:rsidRPr="007652EB">
        <w:t xml:space="preserve"> recommends broadband radio local area networks standards;</w:t>
      </w:r>
    </w:p>
    <w:p w14:paraId="54C29EAB" w14:textId="77777777" w:rsidR="007652EB" w:rsidRPr="007652EB" w:rsidRDefault="007652EB" w:rsidP="007652EB">
      <w:pPr>
        <w:rPr>
          <w:lang w:eastAsia="ja-JP"/>
        </w:rPr>
      </w:pPr>
      <w:r w:rsidRPr="007652EB">
        <w:rPr>
          <w:i/>
          <w:iCs/>
        </w:rPr>
        <w:t>e)</w:t>
      </w:r>
      <w:r w:rsidRPr="007652EB">
        <w:tab/>
      </w:r>
      <w:r w:rsidRPr="007652EB">
        <w:rPr>
          <w:lang w:eastAsia="zh-CN"/>
        </w:rPr>
        <w:t xml:space="preserve">that </w:t>
      </w:r>
      <w:r w:rsidRPr="007652EB">
        <w:t xml:space="preserve">Recommendation </w:t>
      </w:r>
      <w:hyperlink r:id="rId17" w:history="1">
        <w:r w:rsidRPr="007652EB">
          <w:rPr>
            <w:rStyle w:val="Hyperlink"/>
            <w:color w:val="auto"/>
            <w:u w:val="none"/>
          </w:rPr>
          <w:t>ITU-R M.1457</w:t>
        </w:r>
      </w:hyperlink>
      <w:r w:rsidRPr="007652EB">
        <w:t xml:space="preserve"> recommends IMT-2000 </w:t>
      </w:r>
      <w:r w:rsidRPr="007652EB">
        <w:rPr>
          <w:lang w:eastAsia="ja-JP"/>
        </w:rPr>
        <w:t xml:space="preserve">terrestrial </w:t>
      </w:r>
      <w:r w:rsidRPr="007652EB">
        <w:t>radio interface standards in the frequency bands identified for IMT in the RR</w:t>
      </w:r>
      <w:r w:rsidRPr="007652EB">
        <w:rPr>
          <w:lang w:eastAsia="ja-JP"/>
        </w:rPr>
        <w:t>;</w:t>
      </w:r>
    </w:p>
    <w:p w14:paraId="494DE6DA" w14:textId="77777777" w:rsidR="007652EB" w:rsidRPr="007652EB" w:rsidRDefault="007652EB" w:rsidP="007652EB">
      <w:pPr>
        <w:rPr>
          <w:lang w:eastAsia="ja-JP"/>
        </w:rPr>
      </w:pPr>
      <w:r w:rsidRPr="007652EB">
        <w:rPr>
          <w:i/>
          <w:iCs/>
          <w:lang w:eastAsia="ja-JP"/>
        </w:rPr>
        <w:t>f</w:t>
      </w:r>
      <w:r w:rsidRPr="007652EB">
        <w:rPr>
          <w:i/>
          <w:iCs/>
        </w:rPr>
        <w:t>)</w:t>
      </w:r>
      <w:r w:rsidRPr="007652EB">
        <w:tab/>
      </w:r>
      <w:r w:rsidRPr="007652EB">
        <w:rPr>
          <w:lang w:eastAsia="zh-CN"/>
        </w:rPr>
        <w:t xml:space="preserve">that </w:t>
      </w:r>
      <w:r w:rsidRPr="007652EB">
        <w:rPr>
          <w:lang w:eastAsia="ja-JP"/>
        </w:rPr>
        <w:t xml:space="preserve">Recommendation </w:t>
      </w:r>
      <w:hyperlink r:id="rId18" w:history="1">
        <w:r w:rsidRPr="007652EB">
          <w:rPr>
            <w:rStyle w:val="Hyperlink"/>
            <w:color w:val="auto"/>
            <w:u w:val="none"/>
            <w:lang w:eastAsia="ja-JP"/>
          </w:rPr>
          <w:t>ITU-R M.1801</w:t>
        </w:r>
      </w:hyperlink>
      <w:r w:rsidRPr="007652EB">
        <w:rPr>
          <w:lang w:eastAsia="ja-JP"/>
        </w:rPr>
        <w:t xml:space="preserve"> recommends</w:t>
      </w:r>
      <w:r w:rsidRPr="007652EB">
        <w:t xml:space="preserve"> </w:t>
      </w:r>
      <w:r w:rsidRPr="007652EB">
        <w:rPr>
          <w:lang w:eastAsia="ja-JP"/>
        </w:rPr>
        <w:t>r</w:t>
      </w:r>
      <w:r w:rsidRPr="007652EB">
        <w:t>adio interface standards for BWA systems, including mobile and nomadic applications, in the mobile service</w:t>
      </w:r>
      <w:r w:rsidRPr="007652EB">
        <w:rPr>
          <w:lang w:eastAsia="ja-JP"/>
        </w:rPr>
        <w:t>,</w:t>
      </w:r>
      <w:r w:rsidRPr="007652EB">
        <w:t xml:space="preserve"> some of which </w:t>
      </w:r>
      <w:r w:rsidRPr="007652EB">
        <w:rPr>
          <w:lang w:eastAsia="ja-JP"/>
        </w:rPr>
        <w:t xml:space="preserve">may </w:t>
      </w:r>
      <w:r w:rsidRPr="007652EB">
        <w:t xml:space="preserve">also </w:t>
      </w:r>
      <w:r w:rsidRPr="007652EB">
        <w:rPr>
          <w:lang w:eastAsia="ja-JP"/>
        </w:rPr>
        <w:t xml:space="preserve">be </w:t>
      </w:r>
      <w:r w:rsidRPr="007652EB">
        <w:t>used to provide fixed BWA;</w:t>
      </w:r>
    </w:p>
    <w:p w14:paraId="4C9E2624" w14:textId="77777777" w:rsidR="007652EB" w:rsidRPr="007652EB" w:rsidRDefault="007652EB" w:rsidP="007652EB">
      <w:pPr>
        <w:rPr>
          <w:lang w:eastAsia="ja-JP"/>
        </w:rPr>
      </w:pPr>
      <w:r w:rsidRPr="007652EB">
        <w:rPr>
          <w:i/>
          <w:iCs/>
          <w:lang w:eastAsia="ja-JP"/>
        </w:rPr>
        <w:t>g)</w:t>
      </w:r>
      <w:r w:rsidRPr="007652EB">
        <w:rPr>
          <w:lang w:eastAsia="ja-JP"/>
        </w:rPr>
        <w:tab/>
      </w:r>
      <w:r w:rsidRPr="007652EB">
        <w:rPr>
          <w:lang w:eastAsia="zh-CN"/>
        </w:rPr>
        <w:t xml:space="preserve">that </w:t>
      </w:r>
      <w:r w:rsidRPr="007652EB">
        <w:rPr>
          <w:lang w:eastAsia="ja-JP"/>
        </w:rPr>
        <w:t xml:space="preserve">Recommendation </w:t>
      </w:r>
      <w:hyperlink r:id="rId19" w:history="1">
        <w:r w:rsidRPr="007652EB">
          <w:rPr>
            <w:rStyle w:val="Hyperlink"/>
            <w:color w:val="auto"/>
            <w:u w:val="none"/>
            <w:lang w:eastAsia="ja-JP"/>
          </w:rPr>
          <w:t>ITU-R M.2003</w:t>
        </w:r>
      </w:hyperlink>
      <w:r w:rsidRPr="007652EB">
        <w:rPr>
          <w:lang w:eastAsia="ja-JP"/>
        </w:rPr>
        <w:t xml:space="preserve"> recommends</w:t>
      </w:r>
      <w:r w:rsidRPr="007652EB">
        <w:t xml:space="preserve"> </w:t>
      </w:r>
      <w:r w:rsidRPr="007652EB">
        <w:rPr>
          <w:lang w:eastAsia="ja-JP"/>
        </w:rPr>
        <w:t>multiple gigabit wireless systems in frequencies around 60 GHz, some of which may also be used to provide fixed BWA;</w:t>
      </w:r>
    </w:p>
    <w:p w14:paraId="6A2A10F6" w14:textId="77777777" w:rsidR="007652EB" w:rsidRPr="007652EB" w:rsidRDefault="007652EB" w:rsidP="007652EB">
      <w:pPr>
        <w:rPr>
          <w:lang w:eastAsia="zh-CN"/>
        </w:rPr>
      </w:pPr>
      <w:r w:rsidRPr="007652EB">
        <w:rPr>
          <w:i/>
          <w:iCs/>
          <w:lang w:eastAsia="ja-JP"/>
        </w:rPr>
        <w:t>h)</w:t>
      </w:r>
      <w:r w:rsidRPr="007652EB">
        <w:rPr>
          <w:lang w:eastAsia="ja-JP"/>
        </w:rPr>
        <w:tab/>
      </w:r>
      <w:r w:rsidRPr="007652EB">
        <w:rPr>
          <w:lang w:eastAsia="zh-CN"/>
        </w:rPr>
        <w:t xml:space="preserve">that </w:t>
      </w:r>
      <w:r w:rsidRPr="007652EB">
        <w:rPr>
          <w:lang w:eastAsia="ja-JP"/>
        </w:rPr>
        <w:t xml:space="preserve">Recommendation </w:t>
      </w:r>
      <w:hyperlink r:id="rId20" w:history="1">
        <w:r w:rsidRPr="007652EB">
          <w:rPr>
            <w:rStyle w:val="Hyperlink"/>
            <w:color w:val="auto"/>
            <w:u w:val="none"/>
            <w:lang w:eastAsia="ja-JP"/>
          </w:rPr>
          <w:t>ITU-R M.2012</w:t>
        </w:r>
      </w:hyperlink>
      <w:r w:rsidRPr="007652EB">
        <w:rPr>
          <w:lang w:eastAsia="ja-JP"/>
        </w:rPr>
        <w:t xml:space="preserve"> recommends detailed specifications of the terrestrial radio interfaces of International Mobile Telecommunications-Advanced (IMT</w:t>
      </w:r>
      <w:r w:rsidRPr="007652EB">
        <w:rPr>
          <w:lang w:eastAsia="ja-JP"/>
        </w:rPr>
        <w:noBreakHyphen/>
        <w:t>Advanced)</w:t>
      </w:r>
      <w:r w:rsidRPr="007652EB">
        <w:t xml:space="preserve"> in the frequency bands identified for IMT in the RR</w:t>
      </w:r>
      <w:r w:rsidRPr="007652EB">
        <w:rPr>
          <w:lang w:eastAsia="ja-JP"/>
        </w:rPr>
        <w:t>;</w:t>
      </w:r>
    </w:p>
    <w:p w14:paraId="6AD99E0F" w14:textId="77777777" w:rsidR="007652EB" w:rsidRPr="007652EB" w:rsidRDefault="007652EB" w:rsidP="007652EB">
      <w:proofErr w:type="spellStart"/>
      <w:r w:rsidRPr="007652EB">
        <w:rPr>
          <w:i/>
          <w:iCs/>
          <w:lang w:eastAsia="zh-CN"/>
        </w:rPr>
        <w:t>i</w:t>
      </w:r>
      <w:proofErr w:type="spellEnd"/>
      <w:r w:rsidRPr="007652EB">
        <w:rPr>
          <w:i/>
          <w:iCs/>
          <w:lang w:eastAsia="ja-JP"/>
        </w:rPr>
        <w:t>)</w:t>
      </w:r>
      <w:r w:rsidRPr="007652EB">
        <w:rPr>
          <w:lang w:eastAsia="ja-JP"/>
        </w:rPr>
        <w:tab/>
      </w:r>
      <w:r w:rsidRPr="007652EB">
        <w:rPr>
          <w:lang w:eastAsia="zh-CN"/>
        </w:rPr>
        <w:t xml:space="preserve">that </w:t>
      </w:r>
      <w:r w:rsidRPr="007652EB">
        <w:rPr>
          <w:lang w:eastAsia="ja-JP"/>
        </w:rPr>
        <w:t xml:space="preserve">Recommendation </w:t>
      </w:r>
      <w:hyperlink r:id="rId21" w:history="1">
        <w:r w:rsidRPr="007652EB">
          <w:rPr>
            <w:rStyle w:val="Hyperlink"/>
            <w:color w:val="auto"/>
            <w:u w:val="none"/>
            <w:lang w:eastAsia="ja-JP"/>
          </w:rPr>
          <w:t>ITU-R M.</w:t>
        </w:r>
        <w:r w:rsidRPr="007652EB">
          <w:rPr>
            <w:rStyle w:val="Hyperlink"/>
            <w:color w:val="auto"/>
            <w:u w:val="none"/>
            <w:lang w:eastAsia="zh-CN"/>
          </w:rPr>
          <w:t>2150</w:t>
        </w:r>
      </w:hyperlink>
      <w:r w:rsidRPr="007652EB">
        <w:rPr>
          <w:lang w:eastAsia="ja-JP"/>
        </w:rPr>
        <w:t xml:space="preserve"> recommends detailed specifications of the terrestrial radio interfaces of International Mobile Telecommunications-2020 (IMT-2020) </w:t>
      </w:r>
      <w:r w:rsidRPr="007652EB">
        <w:t>in the frequency bands identified for IMT in the RR;</w:t>
      </w:r>
    </w:p>
    <w:p w14:paraId="3991867B" w14:textId="77777777" w:rsidR="007652EB" w:rsidRPr="003A3EF5" w:rsidRDefault="007652EB" w:rsidP="007652EB">
      <w:pPr>
        <w:rPr>
          <w:lang w:eastAsia="ja-JP"/>
        </w:rPr>
      </w:pPr>
      <w:r w:rsidRPr="007652EB">
        <w:rPr>
          <w:i/>
          <w:iCs/>
        </w:rPr>
        <w:t>j)</w:t>
      </w:r>
      <w:r w:rsidRPr="007652EB">
        <w:tab/>
        <w:t xml:space="preserve">that Resolution </w:t>
      </w:r>
      <w:hyperlink r:id="rId22" w:history="1">
        <w:r w:rsidRPr="007652EB">
          <w:rPr>
            <w:rStyle w:val="Hyperlink"/>
            <w:color w:val="auto"/>
            <w:u w:val="none"/>
          </w:rPr>
          <w:t>ITU-R 73</w:t>
        </w:r>
      </w:hyperlink>
      <w:r w:rsidRPr="007652EB">
        <w:t xml:space="preserve"> </w:t>
      </w:r>
      <w:r w:rsidRPr="007652EB">
        <w:rPr>
          <w:i/>
          <w:iCs/>
        </w:rPr>
        <w:t>resolves to invite the ITU-R</w:t>
      </w:r>
      <w:r w:rsidRPr="007652EB">
        <w:t xml:space="preserve"> to conduct studies on the use of IMT </w:t>
      </w:r>
      <w:r w:rsidRPr="003A3EF5">
        <w:t>technologies for fixed wireless broadband in the frequency bands allocated to the fixed service on a primary basis</w:t>
      </w:r>
      <w:r w:rsidRPr="003A3EF5">
        <w:rPr>
          <w:lang w:eastAsia="ja-JP"/>
        </w:rPr>
        <w:t>,</w:t>
      </w:r>
    </w:p>
    <w:p w14:paraId="1EE0FF37" w14:textId="77777777" w:rsidR="007652EB" w:rsidRPr="003A3EF5" w:rsidRDefault="007652EB" w:rsidP="007652EB">
      <w:pPr>
        <w:pStyle w:val="Call"/>
      </w:pPr>
      <w:r w:rsidRPr="003A3EF5">
        <w:t>recommends</w:t>
      </w:r>
    </w:p>
    <w:p w14:paraId="38ABB55A" w14:textId="77777777" w:rsidR="007652EB" w:rsidRPr="003A3EF5" w:rsidRDefault="007652EB" w:rsidP="007652EB">
      <w:pPr>
        <w:textAlignment w:val="auto"/>
        <w:rPr>
          <w:lang w:eastAsia="ja-JP"/>
        </w:rPr>
      </w:pPr>
      <w:r w:rsidRPr="003A3EF5">
        <w:rPr>
          <w:lang w:eastAsia="ja-JP"/>
        </w:rPr>
        <w:t xml:space="preserve">that the </w:t>
      </w:r>
      <w:r>
        <w:rPr>
          <w:lang w:eastAsia="ja-JP"/>
        </w:rPr>
        <w:t xml:space="preserve">radio interface </w:t>
      </w:r>
      <w:r w:rsidRPr="003A3EF5">
        <w:rPr>
          <w:lang w:eastAsia="ja-JP"/>
        </w:rPr>
        <w:t xml:space="preserve">standards in </w:t>
      </w:r>
      <w:r w:rsidRPr="003A3EF5">
        <w:rPr>
          <w:i/>
          <w:lang w:eastAsia="ja-JP"/>
        </w:rPr>
        <w:t xml:space="preserve">recognizing </w:t>
      </w:r>
      <w:r w:rsidRPr="003A3EF5">
        <w:rPr>
          <w:i/>
          <w:iCs/>
          <w:lang w:eastAsia="ja-JP"/>
        </w:rPr>
        <w:t>d)</w:t>
      </w:r>
      <w:r w:rsidRPr="003A3EF5">
        <w:rPr>
          <w:lang w:eastAsia="ja-JP"/>
        </w:rPr>
        <w:t xml:space="preserve">, </w:t>
      </w:r>
      <w:r w:rsidRPr="003A3EF5">
        <w:rPr>
          <w:i/>
          <w:iCs/>
          <w:lang w:eastAsia="ja-JP"/>
        </w:rPr>
        <w:t>e)</w:t>
      </w:r>
      <w:r w:rsidRPr="003A3EF5">
        <w:rPr>
          <w:lang w:eastAsia="ja-JP"/>
        </w:rPr>
        <w:t xml:space="preserve">, </w:t>
      </w:r>
      <w:r w:rsidRPr="003A3EF5">
        <w:rPr>
          <w:i/>
          <w:iCs/>
          <w:lang w:eastAsia="ja-JP"/>
        </w:rPr>
        <w:t>f)</w:t>
      </w:r>
      <w:r w:rsidRPr="003A3EF5">
        <w:rPr>
          <w:lang w:eastAsia="ja-JP"/>
        </w:rPr>
        <w:t xml:space="preserve">, </w:t>
      </w:r>
      <w:r w:rsidRPr="003A3EF5">
        <w:rPr>
          <w:i/>
          <w:iCs/>
          <w:lang w:eastAsia="ja-JP"/>
        </w:rPr>
        <w:t>g)</w:t>
      </w:r>
      <w:r w:rsidRPr="003A3EF5">
        <w:rPr>
          <w:lang w:eastAsia="zh-CN"/>
        </w:rPr>
        <w:t>,</w:t>
      </w:r>
      <w:r w:rsidRPr="003A3EF5">
        <w:rPr>
          <w:i/>
          <w:iCs/>
          <w:lang w:eastAsia="ja-JP"/>
        </w:rPr>
        <w:t xml:space="preserve"> h)</w:t>
      </w:r>
      <w:r w:rsidRPr="003A3EF5">
        <w:rPr>
          <w:i/>
          <w:iCs/>
          <w:lang w:eastAsia="zh-CN"/>
        </w:rPr>
        <w:t xml:space="preserve"> </w:t>
      </w:r>
      <w:r w:rsidRPr="003A3EF5">
        <w:rPr>
          <w:lang w:eastAsia="zh-CN"/>
        </w:rPr>
        <w:t>and</w:t>
      </w:r>
      <w:r w:rsidRPr="003A3EF5">
        <w:rPr>
          <w:i/>
          <w:iCs/>
          <w:lang w:eastAsia="zh-CN"/>
        </w:rPr>
        <w:t xml:space="preserve"> </w:t>
      </w:r>
      <w:proofErr w:type="spellStart"/>
      <w:r w:rsidRPr="003A3EF5">
        <w:rPr>
          <w:i/>
          <w:iCs/>
          <w:lang w:eastAsia="zh-CN"/>
        </w:rPr>
        <w:t>i</w:t>
      </w:r>
      <w:proofErr w:type="spellEnd"/>
      <w:r w:rsidRPr="003A3EF5">
        <w:rPr>
          <w:i/>
          <w:iCs/>
          <w:lang w:eastAsia="zh-CN"/>
        </w:rPr>
        <w:t>)</w:t>
      </w:r>
      <w:r w:rsidRPr="003A3EF5">
        <w:rPr>
          <w:i/>
          <w:iCs/>
          <w:lang w:eastAsia="ja-JP"/>
        </w:rPr>
        <w:t xml:space="preserve"> </w:t>
      </w:r>
      <w:r w:rsidRPr="003A3EF5">
        <w:rPr>
          <w:lang w:eastAsia="ja-JP"/>
        </w:rPr>
        <w:t>that are able to support fixed BWA should be considered for use.</w:t>
      </w:r>
    </w:p>
    <w:p w14:paraId="2E590567" w14:textId="77777777" w:rsidR="007652EB" w:rsidRPr="003A3EF5" w:rsidRDefault="007652EB" w:rsidP="007652EB">
      <w:pPr>
        <w:pStyle w:val="Reftitle"/>
        <w:spacing w:before="1200"/>
      </w:pPr>
      <w:r w:rsidRPr="003A3EF5">
        <w:t>References</w:t>
      </w:r>
    </w:p>
    <w:p w14:paraId="283113BD" w14:textId="77777777" w:rsidR="007652EB" w:rsidRPr="003A3EF5" w:rsidRDefault="007652EB" w:rsidP="007652EB">
      <w:pPr>
        <w:pStyle w:val="Reftext"/>
      </w:pPr>
      <w:hyperlink r:id="rId23" w:history="1">
        <w:r w:rsidRPr="003A3EF5">
          <w:t>Recommendation ITU-R F.1399</w:t>
        </w:r>
      </w:hyperlink>
      <w:r w:rsidRPr="003A3EF5">
        <w:t xml:space="preserve"> – </w:t>
      </w:r>
      <w:r w:rsidRPr="003A3EF5">
        <w:rPr>
          <w:color w:val="000000"/>
        </w:rPr>
        <w:t>Vocabulary of terms for wireless access.</w:t>
      </w:r>
    </w:p>
    <w:p w14:paraId="7DCF12E5" w14:textId="77777777" w:rsidR="007652EB" w:rsidRPr="003A3EF5" w:rsidRDefault="007652EB" w:rsidP="007652EB">
      <w:pPr>
        <w:pStyle w:val="Reasons"/>
        <w:spacing w:before="0"/>
      </w:pPr>
    </w:p>
    <w:p w14:paraId="0C14E836" w14:textId="36B1591A" w:rsidR="007652EB" w:rsidRDefault="007652EB" w:rsidP="007652EB">
      <w:pPr>
        <w:pStyle w:val="Line"/>
      </w:pPr>
    </w:p>
    <w:sectPr w:rsidR="007652EB" w:rsidSect="007652EB">
      <w:headerReference w:type="even" r:id="rId24"/>
      <w:headerReference w:type="default" r:id="rId25"/>
      <w:footerReference w:type="default" r:id="rId26"/>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9609" w14:textId="77777777" w:rsidR="00FF4CB2" w:rsidRDefault="00FF4CB2">
      <w:r>
        <w:separator/>
      </w:r>
    </w:p>
  </w:endnote>
  <w:endnote w:type="continuationSeparator" w:id="0">
    <w:p w14:paraId="25C98A0D" w14:textId="77777777" w:rsidR="00FF4CB2" w:rsidRDefault="00FF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35DF" w14:textId="77777777" w:rsidR="00FF4CB2" w:rsidRDefault="00FF4CB2">
    <w:pPr>
      <w:pStyle w:val="Footer"/>
    </w:pPr>
    <w:r>
      <w:drawing>
        <wp:anchor distT="0" distB="0" distL="0" distR="0" simplePos="0" relativeHeight="251656192" behindDoc="0" locked="0" layoutInCell="1" allowOverlap="1" wp14:anchorId="718DD2ED" wp14:editId="68E1B56C">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4FFD" w14:textId="5D4E008C" w:rsidR="007652EB" w:rsidRDefault="0076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1D32" w14:textId="77777777" w:rsidR="00FF4CB2" w:rsidRDefault="00FF4CB2">
      <w:r>
        <w:separator/>
      </w:r>
    </w:p>
  </w:footnote>
  <w:footnote w:type="continuationSeparator" w:id="0">
    <w:p w14:paraId="4B009811" w14:textId="77777777" w:rsidR="00FF4CB2" w:rsidRDefault="00FF4CB2">
      <w:r>
        <w:continuationSeparator/>
      </w:r>
    </w:p>
  </w:footnote>
  <w:footnote w:id="1">
    <w:p w14:paraId="191D0D67" w14:textId="77777777" w:rsidR="007652EB" w:rsidRPr="007652EB" w:rsidRDefault="007652EB" w:rsidP="007652EB">
      <w:pPr>
        <w:pStyle w:val="FootnoteText"/>
        <w:spacing w:after="120"/>
        <w:ind w:left="284" w:hanging="284"/>
        <w:rPr>
          <w:szCs w:val="24"/>
          <w:lang w:val="en-US"/>
        </w:rPr>
      </w:pPr>
      <w:r w:rsidRPr="007652EB">
        <w:rPr>
          <w:rStyle w:val="FootnoteReference"/>
        </w:rPr>
        <w:footnoteRef/>
      </w:r>
      <w:r w:rsidRPr="007652EB">
        <w:rPr>
          <w:lang w:val="en-US"/>
        </w:rPr>
        <w:tab/>
      </w:r>
      <w:r w:rsidRPr="007652EB">
        <w:rPr>
          <w:lang w:val="en-US" w:eastAsia="ja-JP"/>
        </w:rPr>
        <w:t>“</w:t>
      </w:r>
      <w:r w:rsidRPr="007652EB">
        <w:rPr>
          <w:rFonts w:hint="eastAsia"/>
          <w:lang w:val="en-US" w:eastAsia="ja-JP"/>
        </w:rPr>
        <w:t>Wireless access</w:t>
      </w:r>
      <w:r w:rsidRPr="007652EB">
        <w:rPr>
          <w:lang w:val="en-US" w:eastAsia="ja-JP"/>
        </w:rPr>
        <w:t>”</w:t>
      </w:r>
      <w:r w:rsidRPr="007652EB">
        <w:rPr>
          <w:rFonts w:hint="eastAsia"/>
          <w:lang w:val="en-US" w:eastAsia="ja-JP"/>
        </w:rPr>
        <w:t xml:space="preserve"> and </w:t>
      </w:r>
      <w:r w:rsidRPr="007652EB">
        <w:rPr>
          <w:lang w:val="en-US" w:eastAsia="ja-JP"/>
        </w:rPr>
        <w:t>“</w:t>
      </w:r>
      <w:r w:rsidRPr="007652EB">
        <w:rPr>
          <w:rFonts w:hint="eastAsia"/>
          <w:lang w:val="en-US" w:eastAsia="ja-JP"/>
        </w:rPr>
        <w:t>BWA</w:t>
      </w:r>
      <w:r w:rsidRPr="007652EB">
        <w:rPr>
          <w:lang w:val="en-US" w:eastAsia="ja-JP"/>
        </w:rPr>
        <w:t>”</w:t>
      </w:r>
      <w:r w:rsidRPr="007652EB">
        <w:rPr>
          <w:rFonts w:hint="eastAsia"/>
          <w:lang w:val="en-US" w:eastAsia="ja-JP"/>
        </w:rPr>
        <w:t xml:space="preserve"> are defined in Recommendation </w:t>
      </w:r>
      <w:hyperlink r:id="rId1" w:history="1">
        <w:r w:rsidRPr="007652EB">
          <w:rPr>
            <w:rStyle w:val="Hyperlink"/>
            <w:rFonts w:hint="eastAsia"/>
            <w:color w:val="auto"/>
            <w:u w:val="none"/>
            <w:lang w:val="en-US" w:eastAsia="ja-JP"/>
          </w:rPr>
          <w:t>ITU-R F.1399</w:t>
        </w:r>
      </w:hyperlink>
      <w:r w:rsidRPr="007652EB">
        <w:rPr>
          <w:rStyle w:val="FootnoteTextChar"/>
          <w:szCs w:val="24"/>
          <w:lang w:val="en-US"/>
        </w:rPr>
        <w:t>, which also provides definitions of the terms “fixed”, “mobile” and “nomadic” wireless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EA4E" w14:textId="77777777" w:rsidR="00FF4CB2" w:rsidRDefault="00FF4CB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FF4CB2" w:rsidRPr="00A239D1" w14:paraId="202AD45A" w14:textId="77777777" w:rsidTr="0019307B">
      <w:tc>
        <w:tcPr>
          <w:tcW w:w="4634" w:type="dxa"/>
          <w:vAlign w:val="center"/>
        </w:tcPr>
        <w:p w14:paraId="6B90C836" w14:textId="77777777" w:rsidR="00FF4CB2" w:rsidRPr="005B0371" w:rsidRDefault="00FF4CB2"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C5DA90B" w14:textId="77777777" w:rsidR="00FF4CB2" w:rsidRPr="00260B24" w:rsidRDefault="00FF4CB2"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FF4CB2" w:rsidRPr="00A239D1" w14:paraId="4897F72C" w14:textId="77777777" w:rsidTr="0019307B">
      <w:tc>
        <w:tcPr>
          <w:tcW w:w="4634" w:type="dxa"/>
          <w:vAlign w:val="center"/>
        </w:tcPr>
        <w:p w14:paraId="262153DE" w14:textId="77777777" w:rsidR="00FF4CB2" w:rsidRPr="00260B24" w:rsidRDefault="00FF4CB2"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679B36F3" w14:textId="77777777" w:rsidR="00FF4CB2" w:rsidRPr="00260B24" w:rsidRDefault="00FF4CB2"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08F2263C" w14:textId="77777777" w:rsidR="00FF4CB2" w:rsidRDefault="00FF4CB2"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699A61E0" wp14:editId="62A9C37C">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25BD6894" wp14:editId="6E61CB42">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322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CB177B4" w14:textId="77777777" w:rsidR="00FF4CB2" w:rsidRDefault="00FF4CB2"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38BF867B" wp14:editId="2696FEEB">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D0383"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DCA8" w14:textId="20B83F8F" w:rsidR="00FF4CB2" w:rsidRPr="00D72623" w:rsidRDefault="00FF4CB2"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0C3696">
      <w:rPr>
        <w:b/>
        <w:bCs/>
        <w:noProof/>
      </w:rPr>
      <w:t>ITU-R  F.1763-2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D1AE" w14:textId="77777777" w:rsidR="00FF4CB2" w:rsidRDefault="00FF4CB2">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F.XXX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8A07" w14:textId="2E49101E"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FF4CB2" w:rsidRPr="00FF4CB2">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0C3696">
      <w:rPr>
        <w:b/>
        <w:bCs/>
        <w:noProof/>
      </w:rPr>
      <w:t>ITU-R  F.1763-2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DC3A" w14:textId="1D4C8C62" w:rsidR="00607D68" w:rsidRDefault="00607D68">
    <w:pPr>
      <w:pStyle w:val="Header"/>
    </w:pPr>
    <w:r>
      <w:tab/>
    </w:r>
    <w:fldSimple w:instr=" DOCPROPERTY &quot;Header&quot; \* MERGEFORMAT ">
      <w:r w:rsidR="00FF4CB2" w:rsidRPr="00FF4CB2">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0C3696">
      <w:rPr>
        <w:b/>
        <w:bCs/>
        <w:noProof/>
      </w:rPr>
      <w:t>ITU-R  F.1763-2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B2"/>
    <w:rsid w:val="000C3696"/>
    <w:rsid w:val="00217EBF"/>
    <w:rsid w:val="00242AEE"/>
    <w:rsid w:val="002D76C4"/>
    <w:rsid w:val="0052529D"/>
    <w:rsid w:val="00607D68"/>
    <w:rsid w:val="007468DA"/>
    <w:rsid w:val="007652EB"/>
    <w:rsid w:val="009E00A8"/>
    <w:rsid w:val="009F5FCE"/>
    <w:rsid w:val="00A6617B"/>
    <w:rsid w:val="00AB0DC8"/>
    <w:rsid w:val="00B44E24"/>
    <w:rsid w:val="00B82F87"/>
    <w:rsid w:val="00DC2B47"/>
    <w:rsid w:val="00DF4176"/>
    <w:rsid w:val="00FF4C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3AAB697"/>
  <w15:docId w15:val="{773581FB-317A-4871-A6B3-BFE138A4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uiPriority w:val="99"/>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link w:val="SummaryChar"/>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FF4CB2"/>
    <w:rPr>
      <w:b/>
      <w:sz w:val="24"/>
      <w:lang w:val="en-GB" w:eastAsia="en-US"/>
    </w:rPr>
  </w:style>
  <w:style w:type="character" w:customStyle="1" w:styleId="HeaderChar">
    <w:name w:val="Header Char"/>
    <w:basedOn w:val="DefaultParagraphFont"/>
    <w:link w:val="Header"/>
    <w:uiPriority w:val="99"/>
    <w:rsid w:val="00FF4CB2"/>
    <w:rPr>
      <w:sz w:val="24"/>
      <w:lang w:val="en-GB" w:eastAsia="en-US"/>
    </w:rPr>
  </w:style>
  <w:style w:type="character" w:customStyle="1" w:styleId="FooterChar">
    <w:name w:val="Footer Char"/>
    <w:basedOn w:val="DefaultParagraphFont"/>
    <w:link w:val="Footer"/>
    <w:rsid w:val="00FF4CB2"/>
    <w:rPr>
      <w:noProof/>
      <w:sz w:val="18"/>
      <w:lang w:val="en-GB" w:eastAsia="en-US"/>
    </w:rPr>
  </w:style>
  <w:style w:type="character" w:styleId="Hyperlink">
    <w:name w:val="Hyperlink"/>
    <w:basedOn w:val="DefaultParagraphFont"/>
    <w:rsid w:val="00FF4CB2"/>
    <w:rPr>
      <w:color w:val="0000FF"/>
      <w:u w:val="single"/>
    </w:rPr>
  </w:style>
  <w:style w:type="table" w:styleId="TableGrid">
    <w:name w:val="Table Grid"/>
    <w:basedOn w:val="TableNormal"/>
    <w:uiPriority w:val="39"/>
    <w:rsid w:val="00FF4CB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FF4CB2"/>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FF4CB2"/>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F4CB2"/>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FF4CB2"/>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7652EB"/>
    <w:rPr>
      <w:sz w:val="22"/>
      <w:lang w:val="en-GB" w:eastAsia="en-US"/>
    </w:rPr>
  </w:style>
  <w:style w:type="paragraph" w:customStyle="1" w:styleId="Reasons">
    <w:name w:val="Reasons"/>
    <w:basedOn w:val="Normal"/>
    <w:qFormat/>
    <w:rsid w:val="007652EB"/>
    <w:pPr>
      <w:tabs>
        <w:tab w:val="clear" w:pos="794"/>
        <w:tab w:val="clear" w:pos="1191"/>
        <w:tab w:val="left" w:pos="1134"/>
      </w:tabs>
      <w:jc w:val="left"/>
    </w:pPr>
  </w:style>
  <w:style w:type="character" w:customStyle="1" w:styleId="HeadingbChar">
    <w:name w:val="Heading_b Char"/>
    <w:basedOn w:val="DefaultParagraphFont"/>
    <w:link w:val="Headingb"/>
    <w:locked/>
    <w:rsid w:val="007652EB"/>
    <w:rPr>
      <w:b/>
      <w:sz w:val="24"/>
      <w:lang w:val="en-GB" w:eastAsia="en-US"/>
    </w:rPr>
  </w:style>
  <w:style w:type="character" w:customStyle="1" w:styleId="NormalaftertitleChar">
    <w:name w:val="Normal_after_title Char"/>
    <w:basedOn w:val="DefaultParagraphFont"/>
    <w:link w:val="Normalaftertitle"/>
    <w:locked/>
    <w:rsid w:val="007652EB"/>
    <w:rPr>
      <w:sz w:val="24"/>
      <w:lang w:val="en-GB" w:eastAsia="en-US"/>
    </w:rPr>
  </w:style>
  <w:style w:type="character" w:customStyle="1" w:styleId="CallChar">
    <w:name w:val="Call Char"/>
    <w:basedOn w:val="DefaultParagraphFont"/>
    <w:link w:val="Call"/>
    <w:uiPriority w:val="99"/>
    <w:locked/>
    <w:rsid w:val="007652EB"/>
    <w:rPr>
      <w:i/>
      <w:sz w:val="24"/>
      <w:lang w:val="en-GB" w:eastAsia="en-US"/>
    </w:rPr>
  </w:style>
  <w:style w:type="character" w:customStyle="1" w:styleId="SummaryChar">
    <w:name w:val="Summary Char"/>
    <w:basedOn w:val="DefaultParagraphFont"/>
    <w:link w:val="Summary"/>
    <w:rsid w:val="007652EB"/>
    <w:rPr>
      <w:sz w:val="22"/>
      <w:lang w:val="es-ES_tradnl" w:eastAsia="en-US"/>
    </w:rPr>
  </w:style>
  <w:style w:type="character" w:styleId="UnresolvedMention">
    <w:name w:val="Unresolved Mention"/>
    <w:basedOn w:val="DefaultParagraphFont"/>
    <w:uiPriority w:val="99"/>
    <w:semiHidden/>
    <w:unhideWhenUsed/>
    <w:rsid w:val="000C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QUE-SG05.215" TargetMode="External"/><Relationship Id="rId18" Type="http://schemas.openxmlformats.org/officeDocument/2006/relationships/hyperlink" Target="https://www.itu.int/rec/R-REC-M.1801/en"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itu.int/rec/R-REC-M.2150/en" TargetMode="Externa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yperlink" Target="https://www.itu.int/rec/R-REC-M.1457/en" TargetMode="External"/><Relationship Id="rId25"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yperlink" Target="https://www.itu.int/rec/R-REC-M.1450/en" TargetMode="External"/><Relationship Id="rId20" Type="http://schemas.openxmlformats.org/officeDocument/2006/relationships/hyperlink" Target="https://www.itu.int/rec/R-REC-M.2012/e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yperlink" Target="https://www.itu.int/rec/R-REC-F.1499/en" TargetMode="External"/><Relationship Id="rId23" Type="http://schemas.openxmlformats.org/officeDocument/2006/relationships/hyperlink" Target="http://www.itu.int/rec/recommendation.asp?type=folders&amp;lang=e&amp;parent=R-REC-F.1399" TargetMode="External"/><Relationship Id="rId28" Type="http://schemas.openxmlformats.org/officeDocument/2006/relationships/theme" Target="theme/theme1.xml"/><Relationship Id="rId10" Type="http://schemas.openxmlformats.org/officeDocument/2006/relationships/hyperlink" Target="https://www.itu.int/publ/R-REC/en" TargetMode="External"/><Relationship Id="rId19" Type="http://schemas.openxmlformats.org/officeDocument/2006/relationships/hyperlink" Target="https://www.itu.int/rec/R-REC-M.2003/en" TargetMode="External"/><Relationship Id="rId4" Type="http://schemas.openxmlformats.org/officeDocument/2006/relationships/footnotes" Target="footnotes.xml"/><Relationship Id="rId9" Type="http://schemas.openxmlformats.org/officeDocument/2006/relationships/hyperlink" Target="https://www.itu.int/en/ITU-R/study-groups/Pages/itu-r-patent-information.aspx" TargetMode="External"/><Relationship Id="rId14" Type="http://schemas.openxmlformats.org/officeDocument/2006/relationships/hyperlink" Target="https://www.itu.int/rec/R-REC-F.1401/en" TargetMode="External"/><Relationship Id="rId22" Type="http://schemas.openxmlformats.org/officeDocument/2006/relationships/hyperlink" Target="https://www.itu.int/pub/R-RES-R.73"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F.1399/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12</TotalTime>
  <Pages>4</Pages>
  <Words>843</Words>
  <Characters>6088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F.1763-2 (02/2026) Radio interface standards for broadband wireless access systems in the fixed service operating below 66 GHz</dc:title>
  <dc:subject/>
  <dc:creator>Gachet, Christelle</dc:creator>
  <cp:keywords>Fixed broadband wireless access, broadband wireless access, BWA, radio interface standards</cp:keywords>
  <dc:description/>
  <cp:lastModifiedBy>Gomez, Yoanni</cp:lastModifiedBy>
  <cp:revision>3</cp:revision>
  <cp:lastPrinted>2005-02-10T15:54:00Z</cp:lastPrinted>
  <dcterms:created xsi:type="dcterms:W3CDTF">2026-02-21T07:30:00Z</dcterms:created>
  <dcterms:modified xsi:type="dcterms:W3CDTF">2026-03-10T19:44:00Z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