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17A" w:rsidRPr="00575CB8" w:rsidRDefault="00B1717A" w:rsidP="00B1717A">
      <w:pPr>
        <w:rPr>
          <w:lang w:val="en-US"/>
        </w:rPr>
      </w:pPr>
      <w:bookmarkStart w:id="0" w:name="dbreak"/>
      <w:bookmarkEnd w:id="0"/>
    </w:p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B1717A" w:rsidRPr="00CA0934" w:rsidTr="00D62884">
        <w:tc>
          <w:tcPr>
            <w:tcW w:w="10089" w:type="dxa"/>
          </w:tcPr>
          <w:p w:rsidR="00B1717A" w:rsidRPr="0010336F" w:rsidRDefault="00B1717A" w:rsidP="00D6288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B1717A" w:rsidRPr="0010336F" w:rsidRDefault="00B1717A" w:rsidP="0044162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 w:rsidR="00847DD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F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44162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1763-1</w:t>
            </w:r>
          </w:p>
          <w:p w:rsidR="00B1717A" w:rsidRPr="0010336F" w:rsidRDefault="0044162F" w:rsidP="0044162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(02</w:t>
            </w:r>
            <w:r w:rsidR="00B1717A"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2014</w:t>
            </w:r>
            <w:r w:rsidR="00B1717A"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B1717A" w:rsidRPr="0010336F" w:rsidTr="00D62884">
        <w:tc>
          <w:tcPr>
            <w:tcW w:w="10089" w:type="dxa"/>
          </w:tcPr>
          <w:p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B1717A" w:rsidRDefault="0044162F" w:rsidP="0044162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44162F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Normas de interfaz radioeléctrica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44162F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para sistemas de acceso inalámbrico</w:t>
            </w:r>
            <w:r w:rsidRPr="0044162F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  <w:t xml:space="preserve">de banda ancha que funcionan en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44162F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el servicio fijo por debajo de 66 GHz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</w:p>
          <w:p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B1717A" w:rsidRPr="0026666F" w:rsidTr="00D62884">
        <w:tc>
          <w:tcPr>
            <w:tcW w:w="10089" w:type="dxa"/>
          </w:tcPr>
          <w:p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1717A" w:rsidRPr="0010336F" w:rsidRDefault="00B1717A" w:rsidP="00D6288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B1717A" w:rsidRPr="0010336F" w:rsidRDefault="00B1717A" w:rsidP="00847DD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 w:rsidR="00847DD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F</w:t>
            </w:r>
          </w:p>
          <w:p w:rsidR="00B1717A" w:rsidRPr="0010336F" w:rsidRDefault="004532F7" w:rsidP="00D62884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Servicio </w:t>
            </w:r>
            <w:r w:rsidR="00847DD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fijo</w:t>
            </w:r>
          </w:p>
        </w:tc>
      </w:tr>
    </w:tbl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B1717A" w:rsidRPr="0026666F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B1717A" w:rsidRPr="006C718C" w:rsidRDefault="00B1717A" w:rsidP="00B1717A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B1717A" w:rsidRPr="006C718C" w:rsidRDefault="00B1717A" w:rsidP="00B1717A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B1717A" w:rsidRPr="006C718C" w:rsidRDefault="00B1717A" w:rsidP="00B1717A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B1717A" w:rsidRPr="00021E8A" w:rsidRDefault="00B1717A" w:rsidP="00B1717A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B1717A" w:rsidRPr="00021E8A" w:rsidRDefault="00B1717A" w:rsidP="00B1717A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8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B1717A" w:rsidRPr="00CA0934" w:rsidTr="00D62884">
        <w:tc>
          <w:tcPr>
            <w:tcW w:w="9360" w:type="dxa"/>
            <w:gridSpan w:val="2"/>
          </w:tcPr>
          <w:p w:rsidR="00B1717A" w:rsidRPr="00021E8A" w:rsidRDefault="00B1717A" w:rsidP="00D6288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B1717A" w:rsidRPr="00763D08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9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B1717A" w:rsidRPr="00036EE3" w:rsidTr="004532F7">
        <w:tc>
          <w:tcPr>
            <w:tcW w:w="1140" w:type="dxa"/>
            <w:tcBorders>
              <w:bottom w:val="nil"/>
            </w:tcBorders>
          </w:tcPr>
          <w:p w:rsidR="00B1717A" w:rsidRPr="00036EE3" w:rsidRDefault="00B1717A" w:rsidP="00D62884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B1717A" w:rsidRPr="00036EE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proofErr w:type="spellStart"/>
            <w:r>
              <w:rPr>
                <w:bCs/>
                <w:sz w:val="20"/>
                <w:lang w:val="en-US"/>
              </w:rPr>
              <w:t>Título</w:t>
            </w:r>
            <w:proofErr w:type="spellEnd"/>
          </w:p>
        </w:tc>
      </w:tr>
      <w:tr w:rsidR="00B1717A" w:rsidRPr="004532F7" w:rsidTr="004532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4532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4532F7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proofErr w:type="spellStart"/>
            <w:r w:rsidRPr="004532F7">
              <w:rPr>
                <w:b w:val="0"/>
                <w:sz w:val="20"/>
              </w:rPr>
              <w:t>Distribución</w:t>
            </w:r>
            <w:proofErr w:type="spellEnd"/>
            <w:r w:rsidRPr="004532F7">
              <w:rPr>
                <w:b w:val="0"/>
                <w:sz w:val="20"/>
              </w:rPr>
              <w:t xml:space="preserve"> </w:t>
            </w:r>
            <w:proofErr w:type="spellStart"/>
            <w:r w:rsidRPr="004532F7">
              <w:rPr>
                <w:b w:val="0"/>
                <w:sz w:val="20"/>
              </w:rPr>
              <w:t>por</w:t>
            </w:r>
            <w:proofErr w:type="spellEnd"/>
            <w:r w:rsidRPr="004532F7">
              <w:rPr>
                <w:b w:val="0"/>
                <w:sz w:val="20"/>
              </w:rPr>
              <w:t xml:space="preserve"> </w:t>
            </w:r>
            <w:proofErr w:type="spellStart"/>
            <w:r w:rsidRPr="004532F7">
              <w:rPr>
                <w:b w:val="0"/>
                <w:sz w:val="20"/>
              </w:rPr>
              <w:t>satélite</w:t>
            </w:r>
            <w:proofErr w:type="spellEnd"/>
          </w:p>
        </w:tc>
      </w:tr>
      <w:tr w:rsidR="00B1717A" w:rsidRPr="00CA0934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6B22C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6B22C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B1717A" w:rsidRPr="00847DD5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847DD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847DD5" w:rsidRDefault="00604D06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r>
              <w:rPr>
                <w:b w:val="0"/>
                <w:bCs/>
                <w:sz w:val="20"/>
              </w:rPr>
              <w:t>(</w:t>
            </w:r>
            <w:proofErr w:type="spellStart"/>
            <w:r w:rsidRPr="00021E8A">
              <w:rPr>
                <w:b w:val="0"/>
                <w:bCs/>
                <w:sz w:val="20"/>
              </w:rPr>
              <w:t>sonora</w:t>
            </w:r>
            <w:proofErr w:type="spellEnd"/>
            <w:r>
              <w:rPr>
                <w:b w:val="0"/>
                <w:bCs/>
                <w:sz w:val="20"/>
              </w:rPr>
              <w:t>)</w:t>
            </w:r>
          </w:p>
        </w:tc>
      </w:tr>
      <w:tr w:rsidR="00B1717A" w:rsidRPr="00ED2695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ED269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021E8A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(</w:t>
            </w:r>
            <w:proofErr w:type="spellStart"/>
            <w:r w:rsidRPr="00021E8A">
              <w:rPr>
                <w:b w:val="0"/>
                <w:bCs/>
                <w:sz w:val="20"/>
              </w:rPr>
              <w:t>televisión</w:t>
            </w:r>
            <w:proofErr w:type="spellEnd"/>
            <w:r w:rsidRPr="00021E8A">
              <w:rPr>
                <w:b w:val="0"/>
                <w:bCs/>
                <w:sz w:val="20"/>
              </w:rPr>
              <w:t>)</w:t>
            </w:r>
          </w:p>
        </w:tc>
      </w:tr>
      <w:tr w:rsidR="00B1717A" w:rsidRPr="00847DD5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B1717A" w:rsidRPr="00847DD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847DD5">
              <w:rPr>
                <w:b/>
                <w:bCs/>
                <w:color w:val="000080"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B1717A" w:rsidRPr="00847DD5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/>
                <w:bCs/>
                <w:color w:val="000080"/>
                <w:sz w:val="20"/>
                <w:lang w:val="fr-CH"/>
              </w:rPr>
            </w:pPr>
            <w:proofErr w:type="spellStart"/>
            <w:r w:rsidRPr="00847DD5">
              <w:rPr>
                <w:b/>
                <w:bCs/>
                <w:color w:val="000080"/>
                <w:sz w:val="20"/>
              </w:rPr>
              <w:t>Servicio</w:t>
            </w:r>
            <w:proofErr w:type="spellEnd"/>
            <w:r w:rsidRPr="00847DD5">
              <w:rPr>
                <w:b/>
                <w:bCs/>
                <w:color w:val="000080"/>
                <w:sz w:val="20"/>
              </w:rPr>
              <w:t xml:space="preserve"> </w:t>
            </w:r>
            <w:proofErr w:type="spellStart"/>
            <w:r w:rsidRPr="00847DD5">
              <w:rPr>
                <w:b/>
                <w:bCs/>
                <w:color w:val="000080"/>
                <w:sz w:val="20"/>
              </w:rPr>
              <w:t>fijo</w:t>
            </w:r>
            <w:proofErr w:type="spellEnd"/>
          </w:p>
        </w:tc>
      </w:tr>
      <w:tr w:rsidR="00B1717A" w:rsidRPr="00CA0934" w:rsidTr="00D6288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10336F" w:rsidRDefault="00B1717A" w:rsidP="00D62884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10336F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 xml:space="preserve">viles, de </w:t>
            </w:r>
            <w:proofErr w:type="spellStart"/>
            <w:r w:rsidRPr="0010336F">
              <w:rPr>
                <w:rFonts w:hAnsi="Times New Roman Bold"/>
                <w:b w:val="0"/>
                <w:sz w:val="20"/>
                <w:lang w:val="es-ES_tradnl"/>
              </w:rPr>
              <w:t>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</w:t>
            </w:r>
            <w:proofErr w:type="spellEnd"/>
            <w:r w:rsidRPr="0010336F">
              <w:rPr>
                <w:rFonts w:hAnsi="Times New Roman Bold"/>
                <w:b w:val="0"/>
                <w:sz w:val="20"/>
                <w:lang w:val="es-ES_tradnl"/>
              </w:rPr>
              <w:t>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B1717A" w:rsidRPr="00CA0934" w:rsidTr="00D62884">
        <w:tc>
          <w:tcPr>
            <w:tcW w:w="1140" w:type="dxa"/>
            <w:tcBorders>
              <w:top w:val="nil"/>
            </w:tcBorders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B1717A" w:rsidRPr="00021E8A" w:rsidRDefault="004D0BFD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proofErr w:type="spellStart"/>
            <w:r>
              <w:rPr>
                <w:bCs/>
                <w:sz w:val="20"/>
              </w:rPr>
              <w:t>Radio</w:t>
            </w:r>
            <w:r w:rsidR="00B1717A" w:rsidRPr="00021E8A">
              <w:rPr>
                <w:bCs/>
                <w:sz w:val="20"/>
              </w:rPr>
              <w:t>astronomía</w:t>
            </w:r>
            <w:proofErr w:type="spellEnd"/>
          </w:p>
        </w:tc>
      </w:tr>
      <w:tr w:rsidR="00B1717A" w:rsidRPr="00CA0934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Servicio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fijo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Aplicaciones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espaciales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meteorología</w:t>
            </w:r>
            <w:proofErr w:type="spellEnd"/>
          </w:p>
        </w:tc>
      </w:tr>
      <w:tr w:rsidR="00B1717A" w:rsidRPr="00CA0934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B1717A" w:rsidRPr="00036EE3" w:rsidTr="00D62884">
        <w:tc>
          <w:tcPr>
            <w:tcW w:w="1140" w:type="dxa"/>
            <w:shd w:val="clear" w:color="auto" w:fill="auto"/>
          </w:tcPr>
          <w:p w:rsidR="00B1717A" w:rsidRPr="001240BC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B1717A" w:rsidRPr="001240BC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1240BC">
              <w:rPr>
                <w:sz w:val="20"/>
              </w:rPr>
              <w:t>Gestión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del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espectro</w:t>
            </w:r>
            <w:proofErr w:type="spellEnd"/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Periodismo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electrónico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B1717A" w:rsidRPr="00CA0934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Vocabulario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cuestiones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afines</w:t>
            </w:r>
            <w:proofErr w:type="spellEnd"/>
          </w:p>
        </w:tc>
      </w:tr>
    </w:tbl>
    <w:p w:rsidR="00B1717A" w:rsidRPr="00036EE3" w:rsidRDefault="00B1717A" w:rsidP="00B1717A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B1717A" w:rsidTr="00D62884">
        <w:tc>
          <w:tcPr>
            <w:tcW w:w="720" w:type="dxa"/>
          </w:tcPr>
          <w:p w:rsidR="00B1717A" w:rsidRDefault="00B1717A" w:rsidP="00D62884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21"/>
      </w:tblGrid>
      <w:tr w:rsidR="00B1717A" w:rsidRPr="00CA0934" w:rsidTr="00D62884">
        <w:tc>
          <w:tcPr>
            <w:tcW w:w="9360" w:type="dxa"/>
          </w:tcPr>
          <w:p w:rsidR="00B1717A" w:rsidRPr="00763D08" w:rsidRDefault="00B1717A" w:rsidP="00A213C0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63D08" w:rsidRDefault="00B1717A" w:rsidP="00B1717A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B1717A" w:rsidRPr="00763D08" w:rsidRDefault="00B1717A" w:rsidP="00CA0934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834A65">
        <w:rPr>
          <w:sz w:val="20"/>
          <w:lang w:val="es-ES_tradnl"/>
        </w:rPr>
        <w:t>1</w:t>
      </w:r>
      <w:r w:rsidR="00CA0934">
        <w:rPr>
          <w:sz w:val="20"/>
          <w:lang w:val="es-ES_tradnl"/>
        </w:rPr>
        <w:t>5</w:t>
      </w:r>
    </w:p>
    <w:p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63D08" w:rsidRDefault="00B1717A" w:rsidP="009A3628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 w:rsidR="00834A65">
        <w:rPr>
          <w:sz w:val="20"/>
          <w:lang w:val="es-ES_tradnl"/>
        </w:rPr>
        <w:t>1</w:t>
      </w:r>
      <w:r w:rsidR="00CA0934">
        <w:rPr>
          <w:sz w:val="20"/>
          <w:lang w:val="es-ES_tradnl"/>
        </w:rPr>
        <w:t>5</w:t>
      </w:r>
    </w:p>
    <w:p w:rsidR="00B1717A" w:rsidRPr="006C718C" w:rsidRDefault="00B1717A" w:rsidP="00B1717A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B1717A" w:rsidRPr="006C718C" w:rsidRDefault="00B1717A" w:rsidP="00B1717A">
      <w:pPr>
        <w:spacing w:before="160"/>
        <w:rPr>
          <w:i/>
          <w:sz w:val="20"/>
          <w:highlight w:val="yellow"/>
          <w:lang w:val="es-ES_tradnl"/>
        </w:rPr>
        <w:sectPr w:rsidR="00B1717A" w:rsidRPr="006C718C" w:rsidSect="00D62884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4E4068" w:rsidRPr="0011484E" w:rsidRDefault="00B1717A" w:rsidP="0044162F">
      <w:pPr>
        <w:pStyle w:val="RecNo"/>
        <w:spacing w:before="0"/>
        <w:rPr>
          <w:lang w:val="es-ES_tradnl"/>
        </w:rPr>
      </w:pPr>
      <w:bookmarkStart w:id="3" w:name="irecnoe"/>
      <w:bookmarkEnd w:id="3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 w:rsidR="00847DD5">
        <w:rPr>
          <w:rStyle w:val="href"/>
          <w:lang w:val="es-ES_tradnl"/>
        </w:rPr>
        <w:t>F</w:t>
      </w:r>
      <w:r w:rsidRPr="0010336F">
        <w:rPr>
          <w:rStyle w:val="href"/>
          <w:lang w:val="es-ES_tradnl"/>
        </w:rPr>
        <w:t>.1</w:t>
      </w:r>
      <w:r w:rsidR="0044162F">
        <w:rPr>
          <w:rStyle w:val="href"/>
          <w:lang w:val="es-ES_tradnl"/>
        </w:rPr>
        <w:t>763-1</w:t>
      </w:r>
      <w:r w:rsidR="004E4068" w:rsidRPr="004E4068">
        <w:rPr>
          <w:lang w:val="es-ES_tradnl"/>
        </w:rPr>
        <w:t xml:space="preserve"> </w:t>
      </w:r>
    </w:p>
    <w:p w:rsidR="004E4068" w:rsidRPr="0011484E" w:rsidRDefault="004E4068" w:rsidP="004E4068">
      <w:pPr>
        <w:pStyle w:val="Rectitle"/>
        <w:rPr>
          <w:lang w:val="es-ES_tradnl"/>
        </w:rPr>
      </w:pPr>
      <w:r w:rsidRPr="0011484E">
        <w:rPr>
          <w:lang w:val="es-ES_tradnl"/>
        </w:rPr>
        <w:t>Normas de interfaz rad</w:t>
      </w:r>
      <w:bookmarkStart w:id="4" w:name="_GoBack"/>
      <w:bookmarkEnd w:id="4"/>
      <w:r w:rsidRPr="0011484E">
        <w:rPr>
          <w:lang w:val="es-ES_tradnl"/>
        </w:rPr>
        <w:t>ioeléctrica para sistemas de acceso inalámbrico</w:t>
      </w:r>
      <w:r w:rsidRPr="0011484E">
        <w:rPr>
          <w:lang w:val="es-ES_tradnl"/>
        </w:rPr>
        <w:br/>
        <w:t>de banda ancha que funcionan en el servicio fijo por debajo de 66 GHz</w:t>
      </w:r>
    </w:p>
    <w:p w:rsidR="004E4068" w:rsidRDefault="004E4068" w:rsidP="004E4068">
      <w:pPr>
        <w:pStyle w:val="Recref"/>
        <w:rPr>
          <w:lang w:val="es-ES_tradnl"/>
        </w:rPr>
      </w:pPr>
      <w:r w:rsidRPr="0011484E">
        <w:rPr>
          <w:lang w:val="es-ES_tradnl"/>
        </w:rPr>
        <w:t xml:space="preserve">(Cuestión UIT-R </w:t>
      </w:r>
      <w:r>
        <w:rPr>
          <w:lang w:val="es-ES_tradnl"/>
        </w:rPr>
        <w:t>215-4/5</w:t>
      </w:r>
      <w:r w:rsidRPr="0011484E">
        <w:rPr>
          <w:lang w:val="es-ES_tradnl"/>
        </w:rPr>
        <w:t>)</w:t>
      </w:r>
    </w:p>
    <w:p w:rsidR="004E4068" w:rsidRPr="00840DE2" w:rsidRDefault="004E4068" w:rsidP="004E4068">
      <w:pPr>
        <w:pStyle w:val="Recdate"/>
        <w:rPr>
          <w:lang w:val="es-ES_tradnl"/>
        </w:rPr>
      </w:pPr>
      <w:r>
        <w:rPr>
          <w:lang w:val="es-ES_tradnl"/>
        </w:rPr>
        <w:t>(2006-2014)</w:t>
      </w:r>
    </w:p>
    <w:p w:rsidR="004E4068" w:rsidRPr="0011484E" w:rsidRDefault="004E4068" w:rsidP="0041687B">
      <w:pPr>
        <w:pStyle w:val="HeadingSum"/>
      </w:pPr>
      <w:r>
        <w:t>Alcance</w:t>
      </w:r>
    </w:p>
    <w:p w:rsidR="004E4068" w:rsidRPr="0011484E" w:rsidRDefault="004E4068" w:rsidP="00BC3388">
      <w:pPr>
        <w:pStyle w:val="Summary"/>
        <w:ind w:left="0" w:firstLine="0"/>
      </w:pPr>
      <w:r w:rsidRPr="0011484E">
        <w:t xml:space="preserve">Esta Recomendación define normas específicas de interfaz radioeléctrica </w:t>
      </w:r>
      <w:r>
        <w:t xml:space="preserve">que pueden utilizarse </w:t>
      </w:r>
      <w:r w:rsidRPr="0011484E">
        <w:t xml:space="preserve">para </w:t>
      </w:r>
      <w:r>
        <w:t xml:space="preserve">los </w:t>
      </w:r>
      <w:r w:rsidRPr="0011484E">
        <w:t xml:space="preserve">sistemas </w:t>
      </w:r>
      <w:r>
        <w:t>de acceso inalámbrico de banda ancha (</w:t>
      </w:r>
      <w:r w:rsidRPr="0011484E">
        <w:t>BWA</w:t>
      </w:r>
      <w:r>
        <w:t>)</w:t>
      </w:r>
      <w:r>
        <w:rPr>
          <w:rStyle w:val="FootnoteReference"/>
          <w:szCs w:val="24"/>
        </w:rPr>
        <w:footnoteReference w:id="1"/>
      </w:r>
      <w:r w:rsidRPr="0011484E">
        <w:t xml:space="preserve"> que funcionan en el</w:t>
      </w:r>
      <w:r w:rsidR="00BC3388">
        <w:t xml:space="preserve"> servicio fijo por debajo de 66 </w:t>
      </w:r>
      <w:r w:rsidRPr="0011484E">
        <w:t>GHz y aborda los perfiles que requieren las normas de interoperabilidad recomendadas. Proporciona referencias sobre normas de interoperabilidad entre sistemas BWA.</w:t>
      </w:r>
    </w:p>
    <w:p w:rsidR="004E4068" w:rsidRPr="00BC3388" w:rsidRDefault="004E4068" w:rsidP="00BC3388">
      <w:pPr>
        <w:pStyle w:val="Summary"/>
        <w:ind w:left="0" w:firstLine="0"/>
      </w:pPr>
      <w:r w:rsidRPr="00BC3388">
        <w:t>Entre las normas de interoperabilidad mencionadas en la Recomendación figuran las siguientes especificaciones:</w:t>
      </w:r>
    </w:p>
    <w:p w:rsidR="004E4068" w:rsidRPr="0011484E" w:rsidRDefault="004E4068" w:rsidP="00BC3388">
      <w:pPr>
        <w:pStyle w:val="Summary"/>
      </w:pPr>
      <w:r w:rsidRPr="0011484E">
        <w:t>–</w:t>
      </w:r>
      <w:r w:rsidRPr="0011484E">
        <w:tab/>
        <w:t>perfiles de sistema;</w:t>
      </w:r>
    </w:p>
    <w:p w:rsidR="004E4068" w:rsidRPr="0011484E" w:rsidRDefault="004E4068" w:rsidP="00BC3388">
      <w:pPr>
        <w:pStyle w:val="Summary"/>
      </w:pPr>
      <w:r w:rsidRPr="0011484E">
        <w:t>–</w:t>
      </w:r>
      <w:r w:rsidRPr="0011484E">
        <w:tab/>
        <w:t>parámetros de capa física, en particular la disposición en canales, diagrama de modulación y velocidades de transmisión de datos;</w:t>
      </w:r>
    </w:p>
    <w:p w:rsidR="004E4068" w:rsidRPr="0011484E" w:rsidRDefault="004E4068" w:rsidP="00BC3388">
      <w:pPr>
        <w:pStyle w:val="Summary"/>
      </w:pPr>
      <w:r w:rsidRPr="0011484E">
        <w:t>–</w:t>
      </w:r>
      <w:r w:rsidRPr="0011484E">
        <w:tab/>
        <w:t>mensajes y campo de encabezamiento de la capa de c</w:t>
      </w:r>
      <w:r>
        <w:t>ontrol de acceso al medio (MAC).</w:t>
      </w:r>
    </w:p>
    <w:p w:rsidR="004E4068" w:rsidRPr="00BC3388" w:rsidRDefault="004E4068" w:rsidP="00BC3388">
      <w:pPr>
        <w:pStyle w:val="Summary"/>
        <w:ind w:left="0" w:firstLine="0"/>
      </w:pPr>
      <w:r w:rsidRPr="00BC3388">
        <w:t>La Recomendación no tiene por objeto identificar las bandas de frecuencias adecuadas para sistemas BWA ni abordar los aspectos reglamentarios.</w:t>
      </w:r>
    </w:p>
    <w:p w:rsidR="004E4068" w:rsidRDefault="004E4068" w:rsidP="004E4068">
      <w:pPr>
        <w:pStyle w:val="Normalaftertitle"/>
        <w:rPr>
          <w:lang w:val="es-ES_tradnl"/>
        </w:rPr>
      </w:pPr>
      <w:r w:rsidRPr="0011484E">
        <w:rPr>
          <w:lang w:val="es-ES_tradnl"/>
        </w:rPr>
        <w:t>La Asamblea de Radiocomunicaciones</w:t>
      </w:r>
      <w:r>
        <w:rPr>
          <w:lang w:val="es-ES_tradnl"/>
        </w:rPr>
        <w:t xml:space="preserve"> de la UIT</w:t>
      </w:r>
      <w:r w:rsidRPr="0011484E">
        <w:rPr>
          <w:lang w:val="es-ES_tradnl"/>
        </w:rPr>
        <w:t xml:space="preserve">, </w:t>
      </w:r>
    </w:p>
    <w:p w:rsidR="004E4068" w:rsidRPr="0011484E" w:rsidRDefault="004E4068" w:rsidP="004E4068">
      <w:pPr>
        <w:pStyle w:val="Call"/>
        <w:rPr>
          <w:lang w:val="es-ES_tradnl"/>
        </w:rPr>
      </w:pPr>
      <w:r>
        <w:rPr>
          <w:lang w:val="es-ES_tradnl"/>
        </w:rPr>
        <w:t>considerando</w:t>
      </w:r>
    </w:p>
    <w:p w:rsidR="004E4068" w:rsidRDefault="004E4068" w:rsidP="004E4068">
      <w:pPr>
        <w:rPr>
          <w:lang w:val="es-ES_tradnl"/>
        </w:rPr>
      </w:pPr>
      <w:r w:rsidRPr="00E7216B">
        <w:rPr>
          <w:i/>
          <w:iCs/>
          <w:lang w:val="es-ES_tradnl"/>
        </w:rPr>
        <w:t>a)</w:t>
      </w:r>
      <w:r w:rsidRPr="0011484E">
        <w:rPr>
          <w:lang w:val="es-ES_tradnl"/>
        </w:rPr>
        <w:tab/>
      </w:r>
      <w:r>
        <w:rPr>
          <w:lang w:val="es-ES_tradnl"/>
        </w:rPr>
        <w:t xml:space="preserve">que es útil identificar </w:t>
      </w:r>
      <w:r w:rsidRPr="0011484E">
        <w:rPr>
          <w:lang w:val="es-ES_tradnl"/>
        </w:rPr>
        <w:t>normas para los sistemas de acceso inalámbrico de banda ancha (BWA) que funcionan en el servicio fijo para uso internacional</w:t>
      </w:r>
      <w:r>
        <w:rPr>
          <w:lang w:val="es-ES_tradnl"/>
        </w:rPr>
        <w:t>;</w:t>
      </w:r>
    </w:p>
    <w:p w:rsidR="004E4068" w:rsidRDefault="004E4068" w:rsidP="004E4068">
      <w:pPr>
        <w:rPr>
          <w:lang w:val="es-ES_tradnl"/>
        </w:rPr>
      </w:pPr>
      <w:r w:rsidRPr="00E7216B">
        <w:rPr>
          <w:i/>
          <w:iCs/>
          <w:lang w:val="es-ES_tradnl"/>
        </w:rPr>
        <w:t>b)</w:t>
      </w:r>
      <w:r>
        <w:rPr>
          <w:lang w:val="es-ES_tradnl"/>
        </w:rPr>
        <w:tab/>
        <w:t xml:space="preserve">que las normas sobre sistemas BWA en el servicio fijo son </w:t>
      </w:r>
      <w:r w:rsidRPr="0011484E">
        <w:rPr>
          <w:lang w:val="es-ES_tradnl"/>
        </w:rPr>
        <w:t>elaboradas por organismos de normalización con una amplia participación internacional</w:t>
      </w:r>
      <w:r>
        <w:rPr>
          <w:lang w:val="es-ES_tradnl"/>
        </w:rPr>
        <w:t>;</w:t>
      </w:r>
    </w:p>
    <w:p w:rsidR="004E4068" w:rsidRDefault="004E4068" w:rsidP="004E4068">
      <w:pPr>
        <w:rPr>
          <w:lang w:val="es-ES_tradnl"/>
        </w:rPr>
      </w:pPr>
      <w:r w:rsidRPr="00E7216B">
        <w:rPr>
          <w:i/>
          <w:iCs/>
          <w:lang w:val="es-ES_tradnl"/>
        </w:rPr>
        <w:t>c)</w:t>
      </w:r>
      <w:r>
        <w:rPr>
          <w:lang w:val="es-ES_tradnl"/>
        </w:rPr>
        <w:tab/>
      </w:r>
      <w:r w:rsidRPr="0011484E">
        <w:rPr>
          <w:lang w:val="es-ES_tradnl"/>
        </w:rPr>
        <w:t xml:space="preserve">que las normas </w:t>
      </w:r>
      <w:r>
        <w:rPr>
          <w:lang w:val="es-ES_tradnl"/>
        </w:rPr>
        <w:t>sobre</w:t>
      </w:r>
      <w:r w:rsidRPr="0011484E">
        <w:rPr>
          <w:lang w:val="es-ES_tradnl"/>
        </w:rPr>
        <w:t xml:space="preserve"> sistemas que funcionan en el servicio móvil se pueden utilizar para proporcionar BWA fijo</w:t>
      </w:r>
      <w:r>
        <w:rPr>
          <w:lang w:val="es-ES_tradnl"/>
        </w:rPr>
        <w:t>;</w:t>
      </w:r>
    </w:p>
    <w:p w:rsidR="004E4068" w:rsidRPr="00C32FAA" w:rsidRDefault="004E4068" w:rsidP="004E4068">
      <w:pPr>
        <w:rPr>
          <w:lang w:val="es-ES_tradnl"/>
        </w:rPr>
      </w:pPr>
      <w:r w:rsidRPr="00E7216B">
        <w:rPr>
          <w:i/>
          <w:iCs/>
          <w:lang w:val="es-ES_tradnl"/>
        </w:rPr>
        <w:t>d)</w:t>
      </w:r>
      <w:r>
        <w:rPr>
          <w:lang w:val="es-ES_tradnl"/>
        </w:rPr>
        <w:tab/>
        <w:t xml:space="preserve">que las </w:t>
      </w:r>
      <w:r w:rsidRPr="0011484E">
        <w:rPr>
          <w:lang w:val="es-ES_tradnl"/>
        </w:rPr>
        <w:t xml:space="preserve">normas </w:t>
      </w:r>
      <w:r>
        <w:rPr>
          <w:lang w:val="es-ES_tradnl"/>
        </w:rPr>
        <w:t xml:space="preserve">de BWA dan soporte </w:t>
      </w:r>
      <w:r w:rsidRPr="0011484E">
        <w:rPr>
          <w:lang w:val="es-ES_tradnl"/>
        </w:rPr>
        <w:t>a una amplia gama de aplicaciones fijas y nómadas de banda ancha, tales como voz y videoconferencias</w:t>
      </w:r>
      <w:r>
        <w:rPr>
          <w:lang w:val="es-ES_tradnl"/>
        </w:rPr>
        <w:t>,</w:t>
      </w:r>
      <w:r w:rsidRPr="0011484E">
        <w:rPr>
          <w:lang w:val="es-ES_tradnl"/>
        </w:rPr>
        <w:t xml:space="preserve"> en zonas urbanas, suburbanas y rurales, </w:t>
      </w:r>
    </w:p>
    <w:p w:rsidR="004E4068" w:rsidRPr="0011484E" w:rsidRDefault="004E4068" w:rsidP="004E4068">
      <w:pPr>
        <w:pStyle w:val="Call"/>
        <w:rPr>
          <w:lang w:val="es-ES_tradnl"/>
        </w:rPr>
      </w:pPr>
      <w:r>
        <w:rPr>
          <w:lang w:val="es-ES_tradnl"/>
        </w:rPr>
        <w:t>reconociendo</w:t>
      </w:r>
    </w:p>
    <w:p w:rsidR="004E4068" w:rsidRPr="0011484E" w:rsidRDefault="004E4068" w:rsidP="004E4068">
      <w:pPr>
        <w:rPr>
          <w:lang w:val="es-ES_tradnl"/>
        </w:rPr>
      </w:pPr>
      <w:r w:rsidRPr="00E7216B">
        <w:rPr>
          <w:i/>
          <w:iCs/>
          <w:lang w:val="es-ES_tradnl"/>
        </w:rPr>
        <w:t>a)</w:t>
      </w:r>
      <w:r w:rsidRPr="0011484E">
        <w:rPr>
          <w:lang w:val="es-ES_tradnl"/>
        </w:rPr>
        <w:tab/>
      </w:r>
      <w:r>
        <w:rPr>
          <w:lang w:val="es-ES_tradnl"/>
        </w:rPr>
        <w:t xml:space="preserve">que </w:t>
      </w:r>
      <w:r w:rsidRPr="0011484E">
        <w:rPr>
          <w:lang w:val="es-ES_tradnl"/>
        </w:rPr>
        <w:t>la Recomendación UIT</w:t>
      </w:r>
      <w:r w:rsidRPr="0011484E">
        <w:rPr>
          <w:lang w:val="es-ES_tradnl"/>
        </w:rPr>
        <w:noBreakHyphen/>
        <w:t xml:space="preserve">R </w:t>
      </w:r>
      <w:hyperlink r:id="rId12" w:history="1">
        <w:r w:rsidRPr="0011484E">
          <w:rPr>
            <w:szCs w:val="24"/>
            <w:lang w:val="es-ES_tradnl"/>
          </w:rPr>
          <w:t>F.1499</w:t>
        </w:r>
      </w:hyperlink>
      <w:r w:rsidRPr="0011484E">
        <w:rPr>
          <w:lang w:val="es-ES_tradnl"/>
        </w:rPr>
        <w:t>, que indica las especificaciones de los sistemas de transmisión radioeléctrica para el acceso inalámbrico fijo en banda ancha basado en normas de módem por cable;</w:t>
      </w:r>
    </w:p>
    <w:p w:rsidR="004E4068" w:rsidRPr="0011484E" w:rsidRDefault="004E4068" w:rsidP="004E4068">
      <w:pPr>
        <w:rPr>
          <w:lang w:val="es-ES_tradnl"/>
        </w:rPr>
      </w:pPr>
      <w:r w:rsidRPr="00E7216B">
        <w:rPr>
          <w:i/>
          <w:iCs/>
          <w:lang w:val="es-ES_tradnl"/>
        </w:rPr>
        <w:t>b)</w:t>
      </w:r>
      <w:r w:rsidRPr="0011484E">
        <w:rPr>
          <w:lang w:val="es-ES_tradnl"/>
        </w:rPr>
        <w:tab/>
      </w:r>
      <w:r>
        <w:rPr>
          <w:lang w:val="es-ES_tradnl"/>
        </w:rPr>
        <w:t xml:space="preserve">que </w:t>
      </w:r>
      <w:r w:rsidRPr="0011484E">
        <w:rPr>
          <w:lang w:val="es-ES_tradnl"/>
        </w:rPr>
        <w:t xml:space="preserve">el Manual sobre </w:t>
      </w:r>
      <w:r>
        <w:rPr>
          <w:lang w:val="es-ES_tradnl"/>
        </w:rPr>
        <w:t>servicio móvil terrestre (incluso acceso inalámbrico)</w:t>
      </w:r>
      <w:r w:rsidRPr="0011484E">
        <w:rPr>
          <w:lang w:val="es-ES_tradnl"/>
        </w:rPr>
        <w:t xml:space="preserve"> (Volumen </w:t>
      </w:r>
      <w:r>
        <w:rPr>
          <w:lang w:val="es-ES_tradnl"/>
        </w:rPr>
        <w:t>1: acceso inalámbrico fijo</w:t>
      </w:r>
      <w:r w:rsidRPr="0011484E">
        <w:rPr>
          <w:lang w:val="es-ES_tradnl"/>
        </w:rPr>
        <w:t xml:space="preserve">) incluye también un cierto número de soluciones </w:t>
      </w:r>
      <w:r>
        <w:rPr>
          <w:lang w:val="es-ES_tradnl"/>
        </w:rPr>
        <w:t>patentadas</w:t>
      </w:r>
      <w:r w:rsidRPr="0011484E">
        <w:rPr>
          <w:lang w:val="es-ES_tradnl"/>
        </w:rPr>
        <w:t xml:space="preserve"> para</w:t>
      </w:r>
      <w:r>
        <w:rPr>
          <w:lang w:val="es-ES_tradnl"/>
        </w:rPr>
        <w:t xml:space="preserve"> el</w:t>
      </w:r>
      <w:r w:rsidR="0046143D">
        <w:rPr>
          <w:lang w:val="es-ES_tradnl"/>
        </w:rPr>
        <w:t xml:space="preserve"> BWA </w:t>
      </w:r>
      <w:r w:rsidRPr="0011484E">
        <w:rPr>
          <w:lang w:val="es-ES_tradnl"/>
        </w:rPr>
        <w:t>fijo;</w:t>
      </w:r>
    </w:p>
    <w:p w:rsidR="004E4068" w:rsidRPr="0011484E" w:rsidRDefault="004E4068" w:rsidP="004E4068">
      <w:pPr>
        <w:rPr>
          <w:lang w:val="es-ES_tradnl"/>
        </w:rPr>
      </w:pPr>
      <w:r w:rsidRPr="00E7216B">
        <w:rPr>
          <w:i/>
          <w:iCs/>
          <w:lang w:val="es-ES_tradnl"/>
        </w:rPr>
        <w:t>c)</w:t>
      </w:r>
      <w:r w:rsidRPr="0011484E">
        <w:rPr>
          <w:lang w:val="es-ES_tradnl"/>
        </w:rPr>
        <w:tab/>
      </w:r>
      <w:r>
        <w:rPr>
          <w:lang w:val="es-ES_tradnl"/>
        </w:rPr>
        <w:t xml:space="preserve">que </w:t>
      </w:r>
      <w:r w:rsidRPr="0011484E">
        <w:rPr>
          <w:lang w:val="es-ES_tradnl"/>
        </w:rPr>
        <w:t>la Recomendación UIT</w:t>
      </w:r>
      <w:r w:rsidRPr="0011484E">
        <w:rPr>
          <w:lang w:val="es-ES_tradnl"/>
        </w:rPr>
        <w:noBreakHyphen/>
        <w:t>R F.1401 proporciona consideraciones sobre la identificación de posibles bandas de frecuencias para el acceso inalámbrico fijo y estudios de compartición relacionados;</w:t>
      </w:r>
    </w:p>
    <w:p w:rsidR="004E4068" w:rsidRPr="0011484E" w:rsidRDefault="004E4068" w:rsidP="004E4068">
      <w:pPr>
        <w:rPr>
          <w:lang w:val="es-ES_tradnl"/>
        </w:rPr>
      </w:pPr>
      <w:r w:rsidRPr="00E7216B">
        <w:rPr>
          <w:i/>
          <w:iCs/>
          <w:lang w:val="es-ES_tradnl"/>
        </w:rPr>
        <w:lastRenderedPageBreak/>
        <w:t>d)</w:t>
      </w:r>
      <w:r w:rsidRPr="0011484E">
        <w:rPr>
          <w:lang w:val="es-ES_tradnl"/>
        </w:rPr>
        <w:tab/>
      </w:r>
      <w:r>
        <w:rPr>
          <w:lang w:val="es-ES_tradnl"/>
        </w:rPr>
        <w:t xml:space="preserve">que </w:t>
      </w:r>
      <w:r w:rsidRPr="0011484E">
        <w:rPr>
          <w:lang w:val="es-ES_tradnl"/>
        </w:rPr>
        <w:t>la Recomendación UIT</w:t>
      </w:r>
      <w:r w:rsidRPr="0011484E">
        <w:rPr>
          <w:lang w:val="es-ES_tradnl"/>
        </w:rPr>
        <w:noBreakHyphen/>
        <w:t>R M.1450 recomienda normas para las redes radioeléctricas de área local de banda ancha;</w:t>
      </w:r>
    </w:p>
    <w:p w:rsidR="004E4068" w:rsidRDefault="004E4068" w:rsidP="004E4068">
      <w:pPr>
        <w:rPr>
          <w:lang w:val="es-ES_tradnl"/>
        </w:rPr>
      </w:pPr>
      <w:r w:rsidRPr="00E7216B">
        <w:rPr>
          <w:i/>
          <w:iCs/>
          <w:lang w:val="es-ES_tradnl"/>
        </w:rPr>
        <w:t>e)</w:t>
      </w:r>
      <w:r w:rsidRPr="0011484E">
        <w:rPr>
          <w:lang w:val="es-ES_tradnl"/>
        </w:rPr>
        <w:tab/>
      </w:r>
      <w:r>
        <w:rPr>
          <w:lang w:val="es-ES_tradnl"/>
        </w:rPr>
        <w:t xml:space="preserve">que </w:t>
      </w:r>
      <w:r w:rsidRPr="0011484E">
        <w:rPr>
          <w:lang w:val="es-ES_tradnl"/>
        </w:rPr>
        <w:t>la Recomendación UIT</w:t>
      </w:r>
      <w:r w:rsidRPr="0011484E">
        <w:rPr>
          <w:lang w:val="es-ES_tradnl"/>
        </w:rPr>
        <w:noBreakHyphen/>
        <w:t xml:space="preserve">R. M.1457 recomienda normas de las interfaces radioeléctricas </w:t>
      </w:r>
      <w:r>
        <w:rPr>
          <w:lang w:val="es-ES_tradnl"/>
        </w:rPr>
        <w:t xml:space="preserve">terrenales </w:t>
      </w:r>
      <w:r w:rsidRPr="0011484E">
        <w:rPr>
          <w:lang w:val="es-ES_tradnl"/>
        </w:rPr>
        <w:t>de IMT</w:t>
      </w:r>
      <w:r w:rsidRPr="0011484E">
        <w:rPr>
          <w:lang w:val="es-ES_tradnl"/>
        </w:rPr>
        <w:noBreakHyphen/>
        <w:t>2000, alguna de las cuales pueden también utilizarse para proporcionar BWA fijo,</w:t>
      </w:r>
    </w:p>
    <w:p w:rsidR="004E4068" w:rsidRDefault="004E4068" w:rsidP="004E4068">
      <w:pPr>
        <w:rPr>
          <w:lang w:val="es-ES_tradnl"/>
        </w:rPr>
      </w:pPr>
      <w:r w:rsidRPr="00E7216B">
        <w:rPr>
          <w:i/>
          <w:iCs/>
          <w:lang w:val="es-ES_tradnl"/>
        </w:rPr>
        <w:t>f)</w:t>
      </w:r>
      <w:r>
        <w:rPr>
          <w:lang w:val="es-ES_tradnl"/>
        </w:rPr>
        <w:tab/>
        <w:t>que la Recomendación UIT-R M.1801 especifica n</w:t>
      </w:r>
      <w:r w:rsidRPr="005921B4">
        <w:rPr>
          <w:lang w:val="es-ES_tradnl"/>
        </w:rPr>
        <w:t>ormas de interfaz radioeléctrica para sistemas de acceso inalámbrico de banda ancha, incluidas aplicaciones móviles y nómadas en el servicio móvil que funcionan por debajo de 6 GHz</w:t>
      </w:r>
      <w:r>
        <w:rPr>
          <w:lang w:val="es-ES_tradnl"/>
        </w:rPr>
        <w:t>, algunas de las cuales también pueden emplearse para ofrecer BWA fijo;</w:t>
      </w:r>
    </w:p>
    <w:p w:rsidR="004E4068" w:rsidRDefault="004E4068" w:rsidP="004E4068">
      <w:pPr>
        <w:rPr>
          <w:lang w:val="es-ES_tradnl"/>
        </w:rPr>
      </w:pPr>
      <w:r w:rsidRPr="00E7216B">
        <w:rPr>
          <w:i/>
          <w:iCs/>
          <w:lang w:val="es-ES_tradnl"/>
        </w:rPr>
        <w:t>g)</w:t>
      </w:r>
      <w:r>
        <w:rPr>
          <w:lang w:val="es-ES_tradnl"/>
        </w:rPr>
        <w:tab/>
        <w:t>que la Recomendación UIT-R M.2003 especifica s</w:t>
      </w:r>
      <w:r w:rsidRPr="0036218B">
        <w:rPr>
          <w:lang w:val="es-ES_tradnl"/>
        </w:rPr>
        <w:t xml:space="preserve">istemas inalámbricos de múltiples gigabits en frecuencias en torno a 60 GHz, </w:t>
      </w:r>
      <w:r>
        <w:rPr>
          <w:lang w:val="es-ES_tradnl"/>
        </w:rPr>
        <w:t>algunos de las cuales también pu</w:t>
      </w:r>
      <w:r w:rsidR="00D27BFA">
        <w:rPr>
          <w:lang w:val="es-ES_tradnl"/>
        </w:rPr>
        <w:t>eden emplearse para ofrecer BWA </w:t>
      </w:r>
      <w:r>
        <w:rPr>
          <w:lang w:val="es-ES_tradnl"/>
        </w:rPr>
        <w:t>fijo;</w:t>
      </w:r>
    </w:p>
    <w:p w:rsidR="004E4068" w:rsidRPr="0011484E" w:rsidRDefault="004E4068" w:rsidP="004E4068">
      <w:pPr>
        <w:rPr>
          <w:lang w:val="es-ES_tradnl"/>
        </w:rPr>
      </w:pPr>
      <w:r w:rsidRPr="00E7216B">
        <w:rPr>
          <w:i/>
          <w:iCs/>
          <w:lang w:val="es-ES_tradnl"/>
        </w:rPr>
        <w:t>h)</w:t>
      </w:r>
      <w:r>
        <w:rPr>
          <w:lang w:val="es-ES_tradnl"/>
        </w:rPr>
        <w:tab/>
        <w:t>que la Recomendación UIT-R M.2012 describe e</w:t>
      </w:r>
      <w:r w:rsidRPr="005921B4">
        <w:rPr>
          <w:lang w:val="es-ES_tradnl"/>
        </w:rPr>
        <w:t>specificaciones detalladas de las interfaces radioeléctricas terrenales de las telecomunicaciones móviles</w:t>
      </w:r>
      <w:r w:rsidR="0046143D">
        <w:rPr>
          <w:lang w:val="es-ES_tradnl"/>
        </w:rPr>
        <w:t xml:space="preserve"> internacionales-avanzadas (IMT</w:t>
      </w:r>
      <w:r w:rsidR="0046143D">
        <w:rPr>
          <w:lang w:val="es-ES_tradnl"/>
        </w:rPr>
        <w:noBreakHyphen/>
      </w:r>
      <w:r w:rsidRPr="005921B4">
        <w:rPr>
          <w:lang w:val="es-ES_tradnl"/>
        </w:rPr>
        <w:t>Avanzadas)</w:t>
      </w:r>
      <w:r>
        <w:rPr>
          <w:lang w:val="es-ES_tradnl"/>
        </w:rPr>
        <w:t>, algunas de las cuales también pueden emplearse para ofrecer BWA fijo,</w:t>
      </w:r>
    </w:p>
    <w:p w:rsidR="004E4068" w:rsidRPr="0011484E" w:rsidRDefault="004E4068" w:rsidP="004E4068">
      <w:pPr>
        <w:pStyle w:val="Call"/>
        <w:rPr>
          <w:lang w:val="es-ES_tradnl"/>
        </w:rPr>
      </w:pPr>
      <w:r w:rsidRPr="0011484E">
        <w:rPr>
          <w:lang w:val="es-ES_tradnl"/>
        </w:rPr>
        <w:t>recomienda</w:t>
      </w:r>
    </w:p>
    <w:p w:rsidR="004E4068" w:rsidRDefault="004E4068" w:rsidP="004E4068">
      <w:pPr>
        <w:rPr>
          <w:lang w:val="es-ES_tradnl"/>
        </w:rPr>
      </w:pPr>
      <w:r w:rsidRPr="00840DE2">
        <w:rPr>
          <w:b/>
          <w:lang w:val="es-ES_tradnl"/>
        </w:rPr>
        <w:t>1</w:t>
      </w:r>
      <w:r>
        <w:rPr>
          <w:lang w:val="es-ES_tradnl"/>
        </w:rPr>
        <w:tab/>
      </w:r>
      <w:r w:rsidRPr="0011484E">
        <w:rPr>
          <w:lang w:val="es-ES_tradnl"/>
        </w:rPr>
        <w:t xml:space="preserve">que </w:t>
      </w:r>
      <w:r>
        <w:rPr>
          <w:lang w:val="es-ES_tradnl"/>
        </w:rPr>
        <w:t xml:space="preserve">se utilicen </w:t>
      </w:r>
      <w:r w:rsidRPr="0011484E">
        <w:rPr>
          <w:lang w:val="es-ES_tradnl"/>
        </w:rPr>
        <w:t xml:space="preserve">las normas </w:t>
      </w:r>
      <w:r>
        <w:rPr>
          <w:lang w:val="es-ES_tradnl"/>
        </w:rPr>
        <w:t xml:space="preserve">mencionadas en los </w:t>
      </w:r>
      <w:r w:rsidRPr="00E7216B">
        <w:rPr>
          <w:i/>
          <w:iCs/>
          <w:lang w:val="es-ES_tradnl"/>
        </w:rPr>
        <w:t>reconociendo d)</w:t>
      </w:r>
      <w:r>
        <w:rPr>
          <w:lang w:val="es-ES_tradnl"/>
        </w:rPr>
        <w:t xml:space="preserve">, </w:t>
      </w:r>
      <w:r w:rsidRPr="00E7216B">
        <w:rPr>
          <w:i/>
          <w:iCs/>
          <w:lang w:val="es-ES_tradnl"/>
        </w:rPr>
        <w:t>e)</w:t>
      </w:r>
      <w:r>
        <w:rPr>
          <w:lang w:val="es-ES_tradnl"/>
        </w:rPr>
        <w:t xml:space="preserve">, </w:t>
      </w:r>
      <w:r w:rsidRPr="00E7216B">
        <w:rPr>
          <w:i/>
          <w:iCs/>
          <w:lang w:val="es-ES_tradnl"/>
        </w:rPr>
        <w:t>f)</w:t>
      </w:r>
      <w:r>
        <w:rPr>
          <w:lang w:val="es-ES_tradnl"/>
        </w:rPr>
        <w:t xml:space="preserve">, </w:t>
      </w:r>
      <w:r w:rsidRPr="00E7216B">
        <w:rPr>
          <w:i/>
          <w:iCs/>
          <w:lang w:val="es-ES_tradnl"/>
        </w:rPr>
        <w:t>g)</w:t>
      </w:r>
      <w:r>
        <w:rPr>
          <w:lang w:val="es-ES_tradnl"/>
        </w:rPr>
        <w:t xml:space="preserve"> y </w:t>
      </w:r>
      <w:r w:rsidRPr="00E7216B">
        <w:rPr>
          <w:i/>
          <w:iCs/>
          <w:lang w:val="es-ES_tradnl"/>
        </w:rPr>
        <w:t>h)</w:t>
      </w:r>
      <w:r>
        <w:rPr>
          <w:lang w:val="es-ES_tradnl"/>
        </w:rPr>
        <w:t xml:space="preserve">, las cuales también </w:t>
      </w:r>
      <w:r w:rsidRPr="0011484E">
        <w:rPr>
          <w:lang w:val="es-ES_tradnl"/>
        </w:rPr>
        <w:t>pued</w:t>
      </w:r>
      <w:r>
        <w:rPr>
          <w:lang w:val="es-ES_tradnl"/>
        </w:rPr>
        <w:t>e</w:t>
      </w:r>
      <w:r w:rsidRPr="0011484E">
        <w:rPr>
          <w:lang w:val="es-ES_tradnl"/>
        </w:rPr>
        <w:t xml:space="preserve">n </w:t>
      </w:r>
      <w:r>
        <w:rPr>
          <w:lang w:val="es-ES_tradnl"/>
        </w:rPr>
        <w:t xml:space="preserve">emplearse </w:t>
      </w:r>
      <w:r w:rsidRPr="0011484E">
        <w:rPr>
          <w:lang w:val="es-ES_tradnl"/>
        </w:rPr>
        <w:t xml:space="preserve">para </w:t>
      </w:r>
      <w:r>
        <w:rPr>
          <w:lang w:val="es-ES_tradnl"/>
        </w:rPr>
        <w:t xml:space="preserve">los </w:t>
      </w:r>
      <w:r w:rsidRPr="0011484E">
        <w:rPr>
          <w:lang w:val="es-ES_tradnl"/>
        </w:rPr>
        <w:t>sistemas BWA que funcionan en el servicio fijo por debajo de</w:t>
      </w:r>
      <w:r>
        <w:rPr>
          <w:lang w:val="es-ES_tradnl"/>
        </w:rPr>
        <w:t> </w:t>
      </w:r>
      <w:r w:rsidRPr="0011484E">
        <w:rPr>
          <w:lang w:val="es-ES_tradnl"/>
        </w:rPr>
        <w:t>66 GHz</w:t>
      </w:r>
      <w:r>
        <w:rPr>
          <w:lang w:val="es-ES_tradnl"/>
        </w:rPr>
        <w:t>.</w:t>
      </w:r>
      <w:r w:rsidRPr="0011484E">
        <w:rPr>
          <w:lang w:val="es-ES_tradnl"/>
        </w:rPr>
        <w:t xml:space="preserve"> </w:t>
      </w:r>
    </w:p>
    <w:p w:rsidR="00B71A70" w:rsidRPr="0011484E" w:rsidRDefault="00B71A70" w:rsidP="004E4068">
      <w:pPr>
        <w:rPr>
          <w:lang w:val="es-ES_tradnl"/>
        </w:rPr>
      </w:pPr>
    </w:p>
    <w:p w:rsidR="004E4068" w:rsidRPr="005921B4" w:rsidRDefault="004E4068" w:rsidP="00B71A70">
      <w:pPr>
        <w:pStyle w:val="Headingb"/>
        <w:rPr>
          <w:lang w:val="es-ES_tradnl"/>
        </w:rPr>
      </w:pPr>
      <w:r w:rsidRPr="005921B4">
        <w:rPr>
          <w:lang w:val="es-ES_tradnl"/>
        </w:rPr>
        <w:t>Palabras clave</w:t>
      </w:r>
    </w:p>
    <w:p w:rsidR="004E4068" w:rsidRDefault="004E4068" w:rsidP="004E4068">
      <w:pPr>
        <w:rPr>
          <w:lang w:val="es-ES_tradnl"/>
        </w:rPr>
      </w:pPr>
      <w:r>
        <w:rPr>
          <w:lang w:val="es-ES_tradnl"/>
        </w:rPr>
        <w:t>Acceso inalámbrico fijo de banda ancha, acceso inalámbrico de banda ancha, normas de interfaces radioeléctricas.</w:t>
      </w:r>
    </w:p>
    <w:p w:rsidR="004E4068" w:rsidRDefault="004E4068" w:rsidP="004E4068">
      <w:pPr>
        <w:jc w:val="center"/>
        <w:rPr>
          <w:b/>
          <w:bCs/>
          <w:lang w:val="es-ES_tradnl"/>
        </w:rPr>
      </w:pPr>
    </w:p>
    <w:p w:rsidR="004E4068" w:rsidRDefault="004E4068" w:rsidP="004E4068">
      <w:pPr>
        <w:jc w:val="center"/>
        <w:rPr>
          <w:b/>
          <w:bCs/>
          <w:lang w:val="es-ES_tradnl"/>
        </w:rPr>
      </w:pPr>
    </w:p>
    <w:p w:rsidR="004E4068" w:rsidRDefault="004E4068" w:rsidP="00B71A70">
      <w:pPr>
        <w:pStyle w:val="Rectitle"/>
        <w:rPr>
          <w:lang w:val="es-ES_tradnl"/>
        </w:rPr>
      </w:pPr>
      <w:r w:rsidRPr="005921B4">
        <w:rPr>
          <w:lang w:val="es-ES_tradnl"/>
        </w:rPr>
        <w:t>Referencias</w:t>
      </w:r>
    </w:p>
    <w:p w:rsidR="004E4068" w:rsidRPr="005921B4" w:rsidRDefault="004E4068" w:rsidP="004E4068">
      <w:pPr>
        <w:jc w:val="center"/>
        <w:rPr>
          <w:b/>
          <w:bCs/>
          <w:lang w:val="es-ES_tradnl"/>
        </w:rPr>
      </w:pPr>
    </w:p>
    <w:p w:rsidR="004E4068" w:rsidRDefault="004E4068" w:rsidP="00B71A70">
      <w:pPr>
        <w:pStyle w:val="Reftext"/>
        <w:rPr>
          <w:lang w:val="es-ES_tradnl"/>
        </w:rPr>
      </w:pPr>
      <w:r>
        <w:rPr>
          <w:lang w:val="es-ES_tradnl"/>
        </w:rPr>
        <w:t xml:space="preserve">Recomendación UIT-R F.1399 </w:t>
      </w:r>
      <w:r w:rsidRPr="00B93704">
        <w:rPr>
          <w:lang w:val="es-ES_tradnl"/>
        </w:rPr>
        <w:t>–</w:t>
      </w:r>
      <w:r>
        <w:rPr>
          <w:lang w:val="es-ES_tradnl"/>
        </w:rPr>
        <w:t xml:space="preserve"> </w:t>
      </w:r>
      <w:r w:rsidRPr="005921B4">
        <w:rPr>
          <w:lang w:val="es-ES_tradnl"/>
        </w:rPr>
        <w:t>Terminología del acceso inalámbrico</w:t>
      </w:r>
      <w:r w:rsidR="00B71A70">
        <w:rPr>
          <w:lang w:val="es-ES_tradnl"/>
        </w:rPr>
        <w:t>.</w:t>
      </w:r>
    </w:p>
    <w:p w:rsidR="004E4068" w:rsidRDefault="004E4068" w:rsidP="00B71A70">
      <w:pPr>
        <w:rPr>
          <w:lang w:val="es-ES_tradnl"/>
        </w:rPr>
      </w:pPr>
    </w:p>
    <w:p w:rsidR="00B71A70" w:rsidRDefault="00B71A70" w:rsidP="00B71A70">
      <w:pPr>
        <w:rPr>
          <w:lang w:val="es-ES_tradnl"/>
        </w:rPr>
      </w:pPr>
    </w:p>
    <w:p w:rsidR="004E4068" w:rsidRDefault="004E4068" w:rsidP="00B71A70">
      <w:pPr>
        <w:pStyle w:val="Line"/>
      </w:pPr>
    </w:p>
    <w:sectPr w:rsidR="004E4068" w:rsidSect="00B1717A">
      <w:headerReference w:type="even" r:id="rId13"/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00D5" w:rsidRDefault="00B900D5">
      <w:r>
        <w:separator/>
      </w:r>
    </w:p>
  </w:endnote>
  <w:endnote w:type="continuationSeparator" w:id="0">
    <w:p w:rsidR="00B900D5" w:rsidRDefault="00B90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00D5" w:rsidRDefault="00B900D5">
      <w:r>
        <w:separator/>
      </w:r>
    </w:p>
  </w:footnote>
  <w:footnote w:type="continuationSeparator" w:id="0">
    <w:p w:rsidR="00B900D5" w:rsidRDefault="00B900D5">
      <w:r>
        <w:continuationSeparator/>
      </w:r>
    </w:p>
  </w:footnote>
  <w:footnote w:id="1">
    <w:p w:rsidR="004E4068" w:rsidRPr="004376EB" w:rsidRDefault="004E4068" w:rsidP="00AE332B">
      <w:pPr>
        <w:pStyle w:val="FootnoteText"/>
        <w:rPr>
          <w:lang w:val="es-ES_tradnl"/>
        </w:rPr>
      </w:pPr>
      <w:r>
        <w:rPr>
          <w:rStyle w:val="FootnoteReference"/>
        </w:rPr>
        <w:footnoteRef/>
      </w:r>
      <w:r w:rsidRPr="0036218B">
        <w:rPr>
          <w:lang w:val="es-ES_tradnl"/>
        </w:rPr>
        <w:t xml:space="preserve"> </w:t>
      </w:r>
      <w:r>
        <w:rPr>
          <w:lang w:val="es-ES_tradnl"/>
        </w:rPr>
        <w:tab/>
      </w:r>
      <w:r w:rsidR="00AE332B">
        <w:rPr>
          <w:lang w:val="es-ES_tradnl"/>
        </w:rPr>
        <w:t>Los términos «</w:t>
      </w:r>
      <w:r w:rsidRPr="0036218B">
        <w:rPr>
          <w:lang w:val="es-ES_tradnl"/>
        </w:rPr>
        <w:t>acceso inalámbrico</w:t>
      </w:r>
      <w:r w:rsidR="00AE332B">
        <w:rPr>
          <w:lang w:val="es-ES_tradnl"/>
        </w:rPr>
        <w:t>» y «BWA</w:t>
      </w:r>
      <w:r w:rsidRPr="0036218B">
        <w:rPr>
          <w:lang w:val="es-ES_tradnl"/>
        </w:rPr>
        <w:t>» se definen en la Recomendación UIT-R F.1399.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DD5" w:rsidRDefault="00847DD5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DD5" w:rsidRDefault="00CA0934" w:rsidP="00D62884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8752" behindDoc="0" locked="0" layoutInCell="1" allowOverlap="1" wp14:anchorId="6044247E" wp14:editId="3138E51E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2152F"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4A27F9E5" wp14:editId="7AAAA35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DD5" w:rsidRDefault="00A47C90" w:rsidP="00B1717A">
    <w:pPr>
      <w:pStyle w:val="Header"/>
      <w:jc w:val="left"/>
    </w:pPr>
    <w:r>
      <w:rPr>
        <w:rStyle w:val="PageNumber"/>
        <w:b/>
        <w:bCs/>
      </w:rPr>
      <w:fldChar w:fldCharType="begin"/>
    </w:r>
    <w:r w:rsidR="00847DD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C03F5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847DD5">
      <w:tab/>
    </w:r>
    <w:r w:rsidR="00FC03F5">
      <w:fldChar w:fldCharType="begin"/>
    </w:r>
    <w:r w:rsidR="00FC03F5">
      <w:instrText xml:space="preserve"> DOCPROPERTY "Header" \* MERGEFORMAT </w:instrText>
    </w:r>
    <w:r w:rsidR="00FC03F5">
      <w:fldChar w:fldCharType="separate"/>
    </w:r>
    <w:r w:rsidR="00FC03F5" w:rsidRPr="00FC03F5">
      <w:rPr>
        <w:b/>
        <w:bCs/>
        <w:lang w:val="en-US"/>
      </w:rPr>
      <w:t xml:space="preserve">Rec. </w:t>
    </w:r>
    <w:r w:rsidR="00FC03F5">
      <w:rPr>
        <w:b/>
        <w:bCs/>
        <w:lang w:val="en-US"/>
      </w:rPr>
      <w:fldChar w:fldCharType="end"/>
    </w:r>
    <w:r w:rsidR="00847DD5">
      <w:rPr>
        <w:b/>
        <w:bCs/>
      </w:rPr>
      <w:t xml:space="preserve"> </w:t>
    </w:r>
    <w:r>
      <w:rPr>
        <w:b/>
        <w:bCs/>
      </w:rPr>
      <w:fldChar w:fldCharType="begin"/>
    </w:r>
    <w:r w:rsidR="00847DD5">
      <w:rPr>
        <w:b/>
        <w:bCs/>
      </w:rPr>
      <w:instrText>styleref href</w:instrText>
    </w:r>
    <w:r>
      <w:rPr>
        <w:b/>
        <w:bCs/>
      </w:rPr>
      <w:fldChar w:fldCharType="separate"/>
    </w:r>
    <w:r w:rsidR="00FC03F5">
      <w:rPr>
        <w:b/>
        <w:bCs/>
        <w:noProof/>
      </w:rPr>
      <w:t>UIT-R  F.1763-1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DD5" w:rsidRDefault="00847DD5">
    <w:pPr>
      <w:pStyle w:val="Header"/>
    </w:pPr>
    <w:r>
      <w:tab/>
    </w:r>
    <w:r w:rsidR="00FC03F5">
      <w:fldChar w:fldCharType="begin"/>
    </w:r>
    <w:r w:rsidR="00FC03F5">
      <w:instrText xml:space="preserve"> DOCPROPERTY "Header" \* MERGEFORMAT </w:instrText>
    </w:r>
    <w:r w:rsidR="00FC03F5">
      <w:fldChar w:fldCharType="separate"/>
    </w:r>
    <w:r w:rsidR="00FC03F5" w:rsidRPr="00FC03F5">
      <w:rPr>
        <w:lang w:val="en-US"/>
      </w:rPr>
      <w:t xml:space="preserve">Rec. </w:t>
    </w:r>
    <w:r w:rsidR="00FC03F5">
      <w:rPr>
        <w:lang w:val="en-US"/>
      </w:rPr>
      <w:fldChar w:fldCharType="end"/>
    </w:r>
    <w:r>
      <w:rPr>
        <w:b/>
        <w:bCs/>
      </w:rPr>
      <w:t xml:space="preserve">  </w:t>
    </w:r>
    <w:r w:rsidR="00A47C90">
      <w:rPr>
        <w:b/>
        <w:bCs/>
      </w:rPr>
      <w:fldChar w:fldCharType="begin"/>
    </w:r>
    <w:r>
      <w:rPr>
        <w:b/>
        <w:bCs/>
      </w:rPr>
      <w:instrText>styleref href</w:instrText>
    </w:r>
    <w:r w:rsidR="00A47C90">
      <w:rPr>
        <w:b/>
        <w:bCs/>
      </w:rPr>
      <w:fldChar w:fldCharType="separate"/>
    </w:r>
    <w:r w:rsidR="00FC03F5">
      <w:rPr>
        <w:b/>
        <w:bCs/>
        <w:noProof/>
      </w:rPr>
      <w:t>UIT-R  F.1763-1</w:t>
    </w:r>
    <w:r w:rsidR="00A47C90">
      <w:rPr>
        <w:b/>
        <w:bCs/>
      </w:rPr>
      <w:fldChar w:fldCharType="end"/>
    </w:r>
    <w:r>
      <w:tab/>
    </w:r>
    <w:r w:rsidR="00A47C90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A47C90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 w:rsidR="00A47C90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DD5" w:rsidRDefault="00A47C90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847DD5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FC03F5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 w:rsidR="00847DD5">
      <w:rPr>
        <w:lang w:val="en-US"/>
      </w:rPr>
      <w:tab/>
    </w:r>
    <w:r w:rsidR="00FC03F5">
      <w:fldChar w:fldCharType="begin"/>
    </w:r>
    <w:r w:rsidR="00FC03F5">
      <w:instrText xml:space="preserve"> DOCPROPERTY "Header" \* MERGEFORMAT </w:instrText>
    </w:r>
    <w:r w:rsidR="00FC03F5">
      <w:fldChar w:fldCharType="separate"/>
    </w:r>
    <w:r w:rsidR="00FC03F5" w:rsidRPr="00FC03F5">
      <w:rPr>
        <w:b/>
        <w:bCs/>
        <w:lang w:val="en-US"/>
      </w:rPr>
      <w:t xml:space="preserve">Rec. </w:t>
    </w:r>
    <w:r w:rsidR="00FC03F5">
      <w:rPr>
        <w:b/>
        <w:bCs/>
        <w:lang w:val="en-US"/>
      </w:rPr>
      <w:fldChar w:fldCharType="end"/>
    </w:r>
    <w:r w:rsidR="00847DD5">
      <w:rPr>
        <w:b/>
        <w:bCs/>
      </w:rPr>
      <w:t xml:space="preserve"> </w:t>
    </w:r>
    <w:r>
      <w:rPr>
        <w:b/>
        <w:bCs/>
      </w:rPr>
      <w:fldChar w:fldCharType="begin"/>
    </w:r>
    <w:r w:rsidR="00847DD5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FC03F5">
      <w:rPr>
        <w:b/>
        <w:bCs/>
        <w:noProof/>
      </w:rPr>
      <w:t>UIT-R  F.1763-1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DD5" w:rsidRDefault="00847DD5">
    <w:pPr>
      <w:pStyle w:val="Header"/>
    </w:pPr>
    <w:r>
      <w:tab/>
    </w:r>
    <w:r w:rsidR="00FC03F5">
      <w:fldChar w:fldCharType="begin"/>
    </w:r>
    <w:r w:rsidR="00FC03F5">
      <w:instrText xml:space="preserve"> DOCPROPERTY "Header" \* MERGEFORMAT </w:instrText>
    </w:r>
    <w:r w:rsidR="00FC03F5">
      <w:fldChar w:fldCharType="separate"/>
    </w:r>
    <w:r w:rsidR="00FC03F5" w:rsidRPr="00FC03F5">
      <w:rPr>
        <w:b/>
        <w:bCs/>
      </w:rPr>
      <w:t xml:space="preserve">Rec. </w:t>
    </w:r>
    <w:r w:rsidR="00FC03F5">
      <w:rPr>
        <w:b/>
        <w:bCs/>
      </w:rPr>
      <w:fldChar w:fldCharType="end"/>
    </w:r>
    <w:r>
      <w:rPr>
        <w:b/>
        <w:bCs/>
      </w:rPr>
      <w:t xml:space="preserve"> </w:t>
    </w:r>
    <w:r w:rsidR="00A47C90">
      <w:rPr>
        <w:b/>
        <w:bCs/>
      </w:rPr>
      <w:fldChar w:fldCharType="begin"/>
    </w:r>
    <w:r>
      <w:rPr>
        <w:b/>
        <w:bCs/>
      </w:rPr>
      <w:instrText>styleref href</w:instrText>
    </w:r>
    <w:r w:rsidR="00A47C90">
      <w:rPr>
        <w:b/>
        <w:bCs/>
      </w:rPr>
      <w:fldChar w:fldCharType="separate"/>
    </w:r>
    <w:r w:rsidR="00FC03F5">
      <w:rPr>
        <w:b/>
        <w:bCs/>
        <w:noProof/>
      </w:rPr>
      <w:t>UIT-R  F.1763-1</w:t>
    </w:r>
    <w:r w:rsidR="00A47C90">
      <w:rPr>
        <w:b/>
        <w:bCs/>
      </w:rPr>
      <w:fldChar w:fldCharType="end"/>
    </w:r>
    <w:r>
      <w:tab/>
    </w:r>
    <w:r w:rsidR="00A47C90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A47C90">
      <w:rPr>
        <w:rStyle w:val="PageNumber"/>
        <w:b/>
        <w:bCs/>
      </w:rPr>
      <w:fldChar w:fldCharType="separate"/>
    </w:r>
    <w:r w:rsidR="00FC03F5">
      <w:rPr>
        <w:rStyle w:val="PageNumber"/>
        <w:b/>
        <w:bCs/>
        <w:noProof/>
      </w:rPr>
      <w:t>1</w:t>
    </w:r>
    <w:r w:rsidR="00A47C90"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hideSpellingErrors/>
  <w:hideGrammaticalErrors/>
  <w:activeWritingStyle w:appName="MSWord" w:lang="en-US" w:vendorID="64" w:dllVersion="131077" w:nlCheck="1" w:checkStyle="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17A"/>
    <w:rsid w:val="000A4449"/>
    <w:rsid w:val="002D76C4"/>
    <w:rsid w:val="00320065"/>
    <w:rsid w:val="00363835"/>
    <w:rsid w:val="0041687B"/>
    <w:rsid w:val="0044162F"/>
    <w:rsid w:val="004532F7"/>
    <w:rsid w:val="0046143D"/>
    <w:rsid w:val="004D0BFD"/>
    <w:rsid w:val="004E4068"/>
    <w:rsid w:val="00593832"/>
    <w:rsid w:val="005A6102"/>
    <w:rsid w:val="00604D06"/>
    <w:rsid w:val="00607D68"/>
    <w:rsid w:val="00643006"/>
    <w:rsid w:val="006B22C3"/>
    <w:rsid w:val="006C64BB"/>
    <w:rsid w:val="006D3C98"/>
    <w:rsid w:val="0072152F"/>
    <w:rsid w:val="007C7328"/>
    <w:rsid w:val="00834A65"/>
    <w:rsid w:val="00847DD5"/>
    <w:rsid w:val="008B517D"/>
    <w:rsid w:val="009A3628"/>
    <w:rsid w:val="00A213C0"/>
    <w:rsid w:val="00A47C90"/>
    <w:rsid w:val="00A6617B"/>
    <w:rsid w:val="00AB0DC8"/>
    <w:rsid w:val="00AE332B"/>
    <w:rsid w:val="00B0021C"/>
    <w:rsid w:val="00B1717A"/>
    <w:rsid w:val="00B44E24"/>
    <w:rsid w:val="00B60078"/>
    <w:rsid w:val="00B62D37"/>
    <w:rsid w:val="00B71A70"/>
    <w:rsid w:val="00B900D5"/>
    <w:rsid w:val="00BC3388"/>
    <w:rsid w:val="00BF7841"/>
    <w:rsid w:val="00C13937"/>
    <w:rsid w:val="00C64A6E"/>
    <w:rsid w:val="00CA0934"/>
    <w:rsid w:val="00D27BFA"/>
    <w:rsid w:val="00D50E83"/>
    <w:rsid w:val="00D62884"/>
    <w:rsid w:val="00DF4176"/>
    <w:rsid w:val="00ED4172"/>
    <w:rsid w:val="00FB56BF"/>
    <w:rsid w:val="00FC0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D7E942C5-21E3-49F9-A24D-1D194564C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4A6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C64A6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64A6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C64A6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C64A6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C64A6E"/>
    <w:pPr>
      <w:outlineLvl w:val="4"/>
    </w:pPr>
  </w:style>
  <w:style w:type="paragraph" w:styleId="Heading6">
    <w:name w:val="heading 6"/>
    <w:basedOn w:val="Heading4"/>
    <w:next w:val="Normal"/>
    <w:qFormat/>
    <w:rsid w:val="00C64A6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64A6E"/>
    <w:pPr>
      <w:outlineLvl w:val="6"/>
    </w:pPr>
  </w:style>
  <w:style w:type="paragraph" w:styleId="Heading8">
    <w:name w:val="heading 8"/>
    <w:basedOn w:val="Heading6"/>
    <w:next w:val="Normal"/>
    <w:qFormat/>
    <w:rsid w:val="00C64A6E"/>
    <w:pPr>
      <w:outlineLvl w:val="7"/>
    </w:pPr>
  </w:style>
  <w:style w:type="paragraph" w:styleId="Heading9">
    <w:name w:val="heading 9"/>
    <w:basedOn w:val="Heading6"/>
    <w:next w:val="Normal"/>
    <w:qFormat/>
    <w:rsid w:val="00C64A6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64A6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C64A6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C64A6E"/>
  </w:style>
  <w:style w:type="paragraph" w:customStyle="1" w:styleId="Headingb">
    <w:name w:val="Heading_b"/>
    <w:basedOn w:val="Heading3"/>
    <w:next w:val="Normal"/>
    <w:rsid w:val="00C64A6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C64A6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C64A6E"/>
  </w:style>
  <w:style w:type="paragraph" w:customStyle="1" w:styleId="enumlev1">
    <w:name w:val="enumlev1"/>
    <w:basedOn w:val="Normal"/>
    <w:rsid w:val="00C64A6E"/>
    <w:pPr>
      <w:spacing w:before="80"/>
      <w:ind w:left="794" w:hanging="794"/>
    </w:pPr>
  </w:style>
  <w:style w:type="paragraph" w:customStyle="1" w:styleId="enumlev2">
    <w:name w:val="enumlev2"/>
    <w:basedOn w:val="enumlev1"/>
    <w:rsid w:val="00C64A6E"/>
    <w:pPr>
      <w:ind w:left="1191" w:hanging="397"/>
    </w:pPr>
  </w:style>
  <w:style w:type="paragraph" w:customStyle="1" w:styleId="enumlev3">
    <w:name w:val="enumlev3"/>
    <w:basedOn w:val="enumlev2"/>
    <w:rsid w:val="00C64A6E"/>
    <w:pPr>
      <w:ind w:left="1588"/>
    </w:pPr>
  </w:style>
  <w:style w:type="paragraph" w:customStyle="1" w:styleId="Normalaftertitle">
    <w:name w:val="Normal_after_title"/>
    <w:basedOn w:val="Normal"/>
    <w:next w:val="Normal"/>
    <w:rsid w:val="00C64A6E"/>
    <w:pPr>
      <w:spacing w:before="320"/>
    </w:pPr>
  </w:style>
  <w:style w:type="paragraph" w:customStyle="1" w:styleId="Note">
    <w:name w:val="Note"/>
    <w:basedOn w:val="Normal"/>
    <w:rsid w:val="00C64A6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C64A6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41687B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C64A6E"/>
    <w:pPr>
      <w:jc w:val="center"/>
    </w:pPr>
  </w:style>
  <w:style w:type="paragraph" w:customStyle="1" w:styleId="Recdate">
    <w:name w:val="Rec_date"/>
    <w:basedOn w:val="Recref"/>
    <w:next w:val="Normalaftertitle"/>
    <w:rsid w:val="00C64A6E"/>
    <w:pPr>
      <w:jc w:val="right"/>
    </w:pPr>
  </w:style>
  <w:style w:type="paragraph" w:customStyle="1" w:styleId="AnnexNoTitle">
    <w:name w:val="Annex_NoTitle"/>
    <w:basedOn w:val="Normal"/>
    <w:next w:val="Normalaftertitle"/>
    <w:rsid w:val="00C64A6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C64A6E"/>
  </w:style>
  <w:style w:type="paragraph" w:customStyle="1" w:styleId="Tablefin">
    <w:name w:val="Table_fin"/>
    <w:basedOn w:val="Normal"/>
    <w:next w:val="Normal"/>
    <w:rsid w:val="00C64A6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C64A6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C64A6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C64A6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C64A6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C64A6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C64A6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C64A6E"/>
    <w:pPr>
      <w:ind w:left="794"/>
    </w:pPr>
  </w:style>
  <w:style w:type="paragraph" w:customStyle="1" w:styleId="Figurelegend">
    <w:name w:val="Figure_legend"/>
    <w:basedOn w:val="Normal"/>
    <w:rsid w:val="00C64A6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C64A6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C64A6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C64A6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C64A6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C64A6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C64A6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C64A6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C64A6E"/>
    <w:rPr>
      <w:b/>
    </w:rPr>
  </w:style>
  <w:style w:type="paragraph" w:customStyle="1" w:styleId="Chaptitle">
    <w:name w:val="Chap_title"/>
    <w:basedOn w:val="Arttitle"/>
    <w:next w:val="Normalaftertitle"/>
    <w:rsid w:val="00C64A6E"/>
  </w:style>
  <w:style w:type="character" w:styleId="FootnoteReference">
    <w:name w:val="footnote reference"/>
    <w:basedOn w:val="DefaultParagraphFont"/>
    <w:semiHidden/>
    <w:rsid w:val="00C64A6E"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rsid w:val="00C64A6E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C64A6E"/>
  </w:style>
  <w:style w:type="paragraph" w:styleId="Index2">
    <w:name w:val="index 2"/>
    <w:basedOn w:val="Normal"/>
    <w:next w:val="Normal"/>
    <w:semiHidden/>
    <w:rsid w:val="00C64A6E"/>
    <w:pPr>
      <w:ind w:left="283"/>
    </w:pPr>
  </w:style>
  <w:style w:type="paragraph" w:styleId="Index3">
    <w:name w:val="index 3"/>
    <w:basedOn w:val="Normal"/>
    <w:next w:val="Normal"/>
    <w:semiHidden/>
    <w:rsid w:val="00C64A6E"/>
    <w:pPr>
      <w:ind w:left="566"/>
    </w:pPr>
  </w:style>
  <w:style w:type="paragraph" w:styleId="IndexHeading">
    <w:name w:val="index heading"/>
    <w:basedOn w:val="Normal"/>
    <w:next w:val="Index1"/>
    <w:semiHidden/>
    <w:rsid w:val="00C64A6E"/>
  </w:style>
  <w:style w:type="paragraph" w:customStyle="1" w:styleId="Line">
    <w:name w:val="Line"/>
    <w:basedOn w:val="Normal"/>
    <w:next w:val="Normal"/>
    <w:rsid w:val="00C64A6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C64A6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C64A6E"/>
  </w:style>
  <w:style w:type="paragraph" w:customStyle="1" w:styleId="Partref">
    <w:name w:val="Part_ref"/>
    <w:basedOn w:val="Normal"/>
    <w:next w:val="Normal"/>
    <w:rsid w:val="00C64A6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C64A6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C64A6E"/>
  </w:style>
  <w:style w:type="paragraph" w:customStyle="1" w:styleId="QuestionNo">
    <w:name w:val="Question_No"/>
    <w:basedOn w:val="RecNo"/>
    <w:next w:val="Normal"/>
    <w:rsid w:val="00C64A6E"/>
  </w:style>
  <w:style w:type="paragraph" w:customStyle="1" w:styleId="Questionref">
    <w:name w:val="Question_ref"/>
    <w:basedOn w:val="Recref"/>
    <w:next w:val="Questiondate"/>
    <w:rsid w:val="00C64A6E"/>
  </w:style>
  <w:style w:type="paragraph" w:customStyle="1" w:styleId="Questiontitle">
    <w:name w:val="Question_title"/>
    <w:basedOn w:val="Normal"/>
    <w:next w:val="Questionref"/>
    <w:rsid w:val="00C64A6E"/>
  </w:style>
  <w:style w:type="paragraph" w:customStyle="1" w:styleId="Reftext">
    <w:name w:val="Ref_text"/>
    <w:basedOn w:val="Normal"/>
    <w:rsid w:val="00C64A6E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C64A6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C64A6E"/>
  </w:style>
  <w:style w:type="paragraph" w:customStyle="1" w:styleId="RepNo">
    <w:name w:val="Rep_No"/>
    <w:basedOn w:val="RecNo"/>
    <w:next w:val="Reptitle"/>
    <w:rsid w:val="00C64A6E"/>
  </w:style>
  <w:style w:type="paragraph" w:customStyle="1" w:styleId="Repref">
    <w:name w:val="Rep_ref"/>
    <w:basedOn w:val="Recref"/>
    <w:next w:val="Repdate"/>
    <w:rsid w:val="00C64A6E"/>
  </w:style>
  <w:style w:type="paragraph" w:customStyle="1" w:styleId="Reptitle">
    <w:name w:val="Rep_title"/>
    <w:basedOn w:val="Rectitle"/>
    <w:next w:val="Repref"/>
    <w:rsid w:val="00C64A6E"/>
  </w:style>
  <w:style w:type="paragraph" w:customStyle="1" w:styleId="Resdate">
    <w:name w:val="Res_date"/>
    <w:basedOn w:val="Recdate"/>
    <w:next w:val="Normalaftertitle"/>
    <w:rsid w:val="00C64A6E"/>
  </w:style>
  <w:style w:type="paragraph" w:customStyle="1" w:styleId="ResNo">
    <w:name w:val="Res_No"/>
    <w:basedOn w:val="RecNo"/>
    <w:next w:val="Restitle"/>
    <w:rsid w:val="00C64A6E"/>
  </w:style>
  <w:style w:type="paragraph" w:customStyle="1" w:styleId="Resref">
    <w:name w:val="Res_ref"/>
    <w:basedOn w:val="Recref"/>
    <w:next w:val="Resdate"/>
    <w:rsid w:val="00C64A6E"/>
  </w:style>
  <w:style w:type="paragraph" w:customStyle="1" w:styleId="Restitle">
    <w:name w:val="Res_title"/>
    <w:basedOn w:val="Normal"/>
    <w:next w:val="Resref"/>
    <w:rsid w:val="00C64A6E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C64A6E"/>
  </w:style>
  <w:style w:type="paragraph" w:customStyle="1" w:styleId="Sectiontitle">
    <w:name w:val="Section_title"/>
    <w:basedOn w:val="Normal"/>
    <w:next w:val="Normalaftertitle"/>
    <w:rsid w:val="00C64A6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C64A6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C64A6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C64A6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C64A6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C64A6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C64A6E"/>
  </w:style>
  <w:style w:type="paragraph" w:styleId="TOC6">
    <w:name w:val="toc 6"/>
    <w:basedOn w:val="TOC4"/>
    <w:semiHidden/>
    <w:rsid w:val="00C64A6E"/>
  </w:style>
  <w:style w:type="paragraph" w:styleId="TOC7">
    <w:name w:val="toc 7"/>
    <w:basedOn w:val="TOC4"/>
    <w:semiHidden/>
    <w:rsid w:val="00C64A6E"/>
  </w:style>
  <w:style w:type="paragraph" w:styleId="TOC8">
    <w:name w:val="toc 8"/>
    <w:basedOn w:val="TOC4"/>
    <w:semiHidden/>
    <w:rsid w:val="00C64A6E"/>
  </w:style>
  <w:style w:type="paragraph" w:customStyle="1" w:styleId="Rectitle">
    <w:name w:val="Rec_title"/>
    <w:basedOn w:val="Normal"/>
    <w:next w:val="Recref"/>
    <w:rsid w:val="00C64A6E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C64A6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C64A6E"/>
  </w:style>
  <w:style w:type="paragraph" w:customStyle="1" w:styleId="Figuretitle">
    <w:name w:val="Figure_title"/>
    <w:basedOn w:val="Normal"/>
    <w:next w:val="Figure"/>
    <w:rsid w:val="00C64A6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C64A6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BC3388"/>
    <w:pPr>
      <w:ind w:left="794" w:hanging="794"/>
    </w:pPr>
    <w:rPr>
      <w:sz w:val="22"/>
      <w:lang w:val="es-ES_tradnl"/>
    </w:rPr>
  </w:style>
  <w:style w:type="character" w:styleId="Hyperlink">
    <w:name w:val="Hyperlink"/>
    <w:basedOn w:val="DefaultParagraphFont"/>
    <w:rsid w:val="00B1717A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C64A6E"/>
    <w:pPr>
      <w:keepNext w:val="0"/>
      <w:spacing w:before="0" w:after="240"/>
    </w:pPr>
  </w:style>
  <w:style w:type="table" w:styleId="TableGrid">
    <w:name w:val="Table Grid"/>
    <w:basedOn w:val="TableNormal"/>
    <w:rsid w:val="00B171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LegendNote">
    <w:name w:val="Table_Legend_Note"/>
    <w:basedOn w:val="Tablelegend"/>
    <w:next w:val="Tablelegend"/>
    <w:rsid w:val="00C64A6E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semiHidden/>
    <w:rsid w:val="004E4068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s" TargetMode="External"/><Relationship Id="rId13" Type="http://schemas.openxmlformats.org/officeDocument/2006/relationships/header" Target="header5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yperlink" Target="http://www.itu.int/rec/recommendation.asp?type=folders&amp;lang=e&amp;parent=R-REC-F.1499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s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30</TotalTime>
  <Pages>4</Pages>
  <Words>929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6719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santosbo</dc:creator>
  <cp:keywords/>
  <dc:description/>
  <cp:lastModifiedBy>Catalano Moreira, Rossana</cp:lastModifiedBy>
  <cp:revision>18</cp:revision>
  <cp:lastPrinted>2015-02-10T14:29:00Z</cp:lastPrinted>
  <dcterms:created xsi:type="dcterms:W3CDTF">2015-02-10T14:01:00Z</dcterms:created>
  <dcterms:modified xsi:type="dcterms:W3CDTF">2015-02-10T14:32:00Z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