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p w:rsidR="002542A2" w:rsidRDefault="002542A2" w:rsidP="002542A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542A2" w:rsidRPr="00A443C2" w:rsidTr="008660FC">
        <w:tc>
          <w:tcPr>
            <w:tcW w:w="10089" w:type="dxa"/>
          </w:tcPr>
          <w:p w:rsidR="002542A2" w:rsidRPr="00B033C8" w:rsidRDefault="002542A2" w:rsidP="008660F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542A2" w:rsidRPr="00A443C2" w:rsidRDefault="002542A2" w:rsidP="00E217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21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1763-1</w:t>
            </w:r>
          </w:p>
          <w:p w:rsidR="002542A2" w:rsidRPr="00A443C2" w:rsidRDefault="002542A2" w:rsidP="00E217B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E217B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E217B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2542A2" w:rsidRPr="00F54FBD" w:rsidTr="008660FC">
        <w:tc>
          <w:tcPr>
            <w:tcW w:w="10089" w:type="dxa"/>
          </w:tcPr>
          <w:p w:rsidR="002542A2" w:rsidRDefault="002542A2" w:rsidP="008660F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2542A2" w:rsidRDefault="00E217BC" w:rsidP="00E217B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Normes relatives aux interfaces radioélectriques pour les systèmes d'accès hertzien large bande du service fixe fonctionnant au-dessous de 66 GHz</w:t>
            </w:r>
          </w:p>
          <w:p w:rsidR="002542A2" w:rsidRPr="00F54FBD" w:rsidRDefault="002542A2" w:rsidP="008660F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2542A2" w:rsidRPr="00F54FBD" w:rsidTr="008660FC">
        <w:tc>
          <w:tcPr>
            <w:tcW w:w="10089" w:type="dxa"/>
          </w:tcPr>
          <w:p w:rsidR="002542A2" w:rsidRPr="00F54FBD" w:rsidRDefault="002542A2" w:rsidP="008660F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542A2" w:rsidRPr="00F54FBD" w:rsidRDefault="002542A2" w:rsidP="008660F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542A2" w:rsidRPr="00F54FBD" w:rsidRDefault="002542A2" w:rsidP="008660F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542A2" w:rsidRPr="00F54FBD" w:rsidRDefault="002542A2" w:rsidP="008660F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</w:p>
          <w:p w:rsidR="002542A2" w:rsidRPr="00F54FBD" w:rsidRDefault="002542A2" w:rsidP="008660FC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fixe</w:t>
            </w:r>
          </w:p>
        </w:tc>
      </w:tr>
    </w:tbl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spacing w:before="80"/>
        <w:rPr>
          <w:i/>
          <w:sz w:val="22"/>
        </w:rPr>
      </w:pPr>
    </w:p>
    <w:p w:rsidR="002542A2" w:rsidRPr="00F54FBD" w:rsidRDefault="002542A2" w:rsidP="002542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2542A2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542A2" w:rsidRPr="00F54FBD" w:rsidRDefault="002542A2" w:rsidP="002542A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2542A2" w:rsidRPr="00F54FBD" w:rsidRDefault="002542A2" w:rsidP="002542A2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2542A2" w:rsidRPr="00F54FBD" w:rsidRDefault="002542A2" w:rsidP="002542A2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2542A2" w:rsidRPr="00E44CBB" w:rsidRDefault="002542A2" w:rsidP="002542A2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2542A2" w:rsidRPr="00E44CBB" w:rsidRDefault="002542A2" w:rsidP="002542A2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2542A2" w:rsidRPr="00127062" w:rsidRDefault="002542A2" w:rsidP="002542A2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542A2" w:rsidRPr="009454F8" w:rsidTr="008660FC">
        <w:tc>
          <w:tcPr>
            <w:tcW w:w="9360" w:type="dxa"/>
            <w:gridSpan w:val="2"/>
          </w:tcPr>
          <w:p w:rsidR="002542A2" w:rsidRPr="009454F8" w:rsidRDefault="002542A2" w:rsidP="008660F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2542A2" w:rsidRPr="009454F8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2542A2" w:rsidRPr="00036EE3" w:rsidTr="008660FC">
        <w:tc>
          <w:tcPr>
            <w:tcW w:w="1140" w:type="dxa"/>
            <w:tcBorders>
              <w:bottom w:val="nil"/>
            </w:tcBorders>
          </w:tcPr>
          <w:p w:rsidR="002542A2" w:rsidRPr="00614CC6" w:rsidRDefault="002542A2" w:rsidP="008660F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2542A2" w:rsidRPr="00614CC6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2542A2" w:rsidRPr="005E427C" w:rsidTr="008660F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42A2" w:rsidRPr="005E427C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42A2" w:rsidRPr="005E427C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2542A2" w:rsidRPr="009454F8" w:rsidTr="008660FC">
        <w:tc>
          <w:tcPr>
            <w:tcW w:w="1140" w:type="dxa"/>
            <w:tcBorders>
              <w:top w:val="nil"/>
              <w:bottom w:val="nil"/>
            </w:tcBorders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542A2" w:rsidRPr="00614CC6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2542A2" w:rsidRPr="00E80F1D" w:rsidTr="008660F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42A2" w:rsidRPr="00E80F1D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42A2" w:rsidRPr="00E80F1D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2542A2" w:rsidRPr="00ED2695" w:rsidTr="008660F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42A2" w:rsidRPr="00614CC6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2542A2" w:rsidRPr="00E80F1D" w:rsidTr="008660F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542A2" w:rsidRPr="00E80F1D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E80F1D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542A2" w:rsidRPr="00E80F1D" w:rsidRDefault="002542A2" w:rsidP="008660F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E80F1D">
              <w:rPr>
                <w:b/>
                <w:bCs/>
                <w:color w:val="000080"/>
                <w:sz w:val="20"/>
              </w:rPr>
              <w:t>Service fixe</w:t>
            </w:r>
          </w:p>
        </w:tc>
      </w:tr>
      <w:tr w:rsidR="002542A2" w:rsidRPr="00B21066" w:rsidTr="008660F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42A2" w:rsidRPr="00B2106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42A2" w:rsidRPr="00B21066" w:rsidRDefault="002542A2" w:rsidP="008660F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2542A2" w:rsidRPr="00036EE3" w:rsidTr="008660FC">
        <w:tc>
          <w:tcPr>
            <w:tcW w:w="1140" w:type="dxa"/>
            <w:tcBorders>
              <w:top w:val="nil"/>
            </w:tcBorders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2542A2" w:rsidRPr="00614CC6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2542A2" w:rsidRPr="00036EE3" w:rsidTr="008660FC">
        <w:tc>
          <w:tcPr>
            <w:tcW w:w="1140" w:type="dxa"/>
            <w:shd w:val="clear" w:color="auto" w:fill="auto"/>
          </w:tcPr>
          <w:p w:rsidR="002542A2" w:rsidRPr="00592F9F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542A2" w:rsidRPr="00592F9F" w:rsidRDefault="002542A2" w:rsidP="008660F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2542A2" w:rsidRPr="00614CC6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2542A2" w:rsidRPr="00036EE3" w:rsidTr="008660FC">
        <w:tc>
          <w:tcPr>
            <w:tcW w:w="1140" w:type="dxa"/>
          </w:tcPr>
          <w:p w:rsidR="002542A2" w:rsidRPr="00614CC6" w:rsidRDefault="002542A2" w:rsidP="008660F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542A2" w:rsidRPr="00614CC6" w:rsidRDefault="002542A2" w:rsidP="008660FC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2542A2" w:rsidRPr="00036EE3" w:rsidRDefault="002542A2" w:rsidP="002542A2">
      <w:pPr>
        <w:spacing w:before="0"/>
        <w:jc w:val="center"/>
        <w:rPr>
          <w:sz w:val="20"/>
          <w:lang w:val="en-US"/>
        </w:rPr>
      </w:pPr>
    </w:p>
    <w:p w:rsidR="002542A2" w:rsidRPr="00036EE3" w:rsidRDefault="002542A2" w:rsidP="002542A2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542A2" w:rsidRPr="00756B4D" w:rsidTr="008660FC">
        <w:tc>
          <w:tcPr>
            <w:tcW w:w="9360" w:type="dxa"/>
          </w:tcPr>
          <w:p w:rsidR="002542A2" w:rsidRPr="00756B4D" w:rsidRDefault="002542A2" w:rsidP="008660FC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2542A2" w:rsidRPr="00756B4D" w:rsidRDefault="002542A2" w:rsidP="002542A2">
      <w:pPr>
        <w:spacing w:before="0"/>
        <w:jc w:val="center"/>
        <w:rPr>
          <w:sz w:val="22"/>
        </w:rPr>
      </w:pPr>
    </w:p>
    <w:p w:rsidR="002542A2" w:rsidRPr="00614CC6" w:rsidRDefault="002542A2" w:rsidP="002542A2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2542A2" w:rsidRPr="00614CC6" w:rsidRDefault="002542A2" w:rsidP="002542A2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14</w:t>
      </w:r>
    </w:p>
    <w:p w:rsidR="002542A2" w:rsidRPr="00614CC6" w:rsidRDefault="002542A2" w:rsidP="002542A2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14</w:t>
      </w:r>
    </w:p>
    <w:p w:rsidR="002542A2" w:rsidRPr="00614CC6" w:rsidRDefault="002542A2" w:rsidP="002542A2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2542A2" w:rsidRPr="00614CC6" w:rsidRDefault="002542A2" w:rsidP="002542A2">
      <w:pPr>
        <w:spacing w:before="160"/>
        <w:rPr>
          <w:i/>
          <w:sz w:val="20"/>
          <w:highlight w:val="yellow"/>
        </w:rPr>
        <w:sectPr w:rsidR="002542A2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542A2" w:rsidRPr="00756B4D" w:rsidRDefault="002542A2" w:rsidP="00E217BC">
      <w:pPr>
        <w:pStyle w:val="RecNo"/>
        <w:spacing w:before="0"/>
      </w:pPr>
      <w:bookmarkStart w:id="2" w:name="irecnoe"/>
      <w:bookmarkEnd w:id="2"/>
      <w:r w:rsidRPr="00756B4D"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F</w:t>
      </w:r>
      <w:r w:rsidRPr="00756B4D">
        <w:rPr>
          <w:rStyle w:val="href"/>
        </w:rPr>
        <w:t>.</w:t>
      </w:r>
      <w:r w:rsidR="00E217BC">
        <w:rPr>
          <w:rStyle w:val="href"/>
        </w:rPr>
        <w:t>1763-1</w:t>
      </w:r>
    </w:p>
    <w:p w:rsidR="00E217BC" w:rsidRDefault="00E217BC" w:rsidP="00E217BC">
      <w:pPr>
        <w:pStyle w:val="Rectitle"/>
      </w:pPr>
      <w:r>
        <w:t>Normes relatives aux interfaces radioélectriques pour les systèmes d'accès hertzien large bande du service fixe fonctionnant au</w:t>
      </w:r>
      <w:r>
        <w:noBreakHyphen/>
        <w:t>dessous de 66 GHz</w:t>
      </w:r>
    </w:p>
    <w:p w:rsidR="00E217BC" w:rsidRDefault="00E217BC" w:rsidP="00E217BC">
      <w:pPr>
        <w:pStyle w:val="Recref"/>
      </w:pPr>
      <w:r>
        <w:t>(Question UIT-R 215-4/5)</w:t>
      </w:r>
    </w:p>
    <w:p w:rsidR="00E217BC" w:rsidRDefault="00E217BC" w:rsidP="00E217BC">
      <w:pPr>
        <w:pStyle w:val="Recdate"/>
      </w:pPr>
      <w:r>
        <w:t>(2006-2014)</w:t>
      </w:r>
    </w:p>
    <w:p w:rsidR="00E217BC" w:rsidRDefault="00E217BC" w:rsidP="00CF0B0C">
      <w:pPr>
        <w:pStyle w:val="HeadingSum"/>
      </w:pPr>
      <w:r>
        <w:t>Domaine d'application</w:t>
      </w:r>
    </w:p>
    <w:p w:rsidR="00E217BC" w:rsidRDefault="00E217BC" w:rsidP="00CF0B0C">
      <w:pPr>
        <w:pStyle w:val="Summary"/>
      </w:pPr>
      <w:r>
        <w:t>La présente Recommandation identifie des normes spécifiques relatives aux interfaces radioélectriques pouvant être utilisées pour des systèmes d'accès hertzien large bande (AHLB)</w:t>
      </w:r>
      <w:r>
        <w:rPr>
          <w:rStyle w:val="FootnoteReference"/>
        </w:rPr>
        <w:footnoteReference w:id="1"/>
      </w:r>
      <w:r>
        <w:t xml:space="preserve"> du service fixe fonctionnant au</w:t>
      </w:r>
      <w:r>
        <w:noBreakHyphen/>
        <w:t>dessous de 66 GHz et traite des profils applicables aux normes d'interopérabilité recommandées. Elle contient des références aux normes d'interopérabilité entre systèmes AHLB.</w:t>
      </w:r>
    </w:p>
    <w:p w:rsidR="00E217BC" w:rsidRDefault="00E217BC" w:rsidP="00E217BC">
      <w:r>
        <w:t>Les normes d'interopérabilité citées dans la présente Recommandation comprennent les spécifications suivantes:</w:t>
      </w:r>
    </w:p>
    <w:p w:rsidR="00E217BC" w:rsidRDefault="00E217BC" w:rsidP="00E217BC">
      <w:pPr>
        <w:pStyle w:val="enumlev1"/>
      </w:pPr>
      <w:r>
        <w:t>–</w:t>
      </w:r>
      <w:r>
        <w:tab/>
        <w:t>profils de système;</w:t>
      </w:r>
    </w:p>
    <w:p w:rsidR="00E217BC" w:rsidRDefault="00E217BC" w:rsidP="00E217BC">
      <w:pPr>
        <w:pStyle w:val="enumlev1"/>
      </w:pPr>
      <w:r>
        <w:t>–</w:t>
      </w:r>
      <w:r>
        <w:tab/>
        <w:t>paramètres de couche physique, c'est</w:t>
      </w:r>
      <w:r>
        <w:noBreakHyphen/>
        <w:t>à</w:t>
      </w:r>
      <w:r>
        <w:noBreakHyphen/>
        <w:t>dire disposition des canaux, système de modulation, débits binaires;</w:t>
      </w:r>
    </w:p>
    <w:p w:rsidR="00E217BC" w:rsidRDefault="00E217BC" w:rsidP="00E217BC">
      <w:pPr>
        <w:pStyle w:val="enumlev1"/>
      </w:pPr>
      <w:r>
        <w:t>–</w:t>
      </w:r>
      <w:r>
        <w:tab/>
        <w:t>messages de couche commande d'accès au support (MAC) et champs d'en-tête.</w:t>
      </w:r>
    </w:p>
    <w:p w:rsidR="00E217BC" w:rsidRDefault="00E217BC" w:rsidP="00E217BC">
      <w:r>
        <w:t>La présente Recommandation n'a pas pour objet de traiter de l'identification de bandes de fréquences appropriées pour les systèmes d'accès hertzien large bande ni de questions réglementaires.</w:t>
      </w:r>
    </w:p>
    <w:p w:rsidR="00E217BC" w:rsidRDefault="00E217BC" w:rsidP="00E217BC">
      <w:pPr>
        <w:pStyle w:val="Normalaftertitle"/>
      </w:pPr>
      <w:r>
        <w:t>L'Assemblée des radiocommunications de l'UIT,</w:t>
      </w:r>
    </w:p>
    <w:p w:rsidR="00E217BC" w:rsidRDefault="00E217BC" w:rsidP="00E217BC">
      <w:pPr>
        <w:pStyle w:val="Call"/>
      </w:pPr>
      <w:r>
        <w:t>considérant</w:t>
      </w:r>
    </w:p>
    <w:p w:rsidR="00E217BC" w:rsidRDefault="00E217BC" w:rsidP="00E217BC">
      <w:r w:rsidRPr="000321ED">
        <w:rPr>
          <w:i/>
          <w:iCs/>
        </w:rPr>
        <w:t>a)</w:t>
      </w:r>
      <w:r>
        <w:tab/>
        <w:t>qu'il est utile d'identifier des normes relatives aux systèmes d'accès hertzien large bande (AHLB) du service fixe en vue d'une utilisation internationale;</w:t>
      </w:r>
    </w:p>
    <w:p w:rsidR="00E217BC" w:rsidRDefault="00E217BC" w:rsidP="00E217BC">
      <w:r w:rsidRPr="000321ED">
        <w:rPr>
          <w:i/>
          <w:iCs/>
        </w:rPr>
        <w:t>b)</w:t>
      </w:r>
      <w:r>
        <w:tab/>
        <w:t>que les normes relatives aux systèmes AHLB du service fixe sont élaborées par des organisations de normalisation auxquelles participent de nombreux acteurs internationaux;</w:t>
      </w:r>
    </w:p>
    <w:p w:rsidR="00E217BC" w:rsidRDefault="00E217BC" w:rsidP="00E217BC">
      <w:r w:rsidRPr="000321ED">
        <w:rPr>
          <w:i/>
          <w:iCs/>
        </w:rPr>
        <w:t>c)</w:t>
      </w:r>
      <w:r>
        <w:tab/>
        <w:t>que certaines normes applicables aux systèmes du service mobile peuvent être utilisées pour assurer un AHLB fixe;</w:t>
      </w:r>
    </w:p>
    <w:p w:rsidR="00E217BC" w:rsidRDefault="00E217BC" w:rsidP="00E217BC">
      <w:r w:rsidRPr="000321ED">
        <w:rPr>
          <w:i/>
          <w:iCs/>
        </w:rPr>
        <w:t>d)</w:t>
      </w:r>
      <w:r>
        <w:tab/>
        <w:t>que les normes relatives à l'AHLB permettent un large éventail d'applications large bande fixes ou nomades, telles que la téléphonie et la visioconférence, en zone urbaine, suburbaine ou rurale,</w:t>
      </w:r>
    </w:p>
    <w:p w:rsidR="00E217BC" w:rsidRDefault="00E217BC" w:rsidP="00E217BC">
      <w:pPr>
        <w:pStyle w:val="Call"/>
      </w:pPr>
      <w:r>
        <w:t>reconnaissant</w:t>
      </w:r>
    </w:p>
    <w:p w:rsidR="00E217BC" w:rsidRDefault="00E217BC" w:rsidP="00E217BC">
      <w:r w:rsidRPr="000321ED">
        <w:rPr>
          <w:i/>
          <w:iCs/>
        </w:rPr>
        <w:t>a)</w:t>
      </w:r>
      <w:r>
        <w:tab/>
        <w:t xml:space="preserve">que la Recommandation </w:t>
      </w:r>
      <w:r w:rsidRPr="007835D4">
        <w:t>UIT</w:t>
      </w:r>
      <w:r>
        <w:t xml:space="preserve">-R </w:t>
      </w:r>
      <w:r w:rsidRPr="005323AD">
        <w:rPr>
          <w:szCs w:val="24"/>
        </w:rPr>
        <w:t>F.1499</w:t>
      </w:r>
      <w:r>
        <w:t xml:space="preserve"> contient des spécifications applicables aux systèmes de transmission radioélectriques pour l'AHLB fixe, sur la base des normes relatives aux câblomodems;</w:t>
      </w:r>
    </w:p>
    <w:p w:rsidR="00E217BC" w:rsidRDefault="00E217BC" w:rsidP="00E217BC">
      <w:r w:rsidRPr="000321ED">
        <w:rPr>
          <w:i/>
          <w:iCs/>
        </w:rPr>
        <w:t>b)</w:t>
      </w:r>
      <w:r>
        <w:tab/>
        <w:t>que le Manuel sur l'accès hertzien fixe (Volume 1 du Manuel sur les communications mobiles terrestres (y compris l'accès hertzien)) présente également un certain nombre de solutions propriétaires pour l'AHLB fixe;</w:t>
      </w:r>
    </w:p>
    <w:p w:rsidR="00E217BC" w:rsidRDefault="00E217BC" w:rsidP="00E217BC">
      <w:r w:rsidRPr="000321ED">
        <w:rPr>
          <w:i/>
          <w:iCs/>
        </w:rPr>
        <w:t>c)</w:t>
      </w:r>
      <w:r>
        <w:tab/>
        <w:t xml:space="preserve">que la Recommandation </w:t>
      </w:r>
      <w:r w:rsidRPr="007835D4">
        <w:t>UIT</w:t>
      </w:r>
      <w:r>
        <w:t xml:space="preserve">-R F.1401 contient des principes à suivre pour l'identification de bandes de fréquences utilisables pour l'accès hertzien fixe et les études de partage associées; </w:t>
      </w:r>
    </w:p>
    <w:p w:rsidR="00E217BC" w:rsidRDefault="00E217BC" w:rsidP="00E217BC">
      <w:r w:rsidRPr="000321ED">
        <w:rPr>
          <w:i/>
          <w:iCs/>
        </w:rPr>
        <w:t>d)</w:t>
      </w:r>
      <w:r>
        <w:tab/>
        <w:t xml:space="preserve">que la Recommandation </w:t>
      </w:r>
      <w:r w:rsidRPr="007835D4">
        <w:t>UIT</w:t>
      </w:r>
      <w:r>
        <w:t>-R M.1450 préconise des normes relatives aux réseaux locaux hertziens large bande;</w:t>
      </w:r>
    </w:p>
    <w:p w:rsidR="00E217BC" w:rsidRDefault="00E217BC" w:rsidP="00E217BC">
      <w:r w:rsidRPr="000321ED">
        <w:rPr>
          <w:i/>
          <w:iCs/>
        </w:rPr>
        <w:t>e)</w:t>
      </w:r>
      <w:r>
        <w:tab/>
        <w:t xml:space="preserve">que la Recommandation </w:t>
      </w:r>
      <w:r w:rsidRPr="007835D4">
        <w:t>UIT</w:t>
      </w:r>
      <w:r>
        <w:t>-R M.1457 préconise des normes relatives aux interfaces radioélectriques de Terre des IMT-2000, dont certaines peuvent également être utilisées pour assurer un AHLB fixe;</w:t>
      </w:r>
    </w:p>
    <w:p w:rsidR="00E217BC" w:rsidRDefault="00E217BC" w:rsidP="00E217BC">
      <w:r w:rsidRPr="000321ED">
        <w:rPr>
          <w:i/>
          <w:iCs/>
        </w:rPr>
        <w:t>f)</w:t>
      </w:r>
      <w:r>
        <w:tab/>
        <w:t xml:space="preserve">que la Recommandation </w:t>
      </w:r>
      <w:r w:rsidRPr="007835D4">
        <w:t>UIT</w:t>
      </w:r>
      <w:r>
        <w:t>-R M.1801 préconise des normes relatives aux interfaces radioélectriques pour les systèmes AHLB, applications mobiles et nomades comprises, du service mobile fonctionnant au</w:t>
      </w:r>
      <w:r>
        <w:noBreakHyphen/>
        <w:t>dessous de 6 GHz, dont certaines peuvent également être utilisées pour assurer un AHLB fixe;</w:t>
      </w:r>
    </w:p>
    <w:p w:rsidR="00E217BC" w:rsidRDefault="00E217BC" w:rsidP="00E217BC">
      <w:r w:rsidRPr="000321ED">
        <w:rPr>
          <w:i/>
          <w:iCs/>
        </w:rPr>
        <w:t>g)</w:t>
      </w:r>
      <w:r>
        <w:tab/>
        <w:t xml:space="preserve">que la Recommandation </w:t>
      </w:r>
      <w:r w:rsidRPr="007835D4">
        <w:t>UIT</w:t>
      </w:r>
      <w:r>
        <w:t>-R M.2003 préconise des normes relatives aux systèmes hertziens à plusieurs gigabits fonctionnant au voisinage de 60 GHz, dont certaines peuvent également être utilisées pour assurer un AHLB fixe;</w:t>
      </w:r>
    </w:p>
    <w:p w:rsidR="00E217BC" w:rsidRDefault="00E217BC" w:rsidP="00E217BC">
      <w:r w:rsidRPr="000321ED">
        <w:rPr>
          <w:i/>
          <w:iCs/>
        </w:rPr>
        <w:t>h)</w:t>
      </w:r>
      <w:r>
        <w:tab/>
        <w:t xml:space="preserve">que la Recommandation </w:t>
      </w:r>
      <w:r w:rsidRPr="007835D4">
        <w:t>UIT</w:t>
      </w:r>
      <w:r>
        <w:t>-R M.2012 contient des spécifications détaillées des interfaces radioélectriques de Terre des télécommunications mobiles internationales évoluées (IMT évoluées), dont certaines peuvent également être utilisées pour assurer un AHLB fixe,</w:t>
      </w:r>
    </w:p>
    <w:p w:rsidR="00E217BC" w:rsidRDefault="00E217BC" w:rsidP="00E217BC">
      <w:pPr>
        <w:pStyle w:val="Call"/>
      </w:pPr>
      <w:r>
        <w:t>recommande</w:t>
      </w:r>
    </w:p>
    <w:p w:rsidR="00E217BC" w:rsidRDefault="00E217BC" w:rsidP="00E217BC">
      <w:r>
        <w:t xml:space="preserve">que les normes citées aux points </w:t>
      </w:r>
      <w:r w:rsidRPr="000321ED">
        <w:rPr>
          <w:i/>
          <w:iCs/>
        </w:rPr>
        <w:t>d)</w:t>
      </w:r>
      <w:r>
        <w:t xml:space="preserve">, </w:t>
      </w:r>
      <w:r w:rsidRPr="000321ED">
        <w:rPr>
          <w:i/>
          <w:iCs/>
        </w:rPr>
        <w:t>e)</w:t>
      </w:r>
      <w:r>
        <w:t xml:space="preserve">, </w:t>
      </w:r>
      <w:r w:rsidRPr="000321ED">
        <w:rPr>
          <w:i/>
          <w:iCs/>
        </w:rPr>
        <w:t>f)</w:t>
      </w:r>
      <w:r>
        <w:t xml:space="preserve">, </w:t>
      </w:r>
      <w:r w:rsidRPr="000321ED">
        <w:rPr>
          <w:i/>
          <w:iCs/>
        </w:rPr>
        <w:t>g)</w:t>
      </w:r>
      <w:r>
        <w:t xml:space="preserve"> et </w:t>
      </w:r>
      <w:r w:rsidRPr="000321ED">
        <w:rPr>
          <w:i/>
          <w:iCs/>
        </w:rPr>
        <w:t>h)</w:t>
      </w:r>
      <w:r>
        <w:t xml:space="preserve"> du </w:t>
      </w:r>
      <w:r w:rsidRPr="00F52E07">
        <w:rPr>
          <w:i/>
          <w:iCs/>
        </w:rPr>
        <w:t>reconnaissant</w:t>
      </w:r>
      <w:r>
        <w:rPr>
          <w:i/>
          <w:iCs/>
        </w:rPr>
        <w:t>,</w:t>
      </w:r>
      <w:r>
        <w:t xml:space="preserve"> qui peuvent également être utilisées pour l'exploitation des systèmes AHLB du service fixe, soient utilisées.</w:t>
      </w:r>
    </w:p>
    <w:p w:rsidR="00E217BC" w:rsidRDefault="00E217BC" w:rsidP="00E217BC"/>
    <w:p w:rsidR="00E217BC" w:rsidRDefault="00E217BC" w:rsidP="00E217BC">
      <w:pPr>
        <w:pStyle w:val="Headingb"/>
      </w:pPr>
      <w:r>
        <w:t>Mots clés</w:t>
      </w:r>
    </w:p>
    <w:p w:rsidR="00E217BC" w:rsidRDefault="000F2F52" w:rsidP="000F2F52">
      <w:r>
        <w:t>A</w:t>
      </w:r>
      <w:r w:rsidRPr="00A14C24">
        <w:t>ccès hertzien large bande</w:t>
      </w:r>
      <w:r>
        <w:t xml:space="preserve">, </w:t>
      </w:r>
      <w:r>
        <w:t>a</w:t>
      </w:r>
      <w:r w:rsidR="00E217BC" w:rsidRPr="00F52E07">
        <w:t>ccès hertzien large bande</w:t>
      </w:r>
      <w:r w:rsidR="00E217BC" w:rsidRPr="000321ED">
        <w:t xml:space="preserve"> </w:t>
      </w:r>
      <w:r w:rsidR="00E217BC" w:rsidRPr="00F52E07">
        <w:t>fixe</w:t>
      </w:r>
      <w:r w:rsidR="00E217BC">
        <w:t xml:space="preserve">, </w:t>
      </w:r>
      <w:r w:rsidR="00CF0B0C">
        <w:t>AHLB</w:t>
      </w:r>
      <w:r w:rsidR="00CF0B0C">
        <w:t xml:space="preserve">, </w:t>
      </w:r>
      <w:r w:rsidR="00E217BC">
        <w:t>normes relatives aux interfaces radioélectriques.</w:t>
      </w:r>
      <w:bookmarkStart w:id="3" w:name="_GoBack"/>
      <w:bookmarkEnd w:id="3"/>
    </w:p>
    <w:p w:rsidR="00E217BC" w:rsidRDefault="00E217BC" w:rsidP="00E217BC"/>
    <w:p w:rsidR="00E217BC" w:rsidRPr="007759EA" w:rsidRDefault="00E217BC" w:rsidP="00CF0B0C">
      <w:pPr>
        <w:pStyle w:val="Reftitle"/>
        <w:rPr>
          <w:lang w:val="fr-CH"/>
        </w:rPr>
      </w:pPr>
      <w:r w:rsidRPr="007759EA">
        <w:rPr>
          <w:lang w:val="fr-CH"/>
        </w:rPr>
        <w:t>Références</w:t>
      </w:r>
    </w:p>
    <w:p w:rsidR="00CF0B0C" w:rsidRDefault="00CF0B0C" w:rsidP="00CF0B0C">
      <w:pPr>
        <w:pStyle w:val="Reftext"/>
        <w:spacing w:before="0"/>
      </w:pPr>
    </w:p>
    <w:p w:rsidR="00E217BC" w:rsidRPr="00F52E07" w:rsidRDefault="00E217BC" w:rsidP="00E217BC">
      <w:pPr>
        <w:pStyle w:val="Reftext"/>
        <w:rPr>
          <w:lang w:val="fr-CH"/>
        </w:rPr>
      </w:pPr>
      <w:hyperlink r:id="rId13" w:history="1">
        <w:r w:rsidRPr="00F52E07">
          <w:rPr>
            <w:lang w:val="fr-CH"/>
          </w:rPr>
          <w:t>Recommandation U</w:t>
        </w:r>
        <w:r>
          <w:rPr>
            <w:lang w:val="fr-CH"/>
          </w:rPr>
          <w:t>IT</w:t>
        </w:r>
        <w:r w:rsidRPr="00F52E07">
          <w:rPr>
            <w:lang w:val="fr-CH"/>
          </w:rPr>
          <w:t>-R F.1399</w:t>
        </w:r>
      </w:hyperlink>
      <w:r w:rsidRPr="00F52E07">
        <w:rPr>
          <w:lang w:val="fr-CH"/>
        </w:rPr>
        <w:t xml:space="preserve"> – </w:t>
      </w:r>
      <w:r w:rsidRPr="00F52E07">
        <w:rPr>
          <w:color w:val="000000"/>
          <w:lang w:val="fr-CH"/>
        </w:rPr>
        <w:t>Terminologie relative aux accès hertziens.</w:t>
      </w:r>
    </w:p>
    <w:p w:rsidR="00A6617B" w:rsidRDefault="00A6617B" w:rsidP="00242AEE">
      <w:pPr>
        <w:pStyle w:val="HeadingSum"/>
        <w:rPr>
          <w:lang w:val="fr-CH"/>
        </w:rPr>
      </w:pPr>
    </w:p>
    <w:p w:rsidR="00E217BC" w:rsidRPr="00E217BC" w:rsidRDefault="00E217BC" w:rsidP="00E217BC">
      <w:pPr>
        <w:jc w:val="center"/>
        <w:rPr>
          <w:lang w:val="fr-CH"/>
        </w:rPr>
      </w:pPr>
      <w:r>
        <w:rPr>
          <w:lang w:val="fr-CH"/>
        </w:rPr>
        <w:t>___________</w:t>
      </w:r>
    </w:p>
    <w:sectPr w:rsidR="00E217BC" w:rsidRPr="00E217BC" w:rsidSect="00A978CD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2A2" w:rsidRDefault="002542A2">
      <w:r>
        <w:separator/>
      </w:r>
    </w:p>
  </w:endnote>
  <w:endnote w:type="continuationSeparator" w:id="0">
    <w:p w:rsidR="002542A2" w:rsidRDefault="0025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2A2" w:rsidRDefault="002542A2">
      <w:r>
        <w:separator/>
      </w:r>
    </w:p>
  </w:footnote>
  <w:footnote w:type="continuationSeparator" w:id="0">
    <w:p w:rsidR="002542A2" w:rsidRDefault="002542A2">
      <w:r>
        <w:continuationSeparator/>
      </w:r>
    </w:p>
  </w:footnote>
  <w:footnote w:id="1">
    <w:p w:rsidR="00E217BC" w:rsidRPr="00F83B1B" w:rsidRDefault="00E217BC" w:rsidP="00E217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Les termes «accès hertzien» et «accès hertzien à large bande» (AHLB) sont définis dans la Recommandation UIT</w:t>
      </w:r>
      <w:r>
        <w:noBreakHyphen/>
        <w:t>R F.1399.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2A2" w:rsidRDefault="002542A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2A2" w:rsidRDefault="002542A2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63B3F3D" wp14:editId="79F5B58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2A2" w:rsidRPr="00837CB5" w:rsidRDefault="002542A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F2F5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0F2F52" w:rsidRPr="000F2F5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0F2F52">
      <w:rPr>
        <w:b/>
        <w:bCs/>
        <w:noProof/>
      </w:rPr>
      <w:t>UIT-R  F.1763-1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2A2" w:rsidRDefault="002542A2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0F2F52" w:rsidRPr="000F2F5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F2F52">
      <w:rPr>
        <w:b/>
        <w:bCs/>
        <w:noProof/>
      </w:rPr>
      <w:t>UIT-R  F.1763-1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F2F52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0F2F52" w:rsidRPr="000F2F5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F2F52">
      <w:rPr>
        <w:b/>
        <w:bCs/>
        <w:noProof/>
      </w:rPr>
      <w:t>UIT-R  F.1763-1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0F2F52">
      <w:fldChar w:fldCharType="begin"/>
    </w:r>
    <w:r w:rsidR="000F2F52">
      <w:instrText xml:space="preserve"> DOCPROPERTY "Header" \* MERGEFORMAT </w:instrText>
    </w:r>
    <w:r w:rsidR="000F2F52">
      <w:fldChar w:fldCharType="separate"/>
    </w:r>
    <w:r w:rsidR="000F2F52" w:rsidRPr="000F2F52">
      <w:rPr>
        <w:b/>
        <w:bCs/>
      </w:rPr>
      <w:t xml:space="preserve">Rec. </w:t>
    </w:r>
    <w:r w:rsidR="000F2F5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F2F52">
      <w:rPr>
        <w:b/>
        <w:bCs/>
        <w:noProof/>
      </w:rPr>
      <w:t>UIT-R  F.1763-1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F2F52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2A2"/>
    <w:rsid w:val="000F2F52"/>
    <w:rsid w:val="00217EBF"/>
    <w:rsid w:val="00242AEE"/>
    <w:rsid w:val="002542A2"/>
    <w:rsid w:val="002D76C4"/>
    <w:rsid w:val="0052529D"/>
    <w:rsid w:val="00607D68"/>
    <w:rsid w:val="007468DA"/>
    <w:rsid w:val="009E00A8"/>
    <w:rsid w:val="00A6617B"/>
    <w:rsid w:val="00A978CD"/>
    <w:rsid w:val="00AB0DC8"/>
    <w:rsid w:val="00B44E24"/>
    <w:rsid w:val="00CF0B0C"/>
    <w:rsid w:val="00DF4176"/>
    <w:rsid w:val="00E2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6E70426-69D6-428C-B106-53D131CF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2A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aliases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F0B0C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2542A2"/>
    <w:rPr>
      <w:color w:val="0000FF"/>
      <w:u w:val="single"/>
    </w:rPr>
  </w:style>
  <w:style w:type="paragraph" w:customStyle="1" w:styleId="Title4">
    <w:name w:val="Title 4"/>
    <w:basedOn w:val="Normal"/>
    <w:next w:val="Heading1"/>
    <w:rsid w:val="00E217BC"/>
    <w:pPr>
      <w:overflowPunct/>
      <w:autoSpaceDE/>
      <w:autoSpaceDN/>
      <w:adjustRightInd/>
      <w:spacing w:before="240"/>
      <w:jc w:val="center"/>
      <w:textAlignment w:val="auto"/>
    </w:pPr>
    <w:rPr>
      <w:b/>
      <w:sz w:val="28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E217BC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E217BC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tu.int/rec/recommendation.asp?type=folders&amp;lang=e&amp;parent=R-REC-F.139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861AD-6D8D-4410-A1F8-1E0823F3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46</TotalTime>
  <Pages>4</Pages>
  <Words>929</Words>
  <Characters>6014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Brice, Corinne</dc:creator>
  <cp:keywords/>
  <dc:description/>
  <cp:lastModifiedBy>Brice, Corinne</cp:lastModifiedBy>
  <cp:revision>5</cp:revision>
  <cp:lastPrinted>2005-02-10T15:54:00Z</cp:lastPrinted>
  <dcterms:created xsi:type="dcterms:W3CDTF">2014-11-24T13:45:00Z</dcterms:created>
  <dcterms:modified xsi:type="dcterms:W3CDTF">2014-11-24T14:32:00Z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