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A4" w:rsidRDefault="001609A4" w:rsidP="001609A4"/>
    <w:p w:rsidR="001609A4" w:rsidRDefault="001609A4" w:rsidP="001609A4"/>
    <w:p w:rsidR="001609A4" w:rsidRDefault="001609A4" w:rsidP="001609A4"/>
    <w:p w:rsidR="001609A4" w:rsidRDefault="001609A4" w:rsidP="001609A4"/>
    <w:p w:rsidR="001609A4" w:rsidRDefault="001609A4" w:rsidP="001609A4"/>
    <w:p w:rsidR="001609A4" w:rsidRDefault="001609A4" w:rsidP="001609A4"/>
    <w:p w:rsidR="001609A4" w:rsidRDefault="001609A4" w:rsidP="001609A4"/>
    <w:p w:rsidR="001609A4" w:rsidRDefault="001609A4" w:rsidP="001609A4"/>
    <w:p w:rsidR="001609A4" w:rsidRDefault="001609A4" w:rsidP="001609A4"/>
    <w:p w:rsidR="000F0027" w:rsidRDefault="000F0027" w:rsidP="001609A4"/>
    <w:p w:rsidR="000F0027" w:rsidRDefault="000F0027" w:rsidP="001609A4"/>
    <w:p w:rsidR="001609A4" w:rsidRDefault="001609A4" w:rsidP="001609A4"/>
    <w:tbl>
      <w:tblPr>
        <w:tblW w:w="10089" w:type="dxa"/>
        <w:tblLook w:val="01E0" w:firstRow="1" w:lastRow="1" w:firstColumn="1" w:lastColumn="1" w:noHBand="0" w:noVBand="0"/>
      </w:tblPr>
      <w:tblGrid>
        <w:gridCol w:w="10089"/>
      </w:tblGrid>
      <w:tr w:rsidR="001609A4" w:rsidRPr="000F6905" w:rsidTr="000D603F">
        <w:tc>
          <w:tcPr>
            <w:tcW w:w="10089" w:type="dxa"/>
          </w:tcPr>
          <w:p w:rsidR="001609A4" w:rsidRPr="007B31CB" w:rsidRDefault="001609A4" w:rsidP="000D603F">
            <w:pPr>
              <w:spacing w:before="380" w:line="280" w:lineRule="exact"/>
              <w:jc w:val="right"/>
              <w:rPr>
                <w:rFonts w:ascii="Tahoma" w:hAnsi="Tahoma" w:cs="Tahoma"/>
                <w:b/>
                <w:bCs/>
                <w:iCs/>
                <w:color w:val="243285"/>
                <w:sz w:val="32"/>
                <w:szCs w:val="32"/>
                <w:lang w:val="en-US"/>
              </w:rPr>
            </w:pPr>
          </w:p>
          <w:p w:rsidR="001609A4" w:rsidRPr="006D690E" w:rsidRDefault="001609A4" w:rsidP="001609A4">
            <w:pPr>
              <w:spacing w:before="380" w:line="280" w:lineRule="exact"/>
              <w:jc w:val="right"/>
              <w:rPr>
                <w:rFonts w:ascii="Tahoma" w:hAnsi="Tahoma" w:cs="Tahoma"/>
                <w:b/>
                <w:bCs/>
                <w:iCs/>
                <w:color w:val="243285"/>
                <w:sz w:val="36"/>
                <w:szCs w:val="36"/>
                <w:lang w:eastAsia="zh-CN"/>
              </w:rPr>
            </w:pPr>
            <w:bookmarkStart w:id="0" w:name="OLE_LINK5"/>
            <w:bookmarkStart w:id="1" w:name="OLE_LINK6"/>
            <w:r w:rsidRPr="006D690E">
              <w:rPr>
                <w:rFonts w:ascii="Tahoma" w:hAnsi="Tahoma" w:cs="Tahoma"/>
                <w:b/>
                <w:bCs/>
                <w:iCs/>
                <w:color w:val="243285"/>
                <w:sz w:val="36"/>
                <w:szCs w:val="36"/>
              </w:rPr>
              <w:t xml:space="preserve">ITU-R  </w:t>
            </w:r>
            <w:r>
              <w:rPr>
                <w:rFonts w:ascii="Tahoma" w:hAnsi="Tahoma" w:cs="Tahoma" w:hint="eastAsia"/>
                <w:b/>
                <w:bCs/>
                <w:iCs/>
                <w:color w:val="243285"/>
                <w:sz w:val="36"/>
                <w:szCs w:val="36"/>
                <w:lang w:eastAsia="zh-CN"/>
              </w:rPr>
              <w:t>F</w:t>
            </w:r>
            <w:r w:rsidRPr="006D690E">
              <w:rPr>
                <w:rFonts w:ascii="Tahoma" w:hAnsi="Tahoma" w:cs="Tahoma"/>
                <w:b/>
                <w:bCs/>
                <w:iCs/>
                <w:color w:val="243285"/>
                <w:sz w:val="36"/>
                <w:szCs w:val="36"/>
              </w:rPr>
              <w:t>.</w:t>
            </w:r>
            <w:r>
              <w:rPr>
                <w:rFonts w:ascii="Tahoma" w:hAnsi="Tahoma" w:cs="Tahoma"/>
                <w:b/>
                <w:bCs/>
                <w:iCs/>
                <w:color w:val="243285"/>
                <w:sz w:val="36"/>
                <w:szCs w:val="36"/>
                <w:lang w:eastAsia="zh-CN"/>
              </w:rPr>
              <w:t>1763</w:t>
            </w:r>
            <w:r>
              <w:rPr>
                <w:rFonts w:ascii="Tahoma" w:hAnsi="Tahoma" w:cs="Tahoma" w:hint="eastAsia"/>
                <w:b/>
                <w:bCs/>
                <w:iCs/>
                <w:color w:val="243285"/>
                <w:sz w:val="36"/>
                <w:szCs w:val="36"/>
                <w:lang w:eastAsia="zh-CN"/>
              </w:rPr>
              <w:t>-1</w:t>
            </w:r>
            <w:r w:rsidR="00694639">
              <w:rPr>
                <w:rFonts w:ascii="Tahoma" w:hAnsi="Tahoma" w:cs="Tahoma"/>
                <w:b/>
                <w:bCs/>
                <w:iCs/>
                <w:color w:val="243285"/>
                <w:sz w:val="36"/>
                <w:szCs w:val="36"/>
                <w:lang w:eastAsia="zh-CN"/>
              </w:rPr>
              <w:t xml:space="preserve"> </w:t>
            </w:r>
            <w:r w:rsidRPr="009E6169">
              <w:rPr>
                <w:rFonts w:ascii="SimHei" w:eastAsia="SimHei" w:hAnsi="Tahoma" w:cs="Tahoma" w:hint="eastAsia"/>
                <w:b/>
                <w:bCs/>
                <w:iCs/>
                <w:color w:val="243285"/>
                <w:sz w:val="36"/>
                <w:szCs w:val="36"/>
                <w:lang w:eastAsia="zh-CN"/>
              </w:rPr>
              <w:t>建议书</w:t>
            </w:r>
            <w:bookmarkEnd w:id="0"/>
            <w:bookmarkEnd w:id="1"/>
          </w:p>
          <w:p w:rsidR="001609A4" w:rsidRPr="000F6905" w:rsidRDefault="001609A4" w:rsidP="001609A4">
            <w:pPr>
              <w:spacing w:before="80" w:line="280" w:lineRule="exact"/>
              <w:jc w:val="right"/>
              <w:rPr>
                <w:rFonts w:ascii="Tahoma" w:hAnsi="Tahoma" w:cs="Tahoma"/>
                <w:b/>
                <w:bCs/>
                <w:iCs/>
                <w:color w:val="243285"/>
                <w:szCs w:val="24"/>
              </w:rPr>
            </w:pPr>
            <w:r w:rsidRPr="000F6905">
              <w:rPr>
                <w:rFonts w:ascii="Tahoma" w:hAnsi="Tahoma" w:cs="Tahoma"/>
                <w:b/>
                <w:bCs/>
                <w:iCs/>
                <w:color w:val="243285"/>
                <w:szCs w:val="24"/>
              </w:rPr>
              <w:t>(</w:t>
            </w:r>
            <w:r>
              <w:rPr>
                <w:rFonts w:ascii="Tahoma" w:hAnsi="Tahoma" w:cs="Tahoma" w:hint="eastAsia"/>
                <w:b/>
                <w:bCs/>
                <w:iCs/>
                <w:color w:val="243285"/>
                <w:szCs w:val="24"/>
                <w:lang w:eastAsia="zh-CN"/>
              </w:rPr>
              <w:t>0</w:t>
            </w:r>
            <w:r>
              <w:rPr>
                <w:rFonts w:ascii="Tahoma" w:hAnsi="Tahoma" w:cs="Tahoma"/>
                <w:b/>
                <w:bCs/>
                <w:iCs/>
                <w:color w:val="243285"/>
                <w:szCs w:val="24"/>
                <w:lang w:eastAsia="zh-CN"/>
              </w:rPr>
              <w:t>2</w:t>
            </w:r>
            <w:r w:rsidRPr="000F6905">
              <w:rPr>
                <w:rFonts w:ascii="Tahoma" w:hAnsi="Tahoma" w:cs="Tahoma"/>
                <w:b/>
                <w:bCs/>
                <w:iCs/>
                <w:color w:val="243285"/>
                <w:szCs w:val="24"/>
              </w:rPr>
              <w:t>/</w:t>
            </w:r>
            <w:r>
              <w:rPr>
                <w:rFonts w:ascii="Tahoma" w:hAnsi="Tahoma" w:cs="Tahoma" w:hint="eastAsia"/>
                <w:b/>
                <w:bCs/>
                <w:iCs/>
                <w:color w:val="243285"/>
                <w:szCs w:val="24"/>
                <w:lang w:eastAsia="zh-CN"/>
              </w:rPr>
              <w:t>201</w:t>
            </w:r>
            <w:r>
              <w:rPr>
                <w:rFonts w:ascii="Tahoma" w:hAnsi="Tahoma" w:cs="Tahoma"/>
                <w:b/>
                <w:bCs/>
                <w:iCs/>
                <w:color w:val="243285"/>
                <w:szCs w:val="24"/>
                <w:lang w:eastAsia="zh-CN"/>
              </w:rPr>
              <w:t>4</w:t>
            </w:r>
            <w:r w:rsidRPr="000F6905">
              <w:rPr>
                <w:rFonts w:ascii="Tahoma" w:hAnsi="Tahoma" w:cs="Tahoma"/>
                <w:b/>
                <w:bCs/>
                <w:iCs/>
                <w:color w:val="243285"/>
                <w:szCs w:val="24"/>
              </w:rPr>
              <w:t>)</w:t>
            </w:r>
          </w:p>
        </w:tc>
      </w:tr>
      <w:tr w:rsidR="001609A4" w:rsidRPr="007B31CB" w:rsidTr="000D603F">
        <w:tc>
          <w:tcPr>
            <w:tcW w:w="10089" w:type="dxa"/>
          </w:tcPr>
          <w:p w:rsidR="001609A4" w:rsidRDefault="001609A4" w:rsidP="000D603F">
            <w:pPr>
              <w:spacing w:before="80" w:line="500" w:lineRule="exact"/>
              <w:jc w:val="right"/>
              <w:rPr>
                <w:rFonts w:ascii="Tahoma" w:eastAsia="SimHei" w:hAnsi="Tahoma" w:cs="Tahoma"/>
                <w:b/>
                <w:bCs/>
                <w:color w:val="243285"/>
                <w:sz w:val="44"/>
                <w:szCs w:val="44"/>
                <w:lang w:val="en-US" w:eastAsia="zh-CN"/>
              </w:rPr>
            </w:pPr>
          </w:p>
          <w:p w:rsidR="001609A4" w:rsidRDefault="001609A4" w:rsidP="000D603F">
            <w:pPr>
              <w:spacing w:before="80" w:line="500" w:lineRule="exact"/>
              <w:jc w:val="right"/>
              <w:rPr>
                <w:rFonts w:ascii="Tahoma" w:eastAsia="SimHei" w:hAnsi="Tahoma" w:cs="Tahoma"/>
                <w:b/>
                <w:bCs/>
                <w:color w:val="243285"/>
                <w:sz w:val="44"/>
                <w:szCs w:val="44"/>
                <w:lang w:val="en-US" w:eastAsia="zh-CN"/>
              </w:rPr>
            </w:pPr>
            <w:r w:rsidRPr="001609A4">
              <w:rPr>
                <w:rFonts w:ascii="Tahoma" w:eastAsia="SimHei" w:hAnsi="Tahoma" w:cs="Tahoma" w:hint="eastAsia"/>
                <w:b/>
                <w:bCs/>
                <w:color w:val="243285"/>
                <w:sz w:val="44"/>
                <w:szCs w:val="44"/>
                <w:lang w:val="en-US" w:eastAsia="zh-CN"/>
              </w:rPr>
              <w:t>低于</w:t>
            </w:r>
            <w:r w:rsidRPr="001609A4">
              <w:rPr>
                <w:rFonts w:ascii="Tahoma" w:eastAsia="SimHei" w:hAnsi="Tahoma" w:cs="Tahoma" w:hint="eastAsia"/>
                <w:b/>
                <w:bCs/>
                <w:color w:val="243285"/>
                <w:sz w:val="44"/>
                <w:szCs w:val="44"/>
                <w:lang w:val="en-US" w:eastAsia="zh-CN"/>
              </w:rPr>
              <w:t>66 GHz</w:t>
            </w:r>
            <w:r w:rsidRPr="001609A4">
              <w:rPr>
                <w:rFonts w:ascii="Tahoma" w:eastAsia="SimHei" w:hAnsi="Tahoma" w:cs="Tahoma" w:hint="eastAsia"/>
                <w:b/>
                <w:bCs/>
                <w:color w:val="243285"/>
                <w:sz w:val="44"/>
                <w:szCs w:val="44"/>
                <w:lang w:val="en-US" w:eastAsia="zh-CN"/>
              </w:rPr>
              <w:t>频段的固定业务</w:t>
            </w:r>
          </w:p>
          <w:p w:rsidR="001609A4" w:rsidRDefault="001609A4" w:rsidP="000D603F">
            <w:pPr>
              <w:spacing w:before="80" w:line="500" w:lineRule="exact"/>
              <w:jc w:val="right"/>
              <w:rPr>
                <w:rFonts w:ascii="Tahoma" w:eastAsia="SimHei" w:hAnsi="Tahoma" w:cs="Tahoma"/>
                <w:b/>
                <w:bCs/>
                <w:color w:val="243285"/>
                <w:sz w:val="44"/>
                <w:szCs w:val="44"/>
                <w:lang w:val="en-US" w:eastAsia="zh-CN"/>
              </w:rPr>
            </w:pPr>
            <w:r w:rsidRPr="001609A4">
              <w:rPr>
                <w:rFonts w:ascii="Tahoma" w:eastAsia="SimHei" w:hAnsi="Tahoma" w:cs="Tahoma" w:hint="eastAsia"/>
                <w:b/>
                <w:bCs/>
                <w:color w:val="243285"/>
                <w:sz w:val="44"/>
                <w:szCs w:val="44"/>
                <w:lang w:val="en-US" w:eastAsia="zh-CN"/>
              </w:rPr>
              <w:t>宽带无线接入系统的</w:t>
            </w:r>
          </w:p>
          <w:p w:rsidR="001609A4" w:rsidRPr="003553E5" w:rsidRDefault="001609A4" w:rsidP="000D603F">
            <w:pPr>
              <w:spacing w:before="80" w:line="500" w:lineRule="exact"/>
              <w:jc w:val="right"/>
              <w:rPr>
                <w:rFonts w:ascii="Tahoma" w:eastAsia="SimHei" w:hAnsi="Tahoma" w:cs="Tahoma"/>
                <w:b/>
                <w:bCs/>
                <w:color w:val="243285"/>
                <w:sz w:val="44"/>
                <w:szCs w:val="44"/>
                <w:lang w:val="en-US" w:eastAsia="zh-CN"/>
              </w:rPr>
            </w:pPr>
            <w:r w:rsidRPr="001609A4">
              <w:rPr>
                <w:rFonts w:ascii="Tahoma" w:eastAsia="SimHei" w:hAnsi="Tahoma" w:cs="Tahoma" w:hint="eastAsia"/>
                <w:b/>
                <w:bCs/>
                <w:color w:val="243285"/>
                <w:sz w:val="44"/>
                <w:szCs w:val="44"/>
                <w:lang w:val="en-US" w:eastAsia="zh-CN"/>
              </w:rPr>
              <w:t>无线电接口标准</w:t>
            </w:r>
          </w:p>
          <w:p w:rsidR="001609A4" w:rsidRPr="007B31CB" w:rsidRDefault="001609A4" w:rsidP="000D603F">
            <w:pPr>
              <w:spacing w:before="80" w:line="500" w:lineRule="exact"/>
              <w:jc w:val="right"/>
              <w:rPr>
                <w:rFonts w:ascii="Tahoma" w:hAnsi="Tahoma" w:cs="Tahoma"/>
                <w:b/>
                <w:bCs/>
                <w:iCs/>
                <w:color w:val="243285"/>
                <w:sz w:val="44"/>
                <w:szCs w:val="44"/>
                <w:lang w:val="en-US" w:eastAsia="zh-CN"/>
              </w:rPr>
            </w:pPr>
            <w:r w:rsidRPr="007B31CB">
              <w:rPr>
                <w:rFonts w:ascii="Tahoma" w:hAnsi="Tahoma" w:cs="Tahoma"/>
                <w:b/>
                <w:bCs/>
                <w:iCs/>
                <w:color w:val="243285"/>
                <w:sz w:val="44"/>
                <w:szCs w:val="44"/>
                <w:lang w:val="en-US" w:eastAsia="zh-CN"/>
              </w:rPr>
              <w:t xml:space="preserve"> </w:t>
            </w:r>
          </w:p>
        </w:tc>
        <w:bookmarkStart w:id="2" w:name="_GoBack"/>
        <w:bookmarkEnd w:id="2"/>
      </w:tr>
      <w:tr w:rsidR="001609A4" w:rsidTr="000D603F">
        <w:tc>
          <w:tcPr>
            <w:tcW w:w="10089" w:type="dxa"/>
          </w:tcPr>
          <w:p w:rsidR="001609A4" w:rsidRPr="008D3573" w:rsidRDefault="001609A4" w:rsidP="000D603F">
            <w:pPr>
              <w:spacing w:before="80" w:line="280" w:lineRule="exact"/>
              <w:ind w:right="640"/>
              <w:rPr>
                <w:rFonts w:ascii="Tahoma" w:hAnsi="Tahoma" w:cs="Tahoma"/>
                <w:b/>
                <w:bCs/>
                <w:iCs/>
                <w:color w:val="243285"/>
                <w:sz w:val="32"/>
                <w:szCs w:val="32"/>
                <w:lang w:val="en-US" w:eastAsia="zh-CN"/>
              </w:rPr>
            </w:pPr>
          </w:p>
          <w:p w:rsidR="001609A4" w:rsidRPr="008D3573" w:rsidRDefault="001609A4" w:rsidP="000D603F">
            <w:pPr>
              <w:spacing w:before="80" w:line="280" w:lineRule="exact"/>
              <w:ind w:right="640"/>
              <w:rPr>
                <w:rFonts w:ascii="Tahoma" w:hAnsi="Tahoma" w:cs="Tahoma"/>
                <w:b/>
                <w:bCs/>
                <w:iCs/>
                <w:color w:val="243285"/>
                <w:sz w:val="32"/>
                <w:szCs w:val="32"/>
                <w:lang w:val="en-US" w:eastAsia="zh-CN"/>
              </w:rPr>
            </w:pPr>
          </w:p>
          <w:p w:rsidR="001609A4" w:rsidRPr="008D3573" w:rsidRDefault="001609A4" w:rsidP="000D603F">
            <w:pPr>
              <w:spacing w:before="80" w:after="180" w:line="360" w:lineRule="exact"/>
              <w:ind w:right="720"/>
              <w:rPr>
                <w:rFonts w:ascii="Tahoma" w:hAnsi="Tahoma" w:cs="Tahoma"/>
                <w:b/>
                <w:bCs/>
                <w:iCs/>
                <w:color w:val="243285"/>
                <w:sz w:val="36"/>
                <w:szCs w:val="36"/>
                <w:lang w:val="en-US" w:eastAsia="zh-CN"/>
              </w:rPr>
            </w:pPr>
          </w:p>
          <w:p w:rsidR="001609A4" w:rsidRPr="007B31CB" w:rsidRDefault="001609A4" w:rsidP="000D603F">
            <w:pPr>
              <w:spacing w:before="80" w:after="180" w:line="360" w:lineRule="exact"/>
              <w:jc w:val="right"/>
              <w:rPr>
                <w:rFonts w:ascii="Tahoma" w:hAnsi="Tahoma" w:cs="Tahoma"/>
                <w:b/>
                <w:bCs/>
                <w:iCs/>
                <w:color w:val="243285"/>
                <w:sz w:val="36"/>
                <w:szCs w:val="36"/>
                <w:lang w:val="en-US" w:eastAsia="zh-CN"/>
              </w:rPr>
            </w:pPr>
            <w:r>
              <w:rPr>
                <w:rFonts w:ascii="Tahoma" w:hAnsi="Tahoma" w:cs="Tahoma" w:hint="eastAsia"/>
                <w:b/>
                <w:bCs/>
                <w:iCs/>
                <w:color w:val="243285"/>
                <w:sz w:val="36"/>
                <w:szCs w:val="36"/>
                <w:lang w:val="en-US" w:eastAsia="zh-CN"/>
              </w:rPr>
              <w:t>F</w:t>
            </w:r>
            <w:r w:rsidRPr="007B31CB">
              <w:rPr>
                <w:rFonts w:ascii="Tahoma" w:hAnsi="Tahoma" w:cs="Tahoma"/>
                <w:b/>
                <w:bCs/>
                <w:iCs/>
                <w:color w:val="243285"/>
                <w:sz w:val="36"/>
                <w:szCs w:val="36"/>
                <w:lang w:val="en-US" w:eastAsia="zh-CN"/>
              </w:rPr>
              <w:t xml:space="preserve"> </w:t>
            </w:r>
            <w:r w:rsidRPr="009E6169">
              <w:rPr>
                <w:rFonts w:ascii="SimHei" w:eastAsia="SimHei" w:hAnsi="Tahoma" w:cs="Tahoma" w:hint="eastAsia"/>
                <w:b/>
                <w:bCs/>
                <w:iCs/>
                <w:color w:val="243285"/>
                <w:sz w:val="36"/>
                <w:szCs w:val="36"/>
                <w:lang w:val="en-US" w:eastAsia="zh-CN"/>
              </w:rPr>
              <w:t>系列</w:t>
            </w:r>
          </w:p>
          <w:p w:rsidR="001609A4" w:rsidRPr="007B31CB" w:rsidRDefault="001609A4" w:rsidP="009F0A5E">
            <w:pPr>
              <w:spacing w:before="80" w:line="360" w:lineRule="exact"/>
              <w:jc w:val="right"/>
              <w:rPr>
                <w:rFonts w:ascii="Tahoma" w:hAnsi="Tahoma" w:cs="Tahoma"/>
                <w:b/>
                <w:bCs/>
                <w:iCs/>
                <w:color w:val="243285"/>
                <w:sz w:val="32"/>
                <w:szCs w:val="32"/>
                <w:lang w:val="en-US" w:eastAsia="zh-CN"/>
              </w:rPr>
            </w:pPr>
            <w:r>
              <w:rPr>
                <w:rFonts w:ascii="SimHei" w:eastAsia="SimHei" w:hAnsi="Tahoma" w:cs="Tahoma" w:hint="eastAsia"/>
                <w:b/>
                <w:bCs/>
                <w:iCs/>
                <w:color w:val="243285"/>
                <w:sz w:val="36"/>
                <w:szCs w:val="36"/>
                <w:lang w:val="en-US" w:eastAsia="zh-CN"/>
              </w:rPr>
              <w:t>固定业务</w:t>
            </w:r>
          </w:p>
        </w:tc>
      </w:tr>
    </w:tbl>
    <w:p w:rsidR="001609A4" w:rsidRDefault="001609A4" w:rsidP="001609A4">
      <w:pPr>
        <w:spacing w:before="80"/>
        <w:rPr>
          <w:i/>
          <w:sz w:val="22"/>
          <w:lang w:val="en-US" w:eastAsia="zh-CN"/>
        </w:rPr>
      </w:pPr>
    </w:p>
    <w:p w:rsidR="001609A4" w:rsidRDefault="001609A4" w:rsidP="001609A4">
      <w:pPr>
        <w:spacing w:before="80"/>
        <w:rPr>
          <w:i/>
          <w:sz w:val="22"/>
          <w:lang w:val="en-US" w:eastAsia="zh-CN"/>
        </w:rPr>
      </w:pPr>
    </w:p>
    <w:p w:rsidR="001609A4" w:rsidRDefault="001609A4" w:rsidP="001609A4">
      <w:pPr>
        <w:spacing w:before="80"/>
        <w:rPr>
          <w:i/>
          <w:sz w:val="22"/>
          <w:lang w:val="en-US" w:eastAsia="zh-CN"/>
        </w:rPr>
      </w:pPr>
    </w:p>
    <w:p w:rsidR="001609A4" w:rsidRDefault="001609A4" w:rsidP="001609A4">
      <w:pPr>
        <w:spacing w:before="80"/>
        <w:rPr>
          <w:i/>
          <w:sz w:val="22"/>
          <w:lang w:val="en-US" w:eastAsia="zh-CN"/>
        </w:rPr>
      </w:pPr>
    </w:p>
    <w:p w:rsidR="001609A4" w:rsidRDefault="001609A4" w:rsidP="001609A4">
      <w:pPr>
        <w:spacing w:before="80"/>
        <w:rPr>
          <w:i/>
          <w:sz w:val="22"/>
          <w:lang w:val="en-US" w:eastAsia="zh-CN"/>
        </w:rPr>
      </w:pPr>
    </w:p>
    <w:p w:rsidR="001609A4" w:rsidRPr="008D3573" w:rsidRDefault="001609A4" w:rsidP="001609A4">
      <w:pPr>
        <w:rPr>
          <w:lang w:val="en-US" w:eastAsia="zh-CN"/>
        </w:rPr>
      </w:pPr>
    </w:p>
    <w:p w:rsidR="001609A4" w:rsidRPr="00D51444" w:rsidRDefault="001609A4" w:rsidP="001609A4">
      <w:pPr>
        <w:pStyle w:val="RecNoBR"/>
        <w:spacing w:before="240"/>
        <w:rPr>
          <w:lang w:val="en-US" w:eastAsia="zh-CN"/>
        </w:rPr>
        <w:sectPr w:rsidR="001609A4" w:rsidRPr="00D51444" w:rsidSect="000D603F">
          <w:headerReference w:type="even" r:id="rId8"/>
          <w:headerReference w:type="default" r:id="rId9"/>
          <w:footerReference w:type="default" r:id="rId10"/>
          <w:pgSz w:w="11907" w:h="16834" w:code="9"/>
          <w:pgMar w:top="1089" w:right="1089" w:bottom="284" w:left="1089" w:header="567" w:footer="284" w:gutter="0"/>
          <w:paperSrc w:first="15" w:other="15"/>
          <w:cols w:space="720"/>
        </w:sectPr>
      </w:pPr>
    </w:p>
    <w:p w:rsidR="001609A4" w:rsidRPr="009E6169" w:rsidRDefault="001609A4" w:rsidP="001609A4">
      <w:pPr>
        <w:spacing w:before="0"/>
        <w:rPr>
          <w:sz w:val="6"/>
          <w:szCs w:val="6"/>
          <w:lang w:val="en-US" w:eastAsia="zh-CN"/>
        </w:rPr>
      </w:pPr>
    </w:p>
    <w:p w:rsidR="001609A4" w:rsidRPr="001609A4" w:rsidRDefault="001609A4" w:rsidP="009F0A5E">
      <w:pPr>
        <w:pStyle w:val="Heading1"/>
        <w:spacing w:before="240"/>
        <w:jc w:val="center"/>
        <w:rPr>
          <w:lang w:val="en-US" w:eastAsia="zh-CN"/>
        </w:rPr>
      </w:pPr>
      <w:r w:rsidRPr="001609A4">
        <w:rPr>
          <w:rFonts w:hint="eastAsia"/>
          <w:lang w:val="fr-CH" w:eastAsia="zh-CN"/>
        </w:rPr>
        <w:t>前言</w:t>
      </w:r>
    </w:p>
    <w:p w:rsidR="001609A4" w:rsidRPr="001609A4" w:rsidRDefault="001609A4" w:rsidP="001609A4">
      <w:pPr>
        <w:spacing w:before="240"/>
        <w:ind w:firstLineChars="200" w:firstLine="400"/>
        <w:jc w:val="left"/>
        <w:rPr>
          <w:sz w:val="20"/>
          <w:lang w:val="en-US" w:eastAsia="zh-CN"/>
        </w:rPr>
      </w:pPr>
      <w:r w:rsidRPr="001609A4">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1609A4" w:rsidRPr="001609A4" w:rsidRDefault="001609A4" w:rsidP="001609A4">
      <w:pPr>
        <w:ind w:firstLineChars="200" w:firstLine="400"/>
        <w:jc w:val="left"/>
        <w:rPr>
          <w:sz w:val="20"/>
          <w:lang w:val="en-US" w:eastAsia="zh-CN"/>
        </w:rPr>
      </w:pPr>
      <w:r w:rsidRPr="001609A4">
        <w:rPr>
          <w:rFonts w:hint="eastAsia"/>
          <w:sz w:val="20"/>
          <w:lang w:val="en-US" w:eastAsia="zh-CN"/>
        </w:rPr>
        <w:t>无线电通信部门的规则和政策职能由世界或区域无线电通信大会以及无线电通信全会在研究组的支持下履行。</w:t>
      </w:r>
    </w:p>
    <w:p w:rsidR="001609A4" w:rsidRPr="001609A4" w:rsidRDefault="001609A4" w:rsidP="001609A4">
      <w:pPr>
        <w:spacing w:before="480"/>
        <w:jc w:val="center"/>
        <w:rPr>
          <w:b/>
          <w:bCs/>
          <w:lang w:val="en-US" w:eastAsia="zh-CN"/>
        </w:rPr>
      </w:pPr>
      <w:r w:rsidRPr="001609A4">
        <w:rPr>
          <w:rFonts w:hint="eastAsia"/>
          <w:b/>
          <w:bCs/>
          <w:lang w:val="en-US" w:eastAsia="zh-CN"/>
        </w:rPr>
        <w:t>知识产权政策（</w:t>
      </w:r>
      <w:r w:rsidRPr="001609A4">
        <w:rPr>
          <w:b/>
          <w:bCs/>
          <w:lang w:val="en-US" w:eastAsia="zh-CN"/>
        </w:rPr>
        <w:t>IPR</w:t>
      </w:r>
      <w:r w:rsidRPr="001609A4">
        <w:rPr>
          <w:rFonts w:hint="eastAsia"/>
          <w:b/>
          <w:bCs/>
          <w:lang w:val="en-US" w:eastAsia="zh-CN"/>
        </w:rPr>
        <w:t>）</w:t>
      </w:r>
    </w:p>
    <w:p w:rsidR="001609A4" w:rsidRPr="001609A4" w:rsidRDefault="001609A4" w:rsidP="001609A4">
      <w:pPr>
        <w:tabs>
          <w:tab w:val="clear" w:pos="794"/>
          <w:tab w:val="clear" w:pos="1191"/>
          <w:tab w:val="clear" w:pos="1588"/>
          <w:tab w:val="clear" w:pos="1985"/>
        </w:tabs>
        <w:spacing w:before="240"/>
        <w:ind w:firstLineChars="200" w:firstLine="400"/>
        <w:jc w:val="left"/>
        <w:rPr>
          <w:sz w:val="20"/>
          <w:lang w:val="en-US" w:eastAsia="zh-CN"/>
        </w:rPr>
      </w:pPr>
      <w:r w:rsidRPr="001609A4">
        <w:rPr>
          <w:sz w:val="20"/>
          <w:lang w:val="en-US"/>
        </w:rPr>
        <w:t>ITU-R</w:t>
      </w:r>
      <w:r w:rsidRPr="001609A4">
        <w:rPr>
          <w:rFonts w:hint="eastAsia"/>
          <w:sz w:val="20"/>
          <w:lang w:val="en-US" w:eastAsia="zh-CN"/>
        </w:rPr>
        <w:t>的</w:t>
      </w:r>
      <w:r w:rsidRPr="001609A4">
        <w:rPr>
          <w:sz w:val="20"/>
          <w:lang w:val="en-US"/>
        </w:rPr>
        <w:t>IPR</w:t>
      </w:r>
      <w:r w:rsidRPr="001609A4">
        <w:rPr>
          <w:rFonts w:hint="eastAsia"/>
          <w:sz w:val="20"/>
          <w:lang w:val="en-US" w:eastAsia="zh-CN"/>
        </w:rPr>
        <w:t>政策述于</w:t>
      </w:r>
      <w:r w:rsidRPr="001609A4">
        <w:rPr>
          <w:sz w:val="20"/>
          <w:lang w:val="en-US"/>
        </w:rPr>
        <w:t>ITU-R</w:t>
      </w:r>
      <w:r w:rsidRPr="001609A4">
        <w:rPr>
          <w:rFonts w:hint="eastAsia"/>
          <w:sz w:val="20"/>
          <w:lang w:val="en-US" w:eastAsia="zh-CN"/>
        </w:rPr>
        <w:t>第</w:t>
      </w:r>
      <w:r w:rsidRPr="001609A4">
        <w:rPr>
          <w:rFonts w:hint="eastAsia"/>
          <w:sz w:val="20"/>
          <w:lang w:val="en-US" w:eastAsia="zh-CN"/>
        </w:rPr>
        <w:t>1</w:t>
      </w:r>
      <w:r w:rsidRPr="001609A4">
        <w:rPr>
          <w:rFonts w:hint="eastAsia"/>
          <w:sz w:val="20"/>
          <w:lang w:val="en-US" w:eastAsia="zh-CN"/>
        </w:rPr>
        <w:t>号决议的附件</w:t>
      </w:r>
      <w:r w:rsidRPr="001609A4">
        <w:rPr>
          <w:rFonts w:hint="eastAsia"/>
          <w:sz w:val="20"/>
          <w:lang w:val="en-US" w:eastAsia="zh-CN"/>
        </w:rPr>
        <w:t>1</w:t>
      </w:r>
      <w:r w:rsidRPr="001609A4">
        <w:rPr>
          <w:rFonts w:hint="eastAsia"/>
          <w:sz w:val="20"/>
          <w:lang w:val="en-US" w:eastAsia="zh-CN"/>
        </w:rPr>
        <w:t>中所参引的《</w:t>
      </w:r>
      <w:r w:rsidRPr="001609A4">
        <w:rPr>
          <w:sz w:val="20"/>
          <w:lang w:val="en-US" w:eastAsia="zh-CN"/>
        </w:rPr>
        <w:t>ITU-T/ITU-R/ISO/IEC</w:t>
      </w:r>
      <w:r w:rsidRPr="001609A4">
        <w:rPr>
          <w:rFonts w:hint="eastAsia"/>
          <w:sz w:val="20"/>
          <w:lang w:val="en-US" w:eastAsia="zh-CN"/>
        </w:rPr>
        <w:t>的通用专利政策》。专利持有人用于提交专利声明和许可声明的表格可从</w:t>
      </w:r>
      <w:hyperlink r:id="rId11" w:history="1">
        <w:r w:rsidRPr="001609A4">
          <w:rPr>
            <w:color w:val="0000FF"/>
            <w:sz w:val="20"/>
            <w:u w:val="single"/>
            <w:lang w:val="en-US" w:eastAsia="zh-CN"/>
          </w:rPr>
          <w:t>http://www.itu.int/ITU-R/go/patents/en</w:t>
        </w:r>
      </w:hyperlink>
      <w:r w:rsidRPr="001609A4">
        <w:rPr>
          <w:rFonts w:hint="eastAsia"/>
          <w:sz w:val="20"/>
          <w:lang w:eastAsia="zh-CN"/>
        </w:rPr>
        <w:t>获得</w:t>
      </w:r>
      <w:r w:rsidRPr="001609A4">
        <w:rPr>
          <w:rFonts w:hint="eastAsia"/>
          <w:sz w:val="20"/>
          <w:lang w:val="en-US" w:eastAsia="zh-CN"/>
        </w:rPr>
        <w:t>，</w:t>
      </w:r>
      <w:r w:rsidRPr="001609A4">
        <w:rPr>
          <w:rFonts w:hint="eastAsia"/>
          <w:sz w:val="20"/>
          <w:lang w:eastAsia="zh-CN"/>
        </w:rPr>
        <w:t>在此处也可获取</w:t>
      </w:r>
      <w:r w:rsidRPr="001609A4">
        <w:rPr>
          <w:rFonts w:hint="eastAsia"/>
          <w:sz w:val="20"/>
          <w:lang w:val="en-US" w:eastAsia="zh-CN"/>
        </w:rPr>
        <w:t>《</w:t>
      </w:r>
      <w:r w:rsidRPr="001609A4">
        <w:rPr>
          <w:sz w:val="20"/>
          <w:lang w:val="en-US" w:eastAsia="zh-CN"/>
        </w:rPr>
        <w:t>ITU-T/ITU-R/ISO/IEC</w:t>
      </w:r>
      <w:r w:rsidRPr="001609A4">
        <w:rPr>
          <w:rFonts w:hint="eastAsia"/>
          <w:sz w:val="20"/>
          <w:lang w:val="en-US" w:eastAsia="zh-CN"/>
        </w:rPr>
        <w:t>的通用专利政策实施指南》和</w:t>
      </w:r>
      <w:r w:rsidRPr="001609A4">
        <w:rPr>
          <w:sz w:val="20"/>
          <w:lang w:val="en-US" w:eastAsia="zh-CN"/>
        </w:rPr>
        <w:t>ITU-R</w:t>
      </w:r>
      <w:r w:rsidRPr="001609A4">
        <w:rPr>
          <w:rFonts w:hint="eastAsia"/>
          <w:sz w:val="20"/>
          <w:lang w:val="en-US" w:eastAsia="zh-CN"/>
        </w:rPr>
        <w:t>专利信息数据库。</w:t>
      </w:r>
    </w:p>
    <w:p w:rsidR="001609A4" w:rsidRPr="001609A4" w:rsidRDefault="001609A4" w:rsidP="001609A4">
      <w:pPr>
        <w:jc w:val="center"/>
        <w:rPr>
          <w:sz w:val="22"/>
          <w:lang w:val="en-US" w:eastAsia="zh-CN"/>
        </w:rPr>
      </w:pPr>
    </w:p>
    <w:p w:rsidR="001609A4" w:rsidRPr="001609A4" w:rsidRDefault="001609A4" w:rsidP="001609A4">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1609A4" w:rsidRPr="001609A4" w:rsidTr="009F0A5E">
        <w:tc>
          <w:tcPr>
            <w:tcW w:w="9748" w:type="dxa"/>
            <w:gridSpan w:val="2"/>
          </w:tcPr>
          <w:p w:rsidR="001609A4" w:rsidRPr="001609A4" w:rsidRDefault="001609A4" w:rsidP="001609A4">
            <w:pPr>
              <w:keepNext/>
              <w:spacing w:after="40"/>
              <w:jc w:val="center"/>
              <w:rPr>
                <w:b/>
                <w:bCs/>
                <w:sz w:val="22"/>
                <w:lang w:val="en-US" w:eastAsia="zh-CN"/>
              </w:rPr>
            </w:pPr>
            <w:r w:rsidRPr="001609A4">
              <w:rPr>
                <w:rFonts w:hint="eastAsia"/>
                <w:b/>
                <w:bCs/>
                <w:sz w:val="22"/>
                <w:lang w:val="en-US" w:eastAsia="zh-CN"/>
              </w:rPr>
              <w:t xml:space="preserve">ITU-R </w:t>
            </w:r>
            <w:r w:rsidRPr="001609A4">
              <w:rPr>
                <w:rFonts w:hint="eastAsia"/>
                <w:b/>
                <w:bCs/>
                <w:sz w:val="22"/>
                <w:lang w:val="en-US" w:eastAsia="zh-CN"/>
              </w:rPr>
              <w:t>系列建议书</w:t>
            </w:r>
          </w:p>
          <w:p w:rsidR="001609A4" w:rsidRPr="001609A4" w:rsidRDefault="001609A4" w:rsidP="001609A4">
            <w:pPr>
              <w:jc w:val="center"/>
              <w:rPr>
                <w:sz w:val="18"/>
                <w:szCs w:val="18"/>
                <w:lang w:val="en-US" w:eastAsia="zh-CN"/>
              </w:rPr>
            </w:pPr>
            <w:r w:rsidRPr="001609A4">
              <w:rPr>
                <w:rFonts w:hint="eastAsia"/>
                <w:sz w:val="18"/>
                <w:szCs w:val="18"/>
                <w:lang w:val="en-US" w:eastAsia="zh-CN"/>
              </w:rPr>
              <w:t>（也可在线查询</w:t>
            </w:r>
            <w:r w:rsidRPr="001609A4">
              <w:rPr>
                <w:rFonts w:hint="eastAsia"/>
                <w:sz w:val="18"/>
                <w:szCs w:val="18"/>
                <w:lang w:val="en-US" w:eastAsia="zh-CN"/>
              </w:rPr>
              <w:t xml:space="preserve"> </w:t>
            </w:r>
            <w:hyperlink r:id="rId12" w:history="1">
              <w:r w:rsidRPr="001609A4">
                <w:rPr>
                  <w:bCs/>
                  <w:color w:val="0000FF"/>
                  <w:sz w:val="18"/>
                  <w:szCs w:val="18"/>
                  <w:u w:val="single"/>
                  <w:lang w:val="en-US" w:eastAsia="zh-CN"/>
                </w:rPr>
                <w:t>http://www.itu.int/publ/R-REC/en</w:t>
              </w:r>
            </w:hyperlink>
            <w:r w:rsidRPr="001609A4">
              <w:rPr>
                <w:rFonts w:hint="eastAsia"/>
                <w:sz w:val="18"/>
                <w:szCs w:val="18"/>
                <w:lang w:val="en-US" w:eastAsia="zh-CN"/>
              </w:rPr>
              <w:t>）</w:t>
            </w:r>
          </w:p>
        </w:tc>
      </w:tr>
      <w:tr w:rsidR="001609A4" w:rsidRPr="001609A4" w:rsidTr="009F0A5E">
        <w:tc>
          <w:tcPr>
            <w:tcW w:w="960" w:type="dxa"/>
          </w:tcPr>
          <w:p w:rsidR="001609A4" w:rsidRPr="001609A4" w:rsidRDefault="001609A4" w:rsidP="001609A4">
            <w:pPr>
              <w:spacing w:after="40"/>
              <w:ind w:left="57"/>
              <w:rPr>
                <w:b/>
                <w:bCs/>
                <w:sz w:val="20"/>
                <w:lang w:val="en-US"/>
              </w:rPr>
            </w:pPr>
            <w:r w:rsidRPr="001609A4">
              <w:rPr>
                <w:rFonts w:ascii="SimSun" w:hAnsi="SimSun" w:hint="eastAsia"/>
                <w:b/>
                <w:bCs/>
                <w:sz w:val="20"/>
                <w:lang w:val="en-US" w:eastAsia="zh-CN"/>
              </w:rPr>
              <w:t>系列</w:t>
            </w:r>
          </w:p>
        </w:tc>
        <w:tc>
          <w:tcPr>
            <w:tcW w:w="8788" w:type="dxa"/>
          </w:tcPr>
          <w:p w:rsidR="001609A4" w:rsidRPr="001609A4" w:rsidRDefault="001609A4" w:rsidP="001609A4">
            <w:pPr>
              <w:keepNext/>
              <w:spacing w:after="40"/>
              <w:ind w:hanging="1040"/>
              <w:jc w:val="center"/>
              <w:rPr>
                <w:b/>
                <w:bCs/>
                <w:sz w:val="20"/>
                <w:lang w:val="en-US"/>
              </w:rPr>
            </w:pPr>
            <w:r w:rsidRPr="001609A4">
              <w:rPr>
                <w:rFonts w:ascii="SimSun" w:hAnsi="SimSun" w:hint="eastAsia"/>
                <w:b/>
                <w:bCs/>
                <w:sz w:val="20"/>
                <w:lang w:val="en-US" w:eastAsia="zh-CN"/>
              </w:rPr>
              <w:t>标题</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BO</w:t>
            </w:r>
          </w:p>
        </w:tc>
        <w:tc>
          <w:tcPr>
            <w:tcW w:w="8788" w:type="dxa"/>
          </w:tcPr>
          <w:p w:rsidR="001609A4" w:rsidRPr="001609A4" w:rsidRDefault="001609A4" w:rsidP="001609A4">
            <w:pPr>
              <w:keepNext/>
              <w:spacing w:before="30" w:after="30"/>
              <w:jc w:val="left"/>
              <w:rPr>
                <w:bCs/>
                <w:sz w:val="20"/>
                <w:lang w:val="en-US"/>
              </w:rPr>
            </w:pPr>
            <w:r w:rsidRPr="001609A4">
              <w:rPr>
                <w:rFonts w:hint="eastAsia"/>
                <w:bCs/>
                <w:sz w:val="20"/>
                <w:lang w:val="en-US" w:eastAsia="zh-CN"/>
              </w:rPr>
              <w:t>卫星传送</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BR</w:t>
            </w:r>
          </w:p>
        </w:tc>
        <w:tc>
          <w:tcPr>
            <w:tcW w:w="8788" w:type="dxa"/>
          </w:tcPr>
          <w:p w:rsidR="001609A4" w:rsidRPr="001609A4" w:rsidRDefault="001609A4" w:rsidP="001609A4">
            <w:pPr>
              <w:keepNext/>
              <w:spacing w:before="30" w:after="30"/>
              <w:jc w:val="left"/>
              <w:rPr>
                <w:sz w:val="20"/>
                <w:lang w:val="en-US" w:eastAsia="zh-CN"/>
              </w:rPr>
            </w:pPr>
            <w:r w:rsidRPr="001609A4">
              <w:rPr>
                <w:rFonts w:hint="eastAsia"/>
                <w:sz w:val="20"/>
                <w:lang w:val="en-US" w:eastAsia="zh-CN"/>
              </w:rPr>
              <w:t>用于制作、存档和播出的录制；电视电影</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BS</w:t>
            </w:r>
          </w:p>
        </w:tc>
        <w:tc>
          <w:tcPr>
            <w:tcW w:w="8788" w:type="dxa"/>
          </w:tcPr>
          <w:p w:rsidR="001609A4" w:rsidRPr="001609A4" w:rsidRDefault="001609A4" w:rsidP="001609A4">
            <w:pPr>
              <w:keepNext/>
              <w:spacing w:before="30" w:after="30"/>
              <w:jc w:val="left"/>
              <w:rPr>
                <w:sz w:val="20"/>
                <w:lang w:val="en-US"/>
              </w:rPr>
            </w:pPr>
            <w:r w:rsidRPr="001609A4">
              <w:rPr>
                <w:rFonts w:hint="eastAsia"/>
                <w:sz w:val="20"/>
                <w:lang w:val="en-US" w:eastAsia="zh-CN"/>
              </w:rPr>
              <w:t>广播业务（声音）</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BT</w:t>
            </w:r>
          </w:p>
        </w:tc>
        <w:tc>
          <w:tcPr>
            <w:tcW w:w="8788" w:type="dxa"/>
          </w:tcPr>
          <w:p w:rsidR="001609A4" w:rsidRPr="001609A4" w:rsidRDefault="001609A4" w:rsidP="001609A4">
            <w:pPr>
              <w:keepNext/>
              <w:spacing w:before="30" w:after="30"/>
              <w:jc w:val="left"/>
              <w:rPr>
                <w:sz w:val="20"/>
                <w:lang w:val="en-US"/>
              </w:rPr>
            </w:pPr>
            <w:r w:rsidRPr="001609A4">
              <w:rPr>
                <w:rFonts w:hint="eastAsia"/>
                <w:sz w:val="20"/>
                <w:lang w:val="en-US" w:eastAsia="zh-CN"/>
              </w:rPr>
              <w:t>广播业务（电视）</w:t>
            </w:r>
          </w:p>
        </w:tc>
      </w:tr>
      <w:tr w:rsidR="001609A4" w:rsidRPr="001609A4" w:rsidTr="009F0A5E">
        <w:tc>
          <w:tcPr>
            <w:tcW w:w="960" w:type="dxa"/>
            <w:shd w:val="clear" w:color="auto" w:fill="F2F2F2"/>
          </w:tcPr>
          <w:p w:rsidR="001609A4" w:rsidRPr="00FB6613" w:rsidRDefault="001609A4" w:rsidP="001609A4">
            <w:pPr>
              <w:spacing w:before="30" w:after="30"/>
              <w:ind w:left="57"/>
              <w:jc w:val="left"/>
              <w:rPr>
                <w:b/>
                <w:bCs/>
                <w:color w:val="000080"/>
                <w:sz w:val="20"/>
                <w:lang w:val="en-US"/>
              </w:rPr>
            </w:pPr>
            <w:r w:rsidRPr="00FB6613">
              <w:rPr>
                <w:b/>
                <w:bCs/>
                <w:color w:val="000080"/>
                <w:sz w:val="20"/>
                <w:lang w:val="en-US"/>
              </w:rPr>
              <w:t>F</w:t>
            </w:r>
          </w:p>
        </w:tc>
        <w:tc>
          <w:tcPr>
            <w:tcW w:w="8788" w:type="dxa"/>
            <w:shd w:val="clear" w:color="auto" w:fill="F2F2F2"/>
          </w:tcPr>
          <w:p w:rsidR="001609A4" w:rsidRPr="00FB6613" w:rsidRDefault="001609A4" w:rsidP="001609A4">
            <w:pPr>
              <w:spacing w:before="30" w:after="30"/>
              <w:ind w:left="57" w:hanging="61"/>
              <w:jc w:val="left"/>
              <w:rPr>
                <w:b/>
                <w:bCs/>
                <w:color w:val="000080"/>
                <w:sz w:val="20"/>
                <w:lang w:val="en-US"/>
              </w:rPr>
            </w:pPr>
            <w:r w:rsidRPr="00FB6613">
              <w:rPr>
                <w:rFonts w:hint="eastAsia"/>
                <w:b/>
                <w:bCs/>
                <w:color w:val="000080"/>
                <w:sz w:val="20"/>
                <w:lang w:val="en-US"/>
              </w:rPr>
              <w:t>固定业务</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M</w:t>
            </w:r>
          </w:p>
        </w:tc>
        <w:tc>
          <w:tcPr>
            <w:tcW w:w="8788" w:type="dxa"/>
          </w:tcPr>
          <w:p w:rsidR="001609A4" w:rsidRPr="001609A4" w:rsidRDefault="001609A4" w:rsidP="001609A4">
            <w:pPr>
              <w:keepNext/>
              <w:spacing w:before="30" w:after="30"/>
              <w:jc w:val="left"/>
              <w:rPr>
                <w:sz w:val="20"/>
                <w:lang w:val="en-US" w:eastAsia="zh-CN"/>
              </w:rPr>
            </w:pPr>
            <w:r w:rsidRPr="001609A4">
              <w:rPr>
                <w:rFonts w:hint="eastAsia"/>
                <w:sz w:val="20"/>
                <w:lang w:val="en-US" w:eastAsia="zh-CN"/>
              </w:rPr>
              <w:t>移动、无线电定位、业余和相关卫星业务</w:t>
            </w:r>
          </w:p>
        </w:tc>
      </w:tr>
      <w:tr w:rsidR="001609A4" w:rsidRPr="001609A4" w:rsidTr="009F0A5E">
        <w:tc>
          <w:tcPr>
            <w:tcW w:w="960" w:type="dxa"/>
            <w:shd w:val="clear" w:color="auto" w:fill="FFFFFF"/>
          </w:tcPr>
          <w:p w:rsidR="001609A4" w:rsidRPr="001609A4" w:rsidRDefault="001609A4" w:rsidP="001609A4">
            <w:pPr>
              <w:spacing w:before="30" w:after="30"/>
              <w:ind w:left="57"/>
              <w:jc w:val="left"/>
              <w:rPr>
                <w:b/>
                <w:bCs/>
                <w:sz w:val="20"/>
                <w:lang w:val="en-US"/>
              </w:rPr>
            </w:pPr>
            <w:r w:rsidRPr="001609A4">
              <w:rPr>
                <w:b/>
                <w:bCs/>
                <w:sz w:val="20"/>
                <w:lang w:val="en-US"/>
              </w:rPr>
              <w:t>P</w:t>
            </w:r>
          </w:p>
        </w:tc>
        <w:tc>
          <w:tcPr>
            <w:tcW w:w="8788" w:type="dxa"/>
            <w:shd w:val="clear" w:color="auto" w:fill="FFFFFF"/>
          </w:tcPr>
          <w:p w:rsidR="001609A4" w:rsidRPr="001609A4" w:rsidRDefault="001609A4" w:rsidP="001609A4">
            <w:pPr>
              <w:spacing w:before="30" w:after="30"/>
              <w:ind w:left="57" w:hanging="61"/>
              <w:jc w:val="left"/>
              <w:rPr>
                <w:sz w:val="20"/>
                <w:lang w:val="en-US"/>
              </w:rPr>
            </w:pPr>
            <w:r w:rsidRPr="001609A4">
              <w:rPr>
                <w:rFonts w:hint="eastAsia"/>
                <w:sz w:val="20"/>
                <w:lang w:val="en-US"/>
              </w:rPr>
              <w:t>无线电波传播</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RA</w:t>
            </w:r>
          </w:p>
        </w:tc>
        <w:tc>
          <w:tcPr>
            <w:tcW w:w="8788" w:type="dxa"/>
          </w:tcPr>
          <w:p w:rsidR="001609A4" w:rsidRPr="001609A4" w:rsidRDefault="001609A4" w:rsidP="001609A4">
            <w:pPr>
              <w:spacing w:before="30" w:after="30"/>
              <w:rPr>
                <w:sz w:val="20"/>
                <w:lang w:val="en-US"/>
              </w:rPr>
            </w:pPr>
            <w:r w:rsidRPr="001609A4">
              <w:rPr>
                <w:rFonts w:hint="eastAsia"/>
                <w:sz w:val="20"/>
                <w:lang w:val="en-US" w:eastAsia="zh-CN"/>
              </w:rPr>
              <w:t>射电天文</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RS</w:t>
            </w:r>
          </w:p>
        </w:tc>
        <w:tc>
          <w:tcPr>
            <w:tcW w:w="8788" w:type="dxa"/>
          </w:tcPr>
          <w:p w:rsidR="001609A4" w:rsidRPr="001609A4" w:rsidRDefault="001609A4" w:rsidP="001609A4">
            <w:pPr>
              <w:spacing w:before="30" w:after="30"/>
              <w:rPr>
                <w:sz w:val="20"/>
                <w:lang w:val="en-US"/>
              </w:rPr>
            </w:pPr>
            <w:r w:rsidRPr="001609A4">
              <w:rPr>
                <w:rFonts w:hint="eastAsia"/>
                <w:sz w:val="20"/>
                <w:lang w:val="en-US" w:eastAsia="zh-CN"/>
              </w:rPr>
              <w:t>遥感系统</w:t>
            </w:r>
          </w:p>
        </w:tc>
      </w:tr>
      <w:tr w:rsidR="001609A4" w:rsidRPr="001609A4" w:rsidTr="009F0A5E">
        <w:tc>
          <w:tcPr>
            <w:tcW w:w="960" w:type="dxa"/>
            <w:shd w:val="clear" w:color="auto" w:fill="FFFFFF"/>
          </w:tcPr>
          <w:p w:rsidR="001609A4" w:rsidRPr="001609A4" w:rsidRDefault="001609A4" w:rsidP="001609A4">
            <w:pPr>
              <w:spacing w:before="30" w:after="30"/>
              <w:ind w:left="57"/>
              <w:jc w:val="left"/>
              <w:rPr>
                <w:b/>
                <w:bCs/>
                <w:sz w:val="20"/>
                <w:lang w:val="en-US"/>
              </w:rPr>
            </w:pPr>
            <w:r w:rsidRPr="001609A4">
              <w:rPr>
                <w:b/>
                <w:bCs/>
                <w:sz w:val="20"/>
                <w:lang w:val="en-US"/>
              </w:rPr>
              <w:t>S</w:t>
            </w:r>
          </w:p>
        </w:tc>
        <w:tc>
          <w:tcPr>
            <w:tcW w:w="8788" w:type="dxa"/>
            <w:shd w:val="clear" w:color="auto" w:fill="FFFFFF"/>
          </w:tcPr>
          <w:p w:rsidR="001609A4" w:rsidRPr="001609A4" w:rsidRDefault="001609A4" w:rsidP="001609A4">
            <w:pPr>
              <w:spacing w:before="30" w:after="30"/>
              <w:jc w:val="left"/>
              <w:rPr>
                <w:sz w:val="20"/>
                <w:lang w:val="en-US"/>
              </w:rPr>
            </w:pPr>
            <w:r w:rsidRPr="001609A4">
              <w:rPr>
                <w:rFonts w:hint="eastAsia"/>
                <w:sz w:val="20"/>
                <w:lang w:val="en-US"/>
              </w:rPr>
              <w:t>卫星固定业务</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SA</w:t>
            </w:r>
          </w:p>
        </w:tc>
        <w:tc>
          <w:tcPr>
            <w:tcW w:w="8788" w:type="dxa"/>
          </w:tcPr>
          <w:p w:rsidR="001609A4" w:rsidRPr="001609A4" w:rsidRDefault="001609A4" w:rsidP="001609A4">
            <w:pPr>
              <w:spacing w:before="30" w:after="30"/>
              <w:jc w:val="left"/>
              <w:rPr>
                <w:sz w:val="20"/>
                <w:lang w:val="en-US"/>
              </w:rPr>
            </w:pPr>
            <w:r w:rsidRPr="001609A4">
              <w:rPr>
                <w:rFonts w:hint="eastAsia"/>
                <w:sz w:val="20"/>
                <w:lang w:val="en-US" w:eastAsia="zh-CN"/>
              </w:rPr>
              <w:t>空间应用和气象</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SF</w:t>
            </w:r>
          </w:p>
        </w:tc>
        <w:tc>
          <w:tcPr>
            <w:tcW w:w="8788" w:type="dxa"/>
          </w:tcPr>
          <w:p w:rsidR="001609A4" w:rsidRPr="001609A4" w:rsidRDefault="001609A4" w:rsidP="001609A4">
            <w:pPr>
              <w:spacing w:before="30" w:after="30"/>
              <w:jc w:val="left"/>
              <w:rPr>
                <w:sz w:val="20"/>
                <w:lang w:val="en-US" w:eastAsia="zh-CN"/>
              </w:rPr>
            </w:pPr>
            <w:r w:rsidRPr="001609A4">
              <w:rPr>
                <w:rFonts w:hint="eastAsia"/>
                <w:sz w:val="20"/>
                <w:lang w:val="en-US" w:eastAsia="zh-CN"/>
              </w:rPr>
              <w:t>卫星固定业务和固定业务系统间的频率共用和协调</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SM</w:t>
            </w:r>
          </w:p>
        </w:tc>
        <w:tc>
          <w:tcPr>
            <w:tcW w:w="8788" w:type="dxa"/>
          </w:tcPr>
          <w:p w:rsidR="001609A4" w:rsidRPr="001609A4" w:rsidRDefault="001609A4" w:rsidP="001609A4">
            <w:pPr>
              <w:spacing w:before="30" w:after="30"/>
              <w:rPr>
                <w:sz w:val="20"/>
                <w:lang w:val="en-US"/>
              </w:rPr>
            </w:pPr>
            <w:r w:rsidRPr="001609A4">
              <w:rPr>
                <w:rFonts w:hint="eastAsia"/>
                <w:sz w:val="20"/>
                <w:lang w:val="en-US" w:eastAsia="zh-CN"/>
              </w:rPr>
              <w:t>频谱管理</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SNG</w:t>
            </w:r>
          </w:p>
        </w:tc>
        <w:tc>
          <w:tcPr>
            <w:tcW w:w="8788" w:type="dxa"/>
          </w:tcPr>
          <w:p w:rsidR="001609A4" w:rsidRPr="001609A4" w:rsidRDefault="001609A4" w:rsidP="001609A4">
            <w:pPr>
              <w:spacing w:before="30" w:after="30"/>
              <w:jc w:val="left"/>
              <w:rPr>
                <w:sz w:val="20"/>
                <w:lang w:val="en-US"/>
              </w:rPr>
            </w:pPr>
            <w:r w:rsidRPr="001609A4">
              <w:rPr>
                <w:rFonts w:hint="eastAsia"/>
                <w:sz w:val="20"/>
                <w:lang w:val="en-US" w:eastAsia="zh-CN"/>
              </w:rPr>
              <w:t>卫星新闻采集</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TF</w:t>
            </w:r>
          </w:p>
        </w:tc>
        <w:tc>
          <w:tcPr>
            <w:tcW w:w="8788" w:type="dxa"/>
          </w:tcPr>
          <w:p w:rsidR="001609A4" w:rsidRPr="001609A4" w:rsidRDefault="001609A4" w:rsidP="001609A4">
            <w:pPr>
              <w:spacing w:before="30" w:after="30"/>
              <w:jc w:val="left"/>
              <w:rPr>
                <w:sz w:val="20"/>
                <w:lang w:val="en-US" w:eastAsia="zh-CN"/>
              </w:rPr>
            </w:pPr>
            <w:r w:rsidRPr="001609A4">
              <w:rPr>
                <w:rFonts w:hint="eastAsia"/>
                <w:sz w:val="20"/>
                <w:lang w:val="en-US" w:eastAsia="zh-CN"/>
              </w:rPr>
              <w:t>时间信号和频率标准发射</w:t>
            </w:r>
          </w:p>
        </w:tc>
      </w:tr>
      <w:tr w:rsidR="001609A4" w:rsidRPr="001609A4" w:rsidTr="009F0A5E">
        <w:tc>
          <w:tcPr>
            <w:tcW w:w="960" w:type="dxa"/>
          </w:tcPr>
          <w:p w:rsidR="001609A4" w:rsidRPr="001609A4" w:rsidRDefault="001609A4" w:rsidP="001609A4">
            <w:pPr>
              <w:spacing w:before="30" w:after="30"/>
              <w:ind w:left="57"/>
              <w:jc w:val="left"/>
              <w:rPr>
                <w:b/>
                <w:bCs/>
                <w:sz w:val="20"/>
                <w:lang w:val="en-US"/>
              </w:rPr>
            </w:pPr>
            <w:r w:rsidRPr="001609A4">
              <w:rPr>
                <w:b/>
                <w:bCs/>
                <w:sz w:val="20"/>
                <w:lang w:val="en-US"/>
              </w:rPr>
              <w:t>V</w:t>
            </w:r>
          </w:p>
        </w:tc>
        <w:tc>
          <w:tcPr>
            <w:tcW w:w="8788" w:type="dxa"/>
          </w:tcPr>
          <w:p w:rsidR="001609A4" w:rsidRPr="001609A4" w:rsidRDefault="001609A4" w:rsidP="001609A4">
            <w:pPr>
              <w:spacing w:before="30" w:after="180"/>
              <w:jc w:val="left"/>
              <w:rPr>
                <w:sz w:val="20"/>
                <w:lang w:val="en-US"/>
              </w:rPr>
            </w:pPr>
            <w:r w:rsidRPr="001609A4">
              <w:rPr>
                <w:rFonts w:hint="eastAsia"/>
                <w:sz w:val="20"/>
                <w:lang w:val="en-US" w:eastAsia="zh-CN"/>
              </w:rPr>
              <w:t>词汇和相关问题</w:t>
            </w:r>
          </w:p>
        </w:tc>
      </w:tr>
    </w:tbl>
    <w:p w:rsidR="001609A4" w:rsidRPr="001609A4" w:rsidRDefault="001609A4" w:rsidP="001609A4">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1609A4" w:rsidRPr="001609A4" w:rsidTr="009F0A5E">
        <w:tc>
          <w:tcPr>
            <w:tcW w:w="9775" w:type="dxa"/>
            <w:shd w:val="clear" w:color="auto" w:fill="auto"/>
          </w:tcPr>
          <w:p w:rsidR="001609A4" w:rsidRPr="001609A4" w:rsidRDefault="001609A4" w:rsidP="000D603F">
            <w:pPr>
              <w:spacing w:after="120"/>
              <w:rPr>
                <w:rFonts w:eastAsia="STKaiti"/>
                <w:sz w:val="20"/>
                <w:lang w:eastAsia="zh-CN"/>
              </w:rPr>
            </w:pPr>
            <w:r w:rsidRPr="001609A4">
              <w:rPr>
                <w:rFonts w:eastAsia="STKaiti" w:hint="eastAsia"/>
                <w:b/>
                <w:sz w:val="20"/>
                <w:lang w:eastAsia="zh-CN"/>
              </w:rPr>
              <w:t>说明：</w:t>
            </w:r>
            <w:r w:rsidRPr="001609A4">
              <w:rPr>
                <w:rFonts w:eastAsia="STKaiti" w:hint="eastAsia"/>
                <w:sz w:val="20"/>
                <w:lang w:eastAsia="zh-CN"/>
              </w:rPr>
              <w:t>该</w:t>
            </w:r>
            <w:r w:rsidRPr="001609A4">
              <w:rPr>
                <w:rFonts w:eastAsia="STKaiti" w:hint="eastAsia"/>
                <w:sz w:val="20"/>
                <w:lang w:eastAsia="zh-CN"/>
              </w:rPr>
              <w:t>ITU-R</w:t>
            </w:r>
            <w:r w:rsidRPr="001609A4">
              <w:rPr>
                <w:rFonts w:eastAsia="STKaiti" w:hint="eastAsia"/>
                <w:sz w:val="20"/>
                <w:lang w:eastAsia="zh-CN"/>
              </w:rPr>
              <w:t>建议书的英文版本根据</w:t>
            </w:r>
            <w:r w:rsidRPr="001609A4">
              <w:rPr>
                <w:rFonts w:eastAsia="STKaiti" w:hint="eastAsia"/>
                <w:sz w:val="20"/>
                <w:lang w:eastAsia="zh-CN"/>
              </w:rPr>
              <w:t>ITU-R</w:t>
            </w:r>
            <w:r w:rsidRPr="001609A4">
              <w:rPr>
                <w:rFonts w:eastAsia="STKaiti" w:hint="eastAsia"/>
                <w:sz w:val="20"/>
                <w:lang w:eastAsia="zh-CN"/>
              </w:rPr>
              <w:t>第</w:t>
            </w:r>
            <w:r w:rsidRPr="001609A4">
              <w:rPr>
                <w:rFonts w:eastAsia="STKaiti" w:hint="eastAsia"/>
                <w:sz w:val="20"/>
                <w:lang w:eastAsia="zh-CN"/>
              </w:rPr>
              <w:t>1</w:t>
            </w:r>
            <w:r w:rsidRPr="001609A4">
              <w:rPr>
                <w:rFonts w:eastAsia="STKaiti" w:hint="eastAsia"/>
                <w:sz w:val="20"/>
                <w:lang w:eastAsia="zh-CN"/>
              </w:rPr>
              <w:t>号决议详述的程序予以批准。</w:t>
            </w:r>
          </w:p>
        </w:tc>
      </w:tr>
    </w:tbl>
    <w:p w:rsidR="001609A4" w:rsidRPr="001609A4" w:rsidRDefault="001609A4" w:rsidP="009F0A5E">
      <w:pPr>
        <w:tabs>
          <w:tab w:val="left" w:pos="9540"/>
        </w:tabs>
        <w:spacing w:before="360"/>
        <w:ind w:right="99"/>
        <w:jc w:val="right"/>
        <w:rPr>
          <w:sz w:val="20"/>
          <w:lang w:eastAsia="zh-CN"/>
        </w:rPr>
      </w:pPr>
      <w:r w:rsidRPr="001609A4">
        <w:rPr>
          <w:rFonts w:ascii="STKaiti" w:eastAsia="STKaiti" w:hAnsi="STKaiti" w:hint="eastAsia"/>
          <w:sz w:val="20"/>
          <w:lang w:eastAsia="zh-CN"/>
        </w:rPr>
        <w:t>电子出版</w:t>
      </w:r>
      <w:r w:rsidRPr="001609A4">
        <w:rPr>
          <w:rFonts w:ascii="STKaiti" w:eastAsia="STKaiti" w:hAnsi="STKaiti"/>
          <w:sz w:val="20"/>
          <w:lang w:eastAsia="zh-CN"/>
        </w:rPr>
        <w:br/>
      </w:r>
      <w:r w:rsidRPr="001609A4">
        <w:rPr>
          <w:rFonts w:hint="eastAsia"/>
          <w:sz w:val="20"/>
          <w:lang w:eastAsia="zh-CN"/>
        </w:rPr>
        <w:t>201</w:t>
      </w:r>
      <w:r w:rsidR="009F0A5E">
        <w:rPr>
          <w:sz w:val="20"/>
          <w:lang w:eastAsia="zh-CN"/>
        </w:rPr>
        <w:t>5</w:t>
      </w:r>
      <w:r w:rsidRPr="001609A4">
        <w:rPr>
          <w:rFonts w:hint="eastAsia"/>
          <w:sz w:val="20"/>
          <w:lang w:eastAsia="zh-CN"/>
        </w:rPr>
        <w:t>年，日内瓦</w:t>
      </w:r>
    </w:p>
    <w:p w:rsidR="001609A4" w:rsidRPr="001609A4" w:rsidRDefault="001609A4" w:rsidP="001609A4">
      <w:pPr>
        <w:rPr>
          <w:szCs w:val="24"/>
          <w:lang w:eastAsia="zh-CN"/>
        </w:rPr>
      </w:pPr>
    </w:p>
    <w:p w:rsidR="001609A4" w:rsidRPr="001609A4" w:rsidRDefault="001609A4" w:rsidP="009F0A5E">
      <w:pPr>
        <w:jc w:val="center"/>
        <w:rPr>
          <w:sz w:val="20"/>
          <w:lang w:val="en-US" w:eastAsia="zh-CN"/>
        </w:rPr>
      </w:pPr>
      <w:r w:rsidRPr="001609A4">
        <w:rPr>
          <w:sz w:val="20"/>
          <w:lang w:val="en-US"/>
        </w:rPr>
        <w:sym w:font="Symbol" w:char="F0E3"/>
      </w:r>
      <w:r w:rsidRPr="001609A4">
        <w:rPr>
          <w:sz w:val="20"/>
          <w:lang w:val="en-US" w:eastAsia="zh-CN"/>
        </w:rPr>
        <w:t xml:space="preserve"> </w:t>
      </w:r>
      <w:r w:rsidR="009F0A5E">
        <w:rPr>
          <w:rFonts w:hint="eastAsia"/>
          <w:sz w:val="20"/>
          <w:lang w:val="en-US" w:eastAsia="zh-CN"/>
        </w:rPr>
        <w:t>国际</w:t>
      </w:r>
      <w:r w:rsidR="009F0A5E">
        <w:rPr>
          <w:sz w:val="20"/>
          <w:lang w:val="en-US" w:eastAsia="zh-CN"/>
        </w:rPr>
        <w:t>电联</w:t>
      </w:r>
      <w:r w:rsidRPr="001609A4">
        <w:rPr>
          <w:sz w:val="20"/>
          <w:lang w:val="en-US" w:eastAsia="zh-CN"/>
        </w:rPr>
        <w:t xml:space="preserve"> </w:t>
      </w:r>
      <w:bookmarkStart w:id="3" w:name="iiannee"/>
      <w:bookmarkEnd w:id="3"/>
      <w:r w:rsidRPr="001609A4">
        <w:rPr>
          <w:sz w:val="20"/>
          <w:lang w:val="en-US" w:eastAsia="zh-CN"/>
        </w:rPr>
        <w:t>20</w:t>
      </w:r>
      <w:r w:rsidRPr="001609A4">
        <w:rPr>
          <w:rFonts w:hint="eastAsia"/>
          <w:sz w:val="20"/>
          <w:lang w:val="en-US" w:eastAsia="zh-CN"/>
        </w:rPr>
        <w:t>1</w:t>
      </w:r>
      <w:r w:rsidR="009F0A5E">
        <w:rPr>
          <w:sz w:val="20"/>
          <w:lang w:val="en-US" w:eastAsia="zh-CN"/>
        </w:rPr>
        <w:t>5</w:t>
      </w:r>
    </w:p>
    <w:p w:rsidR="001609A4" w:rsidRPr="001609A4" w:rsidRDefault="001609A4" w:rsidP="009F0A5E">
      <w:pPr>
        <w:ind w:firstLineChars="315" w:firstLine="567"/>
        <w:jc w:val="left"/>
        <w:rPr>
          <w:lang w:val="en-US" w:eastAsia="zh-CN"/>
        </w:rPr>
      </w:pPr>
      <w:r w:rsidRPr="001609A4">
        <w:rPr>
          <w:rFonts w:ascii="SimSun" w:hAnsi="SimSun" w:hint="eastAsia"/>
          <w:sz w:val="18"/>
          <w:szCs w:val="18"/>
          <w:lang w:val="en-US" w:eastAsia="zh-CN"/>
        </w:rPr>
        <w:t>版权所有。</w:t>
      </w:r>
      <w:r w:rsidRPr="001609A4">
        <w:rPr>
          <w:rFonts w:ascii="SimSun" w:hAnsi="SimSun"/>
          <w:sz w:val="18"/>
          <w:szCs w:val="18"/>
          <w:lang w:eastAsia="zh-CN"/>
        </w:rPr>
        <w:t>未经国际电联书面许可，不得以任何手段复制本出版物的任何部分</w:t>
      </w:r>
      <w:r w:rsidRPr="001609A4">
        <w:rPr>
          <w:rFonts w:ascii="SimSun" w:hAnsi="SimSun" w:hint="eastAsia"/>
          <w:sz w:val="18"/>
          <w:szCs w:val="18"/>
          <w:lang w:eastAsia="zh-CN"/>
        </w:rPr>
        <w:t>。</w:t>
      </w:r>
    </w:p>
    <w:p w:rsidR="00F32463" w:rsidRPr="009F0A5E" w:rsidRDefault="00F32463" w:rsidP="009F0A5E">
      <w:pPr>
        <w:pStyle w:val="RecNoBR"/>
        <w:spacing w:before="240"/>
        <w:rPr>
          <w:lang w:eastAsia="zh-CN"/>
        </w:rPr>
      </w:pPr>
      <w:bookmarkStart w:id="4" w:name="OLE_LINK1"/>
      <w:bookmarkStart w:id="5" w:name="OLE_LINK2"/>
      <w:r w:rsidRPr="009F0A5E">
        <w:rPr>
          <w:lang w:eastAsia="zh-CN"/>
        </w:rPr>
        <w:lastRenderedPageBreak/>
        <w:t>ITU-R  F.1763</w:t>
      </w:r>
      <w:r w:rsidR="00555599" w:rsidRPr="009F0A5E">
        <w:rPr>
          <w:lang w:eastAsia="zh-CN"/>
        </w:rPr>
        <w:t>-1</w:t>
      </w:r>
      <w:r w:rsidR="009566DA" w:rsidRPr="009F0A5E">
        <w:rPr>
          <w:rFonts w:hint="eastAsia"/>
          <w:lang w:eastAsia="zh-CN"/>
        </w:rPr>
        <w:t xml:space="preserve"> </w:t>
      </w:r>
      <w:r w:rsidR="009566DA" w:rsidRPr="009F0A5E">
        <w:rPr>
          <w:rFonts w:hint="eastAsia"/>
          <w:lang w:eastAsia="zh-CN"/>
        </w:rPr>
        <w:t>建议书</w:t>
      </w:r>
      <w:bookmarkEnd w:id="4"/>
      <w:bookmarkEnd w:id="5"/>
    </w:p>
    <w:p w:rsidR="00F32463" w:rsidRPr="00F32463" w:rsidRDefault="009566DA" w:rsidP="009566DA">
      <w:pPr>
        <w:pStyle w:val="RectitleBR"/>
        <w:rPr>
          <w:lang w:val="en-US" w:eastAsia="zh-CN"/>
        </w:rPr>
      </w:pPr>
      <w:bookmarkStart w:id="6" w:name="OLE_LINK7"/>
      <w:bookmarkStart w:id="7" w:name="OLE_LINK8"/>
      <w:r w:rsidRPr="009566DA">
        <w:rPr>
          <w:rFonts w:hint="eastAsia"/>
          <w:lang w:val="en-US" w:eastAsia="zh-CN"/>
        </w:rPr>
        <w:t>低于</w:t>
      </w:r>
      <w:r w:rsidRPr="00F32463">
        <w:rPr>
          <w:lang w:val="en-US" w:eastAsia="zh-CN"/>
        </w:rPr>
        <w:t>66 GHz</w:t>
      </w:r>
      <w:r w:rsidRPr="009566DA">
        <w:rPr>
          <w:rFonts w:hint="eastAsia"/>
          <w:lang w:val="en-US" w:eastAsia="zh-CN"/>
        </w:rPr>
        <w:t>频段的固定业务宽带无线</w:t>
      </w:r>
      <w:bookmarkEnd w:id="6"/>
      <w:bookmarkEnd w:id="7"/>
      <w:r w:rsidR="009F0A5E">
        <w:rPr>
          <w:lang w:val="en-US" w:eastAsia="zh-CN"/>
        </w:rPr>
        <w:br/>
      </w:r>
      <w:r w:rsidRPr="009566DA">
        <w:rPr>
          <w:rFonts w:hint="eastAsia"/>
          <w:lang w:val="en-US" w:eastAsia="zh-CN"/>
        </w:rPr>
        <w:t>接入系统的无线</w:t>
      </w:r>
      <w:r w:rsidR="00D93E31">
        <w:rPr>
          <w:rFonts w:hint="eastAsia"/>
          <w:lang w:val="en-US" w:eastAsia="zh-CN"/>
        </w:rPr>
        <w:t>电</w:t>
      </w:r>
      <w:r w:rsidRPr="009566DA">
        <w:rPr>
          <w:rFonts w:hint="eastAsia"/>
          <w:lang w:val="en-US" w:eastAsia="zh-CN"/>
        </w:rPr>
        <w:t>接口标准</w:t>
      </w:r>
      <w:r w:rsidR="00F32463" w:rsidRPr="00F32463">
        <w:rPr>
          <w:lang w:val="en-US" w:eastAsia="zh-CN"/>
        </w:rPr>
        <w:t xml:space="preserve"> </w:t>
      </w:r>
    </w:p>
    <w:p w:rsidR="00F32463" w:rsidRDefault="009566DA" w:rsidP="005B2A7E">
      <w:pPr>
        <w:pStyle w:val="Recref"/>
        <w:rPr>
          <w:lang w:val="en-US" w:eastAsia="zh-CN"/>
        </w:rPr>
      </w:pPr>
      <w:r>
        <w:rPr>
          <w:rFonts w:hint="eastAsia"/>
          <w:lang w:val="en-US" w:eastAsia="zh-CN"/>
        </w:rPr>
        <w:t>（</w:t>
      </w:r>
      <w:r w:rsidR="00F32463" w:rsidRPr="00F32463">
        <w:rPr>
          <w:lang w:val="en-US" w:eastAsia="zh-CN"/>
        </w:rPr>
        <w:t>ITU-R</w:t>
      </w:r>
      <w:r>
        <w:rPr>
          <w:rFonts w:hint="eastAsia"/>
          <w:lang w:val="en-US" w:eastAsia="zh-CN"/>
        </w:rPr>
        <w:t>第</w:t>
      </w:r>
      <w:r w:rsidR="005B2A7E" w:rsidRPr="005B2A7E">
        <w:rPr>
          <w:lang w:val="en-US" w:eastAsia="zh-CN"/>
        </w:rPr>
        <w:t>215-4/5</w:t>
      </w:r>
      <w:r>
        <w:rPr>
          <w:rFonts w:hint="eastAsia"/>
          <w:lang w:val="en-US" w:eastAsia="zh-CN"/>
        </w:rPr>
        <w:t>号课题）</w:t>
      </w:r>
    </w:p>
    <w:p w:rsidR="00AD2B15" w:rsidRPr="00AD2B15" w:rsidRDefault="009566DA" w:rsidP="00AD2B15">
      <w:pPr>
        <w:pStyle w:val="Recdate"/>
        <w:rPr>
          <w:lang w:val="en-US" w:eastAsia="zh-CN"/>
        </w:rPr>
      </w:pPr>
      <w:r>
        <w:rPr>
          <w:rFonts w:hint="eastAsia"/>
          <w:lang w:val="en-US" w:eastAsia="zh-CN"/>
        </w:rPr>
        <w:t>（</w:t>
      </w:r>
      <w:r w:rsidR="00AD2B15">
        <w:rPr>
          <w:lang w:val="en-US" w:eastAsia="zh-CN"/>
        </w:rPr>
        <w:t>2006</w:t>
      </w:r>
      <w:r w:rsidR="00555599">
        <w:rPr>
          <w:lang w:val="en-US" w:eastAsia="zh-CN"/>
        </w:rPr>
        <w:t>-2014</w:t>
      </w:r>
      <w:r>
        <w:rPr>
          <w:rFonts w:hint="eastAsia"/>
          <w:lang w:val="en-US" w:eastAsia="zh-CN"/>
        </w:rPr>
        <w:t>年）</w:t>
      </w:r>
    </w:p>
    <w:p w:rsidR="00F32463" w:rsidRPr="00A45BFD" w:rsidRDefault="009566DA" w:rsidP="00A45BFD">
      <w:pPr>
        <w:pStyle w:val="Heading1"/>
        <w:rPr>
          <w:sz w:val="22"/>
          <w:szCs w:val="22"/>
          <w:lang w:val="en-US" w:eastAsia="zh-CN"/>
        </w:rPr>
      </w:pPr>
      <w:r w:rsidRPr="00A45BFD">
        <w:rPr>
          <w:rFonts w:hint="eastAsia"/>
          <w:sz w:val="22"/>
          <w:szCs w:val="22"/>
          <w:lang w:val="en-US" w:eastAsia="zh-CN"/>
        </w:rPr>
        <w:t>范围</w:t>
      </w:r>
    </w:p>
    <w:p w:rsidR="00F32463" w:rsidRPr="009F0A5E" w:rsidRDefault="00DD529F" w:rsidP="00BA7FA8">
      <w:pPr>
        <w:tabs>
          <w:tab w:val="clear" w:pos="794"/>
          <w:tab w:val="left" w:pos="540"/>
          <w:tab w:val="left" w:pos="567"/>
        </w:tabs>
        <w:ind w:firstLineChars="200" w:firstLine="440"/>
        <w:rPr>
          <w:sz w:val="22"/>
          <w:szCs w:val="22"/>
          <w:lang w:val="en-US" w:eastAsia="zh-CN"/>
        </w:rPr>
      </w:pPr>
      <w:r w:rsidRPr="009F0A5E">
        <w:rPr>
          <w:rFonts w:hint="eastAsia"/>
          <w:sz w:val="22"/>
          <w:szCs w:val="22"/>
          <w:lang w:val="en-US" w:eastAsia="zh-CN"/>
        </w:rPr>
        <w:t>本建议书确定</w:t>
      </w:r>
      <w:r w:rsidR="00555599" w:rsidRPr="009F0A5E">
        <w:rPr>
          <w:rFonts w:hint="eastAsia"/>
          <w:sz w:val="22"/>
          <w:szCs w:val="22"/>
          <w:lang w:val="en-US" w:eastAsia="zh-CN"/>
        </w:rPr>
        <w:t>可用于</w:t>
      </w:r>
      <w:r w:rsidR="009566DA" w:rsidRPr="009F0A5E">
        <w:rPr>
          <w:rFonts w:hint="eastAsia"/>
          <w:sz w:val="22"/>
          <w:szCs w:val="22"/>
          <w:lang w:val="en-US" w:eastAsia="zh-CN"/>
        </w:rPr>
        <w:t>低于</w:t>
      </w:r>
      <w:r w:rsidR="009566DA" w:rsidRPr="009F0A5E">
        <w:rPr>
          <w:rFonts w:hint="eastAsia"/>
          <w:sz w:val="22"/>
          <w:szCs w:val="22"/>
          <w:lang w:val="en-US" w:eastAsia="zh-CN"/>
        </w:rPr>
        <w:t>66 GHz</w:t>
      </w:r>
      <w:r w:rsidR="009566DA" w:rsidRPr="009F0A5E">
        <w:rPr>
          <w:rFonts w:hint="eastAsia"/>
          <w:sz w:val="22"/>
          <w:szCs w:val="22"/>
          <w:lang w:val="en-US" w:eastAsia="zh-CN"/>
        </w:rPr>
        <w:t>频段的固定业务宽带无线接入（</w:t>
      </w:r>
      <w:r w:rsidR="009566DA" w:rsidRPr="009F0A5E">
        <w:rPr>
          <w:rFonts w:hint="eastAsia"/>
          <w:sz w:val="22"/>
          <w:szCs w:val="22"/>
          <w:lang w:val="en-US" w:eastAsia="zh-CN"/>
        </w:rPr>
        <w:t>BWA</w:t>
      </w:r>
      <w:r w:rsidR="009566DA" w:rsidRPr="009F0A5E">
        <w:rPr>
          <w:rFonts w:hint="eastAsia"/>
          <w:sz w:val="22"/>
          <w:szCs w:val="22"/>
          <w:lang w:val="en-US" w:eastAsia="zh-CN"/>
        </w:rPr>
        <w:t>）</w:t>
      </w:r>
      <w:r w:rsidR="00555599" w:rsidRPr="0036655A">
        <w:rPr>
          <w:rStyle w:val="FootnoteReference"/>
          <w:szCs w:val="18"/>
          <w:lang w:val="en-US" w:eastAsia="zh-CN"/>
        </w:rPr>
        <w:footnoteReference w:id="1"/>
      </w:r>
      <w:r w:rsidR="009566DA" w:rsidRPr="009F0A5E">
        <w:rPr>
          <w:rFonts w:hint="eastAsia"/>
          <w:sz w:val="22"/>
          <w:szCs w:val="22"/>
          <w:lang w:val="en-US" w:eastAsia="zh-CN"/>
        </w:rPr>
        <w:t>系统的无线</w:t>
      </w:r>
      <w:r w:rsidRPr="009F0A5E">
        <w:rPr>
          <w:rFonts w:hint="eastAsia"/>
          <w:sz w:val="22"/>
          <w:szCs w:val="22"/>
          <w:lang w:val="en-US" w:eastAsia="zh-CN"/>
        </w:rPr>
        <w:t>电接口标准，并介绍</w:t>
      </w:r>
      <w:r w:rsidR="009566DA" w:rsidRPr="009F0A5E">
        <w:rPr>
          <w:rFonts w:hint="eastAsia"/>
          <w:sz w:val="22"/>
          <w:szCs w:val="22"/>
          <w:lang w:val="en-US" w:eastAsia="zh-CN"/>
        </w:rPr>
        <w:t>推荐的</w:t>
      </w:r>
      <w:r w:rsidR="005F21E9" w:rsidRPr="009F0A5E">
        <w:rPr>
          <w:rFonts w:hint="eastAsia"/>
          <w:sz w:val="22"/>
          <w:szCs w:val="22"/>
          <w:lang w:val="en-US" w:eastAsia="zh-CN"/>
        </w:rPr>
        <w:t>互操作</w:t>
      </w:r>
      <w:r w:rsidRPr="009F0A5E">
        <w:rPr>
          <w:rFonts w:hint="eastAsia"/>
          <w:sz w:val="22"/>
          <w:szCs w:val="22"/>
          <w:lang w:val="en-US" w:eastAsia="zh-CN"/>
        </w:rPr>
        <w:t>标准的相关特性。本建议书提供</w:t>
      </w:r>
      <w:r w:rsidR="009566DA" w:rsidRPr="009F0A5E">
        <w:rPr>
          <w:rFonts w:hint="eastAsia"/>
          <w:sz w:val="22"/>
          <w:szCs w:val="22"/>
          <w:lang w:val="en-US" w:eastAsia="zh-CN"/>
        </w:rPr>
        <w:t>有关</w:t>
      </w:r>
      <w:r w:rsidR="009566DA" w:rsidRPr="009F0A5E">
        <w:rPr>
          <w:rFonts w:hint="eastAsia"/>
          <w:sz w:val="22"/>
          <w:szCs w:val="22"/>
          <w:lang w:val="en-US" w:eastAsia="zh-CN"/>
        </w:rPr>
        <w:t>BWA</w:t>
      </w:r>
      <w:r w:rsidR="009566DA" w:rsidRPr="009F0A5E">
        <w:rPr>
          <w:rFonts w:hint="eastAsia"/>
          <w:sz w:val="22"/>
          <w:szCs w:val="22"/>
          <w:lang w:val="en-US" w:eastAsia="zh-CN"/>
        </w:rPr>
        <w:t>系统间</w:t>
      </w:r>
      <w:r w:rsidR="005F21E9" w:rsidRPr="009F0A5E">
        <w:rPr>
          <w:rFonts w:hint="eastAsia"/>
          <w:sz w:val="22"/>
          <w:szCs w:val="22"/>
          <w:lang w:val="en-US" w:eastAsia="zh-CN"/>
        </w:rPr>
        <w:t>互操作</w:t>
      </w:r>
      <w:r w:rsidR="009566DA" w:rsidRPr="009F0A5E">
        <w:rPr>
          <w:rFonts w:hint="eastAsia"/>
          <w:sz w:val="22"/>
          <w:szCs w:val="22"/>
          <w:lang w:val="en-US" w:eastAsia="zh-CN"/>
        </w:rPr>
        <w:t>标准的参考。</w:t>
      </w:r>
    </w:p>
    <w:p w:rsidR="00F32463" w:rsidRPr="009F0A5E" w:rsidRDefault="009566DA" w:rsidP="00FC38FC">
      <w:pPr>
        <w:tabs>
          <w:tab w:val="clear" w:pos="794"/>
          <w:tab w:val="left" w:pos="540"/>
          <w:tab w:val="left" w:pos="567"/>
        </w:tabs>
        <w:ind w:firstLineChars="200" w:firstLine="440"/>
        <w:rPr>
          <w:sz w:val="22"/>
          <w:szCs w:val="22"/>
          <w:lang w:val="en-US" w:eastAsia="zh-CN"/>
        </w:rPr>
      </w:pPr>
      <w:r w:rsidRPr="009F0A5E">
        <w:rPr>
          <w:rFonts w:hint="eastAsia"/>
          <w:sz w:val="22"/>
          <w:szCs w:val="22"/>
          <w:lang w:val="en-US" w:eastAsia="zh-CN"/>
        </w:rPr>
        <w:t>本建议书引用的</w:t>
      </w:r>
      <w:r w:rsidR="005F21E9" w:rsidRPr="009F0A5E">
        <w:rPr>
          <w:rFonts w:hint="eastAsia"/>
          <w:sz w:val="22"/>
          <w:szCs w:val="22"/>
          <w:lang w:val="en-US" w:eastAsia="zh-CN"/>
        </w:rPr>
        <w:t>互操作</w:t>
      </w:r>
      <w:r w:rsidRPr="009F0A5E">
        <w:rPr>
          <w:rFonts w:hint="eastAsia"/>
          <w:sz w:val="22"/>
          <w:szCs w:val="22"/>
          <w:lang w:val="en-US" w:eastAsia="zh-CN"/>
        </w:rPr>
        <w:t>标准包括下列规范：</w:t>
      </w:r>
    </w:p>
    <w:p w:rsidR="00F32463" w:rsidRPr="009F0A5E" w:rsidRDefault="00F32463" w:rsidP="009566DA">
      <w:pPr>
        <w:pStyle w:val="enumlev1"/>
        <w:rPr>
          <w:sz w:val="22"/>
          <w:szCs w:val="22"/>
          <w:lang w:val="en-US" w:eastAsia="ja-JP"/>
        </w:rPr>
      </w:pPr>
      <w:r w:rsidRPr="009F0A5E">
        <w:rPr>
          <w:sz w:val="22"/>
          <w:szCs w:val="22"/>
          <w:lang w:val="en-US" w:eastAsia="ja-JP"/>
        </w:rPr>
        <w:t>–</w:t>
      </w:r>
      <w:r w:rsidRPr="009F0A5E">
        <w:rPr>
          <w:sz w:val="22"/>
          <w:szCs w:val="22"/>
          <w:lang w:val="en-US" w:eastAsia="ja-JP"/>
        </w:rPr>
        <w:tab/>
      </w:r>
      <w:r w:rsidR="009566DA" w:rsidRPr="009F0A5E">
        <w:rPr>
          <w:rFonts w:hint="eastAsia"/>
          <w:sz w:val="22"/>
          <w:szCs w:val="22"/>
          <w:lang w:val="en-US" w:eastAsia="ja-JP"/>
        </w:rPr>
        <w:t>系统特性；</w:t>
      </w:r>
    </w:p>
    <w:p w:rsidR="00F32463" w:rsidRPr="009F0A5E" w:rsidRDefault="00F32463" w:rsidP="009566DA">
      <w:pPr>
        <w:pStyle w:val="enumlev1"/>
        <w:rPr>
          <w:sz w:val="22"/>
          <w:szCs w:val="22"/>
          <w:lang w:val="en-US" w:eastAsia="ja-JP"/>
        </w:rPr>
      </w:pPr>
      <w:r w:rsidRPr="009F0A5E">
        <w:rPr>
          <w:sz w:val="22"/>
          <w:szCs w:val="22"/>
          <w:lang w:val="en-US" w:eastAsia="ja-JP"/>
        </w:rPr>
        <w:t>–</w:t>
      </w:r>
      <w:r w:rsidRPr="009F0A5E">
        <w:rPr>
          <w:sz w:val="22"/>
          <w:szCs w:val="22"/>
          <w:lang w:val="en-US" w:eastAsia="ja-JP"/>
        </w:rPr>
        <w:tab/>
      </w:r>
      <w:r w:rsidR="009566DA" w:rsidRPr="009F0A5E">
        <w:rPr>
          <w:rFonts w:hint="eastAsia"/>
          <w:sz w:val="22"/>
          <w:szCs w:val="22"/>
          <w:lang w:val="en-US" w:eastAsia="ja-JP"/>
        </w:rPr>
        <w:t>物理层参数，即，信道化、调制方案、数据速率；</w:t>
      </w:r>
    </w:p>
    <w:p w:rsidR="00F32463" w:rsidRPr="009F0A5E" w:rsidRDefault="00F32463" w:rsidP="009566DA">
      <w:pPr>
        <w:pStyle w:val="enumlev1"/>
        <w:rPr>
          <w:sz w:val="22"/>
          <w:szCs w:val="22"/>
          <w:lang w:val="en-US" w:eastAsia="ja-JP"/>
        </w:rPr>
      </w:pPr>
      <w:r w:rsidRPr="009F0A5E">
        <w:rPr>
          <w:sz w:val="22"/>
          <w:szCs w:val="22"/>
          <w:lang w:val="en-US" w:eastAsia="ja-JP"/>
        </w:rPr>
        <w:t>–</w:t>
      </w:r>
      <w:r w:rsidRPr="009F0A5E">
        <w:rPr>
          <w:sz w:val="22"/>
          <w:szCs w:val="22"/>
          <w:lang w:val="en-US" w:eastAsia="ja-JP"/>
        </w:rPr>
        <w:tab/>
      </w:r>
      <w:r w:rsidR="009566DA" w:rsidRPr="009F0A5E">
        <w:rPr>
          <w:rFonts w:hint="eastAsia"/>
          <w:sz w:val="22"/>
          <w:szCs w:val="22"/>
          <w:lang w:val="en-US" w:eastAsia="ja-JP"/>
        </w:rPr>
        <w:t>媒介接入控制（</w:t>
      </w:r>
      <w:r w:rsidR="009566DA" w:rsidRPr="009F0A5E">
        <w:rPr>
          <w:rFonts w:hint="eastAsia"/>
          <w:sz w:val="22"/>
          <w:szCs w:val="22"/>
          <w:lang w:val="en-US" w:eastAsia="ja-JP"/>
        </w:rPr>
        <w:t>MAC</w:t>
      </w:r>
      <w:r w:rsidR="009566DA" w:rsidRPr="009F0A5E">
        <w:rPr>
          <w:rFonts w:hint="eastAsia"/>
          <w:sz w:val="22"/>
          <w:szCs w:val="22"/>
          <w:lang w:val="en-US" w:eastAsia="ja-JP"/>
        </w:rPr>
        <w:t>）层消息和字头字段；</w:t>
      </w:r>
    </w:p>
    <w:p w:rsidR="00F32463" w:rsidRPr="009F0A5E" w:rsidRDefault="00DD529F" w:rsidP="00BA7FA8">
      <w:pPr>
        <w:tabs>
          <w:tab w:val="clear" w:pos="794"/>
          <w:tab w:val="left" w:pos="540"/>
        </w:tabs>
        <w:ind w:firstLineChars="200" w:firstLine="440"/>
        <w:rPr>
          <w:sz w:val="22"/>
          <w:szCs w:val="22"/>
          <w:lang w:val="en-US" w:eastAsia="zh-CN"/>
        </w:rPr>
      </w:pPr>
      <w:r w:rsidRPr="009F0A5E">
        <w:rPr>
          <w:rFonts w:hint="eastAsia"/>
          <w:sz w:val="22"/>
          <w:szCs w:val="22"/>
          <w:lang w:val="en-US" w:eastAsia="zh-CN"/>
        </w:rPr>
        <w:t>本</w:t>
      </w:r>
      <w:r w:rsidR="009566DA" w:rsidRPr="009F0A5E">
        <w:rPr>
          <w:rFonts w:hint="eastAsia"/>
          <w:sz w:val="22"/>
          <w:szCs w:val="22"/>
          <w:lang w:val="en-US" w:eastAsia="zh-CN"/>
        </w:rPr>
        <w:t>建议书并非旨在确定适合</w:t>
      </w:r>
      <w:r w:rsidR="009566DA" w:rsidRPr="009F0A5E">
        <w:rPr>
          <w:rFonts w:hint="eastAsia"/>
          <w:sz w:val="22"/>
          <w:szCs w:val="22"/>
          <w:lang w:val="en-US" w:eastAsia="zh-CN"/>
        </w:rPr>
        <w:t>BWA</w:t>
      </w:r>
      <w:r w:rsidR="009566DA" w:rsidRPr="009F0A5E">
        <w:rPr>
          <w:rFonts w:hint="eastAsia"/>
          <w:sz w:val="22"/>
          <w:szCs w:val="22"/>
          <w:lang w:val="en-US" w:eastAsia="zh-CN"/>
        </w:rPr>
        <w:t>系统的频</w:t>
      </w:r>
      <w:r w:rsidRPr="009F0A5E">
        <w:rPr>
          <w:rFonts w:hint="eastAsia"/>
          <w:sz w:val="22"/>
          <w:szCs w:val="22"/>
          <w:lang w:val="en-US" w:eastAsia="zh-CN"/>
        </w:rPr>
        <w:t>段</w:t>
      </w:r>
      <w:r w:rsidR="009566DA" w:rsidRPr="009F0A5E">
        <w:rPr>
          <w:rFonts w:hint="eastAsia"/>
          <w:sz w:val="22"/>
          <w:szCs w:val="22"/>
          <w:lang w:val="en-US" w:eastAsia="zh-CN"/>
        </w:rPr>
        <w:t>，亦非解决任何监管问题。</w:t>
      </w:r>
    </w:p>
    <w:p w:rsidR="00F32463" w:rsidRDefault="009566DA" w:rsidP="009F0A5E">
      <w:pPr>
        <w:pStyle w:val="Normalaftertitle"/>
        <w:spacing w:before="480"/>
        <w:rPr>
          <w:lang w:eastAsia="zh-CN"/>
        </w:rPr>
      </w:pPr>
      <w:r w:rsidRPr="009566DA">
        <w:rPr>
          <w:rFonts w:hint="eastAsia"/>
          <w:lang w:eastAsia="zh-CN"/>
        </w:rPr>
        <w:t>国际电联无线电通信大会，</w:t>
      </w:r>
    </w:p>
    <w:p w:rsidR="006260EE" w:rsidRPr="00271F50" w:rsidRDefault="006260EE" w:rsidP="00694639">
      <w:pPr>
        <w:pStyle w:val="Call"/>
        <w:rPr>
          <w:lang w:eastAsia="zh-CN"/>
        </w:rPr>
      </w:pPr>
      <w:r w:rsidRPr="00271F50">
        <w:rPr>
          <w:rFonts w:hint="eastAsia"/>
          <w:lang w:eastAsia="zh-CN"/>
        </w:rPr>
        <w:t>考虑到</w:t>
      </w:r>
    </w:p>
    <w:p w:rsidR="006260EE" w:rsidRPr="00FC38FC" w:rsidRDefault="00FC38FC" w:rsidP="00FC38FC">
      <w:pPr>
        <w:rPr>
          <w:lang w:eastAsia="zh-CN"/>
        </w:rPr>
      </w:pPr>
      <w:r w:rsidRPr="00FC38FC">
        <w:rPr>
          <w:rFonts w:hint="eastAsia"/>
          <w:i/>
          <w:iCs/>
          <w:lang w:eastAsia="zh-CN"/>
        </w:rPr>
        <w:t>a)</w:t>
      </w:r>
      <w:r>
        <w:rPr>
          <w:rFonts w:hint="eastAsia"/>
          <w:lang w:eastAsia="zh-CN"/>
        </w:rPr>
        <w:tab/>
      </w:r>
      <w:r w:rsidR="006260EE" w:rsidRPr="00FC38FC">
        <w:rPr>
          <w:rFonts w:hint="eastAsia"/>
          <w:lang w:eastAsia="zh-CN"/>
        </w:rPr>
        <w:t>确定固定业务中的宽带无线接入（</w:t>
      </w:r>
      <w:r w:rsidR="006260EE" w:rsidRPr="00FC38FC">
        <w:rPr>
          <w:rFonts w:hint="eastAsia"/>
          <w:lang w:eastAsia="zh-CN"/>
        </w:rPr>
        <w:t>BWA</w:t>
      </w:r>
      <w:r w:rsidR="006260EE" w:rsidRPr="00FC38FC">
        <w:rPr>
          <w:rFonts w:hint="eastAsia"/>
          <w:lang w:eastAsia="zh-CN"/>
        </w:rPr>
        <w:t>）提出了专门的国际使用标准是有益的；</w:t>
      </w:r>
    </w:p>
    <w:p w:rsidR="006260EE" w:rsidRPr="00FC38FC" w:rsidRDefault="00FC38FC" w:rsidP="00FC38FC">
      <w:pPr>
        <w:rPr>
          <w:lang w:eastAsia="zh-CN"/>
        </w:rPr>
      </w:pPr>
      <w:r>
        <w:rPr>
          <w:i/>
          <w:iCs/>
          <w:lang w:eastAsia="zh-CN"/>
        </w:rPr>
        <w:t>b</w:t>
      </w:r>
      <w:r w:rsidRPr="00FC38FC">
        <w:rPr>
          <w:rFonts w:hint="eastAsia"/>
          <w:i/>
          <w:iCs/>
          <w:lang w:eastAsia="zh-CN"/>
        </w:rPr>
        <w:t>)</w:t>
      </w:r>
      <w:r>
        <w:rPr>
          <w:rFonts w:hint="eastAsia"/>
          <w:lang w:eastAsia="zh-CN"/>
        </w:rPr>
        <w:tab/>
      </w:r>
      <w:r w:rsidR="006260EE" w:rsidRPr="00FC38FC">
        <w:rPr>
          <w:rFonts w:hint="eastAsia"/>
          <w:lang w:eastAsia="zh-CN"/>
        </w:rPr>
        <w:t>固定业务中的</w:t>
      </w:r>
      <w:r w:rsidR="006260EE" w:rsidRPr="00FC38FC">
        <w:rPr>
          <w:rFonts w:hint="eastAsia"/>
          <w:lang w:eastAsia="zh-CN"/>
        </w:rPr>
        <w:t>BWA</w:t>
      </w:r>
      <w:r w:rsidR="006260EE" w:rsidRPr="00FC38FC">
        <w:rPr>
          <w:rFonts w:hint="eastAsia"/>
          <w:lang w:eastAsia="zh-CN"/>
        </w:rPr>
        <w:t>系统标准是在广泛国际参与的情况下由标准化组织制定</w:t>
      </w:r>
      <w:r w:rsidR="00762D9A" w:rsidRPr="00FC38FC">
        <w:rPr>
          <w:rFonts w:hint="eastAsia"/>
          <w:lang w:eastAsia="zh-CN"/>
        </w:rPr>
        <w:t>；</w:t>
      </w:r>
    </w:p>
    <w:p w:rsidR="006260EE" w:rsidRPr="00FC38FC" w:rsidRDefault="00FC38FC" w:rsidP="00FC38FC">
      <w:pPr>
        <w:rPr>
          <w:lang w:eastAsia="zh-CN"/>
        </w:rPr>
      </w:pPr>
      <w:r>
        <w:rPr>
          <w:i/>
          <w:iCs/>
          <w:lang w:eastAsia="zh-CN"/>
        </w:rPr>
        <w:t>c</w:t>
      </w:r>
      <w:r w:rsidRPr="00FC38FC">
        <w:rPr>
          <w:rFonts w:hint="eastAsia"/>
          <w:i/>
          <w:iCs/>
          <w:lang w:eastAsia="zh-CN"/>
        </w:rPr>
        <w:t>)</w:t>
      </w:r>
      <w:r>
        <w:rPr>
          <w:rFonts w:hint="eastAsia"/>
          <w:lang w:eastAsia="zh-CN"/>
        </w:rPr>
        <w:tab/>
      </w:r>
      <w:r w:rsidR="00762D9A" w:rsidRPr="00FC38FC">
        <w:rPr>
          <w:rFonts w:hint="eastAsia"/>
          <w:lang w:eastAsia="zh-CN"/>
        </w:rPr>
        <w:t>用于移动业务系统的标准可用来提供固定</w:t>
      </w:r>
      <w:r w:rsidR="00762D9A" w:rsidRPr="00FC38FC">
        <w:rPr>
          <w:rFonts w:hint="eastAsia"/>
          <w:lang w:eastAsia="zh-CN"/>
        </w:rPr>
        <w:t>BWA</w:t>
      </w:r>
      <w:r w:rsidR="00762D9A" w:rsidRPr="00FC38FC">
        <w:rPr>
          <w:rFonts w:hint="eastAsia"/>
          <w:lang w:eastAsia="zh-CN"/>
        </w:rPr>
        <w:t>；</w:t>
      </w:r>
    </w:p>
    <w:p w:rsidR="00762D9A" w:rsidRPr="00FC38FC" w:rsidRDefault="00FC38FC" w:rsidP="00FC38FC">
      <w:pPr>
        <w:rPr>
          <w:lang w:eastAsia="zh-CN"/>
        </w:rPr>
      </w:pPr>
      <w:r>
        <w:rPr>
          <w:i/>
          <w:iCs/>
          <w:lang w:eastAsia="zh-CN"/>
        </w:rPr>
        <w:t>d</w:t>
      </w:r>
      <w:r w:rsidRPr="00FC38FC">
        <w:rPr>
          <w:rFonts w:hint="eastAsia"/>
          <w:i/>
          <w:iCs/>
          <w:lang w:eastAsia="zh-CN"/>
        </w:rPr>
        <w:t>)</w:t>
      </w:r>
      <w:r>
        <w:rPr>
          <w:rFonts w:hint="eastAsia"/>
          <w:lang w:eastAsia="zh-CN"/>
        </w:rPr>
        <w:tab/>
      </w:r>
      <w:r w:rsidR="00762D9A" w:rsidRPr="00FC38FC">
        <w:rPr>
          <w:rFonts w:hint="eastAsia"/>
          <w:lang w:eastAsia="zh-CN"/>
        </w:rPr>
        <w:t>BWA</w:t>
      </w:r>
      <w:r w:rsidR="00762D9A" w:rsidRPr="00FC38FC">
        <w:rPr>
          <w:rFonts w:hint="eastAsia"/>
          <w:lang w:eastAsia="zh-CN"/>
        </w:rPr>
        <w:t>标准支持城市、郊区和农村地区的话音和电视会议等种类繁多的固定和游牧式宽带应用，</w:t>
      </w:r>
    </w:p>
    <w:p w:rsidR="00762D9A" w:rsidRPr="00271F50" w:rsidRDefault="00762D9A" w:rsidP="00694639">
      <w:pPr>
        <w:pStyle w:val="Call"/>
        <w:rPr>
          <w:lang w:val="en-US" w:eastAsia="zh-CN"/>
        </w:rPr>
      </w:pPr>
      <w:r w:rsidRPr="00271F50">
        <w:rPr>
          <w:rFonts w:hint="eastAsia"/>
          <w:lang w:val="en-US" w:eastAsia="zh-CN"/>
        </w:rPr>
        <w:t>认识到</w:t>
      </w:r>
    </w:p>
    <w:p w:rsidR="00F32463" w:rsidRPr="009566DA" w:rsidRDefault="00F32463" w:rsidP="009674D9">
      <w:pPr>
        <w:rPr>
          <w:lang w:val="en-US" w:eastAsia="zh-CN"/>
        </w:rPr>
      </w:pPr>
      <w:r w:rsidRPr="00FC38FC">
        <w:rPr>
          <w:i/>
          <w:iCs/>
          <w:lang w:val="en-US" w:eastAsia="zh-CN"/>
        </w:rPr>
        <w:t>a)</w:t>
      </w:r>
      <w:r w:rsidRPr="00F32463">
        <w:rPr>
          <w:lang w:val="en-US" w:eastAsia="zh-CN"/>
        </w:rPr>
        <w:tab/>
      </w:r>
      <w:r w:rsidR="009566DA" w:rsidRPr="009566DA">
        <w:rPr>
          <w:rFonts w:hint="eastAsia"/>
          <w:lang w:val="en-US" w:eastAsia="zh-CN"/>
        </w:rPr>
        <w:t>ITU-R F.1499</w:t>
      </w:r>
      <w:r w:rsidR="009566DA" w:rsidRPr="009566DA">
        <w:rPr>
          <w:rFonts w:hint="eastAsia"/>
          <w:lang w:val="en-US" w:eastAsia="zh-CN"/>
        </w:rPr>
        <w:t>建议书对基于有线调制解调</w:t>
      </w:r>
      <w:r w:rsidR="0088214E">
        <w:rPr>
          <w:rFonts w:hint="eastAsia"/>
          <w:lang w:val="en-US" w:eastAsia="zh-CN"/>
        </w:rPr>
        <w:t>器</w:t>
      </w:r>
      <w:r w:rsidR="009566DA" w:rsidRPr="009566DA">
        <w:rPr>
          <w:rFonts w:hint="eastAsia"/>
          <w:lang w:val="en-US" w:eastAsia="zh-CN"/>
        </w:rPr>
        <w:t>标准的、固定宽带无线接入（</w:t>
      </w:r>
      <w:r w:rsidR="009566DA" w:rsidRPr="009566DA">
        <w:rPr>
          <w:rFonts w:hint="eastAsia"/>
          <w:lang w:val="en-US" w:eastAsia="zh-CN"/>
        </w:rPr>
        <w:t>BWA</w:t>
      </w:r>
      <w:r w:rsidR="009566DA" w:rsidRPr="009566DA">
        <w:rPr>
          <w:rFonts w:hint="eastAsia"/>
          <w:lang w:val="en-US" w:eastAsia="zh-CN"/>
        </w:rPr>
        <w:t>）</w:t>
      </w:r>
      <w:r w:rsidR="0088214E">
        <w:rPr>
          <w:rFonts w:hint="eastAsia"/>
          <w:lang w:val="en-US" w:eastAsia="zh-CN"/>
        </w:rPr>
        <w:t>的</w:t>
      </w:r>
      <w:r w:rsidR="009566DA" w:rsidRPr="009566DA">
        <w:rPr>
          <w:rFonts w:hint="eastAsia"/>
          <w:lang w:val="en-US" w:eastAsia="zh-CN"/>
        </w:rPr>
        <w:t>无线</w:t>
      </w:r>
      <w:r w:rsidR="0088214E">
        <w:rPr>
          <w:rFonts w:hint="eastAsia"/>
          <w:lang w:val="en-US" w:eastAsia="zh-CN"/>
        </w:rPr>
        <w:t>电</w:t>
      </w:r>
      <w:r w:rsidR="009566DA" w:rsidRPr="009566DA">
        <w:rPr>
          <w:rFonts w:hint="eastAsia"/>
          <w:lang w:val="en-US" w:eastAsia="zh-CN"/>
        </w:rPr>
        <w:t>传输系统进行了规范；</w:t>
      </w:r>
    </w:p>
    <w:p w:rsidR="00F32463" w:rsidRPr="009566DA" w:rsidRDefault="00F32463" w:rsidP="009674D9">
      <w:pPr>
        <w:rPr>
          <w:lang w:val="en-US" w:eastAsia="zh-CN"/>
        </w:rPr>
      </w:pPr>
      <w:r w:rsidRPr="00FC38FC">
        <w:rPr>
          <w:i/>
          <w:iCs/>
          <w:lang w:val="en-US" w:eastAsia="zh-CN"/>
        </w:rPr>
        <w:t>b)</w:t>
      </w:r>
      <w:r w:rsidRPr="00F32463">
        <w:rPr>
          <w:lang w:val="en-US" w:eastAsia="zh-CN"/>
        </w:rPr>
        <w:tab/>
      </w:r>
      <w:r w:rsidR="009566DA" w:rsidRPr="009566DA">
        <w:rPr>
          <w:rFonts w:hint="eastAsia"/>
          <w:lang w:val="en-US" w:eastAsia="zh-CN"/>
        </w:rPr>
        <w:t>《固定无线接入手册》（涉及陆地移动业务的第</w:t>
      </w:r>
      <w:r w:rsidR="009566DA" w:rsidRPr="009566DA">
        <w:rPr>
          <w:rFonts w:hint="eastAsia"/>
          <w:lang w:val="en-US" w:eastAsia="zh-CN"/>
        </w:rPr>
        <w:t>1</w:t>
      </w:r>
      <w:r w:rsidR="00344604">
        <w:rPr>
          <w:rFonts w:hint="eastAsia"/>
          <w:lang w:val="en-US" w:eastAsia="zh-CN"/>
        </w:rPr>
        <w:t>卷（包括无线接入））亦包括</w:t>
      </w:r>
      <w:r w:rsidR="009566DA" w:rsidRPr="009566DA">
        <w:rPr>
          <w:rFonts w:hint="eastAsia"/>
          <w:lang w:val="en-US" w:eastAsia="zh-CN"/>
        </w:rPr>
        <w:t>一系列针对固定</w:t>
      </w:r>
      <w:r w:rsidR="009566DA" w:rsidRPr="009566DA">
        <w:rPr>
          <w:rFonts w:hint="eastAsia"/>
          <w:lang w:val="en-US" w:eastAsia="zh-CN"/>
        </w:rPr>
        <w:t>BWA</w:t>
      </w:r>
      <w:r w:rsidR="009566DA" w:rsidRPr="009566DA">
        <w:rPr>
          <w:rFonts w:hint="eastAsia"/>
          <w:lang w:val="en-US" w:eastAsia="zh-CN"/>
        </w:rPr>
        <w:t>的专用解决方案；</w:t>
      </w:r>
    </w:p>
    <w:p w:rsidR="00F32463" w:rsidRPr="009566DA" w:rsidRDefault="00F32463" w:rsidP="009674D9">
      <w:pPr>
        <w:rPr>
          <w:lang w:val="en-US" w:eastAsia="zh-CN"/>
        </w:rPr>
      </w:pPr>
      <w:r w:rsidRPr="00FC38FC">
        <w:rPr>
          <w:i/>
          <w:iCs/>
          <w:lang w:val="en-US" w:eastAsia="zh-CN"/>
        </w:rPr>
        <w:t>c)</w:t>
      </w:r>
      <w:r w:rsidRPr="00F32463">
        <w:rPr>
          <w:lang w:val="en-US" w:eastAsia="zh-CN"/>
        </w:rPr>
        <w:tab/>
      </w:r>
      <w:r w:rsidR="009566DA" w:rsidRPr="009566DA">
        <w:rPr>
          <w:rFonts w:hint="eastAsia"/>
          <w:lang w:val="en-US" w:eastAsia="zh-CN"/>
        </w:rPr>
        <w:t>ITU-R F.1401</w:t>
      </w:r>
      <w:r w:rsidR="009566DA" w:rsidRPr="009566DA">
        <w:rPr>
          <w:rFonts w:hint="eastAsia"/>
          <w:lang w:val="en-US" w:eastAsia="zh-CN"/>
        </w:rPr>
        <w:t>建议书，就</w:t>
      </w:r>
      <w:r w:rsidR="00344604">
        <w:rPr>
          <w:rFonts w:hint="eastAsia"/>
          <w:lang w:val="en-US" w:eastAsia="zh-CN"/>
        </w:rPr>
        <w:t>确定</w:t>
      </w:r>
      <w:r w:rsidR="009566DA" w:rsidRPr="009566DA">
        <w:rPr>
          <w:rFonts w:hint="eastAsia"/>
          <w:lang w:val="en-US" w:eastAsia="zh-CN"/>
        </w:rPr>
        <w:t>可用于固定无线接入及相关</w:t>
      </w:r>
      <w:r w:rsidR="00344604">
        <w:rPr>
          <w:rFonts w:hint="eastAsia"/>
          <w:lang w:val="en-US" w:eastAsia="zh-CN"/>
        </w:rPr>
        <w:t>共用</w:t>
      </w:r>
      <w:r w:rsidR="009566DA" w:rsidRPr="009566DA">
        <w:rPr>
          <w:rFonts w:hint="eastAsia"/>
          <w:lang w:val="en-US" w:eastAsia="zh-CN"/>
        </w:rPr>
        <w:t>研究的频段提出了一些考虑；</w:t>
      </w:r>
    </w:p>
    <w:p w:rsidR="00F32463" w:rsidRPr="009566DA" w:rsidRDefault="00F32463" w:rsidP="009674D9">
      <w:pPr>
        <w:rPr>
          <w:lang w:val="en-US" w:eastAsia="zh-CN"/>
        </w:rPr>
      </w:pPr>
      <w:r w:rsidRPr="00FC38FC">
        <w:rPr>
          <w:i/>
          <w:iCs/>
          <w:lang w:val="en-US" w:eastAsia="zh-CN"/>
        </w:rPr>
        <w:t>d)</w:t>
      </w:r>
      <w:r w:rsidRPr="00F32463">
        <w:rPr>
          <w:lang w:val="en-US" w:eastAsia="zh-CN"/>
        </w:rPr>
        <w:tab/>
      </w:r>
      <w:r w:rsidR="009566DA" w:rsidRPr="009566DA">
        <w:rPr>
          <w:rFonts w:hint="eastAsia"/>
          <w:lang w:val="en-US" w:eastAsia="zh-CN"/>
        </w:rPr>
        <w:t>ITU-R M.1450</w:t>
      </w:r>
      <w:r w:rsidR="009566DA" w:rsidRPr="009566DA">
        <w:rPr>
          <w:rFonts w:hint="eastAsia"/>
          <w:lang w:val="en-US" w:eastAsia="zh-CN"/>
        </w:rPr>
        <w:t>建议书推荐了一批宽带无线局域网标准；</w:t>
      </w:r>
    </w:p>
    <w:p w:rsidR="00762D9A" w:rsidRDefault="00F32463" w:rsidP="009674D9">
      <w:pPr>
        <w:rPr>
          <w:lang w:val="en-US" w:eastAsia="zh-CN"/>
        </w:rPr>
      </w:pPr>
      <w:r w:rsidRPr="00FC38FC">
        <w:rPr>
          <w:i/>
          <w:iCs/>
          <w:lang w:val="en-US" w:eastAsia="zh-CN"/>
        </w:rPr>
        <w:t>e)</w:t>
      </w:r>
      <w:r w:rsidRPr="00F32463">
        <w:rPr>
          <w:lang w:val="en-US" w:eastAsia="zh-CN"/>
        </w:rPr>
        <w:tab/>
      </w:r>
      <w:r w:rsidR="009566DA" w:rsidRPr="009566DA">
        <w:rPr>
          <w:rFonts w:hint="eastAsia"/>
          <w:lang w:val="en-US" w:eastAsia="zh-CN"/>
        </w:rPr>
        <w:t>ITU-R M.1457</w:t>
      </w:r>
      <w:r w:rsidR="009566DA" w:rsidRPr="009566DA">
        <w:rPr>
          <w:rFonts w:hint="eastAsia"/>
          <w:lang w:val="en-US" w:eastAsia="zh-CN"/>
        </w:rPr>
        <w:t>建议书推荐了一些</w:t>
      </w:r>
      <w:r w:rsidR="009566DA" w:rsidRPr="009566DA">
        <w:rPr>
          <w:rFonts w:hint="eastAsia"/>
          <w:lang w:val="en-US" w:eastAsia="zh-CN"/>
        </w:rPr>
        <w:t>IMT-2000</w:t>
      </w:r>
      <w:r w:rsidR="00344604">
        <w:rPr>
          <w:rFonts w:hint="eastAsia"/>
          <w:lang w:val="en-US" w:eastAsia="zh-CN"/>
        </w:rPr>
        <w:t>的</w:t>
      </w:r>
      <w:r w:rsidR="00762D9A">
        <w:rPr>
          <w:rFonts w:hint="eastAsia"/>
          <w:lang w:val="en-US" w:eastAsia="zh-CN"/>
        </w:rPr>
        <w:t>地面</w:t>
      </w:r>
      <w:r w:rsidR="009566DA" w:rsidRPr="009566DA">
        <w:rPr>
          <w:rFonts w:hint="eastAsia"/>
          <w:lang w:val="en-US" w:eastAsia="zh-CN"/>
        </w:rPr>
        <w:t>无线</w:t>
      </w:r>
      <w:r w:rsidR="00344604">
        <w:rPr>
          <w:rFonts w:hint="eastAsia"/>
          <w:lang w:val="en-US" w:eastAsia="zh-CN"/>
        </w:rPr>
        <w:t>电</w:t>
      </w:r>
      <w:r w:rsidR="009566DA" w:rsidRPr="009566DA">
        <w:rPr>
          <w:rFonts w:hint="eastAsia"/>
          <w:lang w:val="en-US" w:eastAsia="zh-CN"/>
        </w:rPr>
        <w:t>接口标准，其中有些亦可用于提供固定</w:t>
      </w:r>
      <w:r w:rsidR="009566DA" w:rsidRPr="009566DA">
        <w:rPr>
          <w:rFonts w:hint="eastAsia"/>
          <w:lang w:val="en-US" w:eastAsia="zh-CN"/>
        </w:rPr>
        <w:t>BWA</w:t>
      </w:r>
      <w:r w:rsidR="009566DA" w:rsidRPr="009566DA">
        <w:rPr>
          <w:rFonts w:hint="eastAsia"/>
          <w:lang w:val="en-US" w:eastAsia="zh-CN"/>
        </w:rPr>
        <w:t>，</w:t>
      </w:r>
    </w:p>
    <w:p w:rsidR="00F32463" w:rsidRPr="009566DA" w:rsidRDefault="009F0A5E" w:rsidP="00C0521F">
      <w:pPr>
        <w:rPr>
          <w:lang w:val="en-US" w:eastAsia="zh-CN"/>
        </w:rPr>
      </w:pPr>
      <w:r>
        <w:rPr>
          <w:i/>
          <w:iCs/>
          <w:lang w:val="en-US" w:eastAsia="zh-CN"/>
        </w:rPr>
        <w:br w:type="page"/>
      </w:r>
      <w:r w:rsidR="00762D9A" w:rsidRPr="00FC38FC">
        <w:rPr>
          <w:rFonts w:hint="eastAsia"/>
          <w:i/>
          <w:iCs/>
          <w:lang w:val="en-US" w:eastAsia="zh-CN"/>
        </w:rPr>
        <w:t>f)</w:t>
      </w:r>
      <w:r w:rsidR="00762D9A">
        <w:rPr>
          <w:rFonts w:hint="eastAsia"/>
          <w:lang w:val="en-US" w:eastAsia="zh-CN"/>
        </w:rPr>
        <w:tab/>
      </w:r>
      <w:r w:rsidR="00B93915">
        <w:rPr>
          <w:rFonts w:hint="eastAsia"/>
          <w:lang w:val="en-US" w:eastAsia="zh-CN"/>
        </w:rPr>
        <w:t>ITU-R M.1801</w:t>
      </w:r>
      <w:r w:rsidR="00C0521F">
        <w:rPr>
          <w:rFonts w:hint="eastAsia"/>
          <w:lang w:val="en-US" w:eastAsia="zh-CN"/>
        </w:rPr>
        <w:t>建议书，</w:t>
      </w:r>
      <w:r w:rsidR="00B93915">
        <w:rPr>
          <w:rFonts w:hint="eastAsia"/>
          <w:lang w:val="en-US" w:eastAsia="zh-CN"/>
        </w:rPr>
        <w:t>6 GHz</w:t>
      </w:r>
      <w:r w:rsidR="00B93915" w:rsidRPr="009566DA">
        <w:rPr>
          <w:rFonts w:hint="eastAsia"/>
          <w:lang w:val="en-US" w:eastAsia="zh-CN"/>
        </w:rPr>
        <w:t>频段以下</w:t>
      </w:r>
      <w:r w:rsidR="00B93915">
        <w:rPr>
          <w:rFonts w:hint="eastAsia"/>
          <w:lang w:val="en-US" w:eastAsia="zh-CN"/>
        </w:rPr>
        <w:t>移动业务中运行的移动和游牧式应用等</w:t>
      </w:r>
      <w:r w:rsidR="00B93915">
        <w:rPr>
          <w:rFonts w:hint="eastAsia"/>
          <w:lang w:val="en-US" w:eastAsia="zh-CN"/>
        </w:rPr>
        <w:t>BWA</w:t>
      </w:r>
      <w:r w:rsidR="00B93915">
        <w:rPr>
          <w:rFonts w:hint="eastAsia"/>
          <w:lang w:val="en-US" w:eastAsia="zh-CN"/>
        </w:rPr>
        <w:t>系统的一些</w:t>
      </w:r>
      <w:r w:rsidR="009566DA" w:rsidRPr="009566DA">
        <w:rPr>
          <w:rFonts w:hint="eastAsia"/>
          <w:lang w:val="en-US" w:eastAsia="zh-CN"/>
        </w:rPr>
        <w:t>无线</w:t>
      </w:r>
      <w:r w:rsidR="00344604">
        <w:rPr>
          <w:rFonts w:hint="eastAsia"/>
          <w:lang w:val="en-US" w:eastAsia="zh-CN"/>
        </w:rPr>
        <w:t>电</w:t>
      </w:r>
      <w:r w:rsidR="009566DA" w:rsidRPr="009566DA">
        <w:rPr>
          <w:rFonts w:hint="eastAsia"/>
          <w:lang w:val="en-US" w:eastAsia="zh-CN"/>
        </w:rPr>
        <w:t>接口标准</w:t>
      </w:r>
      <w:r w:rsidR="00B93915">
        <w:rPr>
          <w:rFonts w:hint="eastAsia"/>
          <w:lang w:val="en-US" w:eastAsia="zh-CN"/>
        </w:rPr>
        <w:t>也</w:t>
      </w:r>
      <w:r w:rsidR="009566DA" w:rsidRPr="009566DA">
        <w:rPr>
          <w:rFonts w:hint="eastAsia"/>
          <w:lang w:val="en-US" w:eastAsia="zh-CN"/>
        </w:rPr>
        <w:t>可用于</w:t>
      </w:r>
      <w:r w:rsidR="00B93915">
        <w:rPr>
          <w:rFonts w:hint="eastAsia"/>
          <w:lang w:val="en-US" w:eastAsia="zh-CN"/>
        </w:rPr>
        <w:t>提供固定</w:t>
      </w:r>
      <w:r w:rsidR="009566DA" w:rsidRPr="009566DA">
        <w:rPr>
          <w:rFonts w:hint="eastAsia"/>
          <w:lang w:val="en-US" w:eastAsia="zh-CN"/>
        </w:rPr>
        <w:t>BWA</w:t>
      </w:r>
      <w:r w:rsidR="009566DA" w:rsidRPr="009566DA">
        <w:rPr>
          <w:rFonts w:hint="eastAsia"/>
          <w:lang w:val="en-US" w:eastAsia="zh-CN"/>
        </w:rPr>
        <w:t>。</w:t>
      </w:r>
    </w:p>
    <w:p w:rsidR="0054294B" w:rsidRPr="00722584" w:rsidRDefault="00B93915" w:rsidP="002F744E">
      <w:pPr>
        <w:rPr>
          <w:color w:val="000000"/>
          <w:lang w:val="en-US" w:eastAsia="zh-CN"/>
        </w:rPr>
      </w:pPr>
      <w:r w:rsidRPr="00722584">
        <w:rPr>
          <w:rFonts w:hint="eastAsia"/>
          <w:i/>
          <w:color w:val="000000"/>
          <w:lang w:val="en-US" w:eastAsia="zh-CN"/>
        </w:rPr>
        <w:t>g)</w:t>
      </w:r>
      <w:r w:rsidRPr="00722584">
        <w:rPr>
          <w:rFonts w:hint="eastAsia"/>
          <w:iCs/>
          <w:color w:val="000000"/>
          <w:lang w:val="en-US" w:eastAsia="zh-CN"/>
        </w:rPr>
        <w:tab/>
      </w:r>
      <w:r w:rsidR="002F744E" w:rsidRPr="00722584">
        <w:rPr>
          <w:rFonts w:hint="eastAsia"/>
          <w:color w:val="000000"/>
          <w:lang w:val="en-US" w:eastAsia="zh-CN"/>
        </w:rPr>
        <w:t>ITU-R M.2003</w:t>
      </w:r>
      <w:r w:rsidR="002F744E" w:rsidRPr="00722584">
        <w:rPr>
          <w:rFonts w:hint="eastAsia"/>
          <w:color w:val="000000"/>
          <w:lang w:val="en-US" w:eastAsia="zh-CN"/>
        </w:rPr>
        <w:t>建议书推荐</w:t>
      </w:r>
      <w:r w:rsidR="002F744E" w:rsidRPr="00722584">
        <w:rPr>
          <w:rFonts w:hint="eastAsia"/>
          <w:color w:val="000000"/>
          <w:lang w:val="en-US" w:eastAsia="zh-CN"/>
        </w:rPr>
        <w:t>60</w:t>
      </w:r>
      <w:r w:rsidR="00CE40EA" w:rsidRPr="00722584">
        <w:rPr>
          <w:color w:val="000000"/>
          <w:lang w:val="en-US" w:eastAsia="zh-CN"/>
        </w:rPr>
        <w:t xml:space="preserve"> </w:t>
      </w:r>
      <w:r w:rsidR="002F744E" w:rsidRPr="00722584">
        <w:rPr>
          <w:rFonts w:hint="eastAsia"/>
          <w:color w:val="000000"/>
          <w:lang w:val="en-US" w:eastAsia="zh-CN"/>
        </w:rPr>
        <w:t>GHz</w:t>
      </w:r>
      <w:r w:rsidR="002F744E" w:rsidRPr="00722584">
        <w:rPr>
          <w:rFonts w:hint="eastAsia"/>
          <w:color w:val="000000"/>
          <w:lang w:val="en-US" w:eastAsia="zh-CN"/>
        </w:rPr>
        <w:t>附近频率中的多千兆比无线系统，其中一些也可用于提供固定</w:t>
      </w:r>
      <w:r w:rsidR="002F744E" w:rsidRPr="00722584">
        <w:rPr>
          <w:rFonts w:hint="eastAsia"/>
          <w:color w:val="000000"/>
          <w:lang w:val="en-US" w:eastAsia="zh-CN"/>
        </w:rPr>
        <w:t>BWA</w:t>
      </w:r>
      <w:r w:rsidR="002F744E" w:rsidRPr="00722584">
        <w:rPr>
          <w:rFonts w:hint="eastAsia"/>
          <w:color w:val="000000"/>
          <w:lang w:val="en-US" w:eastAsia="zh-CN"/>
        </w:rPr>
        <w:t>；</w:t>
      </w:r>
    </w:p>
    <w:p w:rsidR="0054294B" w:rsidRDefault="0054294B" w:rsidP="009674D9">
      <w:pPr>
        <w:rPr>
          <w:lang w:val="en-US" w:eastAsia="zh-CN"/>
        </w:rPr>
      </w:pPr>
      <w:r w:rsidRPr="00FC38FC">
        <w:rPr>
          <w:rFonts w:hint="eastAsia"/>
          <w:i/>
          <w:iCs/>
          <w:lang w:val="en-US" w:eastAsia="zh-CN"/>
        </w:rPr>
        <w:t>h)</w:t>
      </w:r>
      <w:r>
        <w:rPr>
          <w:rFonts w:hint="eastAsia"/>
          <w:lang w:val="en-US" w:eastAsia="zh-CN"/>
        </w:rPr>
        <w:tab/>
        <w:t>ITU-R M.2012</w:t>
      </w:r>
      <w:r>
        <w:rPr>
          <w:rFonts w:hint="eastAsia"/>
          <w:lang w:val="en-US" w:eastAsia="zh-CN"/>
        </w:rPr>
        <w:t>号建议书建议高级国际移动通信（</w:t>
      </w:r>
      <w:r>
        <w:rPr>
          <w:rFonts w:hint="eastAsia"/>
          <w:lang w:val="en-US" w:eastAsia="zh-CN"/>
        </w:rPr>
        <w:t>IMT-Advanced</w:t>
      </w:r>
      <w:r>
        <w:rPr>
          <w:rFonts w:hint="eastAsia"/>
          <w:lang w:val="en-US" w:eastAsia="zh-CN"/>
        </w:rPr>
        <w:t>）地面无线电接口的详细规范，其中一些也可用来提供固定</w:t>
      </w:r>
      <w:r>
        <w:rPr>
          <w:rFonts w:hint="eastAsia"/>
          <w:lang w:val="en-US" w:eastAsia="zh-CN"/>
        </w:rPr>
        <w:t>BWA</w:t>
      </w:r>
      <w:r>
        <w:rPr>
          <w:rFonts w:hint="eastAsia"/>
          <w:lang w:val="en-US" w:eastAsia="zh-CN"/>
        </w:rPr>
        <w:t>，</w:t>
      </w:r>
    </w:p>
    <w:p w:rsidR="0054294B" w:rsidRPr="00271F50" w:rsidRDefault="0054294B" w:rsidP="00694639">
      <w:pPr>
        <w:pStyle w:val="Call"/>
        <w:rPr>
          <w:lang w:val="en-US" w:eastAsia="zh-CN"/>
        </w:rPr>
      </w:pPr>
      <w:r w:rsidRPr="00271F50">
        <w:rPr>
          <w:rFonts w:hint="eastAsia"/>
          <w:lang w:val="en-US" w:eastAsia="zh-CN"/>
        </w:rPr>
        <w:t>建议</w:t>
      </w:r>
    </w:p>
    <w:p w:rsidR="0054294B" w:rsidRDefault="00694639" w:rsidP="001B4D6C">
      <w:pPr>
        <w:rPr>
          <w:lang w:val="en-US" w:eastAsia="zh-CN"/>
        </w:rPr>
      </w:pPr>
      <w:r>
        <w:rPr>
          <w:rFonts w:hint="eastAsia"/>
          <w:lang w:val="en-US" w:eastAsia="zh-CN"/>
        </w:rPr>
        <w:t>1</w:t>
      </w:r>
      <w:r>
        <w:rPr>
          <w:rFonts w:hint="eastAsia"/>
          <w:lang w:val="en-US" w:eastAsia="zh-CN"/>
        </w:rPr>
        <w:tab/>
      </w:r>
      <w:r w:rsidR="00BB1E15">
        <w:rPr>
          <w:rFonts w:hint="eastAsia"/>
          <w:lang w:val="en-US" w:eastAsia="zh-CN"/>
        </w:rPr>
        <w:t>应采用</w:t>
      </w:r>
      <w:r w:rsidR="00BB1E15" w:rsidRPr="001B4D6C">
        <w:rPr>
          <w:rFonts w:ascii="STKaiti" w:eastAsia="STKaiti" w:hAnsi="STKaiti" w:hint="eastAsia"/>
          <w:lang w:val="en-US" w:eastAsia="zh-CN"/>
        </w:rPr>
        <w:t>认识到</w:t>
      </w:r>
      <w:r w:rsidR="001B4D6C">
        <w:rPr>
          <w:i/>
          <w:iCs/>
          <w:lang w:eastAsia="zh-CN"/>
        </w:rPr>
        <w:t>d</w:t>
      </w:r>
      <w:r w:rsidR="001B4D6C" w:rsidRPr="00FC38FC">
        <w:rPr>
          <w:rFonts w:hint="eastAsia"/>
          <w:i/>
          <w:iCs/>
          <w:lang w:eastAsia="zh-CN"/>
        </w:rPr>
        <w:t>)</w:t>
      </w:r>
      <w:r w:rsidR="00BB1E15" w:rsidRPr="00271F50">
        <w:rPr>
          <w:rFonts w:ascii="KaiTi" w:eastAsia="KaiTi" w:hAnsi="KaiTi" w:hint="eastAsia"/>
          <w:lang w:val="en-US" w:eastAsia="zh-CN"/>
        </w:rPr>
        <w:t>、</w:t>
      </w:r>
      <w:r w:rsidR="001B4D6C" w:rsidRPr="00FC38FC">
        <w:rPr>
          <w:i/>
          <w:iCs/>
          <w:lang w:val="en-US" w:eastAsia="zh-CN"/>
        </w:rPr>
        <w:t>e)</w:t>
      </w:r>
      <w:r w:rsidR="00BB1E15" w:rsidRPr="00271F50">
        <w:rPr>
          <w:rFonts w:ascii="KaiTi" w:eastAsia="KaiTi" w:hAnsi="KaiTi" w:hint="eastAsia"/>
          <w:lang w:val="en-US" w:eastAsia="zh-CN"/>
        </w:rPr>
        <w:t>、</w:t>
      </w:r>
      <w:r w:rsidR="001B4D6C" w:rsidRPr="00FC38FC">
        <w:rPr>
          <w:rFonts w:hint="eastAsia"/>
          <w:i/>
          <w:iCs/>
          <w:lang w:val="en-US" w:eastAsia="zh-CN"/>
        </w:rPr>
        <w:t>f)</w:t>
      </w:r>
      <w:r w:rsidR="00BB1E15" w:rsidRPr="00271F50">
        <w:rPr>
          <w:rFonts w:ascii="KaiTi" w:eastAsia="KaiTi" w:hAnsi="KaiTi" w:hint="eastAsia"/>
          <w:lang w:val="en-US" w:eastAsia="zh-CN"/>
        </w:rPr>
        <w:t>、</w:t>
      </w:r>
      <w:r w:rsidR="001B4D6C" w:rsidRPr="003D4B1C">
        <w:rPr>
          <w:rFonts w:hint="eastAsia"/>
          <w:i/>
          <w:color w:val="000000"/>
          <w:lang w:val="en-US" w:eastAsia="zh-CN"/>
        </w:rPr>
        <w:t>g)</w:t>
      </w:r>
      <w:r w:rsidR="00BB1E15">
        <w:rPr>
          <w:rFonts w:hint="eastAsia"/>
          <w:lang w:val="en-US" w:eastAsia="zh-CN"/>
        </w:rPr>
        <w:t>和</w:t>
      </w:r>
      <w:r w:rsidR="001B4D6C" w:rsidRPr="00FC38FC">
        <w:rPr>
          <w:rFonts w:hint="eastAsia"/>
          <w:i/>
          <w:iCs/>
          <w:lang w:val="en-US" w:eastAsia="zh-CN"/>
        </w:rPr>
        <w:t>h)</w:t>
      </w:r>
      <w:r w:rsidR="00BB1E15">
        <w:rPr>
          <w:rFonts w:hint="eastAsia"/>
          <w:lang w:val="en-US" w:eastAsia="zh-CN"/>
        </w:rPr>
        <w:t>中的标准，这些标准也可用来提供</w:t>
      </w:r>
      <w:r w:rsidR="00BB1E15">
        <w:rPr>
          <w:rFonts w:hint="eastAsia"/>
          <w:lang w:val="en-US" w:eastAsia="zh-CN"/>
        </w:rPr>
        <w:t>66</w:t>
      </w:r>
      <w:r>
        <w:rPr>
          <w:lang w:val="en-US" w:eastAsia="zh-CN"/>
        </w:rPr>
        <w:t xml:space="preserve"> </w:t>
      </w:r>
      <w:r w:rsidR="00BB1E15">
        <w:rPr>
          <w:rFonts w:hint="eastAsia"/>
          <w:lang w:val="en-US" w:eastAsia="zh-CN"/>
        </w:rPr>
        <w:t>GHz</w:t>
      </w:r>
      <w:r w:rsidR="00BB1E15">
        <w:rPr>
          <w:rFonts w:hint="eastAsia"/>
          <w:lang w:val="en-US" w:eastAsia="zh-CN"/>
        </w:rPr>
        <w:t>以下的固定</w:t>
      </w:r>
      <w:r w:rsidR="00BB1E15">
        <w:rPr>
          <w:rFonts w:hint="eastAsia"/>
          <w:lang w:val="en-US" w:eastAsia="zh-CN"/>
        </w:rPr>
        <w:t>BWA</w:t>
      </w:r>
      <w:r w:rsidR="00BB1E15">
        <w:rPr>
          <w:rFonts w:hint="eastAsia"/>
          <w:lang w:val="en-US" w:eastAsia="zh-CN"/>
        </w:rPr>
        <w:t>操作。</w:t>
      </w:r>
    </w:p>
    <w:p w:rsidR="009F0A5E" w:rsidRDefault="009F0A5E" w:rsidP="001B4D6C">
      <w:pPr>
        <w:rPr>
          <w:lang w:val="en-US" w:eastAsia="zh-CN"/>
        </w:rPr>
      </w:pPr>
    </w:p>
    <w:p w:rsidR="00BB1E15" w:rsidRPr="00271F50" w:rsidRDefault="00BB1E15" w:rsidP="00A45BFD">
      <w:pPr>
        <w:pStyle w:val="Heading1"/>
        <w:rPr>
          <w:lang w:val="en-US" w:eastAsia="zh-CN"/>
        </w:rPr>
      </w:pPr>
      <w:r w:rsidRPr="00271F50">
        <w:rPr>
          <w:rFonts w:hint="eastAsia"/>
          <w:lang w:val="en-US" w:eastAsia="zh-CN"/>
        </w:rPr>
        <w:t>关键词</w:t>
      </w:r>
    </w:p>
    <w:p w:rsidR="00BB1E15" w:rsidRPr="001B4D6C" w:rsidRDefault="00BB1E15" w:rsidP="000F21A1">
      <w:pPr>
        <w:ind w:firstLineChars="200" w:firstLine="480"/>
        <w:rPr>
          <w:lang w:eastAsia="zh-CN"/>
        </w:rPr>
      </w:pPr>
      <w:r w:rsidRPr="001B4D6C">
        <w:rPr>
          <w:rFonts w:hint="eastAsia"/>
          <w:lang w:eastAsia="zh-CN"/>
        </w:rPr>
        <w:t>固定宽带无线接入，宽带无线接入，</w:t>
      </w:r>
      <w:r w:rsidRPr="001B4D6C">
        <w:rPr>
          <w:rFonts w:hint="eastAsia"/>
          <w:lang w:eastAsia="zh-CN"/>
        </w:rPr>
        <w:t>BWA</w:t>
      </w:r>
      <w:r w:rsidRPr="001B4D6C">
        <w:rPr>
          <w:rFonts w:hint="eastAsia"/>
          <w:lang w:eastAsia="zh-CN"/>
        </w:rPr>
        <w:t>，无线电接口标准</w:t>
      </w:r>
      <w:r w:rsidR="000F21A1">
        <w:rPr>
          <w:rFonts w:hint="eastAsia"/>
          <w:lang w:eastAsia="zh-CN"/>
        </w:rPr>
        <w:t>。</w:t>
      </w:r>
    </w:p>
    <w:p w:rsidR="00BB1E15" w:rsidRPr="00271F50" w:rsidRDefault="00BB1E15" w:rsidP="009F0A5E">
      <w:pPr>
        <w:pStyle w:val="Reftitle"/>
        <w:rPr>
          <w:lang w:val="en-US" w:eastAsia="zh-CN"/>
        </w:rPr>
      </w:pPr>
      <w:r w:rsidRPr="00271F50">
        <w:rPr>
          <w:rFonts w:hint="eastAsia"/>
          <w:lang w:val="en-US" w:eastAsia="zh-CN"/>
        </w:rPr>
        <w:t>参考</w:t>
      </w:r>
    </w:p>
    <w:p w:rsidR="009F0A5E" w:rsidRDefault="009F0A5E" w:rsidP="000F21A1">
      <w:pPr>
        <w:ind w:firstLineChars="200" w:firstLine="480"/>
        <w:rPr>
          <w:lang w:eastAsia="zh-CN"/>
        </w:rPr>
      </w:pPr>
    </w:p>
    <w:p w:rsidR="00BB1E15" w:rsidRPr="001B4D6C" w:rsidRDefault="00BB1E15" w:rsidP="000F21A1">
      <w:pPr>
        <w:ind w:firstLineChars="200" w:firstLine="480"/>
        <w:rPr>
          <w:lang w:eastAsia="zh-CN"/>
        </w:rPr>
      </w:pPr>
      <w:r w:rsidRPr="001B4D6C">
        <w:rPr>
          <w:rFonts w:hint="eastAsia"/>
          <w:lang w:eastAsia="zh-CN"/>
        </w:rPr>
        <w:t>ITU-R F.1399</w:t>
      </w:r>
      <w:r w:rsidRPr="001B4D6C">
        <w:rPr>
          <w:rFonts w:hint="eastAsia"/>
          <w:lang w:eastAsia="zh-CN"/>
        </w:rPr>
        <w:t>号建议书</w:t>
      </w:r>
      <w:r w:rsidR="001B4D6C">
        <w:rPr>
          <w:rFonts w:hint="eastAsia"/>
          <w:lang w:eastAsia="zh-CN"/>
        </w:rPr>
        <w:t xml:space="preserve"> </w:t>
      </w:r>
      <w:r w:rsidR="001B4D6C">
        <w:rPr>
          <w:lang w:eastAsia="zh-CN"/>
        </w:rPr>
        <w:t xml:space="preserve">– </w:t>
      </w:r>
      <w:r w:rsidRPr="001B4D6C">
        <w:rPr>
          <w:rFonts w:hint="eastAsia"/>
          <w:lang w:eastAsia="zh-CN"/>
        </w:rPr>
        <w:t>无线接入的术语表。</w:t>
      </w:r>
    </w:p>
    <w:p w:rsidR="000F21A1" w:rsidRDefault="000F21A1" w:rsidP="00722584">
      <w:pPr>
        <w:pStyle w:val="Reasons"/>
        <w:rPr>
          <w:lang w:eastAsia="zh-CN"/>
        </w:rPr>
      </w:pPr>
    </w:p>
    <w:p w:rsidR="000F21A1" w:rsidRDefault="000F21A1">
      <w:pPr>
        <w:jc w:val="center"/>
        <w:rPr>
          <w:lang w:eastAsia="zh-CN"/>
        </w:rPr>
      </w:pPr>
      <w:r>
        <w:rPr>
          <w:lang w:eastAsia="zh-CN"/>
        </w:rPr>
        <w:t>______________</w:t>
      </w:r>
    </w:p>
    <w:sectPr w:rsidR="000F21A1" w:rsidSect="00CE40EA">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134" w:left="1134" w:header="720" w:footer="48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B93" w:rsidRDefault="00D31B93">
      <w:r>
        <w:separator/>
      </w:r>
    </w:p>
  </w:endnote>
  <w:endnote w:type="continuationSeparator" w:id="0">
    <w:p w:rsidR="00D31B93" w:rsidRDefault="00D3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027" w:rsidRDefault="000C42E3">
    <w:pPr>
      <w:pStyle w:val="Footer"/>
    </w:pPr>
    <w:r>
      <w:rPr>
        <w:lang w:val="en-US" w:eastAsia="zh-CN"/>
      </w:rPr>
      <w:drawing>
        <wp:anchor distT="0" distB="0" distL="114300" distR="114300" simplePos="0" relativeHeight="251658240" behindDoc="1" locked="0" layoutInCell="1" allowOverlap="1">
          <wp:simplePos x="0" y="0"/>
          <wp:positionH relativeFrom="column">
            <wp:posOffset>-148590</wp:posOffset>
          </wp:positionH>
          <wp:positionV relativeFrom="paragraph">
            <wp:posOffset>-916940</wp:posOffset>
          </wp:positionV>
          <wp:extent cx="1247775" cy="93535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935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4E" w:rsidRPr="009F0A5E" w:rsidRDefault="002F744E" w:rsidP="009F0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4E" w:rsidRPr="009F0A5E" w:rsidRDefault="002F744E" w:rsidP="009F0A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E5" w:rsidRDefault="003C0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B93" w:rsidRDefault="00D31B93">
      <w:r>
        <w:separator/>
      </w:r>
    </w:p>
  </w:footnote>
  <w:footnote w:type="continuationSeparator" w:id="0">
    <w:p w:rsidR="00D31B93" w:rsidRDefault="00D31B93">
      <w:r>
        <w:continuationSeparator/>
      </w:r>
    </w:p>
  </w:footnote>
  <w:footnote w:id="1">
    <w:p w:rsidR="00555599" w:rsidRPr="00271F50" w:rsidRDefault="00555599">
      <w:pPr>
        <w:pStyle w:val="FootnoteText"/>
        <w:rPr>
          <w:lang w:eastAsia="zh-CN"/>
        </w:rPr>
      </w:pPr>
      <w:r>
        <w:rPr>
          <w:rStyle w:val="FootnoteReference"/>
        </w:rPr>
        <w:footnoteRef/>
      </w:r>
      <w:r w:rsidR="00694639">
        <w:rPr>
          <w:lang w:eastAsia="zh-CN"/>
        </w:rPr>
        <w:tab/>
      </w:r>
      <w:r>
        <w:rPr>
          <w:rFonts w:hint="eastAsia"/>
          <w:lang w:eastAsia="zh-CN"/>
        </w:rPr>
        <w:t>ITU-R F.1399</w:t>
      </w:r>
      <w:r>
        <w:rPr>
          <w:rFonts w:hint="eastAsia"/>
          <w:lang w:eastAsia="zh-CN"/>
        </w:rPr>
        <w:t>建议书中定义了“无线接入”和</w:t>
      </w:r>
      <w:r>
        <w:rPr>
          <w:rFonts w:hint="eastAsia"/>
          <w:lang w:eastAsia="zh-CN"/>
        </w:rPr>
        <w:t>BWA</w:t>
      </w:r>
      <w:r>
        <w:rPr>
          <w:rFonts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9A4" w:rsidRDefault="001609A4" w:rsidP="000D603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0F0027">
      <w:rPr>
        <w:rStyle w:val="PageNumber"/>
        <w:b/>
        <w:bCs/>
        <w:noProof/>
        <w:lang w:val="en-US"/>
      </w:rPr>
      <w:t>2</w:t>
    </w:r>
    <w:r>
      <w:rPr>
        <w:rStyle w:val="PageNumber"/>
        <w:b/>
        <w:bCs/>
      </w:rPr>
      <w:fldChar w:fldCharType="end"/>
    </w:r>
    <w:r>
      <w:rPr>
        <w:lang w:val="en-US"/>
      </w:rPr>
      <w:tab/>
    </w:r>
    <w:r w:rsidRPr="008429A7">
      <w:rPr>
        <w:b/>
        <w:bCs/>
      </w:rPr>
      <w:t>ITU-R  S.1844</w:t>
    </w:r>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9A4" w:rsidRDefault="000C42E3" w:rsidP="000D603F">
    <w:pPr>
      <w:pStyle w:val="Header"/>
      <w:jc w:val="left"/>
      <w:rPr>
        <w:lang w:val="en-US" w:eastAsia="zh-CN"/>
      </w:rPr>
    </w:pPr>
    <w:r>
      <w:rPr>
        <w:noProof/>
        <w:lang w:val="en-US" w:eastAsia="zh-CN"/>
      </w:rPr>
      <w:drawing>
        <wp:anchor distT="0" distB="0" distL="114300" distR="114300" simplePos="0" relativeHeight="251657216" behindDoc="1" locked="0" layoutInCell="1" allowOverlap="1">
          <wp:simplePos x="0" y="0"/>
          <wp:positionH relativeFrom="column">
            <wp:posOffset>-685800</wp:posOffset>
          </wp:positionH>
          <wp:positionV relativeFrom="paragraph">
            <wp:posOffset>-354330</wp:posOffset>
          </wp:positionV>
          <wp:extent cx="7559040" cy="10690860"/>
          <wp:effectExtent l="0" t="0" r="3810" b="0"/>
          <wp:wrapNone/>
          <wp:docPr id="7"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9A4">
      <w:rPr>
        <w:rFonts w:hint="eastAsia"/>
        <w:b/>
        <w:bCs/>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EA" w:rsidRPr="009F0A5E" w:rsidRDefault="00CE40EA" w:rsidP="009F0A5E">
    <w:pPr>
      <w:pStyle w:val="Header"/>
      <w:jc w:val="left"/>
      <w:rPr>
        <w:b/>
        <w:bCs/>
        <w:lang w:val="en-US"/>
      </w:rPr>
    </w:pPr>
    <w:r>
      <w:rPr>
        <w:rStyle w:val="PageNumber"/>
        <w:b/>
        <w:bCs/>
      </w:rPr>
      <w:t>2</w:t>
    </w:r>
    <w:r w:rsidRPr="009467B3">
      <w:rPr>
        <w:b/>
        <w:bCs/>
      </w:rPr>
      <w:tab/>
    </w:r>
    <w:r w:rsidR="009F0A5E">
      <w:rPr>
        <w:b/>
        <w:bCs/>
      </w:rPr>
      <w:t xml:space="preserve">ITU-R  F.1763-1 </w:t>
    </w:r>
    <w:r w:rsidR="009F0A5E">
      <w:rPr>
        <w:rFonts w:hint="eastAsia"/>
        <w:b/>
        <w:bCs/>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DE5" w:rsidRDefault="003C0DE5" w:rsidP="009F0A5E">
    <w:pPr>
      <w:pStyle w:val="Header"/>
    </w:pPr>
    <w:r>
      <w:tab/>
    </w:r>
    <w:r w:rsidR="009F0A5E" w:rsidRPr="009F0A5E">
      <w:rPr>
        <w:b/>
        <w:bCs/>
      </w:rPr>
      <w:t xml:space="preserve">ITU-R  F.1763-1 </w:t>
    </w:r>
    <w:r w:rsidR="009F0A5E" w:rsidRPr="009F0A5E">
      <w:rPr>
        <w:rFonts w:hint="eastAsia"/>
        <w:b/>
        <w:bCs/>
      </w:rPr>
      <w:t>建议书</w:t>
    </w:r>
    <w:r>
      <w:tab/>
    </w:r>
    <w:r w:rsidR="00CE40EA">
      <w:rPr>
        <w:rStyle w:val="PageNumber"/>
        <w:b/>
        <w:bCs/>
      </w:rP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0EA" w:rsidRPr="009F0A5E" w:rsidRDefault="00CE40EA" w:rsidP="009F0A5E">
    <w:pPr>
      <w:pStyle w:val="Header"/>
      <w:jc w:val="left"/>
      <w:rPr>
        <w:b/>
        <w:bCs/>
        <w:lang w:val="en-US"/>
      </w:rPr>
    </w:pPr>
    <w:r w:rsidRPr="00CE40EA">
      <w:rPr>
        <w:rStyle w:val="PageNumber"/>
        <w:b/>
        <w:bCs/>
      </w:rPr>
      <w:t>ii</w:t>
    </w:r>
    <w:r>
      <w:rPr>
        <w:lang w:val="en-US"/>
      </w:rPr>
      <w:tab/>
    </w:r>
    <w:bookmarkStart w:id="8" w:name="OLE_LINK3"/>
    <w:bookmarkStart w:id="9" w:name="OLE_LINK4"/>
    <w:bookmarkStart w:id="10" w:name="_Hlk409182426"/>
    <w:r w:rsidR="009F0A5E" w:rsidRPr="009F0A5E">
      <w:rPr>
        <w:b/>
        <w:bCs/>
      </w:rPr>
      <w:t xml:space="preserve">ITU-R  F.1763-1 </w:t>
    </w:r>
    <w:r w:rsidR="009F0A5E" w:rsidRPr="009F0A5E">
      <w:rPr>
        <w:rFonts w:hint="eastAsia"/>
        <w:b/>
        <w:bCs/>
      </w:rPr>
      <w:t>建议书</w:t>
    </w:r>
    <w:bookmarkEnd w:id="8"/>
    <w:bookmarkEnd w:id="9"/>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82EAD"/>
    <w:multiLevelType w:val="hybridMultilevel"/>
    <w:tmpl w:val="BA1EAFDE"/>
    <w:lvl w:ilvl="0" w:tplc="8926D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67B11"/>
    <w:multiLevelType w:val="hybridMultilevel"/>
    <w:tmpl w:val="21A65C86"/>
    <w:lvl w:ilvl="0" w:tplc="5EEAA8B8">
      <w:start w:val="1"/>
      <w:numFmt w:val="lowerLetter"/>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A42681"/>
    <w:multiLevelType w:val="hybridMultilevel"/>
    <w:tmpl w:val="F526460A"/>
    <w:lvl w:ilvl="0" w:tplc="B71882D0">
      <w:start w:val="1"/>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5"/>
    <w:rsid w:val="0003332A"/>
    <w:rsid w:val="00052B6C"/>
    <w:rsid w:val="00075B3F"/>
    <w:rsid w:val="00093694"/>
    <w:rsid w:val="000B23B7"/>
    <w:rsid w:val="000C42E3"/>
    <w:rsid w:val="000D603F"/>
    <w:rsid w:val="000F0027"/>
    <w:rsid w:val="000F21A1"/>
    <w:rsid w:val="000F46E4"/>
    <w:rsid w:val="001608E9"/>
    <w:rsid w:val="001609A4"/>
    <w:rsid w:val="001B3090"/>
    <w:rsid w:val="001B4D6C"/>
    <w:rsid w:val="00271F50"/>
    <w:rsid w:val="00280B0C"/>
    <w:rsid w:val="002F744E"/>
    <w:rsid w:val="00344604"/>
    <w:rsid w:val="0036655A"/>
    <w:rsid w:val="003747EA"/>
    <w:rsid w:val="003C0DE5"/>
    <w:rsid w:val="003D4B1C"/>
    <w:rsid w:val="003F7AE7"/>
    <w:rsid w:val="00413871"/>
    <w:rsid w:val="00441885"/>
    <w:rsid w:val="004A373A"/>
    <w:rsid w:val="00511A37"/>
    <w:rsid w:val="0054294B"/>
    <w:rsid w:val="00555599"/>
    <w:rsid w:val="005B2A7E"/>
    <w:rsid w:val="005F21E9"/>
    <w:rsid w:val="00621F88"/>
    <w:rsid w:val="006260EE"/>
    <w:rsid w:val="00680F32"/>
    <w:rsid w:val="0068729D"/>
    <w:rsid w:val="006916D5"/>
    <w:rsid w:val="00694639"/>
    <w:rsid w:val="006A49D4"/>
    <w:rsid w:val="006A5061"/>
    <w:rsid w:val="006A7C41"/>
    <w:rsid w:val="006B717A"/>
    <w:rsid w:val="0070592D"/>
    <w:rsid w:val="0071240B"/>
    <w:rsid w:val="007201A8"/>
    <w:rsid w:val="00722584"/>
    <w:rsid w:val="00745EDD"/>
    <w:rsid w:val="00762D9A"/>
    <w:rsid w:val="007B1FE9"/>
    <w:rsid w:val="007B48B1"/>
    <w:rsid w:val="007C5EF9"/>
    <w:rsid w:val="0085246A"/>
    <w:rsid w:val="00870C3C"/>
    <w:rsid w:val="0088214E"/>
    <w:rsid w:val="008B036D"/>
    <w:rsid w:val="008E3AA0"/>
    <w:rsid w:val="00935579"/>
    <w:rsid w:val="009566DA"/>
    <w:rsid w:val="009674D9"/>
    <w:rsid w:val="00987CBC"/>
    <w:rsid w:val="009C4F95"/>
    <w:rsid w:val="009F0A5E"/>
    <w:rsid w:val="00A25A26"/>
    <w:rsid w:val="00A45BFD"/>
    <w:rsid w:val="00A62A7B"/>
    <w:rsid w:val="00AD2B15"/>
    <w:rsid w:val="00AE4FB0"/>
    <w:rsid w:val="00AE5816"/>
    <w:rsid w:val="00B93915"/>
    <w:rsid w:val="00B940E0"/>
    <w:rsid w:val="00BA7FA8"/>
    <w:rsid w:val="00BB1E15"/>
    <w:rsid w:val="00C0521F"/>
    <w:rsid w:val="00C13AE6"/>
    <w:rsid w:val="00C61FE9"/>
    <w:rsid w:val="00C95579"/>
    <w:rsid w:val="00CB5ADA"/>
    <w:rsid w:val="00CD50C5"/>
    <w:rsid w:val="00CE40EA"/>
    <w:rsid w:val="00D228D5"/>
    <w:rsid w:val="00D31109"/>
    <w:rsid w:val="00D31B93"/>
    <w:rsid w:val="00D37573"/>
    <w:rsid w:val="00D445DA"/>
    <w:rsid w:val="00D93E31"/>
    <w:rsid w:val="00DD2172"/>
    <w:rsid w:val="00DD529F"/>
    <w:rsid w:val="00DF3A7C"/>
    <w:rsid w:val="00E32D2B"/>
    <w:rsid w:val="00E73690"/>
    <w:rsid w:val="00E77967"/>
    <w:rsid w:val="00ED62CC"/>
    <w:rsid w:val="00F058D9"/>
    <w:rsid w:val="00F32463"/>
    <w:rsid w:val="00F83656"/>
    <w:rsid w:val="00FB3759"/>
    <w:rsid w:val="00FB6613"/>
    <w:rsid w:val="00FC38FC"/>
    <w:rsid w:val="00FF7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99AF371-2FC7-4064-A77B-2A9A4F9A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header odd,header odd1,header odd2,header,h,Header/Footer,Page No"/>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BR"/>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pPr>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694639"/>
    <w:pPr>
      <w:keepNext/>
      <w:keepLines/>
      <w:spacing w:before="160"/>
      <w:ind w:left="794"/>
    </w:pPr>
    <w:rPr>
      <w:rFonts w:eastAsia="STKait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aliases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BR"/>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BR">
    <w:name w:val="Rec_title_BR"/>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character" w:styleId="Hyperlink">
    <w:name w:val="Hyperlink"/>
    <w:rsid w:val="00F32463"/>
    <w:rPr>
      <w:color w:val="0000FF"/>
      <w:u w:val="single"/>
    </w:rPr>
  </w:style>
  <w:style w:type="paragraph" w:customStyle="1" w:styleId="Figure">
    <w:name w:val="Figure"/>
    <w:basedOn w:val="FigureNo"/>
    <w:next w:val="Figuretitle"/>
    <w:pPr>
      <w:spacing w:before="0" w:after="240"/>
    </w:pPr>
  </w:style>
  <w:style w:type="character" w:styleId="FollowedHyperlink">
    <w:name w:val="FollowedHyperlink"/>
    <w:rsid w:val="00621F88"/>
    <w:rPr>
      <w:color w:val="800080"/>
      <w:u w:val="single"/>
    </w:rPr>
  </w:style>
  <w:style w:type="character" w:customStyle="1" w:styleId="HeaderChar">
    <w:name w:val="Header Char"/>
    <w:aliases w:val="encabezado Char,he Char,header odd Char,header odd1 Char,header odd2 Char,header Char,h Char,Header/Footer Char,Page No Char"/>
    <w:link w:val="Header"/>
    <w:uiPriority w:val="99"/>
    <w:rsid w:val="001609A4"/>
    <w:rPr>
      <w:sz w:val="24"/>
      <w:lang w:val="fr-FR" w:eastAsia="en-US"/>
    </w:rPr>
  </w:style>
  <w:style w:type="paragraph" w:customStyle="1" w:styleId="RecNoBR">
    <w:name w:val="Rec_No_BR"/>
    <w:basedOn w:val="Normal"/>
    <w:next w:val="Normal"/>
    <w:rsid w:val="001609A4"/>
    <w:pPr>
      <w:keepNext/>
      <w:keepLines/>
      <w:tabs>
        <w:tab w:val="clear" w:pos="794"/>
        <w:tab w:val="clear" w:pos="1191"/>
        <w:tab w:val="clear" w:pos="1588"/>
        <w:tab w:val="clear" w:pos="1985"/>
      </w:tabs>
      <w:spacing w:before="480"/>
      <w:jc w:val="center"/>
    </w:pPr>
    <w:rPr>
      <w:sz w:val="28"/>
    </w:rPr>
  </w:style>
  <w:style w:type="table" w:styleId="TableGrid">
    <w:name w:val="Table Grid"/>
    <w:basedOn w:val="TableNormal"/>
    <w:rsid w:val="001609A4"/>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694639"/>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publ/R-REC/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uickpub\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D615-94C0-4E28-B90B-57599A5E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102</TotalTime>
  <Pages>4</Pages>
  <Words>1304</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ITU-R  F.1763-1 建议书 (02/2014) - 低于66 GHz频段的固定业务宽带无线接入系统的无线电接口标准</vt:lpstr>
    </vt:vector>
  </TitlesOfParts>
  <Company>ITU</Company>
  <LinksUpToDate>false</LinksUpToDate>
  <CharactersWithSpaces>1967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F.1763-1 建议书 (02/2014) - 低于66 GHz频段的固定业务宽带无线接入系统的无线电接口标准</dc:title>
  <dc:subject/>
  <dc:creator>POOL</dc:creator>
  <cp:keywords/>
  <dc:description>Edition                          3.08.06      SP_x000d_
1ère épreuve: 14.8.06/KJ</dc:description>
  <cp:lastModifiedBy>Li, Jianying</cp:lastModifiedBy>
  <cp:revision>3</cp:revision>
  <cp:lastPrinted>2014-10-24T15:42:00Z</cp:lastPrinted>
  <dcterms:created xsi:type="dcterms:W3CDTF">2015-01-16T13:48:00Z</dcterms:created>
  <dcterms:modified xsi:type="dcterms:W3CDTF">2015-01-16T15:38:00Z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