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A5" w:rsidRPr="00114F62" w:rsidRDefault="0044782C" w:rsidP="00E93DE0">
      <w:pPr>
        <w:pStyle w:val="RecNo"/>
        <w:spacing w:before="0"/>
        <w:rPr>
          <w:lang w:val="ru-RU"/>
        </w:rPr>
      </w:pPr>
      <w:r w:rsidRPr="00114F62">
        <w:rPr>
          <w:lang w:val="ru-RU"/>
        </w:rPr>
        <w:t>РЕКОМЕНДАЦИЯ  МСЭ</w:t>
      </w:r>
      <w:r w:rsidR="00DC13A5" w:rsidRPr="00114F62">
        <w:rPr>
          <w:rStyle w:val="href"/>
          <w:lang w:val="ru-RU"/>
        </w:rPr>
        <w:t>-R  F.1761</w:t>
      </w:r>
    </w:p>
    <w:p w:rsidR="00DC13A5" w:rsidRPr="00114F62" w:rsidRDefault="0044782C" w:rsidP="00E93DE0">
      <w:pPr>
        <w:pStyle w:val="Rectitle"/>
        <w:rPr>
          <w:lang w:val="ru-RU"/>
        </w:rPr>
      </w:pPr>
      <w:r w:rsidRPr="00114F62">
        <w:rPr>
          <w:lang w:val="ru-RU"/>
        </w:rPr>
        <w:t xml:space="preserve">Характеристики фиксированных ВЧ систем радиосвязи </w:t>
      </w:r>
    </w:p>
    <w:p w:rsidR="00DC13A5" w:rsidRPr="00114F62" w:rsidRDefault="00DC13A5" w:rsidP="00E93DE0">
      <w:pPr>
        <w:pStyle w:val="Recref"/>
        <w:rPr>
          <w:lang w:val="ru-RU"/>
        </w:rPr>
      </w:pPr>
      <w:r w:rsidRPr="00114F62">
        <w:rPr>
          <w:lang w:val="ru-RU"/>
        </w:rPr>
        <w:t>(</w:t>
      </w:r>
      <w:r w:rsidR="00A0704F" w:rsidRPr="00114F62">
        <w:rPr>
          <w:lang w:val="ru-RU"/>
        </w:rPr>
        <w:t>Вопрос МСЭ</w:t>
      </w:r>
      <w:r w:rsidRPr="00114F62">
        <w:rPr>
          <w:lang w:val="ru-RU"/>
        </w:rPr>
        <w:t>-R 158/9)</w:t>
      </w:r>
    </w:p>
    <w:p w:rsidR="0002054E" w:rsidRPr="00114F62" w:rsidRDefault="0002054E" w:rsidP="00E93DE0">
      <w:pPr>
        <w:pStyle w:val="Recdate"/>
        <w:rPr>
          <w:lang w:val="ru-RU"/>
        </w:rPr>
      </w:pPr>
    </w:p>
    <w:p w:rsidR="00DC13A5" w:rsidRPr="00114F62" w:rsidRDefault="00DC13A5" w:rsidP="00E93DE0">
      <w:pPr>
        <w:pStyle w:val="Recdate"/>
        <w:rPr>
          <w:lang w:val="ru-RU"/>
        </w:rPr>
      </w:pPr>
      <w:r w:rsidRPr="00114F62">
        <w:rPr>
          <w:lang w:val="ru-RU"/>
        </w:rPr>
        <w:t>(2006)</w:t>
      </w:r>
    </w:p>
    <w:p w:rsidR="00DC13A5" w:rsidRPr="00114F62" w:rsidRDefault="00A0704F" w:rsidP="00E93DE0">
      <w:pPr>
        <w:pStyle w:val="HeadingSum"/>
        <w:rPr>
          <w:lang w:val="ru-RU"/>
        </w:rPr>
      </w:pPr>
      <w:r w:rsidRPr="00114F62">
        <w:rPr>
          <w:lang w:val="ru-RU"/>
        </w:rPr>
        <w:t>Сфера применения</w:t>
      </w:r>
    </w:p>
    <w:p w:rsidR="00DC13A5" w:rsidRPr="00114F62" w:rsidRDefault="00A0704F" w:rsidP="00E93DE0">
      <w:pPr>
        <w:pStyle w:val="Summary"/>
        <w:spacing w:after="240"/>
        <w:rPr>
          <w:lang w:val="ru-RU"/>
        </w:rPr>
      </w:pPr>
      <w:r w:rsidRPr="00114F62">
        <w:rPr>
          <w:lang w:val="ru-RU"/>
        </w:rPr>
        <w:t>В настоящей Рекомендации указываются типичные РЧ характеристики фиксированных сис</w:t>
      </w:r>
      <w:r w:rsidR="00545595">
        <w:rPr>
          <w:lang w:val="ru-RU"/>
        </w:rPr>
        <w:t xml:space="preserve">тем радиосвязи в полосе частот </w:t>
      </w:r>
      <w:r w:rsidRPr="00114F62">
        <w:rPr>
          <w:lang w:val="ru-RU"/>
        </w:rPr>
        <w:t xml:space="preserve">2–30 МГц. </w:t>
      </w:r>
    </w:p>
    <w:p w:rsidR="00DC13A5" w:rsidRPr="00114F62" w:rsidRDefault="00A0704F" w:rsidP="00E93DE0">
      <w:pPr>
        <w:pStyle w:val="Normalaftertitle"/>
        <w:spacing w:before="240"/>
        <w:rPr>
          <w:lang w:val="ru-RU"/>
        </w:rPr>
      </w:pPr>
      <w:r w:rsidRPr="00114F62">
        <w:rPr>
          <w:lang w:val="ru-RU"/>
        </w:rPr>
        <w:t>Ассамблея радиосвязи МСЭ</w:t>
      </w:r>
      <w:r w:rsidR="00DC13A5" w:rsidRPr="00114F62">
        <w:rPr>
          <w:lang w:val="ru-RU"/>
        </w:rPr>
        <w:t>,</w:t>
      </w:r>
    </w:p>
    <w:p w:rsidR="00DC13A5" w:rsidRPr="006138FF" w:rsidRDefault="004033CC" w:rsidP="00E93DE0">
      <w:pPr>
        <w:pStyle w:val="Call"/>
        <w:rPr>
          <w:lang w:val="en-GB"/>
        </w:rPr>
      </w:pPr>
      <w:r w:rsidRPr="00114F62">
        <w:rPr>
          <w:lang w:val="ru-RU"/>
        </w:rPr>
        <w:t>учитывая</w:t>
      </w:r>
      <w:r w:rsidR="006138FF" w:rsidRPr="006138FF">
        <w:rPr>
          <w:i w:val="0"/>
          <w:iCs/>
          <w:lang w:val="en-GB"/>
        </w:rPr>
        <w:t>,</w:t>
      </w:r>
    </w:p>
    <w:p w:rsidR="00DC13A5" w:rsidRPr="00114F62" w:rsidRDefault="00DC13A5" w:rsidP="00E93DE0">
      <w:pPr>
        <w:rPr>
          <w:iCs/>
          <w:lang w:val="ru-RU"/>
        </w:rPr>
      </w:pPr>
      <w:r w:rsidRPr="00114F62">
        <w:rPr>
          <w:iCs/>
          <w:lang w:val="ru-RU"/>
        </w:rPr>
        <w:t>a)</w:t>
      </w:r>
      <w:r w:rsidRPr="00114F62">
        <w:rPr>
          <w:lang w:val="ru-RU"/>
        </w:rPr>
        <w:tab/>
      </w:r>
      <w:r w:rsidR="004033CC" w:rsidRPr="00114F62">
        <w:rPr>
          <w:lang w:val="ru-RU"/>
        </w:rPr>
        <w:t xml:space="preserve">что использование фиксированной и подвижной службы ВЧ радиосвязи является </w:t>
      </w:r>
      <w:r w:rsidR="00D67FFE" w:rsidRPr="00114F62">
        <w:rPr>
          <w:lang w:val="ru-RU"/>
        </w:rPr>
        <w:t>общим показателем</w:t>
      </w:r>
      <w:r w:rsidR="004033CC" w:rsidRPr="00114F62">
        <w:rPr>
          <w:lang w:val="ru-RU"/>
        </w:rPr>
        <w:t xml:space="preserve"> при обеспечении в рамках усилий многих стран способной к взаимодействию радиосвязи; </w:t>
      </w:r>
    </w:p>
    <w:p w:rsidR="00DC13A5" w:rsidRPr="00114F62" w:rsidRDefault="00DC13A5" w:rsidP="00E93DE0">
      <w:pPr>
        <w:rPr>
          <w:lang w:val="ru-RU"/>
        </w:rPr>
      </w:pPr>
      <w:r w:rsidRPr="00114F62">
        <w:rPr>
          <w:lang w:val="ru-RU"/>
        </w:rPr>
        <w:t>b)</w:t>
      </w:r>
      <w:r w:rsidRPr="00114F62">
        <w:rPr>
          <w:lang w:val="ru-RU"/>
        </w:rPr>
        <w:tab/>
      </w:r>
      <w:r w:rsidR="004033CC" w:rsidRPr="00114F62">
        <w:rPr>
          <w:lang w:val="ru-RU"/>
        </w:rPr>
        <w:t xml:space="preserve">что в этой полосе частот имеются два типа категорий систем – адаптивные и неадаптивные; </w:t>
      </w:r>
    </w:p>
    <w:p w:rsidR="00DC13A5" w:rsidRPr="00114F62" w:rsidRDefault="00DC13A5" w:rsidP="00E93DE0">
      <w:pPr>
        <w:rPr>
          <w:lang w:val="ru-RU"/>
        </w:rPr>
      </w:pPr>
      <w:r w:rsidRPr="00114F62">
        <w:rPr>
          <w:iCs/>
          <w:lang w:val="ru-RU"/>
        </w:rPr>
        <w:t>c)</w:t>
      </w:r>
      <w:r w:rsidRPr="00114F62">
        <w:rPr>
          <w:lang w:val="ru-RU"/>
        </w:rPr>
        <w:tab/>
      </w:r>
      <w:r w:rsidR="00C62948" w:rsidRPr="00114F62">
        <w:rPr>
          <w:lang w:val="ru-RU"/>
        </w:rPr>
        <w:t xml:space="preserve">что эффективность использования спектра в СЧ и ВЧ полосах частот, используемых совместно фиксированной и подвижной службами, может быть в некоторых случаях увеличена путем использования частотно-адаптивных систем; </w:t>
      </w:r>
    </w:p>
    <w:p w:rsidR="00DC13A5" w:rsidRPr="00114F62" w:rsidRDefault="00DC13A5" w:rsidP="00E93DE0">
      <w:pPr>
        <w:rPr>
          <w:lang w:val="ru-RU"/>
        </w:rPr>
      </w:pPr>
      <w:r w:rsidRPr="00114F62">
        <w:rPr>
          <w:iCs/>
          <w:lang w:val="ru-RU"/>
        </w:rPr>
        <w:t>d)</w:t>
      </w:r>
      <w:r w:rsidRPr="00114F62">
        <w:rPr>
          <w:lang w:val="ru-RU"/>
        </w:rPr>
        <w:tab/>
      </w:r>
      <w:r w:rsidR="00C62948" w:rsidRPr="00114F62">
        <w:rPr>
          <w:lang w:val="ru-RU"/>
        </w:rPr>
        <w:t xml:space="preserve">что испытания частотно-адаптивных систем, которые проводились за последние 20 лет, показали техническую осуществимость таких систем и их повышенную эффективность </w:t>
      </w:r>
      <w:r w:rsidR="00D67FFE" w:rsidRPr="00114F62">
        <w:rPr>
          <w:lang w:val="ru-RU"/>
        </w:rPr>
        <w:t>в</w:t>
      </w:r>
      <w:r w:rsidR="00C62948" w:rsidRPr="00114F62">
        <w:rPr>
          <w:lang w:val="ru-RU"/>
        </w:rPr>
        <w:t xml:space="preserve"> использовании с</w:t>
      </w:r>
      <w:r w:rsidR="00AE32E0" w:rsidRPr="00114F62">
        <w:rPr>
          <w:lang w:val="ru-RU"/>
        </w:rPr>
        <w:t xml:space="preserve">пектра по сравнению с системами, управляемыми операторами; </w:t>
      </w:r>
    </w:p>
    <w:p w:rsidR="00DC13A5" w:rsidRPr="00114F62" w:rsidRDefault="00DC13A5" w:rsidP="00E93DE0">
      <w:pPr>
        <w:rPr>
          <w:lang w:val="ru-RU"/>
        </w:rPr>
      </w:pPr>
      <w:r w:rsidRPr="00114F62">
        <w:rPr>
          <w:iCs/>
          <w:lang w:val="ru-RU"/>
        </w:rPr>
        <w:t>e)</w:t>
      </w:r>
      <w:r w:rsidRPr="00114F62">
        <w:rPr>
          <w:lang w:val="ru-RU"/>
        </w:rPr>
        <w:tab/>
      </w:r>
      <w:r w:rsidR="00AE32E0" w:rsidRPr="00114F62">
        <w:rPr>
          <w:lang w:val="ru-RU"/>
        </w:rPr>
        <w:t xml:space="preserve">что такая повышенная эффективность достигается посредством: </w:t>
      </w:r>
    </w:p>
    <w:p w:rsidR="00DC13A5" w:rsidRPr="00114F62" w:rsidRDefault="00AE32E0" w:rsidP="00E93DE0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  <w:t xml:space="preserve">более быстрого установления соединения и повышенного качества передачи с помощью выбора наиболее подходящих присвоенных каналов; </w:t>
      </w:r>
    </w:p>
    <w:p w:rsidR="00DC13A5" w:rsidRPr="00114F62" w:rsidRDefault="00DC13A5" w:rsidP="00E93DE0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</w:r>
      <w:r w:rsidR="00AE32E0" w:rsidRPr="00114F62">
        <w:rPr>
          <w:lang w:val="ru-RU"/>
        </w:rPr>
        <w:t xml:space="preserve">более низкого коэффициента использования каналов, что позволяет использовать одни и те же каналы различными сетями, уменьшая при этом вероятность вредных помех; </w:t>
      </w:r>
    </w:p>
    <w:p w:rsidR="00DC13A5" w:rsidRPr="00114F62" w:rsidRDefault="00DC13A5" w:rsidP="00E93DE0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</w:r>
      <w:r w:rsidR="00AE32E0" w:rsidRPr="00114F62">
        <w:rPr>
          <w:lang w:val="ru-RU"/>
        </w:rPr>
        <w:t xml:space="preserve">уменьшения мощности передатчика, необходимой для каждой передачи; </w:t>
      </w:r>
    </w:p>
    <w:p w:rsidR="00DC13A5" w:rsidRPr="00114F62" w:rsidRDefault="00DC13A5" w:rsidP="00E93DE0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</w:r>
      <w:r w:rsidR="00AE32E0" w:rsidRPr="00114F62">
        <w:rPr>
          <w:lang w:val="ru-RU"/>
        </w:rPr>
        <w:t>постоянной оптимизаци</w:t>
      </w:r>
      <w:r w:rsidR="00D67FFE" w:rsidRPr="00114F62">
        <w:rPr>
          <w:lang w:val="ru-RU"/>
        </w:rPr>
        <w:t>и</w:t>
      </w:r>
      <w:r w:rsidR="00AE32E0" w:rsidRPr="00114F62">
        <w:rPr>
          <w:lang w:val="ru-RU"/>
        </w:rPr>
        <w:t xml:space="preserve"> излучений </w:t>
      </w:r>
      <w:r w:rsidR="00E93DE0" w:rsidRPr="00114F62">
        <w:rPr>
          <w:lang w:val="ru-RU"/>
        </w:rPr>
        <w:t>благодаря</w:t>
      </w:r>
      <w:r w:rsidR="00AE32E0" w:rsidRPr="00114F62">
        <w:rPr>
          <w:lang w:val="ru-RU"/>
        </w:rPr>
        <w:t xml:space="preserve"> </w:t>
      </w:r>
      <w:r w:rsidR="00E93DE0" w:rsidRPr="00114F62">
        <w:rPr>
          <w:lang w:val="ru-RU"/>
        </w:rPr>
        <w:t>высокому</w:t>
      </w:r>
      <w:r w:rsidR="00AE32E0" w:rsidRPr="00114F62">
        <w:rPr>
          <w:lang w:val="ru-RU"/>
        </w:rPr>
        <w:t xml:space="preserve"> </w:t>
      </w:r>
      <w:r w:rsidR="00E93DE0" w:rsidRPr="00114F62">
        <w:rPr>
          <w:lang w:val="ru-RU"/>
        </w:rPr>
        <w:t>уровню</w:t>
      </w:r>
      <w:r w:rsidR="00AE32E0" w:rsidRPr="00114F62">
        <w:rPr>
          <w:lang w:val="ru-RU"/>
        </w:rPr>
        <w:t xml:space="preserve"> развития систем; </w:t>
      </w:r>
    </w:p>
    <w:p w:rsidR="00DC13A5" w:rsidRPr="00114F62" w:rsidRDefault="00DC13A5" w:rsidP="00E93DE0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</w:r>
      <w:r w:rsidR="00AE32E0" w:rsidRPr="00114F62">
        <w:rPr>
          <w:lang w:val="ru-RU"/>
        </w:rPr>
        <w:t xml:space="preserve">ограничения одновременного использования частот </w:t>
      </w:r>
      <w:r w:rsidR="00FF1C1E" w:rsidRPr="00114F62">
        <w:rPr>
          <w:lang w:val="ru-RU"/>
        </w:rPr>
        <w:t xml:space="preserve">до минимального уровня, необходимого для потребностей связи, </w:t>
      </w:r>
    </w:p>
    <w:p w:rsidR="00DC13A5" w:rsidRPr="00114F62" w:rsidRDefault="00FF1C1E" w:rsidP="00E93DE0">
      <w:pPr>
        <w:pStyle w:val="Call"/>
        <w:rPr>
          <w:lang w:val="ru-RU"/>
        </w:rPr>
      </w:pPr>
      <w:r w:rsidRPr="00114F62">
        <w:rPr>
          <w:lang w:val="ru-RU"/>
        </w:rPr>
        <w:t>отмечая</w:t>
      </w:r>
      <w:r w:rsidRPr="006138FF">
        <w:rPr>
          <w:i w:val="0"/>
          <w:iCs/>
          <w:lang w:val="ru-RU"/>
        </w:rPr>
        <w:t>,</w:t>
      </w:r>
    </w:p>
    <w:p w:rsidR="00DC13A5" w:rsidRPr="00114F62" w:rsidRDefault="00FF1C1E" w:rsidP="00E93DE0">
      <w:pPr>
        <w:rPr>
          <w:lang w:val="ru-RU"/>
        </w:rPr>
      </w:pPr>
      <w:r w:rsidRPr="00114F62">
        <w:rPr>
          <w:lang w:val="ru-RU"/>
        </w:rPr>
        <w:t>a)</w:t>
      </w:r>
      <w:r w:rsidRPr="00114F62">
        <w:rPr>
          <w:lang w:val="ru-RU"/>
        </w:rPr>
        <w:tab/>
        <w:t xml:space="preserve">что </w:t>
      </w:r>
      <w:r w:rsidR="0076015D" w:rsidRPr="00114F62">
        <w:rPr>
          <w:lang w:val="ru-RU"/>
        </w:rPr>
        <w:t>дополнитель</w:t>
      </w:r>
      <w:bookmarkStart w:id="0" w:name="_GoBack"/>
      <w:bookmarkEnd w:id="0"/>
      <w:r w:rsidR="0076015D" w:rsidRPr="00114F62">
        <w:rPr>
          <w:lang w:val="ru-RU"/>
        </w:rPr>
        <w:t>ную информацию о технических и рабочих характеристиках фиксированных ВЧ систем можно получить из Отчета МСЭ</w:t>
      </w:r>
      <w:r w:rsidR="00DC13A5" w:rsidRPr="00114F62">
        <w:rPr>
          <w:lang w:val="ru-RU"/>
        </w:rPr>
        <w:t>-R F.2061,</w:t>
      </w:r>
    </w:p>
    <w:p w:rsidR="00DC13A5" w:rsidRPr="00114F62" w:rsidRDefault="0076015D" w:rsidP="00E93DE0">
      <w:pPr>
        <w:pStyle w:val="Call"/>
        <w:rPr>
          <w:lang w:val="ru-RU"/>
        </w:rPr>
      </w:pPr>
      <w:r w:rsidRPr="00114F62">
        <w:rPr>
          <w:lang w:val="ru-RU"/>
        </w:rPr>
        <w:t>рекомендует</w:t>
      </w:r>
      <w:r w:rsidRPr="000E7365">
        <w:rPr>
          <w:i w:val="0"/>
          <w:iCs/>
          <w:lang w:val="ru-RU"/>
        </w:rPr>
        <w:t xml:space="preserve">, </w:t>
      </w:r>
    </w:p>
    <w:p w:rsidR="00D5530F" w:rsidRPr="00114F62" w:rsidRDefault="00DC13A5" w:rsidP="00D5530F">
      <w:pPr>
        <w:rPr>
          <w:lang w:val="ru-RU"/>
        </w:rPr>
      </w:pPr>
      <w:r w:rsidRPr="00114F62">
        <w:rPr>
          <w:b/>
          <w:bCs/>
          <w:lang w:val="ru-RU"/>
        </w:rPr>
        <w:t>1</w:t>
      </w:r>
      <w:r w:rsidRPr="00114F62">
        <w:rPr>
          <w:lang w:val="ru-RU"/>
        </w:rPr>
        <w:tab/>
      </w:r>
      <w:r w:rsidR="0076015D" w:rsidRPr="00114F62">
        <w:rPr>
          <w:lang w:val="ru-RU"/>
        </w:rPr>
        <w:t>чтобы технические и рабочие характеристики адаптивных и неадаптивных систем, описанны</w:t>
      </w:r>
      <w:r w:rsidR="00D67FFE" w:rsidRPr="00114F62">
        <w:rPr>
          <w:lang w:val="ru-RU"/>
        </w:rPr>
        <w:t>е</w:t>
      </w:r>
      <w:r w:rsidR="0076015D" w:rsidRPr="00114F62">
        <w:rPr>
          <w:lang w:val="ru-RU"/>
        </w:rPr>
        <w:t xml:space="preserve"> в Приложении 1, могли использоваться в исследованиях по совместному использованию частот при работе в полосе 2–30 МГц. </w:t>
      </w:r>
    </w:p>
    <w:p w:rsidR="00DC13A5" w:rsidRPr="00114F62" w:rsidRDefault="004D35CE" w:rsidP="00D5530F">
      <w:pPr>
        <w:pStyle w:val="AnnexNoTitle"/>
        <w:keepNext w:val="0"/>
        <w:pageBreakBefore/>
        <w:spacing w:before="0"/>
        <w:rPr>
          <w:lang w:val="ru-RU"/>
        </w:rPr>
      </w:pPr>
      <w:r w:rsidRPr="00114F62">
        <w:rPr>
          <w:lang w:val="ru-RU"/>
        </w:rPr>
        <w:lastRenderedPageBreak/>
        <w:t>Приложение</w:t>
      </w:r>
      <w:r w:rsidR="00DC13A5" w:rsidRPr="00114F62">
        <w:rPr>
          <w:lang w:val="ru-RU"/>
        </w:rPr>
        <w:t xml:space="preserve"> 1</w:t>
      </w:r>
      <w:r w:rsidR="00DC13A5" w:rsidRPr="00114F62">
        <w:rPr>
          <w:lang w:val="ru-RU"/>
        </w:rPr>
        <w:br/>
      </w:r>
      <w:r w:rsidR="00DC13A5" w:rsidRPr="00114F62">
        <w:rPr>
          <w:lang w:val="ru-RU"/>
        </w:rPr>
        <w:br/>
      </w:r>
      <w:r w:rsidRPr="00114F62">
        <w:rPr>
          <w:lang w:val="ru-RU"/>
        </w:rPr>
        <w:t>Характеристики фиксированных ВЧ систем радиосвязи</w:t>
      </w:r>
    </w:p>
    <w:p w:rsidR="00DC13A5" w:rsidRPr="00114F62" w:rsidRDefault="00DC13A5" w:rsidP="00E93DE0">
      <w:pPr>
        <w:pStyle w:val="Heading1"/>
        <w:rPr>
          <w:lang w:val="ru-RU"/>
        </w:rPr>
      </w:pPr>
      <w:r w:rsidRPr="00114F62">
        <w:rPr>
          <w:lang w:val="ru-RU"/>
        </w:rPr>
        <w:t>1</w:t>
      </w:r>
      <w:r w:rsidRPr="00114F62">
        <w:rPr>
          <w:lang w:val="ru-RU"/>
        </w:rPr>
        <w:tab/>
      </w:r>
      <w:r w:rsidR="004D35CE" w:rsidRPr="00114F62">
        <w:rPr>
          <w:lang w:val="ru-RU"/>
        </w:rPr>
        <w:t>Введение</w:t>
      </w:r>
    </w:p>
    <w:p w:rsidR="00DC13A5" w:rsidRPr="00114F62" w:rsidRDefault="004D35CE" w:rsidP="00E93DE0">
      <w:pPr>
        <w:rPr>
          <w:lang w:val="ru-RU"/>
        </w:rPr>
      </w:pPr>
      <w:r w:rsidRPr="00114F62">
        <w:rPr>
          <w:lang w:val="ru-RU"/>
        </w:rPr>
        <w:t xml:space="preserve">ВЧ системы имеют особые атрибуты, которые делают их эффективным решением </w:t>
      </w:r>
      <w:r w:rsidR="00CC0602" w:rsidRPr="00114F62">
        <w:rPr>
          <w:lang w:val="ru-RU"/>
        </w:rPr>
        <w:t xml:space="preserve">для многих </w:t>
      </w:r>
      <w:r w:rsidR="00D67FFE" w:rsidRPr="00114F62">
        <w:rPr>
          <w:lang w:val="ru-RU"/>
        </w:rPr>
        <w:t xml:space="preserve">потребностей </w:t>
      </w:r>
      <w:r w:rsidR="00CC0602" w:rsidRPr="00114F62">
        <w:rPr>
          <w:lang w:val="ru-RU"/>
        </w:rPr>
        <w:t xml:space="preserve">связи. Они обеспечивают </w:t>
      </w:r>
      <w:r w:rsidR="00D67FFE" w:rsidRPr="00114F62">
        <w:rPr>
          <w:lang w:val="ru-RU"/>
        </w:rPr>
        <w:t xml:space="preserve">весьма </w:t>
      </w:r>
      <w:r w:rsidR="00CC0602" w:rsidRPr="00114F62">
        <w:rPr>
          <w:lang w:val="ru-RU"/>
        </w:rPr>
        <w:t xml:space="preserve">универсальные средства связи для </w:t>
      </w:r>
      <w:r w:rsidR="00164960" w:rsidRPr="00114F62">
        <w:rPr>
          <w:lang w:val="ru-RU"/>
        </w:rPr>
        <w:t xml:space="preserve">широкого круга пользователей, а надежное и недорогое оборудование можно легко  транспортировать в отдаленные и малонаселенные области. </w:t>
      </w:r>
    </w:p>
    <w:p w:rsidR="00DC13A5" w:rsidRPr="00114F62" w:rsidRDefault="00DC13A5" w:rsidP="00E93DE0">
      <w:pPr>
        <w:pStyle w:val="Heading1"/>
        <w:rPr>
          <w:bCs/>
          <w:sz w:val="28"/>
          <w:lang w:val="ru-RU"/>
        </w:rPr>
      </w:pPr>
      <w:r w:rsidRPr="00114F62">
        <w:rPr>
          <w:lang w:val="ru-RU"/>
        </w:rPr>
        <w:t>2</w:t>
      </w:r>
      <w:r w:rsidRPr="00114F62">
        <w:rPr>
          <w:lang w:val="ru-RU"/>
        </w:rPr>
        <w:tab/>
      </w:r>
      <w:r w:rsidR="00164960" w:rsidRPr="00114F62">
        <w:rPr>
          <w:lang w:val="ru-RU"/>
        </w:rPr>
        <w:t>Неадаптивные системы</w:t>
      </w:r>
    </w:p>
    <w:p w:rsidR="00DC13A5" w:rsidRPr="00114F62" w:rsidRDefault="00164960" w:rsidP="00E93DE0">
      <w:pPr>
        <w:rPr>
          <w:lang w:val="ru-RU"/>
        </w:rPr>
      </w:pPr>
      <w:r w:rsidRPr="00114F62">
        <w:rPr>
          <w:lang w:val="ru-RU"/>
        </w:rPr>
        <w:t xml:space="preserve">Неадаптивные фиксированные ВЧ системы </w:t>
      </w:r>
      <w:r w:rsidR="00D67FFE" w:rsidRPr="00114F62">
        <w:rPr>
          <w:lang w:val="ru-RU"/>
        </w:rPr>
        <w:t xml:space="preserve">– это </w:t>
      </w:r>
      <w:r w:rsidRPr="00114F62">
        <w:rPr>
          <w:lang w:val="ru-RU"/>
        </w:rPr>
        <w:t>традиционны</w:t>
      </w:r>
      <w:r w:rsidR="00D67FFE" w:rsidRPr="00114F62">
        <w:rPr>
          <w:lang w:val="ru-RU"/>
        </w:rPr>
        <w:t>е</w:t>
      </w:r>
      <w:r w:rsidRPr="00114F62">
        <w:rPr>
          <w:lang w:val="ru-RU"/>
        </w:rPr>
        <w:t xml:space="preserve"> радиосистем</w:t>
      </w:r>
      <w:r w:rsidR="00D67FFE" w:rsidRPr="00114F62">
        <w:rPr>
          <w:lang w:val="ru-RU"/>
        </w:rPr>
        <w:t>ы</w:t>
      </w:r>
      <w:r w:rsidRPr="00114F62">
        <w:rPr>
          <w:lang w:val="ru-RU"/>
        </w:rPr>
        <w:t xml:space="preserve">, для которых необходим оператор радиосвязи для установления частот вручную. Оператор должен настроить параметры системы для обеспечения максимальной эффективности, осуществляя мониторинг условий в ионосфере, отслеживая изменяющиеся условия распространения и выбирая условия работы (т. е. прежде всего частоту), которые обеспечат </w:t>
      </w:r>
      <w:r w:rsidR="00F0520D" w:rsidRPr="00114F62">
        <w:rPr>
          <w:lang w:val="ru-RU"/>
        </w:rPr>
        <w:t xml:space="preserve">оптимальное распространение сигнала. </w:t>
      </w:r>
    </w:p>
    <w:p w:rsidR="00DC13A5" w:rsidRPr="00114F62" w:rsidRDefault="00827912" w:rsidP="00774672">
      <w:pPr>
        <w:rPr>
          <w:lang w:val="ru-RU"/>
        </w:rPr>
      </w:pPr>
      <w:r w:rsidRPr="00114F62">
        <w:rPr>
          <w:lang w:val="ru-RU"/>
        </w:rPr>
        <w:t xml:space="preserve">В краткосрочном плане среда ВЧ распространения является в высшей степени неустойчивой и непредсказуемой. Распространение в этой полосе частот происходит, главным образом, посредством </w:t>
      </w:r>
      <w:r w:rsidR="00774672" w:rsidRPr="00114F62">
        <w:rPr>
          <w:lang w:val="ru-RU"/>
        </w:rPr>
        <w:t>ионосферной</w:t>
      </w:r>
      <w:r w:rsidRPr="00114F62">
        <w:rPr>
          <w:lang w:val="ru-RU"/>
        </w:rPr>
        <w:t xml:space="preserve"> волны с использованием рефракции радиоволн от ионосферы или, в некоторых случаях, посредством поверхностной волны. </w:t>
      </w:r>
    </w:p>
    <w:p w:rsidR="00DC13A5" w:rsidRPr="00114F62" w:rsidRDefault="00DC13A5" w:rsidP="00E93DE0">
      <w:pPr>
        <w:pStyle w:val="Heading1"/>
        <w:rPr>
          <w:lang w:val="ru-RU"/>
        </w:rPr>
      </w:pPr>
      <w:r w:rsidRPr="00114F62">
        <w:rPr>
          <w:lang w:val="ru-RU"/>
        </w:rPr>
        <w:t>3</w:t>
      </w:r>
      <w:r w:rsidRPr="00114F62">
        <w:rPr>
          <w:lang w:val="ru-RU"/>
        </w:rPr>
        <w:tab/>
      </w:r>
      <w:r w:rsidR="00827912" w:rsidRPr="00114F62">
        <w:rPr>
          <w:lang w:val="ru-RU"/>
        </w:rPr>
        <w:t xml:space="preserve">Адаптивные системы </w:t>
      </w:r>
    </w:p>
    <w:p w:rsidR="00DC13A5" w:rsidRPr="00114F62" w:rsidRDefault="004122E3" w:rsidP="00774672">
      <w:pPr>
        <w:rPr>
          <w:lang w:val="ru-RU"/>
        </w:rPr>
      </w:pPr>
      <w:r w:rsidRPr="00114F62">
        <w:rPr>
          <w:lang w:val="ru-RU"/>
        </w:rPr>
        <w:t xml:space="preserve">Адаптивная СЧ/ВЧ система – это система, которая автоматически (т. е. не требуя вмешательства радиооператора) осуществляет функции установления соединений радиосвязи и обмена информацией, позволяя </w:t>
      </w:r>
      <w:r w:rsidR="00010F90" w:rsidRPr="00114F62">
        <w:rPr>
          <w:lang w:val="ru-RU"/>
        </w:rPr>
        <w:t xml:space="preserve">справиться с </w:t>
      </w:r>
      <w:r w:rsidR="00774672" w:rsidRPr="00114F62">
        <w:rPr>
          <w:lang w:val="ru-RU"/>
        </w:rPr>
        <w:t>неравномерностями и</w:t>
      </w:r>
      <w:r w:rsidR="00010F90" w:rsidRPr="00114F62">
        <w:rPr>
          <w:lang w:val="ru-RU"/>
        </w:rPr>
        <w:t xml:space="preserve"> высокой вероятностью</w:t>
      </w:r>
      <w:r w:rsidR="00774672" w:rsidRPr="00114F62">
        <w:rPr>
          <w:lang w:val="ru-RU"/>
        </w:rPr>
        <w:t xml:space="preserve"> помех</w:t>
      </w:r>
      <w:r w:rsidR="00010F90" w:rsidRPr="00114F62">
        <w:rPr>
          <w:lang w:val="ru-RU"/>
        </w:rPr>
        <w:t xml:space="preserve">, которые присущи распространению </w:t>
      </w:r>
      <w:r w:rsidR="00774672" w:rsidRPr="00114F62">
        <w:rPr>
          <w:lang w:val="ru-RU"/>
        </w:rPr>
        <w:t xml:space="preserve">в </w:t>
      </w:r>
      <w:r w:rsidR="00010F90" w:rsidRPr="00114F62">
        <w:rPr>
          <w:lang w:val="ru-RU"/>
        </w:rPr>
        <w:t>СЧ/ВЧ полос</w:t>
      </w:r>
      <w:r w:rsidR="00774672" w:rsidRPr="00114F62">
        <w:rPr>
          <w:lang w:val="ru-RU"/>
        </w:rPr>
        <w:t>ах</w:t>
      </w:r>
      <w:r w:rsidR="00010F90" w:rsidRPr="00114F62">
        <w:rPr>
          <w:lang w:val="ru-RU"/>
        </w:rPr>
        <w:t xml:space="preserve"> частот в ионосфере. Кроме того, адаптивные системы способны на регулярной основе осуществлять мониторинг занятости спектра и выбирать рабочие частоты, с тем чтобы более эффективно, чем многие действующие в настоящее время неадаптивные системы, избегать причинения помех другим пользователям. </w:t>
      </w:r>
    </w:p>
    <w:p w:rsidR="00DC13A5" w:rsidRPr="00114F62" w:rsidRDefault="00DC13A5" w:rsidP="00E93DE0">
      <w:pPr>
        <w:pStyle w:val="Heading1"/>
        <w:rPr>
          <w:lang w:val="ru-RU"/>
        </w:rPr>
      </w:pPr>
      <w:r w:rsidRPr="00114F62">
        <w:rPr>
          <w:lang w:val="ru-RU"/>
        </w:rPr>
        <w:t>4</w:t>
      </w:r>
      <w:r w:rsidRPr="00114F62">
        <w:rPr>
          <w:lang w:val="ru-RU"/>
        </w:rPr>
        <w:tab/>
      </w:r>
      <w:r w:rsidR="00010F90" w:rsidRPr="00114F62">
        <w:rPr>
          <w:lang w:val="ru-RU"/>
        </w:rPr>
        <w:t>Технические характеристики</w:t>
      </w:r>
    </w:p>
    <w:p w:rsidR="00DC13A5" w:rsidRPr="00114F62" w:rsidRDefault="00010F90" w:rsidP="004234FC">
      <w:pPr>
        <w:rPr>
          <w:lang w:val="ru-RU"/>
        </w:rPr>
      </w:pPr>
      <w:r w:rsidRPr="00114F62">
        <w:rPr>
          <w:lang w:val="ru-RU"/>
        </w:rPr>
        <w:t xml:space="preserve">На </w:t>
      </w:r>
      <w:r w:rsidR="00DC19A4" w:rsidRPr="00114F62">
        <w:rPr>
          <w:lang w:val="ru-RU"/>
        </w:rPr>
        <w:t>р</w:t>
      </w:r>
      <w:r w:rsidRPr="00114F62">
        <w:rPr>
          <w:lang w:val="ru-RU"/>
        </w:rPr>
        <w:t xml:space="preserve">исунке 1 и в </w:t>
      </w:r>
      <w:r w:rsidR="00DC19A4" w:rsidRPr="00114F62">
        <w:rPr>
          <w:lang w:val="ru-RU"/>
        </w:rPr>
        <w:t>т</w:t>
      </w:r>
      <w:r w:rsidRPr="00114F62">
        <w:rPr>
          <w:lang w:val="ru-RU"/>
        </w:rPr>
        <w:t>аблицах 1–4 содержатся технические характеристики репрезентативных систем. Этой информации достаточно для проведения общих расчетов с целью о</w:t>
      </w:r>
      <w:r w:rsidR="004234FC">
        <w:rPr>
          <w:lang w:val="ru-RU"/>
        </w:rPr>
        <w:t>ценки совместимости между этими</w:t>
      </w:r>
      <w:r w:rsidRPr="00114F62">
        <w:rPr>
          <w:lang w:val="ru-RU"/>
        </w:rPr>
        <w:t xml:space="preserve"> системами и системами, функционирующими в других службах. </w:t>
      </w:r>
      <w:r w:rsidR="00716124" w:rsidRPr="00114F62">
        <w:rPr>
          <w:iCs/>
          <w:lang w:val="ru-RU"/>
        </w:rPr>
        <w:t xml:space="preserve">Необходимые отношения </w:t>
      </w:r>
      <w:r w:rsidR="004234FC" w:rsidRPr="00114F62">
        <w:rPr>
          <w:lang w:val="ru-RU"/>
        </w:rPr>
        <w:t xml:space="preserve">сигнал/шум </w:t>
      </w:r>
      <w:r w:rsidR="00716124" w:rsidRPr="00114F62">
        <w:rPr>
          <w:lang w:val="ru-RU"/>
        </w:rPr>
        <w:t>(</w:t>
      </w:r>
      <w:r w:rsidR="00716124" w:rsidRPr="00114F62">
        <w:rPr>
          <w:i/>
          <w:lang w:val="ru-RU"/>
        </w:rPr>
        <w:t>S/N</w:t>
      </w:r>
      <w:r w:rsidR="00716124" w:rsidRPr="00114F62">
        <w:rPr>
          <w:lang w:val="ru-RU"/>
        </w:rPr>
        <w:t>)</w:t>
      </w:r>
      <w:r w:rsidR="00716124" w:rsidRPr="00114F62">
        <w:rPr>
          <w:i/>
          <w:lang w:val="ru-RU"/>
        </w:rPr>
        <w:t xml:space="preserve"> </w:t>
      </w:r>
      <w:r w:rsidR="00716124" w:rsidRPr="00114F62">
        <w:rPr>
          <w:lang w:val="ru-RU"/>
        </w:rPr>
        <w:t>и критерии защиты указаны в Рекомендациях МСЭ</w:t>
      </w:r>
      <w:r w:rsidR="00DC13A5" w:rsidRPr="00114F62">
        <w:rPr>
          <w:lang w:val="ru-RU"/>
        </w:rPr>
        <w:t xml:space="preserve">-R F.339 </w:t>
      </w:r>
      <w:r w:rsidR="00716124" w:rsidRPr="00114F62">
        <w:rPr>
          <w:lang w:val="ru-RU"/>
        </w:rPr>
        <w:t>и</w:t>
      </w:r>
      <w:r w:rsidR="00DC13A5" w:rsidRPr="00114F62">
        <w:rPr>
          <w:lang w:val="ru-RU"/>
        </w:rPr>
        <w:t xml:space="preserve"> </w:t>
      </w:r>
      <w:r w:rsidR="00114F62">
        <w:rPr>
          <w:lang w:val="ru-RU"/>
        </w:rPr>
        <w:t>МСЭ</w:t>
      </w:r>
      <w:r w:rsidR="00DC13A5" w:rsidRPr="00114F62">
        <w:rPr>
          <w:lang w:val="ru-RU"/>
        </w:rPr>
        <w:t>-R F.240</w:t>
      </w:r>
      <w:r w:rsidR="00716124" w:rsidRPr="00114F62">
        <w:rPr>
          <w:lang w:val="ru-RU"/>
        </w:rPr>
        <w:t xml:space="preserve">, и они должны использоваться в исследованиях совместимости между адаптивными и другими системами. </w:t>
      </w:r>
      <w:r w:rsidR="00DC13A5" w:rsidRPr="00114F62">
        <w:rPr>
          <w:lang w:val="ru-RU"/>
        </w:rPr>
        <w:t xml:space="preserve"> </w:t>
      </w:r>
    </w:p>
    <w:p w:rsidR="00DC13A5" w:rsidRPr="00114F62" w:rsidRDefault="00716124" w:rsidP="00681363">
      <w:pPr>
        <w:rPr>
          <w:lang w:val="ru-RU"/>
        </w:rPr>
      </w:pPr>
      <w:r w:rsidRPr="00114F62">
        <w:rPr>
          <w:lang w:val="ru-RU"/>
        </w:rPr>
        <w:t xml:space="preserve">На </w:t>
      </w:r>
      <w:r w:rsidR="00DC19A4" w:rsidRPr="00114F62">
        <w:rPr>
          <w:lang w:val="ru-RU"/>
        </w:rPr>
        <w:t>р</w:t>
      </w:r>
      <w:r w:rsidRPr="00114F62">
        <w:rPr>
          <w:lang w:val="ru-RU"/>
        </w:rPr>
        <w:t>исунке 1 показаны требования к отношению сигнал/шум (</w:t>
      </w:r>
      <w:r w:rsidR="00DC13A5" w:rsidRPr="00114F62">
        <w:rPr>
          <w:lang w:val="ru-RU"/>
        </w:rPr>
        <w:t>SNR</w:t>
      </w:r>
      <w:r w:rsidRPr="00114F62">
        <w:rPr>
          <w:lang w:val="ru-RU"/>
        </w:rPr>
        <w:t xml:space="preserve">), которое должно достигать коэффициента ошибок по битам (КОБ) в размере </w:t>
      </w:r>
      <w:r w:rsidR="00DC13A5" w:rsidRPr="00114F62">
        <w:rPr>
          <w:lang w:val="ru-RU"/>
        </w:rPr>
        <w:t>10</w:t>
      </w:r>
      <w:r w:rsidR="00681363" w:rsidRPr="006138FF">
        <w:rPr>
          <w:vertAlign w:val="superscript"/>
          <w:lang w:val="ru-RU"/>
        </w:rPr>
        <w:t>–</w:t>
      </w:r>
      <w:r w:rsidR="00DC13A5" w:rsidRPr="00114F62">
        <w:rPr>
          <w:vertAlign w:val="superscript"/>
          <w:lang w:val="ru-RU"/>
        </w:rPr>
        <w:t>4</w:t>
      </w:r>
      <w:r w:rsidR="00DC13A5" w:rsidRPr="00114F62">
        <w:rPr>
          <w:lang w:val="ru-RU"/>
        </w:rPr>
        <w:t xml:space="preserve"> </w:t>
      </w:r>
      <w:r w:rsidRPr="00114F62">
        <w:rPr>
          <w:lang w:val="ru-RU"/>
        </w:rPr>
        <w:t xml:space="preserve">в </w:t>
      </w:r>
      <w:r w:rsidR="00270F82" w:rsidRPr="00114F62">
        <w:rPr>
          <w:lang w:val="ru-RU"/>
        </w:rPr>
        <w:t>канале с замираниями для различных скоростей передачи данных, используемых в настоящее время в ВЧ службах передачи данных. Эти значения были выведены на основе измерений выпускаемых серийно тональных модемов и предназначены для того, чтобы представлять "типичные" рабочие характеристики, а не наилучшие из имеющихся</w:t>
      </w:r>
      <w:r w:rsidR="00A6349F" w:rsidRPr="00114F62">
        <w:rPr>
          <w:lang w:val="ru-RU"/>
        </w:rPr>
        <w:t xml:space="preserve"> характеристик</w:t>
      </w:r>
      <w:r w:rsidR="00270F82" w:rsidRPr="00114F62">
        <w:rPr>
          <w:lang w:val="ru-RU"/>
        </w:rPr>
        <w:t xml:space="preserve">. </w:t>
      </w:r>
    </w:p>
    <w:p w:rsidR="00DC13A5" w:rsidRPr="00114F62" w:rsidRDefault="00270F82" w:rsidP="00E93DE0">
      <w:pPr>
        <w:rPr>
          <w:lang w:val="ru-RU"/>
        </w:rPr>
      </w:pPr>
      <w:r w:rsidRPr="00114F62">
        <w:rPr>
          <w:lang w:val="ru-RU"/>
        </w:rPr>
        <w:t xml:space="preserve">Рисунок 1 может использоваться для определения критериев защиты для различных служб: </w:t>
      </w:r>
    </w:p>
    <w:p w:rsidR="00DC13A5" w:rsidRPr="00114F62" w:rsidRDefault="00DC13A5" w:rsidP="00F96BFC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</w:r>
      <w:r w:rsidR="00A6349F" w:rsidRPr="00114F62">
        <w:rPr>
          <w:lang w:val="ru-RU"/>
        </w:rPr>
        <w:t xml:space="preserve">Технология цифровой передачи речи (например, </w:t>
      </w:r>
      <w:r w:rsidRPr="00114F62">
        <w:rPr>
          <w:lang w:val="ru-RU"/>
        </w:rPr>
        <w:t xml:space="preserve">MELP) </w:t>
      </w:r>
      <w:r w:rsidR="00A6349F" w:rsidRPr="00114F62">
        <w:rPr>
          <w:lang w:val="ru-RU"/>
        </w:rPr>
        <w:t xml:space="preserve">предлагает компромиссное решение: качество </w:t>
      </w:r>
      <w:r w:rsidR="00D67FFE" w:rsidRPr="00114F62">
        <w:rPr>
          <w:lang w:val="ru-RU"/>
        </w:rPr>
        <w:t xml:space="preserve">передачи </w:t>
      </w:r>
      <w:r w:rsidR="00A6349F" w:rsidRPr="00114F62">
        <w:rPr>
          <w:lang w:val="ru-RU"/>
        </w:rPr>
        <w:t xml:space="preserve">речи </w:t>
      </w:r>
      <w:r w:rsidR="00114F62">
        <w:rPr>
          <w:lang w:val="ru-RU"/>
        </w:rPr>
        <w:t>в завис</w:t>
      </w:r>
      <w:r w:rsidR="00F96BFC" w:rsidRPr="00114F62">
        <w:rPr>
          <w:lang w:val="ru-RU"/>
        </w:rPr>
        <w:t>имости от скорости</w:t>
      </w:r>
      <w:r w:rsidR="00323D5A" w:rsidRPr="00114F62">
        <w:rPr>
          <w:lang w:val="ru-RU"/>
        </w:rPr>
        <w:t xml:space="preserve"> передачи данных.</w:t>
      </w:r>
      <w:r w:rsidR="00A6349F" w:rsidRPr="00114F62">
        <w:rPr>
          <w:lang w:val="ru-RU"/>
        </w:rPr>
        <w:t xml:space="preserve"> </w:t>
      </w:r>
      <w:r w:rsidR="00323D5A" w:rsidRPr="00114F62">
        <w:rPr>
          <w:lang w:val="ru-RU"/>
        </w:rPr>
        <w:t xml:space="preserve">Современные системы передачи речи обеспечивают превосходное качество </w:t>
      </w:r>
      <w:r w:rsidR="00D67FFE" w:rsidRPr="00114F62">
        <w:rPr>
          <w:lang w:val="ru-RU"/>
        </w:rPr>
        <w:t xml:space="preserve">передачи </w:t>
      </w:r>
      <w:r w:rsidR="00323D5A" w:rsidRPr="00114F62">
        <w:rPr>
          <w:lang w:val="ru-RU"/>
        </w:rPr>
        <w:t>речи при работе на скорости 2</w:t>
      </w:r>
      <w:r w:rsidRPr="00114F62">
        <w:rPr>
          <w:lang w:val="ru-RU"/>
        </w:rPr>
        <w:t>400 </w:t>
      </w:r>
      <w:r w:rsidR="00323D5A" w:rsidRPr="00114F62">
        <w:rPr>
          <w:lang w:val="ru-RU"/>
        </w:rPr>
        <w:t>бит/с</w:t>
      </w:r>
      <w:r w:rsidRPr="00114F62">
        <w:rPr>
          <w:lang w:val="ru-RU"/>
        </w:rPr>
        <w:t xml:space="preserve">, </w:t>
      </w:r>
      <w:r w:rsidR="00323D5A" w:rsidRPr="00114F62">
        <w:rPr>
          <w:lang w:val="ru-RU"/>
        </w:rPr>
        <w:t xml:space="preserve">но могут работать с пониженным качеством </w:t>
      </w:r>
      <w:r w:rsidR="005C4834" w:rsidRPr="00114F62">
        <w:rPr>
          <w:lang w:val="ru-RU"/>
        </w:rPr>
        <w:t>передачи речи на скоростях 1</w:t>
      </w:r>
      <w:r w:rsidRPr="00114F62">
        <w:rPr>
          <w:lang w:val="ru-RU"/>
        </w:rPr>
        <w:t xml:space="preserve">200 </w:t>
      </w:r>
      <w:r w:rsidR="005C4834" w:rsidRPr="00114F62">
        <w:rPr>
          <w:lang w:val="ru-RU"/>
        </w:rPr>
        <w:t>и даже</w:t>
      </w:r>
      <w:r w:rsidRPr="00114F62">
        <w:rPr>
          <w:lang w:val="ru-RU"/>
        </w:rPr>
        <w:t xml:space="preserve"> 600 </w:t>
      </w:r>
      <w:r w:rsidR="00D67FFE" w:rsidRPr="00114F62">
        <w:rPr>
          <w:lang w:val="ru-RU"/>
        </w:rPr>
        <w:t>б</w:t>
      </w:r>
      <w:r w:rsidR="005C4834" w:rsidRPr="00114F62">
        <w:rPr>
          <w:lang w:val="ru-RU"/>
        </w:rPr>
        <w:t>ит/с</w:t>
      </w:r>
      <w:r w:rsidRPr="00114F62">
        <w:rPr>
          <w:lang w:val="ru-RU"/>
        </w:rPr>
        <w:t>.</w:t>
      </w:r>
    </w:p>
    <w:p w:rsidR="00DC13A5" w:rsidRPr="00114F62" w:rsidRDefault="00DC13A5" w:rsidP="00E93DE0">
      <w:pPr>
        <w:pStyle w:val="enumlev1"/>
        <w:rPr>
          <w:lang w:val="ru-RU"/>
        </w:rPr>
      </w:pPr>
      <w:r w:rsidRPr="00114F62">
        <w:rPr>
          <w:lang w:val="ru-RU"/>
        </w:rPr>
        <w:lastRenderedPageBreak/>
        <w:t>–</w:t>
      </w:r>
      <w:r w:rsidRPr="00114F62">
        <w:rPr>
          <w:lang w:val="ru-RU"/>
        </w:rPr>
        <w:tab/>
      </w:r>
      <w:r w:rsidR="005C4834" w:rsidRPr="00114F62">
        <w:rPr>
          <w:lang w:val="ru-RU"/>
        </w:rPr>
        <w:t>Широковещательная передача данных</w:t>
      </w:r>
      <w:r w:rsidR="00D67FFE" w:rsidRPr="00114F62">
        <w:rPr>
          <w:lang w:val="ru-RU"/>
        </w:rPr>
        <w:t>,</w:t>
      </w:r>
      <w:r w:rsidR="005C4834" w:rsidRPr="00114F62">
        <w:rPr>
          <w:lang w:val="ru-RU"/>
        </w:rPr>
        <w:t xml:space="preserve"> как правило</w:t>
      </w:r>
      <w:r w:rsidR="00D67FFE" w:rsidRPr="00114F62">
        <w:rPr>
          <w:lang w:val="ru-RU"/>
        </w:rPr>
        <w:t>,</w:t>
      </w:r>
      <w:r w:rsidR="005C4834" w:rsidRPr="00114F62">
        <w:rPr>
          <w:lang w:val="ru-RU"/>
        </w:rPr>
        <w:t xml:space="preserve"> действует с фиксированной скоростью передачи данных</w:t>
      </w:r>
      <w:r w:rsidRPr="00114F62">
        <w:rPr>
          <w:lang w:val="ru-RU"/>
        </w:rPr>
        <w:t xml:space="preserve"> (</w:t>
      </w:r>
      <w:r w:rsidR="005C4834" w:rsidRPr="00114F62">
        <w:rPr>
          <w:lang w:val="ru-RU"/>
        </w:rPr>
        <w:t>например,</w:t>
      </w:r>
      <w:r w:rsidRPr="00114F62">
        <w:rPr>
          <w:lang w:val="ru-RU"/>
        </w:rPr>
        <w:t xml:space="preserve"> 600 </w:t>
      </w:r>
      <w:r w:rsidR="005C4834" w:rsidRPr="00114F62">
        <w:rPr>
          <w:lang w:val="ru-RU"/>
        </w:rPr>
        <w:t>бит/с</w:t>
      </w:r>
      <w:r w:rsidRPr="00114F62">
        <w:rPr>
          <w:lang w:val="ru-RU"/>
        </w:rPr>
        <w:t>).</w:t>
      </w:r>
    </w:p>
    <w:p w:rsidR="00DC13A5" w:rsidRPr="00114F62" w:rsidRDefault="00DC13A5" w:rsidP="00F96BFC">
      <w:pPr>
        <w:pStyle w:val="enumlev1"/>
        <w:rPr>
          <w:lang w:val="ru-RU"/>
        </w:rPr>
      </w:pPr>
      <w:r w:rsidRPr="00114F62">
        <w:rPr>
          <w:lang w:val="ru-RU"/>
        </w:rPr>
        <w:t>–</w:t>
      </w:r>
      <w:r w:rsidRPr="00114F62">
        <w:rPr>
          <w:lang w:val="ru-RU"/>
        </w:rPr>
        <w:tab/>
      </w:r>
      <w:r w:rsidR="005C4834" w:rsidRPr="00114F62">
        <w:rPr>
          <w:lang w:val="ru-RU"/>
        </w:rPr>
        <w:t xml:space="preserve">Режим передачи </w:t>
      </w:r>
      <w:r w:rsidRPr="00114F62">
        <w:rPr>
          <w:lang w:val="ru-RU"/>
        </w:rPr>
        <w:t xml:space="preserve">IP </w:t>
      </w:r>
      <w:r w:rsidR="005C4834" w:rsidRPr="00114F62">
        <w:rPr>
          <w:lang w:val="ru-RU"/>
        </w:rPr>
        <w:t>по ВЧ действует в некоторых сетях с фиксированной скоростью передачи данных (например, 6</w:t>
      </w:r>
      <w:r w:rsidRPr="00114F62">
        <w:rPr>
          <w:lang w:val="ru-RU"/>
        </w:rPr>
        <w:t xml:space="preserve">400 </w:t>
      </w:r>
      <w:r w:rsidR="005C4834" w:rsidRPr="00114F62">
        <w:rPr>
          <w:lang w:val="ru-RU"/>
        </w:rPr>
        <w:t>или</w:t>
      </w:r>
      <w:r w:rsidRPr="00114F62">
        <w:rPr>
          <w:lang w:val="ru-RU"/>
        </w:rPr>
        <w:t xml:space="preserve"> 8000 </w:t>
      </w:r>
      <w:r w:rsidR="005C4834" w:rsidRPr="00114F62">
        <w:rPr>
          <w:lang w:val="ru-RU"/>
        </w:rPr>
        <w:t>бит/с</w:t>
      </w:r>
      <w:r w:rsidRPr="00114F62">
        <w:rPr>
          <w:lang w:val="ru-RU"/>
        </w:rPr>
        <w:t xml:space="preserve">), </w:t>
      </w:r>
      <w:r w:rsidR="005C4834" w:rsidRPr="00114F62">
        <w:rPr>
          <w:lang w:val="ru-RU"/>
        </w:rPr>
        <w:t xml:space="preserve">тогда как полностью адаптивные сети постоянно корректируют скорости передачи данных </w:t>
      </w:r>
      <w:r w:rsidR="00C23120" w:rsidRPr="00114F62">
        <w:rPr>
          <w:lang w:val="ru-RU"/>
        </w:rPr>
        <w:t>под влиянием</w:t>
      </w:r>
      <w:r w:rsidR="005C4834" w:rsidRPr="00114F62">
        <w:rPr>
          <w:lang w:val="ru-RU"/>
        </w:rPr>
        <w:t xml:space="preserve"> сиюминутных условий </w:t>
      </w:r>
      <w:r w:rsidR="00D5530F">
        <w:rPr>
          <w:lang w:val="ru-RU"/>
        </w:rPr>
        <w:t>канала. В </w:t>
      </w:r>
      <w:r w:rsidR="00C23120" w:rsidRPr="00114F62">
        <w:rPr>
          <w:lang w:val="ru-RU"/>
        </w:rPr>
        <w:t>последнем случае</w:t>
      </w:r>
      <w:r w:rsidR="00F96BFC" w:rsidRPr="00114F62">
        <w:rPr>
          <w:lang w:val="ru-RU"/>
        </w:rPr>
        <w:t xml:space="preserve"> определенный объем трафика необходимо отбросить при снижении</w:t>
      </w:r>
      <w:r w:rsidR="00C23120" w:rsidRPr="00114F62">
        <w:rPr>
          <w:lang w:val="ru-RU"/>
        </w:rPr>
        <w:t xml:space="preserve"> скорости передачи данных</w:t>
      </w:r>
      <w:r w:rsidR="00F96BFC" w:rsidRPr="00114F62">
        <w:rPr>
          <w:lang w:val="ru-RU"/>
        </w:rPr>
        <w:t xml:space="preserve"> из-за помехи</w:t>
      </w:r>
      <w:r w:rsidR="00C23120" w:rsidRPr="00114F62">
        <w:rPr>
          <w:lang w:val="ru-RU"/>
        </w:rPr>
        <w:t xml:space="preserve">, что приводит к переполнению буфера. </w:t>
      </w:r>
    </w:p>
    <w:p w:rsidR="00DC13A5" w:rsidRPr="00D5530F" w:rsidRDefault="00C23120" w:rsidP="00E93DE0">
      <w:pPr>
        <w:pStyle w:val="FigureNo"/>
        <w:rPr>
          <w:sz w:val="20"/>
          <w:lang w:val="ru-RU"/>
        </w:rPr>
      </w:pPr>
      <w:r w:rsidRPr="00D5530F">
        <w:rPr>
          <w:sz w:val="20"/>
          <w:lang w:val="ru-RU"/>
        </w:rPr>
        <w:t>РИСУНОК</w:t>
      </w:r>
      <w:r w:rsidR="00DC13A5" w:rsidRPr="00D5530F">
        <w:rPr>
          <w:sz w:val="20"/>
          <w:lang w:val="ru-RU"/>
        </w:rPr>
        <w:t xml:space="preserve"> 1</w:t>
      </w:r>
    </w:p>
    <w:p w:rsidR="00DC13A5" w:rsidRPr="00D5530F" w:rsidRDefault="00C23120" w:rsidP="00D5530F">
      <w:pPr>
        <w:pStyle w:val="Figuretitle"/>
        <w:rPr>
          <w:bCs/>
          <w:color w:val="000000"/>
          <w:sz w:val="20"/>
          <w:lang w:val="ru-RU"/>
        </w:rPr>
      </w:pPr>
      <w:r w:rsidRPr="00D5530F">
        <w:rPr>
          <w:rFonts w:ascii="Times New Roman" w:hAnsi="Times New Roman"/>
          <w:sz w:val="20"/>
          <w:lang w:val="ru-RU"/>
        </w:rPr>
        <w:t>Пример</w:t>
      </w:r>
      <w:r w:rsidR="00DC13A5" w:rsidRPr="00D5530F">
        <w:rPr>
          <w:sz w:val="20"/>
          <w:lang w:val="ru-RU"/>
        </w:rPr>
        <w:t xml:space="preserve"> </w:t>
      </w:r>
      <w:r w:rsidR="00F96BFC" w:rsidRPr="00D5530F">
        <w:rPr>
          <w:sz w:val="20"/>
          <w:lang w:val="ru-RU"/>
        </w:rPr>
        <w:t xml:space="preserve">отношения </w:t>
      </w:r>
      <w:r w:rsidR="00D5530F" w:rsidRPr="00D5530F">
        <w:rPr>
          <w:rFonts w:ascii="Times New Roman" w:hAnsi="Times New Roman"/>
          <w:i/>
          <w:iCs/>
          <w:sz w:val="20"/>
          <w:lang w:val="fr-CH"/>
        </w:rPr>
        <w:t>S</w:t>
      </w:r>
      <w:r w:rsidR="00D5530F" w:rsidRPr="006138FF">
        <w:rPr>
          <w:rFonts w:ascii="Times New Roman" w:hAnsi="Times New Roman"/>
          <w:i/>
          <w:iCs/>
          <w:sz w:val="20"/>
          <w:lang w:val="ru-RU"/>
        </w:rPr>
        <w:t>/</w:t>
      </w:r>
      <w:r w:rsidR="00D5530F" w:rsidRPr="00D5530F">
        <w:rPr>
          <w:rFonts w:ascii="Times New Roman" w:hAnsi="Times New Roman"/>
          <w:i/>
          <w:iCs/>
          <w:sz w:val="20"/>
          <w:lang w:val="fr-CH"/>
        </w:rPr>
        <w:t>N</w:t>
      </w:r>
      <w:r w:rsidR="00DC13A5" w:rsidRPr="00D5530F">
        <w:rPr>
          <w:sz w:val="20"/>
          <w:lang w:val="ru-RU"/>
        </w:rPr>
        <w:t xml:space="preserve"> </w:t>
      </w:r>
      <w:r w:rsidRPr="00D5530F">
        <w:rPr>
          <w:rFonts w:ascii="Times New Roman" w:hAnsi="Times New Roman"/>
          <w:sz w:val="20"/>
          <w:lang w:val="ru-RU"/>
        </w:rPr>
        <w:t>для</w:t>
      </w:r>
      <w:r w:rsidR="00DC13A5" w:rsidRPr="00D5530F">
        <w:rPr>
          <w:sz w:val="20"/>
          <w:lang w:val="ru-RU"/>
        </w:rPr>
        <w:t xml:space="preserve"> </w:t>
      </w:r>
      <w:r w:rsidR="00F96BFC" w:rsidRPr="00D5530F">
        <w:rPr>
          <w:sz w:val="20"/>
          <w:lang w:val="ru-RU"/>
        </w:rPr>
        <w:t xml:space="preserve">КОБ </w:t>
      </w:r>
      <w:r w:rsidR="00DC13A5" w:rsidRPr="00D5530F">
        <w:rPr>
          <w:sz w:val="20"/>
          <w:lang w:val="ru-RU"/>
        </w:rPr>
        <w:t>1 × 10</w:t>
      </w:r>
      <w:r w:rsidR="00D5530F" w:rsidRPr="00D5530F">
        <w:rPr>
          <w:sz w:val="20"/>
          <w:vertAlign w:val="superscript"/>
          <w:lang w:val="ru-RU"/>
        </w:rPr>
        <w:sym w:font="Symbol" w:char="F02D"/>
      </w:r>
      <w:r w:rsidR="00DC13A5" w:rsidRPr="00D5530F">
        <w:rPr>
          <w:sz w:val="20"/>
          <w:vertAlign w:val="superscript"/>
          <w:lang w:val="ru-RU"/>
        </w:rPr>
        <w:t>4</w:t>
      </w:r>
      <w:r w:rsidR="00DC13A5" w:rsidRPr="00D5530F">
        <w:rPr>
          <w:sz w:val="20"/>
          <w:lang w:val="ru-RU"/>
        </w:rPr>
        <w:t xml:space="preserve"> </w:t>
      </w:r>
      <w:r w:rsidRPr="00D5530F">
        <w:rPr>
          <w:rFonts w:ascii="Times New Roman" w:hAnsi="Times New Roman"/>
          <w:sz w:val="20"/>
          <w:lang w:val="ru-RU"/>
        </w:rPr>
        <w:t>в канале с замираниями</w:t>
      </w:r>
      <w:r w:rsidR="00DC13A5" w:rsidRPr="00D5530F">
        <w:rPr>
          <w:rFonts w:ascii="Times New Roman" w:hAnsi="Times New Roman"/>
          <w:b w:val="0"/>
          <w:bCs/>
          <w:position w:val="6"/>
          <w:sz w:val="16"/>
          <w:szCs w:val="16"/>
          <w:lang w:val="ru-RU"/>
        </w:rPr>
        <w:t>*</w:t>
      </w:r>
      <w:r w:rsidR="00DC13A5" w:rsidRPr="00D5530F">
        <w:rPr>
          <w:rFonts w:ascii="Times New Roman" w:hAnsi="Times New Roman"/>
          <w:b w:val="0"/>
          <w:bCs/>
          <w:position w:val="12"/>
          <w:sz w:val="16"/>
          <w:szCs w:val="16"/>
          <w:lang w:val="ru-RU"/>
        </w:rPr>
        <w:t>,</w:t>
      </w:r>
      <w:r w:rsidR="00DC13A5" w:rsidRPr="00D5530F">
        <w:rPr>
          <w:rFonts w:ascii="Times New Roman" w:hAnsi="Times New Roman"/>
          <w:b w:val="0"/>
          <w:bCs/>
          <w:position w:val="6"/>
          <w:sz w:val="16"/>
          <w:szCs w:val="16"/>
          <w:lang w:val="ru-RU"/>
        </w:rPr>
        <w:t xml:space="preserve"> **</w:t>
      </w:r>
      <w:r w:rsidR="00DC13A5" w:rsidRPr="00114F62">
        <w:rPr>
          <w:rStyle w:val="FootnoteReference"/>
          <w:lang w:val="ru-RU"/>
        </w:rPr>
        <w:br/>
      </w:r>
      <w:r w:rsidR="00114F62" w:rsidRPr="00D5530F">
        <w:rPr>
          <w:sz w:val="20"/>
          <w:lang w:val="ru-RU"/>
        </w:rPr>
        <w:t>О</w:t>
      </w:r>
      <w:r w:rsidR="00F96BFC" w:rsidRPr="00D5530F">
        <w:rPr>
          <w:sz w:val="20"/>
          <w:lang w:val="ru-RU"/>
        </w:rPr>
        <w:t xml:space="preserve">тношение </w:t>
      </w:r>
      <w:r w:rsidR="00D5530F" w:rsidRPr="00D5530F">
        <w:rPr>
          <w:rFonts w:ascii="Times New Roman" w:hAnsi="Times New Roman"/>
          <w:i/>
          <w:iCs/>
          <w:sz w:val="20"/>
          <w:lang w:val="fr-CH"/>
        </w:rPr>
        <w:t>S</w:t>
      </w:r>
      <w:r w:rsidR="00D5530F" w:rsidRPr="006138FF">
        <w:rPr>
          <w:rFonts w:ascii="Times New Roman" w:hAnsi="Times New Roman"/>
          <w:i/>
          <w:iCs/>
          <w:sz w:val="20"/>
          <w:lang w:val="ru-RU"/>
        </w:rPr>
        <w:t>/</w:t>
      </w:r>
      <w:r w:rsidR="00D5530F" w:rsidRPr="00D5530F">
        <w:rPr>
          <w:rFonts w:ascii="Times New Roman" w:hAnsi="Times New Roman"/>
          <w:i/>
          <w:iCs/>
          <w:sz w:val="20"/>
          <w:lang w:val="fr-CH"/>
        </w:rPr>
        <w:t>N</w:t>
      </w:r>
      <w:r w:rsidR="00DC13A5" w:rsidRPr="00D5530F">
        <w:rPr>
          <w:sz w:val="20"/>
          <w:lang w:val="ru-RU"/>
        </w:rPr>
        <w:t xml:space="preserve"> (</w:t>
      </w:r>
      <w:r w:rsidRPr="00D5530F">
        <w:rPr>
          <w:rFonts w:ascii="Times New Roman" w:hAnsi="Times New Roman"/>
          <w:sz w:val="20"/>
          <w:lang w:val="ru-RU"/>
        </w:rPr>
        <w:t>дБ</w:t>
      </w:r>
      <w:r w:rsidR="00DC13A5" w:rsidRPr="00D5530F">
        <w:rPr>
          <w:sz w:val="20"/>
          <w:lang w:val="ru-RU"/>
        </w:rPr>
        <w:t xml:space="preserve">) </w:t>
      </w:r>
      <w:r w:rsidRPr="00D5530F">
        <w:rPr>
          <w:rFonts w:ascii="Times New Roman" w:hAnsi="Times New Roman"/>
          <w:sz w:val="20"/>
          <w:lang w:val="ru-RU"/>
        </w:rPr>
        <w:t xml:space="preserve">в </w:t>
      </w:r>
      <w:r w:rsidR="00F96BFC" w:rsidRPr="00D5530F">
        <w:rPr>
          <w:rFonts w:ascii="Times New Roman" w:hAnsi="Times New Roman"/>
          <w:sz w:val="20"/>
          <w:lang w:val="ru-RU"/>
        </w:rPr>
        <w:t>зависимости от скорости</w:t>
      </w:r>
      <w:r w:rsidRPr="00D5530F">
        <w:rPr>
          <w:rFonts w:ascii="Times New Roman" w:hAnsi="Times New Roman"/>
          <w:sz w:val="20"/>
          <w:lang w:val="ru-RU"/>
        </w:rPr>
        <w:t xml:space="preserve"> передачи данных</w:t>
      </w:r>
      <w:r w:rsidR="00DC13A5" w:rsidRPr="00D5530F">
        <w:rPr>
          <w:sz w:val="20"/>
          <w:lang w:val="ru-RU"/>
        </w:rPr>
        <w:t xml:space="preserve"> (</w:t>
      </w:r>
      <w:r w:rsidRPr="00D5530F">
        <w:rPr>
          <w:rFonts w:ascii="Times New Roman" w:hAnsi="Times New Roman"/>
          <w:sz w:val="20"/>
          <w:lang w:val="ru-RU"/>
        </w:rPr>
        <w:t>бит/с</w:t>
      </w:r>
      <w:r w:rsidR="00DC13A5" w:rsidRPr="00D5530F">
        <w:rPr>
          <w:sz w:val="20"/>
          <w:lang w:val="ru-RU"/>
        </w:rPr>
        <w:t>)</w:t>
      </w:r>
    </w:p>
    <w:p w:rsidR="00DC13A5" w:rsidRPr="00114F62" w:rsidRDefault="00F96BFC" w:rsidP="00E93DE0">
      <w:pPr>
        <w:pStyle w:val="Figure"/>
        <w:rPr>
          <w:lang w:val="ru-RU"/>
        </w:rPr>
      </w:pPr>
      <w:r w:rsidRPr="00114F62">
        <w:rPr>
          <w:lang w:val="ru-RU"/>
        </w:rPr>
        <w:object w:dxaOrig="5677" w:dyaOrig="4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6pt;height:237.9pt" o:ole="">
            <v:imagedata r:id="rId6" o:title=""/>
          </v:shape>
          <o:OLEObject Type="Embed" ProgID="CorelDraw.Graphic.12" ShapeID="_x0000_i1025" DrawAspect="Content" ObjectID="_1488198900" r:id="rId7"/>
        </w:object>
      </w:r>
    </w:p>
    <w:p w:rsidR="00DC13A5" w:rsidRPr="00D5530F" w:rsidRDefault="00DC13A5" w:rsidP="00F96BFC">
      <w:pPr>
        <w:pStyle w:val="Figurelegend"/>
        <w:tabs>
          <w:tab w:val="left" w:pos="425"/>
          <w:tab w:val="left" w:pos="567"/>
          <w:tab w:val="left" w:pos="2340"/>
        </w:tabs>
        <w:ind w:left="2340" w:right="1701" w:hanging="355"/>
        <w:rPr>
          <w:sz w:val="20"/>
          <w:lang w:val="ru-RU"/>
        </w:rPr>
      </w:pPr>
      <w:r w:rsidRPr="00D5530F">
        <w:rPr>
          <w:sz w:val="16"/>
          <w:szCs w:val="16"/>
          <w:lang w:val="ru-RU"/>
        </w:rPr>
        <w:t>*</w:t>
      </w:r>
      <w:r w:rsidRPr="00114F62">
        <w:rPr>
          <w:lang w:val="ru-RU"/>
        </w:rPr>
        <w:tab/>
      </w:r>
      <w:r w:rsidR="00C23120" w:rsidRPr="00D5530F">
        <w:rPr>
          <w:sz w:val="20"/>
          <w:lang w:val="ru-RU"/>
        </w:rPr>
        <w:t xml:space="preserve">Два независимых рэлеевских тракта </w:t>
      </w:r>
      <w:r w:rsidR="00F96BFC" w:rsidRPr="00D5530F">
        <w:rPr>
          <w:sz w:val="20"/>
          <w:lang w:val="ru-RU"/>
        </w:rPr>
        <w:t xml:space="preserve">с замираниями </w:t>
      </w:r>
      <w:r w:rsidR="00C23120" w:rsidRPr="00D5530F">
        <w:rPr>
          <w:sz w:val="20"/>
          <w:lang w:val="ru-RU"/>
        </w:rPr>
        <w:t xml:space="preserve">с равной средней мощностью, с фиксированной задержкой в 2 мс между трактами, с замиранием в 1 Гц. </w:t>
      </w:r>
    </w:p>
    <w:p w:rsidR="00DC13A5" w:rsidRPr="00D5530F" w:rsidRDefault="00DC13A5" w:rsidP="00E93DE0">
      <w:pPr>
        <w:pStyle w:val="Figurelegend"/>
        <w:tabs>
          <w:tab w:val="left" w:pos="567"/>
          <w:tab w:val="left" w:pos="2340"/>
        </w:tabs>
        <w:ind w:left="2340" w:right="1701" w:hanging="355"/>
        <w:rPr>
          <w:sz w:val="20"/>
          <w:lang w:val="ru-RU"/>
        </w:rPr>
      </w:pPr>
      <w:r w:rsidRPr="00D5530F">
        <w:rPr>
          <w:sz w:val="16"/>
          <w:szCs w:val="16"/>
          <w:lang w:val="ru-RU"/>
        </w:rPr>
        <w:t>**</w:t>
      </w:r>
      <w:r w:rsidRPr="00114F62">
        <w:rPr>
          <w:lang w:val="ru-RU"/>
        </w:rPr>
        <w:tab/>
      </w:r>
      <w:r w:rsidR="00C23120" w:rsidRPr="00D5530F">
        <w:rPr>
          <w:sz w:val="20"/>
          <w:lang w:val="ru-RU"/>
        </w:rPr>
        <w:t>Технология для скоростей передачи данных 2</w:t>
      </w:r>
      <w:r w:rsidRPr="00D5530F">
        <w:rPr>
          <w:sz w:val="20"/>
          <w:lang w:val="ru-RU"/>
        </w:rPr>
        <w:t xml:space="preserve">400 </w:t>
      </w:r>
      <w:r w:rsidR="00C23120" w:rsidRPr="00D5530F">
        <w:rPr>
          <w:sz w:val="20"/>
          <w:lang w:val="ru-RU"/>
        </w:rPr>
        <w:t xml:space="preserve">бит/с и </w:t>
      </w:r>
      <w:r w:rsidR="00D67FFE" w:rsidRPr="00D5530F">
        <w:rPr>
          <w:sz w:val="20"/>
          <w:lang w:val="ru-RU"/>
        </w:rPr>
        <w:t>ниже</w:t>
      </w:r>
      <w:r w:rsidR="00C23120" w:rsidRPr="00D5530F">
        <w:rPr>
          <w:sz w:val="20"/>
          <w:lang w:val="ru-RU"/>
        </w:rPr>
        <w:t xml:space="preserve"> предшествует технологии для более высоких скоростей передачи данных. </w:t>
      </w:r>
    </w:p>
    <w:p w:rsidR="00DC13A5" w:rsidRPr="00D5530F" w:rsidRDefault="00E8375C" w:rsidP="00E93DE0">
      <w:pPr>
        <w:pStyle w:val="TableNo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>ТАБЛИЦА</w:t>
      </w:r>
      <w:r w:rsidR="00DC13A5" w:rsidRPr="00D5530F">
        <w:rPr>
          <w:sz w:val="22"/>
          <w:szCs w:val="22"/>
          <w:lang w:val="ru-RU"/>
        </w:rPr>
        <w:t xml:space="preserve"> 1</w:t>
      </w:r>
    </w:p>
    <w:p w:rsidR="00DC13A5" w:rsidRPr="006138FF" w:rsidRDefault="00E8375C" w:rsidP="00E93DE0">
      <w:pPr>
        <w:pStyle w:val="Tabletitle"/>
        <w:rPr>
          <w:rFonts w:ascii="Times New Roman" w:hAnsi="Times New Roman"/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>Пример технических характеристик фиксированных систем в полосе часто</w:t>
      </w:r>
      <w:r w:rsidR="00D67FFE" w:rsidRPr="00D5530F">
        <w:rPr>
          <w:sz w:val="22"/>
          <w:szCs w:val="22"/>
          <w:lang w:val="ru-RU"/>
        </w:rPr>
        <w:t>т</w:t>
      </w:r>
      <w:r w:rsidRPr="00D5530F">
        <w:rPr>
          <w:sz w:val="22"/>
          <w:szCs w:val="22"/>
          <w:lang w:val="ru-RU"/>
        </w:rPr>
        <w:t xml:space="preserve"> 2–30 МГц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Полоса частот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МГц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2–</w:t>
            </w:r>
            <w:r w:rsidR="00DC13A5" w:rsidRPr="00114F62">
              <w:rPr>
                <w:lang w:val="ru-RU"/>
              </w:rPr>
              <w:t>30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Тип излучения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Аналогов</w:t>
            </w:r>
            <w:r w:rsidR="00D67FFE" w:rsidRPr="00114F62">
              <w:rPr>
                <w:lang w:val="ru-RU"/>
              </w:rPr>
              <w:t>ое</w:t>
            </w:r>
            <w:r w:rsidRPr="00114F62">
              <w:rPr>
                <w:lang w:val="ru-RU"/>
              </w:rPr>
              <w:t>/цифров</w:t>
            </w:r>
            <w:r w:rsidR="00D67FFE" w:rsidRPr="00114F62">
              <w:rPr>
                <w:lang w:val="ru-RU"/>
              </w:rPr>
              <w:t>ое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i/>
                <w:lang w:val="ru-RU"/>
              </w:rPr>
            </w:pPr>
            <w:r w:rsidRPr="00114F62">
              <w:rPr>
                <w:i/>
                <w:lang w:val="ru-RU"/>
              </w:rPr>
              <w:t>Система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</w:tcPr>
          <w:p w:rsidR="00DC13A5" w:rsidRPr="00114F62" w:rsidRDefault="00DC13A5" w:rsidP="00E93DE0">
            <w:pPr>
              <w:pStyle w:val="Tabletext"/>
              <w:jc w:val="left"/>
              <w:rPr>
                <w:lang w:val="ru-RU"/>
              </w:rPr>
            </w:pP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Ширина полосы канала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кГц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2–</w:t>
            </w:r>
            <w:r w:rsidR="00DC13A5" w:rsidRPr="00114F62">
              <w:rPr>
                <w:lang w:val="ru-RU"/>
              </w:rPr>
              <w:t>6</w:t>
            </w:r>
          </w:p>
        </w:tc>
      </w:tr>
      <w:tr w:rsidR="00DC13A5" w:rsidRPr="006138FF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Тип модуляции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890661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П</w:t>
            </w:r>
            <w:r w:rsidR="00E8375C" w:rsidRPr="00114F62">
              <w:rPr>
                <w:lang w:val="ru-RU"/>
              </w:rPr>
              <w:t>одавленная несущая</w:t>
            </w:r>
            <w:r w:rsidRPr="00114F62">
              <w:rPr>
                <w:lang w:val="ru-RU"/>
              </w:rPr>
              <w:t xml:space="preserve"> в одном канале</w:t>
            </w:r>
            <w:r w:rsidR="00E8375C" w:rsidRPr="00114F62">
              <w:rPr>
                <w:lang w:val="ru-RU"/>
              </w:rPr>
              <w:t xml:space="preserve">, телефония и телеграфия 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Тип режима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vertAlign w:val="superscript"/>
                <w:lang w:val="ru-RU"/>
              </w:rPr>
            </w:pPr>
            <w:r w:rsidRPr="00114F62">
              <w:rPr>
                <w:lang w:val="ru-RU"/>
              </w:rPr>
              <w:t>Симплекс/дуплекс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Тип развертывания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Звездообразная сеть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Типичные скорости передачи данных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2,4–</w:t>
            </w:r>
            <w:r w:rsidR="00DC13A5" w:rsidRPr="00114F62">
              <w:rPr>
                <w:lang w:val="ru-RU"/>
              </w:rPr>
              <w:t>9</w:t>
            </w:r>
            <w:r w:rsidRPr="00114F62">
              <w:rPr>
                <w:lang w:val="ru-RU"/>
              </w:rPr>
              <w:t>,</w:t>
            </w:r>
            <w:r w:rsidR="00DC13A5" w:rsidRPr="00114F62">
              <w:rPr>
                <w:lang w:val="ru-RU"/>
              </w:rPr>
              <w:t xml:space="preserve">6 </w:t>
            </w:r>
            <w:r w:rsidRPr="00114F62">
              <w:rPr>
                <w:lang w:val="ru-RU"/>
              </w:rPr>
              <w:t>кбит/с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E8375C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Типичный</w:t>
            </w:r>
            <w:r w:rsidR="00DC13A5" w:rsidRPr="00114F62">
              <w:rPr>
                <w:lang w:val="ru-RU"/>
              </w:rPr>
              <w:t xml:space="preserve"> SINAD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DC13A5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 xml:space="preserve">12 </w:t>
            </w:r>
            <w:r w:rsidR="00954419" w:rsidRPr="00114F62">
              <w:rPr>
                <w:lang w:val="ru-RU"/>
              </w:rPr>
              <w:t>дБ</w:t>
            </w:r>
            <w:r w:rsidRPr="00114F62">
              <w:rPr>
                <w:lang w:val="ru-RU"/>
              </w:rPr>
              <w:t xml:space="preserve"> (</w:t>
            </w:r>
            <w:r w:rsidR="00954419" w:rsidRPr="00114F62">
              <w:rPr>
                <w:lang w:val="ru-RU"/>
              </w:rPr>
              <w:t>только речь</w:t>
            </w:r>
            <w:r w:rsidRPr="00114F62">
              <w:rPr>
                <w:lang w:val="ru-RU"/>
              </w:rPr>
              <w:t>)</w:t>
            </w:r>
          </w:p>
        </w:tc>
      </w:tr>
    </w:tbl>
    <w:p w:rsidR="0002054E" w:rsidRPr="00114F62" w:rsidRDefault="0002054E" w:rsidP="00E93DE0">
      <w:pPr>
        <w:pStyle w:val="Tablefin"/>
        <w:rPr>
          <w:lang w:val="ru-RU"/>
        </w:rPr>
      </w:pPr>
    </w:p>
    <w:p w:rsidR="0002054E" w:rsidRPr="00D5530F" w:rsidRDefault="00667EC8" w:rsidP="00E93DE0">
      <w:pPr>
        <w:pStyle w:val="TableNo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lastRenderedPageBreak/>
        <w:t>Т</w:t>
      </w:r>
      <w:r w:rsidR="00954419" w:rsidRPr="00D5530F">
        <w:rPr>
          <w:sz w:val="22"/>
          <w:szCs w:val="22"/>
          <w:lang w:val="ru-RU"/>
        </w:rPr>
        <w:t>АБЛИЦА</w:t>
      </w:r>
      <w:r w:rsidR="0002054E" w:rsidRPr="00D5530F">
        <w:rPr>
          <w:sz w:val="22"/>
          <w:szCs w:val="22"/>
          <w:lang w:val="ru-RU"/>
        </w:rPr>
        <w:t xml:space="preserve"> 1 (</w:t>
      </w:r>
      <w:r w:rsidR="00954419" w:rsidRPr="00D5530F">
        <w:rPr>
          <w:i/>
          <w:sz w:val="22"/>
          <w:szCs w:val="22"/>
          <w:lang w:val="ru-RU"/>
        </w:rPr>
        <w:t>окончание</w:t>
      </w:r>
      <w:r w:rsidR="0002054E" w:rsidRPr="00D5530F">
        <w:rPr>
          <w:sz w:val="22"/>
          <w:szCs w:val="22"/>
          <w:lang w:val="ru-RU"/>
        </w:rPr>
        <w:t>)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i/>
                <w:lang w:val="ru-RU"/>
              </w:rPr>
            </w:pPr>
            <w:r w:rsidRPr="00114F62">
              <w:rPr>
                <w:i/>
                <w:lang w:val="ru-RU"/>
              </w:rPr>
              <w:t>Передатчик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</w:tcPr>
          <w:p w:rsidR="00DC13A5" w:rsidRPr="00114F62" w:rsidRDefault="00DC13A5" w:rsidP="00E93DE0">
            <w:pPr>
              <w:pStyle w:val="Tabletext"/>
              <w:jc w:val="left"/>
              <w:rPr>
                <w:i/>
                <w:lang w:val="ru-RU"/>
              </w:rPr>
            </w:pP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Мощность передатчика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дБВт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DC13A5" w:rsidP="00E93DE0">
            <w:pPr>
              <w:pStyle w:val="Tabletext"/>
              <w:jc w:val="left"/>
              <w:rPr>
                <w:vertAlign w:val="superscript"/>
                <w:lang w:val="ru-RU"/>
              </w:rPr>
            </w:pPr>
            <w:r w:rsidRPr="00114F62">
              <w:rPr>
                <w:lang w:val="ru-RU"/>
              </w:rPr>
              <w:t>22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Длина тракта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км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2</w:t>
            </w:r>
            <w:r w:rsidR="00D5530F">
              <w:rPr>
                <w:lang w:val="fr-CH"/>
              </w:rPr>
              <w:t xml:space="preserve"> </w:t>
            </w:r>
            <w:r w:rsidR="00DC13A5" w:rsidRPr="00114F62">
              <w:rPr>
                <w:lang w:val="ru-RU"/>
              </w:rPr>
              <w:t>400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Усиление антенны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дБи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DC13A5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6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Высота антенны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м</w:t>
            </w:r>
            <w:r w:rsidR="00DC13A5" w:rsidRPr="00114F62">
              <w:rPr>
                <w:lang w:val="ru-RU"/>
              </w:rPr>
              <w:t>)</w:t>
            </w:r>
            <w:r w:rsidR="00DC13A5" w:rsidRPr="00114F62">
              <w:rPr>
                <w:lang w:val="ru-RU"/>
              </w:rPr>
              <w:br/>
              <w:t>(</w:t>
            </w:r>
            <w:r w:rsidRPr="00114F62">
              <w:rPr>
                <w:lang w:val="ru-RU"/>
              </w:rPr>
              <w:t>относительно уровня земли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10–</w:t>
            </w:r>
            <w:r w:rsidR="00DC13A5" w:rsidRPr="00114F62">
              <w:rPr>
                <w:lang w:val="ru-RU"/>
              </w:rPr>
              <w:t>60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Диаграмма излучения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Ненаправленная/направленная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Поляризация антенны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114F62" w:rsidP="00E93DE0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Вер</w:t>
            </w:r>
            <w:r w:rsidR="00954419" w:rsidRPr="00114F62">
              <w:rPr>
                <w:lang w:val="ru-RU"/>
              </w:rPr>
              <w:t>тикальная/горизонтальная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3A5" w:rsidRPr="00114F62" w:rsidRDefault="00890661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Всего потерь</w:t>
            </w:r>
            <w:r w:rsidR="00DC13A5" w:rsidRPr="00114F62">
              <w:rPr>
                <w:lang w:val="ru-RU"/>
              </w:rPr>
              <w:t xml:space="preserve"> (</w:t>
            </w:r>
            <w:r w:rsidR="00954419" w:rsidRPr="00114F62">
              <w:rPr>
                <w:lang w:val="ru-RU"/>
              </w:rPr>
              <w:t>дБ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DC13A5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1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DC13A5" w:rsidRPr="00114F62" w:rsidRDefault="00954419" w:rsidP="00E93DE0">
            <w:pPr>
              <w:pStyle w:val="Tabletext"/>
              <w:jc w:val="left"/>
              <w:rPr>
                <w:i/>
                <w:iCs/>
                <w:lang w:val="ru-RU"/>
              </w:rPr>
            </w:pPr>
            <w:r w:rsidRPr="00114F62">
              <w:rPr>
                <w:i/>
                <w:iCs/>
                <w:lang w:val="ru-RU"/>
              </w:rPr>
              <w:t>Приемник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C13A5" w:rsidRPr="00114F62" w:rsidRDefault="00DC13A5" w:rsidP="00E93DE0">
            <w:pPr>
              <w:pStyle w:val="Tabletext"/>
              <w:jc w:val="left"/>
              <w:rPr>
                <w:i/>
                <w:iCs/>
                <w:lang w:val="ru-RU"/>
              </w:rPr>
            </w:pP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954419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 xml:space="preserve">Ширина полосы фильтра ПЧ </w:t>
            </w:r>
            <w:r w:rsidR="00DC13A5" w:rsidRPr="00114F62">
              <w:rPr>
                <w:lang w:val="ru-RU"/>
              </w:rPr>
              <w:t>(</w:t>
            </w:r>
            <w:r w:rsidR="00667EC8" w:rsidRPr="00114F62">
              <w:rPr>
                <w:lang w:val="ru-RU"/>
              </w:rPr>
              <w:t>кГц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667EC8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3–</w:t>
            </w:r>
            <w:r w:rsidR="00DC13A5" w:rsidRPr="00114F62">
              <w:rPr>
                <w:lang w:val="ru-RU"/>
              </w:rPr>
              <w:t>7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667EC8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Чувствительность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дБм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DC13A5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–112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3A5" w:rsidRPr="00114F62" w:rsidRDefault="00667EC8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Усиление антенны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дБи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5" w:rsidRPr="00114F62" w:rsidRDefault="00DC13A5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6</w:t>
            </w:r>
          </w:p>
        </w:tc>
      </w:tr>
      <w:tr w:rsidR="00DC13A5" w:rsidRPr="00114F62">
        <w:trPr>
          <w:trHeight w:val="288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C13A5" w:rsidRPr="00114F62" w:rsidRDefault="00667EC8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Диаграмма</w:t>
            </w:r>
            <w:r w:rsidR="00890661" w:rsidRPr="00114F62">
              <w:rPr>
                <w:lang w:val="ru-RU"/>
              </w:rPr>
              <w:t xml:space="preserve"> направленности</w:t>
            </w:r>
            <w:r w:rsidRPr="00114F62">
              <w:rPr>
                <w:lang w:val="ru-RU"/>
              </w:rPr>
              <w:t xml:space="preserve"> антенны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13A5" w:rsidRPr="00114F62" w:rsidRDefault="00667EC8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 xml:space="preserve">Ненаправленная/направленная </w:t>
            </w:r>
            <w:r w:rsidR="00DC13A5" w:rsidRPr="00114F62">
              <w:rPr>
                <w:lang w:val="ru-RU"/>
              </w:rPr>
              <w:t>(</w:t>
            </w:r>
            <w:r w:rsidR="00890661" w:rsidRPr="00114F62">
              <w:rPr>
                <w:lang w:val="ru-RU"/>
              </w:rPr>
              <w:t xml:space="preserve">ширина луча </w:t>
            </w:r>
            <w:r w:rsidR="00DC13A5" w:rsidRPr="00114F62">
              <w:rPr>
                <w:lang w:val="ru-RU"/>
              </w:rPr>
              <w:t>30°)</w:t>
            </w:r>
          </w:p>
        </w:tc>
      </w:tr>
    </w:tbl>
    <w:p w:rsidR="00DC13A5" w:rsidRPr="00114F62" w:rsidRDefault="00DC13A5" w:rsidP="00E93DE0">
      <w:pPr>
        <w:pStyle w:val="Tablefin"/>
        <w:rPr>
          <w:lang w:val="ru-RU"/>
        </w:rPr>
      </w:pPr>
    </w:p>
    <w:p w:rsidR="00DC13A5" w:rsidRPr="00D5530F" w:rsidRDefault="00667EC8" w:rsidP="00E93DE0">
      <w:pPr>
        <w:pStyle w:val="TableNo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>ТАБЛИЦА</w:t>
      </w:r>
      <w:r w:rsidR="00DC13A5" w:rsidRPr="00D5530F">
        <w:rPr>
          <w:sz w:val="22"/>
          <w:szCs w:val="22"/>
          <w:lang w:val="ru-RU"/>
        </w:rPr>
        <w:t xml:space="preserve"> 2</w:t>
      </w:r>
    </w:p>
    <w:p w:rsidR="00DC13A5" w:rsidRPr="00D5530F" w:rsidRDefault="00667EC8" w:rsidP="00E93DE0">
      <w:pPr>
        <w:pStyle w:val="Tabletitle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>Аналоговая система</w:t>
      </w:r>
      <w:r w:rsidR="00DC13A5" w:rsidRPr="00D5530F">
        <w:rPr>
          <w:sz w:val="22"/>
          <w:szCs w:val="22"/>
          <w:lang w:val="ru-RU"/>
        </w:rPr>
        <w:t xml:space="preserve"> (</w:t>
      </w:r>
      <w:r w:rsidRPr="00D5530F">
        <w:rPr>
          <w:sz w:val="22"/>
          <w:szCs w:val="22"/>
          <w:lang w:val="ru-RU"/>
        </w:rPr>
        <w:t>речевая с одной</w:t>
      </w:r>
      <w:r w:rsidR="00DC13A5" w:rsidRPr="00D5530F">
        <w:rPr>
          <w:sz w:val="22"/>
          <w:szCs w:val="22"/>
          <w:lang w:val="ru-RU"/>
        </w:rPr>
        <w:t xml:space="preserve"> </w:t>
      </w:r>
      <w:r w:rsidRPr="00D5530F">
        <w:rPr>
          <w:sz w:val="22"/>
          <w:szCs w:val="22"/>
          <w:lang w:val="ru-RU"/>
        </w:rPr>
        <w:t>боковой полосой</w:t>
      </w:r>
      <w:r w:rsidR="00DC13A5" w:rsidRPr="00D5530F">
        <w:rPr>
          <w:sz w:val="22"/>
          <w:szCs w:val="22"/>
          <w:lang w:val="ru-RU"/>
        </w:rPr>
        <w:t>)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32"/>
        <w:gridCol w:w="3232"/>
        <w:gridCol w:w="3175"/>
      </w:tblGrid>
      <w:tr w:rsidR="00DC13A5" w:rsidRPr="00114F62">
        <w:trPr>
          <w:trHeight w:val="319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3A5" w:rsidRPr="00114F62" w:rsidRDefault="00C25E11" w:rsidP="00E93DE0">
            <w:pPr>
              <w:pStyle w:val="Tablehead"/>
              <w:rPr>
                <w:lang w:val="ru-RU"/>
              </w:rPr>
            </w:pPr>
            <w:r w:rsidRPr="00114F62">
              <w:rPr>
                <w:lang w:val="ru-RU"/>
              </w:rPr>
              <w:t>Отношение</w:t>
            </w:r>
            <w:r w:rsidR="00DC13A5" w:rsidRPr="00114F62">
              <w:rPr>
                <w:lang w:val="ru-RU"/>
              </w:rPr>
              <w:t xml:space="preserve"> </w:t>
            </w:r>
            <w:r w:rsidR="00DC13A5" w:rsidRPr="00D5530F">
              <w:rPr>
                <w:rFonts w:ascii="Times New Roman" w:hAnsi="Times New Roman" w:cs="Times New Roman"/>
                <w:i/>
                <w:iCs/>
                <w:lang w:val="ru-RU"/>
              </w:rPr>
              <w:t>S</w:t>
            </w:r>
            <w:r w:rsidR="00DC13A5" w:rsidRPr="00D5530F">
              <w:rPr>
                <w:rFonts w:ascii="Times New Roman" w:hAnsi="Times New Roman" w:cs="Times New Roman"/>
                <w:lang w:val="ru-RU"/>
              </w:rPr>
              <w:t>/</w:t>
            </w:r>
            <w:r w:rsidR="00DC13A5" w:rsidRPr="00D5530F">
              <w:rPr>
                <w:rFonts w:ascii="Times New Roman" w:hAnsi="Times New Roman" w:cs="Times New Roman"/>
                <w:i/>
                <w:iCs/>
                <w:lang w:val="ru-RU"/>
              </w:rPr>
              <w:t>N</w:t>
            </w:r>
            <w:r w:rsidR="00902FEB" w:rsidRPr="00D5530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114F62">
              <w:rPr>
                <w:iCs/>
                <w:lang w:val="ru-RU"/>
              </w:rPr>
              <w:t>по звуку</w:t>
            </w:r>
            <w:r w:rsidRPr="00114F62">
              <w:rPr>
                <w:iCs/>
                <w:lang w:val="ru-RU"/>
              </w:rPr>
              <w:br/>
              <w:t>н</w:t>
            </w:r>
            <w:r w:rsidR="00902FEB" w:rsidRPr="00114F62">
              <w:rPr>
                <w:iCs/>
                <w:lang w:val="ru-RU"/>
              </w:rPr>
              <w:t>а выходе</w:t>
            </w:r>
            <w:r w:rsidRPr="00114F62">
              <w:rPr>
                <w:iCs/>
                <w:lang w:val="ru-RU"/>
              </w:rPr>
              <w:t xml:space="preserve"> </w:t>
            </w:r>
            <w:r w:rsidR="00DC13A5" w:rsidRPr="00114F62">
              <w:rPr>
                <w:lang w:val="ru-RU"/>
              </w:rPr>
              <w:t>(</w:t>
            </w:r>
            <w:r w:rsidR="00667EC8" w:rsidRPr="00114F62">
              <w:rPr>
                <w:lang w:val="ru-RU"/>
              </w:rPr>
              <w:t>дБ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3A5" w:rsidRPr="00114F62" w:rsidRDefault="0093094A" w:rsidP="00E93DE0">
            <w:pPr>
              <w:pStyle w:val="Tablehead"/>
              <w:rPr>
                <w:lang w:val="ru-RU"/>
              </w:rPr>
            </w:pPr>
            <w:r w:rsidRPr="00114F62">
              <w:rPr>
                <w:lang w:val="ru-RU"/>
              </w:rPr>
              <w:t xml:space="preserve">Аддитивный белый гауссовский шум (АБГШ) </w:t>
            </w:r>
            <w:r w:rsidR="00DC13A5" w:rsidRPr="00114F62">
              <w:rPr>
                <w:lang w:val="ru-RU"/>
              </w:rPr>
              <w:t>(</w:t>
            </w:r>
            <w:r w:rsidR="00667EC8" w:rsidRPr="00114F62">
              <w:rPr>
                <w:lang w:val="ru-RU"/>
              </w:rPr>
              <w:t>дБ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3A5" w:rsidRPr="00114F62" w:rsidRDefault="00667EC8" w:rsidP="00E93DE0">
            <w:pPr>
              <w:pStyle w:val="Tablehead"/>
              <w:rPr>
                <w:lang w:val="ru-RU"/>
              </w:rPr>
            </w:pPr>
            <w:r w:rsidRPr="00114F62">
              <w:rPr>
                <w:lang w:val="ru-RU"/>
              </w:rPr>
              <w:t>Замирание</w:t>
            </w:r>
            <w:r w:rsidR="00DC13A5" w:rsidRPr="00114F62">
              <w:rPr>
                <w:lang w:val="ru-RU"/>
              </w:rPr>
              <w:br/>
              <w:t>(</w:t>
            </w:r>
            <w:r w:rsidRPr="00114F62">
              <w:rPr>
                <w:lang w:val="ru-RU"/>
              </w:rPr>
              <w:t>дБ</w:t>
            </w:r>
            <w:r w:rsidR="00DC13A5" w:rsidRPr="00114F62">
              <w:rPr>
                <w:lang w:val="ru-RU"/>
              </w:rPr>
              <w:t>)</w:t>
            </w:r>
          </w:p>
        </w:tc>
      </w:tr>
      <w:tr w:rsidR="00DC13A5" w:rsidRPr="00114F62">
        <w:trPr>
          <w:trHeight w:val="253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6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48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48</w:t>
            </w:r>
          </w:p>
        </w:tc>
      </w:tr>
      <w:tr w:rsidR="00DC13A5" w:rsidRPr="00114F62">
        <w:trPr>
          <w:trHeight w:val="273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15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57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62</w:t>
            </w:r>
          </w:p>
        </w:tc>
      </w:tr>
      <w:tr w:rsidR="00DC13A5" w:rsidRPr="00114F62">
        <w:trPr>
          <w:trHeight w:val="279"/>
          <w:jc w:val="center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33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65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114F62">
              <w:rPr>
                <w:rFonts w:cs="Arial"/>
                <w:color w:val="000000"/>
                <w:lang w:val="ru-RU"/>
              </w:rPr>
              <w:t>73</w:t>
            </w:r>
          </w:p>
        </w:tc>
      </w:tr>
      <w:tr w:rsidR="00DC13A5" w:rsidRPr="006138FF">
        <w:trPr>
          <w:trHeight w:val="27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DC13A5" w:rsidRPr="00114F62" w:rsidRDefault="00902FEB" w:rsidP="00E93DE0">
            <w:pPr>
              <w:pStyle w:val="Tabletext"/>
              <w:rPr>
                <w:rFonts w:cs="Arial"/>
                <w:color w:val="000000"/>
                <w:lang w:val="ru-RU"/>
              </w:rPr>
            </w:pPr>
            <w:r w:rsidRPr="00114F62">
              <w:rPr>
                <w:bCs/>
                <w:szCs w:val="22"/>
                <w:lang w:val="ru-RU"/>
              </w:rPr>
              <w:t>ПРИМЕЧАНИЕ</w:t>
            </w:r>
            <w:r w:rsidR="00AD68F3" w:rsidRPr="00114F62">
              <w:rPr>
                <w:bCs/>
                <w:szCs w:val="22"/>
                <w:lang w:val="ru-RU"/>
              </w:rPr>
              <w:t>.</w:t>
            </w:r>
            <w:r w:rsidR="00DC13A5" w:rsidRPr="00114F62">
              <w:rPr>
                <w:bCs/>
                <w:szCs w:val="22"/>
                <w:lang w:val="ru-RU"/>
              </w:rPr>
              <w:t xml:space="preserve"> – </w:t>
            </w:r>
            <w:r w:rsidRPr="00114F62">
              <w:rPr>
                <w:bCs/>
                <w:szCs w:val="22"/>
                <w:lang w:val="ru-RU"/>
              </w:rPr>
              <w:t xml:space="preserve">Цифры в столбцах </w:t>
            </w:r>
            <w:r w:rsidR="00D67FFE" w:rsidRPr="00114F62">
              <w:rPr>
                <w:bCs/>
                <w:szCs w:val="22"/>
                <w:lang w:val="ru-RU"/>
              </w:rPr>
              <w:t>"</w:t>
            </w:r>
            <w:r w:rsidR="0093094A" w:rsidRPr="00114F62">
              <w:rPr>
                <w:rFonts w:cs="Arial"/>
                <w:szCs w:val="22"/>
                <w:lang w:val="ru-RU"/>
              </w:rPr>
              <w:t>АБГШ</w:t>
            </w:r>
            <w:r w:rsidR="00D67FFE" w:rsidRPr="00114F62">
              <w:rPr>
                <w:rFonts w:cs="Arial"/>
                <w:szCs w:val="22"/>
                <w:lang w:val="ru-RU"/>
              </w:rPr>
              <w:t>"</w:t>
            </w:r>
            <w:r w:rsidR="00DC13A5" w:rsidRPr="00114F62">
              <w:rPr>
                <w:rFonts w:cs="Arial"/>
                <w:szCs w:val="22"/>
                <w:lang w:val="ru-RU"/>
              </w:rPr>
              <w:t xml:space="preserve"> </w:t>
            </w:r>
            <w:r w:rsidRPr="00114F62">
              <w:rPr>
                <w:rFonts w:cs="Arial"/>
                <w:szCs w:val="22"/>
                <w:lang w:val="ru-RU"/>
              </w:rPr>
              <w:t xml:space="preserve">и </w:t>
            </w:r>
            <w:r w:rsidR="00D67FFE" w:rsidRPr="00114F62">
              <w:rPr>
                <w:rFonts w:cs="Arial"/>
                <w:szCs w:val="22"/>
                <w:lang w:val="ru-RU"/>
              </w:rPr>
              <w:t>"З</w:t>
            </w:r>
            <w:r w:rsidR="0093094A" w:rsidRPr="00114F62">
              <w:rPr>
                <w:rFonts w:cs="Arial"/>
                <w:szCs w:val="22"/>
                <w:lang w:val="ru-RU"/>
              </w:rPr>
              <w:t>амирание</w:t>
            </w:r>
            <w:r w:rsidR="00D67FFE" w:rsidRPr="00114F62">
              <w:rPr>
                <w:rFonts w:cs="Arial"/>
                <w:szCs w:val="22"/>
                <w:lang w:val="ru-RU"/>
              </w:rPr>
              <w:t>"</w:t>
            </w:r>
            <w:r w:rsidRPr="00114F62">
              <w:rPr>
                <w:rFonts w:cs="Arial"/>
                <w:szCs w:val="22"/>
                <w:lang w:val="ru-RU"/>
              </w:rPr>
              <w:t xml:space="preserve"> настоящей Таблицы означают отношение пиковой мощности огибающей сигнала к средней мощности шума </w:t>
            </w:r>
            <w:r w:rsidR="004D59E1" w:rsidRPr="00114F62">
              <w:rPr>
                <w:rFonts w:cs="Arial"/>
                <w:szCs w:val="22"/>
                <w:lang w:val="ru-RU"/>
              </w:rPr>
              <w:t>при ширине полосы</w:t>
            </w:r>
            <w:r w:rsidR="0006078A" w:rsidRPr="00114F62">
              <w:rPr>
                <w:rFonts w:cs="Arial"/>
                <w:szCs w:val="22"/>
                <w:lang w:val="ru-RU"/>
              </w:rPr>
              <w:t xml:space="preserve"> 1 Гц. </w:t>
            </w:r>
          </w:p>
        </w:tc>
      </w:tr>
    </w:tbl>
    <w:p w:rsidR="00DC13A5" w:rsidRPr="00114F62" w:rsidRDefault="00DC13A5" w:rsidP="00E93DE0">
      <w:pPr>
        <w:pStyle w:val="Tablefin"/>
        <w:rPr>
          <w:lang w:val="ru-RU"/>
        </w:rPr>
      </w:pPr>
    </w:p>
    <w:p w:rsidR="00DC13A5" w:rsidRPr="00D5530F" w:rsidRDefault="0006078A" w:rsidP="00E93DE0">
      <w:pPr>
        <w:pStyle w:val="TableNo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>ТАБЛИЦА</w:t>
      </w:r>
      <w:r w:rsidR="00DC13A5" w:rsidRPr="00D5530F">
        <w:rPr>
          <w:sz w:val="22"/>
          <w:szCs w:val="22"/>
          <w:lang w:val="ru-RU"/>
        </w:rPr>
        <w:t xml:space="preserve"> 3</w:t>
      </w:r>
    </w:p>
    <w:p w:rsidR="00DC13A5" w:rsidRPr="00D5530F" w:rsidRDefault="0006078A" w:rsidP="00E93DE0">
      <w:pPr>
        <w:pStyle w:val="Tabletitle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 xml:space="preserve">Цифровая система </w:t>
      </w:r>
      <w:r w:rsidR="00DC13A5" w:rsidRPr="00D5530F">
        <w:rPr>
          <w:sz w:val="22"/>
          <w:szCs w:val="22"/>
          <w:lang w:val="ru-RU"/>
        </w:rPr>
        <w:t>(</w:t>
      </w:r>
      <w:r w:rsidRPr="00D5530F">
        <w:rPr>
          <w:sz w:val="22"/>
          <w:szCs w:val="22"/>
          <w:lang w:val="ru-RU"/>
        </w:rPr>
        <w:t>передачи данных</w:t>
      </w:r>
      <w:r w:rsidR="00DC13A5" w:rsidRPr="00D5530F">
        <w:rPr>
          <w:sz w:val="22"/>
          <w:szCs w:val="22"/>
          <w:lang w:val="ru-RU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3232"/>
        <w:gridCol w:w="3175"/>
      </w:tblGrid>
      <w:tr w:rsidR="00DC13A5" w:rsidRPr="00114F62">
        <w:trPr>
          <w:trHeight w:val="319"/>
          <w:jc w:val="center"/>
        </w:trPr>
        <w:tc>
          <w:tcPr>
            <w:tcW w:w="3232" w:type="dxa"/>
            <w:noWrap/>
            <w:vAlign w:val="center"/>
          </w:tcPr>
          <w:p w:rsidR="00DC13A5" w:rsidRPr="00114F62" w:rsidRDefault="0006078A" w:rsidP="00E93DE0">
            <w:pPr>
              <w:pStyle w:val="Tablehead"/>
              <w:rPr>
                <w:lang w:val="ru-RU"/>
              </w:rPr>
            </w:pPr>
            <w:r w:rsidRPr="00114F62">
              <w:rPr>
                <w:lang w:val="ru-RU"/>
              </w:rPr>
              <w:t xml:space="preserve">Модуляция </w:t>
            </w:r>
          </w:p>
        </w:tc>
        <w:tc>
          <w:tcPr>
            <w:tcW w:w="3232" w:type="dxa"/>
            <w:noWrap/>
            <w:vAlign w:val="center"/>
          </w:tcPr>
          <w:p w:rsidR="00DC13A5" w:rsidRPr="00114F62" w:rsidRDefault="0006078A" w:rsidP="00E93DE0">
            <w:pPr>
              <w:pStyle w:val="Tablehead"/>
              <w:rPr>
                <w:lang w:val="ru-RU"/>
              </w:rPr>
            </w:pPr>
            <w:r w:rsidRPr="00114F62">
              <w:rPr>
                <w:lang w:val="ru-RU"/>
              </w:rPr>
              <w:t xml:space="preserve">Канал </w:t>
            </w:r>
            <w:r w:rsidR="00AD68F3" w:rsidRPr="00114F62">
              <w:rPr>
                <w:lang w:val="ru-RU"/>
              </w:rPr>
              <w:t>с АБГШ</w:t>
            </w:r>
            <w:r w:rsidR="00DC13A5" w:rsidRPr="00114F62">
              <w:rPr>
                <w:lang w:val="ru-RU"/>
              </w:rPr>
              <w:t xml:space="preserve"> </w:t>
            </w:r>
            <w:r w:rsidR="00DC13A5" w:rsidRPr="00114F62">
              <w:rPr>
                <w:lang w:val="ru-RU"/>
              </w:rPr>
              <w:br/>
              <w:t>(</w:t>
            </w:r>
            <w:r w:rsidRPr="00114F62">
              <w:rPr>
                <w:lang w:val="ru-RU"/>
              </w:rPr>
              <w:t>дБ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3175" w:type="dxa"/>
            <w:noWrap/>
          </w:tcPr>
          <w:p w:rsidR="00DC13A5" w:rsidRPr="00114F62" w:rsidRDefault="0006078A" w:rsidP="00E93DE0">
            <w:pPr>
              <w:pStyle w:val="Tablehead"/>
              <w:rPr>
                <w:lang w:val="ru-RU"/>
              </w:rPr>
            </w:pPr>
            <w:r w:rsidRPr="00114F62">
              <w:rPr>
                <w:lang w:val="ru-RU"/>
              </w:rPr>
              <w:t>Замирание</w:t>
            </w:r>
            <w:r w:rsidR="00DC13A5" w:rsidRPr="00114F62">
              <w:rPr>
                <w:lang w:val="ru-RU"/>
              </w:rPr>
              <w:br/>
              <w:t>(</w:t>
            </w:r>
            <w:r w:rsidRPr="00114F62">
              <w:rPr>
                <w:lang w:val="ru-RU"/>
              </w:rPr>
              <w:t>дБ</w:t>
            </w:r>
            <w:r w:rsidR="00DC13A5" w:rsidRPr="00114F62">
              <w:rPr>
                <w:lang w:val="ru-RU"/>
              </w:rPr>
              <w:t>)</w:t>
            </w:r>
          </w:p>
        </w:tc>
      </w:tr>
      <w:tr w:rsidR="00DC13A5" w:rsidRPr="00114F62">
        <w:trPr>
          <w:trHeight w:val="334"/>
          <w:jc w:val="center"/>
        </w:trPr>
        <w:tc>
          <w:tcPr>
            <w:tcW w:w="3232" w:type="dxa"/>
            <w:noWrap/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64-</w:t>
            </w:r>
            <w:r w:rsidR="0006078A" w:rsidRPr="00114F62">
              <w:rPr>
                <w:lang w:val="ru-RU"/>
              </w:rPr>
              <w:t>КАМ</w:t>
            </w:r>
          </w:p>
        </w:tc>
        <w:tc>
          <w:tcPr>
            <w:tcW w:w="3232" w:type="dxa"/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21</w:t>
            </w:r>
          </w:p>
        </w:tc>
        <w:tc>
          <w:tcPr>
            <w:tcW w:w="3175" w:type="dxa"/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30</w:t>
            </w:r>
          </w:p>
        </w:tc>
      </w:tr>
      <w:tr w:rsidR="00DC13A5" w:rsidRPr="00114F62">
        <w:trPr>
          <w:trHeight w:val="410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8-</w:t>
            </w:r>
            <w:r w:rsidR="0006078A" w:rsidRPr="00114F62">
              <w:rPr>
                <w:lang w:val="ru-RU"/>
              </w:rPr>
              <w:t>ФМН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13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20</w:t>
            </w:r>
          </w:p>
        </w:tc>
      </w:tr>
      <w:tr w:rsidR="00DC13A5" w:rsidRPr="006138FF">
        <w:trPr>
          <w:trHeight w:val="410"/>
          <w:jc w:val="center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C13A5" w:rsidRPr="00114F62" w:rsidRDefault="0006078A" w:rsidP="00E93DE0">
            <w:pPr>
              <w:pStyle w:val="Tabletext"/>
              <w:rPr>
                <w:szCs w:val="22"/>
                <w:lang w:val="ru-RU"/>
              </w:rPr>
            </w:pPr>
            <w:r w:rsidRPr="00114F62">
              <w:rPr>
                <w:bCs/>
                <w:color w:val="000000"/>
                <w:szCs w:val="22"/>
                <w:lang w:val="ru-RU"/>
              </w:rPr>
              <w:t>ПРИМЕЧАНИЕ</w:t>
            </w:r>
            <w:r w:rsidR="00AD68F3" w:rsidRPr="00114F62">
              <w:rPr>
                <w:bCs/>
                <w:color w:val="000000"/>
                <w:szCs w:val="22"/>
                <w:lang w:val="ru-RU"/>
              </w:rPr>
              <w:t>.</w:t>
            </w:r>
            <w:r w:rsidR="00DC13A5" w:rsidRPr="00114F62">
              <w:rPr>
                <w:bCs/>
                <w:color w:val="000000"/>
                <w:szCs w:val="22"/>
                <w:lang w:val="ru-RU"/>
              </w:rPr>
              <w:t xml:space="preserve"> – </w:t>
            </w:r>
            <w:r w:rsidRPr="00114F62">
              <w:rPr>
                <w:color w:val="000000"/>
                <w:szCs w:val="22"/>
                <w:lang w:val="ru-RU"/>
              </w:rPr>
              <w:t xml:space="preserve">Отношение мощности несущей к средней мощности шума </w:t>
            </w:r>
            <w:r w:rsidR="004D59E1" w:rsidRPr="00114F62">
              <w:rPr>
                <w:color w:val="000000"/>
                <w:szCs w:val="22"/>
                <w:lang w:val="ru-RU"/>
              </w:rPr>
              <w:t>при ширине полосы 3 </w:t>
            </w:r>
            <w:r w:rsidRPr="00114F62">
              <w:rPr>
                <w:color w:val="000000"/>
                <w:szCs w:val="22"/>
                <w:lang w:val="ru-RU"/>
              </w:rPr>
              <w:t xml:space="preserve">кГц для условия незамирающего стабильного канала </w:t>
            </w:r>
            <w:r w:rsidR="00AD68F3" w:rsidRPr="00114F62">
              <w:rPr>
                <w:color w:val="000000"/>
                <w:szCs w:val="22"/>
                <w:lang w:val="ru-RU"/>
              </w:rPr>
              <w:t>с АБГШ</w:t>
            </w:r>
            <w:r w:rsidR="00DC13A5" w:rsidRPr="00114F62">
              <w:rPr>
                <w:color w:val="000000"/>
                <w:szCs w:val="22"/>
                <w:lang w:val="ru-RU"/>
              </w:rPr>
              <w:t xml:space="preserve"> </w:t>
            </w:r>
            <w:r w:rsidRPr="00114F62">
              <w:rPr>
                <w:color w:val="000000"/>
                <w:szCs w:val="22"/>
                <w:lang w:val="ru-RU"/>
              </w:rPr>
              <w:t>с вероятностью ошибок по битам 1,0 </w:t>
            </w:r>
            <w:r w:rsidRPr="00114F62">
              <w:rPr>
                <w:rFonts w:ascii="Symbol" w:hAnsi="Symbol"/>
                <w:color w:val="000000"/>
                <w:szCs w:val="22"/>
                <w:lang w:val="ru-RU"/>
              </w:rPr>
              <w:t></w:t>
            </w:r>
            <w:r w:rsidRPr="00114F62">
              <w:rPr>
                <w:color w:val="000000"/>
                <w:szCs w:val="22"/>
                <w:lang w:val="ru-RU"/>
              </w:rPr>
              <w:t> 10</w:t>
            </w:r>
            <w:r w:rsidR="00D5530F">
              <w:rPr>
                <w:color w:val="000000"/>
                <w:szCs w:val="22"/>
                <w:vertAlign w:val="superscript"/>
                <w:lang w:val="ru-RU"/>
              </w:rPr>
              <w:sym w:font="Symbol" w:char="F02D"/>
            </w:r>
            <w:r w:rsidR="00D5530F">
              <w:rPr>
                <w:color w:val="000000"/>
                <w:szCs w:val="22"/>
                <w:vertAlign w:val="superscript"/>
                <w:lang w:val="ru-RU"/>
              </w:rPr>
              <w:t>4</w:t>
            </w:r>
            <w:r w:rsidR="00DC13A5" w:rsidRPr="00114F62">
              <w:rPr>
                <w:color w:val="000000"/>
                <w:szCs w:val="22"/>
                <w:lang w:val="ru-RU"/>
              </w:rPr>
              <w:t>.</w:t>
            </w:r>
          </w:p>
        </w:tc>
      </w:tr>
    </w:tbl>
    <w:p w:rsidR="00DC13A5" w:rsidRPr="00114F62" w:rsidRDefault="00DC13A5" w:rsidP="00E93DE0">
      <w:pPr>
        <w:pStyle w:val="Tablefin"/>
        <w:rPr>
          <w:lang w:val="ru-RU"/>
        </w:rPr>
      </w:pPr>
    </w:p>
    <w:p w:rsidR="00DC13A5" w:rsidRPr="00D5530F" w:rsidRDefault="0006078A" w:rsidP="00AD68F3">
      <w:pPr>
        <w:pStyle w:val="TableNo"/>
        <w:pageBreakBefore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lastRenderedPageBreak/>
        <w:t>ТАБЛИЦА</w:t>
      </w:r>
      <w:r w:rsidR="00DC13A5" w:rsidRPr="00D5530F">
        <w:rPr>
          <w:sz w:val="22"/>
          <w:szCs w:val="22"/>
          <w:lang w:val="ru-RU"/>
        </w:rPr>
        <w:t xml:space="preserve"> 4</w:t>
      </w:r>
    </w:p>
    <w:p w:rsidR="00DC13A5" w:rsidRPr="00D5530F" w:rsidRDefault="0006078A" w:rsidP="00D5530F">
      <w:pPr>
        <w:pStyle w:val="Tabletitle"/>
        <w:rPr>
          <w:sz w:val="22"/>
          <w:szCs w:val="22"/>
          <w:lang w:val="ru-RU"/>
        </w:rPr>
      </w:pPr>
      <w:r w:rsidRPr="00D5530F">
        <w:rPr>
          <w:sz w:val="22"/>
          <w:szCs w:val="22"/>
          <w:lang w:val="ru-RU"/>
        </w:rPr>
        <w:t xml:space="preserve">Пример технических характеристик адаптивной фиксированной системы </w:t>
      </w:r>
      <w:r w:rsidR="00D5530F" w:rsidRPr="00D5530F">
        <w:rPr>
          <w:rFonts w:ascii="Times New Roman" w:hAnsi="Times New Roman"/>
          <w:sz w:val="22"/>
          <w:szCs w:val="22"/>
          <w:lang w:val="ru-RU"/>
        </w:rPr>
        <w:br/>
      </w:r>
      <w:r w:rsidRPr="00D5530F">
        <w:rPr>
          <w:sz w:val="22"/>
          <w:szCs w:val="22"/>
          <w:lang w:val="ru-RU"/>
        </w:rPr>
        <w:t>в полосе частот 2–30</w:t>
      </w:r>
      <w:r w:rsidR="00D5530F">
        <w:rPr>
          <w:rFonts w:ascii="Times New Roman" w:hAnsi="Times New Roman"/>
          <w:sz w:val="22"/>
          <w:szCs w:val="22"/>
          <w:lang w:val="fr-CH"/>
        </w:rPr>
        <w:t> </w:t>
      </w:r>
      <w:r w:rsidRPr="00D5530F">
        <w:rPr>
          <w:sz w:val="22"/>
          <w:szCs w:val="22"/>
          <w:lang w:val="ru-RU"/>
        </w:rPr>
        <w:t xml:space="preserve">МГц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701"/>
      </w:tblGrid>
      <w:tr w:rsidR="00DC13A5" w:rsidRPr="00114F62">
        <w:trPr>
          <w:trHeight w:val="28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06078A" w:rsidP="00E93DE0">
            <w:pPr>
              <w:pStyle w:val="Tabletext"/>
              <w:jc w:val="left"/>
              <w:rPr>
                <w:i/>
                <w:lang w:val="ru-RU"/>
              </w:rPr>
            </w:pPr>
            <w:r w:rsidRPr="00114F62">
              <w:rPr>
                <w:i/>
                <w:iCs/>
                <w:snapToGrid w:val="0"/>
                <w:lang w:val="ru-RU"/>
              </w:rPr>
              <w:t>Параметр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167A1D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AD68F3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Близкая к вертикальной падающая ионосферная волна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167A1D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Поверхностная волна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AD68F3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Ионосферная</w:t>
            </w:r>
            <w:r w:rsidR="00167A1D" w:rsidRPr="00114F62">
              <w:rPr>
                <w:lang w:val="ru-RU"/>
              </w:rPr>
              <w:t xml:space="preserve"> волна</w:t>
            </w:r>
            <w:r w:rsidR="00DC13A5" w:rsidRPr="00114F62">
              <w:rPr>
                <w:lang w:val="ru-RU"/>
              </w:rPr>
              <w:br/>
              <w:t>(</w:t>
            </w:r>
            <w:r w:rsidR="00167A1D" w:rsidRPr="00114F62">
              <w:rPr>
                <w:lang w:val="ru-RU"/>
              </w:rPr>
              <w:t>наклонная</w:t>
            </w:r>
            <w:r w:rsidR="00DC13A5" w:rsidRPr="00114F62">
              <w:rPr>
                <w:lang w:val="ru-RU"/>
              </w:rPr>
              <w:t>)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167A1D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 xml:space="preserve">Полоса частот </w:t>
            </w:r>
            <w:r w:rsidR="00DC13A5" w:rsidRPr="00114F62">
              <w:rPr>
                <w:lang w:val="ru-RU"/>
              </w:rPr>
              <w:t>(</w:t>
            </w:r>
            <w:r w:rsidRPr="00114F62">
              <w:rPr>
                <w:lang w:val="ru-RU"/>
              </w:rPr>
              <w:t>МГц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3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30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3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30</w:t>
            </w:r>
          </w:p>
        </w:tc>
      </w:tr>
      <w:tr w:rsidR="00DC13A5" w:rsidRPr="00114F62">
        <w:trPr>
          <w:trHeight w:val="345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D807E6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Необходимая ширина полосы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кГц</w:t>
            </w:r>
            <w:r w:rsidR="00DC13A5" w:rsidRPr="00114F62">
              <w:rPr>
                <w:lang w:val="ru-RU"/>
              </w:rPr>
              <w:t>)</w:t>
            </w:r>
            <w:r w:rsidR="00DC13A5" w:rsidRPr="00114F62">
              <w:rPr>
                <w:szCs w:val="22"/>
                <w:vertAlign w:val="superscript"/>
                <w:lang w:val="ru-RU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3</w:t>
            </w:r>
          </w:p>
        </w:tc>
      </w:tr>
      <w:tr w:rsidR="00DC13A5" w:rsidRPr="00114F62">
        <w:trPr>
          <w:trHeight w:val="290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D807E6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Мощность передатчика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дБВт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40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D807E6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Задержка времени включения передачи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мс</w:t>
            </w:r>
            <w:r w:rsidR="00DC13A5" w:rsidRPr="00114F62">
              <w:rPr>
                <w:lang w:val="ru-RU"/>
              </w:rPr>
              <w:t>)</w:t>
            </w:r>
            <w:r w:rsidR="00DC13A5" w:rsidRPr="00114F62">
              <w:rPr>
                <w:szCs w:val="22"/>
                <w:vertAlign w:val="superscript"/>
                <w:lang w:val="ru-RU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25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D807E6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Задержка времени</w:t>
            </w:r>
            <w:r w:rsidR="00AD68F3" w:rsidRPr="00114F62">
              <w:rPr>
                <w:lang w:val="ru-RU"/>
              </w:rPr>
              <w:t xml:space="preserve"> выключения</w:t>
            </w:r>
            <w:r w:rsidRPr="00114F62">
              <w:rPr>
                <w:lang w:val="ru-RU"/>
              </w:rPr>
              <w:t xml:space="preserve"> передачи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мс</w:t>
            </w:r>
            <w:r w:rsidR="00DC13A5" w:rsidRPr="00114F62">
              <w:rPr>
                <w:lang w:val="ru-RU"/>
              </w:rPr>
              <w:t>)</w:t>
            </w:r>
            <w:r w:rsidR="00DC13A5" w:rsidRPr="00114F62">
              <w:rPr>
                <w:szCs w:val="22"/>
                <w:vertAlign w:val="superscript"/>
                <w:lang w:val="ru-RU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10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D807E6" w:rsidP="00D5530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152"/>
              </w:tabs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Задержка времени включения</w:t>
            </w:r>
            <w:r w:rsidR="00DC13A5" w:rsidRPr="00114F62">
              <w:rPr>
                <w:lang w:val="ru-RU"/>
              </w:rPr>
              <w:t xml:space="preserve"> </w:t>
            </w:r>
            <w:r w:rsidRPr="00114F62">
              <w:rPr>
                <w:lang w:val="ru-RU"/>
              </w:rPr>
              <w:t xml:space="preserve">приема </w:t>
            </w:r>
            <w:r w:rsidR="004D59E1" w:rsidRPr="00114F62">
              <w:rPr>
                <w:lang w:val="ru-RU"/>
              </w:rPr>
              <w:t>АРУ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мс</w:t>
            </w:r>
            <w:r w:rsidR="00DC13A5" w:rsidRPr="00114F62">
              <w:rPr>
                <w:lang w:val="ru-RU"/>
              </w:rPr>
              <w:t>)</w:t>
            </w:r>
            <w:r w:rsidR="00DC13A5" w:rsidRPr="00114F62">
              <w:rPr>
                <w:lang w:val="ru-RU"/>
              </w:rPr>
              <w:tab/>
            </w:r>
            <w:r w:rsidR="00AD68F3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>Речь</w:t>
            </w:r>
            <w:r w:rsidR="00AD68F3" w:rsidRPr="00114F62">
              <w:rPr>
                <w:lang w:val="ru-RU"/>
              </w:rPr>
              <w:br/>
            </w:r>
            <w:r w:rsidR="00AD68F3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>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5530F" w:rsidP="00E93DE0">
            <w:pPr>
              <w:pStyle w:val="Tabletext"/>
              <w:jc w:val="center"/>
              <w:rPr>
                <w:lang w:val="ru-RU"/>
              </w:rPr>
            </w:pPr>
            <w:r w:rsidRPr="006138FF">
              <w:rPr>
                <w:lang w:val="ru-RU"/>
              </w:rPr>
              <w:br/>
            </w:r>
            <w:r w:rsidR="00DC13A5" w:rsidRPr="00114F62">
              <w:rPr>
                <w:lang w:val="ru-RU"/>
              </w:rPr>
              <w:t>30</w:t>
            </w:r>
            <w:r w:rsidR="00DC13A5" w:rsidRPr="00114F62">
              <w:rPr>
                <w:lang w:val="ru-RU"/>
              </w:rPr>
              <w:br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5530F" w:rsidP="00E93DE0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fr-CH"/>
              </w:rPr>
              <w:br/>
            </w:r>
            <w:r w:rsidR="00DC13A5" w:rsidRPr="00114F62">
              <w:rPr>
                <w:lang w:val="ru-RU"/>
              </w:rPr>
              <w:t>30</w:t>
            </w:r>
            <w:r w:rsidR="00DC13A5" w:rsidRPr="00114F62">
              <w:rPr>
                <w:lang w:val="ru-RU"/>
              </w:rPr>
              <w:br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5530F" w:rsidP="00E93DE0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fr-CH"/>
              </w:rPr>
              <w:br/>
            </w:r>
            <w:r w:rsidR="00DC13A5" w:rsidRPr="00114F62">
              <w:rPr>
                <w:lang w:val="ru-RU"/>
              </w:rPr>
              <w:t>30</w:t>
            </w:r>
            <w:r w:rsidR="00DC13A5" w:rsidRPr="00114F62">
              <w:rPr>
                <w:lang w:val="ru-RU"/>
              </w:rPr>
              <w:br/>
              <w:t>10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D807E6" w:rsidP="00D5530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152"/>
              </w:tabs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 xml:space="preserve">Задержка времени </w:t>
            </w:r>
            <w:r w:rsidR="00AD68F3" w:rsidRPr="00114F62">
              <w:rPr>
                <w:lang w:val="ru-RU"/>
              </w:rPr>
              <w:t>выключения</w:t>
            </w:r>
            <w:r w:rsidRPr="00114F62">
              <w:rPr>
                <w:lang w:val="ru-RU"/>
              </w:rPr>
              <w:t xml:space="preserve"> приема </w:t>
            </w:r>
            <w:r w:rsidR="004D59E1" w:rsidRPr="00114F62">
              <w:rPr>
                <w:lang w:val="ru-RU"/>
              </w:rPr>
              <w:t>АРУ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мс</w:t>
            </w:r>
            <w:r w:rsidR="00DC13A5" w:rsidRPr="00114F62">
              <w:rPr>
                <w:lang w:val="ru-RU"/>
              </w:rPr>
              <w:t>)</w:t>
            </w:r>
            <w:r w:rsidR="00DC13A5" w:rsidRPr="00114F62">
              <w:rPr>
                <w:lang w:val="ru-RU"/>
              </w:rPr>
              <w:tab/>
            </w:r>
            <w:r w:rsidR="00AD68F3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>Речь</w:t>
            </w:r>
            <w:r w:rsidR="00AD68F3" w:rsidRPr="00114F62">
              <w:rPr>
                <w:lang w:val="ru-RU"/>
              </w:rPr>
              <w:br/>
            </w:r>
            <w:r w:rsidR="00AD68F3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>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5530F" w:rsidP="00E93DE0">
            <w:pPr>
              <w:pStyle w:val="Tabletext"/>
              <w:jc w:val="center"/>
              <w:rPr>
                <w:lang w:val="ru-RU"/>
              </w:rPr>
            </w:pPr>
            <w:r w:rsidRPr="006138FF">
              <w:rPr>
                <w:lang w:val="ru-RU"/>
              </w:rPr>
              <w:br/>
            </w:r>
            <w:r w:rsidR="00DC13A5" w:rsidRPr="00114F62">
              <w:rPr>
                <w:lang w:val="ru-RU"/>
              </w:rPr>
              <w:t>900</w:t>
            </w:r>
            <w:r w:rsidR="00167A1D" w:rsidRPr="00114F62">
              <w:rPr>
                <w:lang w:val="ru-RU"/>
              </w:rPr>
              <w:t>–</w:t>
            </w:r>
            <w:r w:rsidR="00DC13A5" w:rsidRPr="00114F62">
              <w:rPr>
                <w:lang w:val="ru-RU"/>
              </w:rPr>
              <w:t>1 200</w:t>
            </w:r>
            <w:r w:rsidR="00DC13A5" w:rsidRPr="00114F62">
              <w:rPr>
                <w:lang w:val="ru-RU"/>
              </w:rPr>
              <w:br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5530F" w:rsidP="00E93DE0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fr-CH"/>
              </w:rPr>
              <w:br/>
            </w:r>
            <w:r w:rsidR="00DC13A5" w:rsidRPr="00114F62">
              <w:rPr>
                <w:lang w:val="ru-RU"/>
              </w:rPr>
              <w:t>900</w:t>
            </w:r>
            <w:r w:rsidR="00167A1D" w:rsidRPr="00114F62">
              <w:rPr>
                <w:lang w:val="ru-RU"/>
              </w:rPr>
              <w:t>–</w:t>
            </w:r>
            <w:r w:rsidR="00DC13A5" w:rsidRPr="00114F62">
              <w:rPr>
                <w:lang w:val="ru-RU"/>
              </w:rPr>
              <w:t>1 200</w:t>
            </w:r>
            <w:r w:rsidR="00DC13A5" w:rsidRPr="00114F62">
              <w:rPr>
                <w:lang w:val="ru-RU"/>
              </w:rPr>
              <w:br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5530F" w:rsidP="00E93DE0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fr-CH"/>
              </w:rPr>
              <w:br/>
            </w:r>
            <w:r w:rsidR="00DC13A5" w:rsidRPr="00114F62">
              <w:rPr>
                <w:lang w:val="ru-RU"/>
              </w:rPr>
              <w:t>900</w:t>
            </w:r>
            <w:r w:rsidR="00167A1D" w:rsidRPr="00114F62">
              <w:rPr>
                <w:lang w:val="ru-RU"/>
              </w:rPr>
              <w:t>–</w:t>
            </w:r>
            <w:r w:rsidR="00DC13A5" w:rsidRPr="00114F62">
              <w:rPr>
                <w:lang w:val="ru-RU"/>
              </w:rPr>
              <w:t>1 200</w:t>
            </w:r>
            <w:r w:rsidR="00DC13A5" w:rsidRPr="00114F62">
              <w:rPr>
                <w:lang w:val="ru-RU"/>
              </w:rPr>
              <w:br/>
              <w:t>35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4D59E1" w:rsidP="00D5530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152"/>
              </w:tabs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Отношение сигнал-шум (дБ)</w:t>
            </w:r>
            <w:r w:rsidR="00DC13A5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>Высокоскоростная передача данн</w:t>
            </w:r>
            <w:r w:rsidR="00AD68F3" w:rsidRPr="00114F62">
              <w:rPr>
                <w:lang w:val="ru-RU"/>
              </w:rPr>
              <w:t>ых</w:t>
            </w:r>
            <w:r w:rsidR="00AD68F3" w:rsidRPr="00114F62">
              <w:rPr>
                <w:lang w:val="ru-RU"/>
              </w:rPr>
              <w:br/>
            </w:r>
            <w:r w:rsidR="00AD68F3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>Аналоговая речевая</w:t>
            </w:r>
            <w:r w:rsidR="00AD68F3" w:rsidRPr="00114F62">
              <w:rPr>
                <w:lang w:val="ru-RU"/>
              </w:rPr>
              <w:br/>
            </w:r>
            <w:r w:rsidR="00AD68F3" w:rsidRPr="00114F62">
              <w:rPr>
                <w:lang w:val="ru-RU"/>
              </w:rPr>
              <w:tab/>
            </w:r>
            <w:r w:rsidRPr="00114F62">
              <w:rPr>
                <w:lang w:val="ru-RU"/>
              </w:rPr>
              <w:t xml:space="preserve">Цифровая речевая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4D59E1" w:rsidRPr="00114F62" w:rsidRDefault="004D59E1" w:rsidP="00E93DE0">
            <w:pPr>
              <w:pStyle w:val="Tabletext"/>
              <w:jc w:val="center"/>
              <w:rPr>
                <w:lang w:val="ru-RU"/>
              </w:rPr>
            </w:pPr>
          </w:p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24</w:t>
            </w:r>
            <w:r w:rsidRPr="00114F62">
              <w:rPr>
                <w:lang w:val="ru-RU"/>
              </w:rPr>
              <w:br/>
              <w:t>21</w:t>
            </w:r>
            <w:r w:rsidRPr="00114F62">
              <w:rPr>
                <w:lang w:val="ru-RU"/>
              </w:rPr>
              <w:br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59E1" w:rsidRPr="00114F62" w:rsidRDefault="004D59E1" w:rsidP="00E93DE0">
            <w:pPr>
              <w:pStyle w:val="Tabletext"/>
              <w:jc w:val="center"/>
              <w:rPr>
                <w:lang w:val="ru-RU"/>
              </w:rPr>
            </w:pPr>
          </w:p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18</w:t>
            </w:r>
            <w:r w:rsidRPr="00114F62">
              <w:rPr>
                <w:lang w:val="ru-RU"/>
              </w:rPr>
              <w:br/>
              <w:t>15</w:t>
            </w:r>
            <w:r w:rsidRPr="00114F62">
              <w:rPr>
                <w:lang w:val="ru-RU"/>
              </w:rPr>
              <w:br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59E1" w:rsidRPr="00114F62" w:rsidRDefault="004D59E1" w:rsidP="00E93DE0">
            <w:pPr>
              <w:pStyle w:val="Tabletext"/>
              <w:jc w:val="center"/>
              <w:rPr>
                <w:lang w:val="ru-RU"/>
              </w:rPr>
            </w:pPr>
          </w:p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24</w:t>
            </w:r>
            <w:r w:rsidRPr="00114F62">
              <w:rPr>
                <w:lang w:val="ru-RU"/>
              </w:rPr>
              <w:br/>
              <w:t>21</w:t>
            </w:r>
            <w:r w:rsidRPr="00114F62">
              <w:rPr>
                <w:lang w:val="ru-RU"/>
              </w:rPr>
              <w:br/>
              <w:t>8</w:t>
            </w:r>
          </w:p>
        </w:tc>
      </w:tr>
      <w:tr w:rsidR="00DC13A5" w:rsidRPr="00114F62">
        <w:trPr>
          <w:trHeight w:val="290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4D59E1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Усиление передающей антенны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дБи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6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15</w:t>
            </w:r>
          </w:p>
        </w:tc>
      </w:tr>
      <w:tr w:rsidR="00DC13A5" w:rsidRPr="00114F62">
        <w:trPr>
          <w:trHeight w:val="290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4D59E1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Максимальная э.и.и.м.</w:t>
            </w:r>
            <w:r w:rsidR="00DC13A5" w:rsidRPr="00114F62">
              <w:rPr>
                <w:lang w:val="ru-RU"/>
              </w:rPr>
              <w:t xml:space="preserve"> (</w:t>
            </w:r>
            <w:r w:rsidRPr="00114F62">
              <w:rPr>
                <w:lang w:val="ru-RU"/>
              </w:rPr>
              <w:t>дБВт</w:t>
            </w:r>
            <w:r w:rsidR="00DC13A5" w:rsidRPr="00114F62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0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DC13A5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16</w:t>
            </w:r>
            <w:r w:rsidR="00167A1D" w:rsidRPr="00114F62">
              <w:rPr>
                <w:lang w:val="ru-RU"/>
              </w:rPr>
              <w:t>–</w:t>
            </w:r>
            <w:r w:rsidRPr="00114F62">
              <w:rPr>
                <w:lang w:val="ru-RU"/>
              </w:rPr>
              <w:t>55</w:t>
            </w:r>
          </w:p>
        </w:tc>
      </w:tr>
      <w:tr w:rsidR="00DC13A5" w:rsidRPr="00114F62">
        <w:trPr>
          <w:trHeight w:val="28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3A5" w:rsidRPr="00114F62" w:rsidRDefault="004D59E1" w:rsidP="00E93DE0">
            <w:pPr>
              <w:pStyle w:val="Tabletext"/>
              <w:jc w:val="left"/>
              <w:rPr>
                <w:lang w:val="ru-RU"/>
              </w:rPr>
            </w:pPr>
            <w:r w:rsidRPr="00114F62">
              <w:rPr>
                <w:lang w:val="ru-RU"/>
              </w:rPr>
              <w:t>Поляризация антенны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4D59E1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Горизонтальная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4D59E1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Вертикальная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13A5" w:rsidRPr="00114F62" w:rsidRDefault="004D59E1" w:rsidP="00E93DE0">
            <w:pPr>
              <w:pStyle w:val="Tabletext"/>
              <w:jc w:val="center"/>
              <w:rPr>
                <w:lang w:val="ru-RU"/>
              </w:rPr>
            </w:pPr>
            <w:r w:rsidRPr="00114F62">
              <w:rPr>
                <w:lang w:val="ru-RU"/>
              </w:rPr>
              <w:t>Вертикальная/</w:t>
            </w:r>
            <w:r w:rsidRPr="00114F62">
              <w:rPr>
                <w:lang w:val="ru-RU"/>
              </w:rPr>
              <w:br/>
              <w:t>горизонтальная</w:t>
            </w:r>
          </w:p>
        </w:tc>
      </w:tr>
      <w:tr w:rsidR="00DC13A5" w:rsidRPr="006138FF">
        <w:trPr>
          <w:trHeight w:val="28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DC13A5" w:rsidRPr="00114F62" w:rsidRDefault="00DC13A5" w:rsidP="00AD68F3">
            <w:pPr>
              <w:pStyle w:val="Tablelegend"/>
              <w:rPr>
                <w:lang w:val="ru-RU"/>
              </w:rPr>
            </w:pPr>
            <w:r w:rsidRPr="00114F62">
              <w:rPr>
                <w:szCs w:val="22"/>
                <w:vertAlign w:val="superscript"/>
                <w:lang w:val="ru-RU"/>
              </w:rPr>
              <w:t>(1)</w:t>
            </w:r>
            <w:r w:rsidRPr="00114F62">
              <w:rPr>
                <w:lang w:val="ru-RU"/>
              </w:rPr>
              <w:tab/>
            </w:r>
            <w:r w:rsidR="00AD68F3" w:rsidRPr="00114F62">
              <w:rPr>
                <w:lang w:val="ru-RU"/>
              </w:rPr>
              <w:t>Разделение</w:t>
            </w:r>
            <w:r w:rsidR="004D59E1" w:rsidRPr="00114F62">
              <w:rPr>
                <w:lang w:val="ru-RU"/>
              </w:rPr>
              <w:t xml:space="preserve"> каналов </w:t>
            </w:r>
            <w:r w:rsidR="00AD68F3" w:rsidRPr="00114F62">
              <w:rPr>
                <w:lang w:val="ru-RU"/>
              </w:rPr>
              <w:t xml:space="preserve">на полосы </w:t>
            </w:r>
            <w:r w:rsidR="004D59E1" w:rsidRPr="00114F62">
              <w:rPr>
                <w:lang w:val="ru-RU"/>
              </w:rPr>
              <w:t>может обеспечить ширину полосы 12 кГц.</w:t>
            </w:r>
          </w:p>
          <w:p w:rsidR="00DC13A5" w:rsidRPr="00114F62" w:rsidRDefault="00DC13A5" w:rsidP="00AD68F3">
            <w:pPr>
              <w:pStyle w:val="Tablelegend"/>
              <w:rPr>
                <w:lang w:val="ru-RU"/>
              </w:rPr>
            </w:pPr>
            <w:r w:rsidRPr="00114F62">
              <w:rPr>
                <w:szCs w:val="22"/>
                <w:vertAlign w:val="superscript"/>
                <w:lang w:val="ru-RU"/>
              </w:rPr>
              <w:t>(2)</w:t>
            </w:r>
            <w:r w:rsidRPr="00114F62">
              <w:rPr>
                <w:lang w:val="ru-RU"/>
              </w:rPr>
              <w:tab/>
            </w:r>
            <w:r w:rsidR="004D59E1" w:rsidRPr="00114F62">
              <w:rPr>
                <w:lang w:val="ru-RU"/>
              </w:rPr>
              <w:t>Задержка времени включения</w:t>
            </w:r>
            <w:r w:rsidRPr="00114F62">
              <w:rPr>
                <w:lang w:val="ru-RU"/>
              </w:rPr>
              <w:t xml:space="preserve">. </w:t>
            </w:r>
            <w:r w:rsidR="004D59E1" w:rsidRPr="00114F62">
              <w:rPr>
                <w:lang w:val="ru-RU"/>
              </w:rPr>
              <w:t xml:space="preserve">Интервал времени от </w:t>
            </w:r>
            <w:r w:rsidR="00BB51B2" w:rsidRPr="00114F62">
              <w:rPr>
                <w:lang w:val="ru-RU"/>
              </w:rPr>
              <w:t xml:space="preserve">включения передатчика до </w:t>
            </w:r>
            <w:r w:rsidR="00AD68F3" w:rsidRPr="00114F62">
              <w:rPr>
                <w:lang w:val="ru-RU"/>
              </w:rPr>
              <w:t>повышения</w:t>
            </w:r>
            <w:r w:rsidR="00BB51B2" w:rsidRPr="00114F62">
              <w:rPr>
                <w:lang w:val="ru-RU"/>
              </w:rPr>
              <w:t xml:space="preserve"> амплитуды передаваемого РЧ сигнала до 90% значения в установившемся режиме. Эта задержка не включает любое время, необходимое для автоматической настройки антенны. </w:t>
            </w:r>
          </w:p>
          <w:p w:rsidR="00DC13A5" w:rsidRPr="00114F62" w:rsidRDefault="00DC13A5" w:rsidP="00E93DE0">
            <w:pPr>
              <w:pStyle w:val="Tablelegend"/>
              <w:rPr>
                <w:lang w:val="ru-RU"/>
              </w:rPr>
            </w:pPr>
            <w:r w:rsidRPr="00114F62">
              <w:rPr>
                <w:szCs w:val="22"/>
                <w:vertAlign w:val="superscript"/>
                <w:lang w:val="ru-RU"/>
              </w:rPr>
              <w:t>(3)</w:t>
            </w:r>
            <w:r w:rsidRPr="00114F62">
              <w:rPr>
                <w:lang w:val="ru-RU"/>
              </w:rPr>
              <w:tab/>
            </w:r>
            <w:r w:rsidR="004D59E1" w:rsidRPr="00114F62">
              <w:rPr>
                <w:lang w:val="ru-RU"/>
              </w:rPr>
              <w:t xml:space="preserve">Задержка времени </w:t>
            </w:r>
            <w:r w:rsidR="00AD68F3" w:rsidRPr="00114F62">
              <w:rPr>
                <w:lang w:val="ru-RU"/>
              </w:rPr>
              <w:t>выключения</w:t>
            </w:r>
            <w:r w:rsidRPr="00114F62">
              <w:rPr>
                <w:lang w:val="ru-RU"/>
              </w:rPr>
              <w:t xml:space="preserve">. </w:t>
            </w:r>
            <w:r w:rsidR="00BB51B2" w:rsidRPr="00114F62">
              <w:rPr>
                <w:lang w:val="ru-RU"/>
              </w:rPr>
              <w:t xml:space="preserve">Интервал времени от выключения передатчика до уменьшения амплитуды передаваемого РЧ сигнала до 10%  значения в установившемся режиме. </w:t>
            </w:r>
          </w:p>
        </w:tc>
      </w:tr>
    </w:tbl>
    <w:p w:rsidR="00DC13A5" w:rsidRPr="006138FF" w:rsidRDefault="00DC13A5" w:rsidP="00E93DE0">
      <w:pPr>
        <w:pStyle w:val="Tablefin"/>
        <w:rPr>
          <w:lang w:val="ru-RU"/>
        </w:rPr>
      </w:pPr>
    </w:p>
    <w:p w:rsidR="00D5530F" w:rsidRPr="006138FF" w:rsidRDefault="00D5530F" w:rsidP="00D5530F">
      <w:pPr>
        <w:rPr>
          <w:lang w:val="ru-RU"/>
        </w:rPr>
      </w:pPr>
    </w:p>
    <w:p w:rsidR="00DC13A5" w:rsidRPr="00D5530F" w:rsidRDefault="00D5530F" w:rsidP="00D5530F">
      <w:pPr>
        <w:jc w:val="center"/>
        <w:rPr>
          <w:lang w:val="en-GB"/>
        </w:rPr>
      </w:pPr>
      <w:r>
        <w:rPr>
          <w:lang w:val="en-GB"/>
        </w:rPr>
        <w:t>_________________</w:t>
      </w:r>
    </w:p>
    <w:sectPr w:rsidR="00DC13A5" w:rsidRPr="00D5530F">
      <w:headerReference w:type="even" r:id="rId8"/>
      <w:headerReference w:type="default" r:id="rId9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0F" w:rsidRDefault="00D5530F" w:rsidP="00DC13A5">
      <w:pPr>
        <w:pStyle w:val="Tabletext"/>
      </w:pPr>
      <w:r>
        <w:separator/>
      </w:r>
    </w:p>
  </w:endnote>
  <w:endnote w:type="continuationSeparator" w:id="0">
    <w:p w:rsidR="00D5530F" w:rsidRDefault="00D5530F" w:rsidP="00DC13A5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0F" w:rsidRDefault="00D5530F" w:rsidP="00DC13A5">
      <w:pPr>
        <w:pStyle w:val="Tabletext"/>
      </w:pPr>
      <w:r>
        <w:separator/>
      </w:r>
    </w:p>
  </w:footnote>
  <w:footnote w:type="continuationSeparator" w:id="0">
    <w:p w:rsidR="00D5530F" w:rsidRDefault="00D5530F" w:rsidP="00DC13A5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0F" w:rsidRPr="00E93DE0" w:rsidRDefault="00D5530F">
    <w:pPr>
      <w:pStyle w:val="Header"/>
      <w:jc w:val="left"/>
      <w:rPr>
        <w:b/>
        <w:bCs/>
        <w:lang w:val="ru-RU"/>
      </w:rPr>
    </w:pPr>
    <w:r>
      <w:rPr>
        <w:lang w:val="en-US"/>
      </w:rPr>
      <w:tab/>
    </w:r>
    <w:r>
      <w:rPr>
        <w:b/>
        <w:bCs/>
        <w:lang w:val="ru-RU"/>
      </w:rPr>
      <w:t>Рек</w:t>
    </w:r>
    <w:r w:rsidRPr="0076015D">
      <w:rPr>
        <w:b/>
        <w:bCs/>
        <w:lang w:val="en-US"/>
      </w:rPr>
      <w:t>.</w:t>
    </w:r>
    <w:r>
      <w:rPr>
        <w:b/>
        <w:bCs/>
        <w:lang w:val="ru-RU"/>
      </w:rPr>
      <w:t xml:space="preserve"> МСЭ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6138FF">
      <w:rPr>
        <w:b/>
        <w:bCs/>
        <w:noProof/>
      </w:rPr>
      <w:t>-R  F.1761</w:t>
    </w:r>
    <w:r>
      <w:rPr>
        <w:b/>
        <w:bCs/>
      </w:rPr>
      <w:fldChar w:fldCharType="end"/>
    </w:r>
    <w:r>
      <w:rPr>
        <w:b/>
        <w:bCs/>
        <w:lang w:val="ru-RU"/>
      </w:rPr>
      <w:tab/>
    </w:r>
    <w:r w:rsidRPr="00E93DE0">
      <w:rPr>
        <w:rStyle w:val="PageNumber"/>
        <w:b/>
        <w:bCs/>
      </w:rPr>
      <w:fldChar w:fldCharType="begin"/>
    </w:r>
    <w:r w:rsidRPr="00E93DE0">
      <w:rPr>
        <w:rStyle w:val="PageNumber"/>
        <w:b/>
        <w:bCs/>
      </w:rPr>
      <w:instrText xml:space="preserve"> PAGE </w:instrText>
    </w:r>
    <w:r w:rsidRPr="00E93DE0">
      <w:rPr>
        <w:rStyle w:val="PageNumber"/>
        <w:b/>
        <w:bCs/>
      </w:rPr>
      <w:fldChar w:fldCharType="separate"/>
    </w:r>
    <w:r w:rsidR="006138FF">
      <w:rPr>
        <w:rStyle w:val="PageNumber"/>
        <w:b/>
        <w:bCs/>
        <w:noProof/>
      </w:rPr>
      <w:t>2</w:t>
    </w:r>
    <w:r w:rsidRPr="00E93DE0">
      <w:rPr>
        <w:rStyle w:val="PageNumber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0F" w:rsidRPr="00E93DE0" w:rsidRDefault="00D5530F">
    <w:pPr>
      <w:pStyle w:val="Header"/>
      <w:rPr>
        <w:b/>
        <w:bCs/>
      </w:rPr>
    </w:pPr>
    <w:r>
      <w:tab/>
    </w:r>
    <w:r>
      <w:rPr>
        <w:b/>
        <w:bCs/>
        <w:lang w:val="ru-RU"/>
      </w:rPr>
      <w:t>Рек. МСЭ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6138FF">
      <w:rPr>
        <w:b/>
        <w:bCs/>
        <w:noProof/>
      </w:rPr>
      <w:t>-R  F.1761</w:t>
    </w:r>
    <w:r>
      <w:rPr>
        <w:b/>
        <w:bCs/>
      </w:rPr>
      <w:fldChar w:fldCharType="end"/>
    </w:r>
    <w:r>
      <w:tab/>
    </w:r>
    <w:r w:rsidRPr="00E93DE0">
      <w:rPr>
        <w:rStyle w:val="PageNumber"/>
        <w:b/>
        <w:bCs/>
      </w:rPr>
      <w:fldChar w:fldCharType="begin"/>
    </w:r>
    <w:r w:rsidRPr="00E93DE0">
      <w:rPr>
        <w:rStyle w:val="PageNumber"/>
        <w:b/>
        <w:bCs/>
      </w:rPr>
      <w:instrText xml:space="preserve"> PAGE </w:instrText>
    </w:r>
    <w:r w:rsidRPr="00E93DE0">
      <w:rPr>
        <w:rStyle w:val="PageNumber"/>
        <w:b/>
        <w:bCs/>
      </w:rPr>
      <w:fldChar w:fldCharType="separate"/>
    </w:r>
    <w:r w:rsidR="006138FF">
      <w:rPr>
        <w:rStyle w:val="PageNumber"/>
        <w:b/>
        <w:bCs/>
        <w:noProof/>
      </w:rPr>
      <w:t>3</w:t>
    </w:r>
    <w:r w:rsidRPr="00E93DE0"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54E"/>
    <w:rsid w:val="00010F90"/>
    <w:rsid w:val="0002054E"/>
    <w:rsid w:val="00037941"/>
    <w:rsid w:val="0006078A"/>
    <w:rsid w:val="00086692"/>
    <w:rsid w:val="000E7365"/>
    <w:rsid w:val="00114F62"/>
    <w:rsid w:val="00164960"/>
    <w:rsid w:val="00167A1D"/>
    <w:rsid w:val="00270F82"/>
    <w:rsid w:val="00323D5A"/>
    <w:rsid w:val="004033CC"/>
    <w:rsid w:val="004122E3"/>
    <w:rsid w:val="004234FC"/>
    <w:rsid w:val="0044782C"/>
    <w:rsid w:val="00482819"/>
    <w:rsid w:val="00496A7A"/>
    <w:rsid w:val="004D35CE"/>
    <w:rsid w:val="004D59E1"/>
    <w:rsid w:val="004F397B"/>
    <w:rsid w:val="00545595"/>
    <w:rsid w:val="005C4834"/>
    <w:rsid w:val="006138FF"/>
    <w:rsid w:val="00667EC8"/>
    <w:rsid w:val="00681363"/>
    <w:rsid w:val="00716124"/>
    <w:rsid w:val="0076015D"/>
    <w:rsid w:val="00774672"/>
    <w:rsid w:val="00827912"/>
    <w:rsid w:val="00866A43"/>
    <w:rsid w:val="00890661"/>
    <w:rsid w:val="008B6B1C"/>
    <w:rsid w:val="00902FEB"/>
    <w:rsid w:val="0093094A"/>
    <w:rsid w:val="00931FD0"/>
    <w:rsid w:val="00954419"/>
    <w:rsid w:val="00A05671"/>
    <w:rsid w:val="00A0704F"/>
    <w:rsid w:val="00A11419"/>
    <w:rsid w:val="00A4506F"/>
    <w:rsid w:val="00A47DE5"/>
    <w:rsid w:val="00A6349F"/>
    <w:rsid w:val="00AD68F3"/>
    <w:rsid w:val="00AE32E0"/>
    <w:rsid w:val="00B83966"/>
    <w:rsid w:val="00BB51B2"/>
    <w:rsid w:val="00BC67C5"/>
    <w:rsid w:val="00BF4B28"/>
    <w:rsid w:val="00C23120"/>
    <w:rsid w:val="00C25E11"/>
    <w:rsid w:val="00C62948"/>
    <w:rsid w:val="00CC0602"/>
    <w:rsid w:val="00CF02D7"/>
    <w:rsid w:val="00D5530F"/>
    <w:rsid w:val="00D67FFE"/>
    <w:rsid w:val="00D730BF"/>
    <w:rsid w:val="00D807E6"/>
    <w:rsid w:val="00DC13A5"/>
    <w:rsid w:val="00DC19A4"/>
    <w:rsid w:val="00E8375C"/>
    <w:rsid w:val="00E93DE0"/>
    <w:rsid w:val="00F0520D"/>
    <w:rsid w:val="00F22A36"/>
    <w:rsid w:val="00F87455"/>
    <w:rsid w:val="00F96BFC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A594CC9-1A97-4450-85D2-25A5E0EC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3DE0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rsid w:val="00E93DE0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RecNo">
    <w:name w:val="Rec_No"/>
    <w:basedOn w:val="Normal"/>
    <w:next w:val="Rectitle"/>
    <w:rsid w:val="00E93DE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rsid w:val="00E93DE0"/>
    <w:pPr>
      <w:jc w:val="center"/>
    </w:p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AnnexNoTitle">
    <w:name w:val="Annex_NoTitle"/>
    <w:basedOn w:val="Normal"/>
    <w:next w:val="Normalaftertitle"/>
    <w:rsid w:val="00E93DE0"/>
    <w:pPr>
      <w:keepNext/>
      <w:keepLines/>
      <w:spacing w:before="480" w:after="80"/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C25E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AD68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F96BFC"/>
    <w:pPr>
      <w:keepNext/>
      <w:spacing w:before="360" w:after="120"/>
      <w:jc w:val="center"/>
    </w:pPr>
    <w:rPr>
      <w:sz w:val="20"/>
    </w:rPr>
  </w:style>
  <w:style w:type="paragraph" w:customStyle="1" w:styleId="Tabletext">
    <w:name w:val="Table_text"/>
    <w:basedOn w:val="Normal"/>
    <w:rsid w:val="00F96B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E93DE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rsid w:val="00E93DE0"/>
    <w:pPr>
      <w:keepNext/>
      <w:keepLines/>
      <w:spacing w:before="240"/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F96BFC"/>
    <w:pPr>
      <w:keepNext/>
      <w:spacing w:before="0" w:after="12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Summary">
    <w:name w:val="Summary"/>
    <w:basedOn w:val="Normal"/>
    <w:next w:val="Normalaftertitle"/>
    <w:pPr>
      <w:spacing w:after="480"/>
    </w:pPr>
    <w:rPr>
      <w:lang w:val="es-ES_tradnl"/>
    </w:rPr>
  </w:style>
  <w:style w:type="paragraph" w:customStyle="1" w:styleId="Figure">
    <w:name w:val="Figure"/>
    <w:basedOn w:val="FigureNo"/>
    <w:next w:val="Figuretitle"/>
    <w:pPr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2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BR_Rec_2005.dot</dc:title>
  <dc:subject/>
  <dc:creator>POOL</dc:creator>
  <cp:keywords/>
  <dc:description/>
  <cp:lastModifiedBy>Berdyeva, Elena</cp:lastModifiedBy>
  <cp:revision>7</cp:revision>
  <cp:lastPrinted>2015-03-18T14:43:00Z</cp:lastPrinted>
  <dcterms:created xsi:type="dcterms:W3CDTF">2015-03-18T14:41:00Z</dcterms:created>
  <dcterms:modified xsi:type="dcterms:W3CDTF">2015-03-18T14:43:00Z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</Properties>
</file>