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8E" w:rsidRDefault="00610BDA">
      <w:pPr>
        <w:pStyle w:val="RecNo"/>
        <w:spacing w:before="0"/>
        <w:rPr>
          <w:lang w:val="es-ES_tradnl"/>
        </w:rPr>
      </w:pPr>
      <w:bookmarkStart w:id="0" w:name="_GoBack"/>
      <w:bookmarkEnd w:id="0"/>
      <w:r>
        <w:rPr>
          <w:lang w:val="es-ES_tradnl"/>
        </w:rPr>
        <w:t xml:space="preserve">RECOMENDACIÓN  </w:t>
      </w:r>
      <w:r>
        <w:rPr>
          <w:rStyle w:val="href"/>
        </w:rPr>
        <w:t>UIT</w:t>
      </w:r>
      <w:r>
        <w:rPr>
          <w:rStyle w:val="href"/>
          <w:lang w:val="es-ES_tradnl"/>
        </w:rPr>
        <w:noBreakHyphen/>
      </w:r>
      <w:r>
        <w:rPr>
          <w:rStyle w:val="href"/>
        </w:rPr>
        <w:t xml:space="preserve">R  </w:t>
      </w:r>
      <w:r>
        <w:rPr>
          <w:rStyle w:val="href"/>
          <w:lang w:val="es-ES_tradnl"/>
        </w:rPr>
        <w:t>F.</w:t>
      </w:r>
      <w:r>
        <w:rPr>
          <w:rStyle w:val="href"/>
        </w:rPr>
        <w:t>1703</w:t>
      </w:r>
      <w:r w:rsidR="002E0F28">
        <w:rPr>
          <w:rStyle w:val="href"/>
        </w:rPr>
        <w:t>-0</w:t>
      </w:r>
      <w:r w:rsidR="00D72BE7">
        <w:rPr>
          <w:rStyle w:val="FootnoteReference"/>
        </w:rPr>
        <w:footnoteReference w:id="1"/>
      </w:r>
    </w:p>
    <w:p w:rsidR="005E1F8E" w:rsidRDefault="00610BDA">
      <w:pPr>
        <w:pStyle w:val="Rectitle"/>
        <w:rPr>
          <w:lang w:val="es-ES_tradnl"/>
        </w:rPr>
      </w:pPr>
      <w:r>
        <w:rPr>
          <w:lang w:val="es-ES_tradnl"/>
        </w:rPr>
        <w:t xml:space="preserve">Objetivos de disponibilidad para enlaces inalámbricos fijos digitales </w:t>
      </w:r>
      <w:r>
        <w:rPr>
          <w:lang w:val="es-ES_tradnl"/>
        </w:rPr>
        <w:br/>
        <w:t xml:space="preserve">reales utilizados en las conexiones ficticias de referencia </w:t>
      </w:r>
      <w:r>
        <w:rPr>
          <w:lang w:val="es-ES_tradnl"/>
        </w:rPr>
        <w:br/>
        <w:t>y trayectos ficticios de referencia de 27</w:t>
      </w:r>
      <w:r>
        <w:rPr>
          <w:rFonts w:ascii="Tms Rmn" w:hAnsi="Tms Rmn"/>
          <w:sz w:val="12"/>
          <w:lang w:val="es-ES_tradnl"/>
        </w:rPr>
        <w:t> </w:t>
      </w:r>
      <w:r>
        <w:rPr>
          <w:lang w:val="es-ES_tradnl"/>
        </w:rPr>
        <w:t>500 km</w:t>
      </w:r>
    </w:p>
    <w:p w:rsidR="005E1F8E" w:rsidRDefault="00610BDA">
      <w:pPr>
        <w:pStyle w:val="Recdate"/>
        <w:rPr>
          <w:lang w:val="es-ES_tradnl"/>
        </w:rPr>
      </w:pPr>
      <w:r>
        <w:rPr>
          <w:lang w:val="es-ES_tradnl"/>
        </w:rPr>
        <w:t>(2005)</w:t>
      </w:r>
    </w:p>
    <w:p w:rsidR="005E1F8E" w:rsidRDefault="005E1F8E">
      <w:pPr>
        <w:rPr>
          <w:lang w:val="es-ES_tradnl"/>
        </w:rPr>
      </w:pPr>
    </w:p>
    <w:p w:rsidR="005E1F8E" w:rsidRDefault="00610BDA">
      <w:pPr>
        <w:pStyle w:val="Headingb"/>
        <w:rPr>
          <w:sz w:val="22"/>
          <w:lang w:val="es-ES_tradnl"/>
        </w:rPr>
      </w:pPr>
      <w:r>
        <w:rPr>
          <w:sz w:val="22"/>
          <w:lang w:val="es-ES_tradnl"/>
        </w:rPr>
        <w:t>Cometido</w:t>
      </w:r>
    </w:p>
    <w:p w:rsidR="005E1F8E" w:rsidRDefault="00610BDA">
      <w:pPr>
        <w:rPr>
          <w:sz w:val="22"/>
          <w:lang w:val="es-ES_tradnl"/>
        </w:rPr>
      </w:pPr>
      <w:r>
        <w:rPr>
          <w:sz w:val="22"/>
          <w:lang w:val="es-ES_tradnl"/>
        </w:rPr>
        <w:t>La presente Recomendación proporciona información actualizada sobre los objetivos de disponibilidad de los enlaces inalámbricos fijos digitales reales utilizados en los trayectos ficticios de referencia de 27</w:t>
      </w:r>
      <w:r>
        <w:rPr>
          <w:rFonts w:ascii="Tms Rmn" w:hAnsi="Tms Rmn"/>
          <w:sz w:val="12"/>
          <w:lang w:val="es-ES_tradnl"/>
        </w:rPr>
        <w:t> </w:t>
      </w:r>
      <w:r>
        <w:rPr>
          <w:sz w:val="22"/>
          <w:lang w:val="es-ES_tradnl"/>
        </w:rPr>
        <w:t>500 km teniendo en cuenta la Recomendación UIT</w:t>
      </w:r>
      <w:r>
        <w:rPr>
          <w:sz w:val="22"/>
          <w:lang w:val="es-ES_tradnl"/>
        </w:rPr>
        <w:noBreakHyphen/>
        <w:t>T G.827 (aprobada en 2003). Se trata de la única Recomendación que define los objetivos de disponibilidad para todos los enlaces inalámbricos fijos digitales reales. Las Recomendaciones UIT</w:t>
      </w:r>
      <w:r>
        <w:rPr>
          <w:sz w:val="22"/>
          <w:lang w:val="es-ES_tradnl"/>
        </w:rPr>
        <w:noBreakHyphen/>
        <w:t>R F.1492 y UIT</w:t>
      </w:r>
      <w:r>
        <w:rPr>
          <w:sz w:val="22"/>
          <w:lang w:val="es-ES_tradnl"/>
        </w:rPr>
        <w:noBreakHyphen/>
        <w:t>R F.1493 son sustituidas por esta Recomendación. La aplicación de las Recomendaciones UIT</w:t>
      </w:r>
      <w:r>
        <w:rPr>
          <w:sz w:val="22"/>
          <w:lang w:val="es-ES_tradnl"/>
        </w:rPr>
        <w:noBreakHyphen/>
        <w:t>R F.557, UIT</w:t>
      </w:r>
      <w:r>
        <w:rPr>
          <w:sz w:val="22"/>
          <w:lang w:val="es-ES_tradnl"/>
        </w:rPr>
        <w:noBreakHyphen/>
        <w:t>R F.695, UIT</w:t>
      </w:r>
      <w:r>
        <w:rPr>
          <w:sz w:val="22"/>
          <w:lang w:val="es-ES_tradnl"/>
        </w:rPr>
        <w:noBreakHyphen/>
        <w:t>R F.696 y UIT</w:t>
      </w:r>
      <w:r>
        <w:rPr>
          <w:sz w:val="22"/>
          <w:lang w:val="es-ES_tradnl"/>
        </w:rPr>
        <w:noBreakHyphen/>
        <w:t>R F.697 se limita a sistemas diseñados antes de que se aprobase la presente Recomendación. En el Anexo 1 aparecen ejemplos de aplicación de la Recomendación. En el Anexo 2 figuran definiciones de los sucesos, obtenidas a partir de la Recomendación UIT</w:t>
      </w:r>
      <w:r>
        <w:rPr>
          <w:sz w:val="22"/>
          <w:lang w:val="es-ES_tradnl"/>
        </w:rPr>
        <w:noBreakHyphen/>
        <w:t>T G.827.</w:t>
      </w:r>
    </w:p>
    <w:p w:rsidR="005E1F8E" w:rsidRDefault="005E1F8E">
      <w:pPr>
        <w:rPr>
          <w:sz w:val="22"/>
          <w:lang w:val="es-ES_tradnl"/>
        </w:rPr>
      </w:pPr>
    </w:p>
    <w:p w:rsidR="005E1F8E" w:rsidRDefault="00610BDA">
      <w:pPr>
        <w:pStyle w:val="Normalaftertitle"/>
        <w:rPr>
          <w:lang w:val="es-ES_tradnl"/>
        </w:rPr>
      </w:pPr>
      <w:r>
        <w:rPr>
          <w:lang w:val="es-ES_tradnl"/>
        </w:rPr>
        <w:t>La Asamblea de Radiocomunicaciones de la UIT,</w:t>
      </w:r>
    </w:p>
    <w:p w:rsidR="005E1F8E" w:rsidRDefault="00610BDA">
      <w:pPr>
        <w:pStyle w:val="Call"/>
        <w:rPr>
          <w:lang w:val="es-ES_tradnl"/>
        </w:rPr>
      </w:pPr>
      <w:r>
        <w:rPr>
          <w:lang w:val="es-ES_tradnl"/>
        </w:rPr>
        <w:t>considerando</w:t>
      </w:r>
    </w:p>
    <w:p w:rsidR="005E1F8E" w:rsidRDefault="00610BDA">
      <w:pPr>
        <w:rPr>
          <w:lang w:val="es-ES_tradnl"/>
        </w:rPr>
      </w:pPr>
      <w:r>
        <w:rPr>
          <w:lang w:val="es-ES_tradnl"/>
        </w:rPr>
        <w:t>a)</w:t>
      </w:r>
      <w:r>
        <w:rPr>
          <w:lang w:val="es-ES_tradnl"/>
        </w:rPr>
        <w:tab/>
        <w:t>que el UIT-R ha especificado los objetivos de característica de error para los enlaces inalámbricos fijos digitales reales utilizados en las conexiones ficticias de referencia y trayectos ficticios de referencia de 27</w:t>
      </w:r>
      <w:r>
        <w:rPr>
          <w:rFonts w:ascii="Tms Rmn" w:hAnsi="Tms Rmn"/>
          <w:sz w:val="12"/>
          <w:lang w:val="es-ES_tradnl"/>
        </w:rPr>
        <w:t> </w:t>
      </w:r>
      <w:r>
        <w:rPr>
          <w:lang w:val="es-ES_tradnl"/>
        </w:rPr>
        <w:t>500 km (véase la Recomendación UIT</w:t>
      </w:r>
      <w:r>
        <w:rPr>
          <w:lang w:val="es-ES_tradnl"/>
        </w:rPr>
        <w:noBreakHyphen/>
        <w:t>R F.1668);</w:t>
      </w:r>
    </w:p>
    <w:p w:rsidR="005E1F8E" w:rsidRDefault="00610BDA">
      <w:pPr>
        <w:rPr>
          <w:lang w:val="es-ES_tradnl"/>
        </w:rPr>
      </w:pPr>
      <w:r>
        <w:rPr>
          <w:lang w:val="es-ES_tradnl"/>
        </w:rPr>
        <w:t>b)</w:t>
      </w:r>
      <w:r>
        <w:rPr>
          <w:lang w:val="es-ES_tradnl"/>
        </w:rPr>
        <w:tab/>
        <w:t>que el UIT</w:t>
      </w:r>
      <w:r>
        <w:rPr>
          <w:lang w:val="es-ES_tradnl"/>
        </w:rPr>
        <w:noBreakHyphen/>
        <w:t>T ha especificado los parámetros y objetivos de disponibilidad de extremo a extremo para los elementos de trayectos digitales internacionales a velocidad binaria constante que funcionan a la velocidad primaria o a velocidades superiores (véase la Recomendación UIT</w:t>
      </w:r>
      <w:r>
        <w:rPr>
          <w:lang w:val="es-ES_tradnl"/>
        </w:rPr>
        <w:noBreakHyphen/>
        <w:t>T G.827);</w:t>
      </w:r>
    </w:p>
    <w:p w:rsidR="005E1F8E" w:rsidRDefault="00610BDA">
      <w:pPr>
        <w:rPr>
          <w:lang w:val="es-ES_tradnl"/>
        </w:rPr>
      </w:pPr>
      <w:r>
        <w:rPr>
          <w:lang w:val="es-ES_tradnl"/>
        </w:rPr>
        <w:t>c)</w:t>
      </w:r>
      <w:r>
        <w:rPr>
          <w:lang w:val="es-ES_tradnl"/>
        </w:rPr>
        <w:tab/>
        <w:t>que los sistemas inalámbricos fijos (FWS) digitales desempeñan un papel importante en los trayectos internacionales;</w:t>
      </w:r>
    </w:p>
    <w:p w:rsidR="005E1F8E" w:rsidRDefault="00610BDA">
      <w:pPr>
        <w:rPr>
          <w:lang w:val="es-ES_tradnl"/>
        </w:rPr>
      </w:pPr>
      <w:r>
        <w:rPr>
          <w:lang w:val="es-ES_tradnl"/>
        </w:rPr>
        <w:t>d)</w:t>
      </w:r>
      <w:r>
        <w:rPr>
          <w:lang w:val="es-ES_tradnl"/>
        </w:rPr>
        <w:tab/>
        <w:t>que es necesario que la disponibilidad de los FWS satisfaga los objetivos de disponibilidad especificados en la Recomendación UIT</w:t>
      </w:r>
      <w:r>
        <w:rPr>
          <w:lang w:val="es-ES_tradnl"/>
        </w:rPr>
        <w:noBreakHyphen/>
        <w:t>T G.827;</w:t>
      </w:r>
    </w:p>
    <w:p w:rsidR="005E1F8E" w:rsidRDefault="00610BDA">
      <w:pPr>
        <w:rPr>
          <w:lang w:val="es-ES_tradnl"/>
        </w:rPr>
      </w:pPr>
      <w:r>
        <w:rPr>
          <w:lang w:val="es-ES_tradnl"/>
        </w:rPr>
        <w:t>e)</w:t>
      </w:r>
      <w:r>
        <w:rPr>
          <w:lang w:val="es-ES_tradnl"/>
        </w:rPr>
        <w:tab/>
        <w:t>que cualquier trayecto, enlace o conexión real para la transmisión de datos digital puede realizarse utilizando topología lineal y/o redundante, dependiendo de las necesidades de los suministradores de la red;</w:t>
      </w:r>
    </w:p>
    <w:p w:rsidR="005E1F8E" w:rsidRDefault="00610BDA">
      <w:pPr>
        <w:rPr>
          <w:lang w:val="es-ES_tradnl"/>
        </w:rPr>
      </w:pPr>
      <w:r>
        <w:rPr>
          <w:lang w:val="es-ES_tradnl"/>
        </w:rPr>
        <w:t>f)</w:t>
      </w:r>
      <w:r>
        <w:rPr>
          <w:lang w:val="es-ES_tradnl"/>
        </w:rPr>
        <w:tab/>
        <w:t>que los FWS digitales pueden utilizarse en los países intermedios y de terminación de un trayecto internacional;</w:t>
      </w:r>
    </w:p>
    <w:p w:rsidR="005E1F8E" w:rsidRDefault="00610BDA">
      <w:pPr>
        <w:rPr>
          <w:lang w:val="es-ES_tradnl"/>
        </w:rPr>
      </w:pPr>
      <w:r>
        <w:rPr>
          <w:lang w:val="es-ES_tradnl"/>
        </w:rPr>
        <w:t>g)</w:t>
      </w:r>
      <w:r>
        <w:rPr>
          <w:lang w:val="es-ES_tradnl"/>
        </w:rPr>
        <w:tab/>
        <w:t>que a efectos de la presente Recomendación, el tramo nacional del trayecto ficticio de referencia de 27</w:t>
      </w:r>
      <w:r>
        <w:rPr>
          <w:rFonts w:ascii="Tms Rmn" w:hAnsi="Tms Rmn"/>
          <w:sz w:val="12"/>
          <w:lang w:val="es-ES_tradnl"/>
        </w:rPr>
        <w:t> </w:t>
      </w:r>
      <w:r>
        <w:rPr>
          <w:lang w:val="es-ES_tradnl"/>
        </w:rPr>
        <w:t>500 km se puede subdividir en tres secciones básicas (véase la Fig. 1);</w:t>
      </w:r>
    </w:p>
    <w:p w:rsidR="005E1F8E" w:rsidRDefault="00610BDA">
      <w:pPr>
        <w:pStyle w:val="FigureNo"/>
      </w:pPr>
      <w:r>
        <w:br w:type="page"/>
      </w:r>
      <w:r w:rsidR="00500B7F">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338.95pt">
            <v:imagedata r:id="rId7" o:title=""/>
          </v:shape>
        </w:pict>
      </w:r>
    </w:p>
    <w:p w:rsidR="005E1F8E" w:rsidRDefault="00610BDA">
      <w:pPr>
        <w:rPr>
          <w:lang w:val="es-ES_tradnl"/>
        </w:rPr>
      </w:pPr>
      <w:r>
        <w:rPr>
          <w:lang w:val="es-ES_tradnl"/>
        </w:rPr>
        <w:t>h)</w:t>
      </w:r>
      <w:r>
        <w:rPr>
          <w:lang w:val="es-ES_tradnl"/>
        </w:rPr>
        <w:tab/>
        <w:t>que para los elementos de trayecto de un trayecto digital la velocidad binaria constante que funciona a la velocidad primaria o a velocidades superiores, la Recomendación UIT</w:t>
      </w:r>
      <w:r>
        <w:rPr>
          <w:lang w:val="es-ES_tradnl"/>
        </w:rPr>
        <w:noBreakHyphen/>
        <w:t>T G.827 especifica atribuciones de bloque fijas más atribuciones basadas en la distancia para los objetivos de disponibilidad;</w:t>
      </w:r>
    </w:p>
    <w:p w:rsidR="005E1F8E" w:rsidRDefault="00610BDA">
      <w:pPr>
        <w:rPr>
          <w:lang w:val="es-ES_tradnl"/>
        </w:rPr>
      </w:pPr>
      <w:r>
        <w:rPr>
          <w:lang w:val="es-ES_tradnl"/>
        </w:rPr>
        <w:t>j)</w:t>
      </w:r>
      <w:r>
        <w:rPr>
          <w:lang w:val="es-ES_tradnl"/>
        </w:rPr>
        <w:tab/>
        <w:t>que es necesario establecer los objetivos de disponibilidad para los radioenlaces digitales reales a fin de permitir el adecuado diseño de los enlaces inalámbricos fijos;</w:t>
      </w:r>
    </w:p>
    <w:p w:rsidR="005E1F8E" w:rsidRDefault="00610BDA">
      <w:pPr>
        <w:rPr>
          <w:lang w:val="es-ES_tradnl"/>
        </w:rPr>
      </w:pPr>
      <w:r>
        <w:rPr>
          <w:lang w:val="es-ES_tradnl"/>
        </w:rPr>
        <w:t>k)</w:t>
      </w:r>
      <w:r>
        <w:rPr>
          <w:lang w:val="es-ES_tradnl"/>
        </w:rPr>
        <w:tab/>
        <w:t>que la indisponibilidad de los FWS puede deberse a los efectos de la propagación, a fallos en los equipos, a intervenciones humanas, a la interferencia o a otras causas;</w:t>
      </w:r>
    </w:p>
    <w:p w:rsidR="005E1F8E" w:rsidRDefault="00610BDA">
      <w:pPr>
        <w:rPr>
          <w:lang w:val="es-ES_tradnl"/>
        </w:rPr>
      </w:pPr>
      <w:r>
        <w:rPr>
          <w:lang w:val="es-ES_tradnl"/>
        </w:rPr>
        <w:t>l)</w:t>
      </w:r>
      <w:r>
        <w:rPr>
          <w:lang w:val="es-ES_tradnl"/>
        </w:rPr>
        <w:tab/>
        <w:t>que los objetivos de disponibilidad, la relación de disponibilidad (AR) y el tiempo medio entre interrupciones (Mo) o su recíproco, la intensidad de interrupciones (OI), son parámetros cuyos valores es necesario conocer a efectos de diseño,</w:t>
      </w:r>
    </w:p>
    <w:p w:rsidR="005E1F8E" w:rsidRDefault="00610BDA">
      <w:pPr>
        <w:pStyle w:val="Call"/>
        <w:rPr>
          <w:lang w:val="es-ES_tradnl"/>
        </w:rPr>
      </w:pPr>
      <w:r>
        <w:rPr>
          <w:lang w:val="es-ES_tradnl"/>
        </w:rPr>
        <w:t>recomienda</w:t>
      </w:r>
    </w:p>
    <w:p w:rsidR="005E1F8E" w:rsidRDefault="00610BDA">
      <w:pPr>
        <w:rPr>
          <w:lang w:val="es-ES_tradnl"/>
        </w:rPr>
      </w:pPr>
      <w:r>
        <w:rPr>
          <w:b/>
          <w:bCs/>
          <w:lang w:val="es-ES_tradnl"/>
        </w:rPr>
        <w:t>1</w:t>
      </w:r>
      <w:r>
        <w:rPr>
          <w:lang w:val="es-ES_tradnl"/>
        </w:rPr>
        <w:tab/>
        <w:t>que los objetivos de disponibilidad aplicables a cualquier enlace inalámbrico fijo digital real que forme parte del tramo internacional o pertenezca al tramo de red de largo alcance del tramo nacional de un trayecto y conexión internacional digital a la velocidad binaria constante tenga atribuciones de bloque fijas más atribuciones basadas en la distancia;</w:t>
      </w:r>
    </w:p>
    <w:p w:rsidR="005E1F8E" w:rsidRDefault="00610BDA">
      <w:pPr>
        <w:rPr>
          <w:lang w:val="es-ES_tradnl"/>
        </w:rPr>
      </w:pPr>
      <w:r>
        <w:rPr>
          <w:b/>
          <w:bCs/>
          <w:lang w:val="es-ES_tradnl"/>
        </w:rPr>
        <w:t>2</w:t>
      </w:r>
      <w:r>
        <w:rPr>
          <w:lang w:val="es-ES_tradnl"/>
        </w:rPr>
        <w:tab/>
        <w:t>que los objetivos de disponibilidad aplicables a cualquier radioenlace digital real perteneciente a los tramos de red de acceso y de corto alcance del tramo nacional de un trayecto y conexión internacional digital a velocidad binaria constante se fijen en base a bloques (es decir, con independencia de la longitud);</w:t>
      </w:r>
    </w:p>
    <w:p w:rsidR="005E1F8E" w:rsidRDefault="00610BDA">
      <w:pPr>
        <w:rPr>
          <w:lang w:val="es-ES_tradnl"/>
        </w:rPr>
      </w:pPr>
      <w:r>
        <w:rPr>
          <w:b/>
          <w:bCs/>
          <w:lang w:val="es-ES_tradnl"/>
        </w:rPr>
        <w:br w:type="page"/>
      </w:r>
      <w:r>
        <w:rPr>
          <w:b/>
          <w:bCs/>
          <w:lang w:val="es-ES_tradnl"/>
        </w:rPr>
        <w:lastRenderedPageBreak/>
        <w:t>3</w:t>
      </w:r>
      <w:r>
        <w:rPr>
          <w:b/>
          <w:bCs/>
          <w:lang w:val="es-ES_tradnl"/>
        </w:rPr>
        <w:tab/>
      </w:r>
      <w:r>
        <w:rPr>
          <w:lang w:val="es-ES_tradnl"/>
        </w:rPr>
        <w:t xml:space="preserve">que los objetivos de disponibilidad aplicables en cada sentido de un enlace inalámbrico fijo de longitud </w:t>
      </w:r>
      <w:r>
        <w:rPr>
          <w:i/>
          <w:iCs/>
          <w:lang w:val="es-ES_tradnl"/>
        </w:rPr>
        <w:t>L</w:t>
      </w:r>
      <w:r>
        <w:rPr>
          <w:i/>
          <w:iCs/>
          <w:vertAlign w:val="subscript"/>
          <w:lang w:val="es-ES_tradnl"/>
        </w:rPr>
        <w:t>enlace</w:t>
      </w:r>
      <w:r>
        <w:rPr>
          <w:lang w:val="es-ES_tradnl"/>
        </w:rPr>
        <w:t>, se obtengan a partir de los valores indicados en los Cuadros 1, 2, 3 y 4 utilizando las ecuaciones (1) y (2) para la AR y el Mo o el recíproco de Mo, OI, respectivamente;</w:t>
      </w:r>
    </w:p>
    <w:p w:rsidR="005E1F8E" w:rsidRDefault="00610BDA">
      <w:pPr>
        <w:pStyle w:val="Equation"/>
        <w:spacing w:before="240"/>
        <w:rPr>
          <w:lang w:val="es-ES_tradnl"/>
        </w:rPr>
      </w:pPr>
      <w:r>
        <w:rPr>
          <w:lang w:val="es-ES_tradnl"/>
        </w:rPr>
        <w:tab/>
      </w:r>
      <w:r>
        <w:rPr>
          <w:lang w:val="es-ES_tradnl"/>
        </w:rPr>
        <w:tab/>
      </w:r>
      <w:r>
        <w:rPr>
          <w:position w:val="-32"/>
        </w:rPr>
        <w:object w:dxaOrig="3000" w:dyaOrig="760">
          <v:shape id="_x0000_i1026" type="#_x0000_t75" style="width:150.1pt;height:37.85pt" o:ole="">
            <v:imagedata r:id="rId8" o:title=""/>
          </v:shape>
          <o:OLEObject Type="Embed" ProgID="Equation.3" ShapeID="_x0000_i1026" DrawAspect="Content" ObjectID="_1478092661" r:id="rId9"/>
        </w:object>
      </w:r>
      <w:r>
        <w:rPr>
          <w:lang w:val="es-ES_tradnl"/>
        </w:rPr>
        <w:tab/>
        <w:t>(1)</w:t>
      </w:r>
    </w:p>
    <w:p w:rsidR="005E1F8E" w:rsidRDefault="00610BDA">
      <w:pPr>
        <w:pStyle w:val="Equation"/>
        <w:spacing w:before="0"/>
        <w:rPr>
          <w:lang w:val="es-ES_tradnl"/>
        </w:rPr>
      </w:pPr>
      <w:r>
        <w:rPr>
          <w:lang w:val="es-ES_tradnl"/>
        </w:rPr>
        <w:tab/>
      </w:r>
      <w:r>
        <w:rPr>
          <w:lang w:val="es-ES_tradnl"/>
        </w:rPr>
        <w:tab/>
      </w:r>
      <w:r>
        <w:rPr>
          <w:position w:val="-58"/>
        </w:rPr>
        <w:object w:dxaOrig="3379" w:dyaOrig="960">
          <v:shape id="_x0000_i1027" type="#_x0000_t75" style="width:168.8pt;height:48.15pt" o:ole="">
            <v:imagedata r:id="rId10" o:title=""/>
          </v:shape>
          <o:OLEObject Type="Embed" ProgID="Equation.3" ShapeID="_x0000_i1027" DrawAspect="Content" ObjectID="_1478092662" r:id="rId11"/>
        </w:object>
      </w:r>
      <w:r>
        <w:rPr>
          <w:lang w:val="es-ES_tradnl"/>
        </w:rPr>
        <w:tab/>
        <w:t>(2)</w:t>
      </w:r>
    </w:p>
    <w:p w:rsidR="005E1F8E" w:rsidRDefault="00610BDA">
      <w:pPr>
        <w:rPr>
          <w:lang w:val="es-ES_tradnl"/>
        </w:rPr>
      </w:pPr>
      <w:r>
        <w:rPr>
          <w:lang w:val="es-ES_tradnl"/>
        </w:rPr>
        <w:t>donde:</w:t>
      </w:r>
    </w:p>
    <w:p w:rsidR="005E1F8E" w:rsidRDefault="00610BDA">
      <w:pPr>
        <w:rPr>
          <w:lang w:val="es-ES_tradnl"/>
        </w:rPr>
      </w:pPr>
      <w:r>
        <w:rPr>
          <w:lang w:val="es-ES_tradnl"/>
        </w:rPr>
        <w:t xml:space="preserve">el valor de </w:t>
      </w:r>
      <w:r>
        <w:rPr>
          <w:i/>
          <w:iCs/>
          <w:lang w:val="es-ES_tradnl"/>
        </w:rPr>
        <w:t>j</w:t>
      </w:r>
      <w:r>
        <w:rPr>
          <w:lang w:val="es-ES_tradnl"/>
        </w:rPr>
        <w:t xml:space="preserve"> es:</w:t>
      </w:r>
      <w:r>
        <w:rPr>
          <w:lang w:val="es-ES_tradnl"/>
        </w:rPr>
        <w:tab/>
      </w:r>
      <w:r>
        <w:rPr>
          <w:lang w:val="es-ES_tradnl"/>
        </w:rPr>
        <w:tab/>
      </w:r>
      <w:r>
        <w:rPr>
          <w:lang w:val="es-ES_tradnl"/>
        </w:rPr>
        <w:tab/>
        <w:t>en el tramo internacional:</w:t>
      </w:r>
    </w:p>
    <w:p w:rsidR="005E1F8E" w:rsidRDefault="00610BDA">
      <w:pPr>
        <w:pStyle w:val="enumlev1"/>
        <w:tabs>
          <w:tab w:val="left" w:pos="2835"/>
          <w:tab w:val="left" w:pos="3686"/>
          <w:tab w:val="left" w:pos="4354"/>
          <w:tab w:val="left" w:pos="4606"/>
          <w:tab w:val="left" w:pos="5306"/>
          <w:tab w:val="left" w:pos="5544"/>
          <w:tab w:val="right" w:pos="9639"/>
        </w:tabs>
        <w:ind w:left="2160" w:hanging="2160"/>
        <w:jc w:val="left"/>
        <w:rPr>
          <w:lang w:val="es-ES_tradnl"/>
        </w:rPr>
      </w:pPr>
      <w:r>
        <w:rPr>
          <w:lang w:val="es-ES_tradnl"/>
        </w:rPr>
        <w:tab/>
      </w:r>
      <w:r>
        <w:rPr>
          <w:lang w:val="es-ES_tradnl"/>
        </w:rPr>
        <w:tab/>
      </w:r>
      <w:r>
        <w:rPr>
          <w:lang w:val="es-ES_tradnl"/>
        </w:rPr>
        <w:tab/>
      </w:r>
      <w:r>
        <w:rPr>
          <w:lang w:val="es-ES_tradnl"/>
        </w:rPr>
        <w:tab/>
      </w:r>
      <w:r>
        <w:rPr>
          <w:lang w:val="es-ES_tradnl"/>
        </w:rPr>
        <w:tab/>
        <w:t>1</w:t>
      </w:r>
      <w:r>
        <w:rPr>
          <w:lang w:val="es-ES_tradnl"/>
        </w:rPr>
        <w:tab/>
        <w:t xml:space="preserve">para </w:t>
      </w:r>
      <w:r>
        <w:rPr>
          <w:i/>
          <w:iCs/>
          <w:lang w:val="es-ES_tradnl"/>
        </w:rPr>
        <w:t>L</w:t>
      </w:r>
      <w:r>
        <w:rPr>
          <w:i/>
          <w:iCs/>
          <w:position w:val="-4"/>
          <w:sz w:val="16"/>
          <w:lang w:val="es-ES_tradnl"/>
        </w:rPr>
        <w:t>mín</w:t>
      </w:r>
      <w:r>
        <w:rPr>
          <w:lang w:val="es-ES_tradnl"/>
        </w:rPr>
        <w:tab/>
      </w:r>
      <w:r>
        <w:rPr>
          <w:lang w:val="es-ES_tradnl"/>
        </w:rPr>
        <w:tab/>
      </w:r>
      <w:r>
        <w:rPr>
          <w:rFonts w:ascii="Symbol" w:hAnsi="Symbol"/>
        </w:rPr>
        <w:t></w:t>
      </w:r>
      <w:r>
        <w:rPr>
          <w:lang w:val="es-ES_tradnl"/>
        </w:rPr>
        <w:tab/>
      </w:r>
      <w:r>
        <w:rPr>
          <w:i/>
          <w:iCs/>
          <w:lang w:val="es-ES_tradnl"/>
        </w:rPr>
        <w:t>L</w:t>
      </w:r>
      <w:r>
        <w:rPr>
          <w:i/>
          <w:iCs/>
          <w:position w:val="-4"/>
          <w:sz w:val="16"/>
          <w:lang w:val="es-ES_tradnl"/>
        </w:rPr>
        <w:t>enlace</w:t>
      </w:r>
      <w:r>
        <w:rPr>
          <w:lang w:val="es-ES_tradnl"/>
        </w:rPr>
        <w:tab/>
      </w:r>
      <w:r>
        <w:rPr>
          <w:rFonts w:ascii="Symbol" w:hAnsi="Symbol"/>
        </w:rPr>
        <w:t></w:t>
      </w:r>
      <w:r>
        <w:rPr>
          <w:lang w:val="es-ES_tradnl"/>
        </w:rPr>
        <w:tab/>
        <w:t>250 km</w:t>
      </w:r>
      <w:r>
        <w:rPr>
          <w:lang w:val="es-ES_tradnl"/>
        </w:rPr>
        <w:br/>
        <w:t>2</w:t>
      </w:r>
      <w:r>
        <w:rPr>
          <w:lang w:val="es-ES_tradnl"/>
        </w:rPr>
        <w:tab/>
        <w:t>para 250 km</w:t>
      </w:r>
      <w:r>
        <w:rPr>
          <w:lang w:val="es-ES_tradnl"/>
        </w:rPr>
        <w:tab/>
      </w:r>
      <w:r>
        <w:rPr>
          <w:rFonts w:ascii="Symbol" w:hAnsi="Symbol"/>
        </w:rPr>
        <w:t></w:t>
      </w:r>
      <w:r>
        <w:rPr>
          <w:lang w:val="es-ES_tradnl"/>
        </w:rPr>
        <w:tab/>
      </w:r>
      <w:r>
        <w:rPr>
          <w:i/>
          <w:iCs/>
          <w:lang w:val="es-ES_tradnl"/>
        </w:rPr>
        <w:t>L</w:t>
      </w:r>
      <w:r>
        <w:rPr>
          <w:i/>
          <w:iCs/>
          <w:position w:val="-4"/>
          <w:sz w:val="16"/>
          <w:lang w:val="es-ES_tradnl"/>
        </w:rPr>
        <w:t>enlace</w:t>
      </w:r>
      <w:r>
        <w:rPr>
          <w:lang w:val="es-ES_tradnl"/>
        </w:rPr>
        <w:tab/>
      </w:r>
      <w:r>
        <w:rPr>
          <w:rFonts w:ascii="Symbol" w:hAnsi="Symbol"/>
        </w:rPr>
        <w:t></w:t>
      </w:r>
      <w:r>
        <w:rPr>
          <w:lang w:val="es-ES_tradnl"/>
        </w:rPr>
        <w:tab/>
        <w:t>2</w:t>
      </w:r>
      <w:r>
        <w:rPr>
          <w:rFonts w:ascii="Tms Rmn" w:hAnsi="Tms Rmn"/>
          <w:lang w:val="es-ES_tradnl"/>
        </w:rPr>
        <w:t> </w:t>
      </w:r>
      <w:r>
        <w:rPr>
          <w:lang w:val="es-ES_tradnl"/>
        </w:rPr>
        <w:t>500 km</w:t>
      </w:r>
      <w:r>
        <w:rPr>
          <w:lang w:val="es-ES_tradnl"/>
        </w:rPr>
        <w:br/>
        <w:t>3</w:t>
      </w:r>
      <w:r>
        <w:rPr>
          <w:lang w:val="es-ES_tradnl"/>
        </w:rPr>
        <w:tab/>
        <w:t>para 2</w:t>
      </w:r>
      <w:r>
        <w:rPr>
          <w:rFonts w:ascii="Tms Rmn" w:hAnsi="Tms Rmn"/>
          <w:lang w:val="es-ES_tradnl"/>
        </w:rPr>
        <w:t> </w:t>
      </w:r>
      <w:r>
        <w:rPr>
          <w:lang w:val="es-ES_tradnl"/>
        </w:rPr>
        <w:t>500 km</w:t>
      </w:r>
      <w:r>
        <w:rPr>
          <w:lang w:val="es-ES_tradnl"/>
        </w:rPr>
        <w:tab/>
      </w:r>
      <w:r>
        <w:rPr>
          <w:rFonts w:ascii="Symbol" w:hAnsi="Symbol"/>
        </w:rPr>
        <w:t></w:t>
      </w:r>
      <w:r>
        <w:rPr>
          <w:lang w:val="es-ES_tradnl"/>
        </w:rPr>
        <w:tab/>
      </w:r>
      <w:r>
        <w:rPr>
          <w:i/>
          <w:iCs/>
          <w:lang w:val="es-ES_tradnl"/>
        </w:rPr>
        <w:t>L</w:t>
      </w:r>
      <w:r>
        <w:rPr>
          <w:i/>
          <w:iCs/>
          <w:position w:val="-4"/>
          <w:sz w:val="16"/>
          <w:lang w:val="es-ES_tradnl"/>
        </w:rPr>
        <w:t>enlace</w:t>
      </w:r>
      <w:r>
        <w:rPr>
          <w:lang w:val="es-ES_tradnl"/>
        </w:rPr>
        <w:tab/>
      </w:r>
      <w:r>
        <w:rPr>
          <w:rFonts w:ascii="Symbol" w:hAnsi="Symbol"/>
        </w:rPr>
        <w:t></w:t>
      </w:r>
      <w:r>
        <w:rPr>
          <w:lang w:val="es-ES_tradnl"/>
        </w:rPr>
        <w:tab/>
        <w:t>7</w:t>
      </w:r>
      <w:r>
        <w:rPr>
          <w:rFonts w:ascii="Tms Rmn" w:hAnsi="Tms Rmn"/>
          <w:lang w:val="es-ES_tradnl"/>
        </w:rPr>
        <w:t> </w:t>
      </w:r>
      <w:r>
        <w:rPr>
          <w:lang w:val="es-ES_tradnl"/>
        </w:rPr>
        <w:t>500 km</w:t>
      </w:r>
      <w:r>
        <w:rPr>
          <w:lang w:val="es-ES_tradnl"/>
        </w:rPr>
        <w:br/>
        <w:t>4</w:t>
      </w:r>
      <w:r>
        <w:rPr>
          <w:lang w:val="es-ES_tradnl"/>
        </w:rPr>
        <w:tab/>
        <w:t xml:space="preserve">para </w:t>
      </w:r>
      <w:r>
        <w:rPr>
          <w:lang w:val="es-ES_tradnl"/>
        </w:rPr>
        <w:tab/>
      </w:r>
      <w:r>
        <w:rPr>
          <w:lang w:val="es-ES_tradnl"/>
        </w:rPr>
        <w:tab/>
      </w:r>
      <w:r>
        <w:rPr>
          <w:lang w:val="es-ES_tradnl"/>
        </w:rPr>
        <w:tab/>
      </w:r>
      <w:r>
        <w:rPr>
          <w:i/>
          <w:iCs/>
          <w:lang w:val="es-ES_tradnl"/>
        </w:rPr>
        <w:t>L</w:t>
      </w:r>
      <w:r>
        <w:rPr>
          <w:i/>
          <w:iCs/>
          <w:position w:val="-4"/>
          <w:sz w:val="16"/>
          <w:lang w:val="es-ES_tradnl"/>
        </w:rPr>
        <w:t>enlace</w:t>
      </w:r>
      <w:r>
        <w:rPr>
          <w:lang w:val="es-ES_tradnl"/>
        </w:rPr>
        <w:tab/>
      </w:r>
      <w:r>
        <w:rPr>
          <w:rFonts w:ascii="Symbol" w:hAnsi="Symbol"/>
        </w:rPr>
        <w:t></w:t>
      </w:r>
      <w:r>
        <w:rPr>
          <w:lang w:val="es-ES_tradnl"/>
        </w:rPr>
        <w:tab/>
        <w:t>7</w:t>
      </w:r>
      <w:r>
        <w:rPr>
          <w:rFonts w:ascii="Tms Rmn" w:hAnsi="Tms Rmn"/>
          <w:lang w:val="es-ES_tradnl"/>
        </w:rPr>
        <w:t> </w:t>
      </w:r>
      <w:r>
        <w:rPr>
          <w:lang w:val="es-ES_tradnl"/>
        </w:rPr>
        <w:t>500 km</w:t>
      </w:r>
    </w:p>
    <w:p w:rsidR="005E1F8E" w:rsidRDefault="00610BDA">
      <w:pPr>
        <w:rPr>
          <w:lang w:val="es-ES_tradnl"/>
        </w:rPr>
      </w:pPr>
      <w:r>
        <w:rPr>
          <w:lang w:val="es-ES_tradnl"/>
        </w:rPr>
        <w:tab/>
      </w:r>
      <w:r>
        <w:rPr>
          <w:lang w:val="es-ES_tradnl"/>
        </w:rPr>
        <w:tab/>
      </w:r>
      <w:r>
        <w:rPr>
          <w:lang w:val="es-ES_tradnl"/>
        </w:rPr>
        <w:tab/>
      </w:r>
      <w:r>
        <w:rPr>
          <w:lang w:val="es-ES_tradnl"/>
        </w:rPr>
        <w:tab/>
      </w:r>
      <w:r>
        <w:rPr>
          <w:lang w:val="es-ES_tradnl"/>
        </w:rPr>
        <w:tab/>
        <w:t>en la sección del tramo nacional:</w:t>
      </w:r>
    </w:p>
    <w:p w:rsidR="005E1F8E" w:rsidRDefault="00610BDA">
      <w:pPr>
        <w:pStyle w:val="enumlev1"/>
        <w:tabs>
          <w:tab w:val="left" w:pos="2835"/>
          <w:tab w:val="left" w:pos="3686"/>
          <w:tab w:val="left" w:pos="4480"/>
          <w:tab w:val="left" w:pos="4718"/>
          <w:tab w:val="left" w:pos="5222"/>
          <w:tab w:val="left" w:pos="5460"/>
          <w:tab w:val="right" w:pos="9639"/>
        </w:tabs>
        <w:ind w:left="2160" w:hanging="2160"/>
        <w:jc w:val="left"/>
        <w:rPr>
          <w:lang w:val="es-ES_tradnl"/>
        </w:rPr>
      </w:pPr>
      <w:r>
        <w:rPr>
          <w:i/>
          <w:iCs/>
          <w:lang w:val="es-ES_tradnl"/>
        </w:rPr>
        <w:tab/>
      </w:r>
      <w:r>
        <w:rPr>
          <w:i/>
          <w:iCs/>
          <w:lang w:val="es-ES_tradnl"/>
        </w:rPr>
        <w:tab/>
      </w:r>
      <w:r>
        <w:rPr>
          <w:i/>
          <w:iCs/>
          <w:lang w:val="es-ES_tradnl"/>
        </w:rPr>
        <w:tab/>
      </w:r>
      <w:r>
        <w:rPr>
          <w:i/>
          <w:iCs/>
          <w:lang w:val="es-ES_tradnl"/>
        </w:rPr>
        <w:tab/>
      </w:r>
      <w:r>
        <w:rPr>
          <w:i/>
          <w:iCs/>
          <w:lang w:val="es-ES_tradnl"/>
        </w:rPr>
        <w:tab/>
      </w:r>
      <w:r>
        <w:rPr>
          <w:lang w:val="es-ES_tradnl"/>
        </w:rPr>
        <w:t>5</w:t>
      </w:r>
      <w:r>
        <w:rPr>
          <w:lang w:val="es-ES_tradnl"/>
        </w:rPr>
        <w:tab/>
        <w:t>para red de acceso</w:t>
      </w:r>
      <w:r>
        <w:rPr>
          <w:lang w:val="es-ES_tradnl"/>
        </w:rPr>
        <w:br/>
        <w:t>6</w:t>
      </w:r>
      <w:r>
        <w:rPr>
          <w:lang w:val="es-ES_tradnl"/>
        </w:rPr>
        <w:tab/>
        <w:t>para corto alcance</w:t>
      </w:r>
      <w:r>
        <w:rPr>
          <w:lang w:val="es-ES_tradnl"/>
        </w:rPr>
        <w:br/>
        <w:t>7</w:t>
      </w:r>
      <w:r>
        <w:rPr>
          <w:lang w:val="es-ES_tradnl"/>
        </w:rPr>
        <w:tab/>
        <w:t>para largo alcance</w:t>
      </w:r>
    </w:p>
    <w:p w:rsidR="005E1F8E" w:rsidRDefault="00610BDA">
      <w:pPr>
        <w:pStyle w:val="Equationlegend"/>
        <w:tabs>
          <w:tab w:val="clear" w:pos="1701"/>
          <w:tab w:val="clear" w:pos="1985"/>
          <w:tab w:val="right" w:pos="1800"/>
          <w:tab w:val="left" w:pos="2160"/>
        </w:tabs>
        <w:ind w:left="2160" w:hanging="2160"/>
        <w:jc w:val="left"/>
        <w:rPr>
          <w:i/>
          <w:iCs/>
          <w:lang w:val="es-ES_tradnl"/>
        </w:rPr>
      </w:pPr>
      <w:r>
        <w:rPr>
          <w:lang w:val="es-ES_tradnl"/>
        </w:rPr>
        <w:tab/>
      </w:r>
      <w:r>
        <w:rPr>
          <w:i/>
          <w:iCs/>
          <w:lang w:val="es-ES_tradnl"/>
        </w:rPr>
        <w:t>L</w:t>
      </w:r>
      <w:r>
        <w:rPr>
          <w:i/>
          <w:iCs/>
          <w:vertAlign w:val="subscript"/>
          <w:lang w:val="es-ES_tradnl"/>
        </w:rPr>
        <w:t>R</w:t>
      </w:r>
      <w:r>
        <w:rPr>
          <w:rFonts w:ascii="Tms Rmn" w:hAnsi="Tms Rmn"/>
          <w:sz w:val="12"/>
          <w:lang w:val="es-ES_tradnl"/>
        </w:rPr>
        <w:t> </w:t>
      </w:r>
      <w:r>
        <w:rPr>
          <w:lang w:val="es-ES_tradnl"/>
        </w:rPr>
        <w:t>:</w:t>
      </w:r>
      <w:r>
        <w:rPr>
          <w:vertAlign w:val="subscript"/>
          <w:lang w:val="es-ES_tradnl"/>
        </w:rPr>
        <w:tab/>
      </w:r>
      <w:r>
        <w:rPr>
          <w:lang w:val="es-ES_tradnl"/>
        </w:rPr>
        <w:t>longitud de referencia</w:t>
      </w:r>
    </w:p>
    <w:p w:rsidR="005E1F8E" w:rsidRDefault="00610BDA">
      <w:pPr>
        <w:pStyle w:val="Equationlegend"/>
        <w:tabs>
          <w:tab w:val="clear" w:pos="1701"/>
          <w:tab w:val="clear" w:pos="1985"/>
          <w:tab w:val="right" w:pos="1946"/>
        </w:tabs>
        <w:ind w:left="2160" w:hanging="2160"/>
        <w:jc w:val="left"/>
        <w:rPr>
          <w:lang w:val="es-ES_tradnl"/>
        </w:rPr>
      </w:pPr>
      <w:r>
        <w:rPr>
          <w:rFonts w:ascii="Symbol" w:hAnsi="Symbol"/>
          <w:lang w:val="es-ES_tradnl"/>
        </w:rPr>
        <w:tab/>
      </w:r>
      <w:r>
        <w:rPr>
          <w:rFonts w:ascii="Symbol" w:hAnsi="Symbol"/>
        </w:rPr>
        <w:t></w:t>
      </w:r>
      <w:r>
        <w:rPr>
          <w:lang w:val="es-ES_tradnl"/>
        </w:rPr>
        <w:tab/>
        <w:t>2</w:t>
      </w:r>
      <w:r>
        <w:rPr>
          <w:rFonts w:ascii="Tms Rmn" w:hAnsi="Tms Rmn"/>
          <w:sz w:val="12"/>
          <w:lang w:val="es-ES_tradnl"/>
        </w:rPr>
        <w:t> </w:t>
      </w:r>
      <w:r>
        <w:rPr>
          <w:lang w:val="es-ES_tradnl"/>
        </w:rPr>
        <w:t>500 km.</w:t>
      </w:r>
    </w:p>
    <w:p w:rsidR="005E1F8E" w:rsidRDefault="00610BDA">
      <w:pPr>
        <w:rPr>
          <w:lang w:val="es-ES_tradnl"/>
        </w:rPr>
      </w:pPr>
      <w:r>
        <w:rPr>
          <w:lang w:val="es-ES_tradnl"/>
        </w:rPr>
        <w:t xml:space="preserve">El límite inferior de </w:t>
      </w:r>
      <w:r>
        <w:rPr>
          <w:i/>
          <w:iCs/>
          <w:lang w:val="es-ES_tradnl"/>
        </w:rPr>
        <w:t>L</w:t>
      </w:r>
      <w:r>
        <w:rPr>
          <w:i/>
          <w:iCs/>
          <w:vertAlign w:val="subscript"/>
          <w:lang w:val="es-ES_tradnl"/>
        </w:rPr>
        <w:t>enlace</w:t>
      </w:r>
      <w:r>
        <w:rPr>
          <w:lang w:val="es-ES_tradnl"/>
        </w:rPr>
        <w:t xml:space="preserve"> utilizado para determinar los objetivos por extrapolación es </w:t>
      </w:r>
      <w:r>
        <w:rPr>
          <w:i/>
          <w:iCs/>
          <w:lang w:val="es-ES_tradnl"/>
        </w:rPr>
        <w:t>L</w:t>
      </w:r>
      <w:r>
        <w:rPr>
          <w:i/>
          <w:iCs/>
          <w:vertAlign w:val="subscript"/>
          <w:lang w:val="es-ES_tradnl"/>
        </w:rPr>
        <w:t>mín</w:t>
      </w:r>
      <w:r>
        <w:rPr>
          <w:lang w:val="es-ES_tradnl"/>
        </w:rPr>
        <w:t> = 50 km.</w:t>
      </w:r>
    </w:p>
    <w:p w:rsidR="005E1F8E" w:rsidRDefault="00610BDA">
      <w:pPr>
        <w:rPr>
          <w:lang w:val="es-ES_tradnl"/>
        </w:rPr>
      </w:pPr>
      <w:r>
        <w:rPr>
          <w:lang w:val="es-ES_tradnl"/>
        </w:rPr>
        <w:t xml:space="preserve">Los valores de </w:t>
      </w:r>
      <w:r>
        <w:rPr>
          <w:i/>
          <w:iCs/>
          <w:lang w:val="es-ES_tradnl"/>
        </w:rPr>
        <w:t>B</w:t>
      </w:r>
      <w:r>
        <w:rPr>
          <w:i/>
          <w:iCs/>
          <w:vertAlign w:val="subscript"/>
          <w:lang w:val="es-ES_tradnl"/>
        </w:rPr>
        <w:t>j</w:t>
      </w:r>
      <w:r>
        <w:rPr>
          <w:lang w:val="es-ES_tradnl"/>
        </w:rPr>
        <w:t xml:space="preserve">, </w:t>
      </w:r>
      <w:r>
        <w:rPr>
          <w:i/>
          <w:iCs/>
          <w:lang w:val="es-ES_tradnl"/>
        </w:rPr>
        <w:t>C</w:t>
      </w:r>
      <w:r>
        <w:rPr>
          <w:i/>
          <w:iCs/>
          <w:vertAlign w:val="subscript"/>
          <w:lang w:val="es-ES_tradnl"/>
        </w:rPr>
        <w:t>j</w:t>
      </w:r>
      <w:r>
        <w:rPr>
          <w:lang w:val="es-ES_tradnl"/>
        </w:rPr>
        <w:t xml:space="preserve">, </w:t>
      </w:r>
      <w:r>
        <w:rPr>
          <w:i/>
          <w:iCs/>
          <w:lang w:val="es-ES_tradnl"/>
        </w:rPr>
        <w:t>D</w:t>
      </w:r>
      <w:r>
        <w:rPr>
          <w:i/>
          <w:iCs/>
          <w:vertAlign w:val="subscript"/>
          <w:lang w:val="es-ES_tradnl"/>
        </w:rPr>
        <w:t>j</w:t>
      </w:r>
      <w:r>
        <w:rPr>
          <w:lang w:val="es-ES_tradnl"/>
        </w:rPr>
        <w:t xml:space="preserve"> y </w:t>
      </w:r>
      <w:r>
        <w:rPr>
          <w:i/>
          <w:iCs/>
          <w:lang w:val="es-ES_tradnl"/>
        </w:rPr>
        <w:t>E</w:t>
      </w:r>
      <w:r>
        <w:rPr>
          <w:i/>
          <w:iCs/>
          <w:vertAlign w:val="subscript"/>
          <w:lang w:val="es-ES_tradnl"/>
        </w:rPr>
        <w:t>j</w:t>
      </w:r>
      <w:r>
        <w:rPr>
          <w:lang w:val="es-ES_tradnl"/>
        </w:rPr>
        <w:t xml:space="preserve"> aparecen en los Cuadros 1, 2, 3 y 4. El parámetro OI se refiere al número de sucesos de indisponibilidad por año, de manera que su recíproco Mo debe multiplicarse por el número de segundos en un año a fin de obtener el tiempo medio efectivo entre sucesos de indisponibilidad que se han producido en un año, expresados en segundos;</w:t>
      </w:r>
    </w:p>
    <w:p w:rsidR="005E1F8E" w:rsidRDefault="00610BDA">
      <w:pPr>
        <w:rPr>
          <w:lang w:val="es-ES_tradnl"/>
        </w:rPr>
      </w:pPr>
      <w:r>
        <w:rPr>
          <w:b/>
          <w:bCs/>
          <w:lang w:val="es-ES_tradnl"/>
        </w:rPr>
        <w:t>4</w:t>
      </w:r>
      <w:r>
        <w:rPr>
          <w:lang w:val="es-ES_tradnl"/>
        </w:rPr>
        <w:tab/>
        <w:t>que los objetivos de disponibilidad se distribuyan de forma que se tengan en cuenta los sucesos de indisponibilidad debidos a la propagación, a fallos en los equipos, a intervenciones humanas y a otras causas. La distribución de los objetivos entre las distintas causas de indisponibilidad queda fuera del alcance de la presente Recomendación;</w:t>
      </w:r>
    </w:p>
    <w:p w:rsidR="005E1F8E" w:rsidRDefault="00610BDA">
      <w:pPr>
        <w:rPr>
          <w:lang w:val="es-ES_tradnl"/>
        </w:rPr>
      </w:pPr>
      <w:r>
        <w:rPr>
          <w:b/>
          <w:bCs/>
          <w:lang w:val="es-ES_tradnl"/>
        </w:rPr>
        <w:t>5</w:t>
      </w:r>
      <w:r>
        <w:rPr>
          <w:b/>
          <w:bCs/>
          <w:lang w:val="es-ES_tradnl"/>
        </w:rPr>
        <w:tab/>
      </w:r>
      <w:r>
        <w:rPr>
          <w:lang w:val="es-ES_tradnl"/>
        </w:rPr>
        <w:t>que si el enlace está compuesto por más de un salto, los objetivos se apliquen a todo el enlace. La asignación de objetivos a cada uno de los saltos es responsabilidad de los operadores de la red (véase más información al respecto en el Anexo 1);</w:t>
      </w:r>
    </w:p>
    <w:p w:rsidR="005E1F8E" w:rsidRDefault="00610BDA">
      <w:pPr>
        <w:rPr>
          <w:lang w:val="es-ES_tradnl"/>
        </w:rPr>
      </w:pPr>
      <w:r>
        <w:rPr>
          <w:b/>
          <w:bCs/>
          <w:lang w:val="es-ES_tradnl"/>
        </w:rPr>
        <w:t>6</w:t>
      </w:r>
      <w:r>
        <w:rPr>
          <w:lang w:val="es-ES_tradnl"/>
        </w:rPr>
        <w:tab/>
        <w:t>que los objetivos para el radioenlace que forma parte de cualquier elemento de trayecto que componga el tramo internacional (es decir, el elemento de núcleo de trayecto entre países (ICPCE) y el elemento de núcleo de trayecto internacional (IPCE)) no rebasen en ningún caso los objetivos definidos en la Recomendación UIT</w:t>
      </w:r>
      <w:r>
        <w:rPr>
          <w:lang w:val="es-ES_tradnl"/>
        </w:rPr>
        <w:noBreakHyphen/>
        <w:t>T G.827 (en el Anexo 1 a la presente Recomendación aparece más información al respecto);</w:t>
      </w:r>
    </w:p>
    <w:p w:rsidR="005E1F8E" w:rsidRDefault="00610BDA">
      <w:pPr>
        <w:rPr>
          <w:lang w:val="es-ES_tradnl"/>
        </w:rPr>
      </w:pPr>
      <w:r>
        <w:rPr>
          <w:b/>
          <w:bCs/>
          <w:lang w:val="es-ES_tradnl"/>
        </w:rPr>
        <w:t>7</w:t>
      </w:r>
      <w:r>
        <w:rPr>
          <w:lang w:val="es-ES_tradnl"/>
        </w:rPr>
        <w:tab/>
        <w:t>que los objetivos globales para el tramo nacional (es decir, obtenidos añadiendo los objetivos de red de acceso, corto alcance y largo alcance) establecidos por los sistemas inalámbricos fijos no rebasen en ningún caso los objetivos definidos en la Recomendación UIT</w:t>
      </w:r>
      <w:r>
        <w:rPr>
          <w:lang w:val="es-ES_tradnl"/>
        </w:rPr>
        <w:noBreakHyphen/>
        <w:t>T G.827 para el elemento de tramo nacional (véase la Nota 5).</w:t>
      </w:r>
    </w:p>
    <w:p w:rsidR="005E1F8E" w:rsidRDefault="00610BDA">
      <w:pPr>
        <w:rPr>
          <w:lang w:val="es-ES_tradnl"/>
        </w:rPr>
      </w:pPr>
      <w:r>
        <w:rPr>
          <w:lang w:val="es-ES_tradnl"/>
        </w:rPr>
        <w:br w:type="page"/>
      </w:r>
      <w:r>
        <w:rPr>
          <w:lang w:val="es-ES_tradnl"/>
        </w:rPr>
        <w:lastRenderedPageBreak/>
        <w:t>NOTA 1 – El tramo internacional de un trayecto digital de velocidad binaria constante que funcione a la velocidad primaria o a velocidades superiores se compone de al menos un ICPCE y/o un IPCE.</w:t>
      </w:r>
    </w:p>
    <w:p w:rsidR="005E1F8E" w:rsidRDefault="00610BDA">
      <w:pPr>
        <w:rPr>
          <w:lang w:val="es-ES_tradnl"/>
        </w:rPr>
      </w:pPr>
      <w:r>
        <w:rPr>
          <w:lang w:val="es-ES_tradnl"/>
        </w:rPr>
        <w:t>NOTA 2 – El ICPCE es el elemento de trayecto (PE) transportado en el trayecto digital de orden más elevado a través de la frontera entre dos países. El ICPCE es el enlace entre redes de distintos países, considerados como subredes. Este PE está limitado por las estaciones fronterizas (FS) donde puede terminar el trayecto entre países de orden más elevado. Cuando dicho trayecto no está terminado por la FS, el ICPCE está limitado por el punto de acceso de sección entre países soporte.</w:t>
      </w:r>
    </w:p>
    <w:p w:rsidR="005E1F8E" w:rsidRDefault="00610BDA">
      <w:pPr>
        <w:rPr>
          <w:lang w:val="es-ES_tradnl"/>
        </w:rPr>
      </w:pPr>
      <w:r>
        <w:rPr>
          <w:lang w:val="es-ES_tradnl"/>
        </w:rPr>
        <w:t>NOTA 3 – El IPCE es el PE utilizado en una red núcleo. La frontera de este PE depende de su aplicación; para un país de tránsito, este elemento está limitado por las dos FS. Para un país de terminación, el elemento está limitado por la IG y la FS. En particular, este elemento debe estar delimitado por el centro de conmutación internacional (ISC) y la FS o por el TIC, que corresponde al extremo del tramo internacional, y la FS.</w:t>
      </w:r>
    </w:p>
    <w:p w:rsidR="005E1F8E" w:rsidRDefault="00610BDA">
      <w:pPr>
        <w:rPr>
          <w:lang w:val="es-ES_tradnl"/>
        </w:rPr>
      </w:pPr>
      <w:r>
        <w:rPr>
          <w:lang w:val="es-ES_tradnl"/>
        </w:rPr>
        <w:t>NOTA 4 – El tramo internacional de un trayecto está compuesto por el IPCE y el ICPCE, de manera que la frontera de este elemento corresponde al IPCE (es decir, la FS o el TIC o el ISC), y por el tramo de ICPCE que atraviesa la frontera entre dos países.</w:t>
      </w:r>
    </w:p>
    <w:p w:rsidR="005E1F8E" w:rsidRDefault="00610BDA">
      <w:pPr>
        <w:rPr>
          <w:lang w:val="es-ES_tradnl"/>
        </w:rPr>
      </w:pPr>
      <w:r>
        <w:rPr>
          <w:lang w:val="es-ES_tradnl"/>
        </w:rPr>
        <w:t>NOTA 5 – El NPE es un elemento de trayecto (PE) nacional utilizado en un país de terminación para conectar el tramo internacional y el PEP. El NPE incluye tanto el PAE como el NPCE.</w:t>
      </w:r>
    </w:p>
    <w:p w:rsidR="005E1F8E" w:rsidRDefault="00610BDA">
      <w:pPr>
        <w:rPr>
          <w:lang w:val="es-ES_tradnl"/>
        </w:rPr>
      </w:pPr>
      <w:r>
        <w:rPr>
          <w:lang w:val="es-ES_tradnl"/>
        </w:rPr>
        <w:t>NOTA 6 – En el campo de aplicación de la presente Recomendación, el tramo nacional corresponde al NPE.</w:t>
      </w:r>
    </w:p>
    <w:p w:rsidR="005E1F8E" w:rsidRDefault="00610BDA">
      <w:pPr>
        <w:rPr>
          <w:lang w:val="es-ES_tradnl"/>
        </w:rPr>
      </w:pPr>
      <w:r>
        <w:rPr>
          <w:lang w:val="es-ES_tradnl"/>
        </w:rPr>
        <w:t>NOTA 7 – El TIC, el PAE y el NPCE se definen en la Recomendación UIT-T M.1010. (Se señala que el centro de conmutación internacional (ISC) y el TIC pueden estar en el mismo sitio.)</w:t>
      </w:r>
    </w:p>
    <w:p w:rsidR="005E1F8E" w:rsidRDefault="00610BDA">
      <w:pPr>
        <w:rPr>
          <w:lang w:val="es-ES_tradnl"/>
        </w:rPr>
      </w:pPr>
      <w:r>
        <w:rPr>
          <w:lang w:val="es-ES_tradnl"/>
        </w:rPr>
        <w:t>NOTA 8 – Los criterios que definen la entrada en el, y la salida del, estado de indisponibilidad se definen en el Anexo A a la Recomendación UIT-T G.826.</w:t>
      </w:r>
    </w:p>
    <w:p w:rsidR="005E1F8E" w:rsidRDefault="00610BDA">
      <w:pPr>
        <w:rPr>
          <w:lang w:val="es-ES_tradnl"/>
        </w:rPr>
      </w:pPr>
      <w:r>
        <w:rPr>
          <w:lang w:val="es-ES_tradnl"/>
        </w:rPr>
        <w:t>NOTA 9 – Se supone que los objetivos para el tramo de acceso de la red son independientes de la longitud ya que, normalmente, estos enlaces tienen una longitud inferior a 50 km.</w:t>
      </w:r>
    </w:p>
    <w:p w:rsidR="005E1F8E" w:rsidRDefault="00610BDA">
      <w:pPr>
        <w:rPr>
          <w:lang w:val="es-ES_tradnl"/>
        </w:rPr>
      </w:pPr>
      <w:r>
        <w:rPr>
          <w:lang w:val="es-ES_tradnl"/>
        </w:rPr>
        <w:t xml:space="preserve">NOTA 10 – Los objetivos para el tramo de acceso y el tramo de corto alcance se definen para la longitud máxima </w:t>
      </w:r>
      <w:r>
        <w:rPr>
          <w:i/>
          <w:iCs/>
          <w:lang w:val="es-ES_tradnl"/>
        </w:rPr>
        <w:t>L</w:t>
      </w:r>
      <w:r>
        <w:rPr>
          <w:i/>
          <w:iCs/>
          <w:vertAlign w:val="subscript"/>
          <w:lang w:val="es-ES_tradnl"/>
        </w:rPr>
        <w:t>máx</w:t>
      </w:r>
      <w:r>
        <w:rPr>
          <w:lang w:val="es-ES_tradnl"/>
        </w:rPr>
        <w:t> </w:t>
      </w:r>
      <w:r>
        <w:rPr>
          <w:rFonts w:ascii="Symbol" w:hAnsi="Symbol"/>
        </w:rPr>
        <w:t></w:t>
      </w:r>
      <w:r>
        <w:rPr>
          <w:lang w:val="es-ES_tradnl"/>
        </w:rPr>
        <w:t> 250 km.</w:t>
      </w:r>
    </w:p>
    <w:p w:rsidR="005E1F8E" w:rsidRDefault="00610BDA">
      <w:pPr>
        <w:rPr>
          <w:lang w:val="es-ES_tradnl"/>
        </w:rPr>
      </w:pPr>
      <w:r>
        <w:rPr>
          <w:lang w:val="es-ES_tradnl"/>
        </w:rPr>
        <w:t>NOTA 11 – Los objetivos de corto alcance para longitudes superiores a 2</w:t>
      </w:r>
      <w:r>
        <w:rPr>
          <w:rFonts w:ascii="Tms Rmn" w:hAnsi="Tms Rmn"/>
          <w:sz w:val="12"/>
          <w:lang w:val="es-ES_tradnl"/>
        </w:rPr>
        <w:t> </w:t>
      </w:r>
      <w:r>
        <w:rPr>
          <w:lang w:val="es-ES_tradnl"/>
        </w:rPr>
        <w:t>500 km no son aplicables.</w:t>
      </w:r>
    </w:p>
    <w:p w:rsidR="005E1F8E" w:rsidRDefault="00610BDA">
      <w:pPr>
        <w:rPr>
          <w:lang w:val="es-ES_tradnl"/>
        </w:rPr>
      </w:pPr>
      <w:r>
        <w:rPr>
          <w:lang w:val="es-ES_tradnl"/>
        </w:rPr>
        <w:t>NOTA 12 – Los objetivos de disponibilidad y los criterios de distribución para las conexiones deben ser los mismos que para los trayectos.</w:t>
      </w:r>
    </w:p>
    <w:p w:rsidR="005E1F8E" w:rsidRDefault="00610BDA">
      <w:pPr>
        <w:rPr>
          <w:lang w:val="es-ES_tradnl"/>
        </w:rPr>
      </w:pPr>
      <w:r>
        <w:rPr>
          <w:lang w:val="es-ES_tradnl"/>
        </w:rPr>
        <w:t>NOTA 13 – Los criterios que definen la entrada en el estado de indisponibilidad y la salida del estado de indisponibilidad se definen en el § A.1 del Anexo A a la Recomendación UIT</w:t>
      </w:r>
      <w:r>
        <w:rPr>
          <w:lang w:val="es-ES_tradnl"/>
        </w:rPr>
        <w:noBreakHyphen/>
        <w:t>T G.826.</w:t>
      </w:r>
    </w:p>
    <w:p w:rsidR="005E1F8E" w:rsidRDefault="00610BDA">
      <w:pPr>
        <w:rPr>
          <w:lang w:val="es-ES_tradnl"/>
        </w:rPr>
      </w:pPr>
      <w:r>
        <w:rPr>
          <w:lang w:val="es-ES_tradnl"/>
        </w:rPr>
        <w:t>NOTA 14 – Es necesario realizar más estudios para definir qué número de sucesos, debidos a condiciones de propagación anómalas, pueden dar lugar a sucesos de indisponibilidad autorremediables; estos sucesos, que generalmente duran mucho menos de cuatro horas (en la Recomendación UIT</w:t>
      </w:r>
      <w:r>
        <w:rPr>
          <w:lang w:val="es-ES_tradnl"/>
        </w:rPr>
        <w:noBreakHyphen/>
        <w:t>T G.827 los objetivos de OI se basan en un valor del tiempo medio de restablecimiento (MTTR) de cuatro horas), no se tienen en cuenta para los objetivos de OI en la Recomendación UIT</w:t>
      </w:r>
      <w:r>
        <w:rPr>
          <w:lang w:val="es-ES_tradnl"/>
        </w:rPr>
        <w:noBreakHyphen/>
        <w:t>T G.827.</w:t>
      </w:r>
    </w:p>
    <w:p w:rsidR="005E1F8E" w:rsidRDefault="00610BDA">
      <w:pPr>
        <w:rPr>
          <w:lang w:val="es-ES_tradnl"/>
        </w:rPr>
      </w:pPr>
      <w:r>
        <w:rPr>
          <w:lang w:val="es-ES_tradnl"/>
        </w:rPr>
        <w:br w:type="page"/>
      </w:r>
      <w:r>
        <w:rPr>
          <w:lang w:val="es-ES_tradnl"/>
        </w:rPr>
        <w:lastRenderedPageBreak/>
        <w:t>NOTA 15 – Es necesario realizar más estudios para determinar si pueden mejorarse, y en qué medida, los objetivos de AR y de OI.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5"/>
        <w:gridCol w:w="992"/>
        <w:gridCol w:w="995"/>
        <w:gridCol w:w="992"/>
        <w:gridCol w:w="993"/>
        <w:gridCol w:w="992"/>
        <w:gridCol w:w="993"/>
        <w:gridCol w:w="992"/>
        <w:gridCol w:w="983"/>
        <w:gridCol w:w="13"/>
      </w:tblGrid>
      <w:tr w:rsidR="005E1F8E">
        <w:trPr>
          <w:gridAfter w:val="1"/>
          <w:wAfter w:w="13" w:type="dxa"/>
          <w:cantSplit/>
          <w:tblHeader/>
        </w:trPr>
        <w:tc>
          <w:tcPr>
            <w:tcW w:w="9347" w:type="dxa"/>
            <w:gridSpan w:val="9"/>
            <w:tcBorders>
              <w:top w:val="nil"/>
              <w:left w:val="nil"/>
              <w:right w:val="nil"/>
            </w:tcBorders>
          </w:tcPr>
          <w:p w:rsidR="005E1F8E" w:rsidRDefault="00610BDA">
            <w:pPr>
              <w:pStyle w:val="TableNo"/>
              <w:framePr w:hSpace="181" w:wrap="notBeside" w:vAnchor="text" w:hAnchor="text" w:xAlign="center" w:y="1"/>
              <w:rPr>
                <w:lang w:val="es-ES_tradnl"/>
              </w:rPr>
            </w:pPr>
            <w:r>
              <w:rPr>
                <w:lang w:val="es-ES_tradnl"/>
              </w:rPr>
              <w:t>CUADRO  1</w:t>
            </w:r>
          </w:p>
          <w:p w:rsidR="005E1F8E" w:rsidRDefault="00610BDA">
            <w:pPr>
              <w:pStyle w:val="Tabletitle"/>
              <w:rPr>
                <w:i/>
                <w:iCs/>
                <w:sz w:val="20"/>
                <w:lang w:val="es-ES_tradnl"/>
              </w:rPr>
            </w:pPr>
            <w:r>
              <w:rPr>
                <w:lang w:val="es-ES_tradnl"/>
              </w:rPr>
              <w:t xml:space="preserve">Parámetros para los objetivos de AR de los enlaces que forman parte del </w:t>
            </w:r>
            <w:r>
              <w:rPr>
                <w:lang w:val="es-ES_tradnl"/>
              </w:rPr>
              <w:br/>
              <w:t>tramo internacional de un trayecto digital a velocidad binaria constante</w:t>
            </w:r>
          </w:p>
        </w:tc>
      </w:tr>
      <w:tr w:rsidR="005E1F8E">
        <w:tc>
          <w:tcPr>
            <w:tcW w:w="1415" w:type="dxa"/>
          </w:tcPr>
          <w:p w:rsidR="005E1F8E" w:rsidRDefault="00610BDA">
            <w:pPr>
              <w:pStyle w:val="Tablehead"/>
              <w:framePr w:hSpace="181" w:wrap="notBeside" w:vAnchor="text" w:hAnchor="text" w:xAlign="center" w:y="1"/>
              <w:jc w:val="left"/>
              <w:rPr>
                <w:b w:val="0"/>
                <w:bCs/>
                <w:sz w:val="18"/>
              </w:rPr>
            </w:pPr>
            <w:r>
              <w:rPr>
                <w:b w:val="0"/>
                <w:bCs/>
                <w:sz w:val="18"/>
                <w:lang w:val="en-GB"/>
              </w:rPr>
              <w:t>Longitud (km)</w:t>
            </w:r>
          </w:p>
        </w:tc>
        <w:tc>
          <w:tcPr>
            <w:tcW w:w="1987" w:type="dxa"/>
            <w:gridSpan w:val="2"/>
            <w:vAlign w:val="center"/>
          </w:tcPr>
          <w:p w:rsidR="005E1F8E" w:rsidRDefault="00610BDA">
            <w:pPr>
              <w:pStyle w:val="Tablehead"/>
              <w:framePr w:hSpace="181" w:wrap="notBeside" w:vAnchor="text" w:hAnchor="text" w:xAlign="center" w:y="1"/>
              <w:rPr>
                <w:b w:val="0"/>
                <w:bCs/>
                <w:sz w:val="18"/>
                <w:lang w:val="fr-CH"/>
              </w:rPr>
            </w:pPr>
            <w:r>
              <w:rPr>
                <w:b w:val="0"/>
                <w:bCs/>
                <w:i/>
                <w:iCs/>
                <w:sz w:val="18"/>
                <w:lang w:val="fr-CH"/>
              </w:rPr>
              <w:t>L</w:t>
            </w:r>
            <w:r>
              <w:rPr>
                <w:b w:val="0"/>
                <w:bCs/>
                <w:i/>
                <w:iCs/>
                <w:sz w:val="18"/>
                <w:vertAlign w:val="subscript"/>
                <w:lang w:val="fr-CH"/>
              </w:rPr>
              <w:t>mín</w:t>
            </w:r>
            <w:r>
              <w:rPr>
                <w:b w:val="0"/>
                <w:bCs/>
                <w:sz w:val="18"/>
                <w:lang w:val="fr-CH"/>
              </w:rPr>
              <w:t xml:space="preserve"> </w:t>
            </w:r>
            <w:r>
              <w:rPr>
                <w:rFonts w:ascii="Symbol" w:hAnsi="Symbol"/>
                <w:b w:val="0"/>
                <w:bCs/>
                <w:sz w:val="18"/>
              </w:rPr>
              <w:sym w:font="Symbol" w:char="F0A3"/>
            </w:r>
            <w:r>
              <w:rPr>
                <w:b w:val="0"/>
                <w:bCs/>
                <w:sz w:val="18"/>
                <w:lang w:val="fr-CH"/>
              </w:rPr>
              <w:t xml:space="preserve"> </w:t>
            </w:r>
            <w:r>
              <w:rPr>
                <w:b w:val="0"/>
                <w:bCs/>
                <w:i/>
                <w:iCs/>
                <w:sz w:val="18"/>
                <w:lang w:val="fr-CH"/>
              </w:rPr>
              <w:t>L</w:t>
            </w:r>
            <w:r>
              <w:rPr>
                <w:b w:val="0"/>
                <w:bCs/>
                <w:i/>
                <w:iCs/>
                <w:sz w:val="18"/>
                <w:vertAlign w:val="subscript"/>
                <w:lang w:val="fr-CH"/>
              </w:rPr>
              <w:t>enlace</w:t>
            </w:r>
            <w:r>
              <w:rPr>
                <w:b w:val="0"/>
                <w:bCs/>
                <w:sz w:val="18"/>
                <w:lang w:val="fr-CH"/>
              </w:rPr>
              <w:t xml:space="preserve"> </w:t>
            </w:r>
            <w:r>
              <w:rPr>
                <w:rFonts w:ascii="Symbol" w:hAnsi="Symbol"/>
                <w:b w:val="0"/>
                <w:bCs/>
                <w:sz w:val="18"/>
              </w:rPr>
              <w:sym w:font="Symbol" w:char="F0A3"/>
            </w:r>
            <w:r>
              <w:rPr>
                <w:b w:val="0"/>
                <w:bCs/>
                <w:sz w:val="18"/>
                <w:lang w:val="fr-CH"/>
              </w:rPr>
              <w:t xml:space="preserve"> 250</w:t>
            </w:r>
          </w:p>
        </w:tc>
        <w:tc>
          <w:tcPr>
            <w:tcW w:w="1985" w:type="dxa"/>
            <w:gridSpan w:val="2"/>
            <w:vAlign w:val="center"/>
          </w:tcPr>
          <w:p w:rsidR="005E1F8E" w:rsidRDefault="00610BDA">
            <w:pPr>
              <w:pStyle w:val="Tablehead"/>
              <w:framePr w:hSpace="181" w:wrap="notBeside" w:vAnchor="text" w:hAnchor="text" w:xAlign="center" w:y="1"/>
              <w:rPr>
                <w:b w:val="0"/>
                <w:bCs/>
                <w:sz w:val="18"/>
                <w:lang w:val="en-US"/>
              </w:rPr>
            </w:pPr>
            <w:r>
              <w:rPr>
                <w:b w:val="0"/>
                <w:bCs/>
                <w:sz w:val="18"/>
                <w:lang w:val="fr-CH"/>
              </w:rPr>
              <w:t xml:space="preserve">250 </w:t>
            </w:r>
            <w:r>
              <w:rPr>
                <w:rFonts w:ascii="Symbol" w:hAnsi="Symbol"/>
                <w:b w:val="0"/>
                <w:bCs/>
                <w:sz w:val="18"/>
              </w:rPr>
              <w:t></w:t>
            </w:r>
            <w:r>
              <w:rPr>
                <w:b w:val="0"/>
                <w:bCs/>
                <w:sz w:val="18"/>
                <w:lang w:val="fr-CH"/>
              </w:rPr>
              <w:t xml:space="preserve"> </w:t>
            </w:r>
            <w:r>
              <w:rPr>
                <w:b w:val="0"/>
                <w:bCs/>
                <w:i/>
                <w:iCs/>
                <w:sz w:val="18"/>
                <w:lang w:val="fr-CH"/>
              </w:rPr>
              <w:t>L</w:t>
            </w:r>
            <w:r>
              <w:rPr>
                <w:b w:val="0"/>
                <w:bCs/>
                <w:i/>
                <w:iCs/>
                <w:sz w:val="18"/>
                <w:vertAlign w:val="subscript"/>
                <w:lang w:val="fr-CH"/>
              </w:rPr>
              <w:t>enlace</w:t>
            </w:r>
            <w:r>
              <w:rPr>
                <w:b w:val="0"/>
                <w:bCs/>
                <w:sz w:val="18"/>
                <w:lang w:val="fr-CH"/>
              </w:rPr>
              <w:t xml:space="preserve"> </w:t>
            </w:r>
            <w:r>
              <w:rPr>
                <w:rFonts w:ascii="Symbol" w:hAnsi="Symbol"/>
                <w:b w:val="0"/>
                <w:bCs/>
                <w:sz w:val="18"/>
              </w:rPr>
              <w:sym w:font="Symbol" w:char="F0A3"/>
            </w:r>
            <w:r>
              <w:rPr>
                <w:b w:val="0"/>
                <w:bCs/>
                <w:sz w:val="18"/>
                <w:lang w:val="fr-CH"/>
              </w:rPr>
              <w:t xml:space="preserve"> 2</w:t>
            </w:r>
            <w:r>
              <w:rPr>
                <w:rFonts w:ascii="Tms Rmn" w:hAnsi="Tms Rmn"/>
                <w:b w:val="0"/>
                <w:bCs/>
                <w:sz w:val="12"/>
                <w:lang w:val="fr-CH"/>
              </w:rPr>
              <w:t> </w:t>
            </w:r>
            <w:r>
              <w:rPr>
                <w:b w:val="0"/>
                <w:bCs/>
                <w:sz w:val="18"/>
                <w:lang w:val="fr-CH"/>
              </w:rPr>
              <w:t>500</w:t>
            </w:r>
          </w:p>
        </w:tc>
        <w:tc>
          <w:tcPr>
            <w:tcW w:w="1985" w:type="dxa"/>
            <w:gridSpan w:val="2"/>
            <w:vAlign w:val="center"/>
          </w:tcPr>
          <w:p w:rsidR="005E1F8E" w:rsidRDefault="00610BDA">
            <w:pPr>
              <w:pStyle w:val="Tablehead"/>
              <w:framePr w:hSpace="181" w:wrap="notBeside" w:vAnchor="text" w:hAnchor="text" w:xAlign="center" w:y="1"/>
              <w:rPr>
                <w:b w:val="0"/>
                <w:bCs/>
                <w:sz w:val="18"/>
                <w:lang w:val="en-US"/>
              </w:rPr>
            </w:pPr>
            <w:r>
              <w:rPr>
                <w:b w:val="0"/>
                <w:bCs/>
                <w:sz w:val="18"/>
                <w:lang w:val="en-GB"/>
              </w:rPr>
              <w:t>2</w:t>
            </w:r>
            <w:r>
              <w:rPr>
                <w:rFonts w:ascii="Tms Rmn" w:hAnsi="Tms Rmn"/>
                <w:b w:val="0"/>
                <w:bCs/>
                <w:sz w:val="12"/>
                <w:lang w:val="en-GB"/>
              </w:rPr>
              <w:t> </w:t>
            </w:r>
            <w:r>
              <w:rPr>
                <w:b w:val="0"/>
                <w:bCs/>
                <w:sz w:val="18"/>
                <w:lang w:val="en-GB"/>
              </w:rPr>
              <w:t xml:space="preserve">500 </w:t>
            </w:r>
            <w:r>
              <w:rPr>
                <w:rFonts w:ascii="Symbol" w:hAnsi="Symbol"/>
                <w:b w:val="0"/>
                <w:bCs/>
                <w:sz w:val="18"/>
              </w:rPr>
              <w:t></w:t>
            </w:r>
            <w:r>
              <w:rPr>
                <w:b w:val="0"/>
                <w:bCs/>
                <w:sz w:val="18"/>
                <w:lang w:val="en-GB"/>
              </w:rPr>
              <w:t xml:space="preserve"> </w:t>
            </w:r>
            <w:r>
              <w:rPr>
                <w:b w:val="0"/>
                <w:bCs/>
                <w:i/>
                <w:iCs/>
                <w:sz w:val="18"/>
                <w:lang w:val="en-GB"/>
              </w:rPr>
              <w:t>L</w:t>
            </w:r>
            <w:r>
              <w:rPr>
                <w:b w:val="0"/>
                <w:bCs/>
                <w:i/>
                <w:iCs/>
                <w:sz w:val="18"/>
                <w:vertAlign w:val="subscript"/>
                <w:lang w:val="en-GB"/>
              </w:rPr>
              <w:t>enlace</w:t>
            </w:r>
            <w:r>
              <w:rPr>
                <w:b w:val="0"/>
                <w:bCs/>
                <w:sz w:val="18"/>
                <w:lang w:val="en-GB"/>
              </w:rPr>
              <w:t xml:space="preserve"> </w:t>
            </w:r>
            <w:r>
              <w:rPr>
                <w:rFonts w:ascii="Symbol" w:hAnsi="Symbol"/>
                <w:b w:val="0"/>
                <w:bCs/>
                <w:sz w:val="18"/>
              </w:rPr>
              <w:sym w:font="Symbol" w:char="F0A3"/>
            </w:r>
            <w:r>
              <w:rPr>
                <w:b w:val="0"/>
                <w:bCs/>
                <w:sz w:val="18"/>
                <w:lang w:val="en-GB"/>
              </w:rPr>
              <w:t xml:space="preserve"> 7</w:t>
            </w:r>
            <w:r>
              <w:rPr>
                <w:rFonts w:ascii="Tms Rmn" w:hAnsi="Tms Rmn"/>
                <w:b w:val="0"/>
                <w:bCs/>
                <w:sz w:val="12"/>
                <w:lang w:val="en-GB"/>
              </w:rPr>
              <w:t> </w:t>
            </w:r>
            <w:r>
              <w:rPr>
                <w:b w:val="0"/>
                <w:bCs/>
                <w:sz w:val="18"/>
                <w:lang w:val="en-GB"/>
              </w:rPr>
              <w:t>500</w:t>
            </w:r>
          </w:p>
        </w:tc>
        <w:tc>
          <w:tcPr>
            <w:tcW w:w="1988" w:type="dxa"/>
            <w:gridSpan w:val="3"/>
            <w:vAlign w:val="center"/>
          </w:tcPr>
          <w:p w:rsidR="005E1F8E" w:rsidRDefault="00610BDA">
            <w:pPr>
              <w:pStyle w:val="Tablehead"/>
              <w:framePr w:hSpace="181" w:wrap="notBeside" w:vAnchor="text" w:hAnchor="text" w:xAlign="center" w:y="1"/>
              <w:rPr>
                <w:b w:val="0"/>
                <w:bCs/>
                <w:sz w:val="18"/>
                <w:lang w:val="en-US"/>
              </w:rPr>
            </w:pPr>
            <w:r>
              <w:rPr>
                <w:b w:val="0"/>
                <w:bCs/>
                <w:i/>
                <w:iCs/>
                <w:sz w:val="18"/>
                <w:lang w:val="en-GB"/>
              </w:rPr>
              <w:t>L</w:t>
            </w:r>
            <w:r>
              <w:rPr>
                <w:b w:val="0"/>
                <w:bCs/>
                <w:i/>
                <w:iCs/>
                <w:sz w:val="18"/>
                <w:vertAlign w:val="subscript"/>
                <w:lang w:val="en-GB"/>
              </w:rPr>
              <w:t>enlace</w:t>
            </w:r>
            <w:r>
              <w:rPr>
                <w:b w:val="0"/>
                <w:bCs/>
                <w:sz w:val="18"/>
                <w:lang w:val="en-GB"/>
              </w:rPr>
              <w:t xml:space="preserve"> </w:t>
            </w:r>
            <w:r>
              <w:rPr>
                <w:rFonts w:ascii="Symbol" w:hAnsi="Symbol"/>
                <w:b w:val="0"/>
                <w:bCs/>
                <w:sz w:val="18"/>
              </w:rPr>
              <w:t></w:t>
            </w:r>
            <w:r>
              <w:rPr>
                <w:b w:val="0"/>
                <w:bCs/>
                <w:sz w:val="18"/>
                <w:lang w:val="en-GB"/>
              </w:rPr>
              <w:t xml:space="preserve"> 7</w:t>
            </w:r>
            <w:r>
              <w:rPr>
                <w:rFonts w:ascii="Tms Rmn" w:hAnsi="Tms Rmn"/>
                <w:b w:val="0"/>
                <w:bCs/>
                <w:sz w:val="12"/>
                <w:lang w:val="en-GB"/>
              </w:rPr>
              <w:t> </w:t>
            </w:r>
            <w:r>
              <w:rPr>
                <w:b w:val="0"/>
                <w:bCs/>
                <w:sz w:val="18"/>
                <w:lang w:val="en-GB"/>
              </w:rPr>
              <w:t>500</w:t>
            </w:r>
          </w:p>
        </w:tc>
      </w:tr>
      <w:tr w:rsidR="005E1F8E">
        <w:tc>
          <w:tcPr>
            <w:tcW w:w="1415" w:type="dxa"/>
          </w:tcPr>
          <w:p w:rsidR="005E1F8E" w:rsidRDefault="005E1F8E">
            <w:pPr>
              <w:pStyle w:val="Tabletext"/>
              <w:framePr w:hSpace="181" w:wrap="notBeside" w:vAnchor="text" w:hAnchor="text" w:xAlign="center" w:y="1"/>
              <w:jc w:val="left"/>
              <w:rPr>
                <w:sz w:val="18"/>
                <w:lang w:val="en-US"/>
              </w:rPr>
            </w:pPr>
          </w:p>
        </w:tc>
        <w:tc>
          <w:tcPr>
            <w:tcW w:w="992" w:type="dxa"/>
          </w:tcPr>
          <w:p w:rsidR="005E1F8E" w:rsidRDefault="00610BDA">
            <w:pPr>
              <w:pStyle w:val="Tabletext"/>
              <w:framePr w:hSpace="181" w:wrap="notBeside" w:vAnchor="text" w:hAnchor="text" w:xAlign="center" w:y="1"/>
              <w:jc w:val="center"/>
              <w:rPr>
                <w:sz w:val="18"/>
                <w:lang w:val="en-GB"/>
              </w:rPr>
            </w:pPr>
            <w:r>
              <w:rPr>
                <w:i/>
                <w:iCs/>
                <w:sz w:val="18"/>
                <w:lang w:val="en-GB"/>
              </w:rPr>
              <w:t>B</w:t>
            </w:r>
            <w:r>
              <w:rPr>
                <w:sz w:val="18"/>
                <w:vertAlign w:val="subscript"/>
                <w:lang w:val="en-GB"/>
              </w:rPr>
              <w:t>1</w:t>
            </w:r>
          </w:p>
        </w:tc>
        <w:tc>
          <w:tcPr>
            <w:tcW w:w="995" w:type="dxa"/>
          </w:tcPr>
          <w:p w:rsidR="005E1F8E" w:rsidRDefault="00610BDA">
            <w:pPr>
              <w:pStyle w:val="Tabletext"/>
              <w:framePr w:hSpace="181" w:wrap="notBeside" w:vAnchor="text" w:hAnchor="text" w:xAlign="center" w:y="1"/>
              <w:jc w:val="center"/>
              <w:rPr>
                <w:sz w:val="18"/>
                <w:lang w:val="en-GB"/>
              </w:rPr>
            </w:pPr>
            <w:r>
              <w:rPr>
                <w:i/>
                <w:iCs/>
                <w:sz w:val="18"/>
                <w:lang w:val="en-GB"/>
              </w:rPr>
              <w:t>C</w:t>
            </w:r>
            <w:r>
              <w:rPr>
                <w:sz w:val="18"/>
                <w:vertAlign w:val="subscript"/>
                <w:lang w:val="en-GB"/>
              </w:rPr>
              <w:t>1</w:t>
            </w:r>
          </w:p>
        </w:tc>
        <w:tc>
          <w:tcPr>
            <w:tcW w:w="992" w:type="dxa"/>
          </w:tcPr>
          <w:p w:rsidR="005E1F8E" w:rsidRDefault="00610BDA">
            <w:pPr>
              <w:pStyle w:val="Tabletext"/>
              <w:framePr w:hSpace="181" w:wrap="notBeside" w:vAnchor="text" w:hAnchor="text" w:xAlign="center" w:y="1"/>
              <w:jc w:val="center"/>
              <w:rPr>
                <w:sz w:val="18"/>
                <w:lang w:val="en-GB"/>
              </w:rPr>
            </w:pPr>
            <w:r>
              <w:rPr>
                <w:i/>
                <w:iCs/>
                <w:sz w:val="18"/>
                <w:lang w:val="en-GB"/>
              </w:rPr>
              <w:t>B</w:t>
            </w:r>
            <w:r>
              <w:rPr>
                <w:sz w:val="18"/>
                <w:vertAlign w:val="subscript"/>
                <w:lang w:val="en-GB"/>
              </w:rPr>
              <w:t>2</w:t>
            </w:r>
          </w:p>
        </w:tc>
        <w:tc>
          <w:tcPr>
            <w:tcW w:w="993" w:type="dxa"/>
          </w:tcPr>
          <w:p w:rsidR="005E1F8E" w:rsidRDefault="00610BDA">
            <w:pPr>
              <w:pStyle w:val="Tabletext"/>
              <w:framePr w:hSpace="181" w:wrap="notBeside" w:vAnchor="text" w:hAnchor="text" w:xAlign="center" w:y="1"/>
              <w:jc w:val="center"/>
              <w:rPr>
                <w:sz w:val="18"/>
                <w:lang w:val="en-GB"/>
              </w:rPr>
            </w:pPr>
            <w:r>
              <w:rPr>
                <w:i/>
                <w:iCs/>
                <w:sz w:val="18"/>
                <w:lang w:val="en-GB"/>
              </w:rPr>
              <w:t>C</w:t>
            </w:r>
            <w:r>
              <w:rPr>
                <w:sz w:val="18"/>
                <w:vertAlign w:val="subscript"/>
                <w:lang w:val="en-GB"/>
              </w:rPr>
              <w:t>2</w:t>
            </w:r>
          </w:p>
        </w:tc>
        <w:tc>
          <w:tcPr>
            <w:tcW w:w="992" w:type="dxa"/>
          </w:tcPr>
          <w:p w:rsidR="005E1F8E" w:rsidRDefault="00610BDA">
            <w:pPr>
              <w:pStyle w:val="Tabletext"/>
              <w:framePr w:hSpace="181" w:wrap="notBeside" w:vAnchor="text" w:hAnchor="text" w:xAlign="center" w:y="1"/>
              <w:jc w:val="center"/>
              <w:rPr>
                <w:sz w:val="18"/>
                <w:lang w:val="en-GB"/>
              </w:rPr>
            </w:pPr>
            <w:r>
              <w:rPr>
                <w:i/>
                <w:iCs/>
                <w:sz w:val="18"/>
                <w:lang w:val="en-GB"/>
              </w:rPr>
              <w:t>B</w:t>
            </w:r>
            <w:r>
              <w:rPr>
                <w:sz w:val="18"/>
                <w:vertAlign w:val="subscript"/>
                <w:lang w:val="en-GB"/>
              </w:rPr>
              <w:t>3</w:t>
            </w:r>
          </w:p>
        </w:tc>
        <w:tc>
          <w:tcPr>
            <w:tcW w:w="993" w:type="dxa"/>
          </w:tcPr>
          <w:p w:rsidR="005E1F8E" w:rsidRDefault="00610BDA">
            <w:pPr>
              <w:pStyle w:val="Tabletext"/>
              <w:framePr w:hSpace="181" w:wrap="notBeside" w:vAnchor="text" w:hAnchor="text" w:xAlign="center" w:y="1"/>
              <w:jc w:val="center"/>
              <w:rPr>
                <w:sz w:val="18"/>
                <w:lang w:val="en-GB"/>
              </w:rPr>
            </w:pPr>
            <w:r>
              <w:rPr>
                <w:i/>
                <w:iCs/>
                <w:sz w:val="18"/>
                <w:lang w:val="en-GB"/>
              </w:rPr>
              <w:t>C</w:t>
            </w:r>
            <w:r>
              <w:rPr>
                <w:sz w:val="18"/>
                <w:vertAlign w:val="subscript"/>
                <w:lang w:val="en-GB"/>
              </w:rPr>
              <w:t>3</w:t>
            </w:r>
          </w:p>
        </w:tc>
        <w:tc>
          <w:tcPr>
            <w:tcW w:w="992" w:type="dxa"/>
          </w:tcPr>
          <w:p w:rsidR="005E1F8E" w:rsidRDefault="00610BDA">
            <w:pPr>
              <w:pStyle w:val="Tabletext"/>
              <w:framePr w:hSpace="181" w:wrap="notBeside" w:vAnchor="text" w:hAnchor="text" w:xAlign="center" w:y="1"/>
              <w:jc w:val="center"/>
              <w:rPr>
                <w:sz w:val="18"/>
                <w:lang w:val="fr-CH"/>
              </w:rPr>
            </w:pPr>
            <w:r>
              <w:rPr>
                <w:i/>
                <w:iCs/>
                <w:sz w:val="18"/>
                <w:lang w:val="fr-CH"/>
              </w:rPr>
              <w:t>B</w:t>
            </w:r>
            <w:r>
              <w:rPr>
                <w:sz w:val="18"/>
                <w:vertAlign w:val="subscript"/>
                <w:lang w:val="fr-CH"/>
              </w:rPr>
              <w:t>4</w:t>
            </w:r>
          </w:p>
        </w:tc>
        <w:tc>
          <w:tcPr>
            <w:tcW w:w="992" w:type="dxa"/>
            <w:gridSpan w:val="2"/>
          </w:tcPr>
          <w:p w:rsidR="005E1F8E" w:rsidRDefault="00610BDA">
            <w:pPr>
              <w:pStyle w:val="Tabletext"/>
              <w:framePr w:hSpace="181" w:wrap="notBeside" w:vAnchor="text" w:hAnchor="text" w:xAlign="center" w:y="1"/>
              <w:jc w:val="center"/>
              <w:rPr>
                <w:sz w:val="18"/>
                <w:lang w:val="fr-CH"/>
              </w:rPr>
            </w:pPr>
            <w:r>
              <w:rPr>
                <w:i/>
                <w:iCs/>
                <w:sz w:val="18"/>
                <w:lang w:val="fr-CH"/>
              </w:rPr>
              <w:t>C</w:t>
            </w:r>
            <w:r>
              <w:rPr>
                <w:sz w:val="18"/>
                <w:vertAlign w:val="subscript"/>
                <w:lang w:val="fr-CH"/>
              </w:rPr>
              <w:t>4</w:t>
            </w:r>
          </w:p>
        </w:tc>
      </w:tr>
      <w:tr w:rsidR="005E1F8E">
        <w:tc>
          <w:tcPr>
            <w:tcW w:w="1415" w:type="dxa"/>
          </w:tcPr>
          <w:p w:rsidR="005E1F8E" w:rsidRDefault="00610BDA">
            <w:pPr>
              <w:pStyle w:val="Tabletext"/>
              <w:framePr w:hSpace="181" w:wrap="notBeside" w:vAnchor="text" w:hAnchor="text" w:xAlign="center" w:y="1"/>
              <w:jc w:val="left"/>
              <w:rPr>
                <w:sz w:val="18"/>
                <w:lang w:val="es-ES_tradnl"/>
              </w:rPr>
            </w:pPr>
            <w:r>
              <w:rPr>
                <w:sz w:val="18"/>
                <w:lang w:val="es-ES_tradnl"/>
              </w:rPr>
              <w:t>Tramo internacional</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 xml:space="preserve">1,9 </w:t>
            </w:r>
            <w:r>
              <w:rPr>
                <w:rFonts w:ascii="Symbol" w:hAnsi="Symbol"/>
                <w:sz w:val="18"/>
              </w:rPr>
              <w:t></w:t>
            </w:r>
            <w:r>
              <w:rPr>
                <w:sz w:val="18"/>
                <w:lang w:val="es-ES_tradnl"/>
              </w:rPr>
              <w:t xml:space="preserve"> 10</w:t>
            </w:r>
            <w:r>
              <w:rPr>
                <w:sz w:val="18"/>
                <w:vertAlign w:val="superscript"/>
                <w:lang w:val="es-ES_tradnl"/>
              </w:rPr>
              <w:t>–3</w:t>
            </w:r>
          </w:p>
        </w:tc>
        <w:tc>
          <w:tcPr>
            <w:tcW w:w="995" w:type="dxa"/>
          </w:tcPr>
          <w:p w:rsidR="005E1F8E" w:rsidRDefault="00610BDA">
            <w:pPr>
              <w:pStyle w:val="Tabletext"/>
              <w:framePr w:hSpace="181" w:wrap="notBeside" w:vAnchor="text" w:hAnchor="text" w:xAlign="center" w:y="1"/>
              <w:jc w:val="center"/>
              <w:rPr>
                <w:sz w:val="18"/>
                <w:lang w:val="es-ES_tradnl"/>
              </w:rPr>
            </w:pPr>
            <w:r>
              <w:rPr>
                <w:sz w:val="18"/>
                <w:lang w:val="es-ES_tradnl"/>
              </w:rPr>
              <w:t xml:space="preserve">1,1 </w:t>
            </w:r>
            <w:r>
              <w:rPr>
                <w:rFonts w:ascii="Symbol" w:hAnsi="Symbol"/>
                <w:sz w:val="18"/>
              </w:rPr>
              <w:t></w:t>
            </w:r>
            <w:r>
              <w:rPr>
                <w:sz w:val="18"/>
                <w:lang w:val="es-ES_tradnl"/>
              </w:rPr>
              <w:t xml:space="preserve"> 10</w:t>
            </w:r>
            <w:r>
              <w:rPr>
                <w:sz w:val="18"/>
                <w:vertAlign w:val="superscript"/>
                <w:lang w:val="es-ES_tradnl"/>
              </w:rPr>
              <w:t>–4</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 xml:space="preserve">3 </w:t>
            </w:r>
            <w:r>
              <w:rPr>
                <w:rFonts w:ascii="Symbol" w:hAnsi="Symbol"/>
                <w:sz w:val="18"/>
              </w:rPr>
              <w:t></w:t>
            </w:r>
            <w:r>
              <w:rPr>
                <w:sz w:val="18"/>
                <w:lang w:val="es-ES_tradnl"/>
              </w:rPr>
              <w:t xml:space="preserve"> 10</w:t>
            </w:r>
            <w:r>
              <w:rPr>
                <w:sz w:val="18"/>
                <w:vertAlign w:val="superscript"/>
                <w:lang w:val="es-ES_tradnl"/>
              </w:rPr>
              <w:t>–3</w:t>
            </w:r>
          </w:p>
        </w:tc>
        <w:tc>
          <w:tcPr>
            <w:tcW w:w="993" w:type="dxa"/>
          </w:tcPr>
          <w:p w:rsidR="005E1F8E" w:rsidRDefault="00610BDA">
            <w:pPr>
              <w:pStyle w:val="Tabletext"/>
              <w:framePr w:hSpace="181" w:wrap="notBeside" w:vAnchor="text" w:hAnchor="text" w:xAlign="center" w:y="1"/>
              <w:jc w:val="center"/>
              <w:rPr>
                <w:sz w:val="18"/>
                <w:lang w:val="es-ES_tradnl"/>
              </w:rPr>
            </w:pPr>
            <w:r>
              <w:rPr>
                <w:sz w:val="18"/>
                <w:lang w:val="es-ES_tradnl"/>
              </w:rPr>
              <w:t>0</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 xml:space="preserve">3 </w:t>
            </w:r>
            <w:r>
              <w:rPr>
                <w:rFonts w:ascii="Symbol" w:hAnsi="Symbol"/>
                <w:sz w:val="18"/>
              </w:rPr>
              <w:t></w:t>
            </w:r>
            <w:r>
              <w:rPr>
                <w:sz w:val="18"/>
                <w:lang w:val="es-ES_tradnl"/>
              </w:rPr>
              <w:t xml:space="preserve"> 10</w:t>
            </w:r>
            <w:r>
              <w:rPr>
                <w:sz w:val="18"/>
                <w:vertAlign w:val="superscript"/>
                <w:lang w:val="es-ES_tradnl"/>
              </w:rPr>
              <w:t>–3</w:t>
            </w:r>
          </w:p>
        </w:tc>
        <w:tc>
          <w:tcPr>
            <w:tcW w:w="993" w:type="dxa"/>
          </w:tcPr>
          <w:p w:rsidR="005E1F8E" w:rsidRDefault="00610BDA">
            <w:pPr>
              <w:pStyle w:val="Tabletext"/>
              <w:framePr w:hSpace="181" w:wrap="notBeside" w:vAnchor="text" w:hAnchor="text" w:xAlign="center" w:y="1"/>
              <w:jc w:val="center"/>
              <w:rPr>
                <w:sz w:val="18"/>
                <w:lang w:val="es-ES_tradnl"/>
              </w:rPr>
            </w:pPr>
            <w:r>
              <w:rPr>
                <w:sz w:val="18"/>
                <w:lang w:val="es-ES_tradnl"/>
              </w:rPr>
              <w:t>0</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 xml:space="preserve">3 </w:t>
            </w:r>
            <w:r>
              <w:rPr>
                <w:rFonts w:ascii="Symbol" w:hAnsi="Symbol"/>
                <w:sz w:val="18"/>
              </w:rPr>
              <w:t></w:t>
            </w:r>
            <w:r>
              <w:rPr>
                <w:sz w:val="18"/>
                <w:lang w:val="es-ES_tradnl"/>
              </w:rPr>
              <w:t xml:space="preserve"> 10</w:t>
            </w:r>
            <w:r>
              <w:rPr>
                <w:sz w:val="18"/>
                <w:vertAlign w:val="superscript"/>
                <w:lang w:val="es-ES_tradnl"/>
              </w:rPr>
              <w:t>–3</w:t>
            </w:r>
          </w:p>
        </w:tc>
        <w:tc>
          <w:tcPr>
            <w:tcW w:w="992" w:type="dxa"/>
            <w:gridSpan w:val="2"/>
          </w:tcPr>
          <w:p w:rsidR="005E1F8E" w:rsidRDefault="00610BDA">
            <w:pPr>
              <w:pStyle w:val="Tabletext"/>
              <w:framePr w:hSpace="181" w:wrap="notBeside" w:vAnchor="text" w:hAnchor="text" w:xAlign="center" w:y="1"/>
              <w:jc w:val="center"/>
              <w:rPr>
                <w:sz w:val="18"/>
                <w:lang w:val="es-ES_tradnl"/>
              </w:rPr>
            </w:pPr>
            <w:r>
              <w:rPr>
                <w:sz w:val="18"/>
                <w:lang w:val="es-ES_tradnl"/>
              </w:rPr>
              <w:t>0</w:t>
            </w:r>
          </w:p>
        </w:tc>
      </w:tr>
    </w:tbl>
    <w:p w:rsidR="005E1F8E" w:rsidRDefault="005E1F8E">
      <w:pPr>
        <w:pStyle w:val="Tablefin"/>
        <w:rPr>
          <w:lang w:val="es-ES_tradnl"/>
        </w:rPr>
      </w:pPr>
    </w:p>
    <w:tbl>
      <w:tblPr>
        <w:tblW w:w="9889" w:type="dxa"/>
        <w:tblBorders>
          <w:left w:val="single" w:sz="4" w:space="0" w:color="auto"/>
        </w:tblBorders>
        <w:tblLook w:val="0000" w:firstRow="0" w:lastRow="0" w:firstColumn="0" w:lastColumn="0" w:noHBand="0" w:noVBand="0"/>
      </w:tblPr>
      <w:tblGrid>
        <w:gridCol w:w="439"/>
        <w:gridCol w:w="945"/>
        <w:gridCol w:w="439"/>
        <w:gridCol w:w="979"/>
        <w:gridCol w:w="3548"/>
        <w:gridCol w:w="3539"/>
      </w:tblGrid>
      <w:tr w:rsidR="005E1F8E">
        <w:trPr>
          <w:cantSplit/>
          <w:trHeight w:val="435"/>
          <w:tblHeader/>
        </w:trPr>
        <w:tc>
          <w:tcPr>
            <w:tcW w:w="9889" w:type="dxa"/>
            <w:gridSpan w:val="6"/>
            <w:tcBorders>
              <w:top w:val="nil"/>
              <w:left w:val="nil"/>
              <w:bottom w:val="single" w:sz="4" w:space="0" w:color="auto"/>
              <w:right w:val="nil"/>
            </w:tcBorders>
            <w:vAlign w:val="center"/>
          </w:tcPr>
          <w:p w:rsidR="005E1F8E" w:rsidRDefault="00610BDA">
            <w:pPr>
              <w:pStyle w:val="TableNo"/>
              <w:framePr w:hSpace="181" w:wrap="notBeside" w:vAnchor="text" w:hAnchor="text" w:xAlign="center" w:y="1"/>
              <w:rPr>
                <w:lang w:val="es-ES_tradnl"/>
              </w:rPr>
            </w:pPr>
            <w:r>
              <w:rPr>
                <w:lang w:val="es-ES_tradnl"/>
              </w:rPr>
              <w:t>CUADRO  2</w:t>
            </w:r>
          </w:p>
          <w:p w:rsidR="005E1F8E" w:rsidRDefault="00610BDA">
            <w:pPr>
              <w:pStyle w:val="Tabletitle"/>
              <w:framePr w:hSpace="181" w:wrap="notBeside" w:vAnchor="text" w:hAnchor="text" w:xAlign="center" w:y="1"/>
              <w:rPr>
                <w:sz w:val="20"/>
                <w:lang w:val="es-ES_tradnl"/>
              </w:rPr>
            </w:pPr>
            <w:r>
              <w:rPr>
                <w:lang w:val="es-ES_tradnl"/>
              </w:rPr>
              <w:t xml:space="preserve">Parámetros para los objetivos de AR de los enlaces que forman parte del tramo </w:t>
            </w:r>
            <w:r>
              <w:rPr>
                <w:lang w:val="es-ES_tradnl"/>
              </w:rPr>
              <w:br/>
              <w:t>nacional de un elemento de trayecto digital a velocidad binaria constante</w:t>
            </w:r>
          </w:p>
        </w:tc>
      </w:tr>
      <w:tr w:rsidR="005E1F8E">
        <w:trPr>
          <w:trHeight w:val="435"/>
          <w:tblHeader/>
        </w:trPr>
        <w:tc>
          <w:tcPr>
            <w:tcW w:w="1384" w:type="dxa"/>
            <w:gridSpan w:val="2"/>
            <w:tcBorders>
              <w:top w:val="single" w:sz="4" w:space="0" w:color="auto"/>
              <w:left w:val="single" w:sz="4" w:space="0" w:color="auto"/>
              <w:bottom w:val="single" w:sz="4" w:space="0" w:color="auto"/>
              <w:right w:val="single" w:sz="4" w:space="0" w:color="auto"/>
            </w:tcBorders>
            <w:vAlign w:val="center"/>
          </w:tcPr>
          <w:p w:rsidR="005E1F8E" w:rsidRDefault="00610BDA">
            <w:pPr>
              <w:pStyle w:val="Tablehead"/>
              <w:framePr w:hSpace="181" w:wrap="notBeside" w:vAnchor="text" w:hAnchor="text" w:xAlign="center" w:y="1"/>
              <w:rPr>
                <w:i/>
                <w:iCs/>
                <w:sz w:val="18"/>
                <w:lang w:val="es-ES_tradnl"/>
              </w:rPr>
            </w:pPr>
            <w:r>
              <w:rPr>
                <w:sz w:val="18"/>
                <w:lang w:val="es-ES_tradnl"/>
              </w:rPr>
              <w:t>Tramo de acceso</w:t>
            </w:r>
          </w:p>
        </w:tc>
        <w:tc>
          <w:tcPr>
            <w:tcW w:w="1418" w:type="dxa"/>
            <w:gridSpan w:val="2"/>
            <w:tcBorders>
              <w:top w:val="single" w:sz="4" w:space="0" w:color="auto"/>
              <w:left w:val="nil"/>
              <w:bottom w:val="single" w:sz="4" w:space="0" w:color="auto"/>
              <w:right w:val="single" w:sz="4" w:space="0" w:color="auto"/>
            </w:tcBorders>
          </w:tcPr>
          <w:p w:rsidR="005E1F8E" w:rsidRDefault="00610BDA">
            <w:pPr>
              <w:pStyle w:val="Tablehead"/>
              <w:framePr w:hSpace="181" w:wrap="notBeside" w:vAnchor="text" w:hAnchor="text" w:xAlign="center" w:y="1"/>
              <w:rPr>
                <w:i/>
                <w:iCs/>
                <w:sz w:val="18"/>
                <w:lang w:val="es-ES_tradnl"/>
              </w:rPr>
            </w:pPr>
            <w:r>
              <w:rPr>
                <w:sz w:val="18"/>
                <w:lang w:val="es-ES_tradnl"/>
              </w:rPr>
              <w:t>Tramo de corto alcance</w:t>
            </w:r>
          </w:p>
        </w:tc>
        <w:tc>
          <w:tcPr>
            <w:tcW w:w="7087" w:type="dxa"/>
            <w:gridSpan w:val="2"/>
            <w:tcBorders>
              <w:top w:val="single" w:sz="4" w:space="0" w:color="auto"/>
              <w:left w:val="nil"/>
              <w:bottom w:val="single" w:sz="4" w:space="0" w:color="auto"/>
              <w:right w:val="single" w:sz="4" w:space="0" w:color="auto"/>
            </w:tcBorders>
            <w:vAlign w:val="center"/>
          </w:tcPr>
          <w:p w:rsidR="005E1F8E" w:rsidRDefault="00610BDA">
            <w:pPr>
              <w:pStyle w:val="Tablehead"/>
              <w:framePr w:hSpace="181" w:wrap="notBeside" w:vAnchor="text" w:hAnchor="text" w:xAlign="center" w:y="1"/>
              <w:rPr>
                <w:i/>
                <w:iCs/>
                <w:sz w:val="18"/>
                <w:lang w:val="es-ES_tradnl"/>
              </w:rPr>
            </w:pPr>
            <w:r>
              <w:rPr>
                <w:sz w:val="18"/>
                <w:lang w:val="es-ES_tradnl"/>
              </w:rPr>
              <w:t>Tramo de largo alcance</w:t>
            </w:r>
          </w:p>
        </w:tc>
      </w:tr>
      <w:tr w:rsidR="005E1F8E">
        <w:trPr>
          <w:trHeight w:val="435"/>
        </w:trPr>
        <w:tc>
          <w:tcPr>
            <w:tcW w:w="439" w:type="dxa"/>
            <w:tcBorders>
              <w:top w:val="nil"/>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i/>
                <w:iCs/>
                <w:sz w:val="18"/>
                <w:lang w:val="en-US"/>
              </w:rPr>
              <w:t>B</w:t>
            </w:r>
            <w:r>
              <w:rPr>
                <w:sz w:val="18"/>
                <w:vertAlign w:val="subscript"/>
                <w:lang w:val="en-US"/>
              </w:rPr>
              <w:t>5</w:t>
            </w:r>
          </w:p>
        </w:tc>
        <w:tc>
          <w:tcPr>
            <w:tcW w:w="945" w:type="dxa"/>
            <w:tcBorders>
              <w:top w:val="nil"/>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i/>
                <w:iCs/>
                <w:sz w:val="18"/>
                <w:lang w:val="en-US"/>
              </w:rPr>
              <w:t>C</w:t>
            </w:r>
            <w:r>
              <w:rPr>
                <w:sz w:val="18"/>
                <w:vertAlign w:val="subscript"/>
                <w:lang w:val="en-US"/>
              </w:rPr>
              <w:t>5</w:t>
            </w:r>
          </w:p>
        </w:tc>
        <w:tc>
          <w:tcPr>
            <w:tcW w:w="439"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i/>
                <w:iCs/>
                <w:sz w:val="18"/>
                <w:lang w:val="en-US"/>
              </w:rPr>
              <w:t>B</w:t>
            </w:r>
            <w:r>
              <w:rPr>
                <w:sz w:val="18"/>
                <w:vertAlign w:val="subscript"/>
                <w:lang w:val="en-US"/>
              </w:rPr>
              <w:t>6</w:t>
            </w:r>
          </w:p>
        </w:tc>
        <w:tc>
          <w:tcPr>
            <w:tcW w:w="979"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i/>
                <w:iCs/>
                <w:sz w:val="18"/>
                <w:lang w:val="en-US"/>
              </w:rPr>
              <w:t>C</w:t>
            </w:r>
            <w:r>
              <w:rPr>
                <w:sz w:val="18"/>
                <w:vertAlign w:val="subscript"/>
                <w:lang w:val="en-US"/>
              </w:rPr>
              <w:t>6</w:t>
            </w:r>
          </w:p>
        </w:tc>
        <w:tc>
          <w:tcPr>
            <w:tcW w:w="3548"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i/>
                <w:iCs/>
                <w:sz w:val="18"/>
                <w:lang w:val="en-US"/>
              </w:rPr>
              <w:t>B</w:t>
            </w:r>
            <w:r>
              <w:rPr>
                <w:sz w:val="18"/>
                <w:vertAlign w:val="subscript"/>
                <w:lang w:val="en-US"/>
              </w:rPr>
              <w:t>7</w:t>
            </w:r>
          </w:p>
        </w:tc>
        <w:tc>
          <w:tcPr>
            <w:tcW w:w="3539"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i/>
                <w:iCs/>
                <w:sz w:val="18"/>
                <w:lang w:val="en-US"/>
              </w:rPr>
              <w:t>C</w:t>
            </w:r>
            <w:r>
              <w:rPr>
                <w:sz w:val="18"/>
                <w:vertAlign w:val="subscript"/>
                <w:lang w:val="en-US"/>
              </w:rPr>
              <w:t>7</w:t>
            </w:r>
          </w:p>
        </w:tc>
      </w:tr>
      <w:tr w:rsidR="005E1F8E">
        <w:trPr>
          <w:trHeight w:val="20"/>
        </w:trPr>
        <w:tc>
          <w:tcPr>
            <w:tcW w:w="439" w:type="dxa"/>
            <w:tcBorders>
              <w:top w:val="single" w:sz="4" w:space="0" w:color="auto"/>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0</w:t>
            </w:r>
          </w:p>
        </w:tc>
        <w:tc>
          <w:tcPr>
            <w:tcW w:w="945" w:type="dxa"/>
            <w:tcBorders>
              <w:top w:val="single" w:sz="4" w:space="0" w:color="auto"/>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 xml:space="preserve">5 </w:t>
            </w:r>
            <w:r>
              <w:rPr>
                <w:rFonts w:ascii="Symbol" w:hAnsi="Symbol"/>
                <w:sz w:val="18"/>
              </w:rPr>
              <w:t></w:t>
            </w:r>
            <w:r>
              <w:rPr>
                <w:sz w:val="18"/>
                <w:lang w:val="en-US"/>
              </w:rPr>
              <w:t xml:space="preserve"> 10</w:t>
            </w:r>
            <w:r>
              <w:rPr>
                <w:sz w:val="18"/>
                <w:vertAlign w:val="superscript"/>
                <w:lang w:val="en-US"/>
              </w:rPr>
              <w:t>–4</w:t>
            </w:r>
          </w:p>
        </w:tc>
        <w:tc>
          <w:tcPr>
            <w:tcW w:w="439" w:type="dxa"/>
            <w:tcBorders>
              <w:top w:val="single" w:sz="4" w:space="0" w:color="auto"/>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0</w:t>
            </w:r>
          </w:p>
        </w:tc>
        <w:tc>
          <w:tcPr>
            <w:tcW w:w="979" w:type="dxa"/>
            <w:tcBorders>
              <w:top w:val="single" w:sz="4" w:space="0" w:color="auto"/>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 xml:space="preserve">4 </w:t>
            </w:r>
            <w:r>
              <w:rPr>
                <w:rFonts w:ascii="Symbol" w:hAnsi="Symbol"/>
                <w:sz w:val="18"/>
              </w:rPr>
              <w:t></w:t>
            </w:r>
            <w:r>
              <w:rPr>
                <w:sz w:val="18"/>
                <w:lang w:val="en-US"/>
              </w:rPr>
              <w:t xml:space="preserve"> 10</w:t>
            </w:r>
            <w:r>
              <w:rPr>
                <w:sz w:val="18"/>
                <w:vertAlign w:val="superscript"/>
                <w:lang w:val="en-US"/>
              </w:rPr>
              <w:t>–4</w:t>
            </w:r>
          </w:p>
        </w:tc>
        <w:tc>
          <w:tcPr>
            <w:tcW w:w="3548" w:type="dxa"/>
            <w:tcBorders>
              <w:top w:val="single" w:sz="4" w:space="0" w:color="auto"/>
              <w:left w:val="nil"/>
              <w:bottom w:val="single" w:sz="4" w:space="0" w:color="auto"/>
              <w:right w:val="single" w:sz="4" w:space="0" w:color="auto"/>
            </w:tcBorders>
            <w:tcMar>
              <w:left w:w="85" w:type="dxa"/>
              <w:right w:w="85" w:type="dxa"/>
            </w:tcMar>
          </w:tcPr>
          <w:p w:rsidR="005E1F8E" w:rsidRDefault="00610BDA">
            <w:pPr>
              <w:pStyle w:val="Tabletext"/>
              <w:framePr w:hSpace="181" w:wrap="notBeside" w:vAnchor="text" w:hAnchor="text" w:xAlign="center" w:y="1"/>
              <w:tabs>
                <w:tab w:val="clear" w:pos="284"/>
                <w:tab w:val="clear" w:pos="851"/>
                <w:tab w:val="clear" w:pos="1134"/>
                <w:tab w:val="left" w:pos="1001"/>
              </w:tabs>
              <w:ind w:left="33"/>
              <w:jc w:val="left"/>
              <w:rPr>
                <w:sz w:val="18"/>
                <w:lang w:val="en-US"/>
              </w:rPr>
            </w:pPr>
            <w:r>
              <w:rPr>
                <w:sz w:val="18"/>
                <w:lang w:val="en-US"/>
              </w:rPr>
              <w:t>3 </w:t>
            </w:r>
            <w:r>
              <w:rPr>
                <w:rFonts w:ascii="Symbol" w:hAnsi="Symbol"/>
                <w:sz w:val="18"/>
              </w:rPr>
              <w:t></w:t>
            </w:r>
            <w:r>
              <w:rPr>
                <w:sz w:val="18"/>
                <w:lang w:val="en-US"/>
              </w:rPr>
              <w:t> 10</w:t>
            </w:r>
            <w:r>
              <w:rPr>
                <w:sz w:val="18"/>
                <w:vertAlign w:val="superscript"/>
                <w:lang w:val="en-US"/>
              </w:rPr>
              <w:t>–3</w:t>
            </w:r>
            <w:r>
              <w:rPr>
                <w:position w:val="6"/>
                <w:sz w:val="18"/>
                <w:lang w:val="en-US"/>
              </w:rPr>
              <w:tab/>
            </w:r>
            <w:r>
              <w:rPr>
                <w:sz w:val="18"/>
                <w:lang w:val="en-US"/>
              </w:rPr>
              <w:t xml:space="preserve">para 250 km </w:t>
            </w:r>
            <w:r>
              <w:rPr>
                <w:rFonts w:ascii="Symbol" w:hAnsi="Symbol"/>
                <w:sz w:val="18"/>
              </w:rPr>
              <w:sym w:font="Symbol" w:char="00A3"/>
            </w:r>
            <w:r>
              <w:rPr>
                <w:sz w:val="18"/>
                <w:lang w:val="en-US"/>
              </w:rPr>
              <w:t xml:space="preserve"> </w:t>
            </w:r>
            <w:r>
              <w:rPr>
                <w:i/>
                <w:iCs/>
                <w:sz w:val="18"/>
                <w:lang w:val="en-US"/>
              </w:rPr>
              <w:t>L</w:t>
            </w:r>
            <w:r>
              <w:rPr>
                <w:i/>
                <w:iCs/>
                <w:sz w:val="18"/>
                <w:vertAlign w:val="subscript"/>
                <w:lang w:val="en-GB"/>
              </w:rPr>
              <w:t>enlace</w:t>
            </w:r>
            <w:r>
              <w:rPr>
                <w:sz w:val="18"/>
                <w:lang w:val="en-US"/>
              </w:rPr>
              <w:t xml:space="preserve"> </w:t>
            </w:r>
            <w:r>
              <w:rPr>
                <w:rFonts w:ascii="Symbol" w:hAnsi="Symbol"/>
                <w:sz w:val="18"/>
              </w:rPr>
              <w:t></w:t>
            </w:r>
            <w:r>
              <w:rPr>
                <w:sz w:val="18"/>
                <w:lang w:val="en-US"/>
              </w:rPr>
              <w:t xml:space="preserve"> 2</w:t>
            </w:r>
            <w:r>
              <w:rPr>
                <w:rFonts w:ascii="Tms Rmn" w:hAnsi="Tms Rmn"/>
                <w:sz w:val="12"/>
                <w:lang w:val="en-US"/>
              </w:rPr>
              <w:t> </w:t>
            </w:r>
            <w:r>
              <w:rPr>
                <w:sz w:val="18"/>
                <w:lang w:val="en-US"/>
              </w:rPr>
              <w:t>500 km</w:t>
            </w:r>
          </w:p>
          <w:p w:rsidR="005E1F8E" w:rsidRDefault="00610BDA">
            <w:pPr>
              <w:pStyle w:val="Tabletext"/>
              <w:framePr w:hSpace="181" w:wrap="notBeside" w:vAnchor="text" w:hAnchor="text" w:xAlign="center" w:y="1"/>
              <w:tabs>
                <w:tab w:val="clear" w:pos="284"/>
                <w:tab w:val="clear" w:pos="851"/>
                <w:tab w:val="clear" w:pos="1134"/>
                <w:tab w:val="left" w:pos="1001"/>
              </w:tabs>
              <w:ind w:left="33"/>
              <w:jc w:val="left"/>
              <w:rPr>
                <w:sz w:val="18"/>
                <w:lang w:val="en-US"/>
              </w:rPr>
            </w:pPr>
            <w:r>
              <w:rPr>
                <w:sz w:val="18"/>
                <w:lang w:val="en-US"/>
              </w:rPr>
              <w:t>1,9 </w:t>
            </w:r>
            <w:r>
              <w:rPr>
                <w:rFonts w:ascii="Symbol" w:hAnsi="Symbol"/>
                <w:sz w:val="18"/>
              </w:rPr>
              <w:t></w:t>
            </w:r>
            <w:r>
              <w:rPr>
                <w:sz w:val="18"/>
                <w:lang w:val="en-US"/>
              </w:rPr>
              <w:t> 10</w:t>
            </w:r>
            <w:r>
              <w:rPr>
                <w:sz w:val="18"/>
                <w:vertAlign w:val="superscript"/>
                <w:lang w:val="en-US"/>
              </w:rPr>
              <w:t>–3</w:t>
            </w:r>
            <w:r>
              <w:rPr>
                <w:sz w:val="18"/>
                <w:lang w:val="en-US"/>
              </w:rPr>
              <w:tab/>
              <w:t xml:space="preserve">para </w:t>
            </w:r>
            <w:r>
              <w:rPr>
                <w:i/>
                <w:iCs/>
                <w:sz w:val="18"/>
                <w:lang w:val="en-US"/>
              </w:rPr>
              <w:t>L</w:t>
            </w:r>
            <w:r>
              <w:rPr>
                <w:i/>
                <w:iCs/>
                <w:sz w:val="18"/>
                <w:vertAlign w:val="subscript"/>
                <w:lang w:val="en-US"/>
              </w:rPr>
              <w:t>mín</w:t>
            </w:r>
            <w:r>
              <w:rPr>
                <w:sz w:val="18"/>
                <w:lang w:val="en-US"/>
              </w:rPr>
              <w:t xml:space="preserve"> </w:t>
            </w:r>
            <w:r>
              <w:rPr>
                <w:rFonts w:ascii="Symbol" w:hAnsi="Symbol"/>
                <w:sz w:val="18"/>
              </w:rPr>
              <w:sym w:font="Symbol" w:char="00A3"/>
            </w:r>
            <w:r>
              <w:rPr>
                <w:sz w:val="18"/>
                <w:lang w:val="en-US"/>
              </w:rPr>
              <w:t xml:space="preserve"> </w:t>
            </w:r>
            <w:r>
              <w:rPr>
                <w:i/>
                <w:iCs/>
                <w:sz w:val="18"/>
                <w:lang w:val="en-US"/>
              </w:rPr>
              <w:t>L</w:t>
            </w:r>
            <w:r>
              <w:rPr>
                <w:i/>
                <w:iCs/>
                <w:sz w:val="18"/>
                <w:vertAlign w:val="subscript"/>
                <w:lang w:val="en-GB"/>
              </w:rPr>
              <w:t>enlace</w:t>
            </w:r>
            <w:r>
              <w:rPr>
                <w:sz w:val="18"/>
                <w:lang w:val="en-US"/>
              </w:rPr>
              <w:t xml:space="preserve"> </w:t>
            </w:r>
            <w:r>
              <w:rPr>
                <w:rFonts w:ascii="Symbol" w:hAnsi="Symbol"/>
                <w:sz w:val="18"/>
              </w:rPr>
              <w:t></w:t>
            </w:r>
            <w:r>
              <w:rPr>
                <w:sz w:val="18"/>
                <w:lang w:val="en-US"/>
              </w:rPr>
              <w:t xml:space="preserve"> 250 km</w:t>
            </w:r>
          </w:p>
        </w:tc>
        <w:tc>
          <w:tcPr>
            <w:tcW w:w="3539" w:type="dxa"/>
            <w:tcBorders>
              <w:top w:val="single" w:sz="4" w:space="0" w:color="auto"/>
              <w:left w:val="nil"/>
              <w:bottom w:val="single" w:sz="4" w:space="0" w:color="auto"/>
              <w:right w:val="single" w:sz="4" w:space="0" w:color="auto"/>
            </w:tcBorders>
          </w:tcPr>
          <w:p w:rsidR="005E1F8E" w:rsidRDefault="00610BDA">
            <w:pPr>
              <w:pStyle w:val="Tabletext"/>
              <w:framePr w:hSpace="181" w:wrap="notBeside" w:vAnchor="text" w:hAnchor="text" w:xAlign="center" w:y="1"/>
              <w:tabs>
                <w:tab w:val="clear" w:pos="851"/>
                <w:tab w:val="left" w:pos="957"/>
              </w:tabs>
              <w:jc w:val="left"/>
              <w:rPr>
                <w:sz w:val="18"/>
                <w:lang w:val="en-US"/>
              </w:rPr>
            </w:pPr>
            <w:r>
              <w:rPr>
                <w:sz w:val="18"/>
                <w:lang w:val="en-US"/>
              </w:rPr>
              <w:t>0</w:t>
            </w:r>
            <w:r>
              <w:rPr>
                <w:sz w:val="18"/>
                <w:lang w:val="en-US"/>
              </w:rPr>
              <w:tab/>
            </w:r>
            <w:r>
              <w:rPr>
                <w:sz w:val="18"/>
                <w:lang w:val="en-US"/>
              </w:rPr>
              <w:tab/>
            </w:r>
            <w:r>
              <w:rPr>
                <w:sz w:val="18"/>
                <w:lang w:val="en-US"/>
              </w:rPr>
              <w:tab/>
              <w:t xml:space="preserve">para 250 km </w:t>
            </w:r>
            <w:r>
              <w:rPr>
                <w:rFonts w:ascii="Symbol" w:hAnsi="Symbol"/>
                <w:sz w:val="18"/>
              </w:rPr>
              <w:sym w:font="Symbol" w:char="00A3"/>
            </w:r>
            <w:r>
              <w:rPr>
                <w:sz w:val="18"/>
                <w:lang w:val="en-US"/>
              </w:rPr>
              <w:t xml:space="preserve"> </w:t>
            </w:r>
            <w:r>
              <w:rPr>
                <w:i/>
                <w:iCs/>
                <w:sz w:val="18"/>
                <w:lang w:val="en-US"/>
              </w:rPr>
              <w:t>L</w:t>
            </w:r>
            <w:r>
              <w:rPr>
                <w:i/>
                <w:iCs/>
                <w:sz w:val="18"/>
                <w:vertAlign w:val="subscript"/>
                <w:lang w:val="en-GB"/>
              </w:rPr>
              <w:t>enlace</w:t>
            </w:r>
            <w:r>
              <w:rPr>
                <w:sz w:val="18"/>
                <w:lang w:val="en-US"/>
              </w:rPr>
              <w:t xml:space="preserve"> </w:t>
            </w:r>
            <w:r>
              <w:rPr>
                <w:rFonts w:ascii="Symbol" w:hAnsi="Symbol"/>
                <w:sz w:val="18"/>
              </w:rPr>
              <w:t></w:t>
            </w:r>
            <w:r>
              <w:rPr>
                <w:sz w:val="18"/>
                <w:lang w:val="en-US"/>
              </w:rPr>
              <w:t xml:space="preserve"> 2</w:t>
            </w:r>
            <w:r>
              <w:rPr>
                <w:rFonts w:ascii="Tms Rmn" w:hAnsi="Tms Rmn"/>
                <w:sz w:val="12"/>
                <w:lang w:val="en-US"/>
              </w:rPr>
              <w:t> </w:t>
            </w:r>
            <w:r>
              <w:rPr>
                <w:sz w:val="18"/>
                <w:lang w:val="en-US"/>
              </w:rPr>
              <w:t>500 km</w:t>
            </w:r>
          </w:p>
          <w:p w:rsidR="005E1F8E" w:rsidRDefault="00610BDA">
            <w:pPr>
              <w:pStyle w:val="Tabletext"/>
              <w:framePr w:hSpace="181" w:wrap="notBeside" w:vAnchor="text" w:hAnchor="text" w:xAlign="center" w:y="1"/>
              <w:tabs>
                <w:tab w:val="clear" w:pos="851"/>
                <w:tab w:val="clear" w:pos="1134"/>
                <w:tab w:val="left" w:pos="957"/>
                <w:tab w:val="left" w:pos="1021"/>
              </w:tabs>
              <w:jc w:val="left"/>
              <w:rPr>
                <w:sz w:val="18"/>
                <w:lang w:val="en-US"/>
              </w:rPr>
            </w:pPr>
            <w:r>
              <w:rPr>
                <w:sz w:val="18"/>
                <w:lang w:val="en-US"/>
              </w:rPr>
              <w:t xml:space="preserve">1,1 </w:t>
            </w:r>
            <w:r>
              <w:rPr>
                <w:rFonts w:ascii="Symbol" w:hAnsi="Symbol"/>
                <w:sz w:val="18"/>
              </w:rPr>
              <w:t></w:t>
            </w:r>
            <w:r>
              <w:rPr>
                <w:sz w:val="18"/>
                <w:lang w:val="en-US"/>
              </w:rPr>
              <w:t xml:space="preserve"> 10</w:t>
            </w:r>
            <w:r>
              <w:rPr>
                <w:position w:val="6"/>
                <w:sz w:val="18"/>
                <w:lang w:val="en-US"/>
              </w:rPr>
              <w:t>–4</w:t>
            </w:r>
            <w:r>
              <w:rPr>
                <w:sz w:val="18"/>
                <w:lang w:val="en-US"/>
              </w:rPr>
              <w:tab/>
              <w:t xml:space="preserve">para </w:t>
            </w:r>
            <w:r>
              <w:rPr>
                <w:i/>
                <w:iCs/>
                <w:sz w:val="18"/>
                <w:lang w:val="en-US"/>
              </w:rPr>
              <w:t>L</w:t>
            </w:r>
            <w:r>
              <w:rPr>
                <w:i/>
                <w:iCs/>
                <w:sz w:val="18"/>
                <w:vertAlign w:val="subscript"/>
                <w:lang w:val="en-US"/>
              </w:rPr>
              <w:t>mín</w:t>
            </w:r>
            <w:r>
              <w:rPr>
                <w:sz w:val="18"/>
                <w:lang w:val="en-US"/>
              </w:rPr>
              <w:t> </w:t>
            </w:r>
            <w:r>
              <w:rPr>
                <w:sz w:val="18"/>
              </w:rPr>
              <w:sym w:font="Symbol" w:char="00A3"/>
            </w:r>
            <w:r>
              <w:rPr>
                <w:sz w:val="18"/>
                <w:lang w:val="en-US"/>
              </w:rPr>
              <w:t> </w:t>
            </w:r>
            <w:r>
              <w:rPr>
                <w:i/>
                <w:iCs/>
                <w:sz w:val="18"/>
                <w:lang w:val="en-US"/>
              </w:rPr>
              <w:t>L</w:t>
            </w:r>
            <w:r>
              <w:rPr>
                <w:i/>
                <w:iCs/>
                <w:sz w:val="18"/>
                <w:vertAlign w:val="subscript"/>
                <w:lang w:val="en-GB"/>
              </w:rPr>
              <w:t>enlace</w:t>
            </w:r>
            <w:r>
              <w:rPr>
                <w:sz w:val="18"/>
                <w:lang w:val="en-US"/>
              </w:rPr>
              <w:t> </w:t>
            </w:r>
            <w:r>
              <w:rPr>
                <w:rFonts w:ascii="Symbol" w:hAnsi="Symbol"/>
                <w:sz w:val="18"/>
              </w:rPr>
              <w:t></w:t>
            </w:r>
            <w:r>
              <w:rPr>
                <w:sz w:val="18"/>
                <w:lang w:val="en-US"/>
              </w:rPr>
              <w:t> 250 km</w:t>
            </w:r>
          </w:p>
        </w:tc>
      </w:tr>
    </w:tbl>
    <w:p w:rsidR="005E1F8E" w:rsidRDefault="005E1F8E">
      <w:pPr>
        <w:pStyle w:val="Tablefin"/>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5"/>
        <w:gridCol w:w="992"/>
        <w:gridCol w:w="995"/>
        <w:gridCol w:w="992"/>
        <w:gridCol w:w="993"/>
        <w:gridCol w:w="992"/>
        <w:gridCol w:w="993"/>
        <w:gridCol w:w="992"/>
        <w:gridCol w:w="996"/>
      </w:tblGrid>
      <w:tr w:rsidR="005E1F8E">
        <w:trPr>
          <w:cantSplit/>
        </w:trPr>
        <w:tc>
          <w:tcPr>
            <w:tcW w:w="9358" w:type="dxa"/>
            <w:gridSpan w:val="9"/>
            <w:tcBorders>
              <w:top w:val="nil"/>
              <w:left w:val="nil"/>
              <w:right w:val="nil"/>
            </w:tcBorders>
          </w:tcPr>
          <w:p w:rsidR="005E1F8E" w:rsidRDefault="00610BDA">
            <w:pPr>
              <w:pStyle w:val="TableNo"/>
              <w:framePr w:hSpace="181" w:wrap="notBeside" w:vAnchor="text" w:hAnchor="text" w:xAlign="center" w:y="1"/>
              <w:rPr>
                <w:lang w:val="es-ES_tradnl"/>
              </w:rPr>
            </w:pPr>
            <w:r>
              <w:rPr>
                <w:lang w:val="es-ES_tradnl"/>
              </w:rPr>
              <w:t>CUADRO  3</w:t>
            </w:r>
          </w:p>
          <w:p w:rsidR="005E1F8E" w:rsidRDefault="00610BDA">
            <w:pPr>
              <w:pStyle w:val="Tabletitle"/>
              <w:framePr w:hSpace="181" w:wrap="notBeside" w:vAnchor="text" w:hAnchor="text" w:xAlign="center" w:y="1"/>
              <w:rPr>
                <w:i/>
                <w:iCs/>
                <w:sz w:val="20"/>
                <w:lang w:val="es-ES_tradnl"/>
              </w:rPr>
            </w:pPr>
            <w:r>
              <w:rPr>
                <w:lang w:val="es-ES_tradnl"/>
              </w:rPr>
              <w:t xml:space="preserve">Parámetros para los objetivos de OI de los enlaces que forman parte del tramo </w:t>
            </w:r>
            <w:r>
              <w:rPr>
                <w:lang w:val="es-ES_tradnl"/>
              </w:rPr>
              <w:br/>
              <w:t>internacional de un trayecto digital a velocidad binaria constante</w:t>
            </w:r>
          </w:p>
        </w:tc>
      </w:tr>
      <w:tr w:rsidR="005E1F8E">
        <w:tc>
          <w:tcPr>
            <w:tcW w:w="1415" w:type="dxa"/>
          </w:tcPr>
          <w:p w:rsidR="005E1F8E" w:rsidRDefault="00610BDA">
            <w:pPr>
              <w:pStyle w:val="Tablehead"/>
              <w:framePr w:hSpace="181" w:wrap="notBeside" w:vAnchor="text" w:hAnchor="text" w:xAlign="center" w:y="1"/>
              <w:jc w:val="left"/>
              <w:rPr>
                <w:b w:val="0"/>
                <w:bCs/>
                <w:sz w:val="18"/>
              </w:rPr>
            </w:pPr>
            <w:r>
              <w:rPr>
                <w:b w:val="0"/>
                <w:bCs/>
                <w:sz w:val="18"/>
                <w:lang w:val="en-US"/>
              </w:rPr>
              <w:t>Longitud (km)</w:t>
            </w:r>
          </w:p>
        </w:tc>
        <w:tc>
          <w:tcPr>
            <w:tcW w:w="1987" w:type="dxa"/>
            <w:gridSpan w:val="2"/>
            <w:vAlign w:val="center"/>
          </w:tcPr>
          <w:p w:rsidR="005E1F8E" w:rsidRDefault="00610BDA">
            <w:pPr>
              <w:pStyle w:val="Tablehead"/>
              <w:framePr w:hSpace="181" w:wrap="notBeside" w:vAnchor="text" w:hAnchor="text" w:xAlign="center" w:y="1"/>
              <w:rPr>
                <w:b w:val="0"/>
                <w:bCs/>
                <w:sz w:val="18"/>
                <w:lang w:val="fr-CH"/>
              </w:rPr>
            </w:pPr>
            <w:r>
              <w:rPr>
                <w:b w:val="0"/>
                <w:bCs/>
                <w:i/>
                <w:iCs/>
                <w:sz w:val="18"/>
                <w:lang w:val="fr-CH"/>
              </w:rPr>
              <w:t>L</w:t>
            </w:r>
            <w:r>
              <w:rPr>
                <w:b w:val="0"/>
                <w:bCs/>
                <w:i/>
                <w:iCs/>
                <w:sz w:val="18"/>
                <w:vertAlign w:val="subscript"/>
                <w:lang w:val="fr-CH"/>
              </w:rPr>
              <w:t>mín</w:t>
            </w:r>
            <w:r>
              <w:rPr>
                <w:b w:val="0"/>
                <w:bCs/>
                <w:sz w:val="18"/>
                <w:lang w:val="fr-CH"/>
              </w:rPr>
              <w:t xml:space="preserve"> </w:t>
            </w:r>
            <w:r>
              <w:rPr>
                <w:rFonts w:ascii="Symbol" w:hAnsi="Symbol"/>
                <w:b w:val="0"/>
                <w:bCs/>
                <w:sz w:val="18"/>
              </w:rPr>
              <w:sym w:font="Symbol" w:char="F0A3"/>
            </w:r>
            <w:r>
              <w:rPr>
                <w:b w:val="0"/>
                <w:bCs/>
                <w:sz w:val="18"/>
                <w:lang w:val="fr-CH"/>
              </w:rPr>
              <w:t xml:space="preserve"> </w:t>
            </w:r>
            <w:r>
              <w:rPr>
                <w:b w:val="0"/>
                <w:bCs/>
                <w:i/>
                <w:iCs/>
                <w:sz w:val="18"/>
                <w:lang w:val="fr-CH"/>
              </w:rPr>
              <w:t>L</w:t>
            </w:r>
            <w:r>
              <w:rPr>
                <w:b w:val="0"/>
                <w:bCs/>
                <w:i/>
                <w:iCs/>
                <w:sz w:val="18"/>
                <w:vertAlign w:val="subscript"/>
                <w:lang w:val="fr-CH"/>
              </w:rPr>
              <w:t>enlace</w:t>
            </w:r>
            <w:r>
              <w:rPr>
                <w:b w:val="0"/>
                <w:bCs/>
                <w:sz w:val="18"/>
                <w:lang w:val="fr-CH"/>
              </w:rPr>
              <w:t xml:space="preserve"> </w:t>
            </w:r>
            <w:r>
              <w:rPr>
                <w:rFonts w:ascii="Symbol" w:hAnsi="Symbol"/>
                <w:b w:val="0"/>
                <w:bCs/>
                <w:sz w:val="18"/>
              </w:rPr>
              <w:sym w:font="Symbol" w:char="F0A3"/>
            </w:r>
            <w:r>
              <w:rPr>
                <w:b w:val="0"/>
                <w:bCs/>
                <w:sz w:val="18"/>
                <w:lang w:val="fr-CH"/>
              </w:rPr>
              <w:t xml:space="preserve"> 250</w:t>
            </w:r>
          </w:p>
        </w:tc>
        <w:tc>
          <w:tcPr>
            <w:tcW w:w="1983" w:type="dxa"/>
            <w:gridSpan w:val="2"/>
            <w:vAlign w:val="center"/>
          </w:tcPr>
          <w:p w:rsidR="005E1F8E" w:rsidRDefault="00610BDA">
            <w:pPr>
              <w:pStyle w:val="Tablehead"/>
              <w:framePr w:hSpace="181" w:wrap="notBeside" w:vAnchor="text" w:hAnchor="text" w:xAlign="center" w:y="1"/>
              <w:rPr>
                <w:b w:val="0"/>
                <w:bCs/>
                <w:sz w:val="18"/>
                <w:lang w:val="en-US"/>
              </w:rPr>
            </w:pPr>
            <w:r>
              <w:rPr>
                <w:b w:val="0"/>
                <w:bCs/>
                <w:sz w:val="18"/>
                <w:lang w:val="en-US"/>
              </w:rPr>
              <w:t>2</w:t>
            </w:r>
            <w:r>
              <w:rPr>
                <w:b w:val="0"/>
                <w:bCs/>
                <w:sz w:val="18"/>
                <w:lang w:val="fr-CH"/>
              </w:rPr>
              <w:t xml:space="preserve">250 </w:t>
            </w:r>
            <w:r>
              <w:rPr>
                <w:rFonts w:ascii="Symbol" w:hAnsi="Symbol"/>
                <w:b w:val="0"/>
                <w:bCs/>
                <w:sz w:val="18"/>
              </w:rPr>
              <w:t></w:t>
            </w:r>
            <w:r>
              <w:rPr>
                <w:b w:val="0"/>
                <w:bCs/>
                <w:sz w:val="18"/>
                <w:lang w:val="fr-CH"/>
              </w:rPr>
              <w:t xml:space="preserve"> </w:t>
            </w:r>
            <w:r>
              <w:rPr>
                <w:b w:val="0"/>
                <w:bCs/>
                <w:i/>
                <w:iCs/>
                <w:sz w:val="18"/>
                <w:lang w:val="fr-CH"/>
              </w:rPr>
              <w:t>L</w:t>
            </w:r>
            <w:r>
              <w:rPr>
                <w:b w:val="0"/>
                <w:bCs/>
                <w:i/>
                <w:iCs/>
                <w:sz w:val="18"/>
                <w:vertAlign w:val="subscript"/>
                <w:lang w:val="fr-CH"/>
              </w:rPr>
              <w:t>enlace</w:t>
            </w:r>
            <w:r>
              <w:rPr>
                <w:b w:val="0"/>
                <w:bCs/>
                <w:sz w:val="18"/>
                <w:lang w:val="fr-CH"/>
              </w:rPr>
              <w:t xml:space="preserve"> </w:t>
            </w:r>
            <w:r>
              <w:rPr>
                <w:rFonts w:ascii="Symbol" w:hAnsi="Symbol"/>
                <w:b w:val="0"/>
                <w:bCs/>
                <w:sz w:val="18"/>
              </w:rPr>
              <w:sym w:font="Symbol" w:char="F0A3"/>
            </w:r>
            <w:r>
              <w:rPr>
                <w:b w:val="0"/>
                <w:bCs/>
                <w:sz w:val="18"/>
                <w:lang w:val="fr-CH"/>
              </w:rPr>
              <w:t xml:space="preserve"> 2</w:t>
            </w:r>
            <w:r>
              <w:rPr>
                <w:rFonts w:ascii="Tms Rmn" w:hAnsi="Tms Rmn"/>
                <w:b w:val="0"/>
                <w:bCs/>
                <w:sz w:val="12"/>
                <w:lang w:val="fr-CH"/>
              </w:rPr>
              <w:t> </w:t>
            </w:r>
            <w:r>
              <w:rPr>
                <w:b w:val="0"/>
                <w:bCs/>
                <w:sz w:val="18"/>
                <w:lang w:val="fr-CH"/>
              </w:rPr>
              <w:t>500</w:t>
            </w:r>
          </w:p>
        </w:tc>
        <w:tc>
          <w:tcPr>
            <w:tcW w:w="1985" w:type="dxa"/>
            <w:gridSpan w:val="2"/>
            <w:vAlign w:val="center"/>
          </w:tcPr>
          <w:p w:rsidR="005E1F8E" w:rsidRDefault="00610BDA">
            <w:pPr>
              <w:pStyle w:val="Tablehead"/>
              <w:framePr w:hSpace="181" w:wrap="notBeside" w:vAnchor="text" w:hAnchor="text" w:xAlign="center" w:y="1"/>
              <w:rPr>
                <w:b w:val="0"/>
                <w:bCs/>
                <w:sz w:val="18"/>
                <w:lang w:val="en-US"/>
              </w:rPr>
            </w:pPr>
            <w:r>
              <w:rPr>
                <w:b w:val="0"/>
                <w:bCs/>
                <w:sz w:val="18"/>
                <w:lang w:val="en-US"/>
              </w:rPr>
              <w:t>2</w:t>
            </w:r>
            <w:r>
              <w:rPr>
                <w:rFonts w:ascii="Tms Rmn" w:hAnsi="Tms Rmn"/>
                <w:b w:val="0"/>
                <w:bCs/>
                <w:sz w:val="12"/>
                <w:lang w:val="en-GB"/>
              </w:rPr>
              <w:t> </w:t>
            </w:r>
            <w:r>
              <w:rPr>
                <w:b w:val="0"/>
                <w:bCs/>
                <w:sz w:val="18"/>
                <w:lang w:val="en-US"/>
              </w:rPr>
              <w:t xml:space="preserve">500 </w:t>
            </w:r>
            <w:r>
              <w:rPr>
                <w:rFonts w:ascii="Symbol" w:hAnsi="Symbol"/>
                <w:b w:val="0"/>
                <w:bCs/>
                <w:sz w:val="18"/>
              </w:rPr>
              <w:t></w:t>
            </w:r>
            <w:r>
              <w:rPr>
                <w:b w:val="0"/>
                <w:bCs/>
                <w:sz w:val="18"/>
                <w:lang w:val="en-US"/>
              </w:rPr>
              <w:t xml:space="preserve"> </w:t>
            </w:r>
            <w:r>
              <w:rPr>
                <w:b w:val="0"/>
                <w:bCs/>
                <w:i/>
                <w:iCs/>
                <w:sz w:val="18"/>
                <w:lang w:val="en-US"/>
              </w:rPr>
              <w:t>L</w:t>
            </w:r>
            <w:r>
              <w:rPr>
                <w:b w:val="0"/>
                <w:bCs/>
                <w:i/>
                <w:iCs/>
                <w:sz w:val="18"/>
                <w:vertAlign w:val="subscript"/>
                <w:lang w:val="en-GB"/>
              </w:rPr>
              <w:t>enlace</w:t>
            </w:r>
            <w:r>
              <w:rPr>
                <w:b w:val="0"/>
                <w:bCs/>
                <w:sz w:val="18"/>
                <w:lang w:val="en-US"/>
              </w:rPr>
              <w:t xml:space="preserve"> </w:t>
            </w:r>
            <w:r>
              <w:rPr>
                <w:rFonts w:ascii="Symbol" w:hAnsi="Symbol"/>
                <w:b w:val="0"/>
                <w:bCs/>
                <w:sz w:val="18"/>
              </w:rPr>
              <w:sym w:font="Symbol" w:char="F0A3"/>
            </w:r>
            <w:r>
              <w:rPr>
                <w:b w:val="0"/>
                <w:bCs/>
                <w:sz w:val="18"/>
                <w:lang w:val="en-US"/>
              </w:rPr>
              <w:t xml:space="preserve"> 7</w:t>
            </w:r>
            <w:r>
              <w:rPr>
                <w:rFonts w:ascii="Tms Rmn" w:hAnsi="Tms Rmn"/>
                <w:b w:val="0"/>
                <w:bCs/>
                <w:sz w:val="12"/>
                <w:lang w:val="en-GB"/>
              </w:rPr>
              <w:t> </w:t>
            </w:r>
            <w:r>
              <w:rPr>
                <w:b w:val="0"/>
                <w:bCs/>
                <w:sz w:val="18"/>
                <w:lang w:val="en-US"/>
              </w:rPr>
              <w:t>500</w:t>
            </w:r>
          </w:p>
        </w:tc>
        <w:tc>
          <w:tcPr>
            <w:tcW w:w="1988" w:type="dxa"/>
            <w:gridSpan w:val="2"/>
            <w:vAlign w:val="center"/>
          </w:tcPr>
          <w:p w:rsidR="005E1F8E" w:rsidRDefault="00610BDA">
            <w:pPr>
              <w:pStyle w:val="Tablehead"/>
              <w:framePr w:hSpace="181" w:wrap="notBeside" w:vAnchor="text" w:hAnchor="text" w:xAlign="center" w:y="1"/>
              <w:rPr>
                <w:b w:val="0"/>
                <w:bCs/>
                <w:sz w:val="18"/>
                <w:lang w:val="en-US"/>
              </w:rPr>
            </w:pPr>
            <w:r>
              <w:rPr>
                <w:b w:val="0"/>
                <w:bCs/>
                <w:i/>
                <w:iCs/>
                <w:sz w:val="18"/>
                <w:lang w:val="en-US"/>
              </w:rPr>
              <w:t>L</w:t>
            </w:r>
            <w:r>
              <w:rPr>
                <w:b w:val="0"/>
                <w:bCs/>
                <w:i/>
                <w:iCs/>
                <w:sz w:val="18"/>
                <w:vertAlign w:val="subscript"/>
                <w:lang w:val="en-GB"/>
              </w:rPr>
              <w:t>enlace</w:t>
            </w:r>
            <w:r>
              <w:rPr>
                <w:b w:val="0"/>
                <w:bCs/>
                <w:sz w:val="18"/>
                <w:lang w:val="en-US"/>
              </w:rPr>
              <w:t xml:space="preserve"> </w:t>
            </w:r>
            <w:r>
              <w:rPr>
                <w:rFonts w:ascii="Symbol" w:hAnsi="Symbol"/>
                <w:b w:val="0"/>
                <w:bCs/>
                <w:sz w:val="18"/>
              </w:rPr>
              <w:t></w:t>
            </w:r>
            <w:r>
              <w:rPr>
                <w:b w:val="0"/>
                <w:bCs/>
                <w:sz w:val="18"/>
                <w:lang w:val="en-US"/>
              </w:rPr>
              <w:t xml:space="preserve"> 7</w:t>
            </w:r>
            <w:r>
              <w:rPr>
                <w:rFonts w:ascii="Tms Rmn" w:hAnsi="Tms Rmn"/>
                <w:b w:val="0"/>
                <w:bCs/>
                <w:sz w:val="12"/>
                <w:lang w:val="en-GB"/>
              </w:rPr>
              <w:t> </w:t>
            </w:r>
            <w:r>
              <w:rPr>
                <w:b w:val="0"/>
                <w:bCs/>
                <w:sz w:val="18"/>
                <w:lang w:val="en-US"/>
              </w:rPr>
              <w:t>500</w:t>
            </w:r>
          </w:p>
        </w:tc>
      </w:tr>
      <w:tr w:rsidR="005E1F8E">
        <w:tc>
          <w:tcPr>
            <w:tcW w:w="1415" w:type="dxa"/>
          </w:tcPr>
          <w:p w:rsidR="005E1F8E" w:rsidRDefault="005E1F8E">
            <w:pPr>
              <w:pStyle w:val="Tabletext"/>
              <w:framePr w:hSpace="181" w:wrap="notBeside" w:vAnchor="text" w:hAnchor="text" w:xAlign="center" w:y="1"/>
              <w:jc w:val="left"/>
              <w:rPr>
                <w:sz w:val="18"/>
                <w:lang w:val="en-US"/>
              </w:rPr>
            </w:pPr>
          </w:p>
        </w:tc>
        <w:tc>
          <w:tcPr>
            <w:tcW w:w="992" w:type="dxa"/>
          </w:tcPr>
          <w:p w:rsidR="005E1F8E" w:rsidRDefault="00610BDA">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1</w:t>
            </w:r>
          </w:p>
        </w:tc>
        <w:tc>
          <w:tcPr>
            <w:tcW w:w="993" w:type="dxa"/>
          </w:tcPr>
          <w:p w:rsidR="005E1F8E" w:rsidRDefault="00610BDA">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1</w:t>
            </w:r>
          </w:p>
        </w:tc>
        <w:tc>
          <w:tcPr>
            <w:tcW w:w="992" w:type="dxa"/>
          </w:tcPr>
          <w:p w:rsidR="005E1F8E" w:rsidRDefault="00610BDA">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2</w:t>
            </w:r>
          </w:p>
        </w:tc>
        <w:tc>
          <w:tcPr>
            <w:tcW w:w="993" w:type="dxa"/>
          </w:tcPr>
          <w:p w:rsidR="005E1F8E" w:rsidRDefault="00610BDA">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2</w:t>
            </w:r>
          </w:p>
        </w:tc>
        <w:tc>
          <w:tcPr>
            <w:tcW w:w="992" w:type="dxa"/>
          </w:tcPr>
          <w:p w:rsidR="005E1F8E" w:rsidRDefault="00610BDA">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3</w:t>
            </w:r>
          </w:p>
        </w:tc>
        <w:tc>
          <w:tcPr>
            <w:tcW w:w="993" w:type="dxa"/>
          </w:tcPr>
          <w:p w:rsidR="005E1F8E" w:rsidRDefault="00610BDA">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3</w:t>
            </w:r>
          </w:p>
        </w:tc>
        <w:tc>
          <w:tcPr>
            <w:tcW w:w="992" w:type="dxa"/>
          </w:tcPr>
          <w:p w:rsidR="005E1F8E" w:rsidRDefault="00610BDA">
            <w:pPr>
              <w:pStyle w:val="Tabletext"/>
              <w:framePr w:hSpace="181" w:wrap="notBeside" w:vAnchor="text" w:hAnchor="text" w:xAlign="center" w:y="1"/>
              <w:jc w:val="center"/>
              <w:rPr>
                <w:sz w:val="18"/>
                <w:lang w:val="fr-CH"/>
              </w:rPr>
            </w:pPr>
            <w:r>
              <w:rPr>
                <w:i/>
                <w:iCs/>
                <w:sz w:val="18"/>
                <w:lang w:val="fr-CH"/>
              </w:rPr>
              <w:t>D</w:t>
            </w:r>
            <w:r>
              <w:rPr>
                <w:sz w:val="18"/>
                <w:vertAlign w:val="subscript"/>
                <w:lang w:val="fr-CH"/>
              </w:rPr>
              <w:t>4</w:t>
            </w:r>
          </w:p>
        </w:tc>
        <w:tc>
          <w:tcPr>
            <w:tcW w:w="992" w:type="dxa"/>
          </w:tcPr>
          <w:p w:rsidR="005E1F8E" w:rsidRDefault="00610BDA">
            <w:pPr>
              <w:pStyle w:val="Tabletext"/>
              <w:framePr w:hSpace="181" w:wrap="notBeside" w:vAnchor="text" w:hAnchor="text" w:xAlign="center" w:y="1"/>
              <w:jc w:val="center"/>
              <w:rPr>
                <w:sz w:val="18"/>
                <w:lang w:val="fr-CH"/>
              </w:rPr>
            </w:pPr>
            <w:r>
              <w:rPr>
                <w:i/>
                <w:iCs/>
                <w:sz w:val="18"/>
                <w:lang w:val="fr-CH"/>
              </w:rPr>
              <w:t>E</w:t>
            </w:r>
            <w:r>
              <w:rPr>
                <w:sz w:val="18"/>
                <w:vertAlign w:val="subscript"/>
                <w:lang w:val="fr-CH"/>
              </w:rPr>
              <w:t>4</w:t>
            </w:r>
          </w:p>
        </w:tc>
      </w:tr>
      <w:tr w:rsidR="005E1F8E">
        <w:tc>
          <w:tcPr>
            <w:tcW w:w="1415" w:type="dxa"/>
          </w:tcPr>
          <w:p w:rsidR="005E1F8E" w:rsidRDefault="00610BDA">
            <w:pPr>
              <w:pStyle w:val="Tabletext"/>
              <w:framePr w:hSpace="181" w:wrap="notBeside" w:vAnchor="text" w:hAnchor="text" w:xAlign="center" w:y="1"/>
              <w:jc w:val="left"/>
              <w:rPr>
                <w:sz w:val="18"/>
                <w:lang w:val="es-ES_tradnl"/>
              </w:rPr>
            </w:pPr>
            <w:r>
              <w:rPr>
                <w:sz w:val="18"/>
                <w:lang w:val="es-ES_tradnl"/>
              </w:rPr>
              <w:t>Tramo internacional</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150</w:t>
            </w:r>
          </w:p>
        </w:tc>
        <w:tc>
          <w:tcPr>
            <w:tcW w:w="993" w:type="dxa"/>
          </w:tcPr>
          <w:p w:rsidR="005E1F8E" w:rsidRDefault="00610BDA">
            <w:pPr>
              <w:pStyle w:val="Tabletext"/>
              <w:framePr w:hSpace="181" w:wrap="notBeside" w:vAnchor="text" w:hAnchor="text" w:xAlign="center" w:y="1"/>
              <w:jc w:val="center"/>
              <w:rPr>
                <w:sz w:val="18"/>
                <w:lang w:val="es-ES_tradnl"/>
              </w:rPr>
            </w:pPr>
            <w:r>
              <w:rPr>
                <w:sz w:val="18"/>
                <w:lang w:val="es-ES_tradnl"/>
              </w:rPr>
              <w:t>50</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100</w:t>
            </w:r>
          </w:p>
        </w:tc>
        <w:tc>
          <w:tcPr>
            <w:tcW w:w="993" w:type="dxa"/>
          </w:tcPr>
          <w:p w:rsidR="005E1F8E" w:rsidRDefault="00610BDA">
            <w:pPr>
              <w:pStyle w:val="Tabletext"/>
              <w:framePr w:hSpace="181" w:wrap="notBeside" w:vAnchor="text" w:hAnchor="text" w:xAlign="center" w:y="1"/>
              <w:jc w:val="center"/>
              <w:rPr>
                <w:sz w:val="18"/>
                <w:lang w:val="es-ES_tradnl"/>
              </w:rPr>
            </w:pPr>
            <w:r>
              <w:rPr>
                <w:sz w:val="18"/>
                <w:lang w:val="es-ES_tradnl"/>
              </w:rPr>
              <w:t>55</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100</w:t>
            </w:r>
          </w:p>
        </w:tc>
        <w:tc>
          <w:tcPr>
            <w:tcW w:w="993" w:type="dxa"/>
          </w:tcPr>
          <w:p w:rsidR="005E1F8E" w:rsidRDefault="00610BDA">
            <w:pPr>
              <w:pStyle w:val="Tabletext"/>
              <w:framePr w:hSpace="181" w:wrap="notBeside" w:vAnchor="text" w:hAnchor="text" w:xAlign="center" w:y="1"/>
              <w:jc w:val="center"/>
              <w:rPr>
                <w:sz w:val="18"/>
                <w:lang w:val="es-ES_tradnl"/>
              </w:rPr>
            </w:pPr>
            <w:r>
              <w:rPr>
                <w:sz w:val="18"/>
                <w:lang w:val="es-ES_tradnl"/>
              </w:rPr>
              <w:t>55</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100</w:t>
            </w:r>
          </w:p>
        </w:tc>
        <w:tc>
          <w:tcPr>
            <w:tcW w:w="992" w:type="dxa"/>
          </w:tcPr>
          <w:p w:rsidR="005E1F8E" w:rsidRDefault="00610BDA">
            <w:pPr>
              <w:pStyle w:val="Tabletext"/>
              <w:framePr w:hSpace="181" w:wrap="notBeside" w:vAnchor="text" w:hAnchor="text" w:xAlign="center" w:y="1"/>
              <w:jc w:val="center"/>
              <w:rPr>
                <w:sz w:val="18"/>
                <w:lang w:val="es-ES_tradnl"/>
              </w:rPr>
            </w:pPr>
            <w:r>
              <w:rPr>
                <w:sz w:val="18"/>
                <w:lang w:val="es-ES_tradnl"/>
              </w:rPr>
              <w:t>55</w:t>
            </w:r>
          </w:p>
        </w:tc>
      </w:tr>
    </w:tbl>
    <w:p w:rsidR="005E1F8E" w:rsidRDefault="005E1F8E">
      <w:pPr>
        <w:pStyle w:val="Tablefin"/>
        <w:spacing w:before="0"/>
        <w:rPr>
          <w:lang w:val="es-ES_tradnl"/>
        </w:rPr>
      </w:pPr>
    </w:p>
    <w:tbl>
      <w:tblPr>
        <w:tblW w:w="9889" w:type="dxa"/>
        <w:tblBorders>
          <w:left w:val="single" w:sz="4" w:space="0" w:color="auto"/>
        </w:tblBorders>
        <w:tblLook w:val="0000" w:firstRow="0" w:lastRow="0" w:firstColumn="0" w:lastColumn="0" w:noHBand="0" w:noVBand="0"/>
      </w:tblPr>
      <w:tblGrid>
        <w:gridCol w:w="439"/>
        <w:gridCol w:w="945"/>
        <w:gridCol w:w="439"/>
        <w:gridCol w:w="979"/>
        <w:gridCol w:w="3548"/>
        <w:gridCol w:w="3539"/>
      </w:tblGrid>
      <w:tr w:rsidR="005E1F8E">
        <w:trPr>
          <w:cantSplit/>
          <w:trHeight w:val="435"/>
          <w:tblHeader/>
        </w:trPr>
        <w:tc>
          <w:tcPr>
            <w:tcW w:w="9889" w:type="dxa"/>
            <w:gridSpan w:val="6"/>
            <w:tcBorders>
              <w:top w:val="nil"/>
              <w:left w:val="nil"/>
              <w:bottom w:val="single" w:sz="4" w:space="0" w:color="auto"/>
              <w:right w:val="nil"/>
            </w:tcBorders>
            <w:vAlign w:val="center"/>
          </w:tcPr>
          <w:p w:rsidR="005E1F8E" w:rsidRDefault="00610BDA">
            <w:pPr>
              <w:pStyle w:val="TableNo"/>
              <w:framePr w:hSpace="181" w:wrap="notBeside" w:vAnchor="text" w:hAnchor="text" w:xAlign="center" w:y="1"/>
              <w:rPr>
                <w:lang w:val="es-ES_tradnl"/>
              </w:rPr>
            </w:pPr>
            <w:r>
              <w:rPr>
                <w:lang w:val="es-ES_tradnl"/>
              </w:rPr>
              <w:t>CUADRO  4</w:t>
            </w:r>
          </w:p>
          <w:p w:rsidR="005E1F8E" w:rsidRDefault="00610BDA">
            <w:pPr>
              <w:pStyle w:val="Tabletitle"/>
              <w:framePr w:hSpace="181" w:wrap="notBeside" w:vAnchor="text" w:hAnchor="text" w:xAlign="center" w:y="1"/>
              <w:rPr>
                <w:sz w:val="20"/>
                <w:lang w:val="es-ES_tradnl"/>
              </w:rPr>
            </w:pPr>
            <w:r>
              <w:rPr>
                <w:lang w:val="es-ES_tradnl"/>
              </w:rPr>
              <w:t xml:space="preserve">Parámetros para los objetivos de OI de los enlaces que forman parte del tramo </w:t>
            </w:r>
            <w:r>
              <w:rPr>
                <w:lang w:val="es-ES_tradnl"/>
              </w:rPr>
              <w:br/>
              <w:t>nacional de un elemento de trayecto digital a velocidad binaria constante</w:t>
            </w:r>
          </w:p>
        </w:tc>
      </w:tr>
      <w:tr w:rsidR="005E1F8E">
        <w:trPr>
          <w:trHeight w:val="435"/>
          <w:tblHeader/>
        </w:trPr>
        <w:tc>
          <w:tcPr>
            <w:tcW w:w="1384" w:type="dxa"/>
            <w:gridSpan w:val="2"/>
            <w:tcBorders>
              <w:top w:val="single" w:sz="4" w:space="0" w:color="auto"/>
              <w:left w:val="single" w:sz="4" w:space="0" w:color="auto"/>
              <w:bottom w:val="single" w:sz="4" w:space="0" w:color="auto"/>
              <w:right w:val="single" w:sz="4" w:space="0" w:color="auto"/>
            </w:tcBorders>
            <w:vAlign w:val="center"/>
          </w:tcPr>
          <w:p w:rsidR="005E1F8E" w:rsidRDefault="00610BDA">
            <w:pPr>
              <w:pStyle w:val="Tablehead"/>
              <w:framePr w:hSpace="181" w:wrap="notBeside" w:vAnchor="text" w:hAnchor="text" w:xAlign="center" w:y="1"/>
              <w:rPr>
                <w:i/>
                <w:iCs/>
                <w:sz w:val="18"/>
                <w:lang w:val="es-ES_tradnl"/>
              </w:rPr>
            </w:pPr>
            <w:r>
              <w:rPr>
                <w:sz w:val="18"/>
                <w:lang w:val="es-ES_tradnl"/>
              </w:rPr>
              <w:t>Tramo de acceso</w:t>
            </w:r>
          </w:p>
        </w:tc>
        <w:tc>
          <w:tcPr>
            <w:tcW w:w="1418" w:type="dxa"/>
            <w:gridSpan w:val="2"/>
            <w:tcBorders>
              <w:top w:val="single" w:sz="4" w:space="0" w:color="auto"/>
              <w:left w:val="nil"/>
              <w:bottom w:val="single" w:sz="4" w:space="0" w:color="auto"/>
              <w:right w:val="single" w:sz="4" w:space="0" w:color="auto"/>
            </w:tcBorders>
          </w:tcPr>
          <w:p w:rsidR="005E1F8E" w:rsidRDefault="00610BDA">
            <w:pPr>
              <w:pStyle w:val="Tablehead"/>
              <w:framePr w:hSpace="181" w:wrap="notBeside" w:vAnchor="text" w:hAnchor="text" w:xAlign="center" w:y="1"/>
              <w:rPr>
                <w:i/>
                <w:iCs/>
                <w:sz w:val="18"/>
                <w:lang w:val="es-ES_tradnl"/>
              </w:rPr>
            </w:pPr>
            <w:r>
              <w:rPr>
                <w:sz w:val="18"/>
                <w:lang w:val="es-ES_tradnl"/>
              </w:rPr>
              <w:t>Tramo de corto alcance</w:t>
            </w:r>
          </w:p>
        </w:tc>
        <w:tc>
          <w:tcPr>
            <w:tcW w:w="7087" w:type="dxa"/>
            <w:gridSpan w:val="2"/>
            <w:tcBorders>
              <w:top w:val="single" w:sz="4" w:space="0" w:color="auto"/>
              <w:left w:val="nil"/>
              <w:bottom w:val="single" w:sz="4" w:space="0" w:color="auto"/>
              <w:right w:val="single" w:sz="4" w:space="0" w:color="auto"/>
            </w:tcBorders>
            <w:vAlign w:val="center"/>
          </w:tcPr>
          <w:p w:rsidR="005E1F8E" w:rsidRDefault="00610BDA">
            <w:pPr>
              <w:pStyle w:val="Tablehead"/>
              <w:framePr w:hSpace="181" w:wrap="notBeside" w:vAnchor="text" w:hAnchor="text" w:xAlign="center" w:y="1"/>
              <w:rPr>
                <w:i/>
                <w:iCs/>
                <w:sz w:val="18"/>
                <w:lang w:val="es-ES_tradnl"/>
              </w:rPr>
            </w:pPr>
            <w:r>
              <w:rPr>
                <w:sz w:val="18"/>
                <w:lang w:val="es-ES_tradnl"/>
              </w:rPr>
              <w:t>Tramo de largo alcance</w:t>
            </w:r>
          </w:p>
        </w:tc>
      </w:tr>
      <w:tr w:rsidR="005E1F8E">
        <w:trPr>
          <w:trHeight w:val="435"/>
        </w:trPr>
        <w:tc>
          <w:tcPr>
            <w:tcW w:w="439" w:type="dxa"/>
            <w:tcBorders>
              <w:top w:val="nil"/>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5</w:t>
            </w:r>
          </w:p>
        </w:tc>
        <w:tc>
          <w:tcPr>
            <w:tcW w:w="945" w:type="dxa"/>
            <w:tcBorders>
              <w:top w:val="nil"/>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5</w:t>
            </w:r>
          </w:p>
        </w:tc>
        <w:tc>
          <w:tcPr>
            <w:tcW w:w="439"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6</w:t>
            </w:r>
          </w:p>
        </w:tc>
        <w:tc>
          <w:tcPr>
            <w:tcW w:w="979"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6</w:t>
            </w:r>
          </w:p>
        </w:tc>
        <w:tc>
          <w:tcPr>
            <w:tcW w:w="3548"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7</w:t>
            </w:r>
          </w:p>
        </w:tc>
        <w:tc>
          <w:tcPr>
            <w:tcW w:w="3539" w:type="dxa"/>
            <w:tcBorders>
              <w:top w:val="nil"/>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7</w:t>
            </w:r>
          </w:p>
        </w:tc>
      </w:tr>
      <w:tr w:rsidR="005E1F8E">
        <w:trPr>
          <w:trHeight w:val="20"/>
        </w:trPr>
        <w:tc>
          <w:tcPr>
            <w:tcW w:w="439" w:type="dxa"/>
            <w:tcBorders>
              <w:top w:val="single" w:sz="4" w:space="0" w:color="auto"/>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0</w:t>
            </w:r>
          </w:p>
        </w:tc>
        <w:tc>
          <w:tcPr>
            <w:tcW w:w="945" w:type="dxa"/>
            <w:tcBorders>
              <w:top w:val="single" w:sz="4" w:space="0" w:color="auto"/>
              <w:left w:val="single" w:sz="4" w:space="0" w:color="auto"/>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100</w:t>
            </w:r>
          </w:p>
        </w:tc>
        <w:tc>
          <w:tcPr>
            <w:tcW w:w="439" w:type="dxa"/>
            <w:tcBorders>
              <w:top w:val="single" w:sz="4" w:space="0" w:color="auto"/>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0</w:t>
            </w:r>
          </w:p>
        </w:tc>
        <w:tc>
          <w:tcPr>
            <w:tcW w:w="979" w:type="dxa"/>
            <w:tcBorders>
              <w:top w:val="single" w:sz="4" w:space="0" w:color="auto"/>
              <w:left w:val="nil"/>
              <w:bottom w:val="single" w:sz="4" w:space="0" w:color="auto"/>
              <w:right w:val="single" w:sz="4" w:space="0" w:color="auto"/>
            </w:tcBorders>
          </w:tcPr>
          <w:p w:rsidR="005E1F8E" w:rsidRDefault="00610BDA">
            <w:pPr>
              <w:pStyle w:val="Tabletext"/>
              <w:framePr w:hSpace="181" w:wrap="notBeside" w:vAnchor="text" w:hAnchor="text" w:xAlign="center" w:y="1"/>
              <w:jc w:val="center"/>
              <w:rPr>
                <w:sz w:val="18"/>
                <w:lang w:val="en-US"/>
              </w:rPr>
            </w:pPr>
            <w:r>
              <w:rPr>
                <w:sz w:val="18"/>
                <w:lang w:val="en-US"/>
              </w:rPr>
              <w:t>120</w:t>
            </w:r>
          </w:p>
        </w:tc>
        <w:tc>
          <w:tcPr>
            <w:tcW w:w="3548" w:type="dxa"/>
            <w:tcBorders>
              <w:top w:val="single" w:sz="4" w:space="0" w:color="auto"/>
              <w:left w:val="nil"/>
              <w:bottom w:val="single" w:sz="4" w:space="0" w:color="auto"/>
              <w:right w:val="single" w:sz="4" w:space="0" w:color="auto"/>
            </w:tcBorders>
            <w:tcMar>
              <w:left w:w="85" w:type="dxa"/>
              <w:right w:w="85" w:type="dxa"/>
            </w:tcMar>
          </w:tcPr>
          <w:p w:rsidR="005E1F8E" w:rsidRDefault="00610BDA">
            <w:pPr>
              <w:pStyle w:val="Tabletext"/>
              <w:framePr w:hSpace="181" w:wrap="notBeside" w:vAnchor="text" w:hAnchor="text" w:xAlign="center" w:y="1"/>
              <w:tabs>
                <w:tab w:val="clear" w:pos="284"/>
                <w:tab w:val="clear" w:pos="567"/>
              </w:tabs>
              <w:ind w:left="33"/>
              <w:jc w:val="left"/>
              <w:rPr>
                <w:sz w:val="18"/>
                <w:lang w:val="en-US"/>
              </w:rPr>
            </w:pPr>
            <w:r>
              <w:rPr>
                <w:sz w:val="18"/>
                <w:lang w:val="en-US"/>
              </w:rPr>
              <w:t>100</w:t>
            </w:r>
            <w:r>
              <w:rPr>
                <w:sz w:val="18"/>
                <w:lang w:val="en-US"/>
              </w:rPr>
              <w:tab/>
              <w:t xml:space="preserve">para 250 km </w:t>
            </w:r>
            <w:r>
              <w:rPr>
                <w:rFonts w:ascii="Symbol" w:hAnsi="Symbol"/>
                <w:sz w:val="18"/>
              </w:rPr>
              <w:sym w:font="Symbol" w:char="F0A3"/>
            </w:r>
            <w:r>
              <w:rPr>
                <w:sz w:val="18"/>
                <w:lang w:val="en-US"/>
              </w:rPr>
              <w:t xml:space="preserve"> </w:t>
            </w:r>
            <w:r>
              <w:rPr>
                <w:i/>
                <w:iCs/>
                <w:sz w:val="18"/>
                <w:lang w:val="en-US"/>
              </w:rPr>
              <w:t>L</w:t>
            </w:r>
            <w:r>
              <w:rPr>
                <w:i/>
                <w:iCs/>
                <w:sz w:val="18"/>
                <w:vertAlign w:val="subscript"/>
                <w:lang w:val="en-GB"/>
              </w:rPr>
              <w:t>enlace</w:t>
            </w:r>
            <w:r>
              <w:rPr>
                <w:sz w:val="18"/>
                <w:lang w:val="en-US"/>
              </w:rPr>
              <w:t xml:space="preserve"> </w:t>
            </w:r>
            <w:r>
              <w:rPr>
                <w:rFonts w:ascii="Symbol" w:hAnsi="Symbol"/>
                <w:sz w:val="18"/>
              </w:rPr>
              <w:t></w:t>
            </w:r>
            <w:r>
              <w:rPr>
                <w:sz w:val="18"/>
                <w:lang w:val="en-US"/>
              </w:rPr>
              <w:t xml:space="preserve"> 2</w:t>
            </w:r>
            <w:r>
              <w:rPr>
                <w:rFonts w:ascii="Tms Rmn" w:hAnsi="Tms Rmn"/>
                <w:sz w:val="12"/>
                <w:lang w:val="en-US"/>
              </w:rPr>
              <w:t> </w:t>
            </w:r>
            <w:r>
              <w:rPr>
                <w:sz w:val="18"/>
                <w:lang w:val="en-US"/>
              </w:rPr>
              <w:t>500 km</w:t>
            </w:r>
          </w:p>
          <w:p w:rsidR="005E1F8E" w:rsidRDefault="00610BDA">
            <w:pPr>
              <w:pStyle w:val="Tabletext"/>
              <w:framePr w:hSpace="181" w:wrap="notBeside" w:vAnchor="text" w:hAnchor="text" w:xAlign="center" w:y="1"/>
              <w:tabs>
                <w:tab w:val="clear" w:pos="284"/>
                <w:tab w:val="clear" w:pos="567"/>
              </w:tabs>
              <w:ind w:left="33"/>
              <w:jc w:val="left"/>
              <w:rPr>
                <w:sz w:val="18"/>
                <w:lang w:val="en-US"/>
              </w:rPr>
            </w:pPr>
            <w:r>
              <w:rPr>
                <w:sz w:val="18"/>
                <w:lang w:val="en-US"/>
              </w:rPr>
              <w:t>150</w:t>
            </w:r>
            <w:r>
              <w:rPr>
                <w:sz w:val="18"/>
                <w:lang w:val="en-US"/>
              </w:rPr>
              <w:tab/>
              <w:t xml:space="preserve">para </w:t>
            </w:r>
            <w:r>
              <w:rPr>
                <w:i/>
                <w:iCs/>
                <w:sz w:val="18"/>
                <w:lang w:val="en-US"/>
              </w:rPr>
              <w:t>L</w:t>
            </w:r>
            <w:r>
              <w:rPr>
                <w:i/>
                <w:iCs/>
                <w:sz w:val="18"/>
                <w:vertAlign w:val="subscript"/>
                <w:lang w:val="en-US"/>
              </w:rPr>
              <w:t>mín</w:t>
            </w:r>
            <w:r>
              <w:rPr>
                <w:sz w:val="18"/>
                <w:lang w:val="en-US"/>
              </w:rPr>
              <w:t xml:space="preserve"> </w:t>
            </w:r>
            <w:r>
              <w:rPr>
                <w:rFonts w:ascii="Symbol" w:hAnsi="Symbol"/>
                <w:sz w:val="18"/>
              </w:rPr>
              <w:sym w:font="Symbol" w:char="F0A3"/>
            </w:r>
            <w:r>
              <w:rPr>
                <w:sz w:val="18"/>
                <w:lang w:val="en-US"/>
              </w:rPr>
              <w:t xml:space="preserve"> </w:t>
            </w:r>
            <w:r>
              <w:rPr>
                <w:i/>
                <w:iCs/>
                <w:sz w:val="18"/>
                <w:lang w:val="en-US"/>
              </w:rPr>
              <w:t>L</w:t>
            </w:r>
            <w:r>
              <w:rPr>
                <w:i/>
                <w:iCs/>
                <w:sz w:val="18"/>
                <w:vertAlign w:val="subscript"/>
                <w:lang w:val="en-GB"/>
              </w:rPr>
              <w:t>enlace</w:t>
            </w:r>
            <w:r>
              <w:rPr>
                <w:sz w:val="18"/>
                <w:lang w:val="en-US"/>
              </w:rPr>
              <w:t xml:space="preserve"> </w:t>
            </w:r>
            <w:r>
              <w:rPr>
                <w:rFonts w:ascii="Symbol" w:hAnsi="Symbol"/>
                <w:sz w:val="18"/>
              </w:rPr>
              <w:t></w:t>
            </w:r>
            <w:r>
              <w:rPr>
                <w:sz w:val="18"/>
                <w:lang w:val="en-US"/>
              </w:rPr>
              <w:t xml:space="preserve"> 250 km</w:t>
            </w:r>
          </w:p>
        </w:tc>
        <w:tc>
          <w:tcPr>
            <w:tcW w:w="3539" w:type="dxa"/>
            <w:tcBorders>
              <w:top w:val="single" w:sz="4" w:space="0" w:color="auto"/>
              <w:left w:val="nil"/>
              <w:bottom w:val="single" w:sz="4" w:space="0" w:color="auto"/>
              <w:right w:val="single" w:sz="4" w:space="0" w:color="auto"/>
            </w:tcBorders>
          </w:tcPr>
          <w:p w:rsidR="005E1F8E" w:rsidRDefault="00610BDA">
            <w:pPr>
              <w:pStyle w:val="Tabletext"/>
              <w:framePr w:hSpace="181" w:wrap="notBeside" w:vAnchor="text" w:hAnchor="text" w:xAlign="center" w:y="1"/>
              <w:tabs>
                <w:tab w:val="clear" w:pos="284"/>
                <w:tab w:val="clear" w:pos="567"/>
                <w:tab w:val="clear" w:pos="851"/>
                <w:tab w:val="left" w:pos="705"/>
              </w:tabs>
              <w:jc w:val="left"/>
              <w:rPr>
                <w:sz w:val="18"/>
                <w:lang w:val="en-US"/>
              </w:rPr>
            </w:pPr>
            <w:r>
              <w:rPr>
                <w:sz w:val="18"/>
                <w:lang w:val="en-US"/>
              </w:rPr>
              <w:t>55</w:t>
            </w:r>
            <w:r>
              <w:rPr>
                <w:sz w:val="18"/>
                <w:lang w:val="en-US"/>
              </w:rPr>
              <w:tab/>
              <w:t xml:space="preserve">para 250 km </w:t>
            </w:r>
            <w:r>
              <w:rPr>
                <w:rFonts w:ascii="Symbol" w:hAnsi="Symbol"/>
                <w:sz w:val="18"/>
              </w:rPr>
              <w:sym w:font="Symbol" w:char="F0A3"/>
            </w:r>
            <w:r>
              <w:rPr>
                <w:sz w:val="18"/>
                <w:lang w:val="en-US"/>
              </w:rPr>
              <w:t xml:space="preserve"> </w:t>
            </w:r>
            <w:r>
              <w:rPr>
                <w:i/>
                <w:iCs/>
                <w:sz w:val="18"/>
                <w:lang w:val="en-US"/>
              </w:rPr>
              <w:t>L</w:t>
            </w:r>
            <w:r>
              <w:rPr>
                <w:i/>
                <w:iCs/>
                <w:sz w:val="18"/>
                <w:vertAlign w:val="subscript"/>
                <w:lang w:val="en-GB"/>
              </w:rPr>
              <w:t>enlace</w:t>
            </w:r>
            <w:r>
              <w:rPr>
                <w:sz w:val="18"/>
                <w:lang w:val="en-US"/>
              </w:rPr>
              <w:t xml:space="preserve"> </w:t>
            </w:r>
            <w:r>
              <w:rPr>
                <w:rFonts w:ascii="Symbol" w:hAnsi="Symbol"/>
                <w:sz w:val="18"/>
              </w:rPr>
              <w:t></w:t>
            </w:r>
            <w:r>
              <w:rPr>
                <w:sz w:val="18"/>
                <w:lang w:val="en-US"/>
              </w:rPr>
              <w:t xml:space="preserve"> 2</w:t>
            </w:r>
            <w:r>
              <w:rPr>
                <w:rFonts w:ascii="Tms Rmn" w:hAnsi="Tms Rmn"/>
                <w:sz w:val="12"/>
                <w:lang w:val="en-US"/>
              </w:rPr>
              <w:t> </w:t>
            </w:r>
            <w:r>
              <w:rPr>
                <w:sz w:val="18"/>
                <w:lang w:val="en-US"/>
              </w:rPr>
              <w:t>500 km</w:t>
            </w:r>
          </w:p>
          <w:p w:rsidR="005E1F8E" w:rsidRDefault="00610BDA">
            <w:pPr>
              <w:pStyle w:val="Tabletext"/>
              <w:framePr w:hSpace="181" w:wrap="notBeside" w:vAnchor="text" w:hAnchor="text" w:xAlign="center" w:y="1"/>
              <w:tabs>
                <w:tab w:val="clear" w:pos="284"/>
                <w:tab w:val="clear" w:pos="567"/>
                <w:tab w:val="clear" w:pos="851"/>
                <w:tab w:val="clear" w:pos="1134"/>
                <w:tab w:val="left" w:pos="705"/>
                <w:tab w:val="left" w:pos="1021"/>
              </w:tabs>
              <w:jc w:val="left"/>
              <w:rPr>
                <w:sz w:val="18"/>
                <w:lang w:val="en-US"/>
              </w:rPr>
            </w:pPr>
            <w:r>
              <w:rPr>
                <w:sz w:val="18"/>
                <w:lang w:val="en-US"/>
              </w:rPr>
              <w:t>50</w:t>
            </w:r>
            <w:r>
              <w:rPr>
                <w:sz w:val="18"/>
                <w:lang w:val="en-US"/>
              </w:rPr>
              <w:tab/>
              <w:t xml:space="preserve">para </w:t>
            </w:r>
            <w:r>
              <w:rPr>
                <w:i/>
                <w:iCs/>
                <w:sz w:val="18"/>
                <w:lang w:val="en-US"/>
              </w:rPr>
              <w:t>L</w:t>
            </w:r>
            <w:r>
              <w:rPr>
                <w:i/>
                <w:iCs/>
                <w:sz w:val="18"/>
                <w:vertAlign w:val="subscript"/>
                <w:lang w:val="en-US"/>
              </w:rPr>
              <w:t>mín</w:t>
            </w:r>
            <w:r>
              <w:rPr>
                <w:sz w:val="18"/>
                <w:lang w:val="en-US"/>
              </w:rPr>
              <w:t> </w:t>
            </w:r>
            <w:r>
              <w:rPr>
                <w:sz w:val="18"/>
              </w:rPr>
              <w:sym w:font="Symbol" w:char="F0A3"/>
            </w:r>
            <w:r>
              <w:rPr>
                <w:sz w:val="18"/>
                <w:lang w:val="en-US"/>
              </w:rPr>
              <w:t> </w:t>
            </w:r>
            <w:r>
              <w:rPr>
                <w:i/>
                <w:iCs/>
                <w:sz w:val="18"/>
                <w:lang w:val="en-US"/>
              </w:rPr>
              <w:t>L</w:t>
            </w:r>
            <w:r>
              <w:rPr>
                <w:i/>
                <w:iCs/>
                <w:sz w:val="18"/>
                <w:vertAlign w:val="subscript"/>
                <w:lang w:val="en-GB"/>
              </w:rPr>
              <w:t>enlace</w:t>
            </w:r>
            <w:r>
              <w:rPr>
                <w:sz w:val="18"/>
                <w:lang w:val="en-US"/>
              </w:rPr>
              <w:t> </w:t>
            </w:r>
            <w:r>
              <w:rPr>
                <w:rFonts w:ascii="Symbol" w:hAnsi="Symbol"/>
                <w:sz w:val="18"/>
              </w:rPr>
              <w:t></w:t>
            </w:r>
            <w:r>
              <w:rPr>
                <w:sz w:val="18"/>
                <w:lang w:val="en-US"/>
              </w:rPr>
              <w:t> 250 km</w:t>
            </w:r>
          </w:p>
        </w:tc>
      </w:tr>
    </w:tbl>
    <w:p w:rsidR="005E1F8E" w:rsidRDefault="005E1F8E">
      <w:pPr>
        <w:pStyle w:val="Tablefin"/>
        <w:spacing w:before="0"/>
        <w:rPr>
          <w:lang w:val="en-US"/>
        </w:rPr>
      </w:pPr>
    </w:p>
    <w:p w:rsidR="005E1F8E" w:rsidRDefault="00610BDA">
      <w:pPr>
        <w:pStyle w:val="AnnexNoTitle"/>
      </w:pPr>
      <w:r>
        <w:br w:type="page"/>
      </w:r>
      <w:r>
        <w:lastRenderedPageBreak/>
        <w:t>Anexo 1</w:t>
      </w:r>
      <w:r>
        <w:br/>
      </w:r>
      <w:r>
        <w:br/>
        <w:t>Terminología y ejemplos de evaluación de un enlace real</w:t>
      </w:r>
    </w:p>
    <w:p w:rsidR="005E1F8E" w:rsidRDefault="00610BDA">
      <w:pPr>
        <w:pStyle w:val="Heading1"/>
        <w:rPr>
          <w:lang w:val="es-ES_tradnl"/>
        </w:rPr>
      </w:pPr>
      <w:r>
        <w:rPr>
          <w:lang w:val="es-ES_tradnl"/>
        </w:rPr>
        <w:t>1</w:t>
      </w:r>
      <w:r>
        <w:rPr>
          <w:lang w:val="es-ES_tradnl"/>
        </w:rPr>
        <w:tab/>
        <w:t>Introducción</w:t>
      </w:r>
    </w:p>
    <w:p w:rsidR="005E1F8E" w:rsidRDefault="00610BDA">
      <w:pPr>
        <w:rPr>
          <w:lang w:val="es-ES_tradnl"/>
        </w:rPr>
      </w:pPr>
      <w:r>
        <w:rPr>
          <w:lang w:val="es-ES_tradnl"/>
        </w:rPr>
        <w:t>En el presente Anexo se da más información sobre el significado de los términos relativos a la conexión y sobre la relación entre los objetivos indicados en la Recomendación UIT-T G.827 y los objetivos definidos en esta Recomendación, así como algunos ejemplos de evaluación de los objetivos de un radioenlace real.</w:t>
      </w:r>
    </w:p>
    <w:p w:rsidR="005E1F8E" w:rsidRDefault="00610BDA">
      <w:pPr>
        <w:pStyle w:val="Heading1"/>
        <w:rPr>
          <w:lang w:val="es-ES_tradnl"/>
        </w:rPr>
      </w:pPr>
      <w:r>
        <w:rPr>
          <w:lang w:val="es-ES_tradnl"/>
        </w:rPr>
        <w:t>2</w:t>
      </w:r>
      <w:r>
        <w:rPr>
          <w:lang w:val="es-ES_tradnl"/>
        </w:rPr>
        <w:tab/>
        <w:t>Definición y terminología</w:t>
      </w:r>
    </w:p>
    <w:p w:rsidR="005E1F8E" w:rsidRDefault="00610BDA">
      <w:pPr>
        <w:rPr>
          <w:lang w:val="es-ES_tradnl"/>
        </w:rPr>
      </w:pPr>
      <w:r>
        <w:rPr>
          <w:lang w:val="es-ES_tradnl"/>
        </w:rPr>
        <w:t>Esta Recomendación tiene por objeto definir los objetivos de disponibilidad de un radioenlace real, pero como en una red de telecomunicaciones el término «enlace» es bastante general, a continuación se aclara el significado de este término en el contexto de la presente Recomendación.</w:t>
      </w:r>
    </w:p>
    <w:p w:rsidR="005E1F8E" w:rsidRDefault="00610BDA">
      <w:pPr>
        <w:rPr>
          <w:lang w:val="es-ES_tradnl"/>
        </w:rPr>
      </w:pPr>
      <w:r>
        <w:rPr>
          <w:lang w:val="es-ES_tradnl"/>
        </w:rPr>
        <w:t>La definición de PE aparece en la Recomendación UIT</w:t>
      </w:r>
      <w:r>
        <w:rPr>
          <w:lang w:val="es-ES_tradnl"/>
        </w:rPr>
        <w:noBreakHyphen/>
        <w:t>T G.827. En la Fig. 2 se representa un ejemplo de trayecto compuesto por varios PE. Un radioenlace puede identificarse con un tramo del trayecto y puede incorporar un IPCE (o parte del mismo) y/o un ICPCE, como muestra la Fig. 3, o puede pertenecer a cualquier tramo de la red, como muestra la Fig. 4. Además, un enlace puede estar constituido por varios saltos.</w:t>
      </w:r>
    </w:p>
    <w:p w:rsidR="005E1F8E" w:rsidRDefault="005E1F8E">
      <w:pPr>
        <w:rPr>
          <w:lang w:val="es-ES_tradnl"/>
        </w:rPr>
      </w:pPr>
    </w:p>
    <w:p w:rsidR="005E1F8E" w:rsidRDefault="00500B7F">
      <w:pPr>
        <w:pStyle w:val="FigureNo"/>
      </w:pPr>
      <w:r>
        <w:pict>
          <v:shape id="_x0000_i1028" type="#_x0000_t75" style="width:475pt;height:316.05pt">
            <v:imagedata r:id="rId12" o:title=""/>
          </v:shape>
        </w:pict>
      </w:r>
    </w:p>
    <w:p w:rsidR="005E1F8E" w:rsidRDefault="00610BDA">
      <w:pPr>
        <w:pStyle w:val="FigureNo"/>
        <w:rPr>
          <w:lang w:val="es-ES_tradnl"/>
        </w:rPr>
      </w:pPr>
      <w:r>
        <w:rPr>
          <w:lang w:val="es-ES_tradnl"/>
        </w:rPr>
        <w:br w:type="page"/>
      </w:r>
      <w:r w:rsidR="00500B7F">
        <w:rPr>
          <w:lang w:val="es-ES_tradnl"/>
        </w:rPr>
        <w:lastRenderedPageBreak/>
        <w:pict>
          <v:shape id="_x0000_i1029" type="#_x0000_t75" style="width:453.95pt;height:162.7pt">
            <v:imagedata r:id="rId13" o:title=""/>
          </v:shape>
        </w:pict>
      </w:r>
    </w:p>
    <w:p w:rsidR="005E1F8E" w:rsidRDefault="00500B7F">
      <w:pPr>
        <w:pStyle w:val="FigureNo"/>
        <w:rPr>
          <w:lang w:val="es-ES_tradnl"/>
        </w:rPr>
      </w:pPr>
      <w:r>
        <w:rPr>
          <w:lang w:val="es-ES_tradnl"/>
        </w:rPr>
        <w:pict>
          <v:shape id="_x0000_i1030" type="#_x0000_t75" style="width:475.5pt;height:203.85pt">
            <v:imagedata r:id="rId14" o:title=""/>
          </v:shape>
        </w:pict>
      </w:r>
    </w:p>
    <w:p w:rsidR="005E1F8E" w:rsidRDefault="00610BDA">
      <w:pPr>
        <w:rPr>
          <w:lang w:val="es-ES_tradnl"/>
        </w:rPr>
      </w:pPr>
      <w:r>
        <w:rPr>
          <w:lang w:val="es-ES_tradnl"/>
        </w:rPr>
        <w:t>Históricamente, la terminología utilizada en la Recomendación UIT</w:t>
      </w:r>
      <w:r>
        <w:rPr>
          <w:lang w:val="es-ES_tradnl"/>
        </w:rPr>
        <w:noBreakHyphen/>
        <w:t>T G.827 se deriva de los requisitos de mantenimiento de los trayectos internacionales, ya que la disponibilidad es uno de los factores que más influyen en el comportamiento de un trayecto radioeléctrico. De hecho, en el pasado los requisitos de característica de error eran un factor irrelevante y, por lo tanto, no se consideraban. Actualmente, desde el punto de vista del mantenimiento, la característica de error tiene la misma importancia que la disponibilidad. Además, los requisitos de característica de error y disponibilidad son los requisitos fundamentales en el diseño de los enlaces.</w:t>
      </w:r>
    </w:p>
    <w:p w:rsidR="005E1F8E" w:rsidRDefault="00610BDA">
      <w:pPr>
        <w:rPr>
          <w:lang w:val="es-ES_tradnl"/>
        </w:rPr>
      </w:pPr>
      <w:r>
        <w:rPr>
          <w:lang w:val="es-ES_tradnl"/>
        </w:rPr>
        <w:t xml:space="preserve">Por otro lado, los objetivos de característica de error definidos en la Recomendación UIT-R F.1668, y en las Recomendaciones UIT-T G.826, UIT-T G.828 y UIT-T G.829 para los trayectos de jerarquía digital plesiócrona (PDH), de jerarquía digital síncrona (SDH) y por células tienen como marco de especificación los distintos elementos de un trayecto. En concreto, los elementos que componen una SDH son la sección múltiplex (MS, </w:t>
      </w:r>
      <w:r>
        <w:rPr>
          <w:i/>
          <w:iCs/>
          <w:lang w:val="es-ES_tradnl"/>
        </w:rPr>
        <w:t>multiplex section</w:t>
      </w:r>
      <w:r>
        <w:rPr>
          <w:lang w:val="es-ES_tradnl"/>
        </w:rPr>
        <w:t xml:space="preserve">) y la sección de regenerador (RS, </w:t>
      </w:r>
      <w:r>
        <w:rPr>
          <w:i/>
          <w:iCs/>
          <w:lang w:val="es-ES_tradnl"/>
        </w:rPr>
        <w:t>regenerator section</w:t>
      </w:r>
      <w:r>
        <w:rPr>
          <w:lang w:val="es-ES_tradnl"/>
        </w:rPr>
        <w:t>) y constituyen la base de las definiciones de la calidad de funcionamiento. Para aclarar la relación entre objetivos de característica de error y de disponibilidad, deben explicarse las relaciones entre las secciones SDH y los elementos de trayecto.</w:t>
      </w:r>
    </w:p>
    <w:p w:rsidR="005E1F8E" w:rsidRDefault="00610BDA">
      <w:pPr>
        <w:rPr>
          <w:lang w:val="es-ES_tradnl"/>
        </w:rPr>
      </w:pPr>
      <w:r>
        <w:rPr>
          <w:lang w:val="es-ES_tradnl"/>
        </w:rPr>
        <w:t xml:space="preserve">Las Figs. 5 y 6 muestran ejemplos de un radioenlace que constituye un tramo de un IPCE y una parte de un tramo del NPE de corto alcance y compuesto de MS y RS de SDH. Los objetivos de esta Recomendación son aplicables al radioenlace mientras que los objetivos de la Recomendación </w:t>
      </w:r>
      <w:r>
        <w:rPr>
          <w:lang w:val="es-ES_tradnl"/>
        </w:rPr>
        <w:br w:type="page"/>
      </w:r>
      <w:r>
        <w:rPr>
          <w:lang w:val="es-ES_tradnl"/>
        </w:rPr>
        <w:lastRenderedPageBreak/>
        <w:t>UIT</w:t>
      </w:r>
      <w:r>
        <w:rPr>
          <w:lang w:val="es-ES_tradnl"/>
        </w:rPr>
        <w:noBreakHyphen/>
        <w:t>R F.1668 son aplicables a la SDH simple con MS realizadas mediante radiocomunicaciones. La subdivisión de los objetivos de disponibilidad y calidad de funcionamiento para cada salto queda fuera del alcance de la presente Recomendación y de la Recomendación UIT</w:t>
      </w:r>
      <w:r>
        <w:rPr>
          <w:lang w:val="es-ES_tradnl"/>
        </w:rPr>
        <w:noBreakHyphen/>
        <w:t>R F.1668.</w:t>
      </w:r>
    </w:p>
    <w:p w:rsidR="005E1F8E" w:rsidRDefault="00500B7F">
      <w:pPr>
        <w:pStyle w:val="FigureNo"/>
      </w:pPr>
      <w:r>
        <w:pict>
          <v:shape id="_x0000_i1031" type="#_x0000_t75" style="width:465.2pt;height:214.6pt">
            <v:imagedata r:id="rId15" o:title=""/>
          </v:shape>
        </w:pict>
      </w:r>
    </w:p>
    <w:p w:rsidR="005E1F8E" w:rsidRDefault="00500B7F">
      <w:pPr>
        <w:pStyle w:val="FigureNo"/>
        <w:rPr>
          <w:lang w:val="es-ES_tradnl"/>
        </w:rPr>
      </w:pPr>
      <w:r>
        <w:rPr>
          <w:lang w:val="es-ES_tradnl"/>
        </w:rPr>
        <w:pict>
          <v:shape id="_x0000_i1032" type="#_x0000_t75" style="width:458.2pt;height:220.2pt">
            <v:imagedata r:id="rId16" o:title=""/>
          </v:shape>
        </w:pict>
      </w:r>
    </w:p>
    <w:p w:rsidR="005E1F8E" w:rsidRDefault="00610BDA">
      <w:pPr>
        <w:rPr>
          <w:lang w:val="es-ES_tradnl"/>
        </w:rPr>
      </w:pPr>
      <w:r>
        <w:rPr>
          <w:lang w:val="es-ES_tradnl"/>
        </w:rPr>
        <w:t>Para el diseño de un radioenlace, además de los objetivos deben considerarse detenidamente los efectos de propagación ya que la relación entre disponibilidad y calidad de funcionamiento viene definida por los fenómenos de propagación. De hecho, un fenómeno de propagación puede tener mayor influencia en la calidad de funcionamiento pero menor repercusión en la disponibilidad, o viceversa.</w:t>
      </w:r>
    </w:p>
    <w:p w:rsidR="005E1F8E" w:rsidRDefault="00610BDA">
      <w:pPr>
        <w:rPr>
          <w:lang w:val="es-ES_tradnl"/>
        </w:rPr>
      </w:pPr>
      <w:r>
        <w:rPr>
          <w:lang w:val="es-ES_tradnl"/>
        </w:rPr>
        <w:t>El objetivo de disponibilidad de un radioenlace definido en la presente Recomendación debe cumplir los objetivos del NPE definidos en la Recomendación UIT</w:t>
      </w:r>
      <w:r>
        <w:rPr>
          <w:lang w:val="es-ES_tradnl"/>
        </w:rPr>
        <w:noBreakHyphen/>
        <w:t>T G.827.</w:t>
      </w:r>
    </w:p>
    <w:p w:rsidR="005E1F8E" w:rsidRDefault="00610BDA">
      <w:pPr>
        <w:pStyle w:val="Heading1"/>
        <w:rPr>
          <w:lang w:val="es-ES_tradnl"/>
        </w:rPr>
      </w:pPr>
      <w:r>
        <w:rPr>
          <w:lang w:val="es-ES_tradnl"/>
        </w:rPr>
        <w:br w:type="page"/>
      </w:r>
      <w:r>
        <w:rPr>
          <w:lang w:val="es-ES_tradnl"/>
        </w:rPr>
        <w:lastRenderedPageBreak/>
        <w:t>3</w:t>
      </w:r>
      <w:r>
        <w:rPr>
          <w:lang w:val="es-ES_tradnl"/>
        </w:rPr>
        <w:tab/>
        <w:t>Cálculo de los objetivos de disponibilidad</w:t>
      </w:r>
    </w:p>
    <w:p w:rsidR="005E1F8E" w:rsidRDefault="00610BDA">
      <w:pPr>
        <w:rPr>
          <w:lang w:val="es-ES_tradnl"/>
        </w:rPr>
      </w:pPr>
      <w:r>
        <w:rPr>
          <w:lang w:val="es-ES_tradnl"/>
        </w:rPr>
        <w:t>Este punto muestra algunos ejemplos de aplicación de la presente Recomendación a enlaces reales a fin de obtener los objetivos.</w:t>
      </w:r>
    </w:p>
    <w:p w:rsidR="005E1F8E" w:rsidRDefault="00610BDA">
      <w:pPr>
        <w:rPr>
          <w:lang w:val="es-ES_tradnl"/>
        </w:rPr>
      </w:pPr>
      <w:r>
        <w:rPr>
          <w:lang w:val="es-ES_tradnl"/>
        </w:rPr>
        <w:t>En los siguientes cálculos se supone que un año corresponde a 525</w:t>
      </w:r>
      <w:r>
        <w:rPr>
          <w:rFonts w:ascii="Tms Rmn" w:hAnsi="Tms Rmn"/>
          <w:sz w:val="12"/>
          <w:lang w:val="es-ES_tradnl"/>
        </w:rPr>
        <w:t> </w:t>
      </w:r>
      <w:r>
        <w:rPr>
          <w:lang w:val="es-ES_tradnl"/>
        </w:rPr>
        <w:t>960 min.</w:t>
      </w:r>
    </w:p>
    <w:p w:rsidR="005E1F8E" w:rsidRDefault="00610BDA">
      <w:pPr>
        <w:pStyle w:val="Heading2"/>
        <w:rPr>
          <w:lang w:val="es-ES_tradnl"/>
        </w:rPr>
      </w:pPr>
      <w:r>
        <w:rPr>
          <w:lang w:val="es-ES_tradnl"/>
        </w:rPr>
        <w:t>3.1</w:t>
      </w:r>
      <w:r>
        <w:rPr>
          <w:lang w:val="es-ES_tradnl"/>
        </w:rPr>
        <w:tab/>
        <w:t>Tramo internacional</w:t>
      </w:r>
    </w:p>
    <w:p w:rsidR="005E1F8E" w:rsidRDefault="00610BDA">
      <w:pPr>
        <w:pStyle w:val="Headingb"/>
        <w:rPr>
          <w:lang w:val="es-ES_tradnl"/>
        </w:rPr>
      </w:pPr>
      <w:r>
        <w:rPr>
          <w:lang w:val="es-ES_tradnl"/>
        </w:rPr>
        <w:t>Caso 1: longitud de 30 km</w:t>
      </w:r>
    </w:p>
    <w:p w:rsidR="005E1F8E" w:rsidRDefault="00610BDA">
      <w:pPr>
        <w:rPr>
          <w:lang w:val="es-ES_tradnl"/>
        </w:rPr>
      </w:pPr>
      <w:r>
        <w:rPr>
          <w:lang w:val="es-ES_tradnl"/>
        </w:rPr>
        <w:t xml:space="preserve">La longitud es inferior a </w:t>
      </w:r>
      <w:r>
        <w:rPr>
          <w:i/>
          <w:iCs/>
          <w:lang w:val="es-ES_tradnl"/>
        </w:rPr>
        <w:t>L</w:t>
      </w:r>
      <w:r>
        <w:rPr>
          <w:i/>
          <w:iCs/>
          <w:vertAlign w:val="subscript"/>
          <w:lang w:val="es-ES_tradnl"/>
        </w:rPr>
        <w:t>mín</w:t>
      </w:r>
      <w:r>
        <w:rPr>
          <w:lang w:val="es-ES_tradnl"/>
        </w:rPr>
        <w:t xml:space="preserve"> </w:t>
      </w:r>
      <w:r>
        <w:rPr>
          <w:rFonts w:ascii="Symbol" w:hAnsi="Symbol"/>
        </w:rPr>
        <w:t></w:t>
      </w:r>
      <w:r>
        <w:rPr>
          <w:lang w:val="es-ES_tradnl"/>
        </w:rPr>
        <w:t xml:space="preserve"> 50 km, por lo tanto se ha utilizado el valor de </w:t>
      </w:r>
      <w:r>
        <w:rPr>
          <w:i/>
          <w:iCs/>
          <w:lang w:val="es-ES_tradnl"/>
        </w:rPr>
        <w:t>L</w:t>
      </w:r>
      <w:r>
        <w:rPr>
          <w:i/>
          <w:iCs/>
          <w:vertAlign w:val="subscript"/>
          <w:lang w:val="es-ES_tradnl"/>
        </w:rPr>
        <w:t>enlace</w:t>
      </w:r>
      <w:r>
        <w:rPr>
          <w:lang w:val="es-ES_tradnl"/>
        </w:rPr>
        <w:t xml:space="preserve"> </w:t>
      </w:r>
      <w:r>
        <w:rPr>
          <w:rFonts w:ascii="Symbol" w:hAnsi="Symbol"/>
        </w:rPr>
        <w:t></w:t>
      </w:r>
      <w:r>
        <w:rPr>
          <w:lang w:val="es-ES_tradnl"/>
        </w:rPr>
        <w:t xml:space="preserve"> 50.</w:t>
      </w:r>
    </w:p>
    <w:p w:rsidR="005E1F8E" w:rsidRDefault="00610BDA">
      <w:pPr>
        <w:pStyle w:val="Equation"/>
        <w:jc w:val="center"/>
      </w:pPr>
      <w:r>
        <w:rPr>
          <w:position w:val="-32"/>
        </w:rPr>
        <w:object w:dxaOrig="7060" w:dyaOrig="760">
          <v:shape id="_x0000_i1033" type="#_x0000_t75" style="width:353pt;height:37.85pt" o:ole="">
            <v:imagedata r:id="rId17" o:title=""/>
          </v:shape>
          <o:OLEObject Type="Embed" ProgID="Equation.3" ShapeID="_x0000_i1033" DrawAspect="Content" ObjectID="_1478092663" r:id="rId18"/>
        </w:object>
      </w:r>
    </w:p>
    <w:p w:rsidR="005E1F8E" w:rsidRDefault="00610BDA">
      <w:pPr>
        <w:jc w:val="center"/>
      </w:pPr>
      <w:r>
        <w:rPr>
          <w:position w:val="-58"/>
        </w:rPr>
        <w:object w:dxaOrig="5860" w:dyaOrig="960">
          <v:shape id="_x0000_i1034" type="#_x0000_t75" style="width:293.15pt;height:48.15pt" o:ole="">
            <v:imagedata r:id="rId19" o:title=""/>
          </v:shape>
          <o:OLEObject Type="Embed" ProgID="Equation.3" ShapeID="_x0000_i1034" DrawAspect="Content" ObjectID="_1478092664" r:id="rId20"/>
        </w:object>
      </w:r>
    </w:p>
    <w:p w:rsidR="005E1F8E" w:rsidRDefault="00610BDA">
      <w:pPr>
        <w:rPr>
          <w:lang w:val="es-ES_tradnl"/>
        </w:rPr>
      </w:pPr>
      <w:r>
        <w:rPr>
          <w:lang w:val="es-ES_tradnl"/>
        </w:rPr>
        <w:t>Estos valores corresponden a una AR del 99,985% (una indisponibilidad de 78 min/año), el número de sucesos OI al año es de 53 y el tiempo medio entre sucesos de indisponibilidad, Mo, es de 9</w:t>
      </w:r>
      <w:r>
        <w:rPr>
          <w:rFonts w:ascii="Tms Rmn" w:hAnsi="Tms Rmn"/>
          <w:sz w:val="12"/>
          <w:lang w:val="es-ES_tradnl"/>
        </w:rPr>
        <w:t> </w:t>
      </w:r>
      <w:r>
        <w:rPr>
          <w:lang w:val="es-ES_tradnl"/>
        </w:rPr>
        <w:t>922 min o 6,9 días.</w:t>
      </w:r>
    </w:p>
    <w:p w:rsidR="005E1F8E" w:rsidRDefault="00610BDA">
      <w:pPr>
        <w:pStyle w:val="Headingb"/>
        <w:rPr>
          <w:lang w:val="es-ES_tradnl"/>
        </w:rPr>
      </w:pPr>
      <w:r>
        <w:rPr>
          <w:lang w:val="es-ES_tradnl"/>
        </w:rPr>
        <w:t>Caso 2: longitud de 80 km</w:t>
      </w:r>
    </w:p>
    <w:p w:rsidR="005E1F8E" w:rsidRDefault="00610BDA">
      <w:pPr>
        <w:rPr>
          <w:lang w:val="es-ES_tradnl"/>
        </w:rPr>
      </w:pPr>
      <w:r>
        <w:rPr>
          <w:lang w:val="es-ES_tradnl"/>
        </w:rPr>
        <w:t>La longitud se encuentra en la gama 50</w:t>
      </w:r>
      <w:r>
        <w:rPr>
          <w:lang w:val="es-ES_tradnl"/>
        </w:rPr>
        <w:noBreakHyphen/>
        <w:t>250 km, por lo tanto:</w:t>
      </w:r>
    </w:p>
    <w:p w:rsidR="005E1F8E" w:rsidRDefault="00610BDA">
      <w:pPr>
        <w:pStyle w:val="Equation"/>
        <w:jc w:val="center"/>
      </w:pPr>
      <w:r>
        <w:rPr>
          <w:position w:val="-32"/>
        </w:rPr>
        <w:object w:dxaOrig="7060" w:dyaOrig="760">
          <v:shape id="_x0000_i1035" type="#_x0000_t75" style="width:353pt;height:37.85pt" o:ole="">
            <v:imagedata r:id="rId21" o:title=""/>
          </v:shape>
          <o:OLEObject Type="Embed" ProgID="Equation.3" ShapeID="_x0000_i1035" DrawAspect="Content" ObjectID="_1478092665" r:id="rId22"/>
        </w:object>
      </w:r>
    </w:p>
    <w:p w:rsidR="005E1F8E" w:rsidRDefault="00610BDA">
      <w:pPr>
        <w:jc w:val="center"/>
      </w:pPr>
      <w:r>
        <w:rPr>
          <w:position w:val="-58"/>
        </w:rPr>
        <w:object w:dxaOrig="6039" w:dyaOrig="960">
          <v:shape id="_x0000_i1036" type="#_x0000_t75" style="width:302.05pt;height:48.15pt" o:ole="">
            <v:imagedata r:id="rId23" o:title=""/>
          </v:shape>
          <o:OLEObject Type="Embed" ProgID="Equation.3" ShapeID="_x0000_i1036" DrawAspect="Content" ObjectID="_1478092666" r:id="rId24"/>
        </w:object>
      </w:r>
    </w:p>
    <w:p w:rsidR="005E1F8E" w:rsidRDefault="00610BDA">
      <w:pPr>
        <w:rPr>
          <w:lang w:val="es-ES_tradnl"/>
        </w:rPr>
      </w:pPr>
      <w:r>
        <w:rPr>
          <w:lang w:val="es-ES_tradnl"/>
        </w:rPr>
        <w:t>Estos valores corresponden a una AR del 99,983% (una indisponibilidad de 90 min/año), el número de sucesos OI al año es de 55 y el tiempo medio entre sucesos de indisponibilidad, Mo, es de 9</w:t>
      </w:r>
      <w:r>
        <w:rPr>
          <w:rFonts w:ascii="Tms Rmn" w:hAnsi="Tms Rmn"/>
          <w:sz w:val="12"/>
          <w:lang w:val="es-ES_tradnl"/>
        </w:rPr>
        <w:t> </w:t>
      </w:r>
      <w:r>
        <w:rPr>
          <w:lang w:val="es-ES_tradnl"/>
        </w:rPr>
        <w:t>596 min o 6,7 días.</w:t>
      </w:r>
    </w:p>
    <w:p w:rsidR="005E1F8E" w:rsidRDefault="00610BDA">
      <w:pPr>
        <w:pStyle w:val="Headingb"/>
        <w:rPr>
          <w:lang w:val="es-ES_tradnl"/>
        </w:rPr>
      </w:pPr>
      <w:r>
        <w:rPr>
          <w:lang w:val="es-ES_tradnl"/>
        </w:rPr>
        <w:t>Caso 3: longitud de 1</w:t>
      </w:r>
      <w:r>
        <w:rPr>
          <w:rFonts w:ascii="Tms Rmn" w:hAnsi="Tms Rmn"/>
          <w:sz w:val="12"/>
          <w:lang w:val="es-ES_tradnl"/>
        </w:rPr>
        <w:t> </w:t>
      </w:r>
      <w:r>
        <w:rPr>
          <w:lang w:val="es-ES_tradnl"/>
        </w:rPr>
        <w:t>056 km</w:t>
      </w:r>
    </w:p>
    <w:p w:rsidR="005E1F8E" w:rsidRDefault="00610BDA">
      <w:pPr>
        <w:rPr>
          <w:lang w:val="es-ES_tradnl"/>
        </w:rPr>
      </w:pPr>
      <w:r>
        <w:rPr>
          <w:lang w:val="es-ES_tradnl"/>
        </w:rPr>
        <w:t>La longitud se encuentra en la gama 250 km-2</w:t>
      </w:r>
      <w:r>
        <w:rPr>
          <w:rFonts w:ascii="Tms Rmn" w:hAnsi="Tms Rmn"/>
          <w:sz w:val="12"/>
          <w:lang w:val="es-ES_tradnl"/>
        </w:rPr>
        <w:t> </w:t>
      </w:r>
      <w:r>
        <w:rPr>
          <w:lang w:val="es-ES_tradnl"/>
        </w:rPr>
        <w:t>500 km, por lo tanto:</w:t>
      </w:r>
    </w:p>
    <w:p w:rsidR="005E1F8E" w:rsidRDefault="00610BDA">
      <w:pPr>
        <w:pStyle w:val="Equation"/>
        <w:jc w:val="center"/>
      </w:pPr>
      <w:r>
        <w:rPr>
          <w:position w:val="-32"/>
        </w:rPr>
        <w:object w:dxaOrig="7839" w:dyaOrig="760">
          <v:shape id="_x0000_i1037" type="#_x0000_t75" style="width:391.8pt;height:37.85pt" o:ole="">
            <v:imagedata r:id="rId25" o:title=""/>
          </v:shape>
          <o:OLEObject Type="Embed" ProgID="Equation.3" ShapeID="_x0000_i1037" DrawAspect="Content" ObjectID="_1478092667" r:id="rId26"/>
        </w:object>
      </w:r>
    </w:p>
    <w:p w:rsidR="005E1F8E" w:rsidRDefault="00610BDA">
      <w:pPr>
        <w:pStyle w:val="Equation"/>
        <w:jc w:val="center"/>
      </w:pPr>
      <w:r>
        <w:rPr>
          <w:position w:val="-58"/>
        </w:rPr>
        <w:object w:dxaOrig="6220" w:dyaOrig="960">
          <v:shape id="_x0000_i1038" type="#_x0000_t75" style="width:310.9pt;height:48.15pt" o:ole="">
            <v:imagedata r:id="rId27" o:title=""/>
          </v:shape>
          <o:OLEObject Type="Embed" ProgID="Equation.3" ShapeID="_x0000_i1038" DrawAspect="Content" ObjectID="_1478092668" r:id="rId28"/>
        </w:object>
      </w:r>
    </w:p>
    <w:p w:rsidR="005E1F8E" w:rsidRDefault="00610BDA">
      <w:pPr>
        <w:rPr>
          <w:lang w:val="es-ES_tradnl"/>
        </w:rPr>
      </w:pPr>
      <w:r>
        <w:rPr>
          <w:lang w:val="es-ES_tradnl"/>
        </w:rPr>
        <w:t>Los valores anteriores corresponden a una AR del 99,873% (una indisponibilidad de 667 min/año), el número de sucesos OI al año es de 97 y el tiempo medio entre sucesos de indisponibilidad, Mo, es de 5</w:t>
      </w:r>
      <w:r>
        <w:rPr>
          <w:rFonts w:ascii="Tms Rmn" w:hAnsi="Tms Rmn"/>
          <w:sz w:val="12"/>
          <w:lang w:val="es-ES_tradnl"/>
        </w:rPr>
        <w:t> </w:t>
      </w:r>
      <w:r>
        <w:rPr>
          <w:lang w:val="es-ES_tradnl"/>
        </w:rPr>
        <w:t>402 min o 3,7 días.</w:t>
      </w:r>
    </w:p>
    <w:p w:rsidR="005E1F8E" w:rsidRDefault="00610BDA">
      <w:pPr>
        <w:pStyle w:val="Heading2"/>
        <w:rPr>
          <w:lang w:val="es-ES_tradnl"/>
        </w:rPr>
      </w:pPr>
      <w:r>
        <w:rPr>
          <w:lang w:val="es-ES_tradnl"/>
        </w:rPr>
        <w:br w:type="page"/>
      </w:r>
      <w:r>
        <w:rPr>
          <w:lang w:val="es-ES_tradnl"/>
        </w:rPr>
        <w:lastRenderedPageBreak/>
        <w:t>3.2</w:t>
      </w:r>
      <w:r>
        <w:rPr>
          <w:lang w:val="es-ES_tradnl"/>
        </w:rPr>
        <w:tab/>
        <w:t>Tramo nacional</w:t>
      </w:r>
    </w:p>
    <w:p w:rsidR="005E1F8E" w:rsidRDefault="00610BDA">
      <w:pPr>
        <w:pStyle w:val="Headingb"/>
        <w:rPr>
          <w:lang w:val="es-ES_tradnl"/>
        </w:rPr>
      </w:pPr>
      <w:r>
        <w:rPr>
          <w:lang w:val="es-ES_tradnl"/>
        </w:rPr>
        <w:t>Caso 1: longitud de 30 km en el tramo de acceso</w:t>
      </w:r>
    </w:p>
    <w:p w:rsidR="005E1F8E" w:rsidRDefault="00610BDA">
      <w:pPr>
        <w:rPr>
          <w:lang w:val="es-ES_tradnl"/>
        </w:rPr>
      </w:pPr>
      <w:r>
        <w:rPr>
          <w:lang w:val="es-ES_tradnl"/>
        </w:rPr>
        <w:t xml:space="preserve">La longitud es menor de </w:t>
      </w:r>
      <w:r>
        <w:rPr>
          <w:i/>
          <w:iCs/>
          <w:lang w:val="es-ES_tradnl"/>
        </w:rPr>
        <w:t>L</w:t>
      </w:r>
      <w:r>
        <w:rPr>
          <w:i/>
          <w:iCs/>
          <w:vertAlign w:val="subscript"/>
          <w:lang w:val="es-ES_tradnl"/>
        </w:rPr>
        <w:t>mín</w:t>
      </w:r>
      <w:r>
        <w:rPr>
          <w:lang w:val="es-ES_tradnl"/>
        </w:rPr>
        <w:t> </w:t>
      </w:r>
      <w:r>
        <w:rPr>
          <w:rFonts w:ascii="Symbol" w:hAnsi="Symbol"/>
        </w:rPr>
        <w:t></w:t>
      </w:r>
      <w:r>
        <w:rPr>
          <w:lang w:val="es-ES_tradnl"/>
        </w:rPr>
        <w:t xml:space="preserve"> 50 km y por consiguiente se ha utilizado el valor de </w:t>
      </w:r>
      <w:r>
        <w:rPr>
          <w:i/>
          <w:iCs/>
          <w:lang w:val="es-ES_tradnl"/>
        </w:rPr>
        <w:t>L</w:t>
      </w:r>
      <w:r>
        <w:rPr>
          <w:i/>
          <w:iCs/>
          <w:vertAlign w:val="subscript"/>
          <w:lang w:val="es-ES_tradnl"/>
        </w:rPr>
        <w:t>enlace</w:t>
      </w:r>
      <w:r>
        <w:rPr>
          <w:lang w:val="es-ES_tradnl"/>
        </w:rPr>
        <w:t> </w:t>
      </w:r>
      <w:r>
        <w:rPr>
          <w:rFonts w:ascii="Symbol" w:hAnsi="Symbol"/>
        </w:rPr>
        <w:t></w:t>
      </w:r>
      <w:r>
        <w:rPr>
          <w:lang w:val="es-ES_tradnl"/>
        </w:rPr>
        <w:t> 50 km.</w:t>
      </w:r>
    </w:p>
    <w:p w:rsidR="005E1F8E" w:rsidRDefault="00610BDA">
      <w:pPr>
        <w:pStyle w:val="Equation"/>
        <w:spacing w:before="240"/>
      </w:pPr>
      <w:r>
        <w:rPr>
          <w:lang w:val="es-ES_tradnl"/>
        </w:rPr>
        <w:tab/>
      </w:r>
      <w:r>
        <w:rPr>
          <w:lang w:val="es-ES_tradnl"/>
        </w:rPr>
        <w:tab/>
      </w:r>
      <w:r>
        <w:rPr>
          <w:position w:val="-32"/>
          <w:sz w:val="20"/>
        </w:rPr>
        <w:object w:dxaOrig="6920" w:dyaOrig="760">
          <v:shape id="_x0000_i1039" type="#_x0000_t75" style="width:345.95pt;height:37.85pt" o:ole="">
            <v:imagedata r:id="rId29" o:title=""/>
          </v:shape>
          <o:OLEObject Type="Embed" ProgID="Equation.3" ShapeID="_x0000_i1039" DrawAspect="Content" ObjectID="_1478092669" r:id="rId30"/>
        </w:object>
      </w:r>
    </w:p>
    <w:p w:rsidR="005E1F8E" w:rsidRDefault="00610BDA">
      <w:pPr>
        <w:pStyle w:val="Equation"/>
        <w:spacing w:before="240"/>
      </w:pPr>
      <w:r>
        <w:tab/>
      </w:r>
      <w:r>
        <w:tab/>
      </w:r>
      <w:r>
        <w:rPr>
          <w:position w:val="-58"/>
        </w:rPr>
        <w:object w:dxaOrig="5580" w:dyaOrig="960">
          <v:shape id="_x0000_i1040" type="#_x0000_t75" style="width:279.1pt;height:48.15pt" o:ole="">
            <v:imagedata r:id="rId31" o:title=""/>
          </v:shape>
          <o:OLEObject Type="Embed" ProgID="Equation.3" ShapeID="_x0000_i1040" DrawAspect="Content" ObjectID="_1478092670" r:id="rId32"/>
        </w:object>
      </w:r>
    </w:p>
    <w:p w:rsidR="005E1F8E" w:rsidRDefault="00610BDA">
      <w:pPr>
        <w:spacing w:before="240"/>
        <w:rPr>
          <w:lang w:val="es-ES_tradnl"/>
        </w:rPr>
      </w:pPr>
      <w:r>
        <w:rPr>
          <w:lang w:val="es-ES_tradnl"/>
        </w:rPr>
        <w:t>Estos valores corresponden a una AR del 99,95% (una indisponibilidad de 263 min/año), el número de sucesos OI al año es de 100 y el tiempo medio entre sucesos de indisponibilidad, Mo, es de 5</w:t>
      </w:r>
      <w:r>
        <w:rPr>
          <w:rFonts w:ascii="Tms Rmn" w:hAnsi="Tms Rmn"/>
          <w:sz w:val="12"/>
          <w:lang w:val="es-ES_tradnl"/>
        </w:rPr>
        <w:t> </w:t>
      </w:r>
      <w:r>
        <w:rPr>
          <w:lang w:val="es-ES_tradnl"/>
        </w:rPr>
        <w:t>257 min.</w:t>
      </w:r>
    </w:p>
    <w:p w:rsidR="005E1F8E" w:rsidRDefault="00610BDA">
      <w:pPr>
        <w:pStyle w:val="Headingb"/>
        <w:rPr>
          <w:lang w:val="es-ES_tradnl"/>
        </w:rPr>
      </w:pPr>
      <w:r>
        <w:rPr>
          <w:lang w:val="es-ES_tradnl"/>
        </w:rPr>
        <w:t>Caso 2: tramo de corto alcance de 105 km de longitud</w:t>
      </w:r>
    </w:p>
    <w:p w:rsidR="005E1F8E" w:rsidRDefault="00610BDA">
      <w:pPr>
        <w:rPr>
          <w:lang w:val="es-ES_tradnl"/>
        </w:rPr>
      </w:pPr>
      <w:r>
        <w:rPr>
          <w:lang w:val="es-ES_tradnl"/>
        </w:rPr>
        <w:t>La longitud se encuentra en la gama 50-250 km, por consiguiente:</w:t>
      </w:r>
    </w:p>
    <w:p w:rsidR="005E1F8E" w:rsidRDefault="00610BDA">
      <w:pPr>
        <w:pStyle w:val="Equation"/>
        <w:spacing w:before="240"/>
      </w:pPr>
      <w:r>
        <w:rPr>
          <w:lang w:val="es-ES_tradnl"/>
        </w:rPr>
        <w:tab/>
      </w:r>
      <w:r>
        <w:rPr>
          <w:lang w:val="es-ES_tradnl"/>
        </w:rPr>
        <w:tab/>
      </w:r>
      <w:r>
        <w:rPr>
          <w:position w:val="-32"/>
          <w:sz w:val="20"/>
        </w:rPr>
        <w:object w:dxaOrig="6940" w:dyaOrig="760">
          <v:shape id="_x0000_i1041" type="#_x0000_t75" style="width:346.9pt;height:37.85pt" o:ole="">
            <v:imagedata r:id="rId33" o:title=""/>
          </v:shape>
          <o:OLEObject Type="Embed" ProgID="Equation.3" ShapeID="_x0000_i1041" DrawAspect="Content" ObjectID="_1478092671" r:id="rId34"/>
        </w:object>
      </w:r>
    </w:p>
    <w:p w:rsidR="005E1F8E" w:rsidRDefault="00610BDA">
      <w:pPr>
        <w:pStyle w:val="Equation"/>
        <w:spacing w:before="240"/>
      </w:pPr>
      <w:r>
        <w:tab/>
      </w:r>
      <w:r>
        <w:tab/>
      </w:r>
      <w:r>
        <w:rPr>
          <w:position w:val="-58"/>
        </w:rPr>
        <w:object w:dxaOrig="5899" w:dyaOrig="960">
          <v:shape id="_x0000_i1042" type="#_x0000_t75" style="width:295pt;height:48.15pt" o:ole="">
            <v:imagedata r:id="rId35" o:title=""/>
          </v:shape>
          <o:OLEObject Type="Embed" ProgID="Equation.3" ShapeID="_x0000_i1042" DrawAspect="Content" ObjectID="_1478092672" r:id="rId36"/>
        </w:object>
      </w:r>
    </w:p>
    <w:p w:rsidR="005E1F8E" w:rsidRDefault="00610BDA">
      <w:pPr>
        <w:spacing w:before="240"/>
        <w:rPr>
          <w:lang w:val="es-ES_tradnl"/>
        </w:rPr>
      </w:pPr>
      <w:r>
        <w:rPr>
          <w:lang w:val="es-ES_tradnl"/>
        </w:rPr>
        <w:t>Estos valores corresponden a una AR del 99,96% (una indisponibilidad de 210 min/año), el número de sucesos OI al año es de 120 y el tiempo medio entre sucesos de indisponibilidad, Mo, es de 4 381 min.</w:t>
      </w:r>
    </w:p>
    <w:p w:rsidR="005E1F8E" w:rsidRDefault="00610BDA">
      <w:pPr>
        <w:pStyle w:val="Headingb"/>
        <w:rPr>
          <w:lang w:val="es-ES_tradnl"/>
        </w:rPr>
      </w:pPr>
      <w:r>
        <w:rPr>
          <w:lang w:val="es-ES_tradnl"/>
        </w:rPr>
        <w:t>Caso 3: tramo de largo alcance de 960 km de longitud</w:t>
      </w:r>
    </w:p>
    <w:p w:rsidR="005E1F8E" w:rsidRDefault="00610BDA">
      <w:pPr>
        <w:rPr>
          <w:lang w:val="es-ES_tradnl"/>
        </w:rPr>
      </w:pPr>
      <w:r>
        <w:rPr>
          <w:lang w:val="es-ES_tradnl"/>
        </w:rPr>
        <w:t>La longitud se encuentra en la gama 250-2 500 km, por consiguiente:</w:t>
      </w:r>
    </w:p>
    <w:p w:rsidR="005E1F8E" w:rsidRDefault="00610BDA">
      <w:pPr>
        <w:pStyle w:val="Equation"/>
        <w:spacing w:before="240"/>
      </w:pPr>
      <w:r>
        <w:rPr>
          <w:lang w:val="es-ES_tradnl"/>
        </w:rPr>
        <w:tab/>
      </w:r>
      <w:r>
        <w:rPr>
          <w:lang w:val="es-ES_tradnl"/>
        </w:rPr>
        <w:tab/>
      </w:r>
      <w:r>
        <w:rPr>
          <w:position w:val="-32"/>
          <w:sz w:val="20"/>
        </w:rPr>
        <w:object w:dxaOrig="7220" w:dyaOrig="760">
          <v:shape id="_x0000_i1043" type="#_x0000_t75" style="width:360.95pt;height:37.85pt" o:ole="">
            <v:imagedata r:id="rId37" o:title=""/>
          </v:shape>
          <o:OLEObject Type="Embed" ProgID="Equation.3" ShapeID="_x0000_i1043" DrawAspect="Content" ObjectID="_1478092673" r:id="rId38"/>
        </w:object>
      </w:r>
    </w:p>
    <w:p w:rsidR="005E1F8E" w:rsidRDefault="00610BDA">
      <w:pPr>
        <w:pStyle w:val="Equation"/>
        <w:spacing w:before="240"/>
      </w:pPr>
      <w:r>
        <w:tab/>
      </w:r>
      <w:r>
        <w:tab/>
      </w:r>
      <w:r>
        <w:rPr>
          <w:position w:val="-58"/>
        </w:rPr>
        <w:object w:dxaOrig="6120" w:dyaOrig="960">
          <v:shape id="_x0000_i1044" type="#_x0000_t75" style="width:306.25pt;height:48.15pt" o:ole="">
            <v:imagedata r:id="rId39" o:title=""/>
          </v:shape>
          <o:OLEObject Type="Embed" ProgID="Equation.3" ShapeID="_x0000_i1044" DrawAspect="Content" ObjectID="_1478092674" r:id="rId40"/>
        </w:object>
      </w:r>
    </w:p>
    <w:p w:rsidR="005E1F8E" w:rsidRDefault="00610BDA">
      <w:pPr>
        <w:spacing w:before="80"/>
        <w:rPr>
          <w:lang w:val="es-ES_tradnl"/>
        </w:rPr>
      </w:pPr>
      <w:r>
        <w:rPr>
          <w:lang w:val="es-ES_tradnl"/>
        </w:rPr>
        <w:t>Estos valores corresponden a una AR del 99,88% (una indisponibilidad de 606 min/año), el número de sucesos OI al año es de 93 y el tiempo medio entre sucesos de indisponibilidad, Mo, es de 5</w:t>
      </w:r>
      <w:r>
        <w:rPr>
          <w:rFonts w:ascii="Tms Rmn" w:hAnsi="Tms Rmn"/>
          <w:sz w:val="12"/>
          <w:lang w:val="es-ES_tradnl"/>
        </w:rPr>
        <w:t> </w:t>
      </w:r>
      <w:r>
        <w:rPr>
          <w:lang w:val="es-ES_tradnl"/>
        </w:rPr>
        <w:t>627 min.</w:t>
      </w:r>
    </w:p>
    <w:p w:rsidR="005E1F8E" w:rsidRDefault="00610BDA">
      <w:pPr>
        <w:pStyle w:val="Headingb"/>
        <w:rPr>
          <w:lang w:val="es-ES_tradnl"/>
        </w:rPr>
      </w:pPr>
      <w:r>
        <w:rPr>
          <w:lang w:val="es-ES_tradnl"/>
        </w:rPr>
        <w:br w:type="page"/>
      </w:r>
      <w:r>
        <w:rPr>
          <w:lang w:val="es-ES_tradnl"/>
        </w:rPr>
        <w:lastRenderedPageBreak/>
        <w:t>Caso 4: objetivos globales para un enlace de 1</w:t>
      </w:r>
      <w:r>
        <w:rPr>
          <w:rFonts w:ascii="Tms Rmn" w:hAnsi="Tms Rmn"/>
          <w:sz w:val="12"/>
          <w:lang w:val="es-ES_tradnl"/>
        </w:rPr>
        <w:t> </w:t>
      </w:r>
      <w:r>
        <w:rPr>
          <w:lang w:val="es-ES_tradnl"/>
        </w:rPr>
        <w:t>095 km de longitud compuesto por un tramo de acceso de 30 km, un tramo de corto alcance de 105 km y un tramo de largo alcance de 960 km</w:t>
      </w:r>
    </w:p>
    <w:p w:rsidR="005E1F8E" w:rsidRDefault="00610BDA">
      <w:pPr>
        <w:rPr>
          <w:lang w:val="es-ES_tradnl"/>
        </w:rPr>
      </w:pPr>
      <w:r>
        <w:rPr>
          <w:lang w:val="es-ES_tradnl"/>
        </w:rPr>
        <w:t>Los objetivos AR de este enlace vienen dados por la suma de los objetivos de indisponibilidad referidos al tramo del enlace perteneciente a cada tramo de red:</w:t>
      </w:r>
    </w:p>
    <w:p w:rsidR="005E1F8E" w:rsidRDefault="00610BDA">
      <w:pPr>
        <w:pStyle w:val="Equation"/>
        <w:spacing w:before="240"/>
        <w:jc w:val="center"/>
      </w:pPr>
      <w:r>
        <w:rPr>
          <w:position w:val="-12"/>
        </w:rPr>
        <w:object w:dxaOrig="9480" w:dyaOrig="420">
          <v:shape id="_x0000_i1045" type="#_x0000_t75" style="width:473.15pt;height:21.05pt" o:ole="">
            <v:imagedata r:id="rId41" o:title=""/>
          </v:shape>
          <o:OLEObject Type="Embed" ProgID="Equation.3" ShapeID="_x0000_i1045" DrawAspect="Content" ObjectID="_1478092675" r:id="rId42"/>
        </w:object>
      </w:r>
    </w:p>
    <w:p w:rsidR="005E1F8E" w:rsidRDefault="00610BDA">
      <w:pPr>
        <w:rPr>
          <w:lang w:val="es-ES_tradnl"/>
        </w:rPr>
      </w:pPr>
      <w:r>
        <w:rPr>
          <w:lang w:val="es-ES_tradnl"/>
        </w:rPr>
        <w:t>donde:</w:t>
      </w:r>
    </w:p>
    <w:p w:rsidR="005E1F8E" w:rsidRDefault="00610BDA">
      <w:pPr>
        <w:pStyle w:val="Equationlegend"/>
        <w:rPr>
          <w:lang w:val="es-ES_tradnl"/>
        </w:rPr>
      </w:pPr>
      <w:r>
        <w:rPr>
          <w:lang w:val="es-ES_tradnl"/>
        </w:rPr>
        <w:tab/>
      </w:r>
      <w:r>
        <w:rPr>
          <w:i/>
          <w:iCs/>
          <w:lang w:val="es-ES_tradnl"/>
        </w:rPr>
        <w:t>UR</w:t>
      </w:r>
      <w:r>
        <w:rPr>
          <w:rFonts w:ascii="Tms Rmn" w:hAnsi="Tms Rmn"/>
          <w:sz w:val="12"/>
          <w:lang w:val="es-ES_tradnl"/>
        </w:rPr>
        <w:t> </w:t>
      </w:r>
      <w:r>
        <w:rPr>
          <w:lang w:val="es-ES_tradnl"/>
        </w:rPr>
        <w:t>:</w:t>
      </w:r>
      <w:r>
        <w:rPr>
          <w:lang w:val="es-ES_tradnl"/>
        </w:rPr>
        <w:tab/>
        <w:t>relación de indisponibilidad total</w:t>
      </w:r>
    </w:p>
    <w:p w:rsidR="005E1F8E" w:rsidRDefault="00610BDA">
      <w:pPr>
        <w:pStyle w:val="Equationlegend"/>
        <w:rPr>
          <w:lang w:val="es-ES_tradnl"/>
        </w:rPr>
      </w:pPr>
      <w:r>
        <w:rPr>
          <w:lang w:val="es-ES_tradnl"/>
        </w:rPr>
        <w:tab/>
      </w:r>
      <w:r>
        <w:rPr>
          <w:i/>
          <w:iCs/>
          <w:lang w:val="es-ES_tradnl"/>
        </w:rPr>
        <w:t>UR</w:t>
      </w:r>
      <w:r>
        <w:rPr>
          <w:i/>
          <w:iCs/>
          <w:vertAlign w:val="subscript"/>
          <w:lang w:val="es-ES_tradnl"/>
        </w:rPr>
        <w:t>AN</w:t>
      </w:r>
      <w:r>
        <w:rPr>
          <w:rFonts w:ascii="Tms Rmn" w:hAnsi="Tms Rmn"/>
          <w:sz w:val="12"/>
          <w:lang w:val="es-ES_tradnl"/>
        </w:rPr>
        <w:t> </w:t>
      </w:r>
      <w:r>
        <w:rPr>
          <w:lang w:val="es-ES_tradnl"/>
        </w:rPr>
        <w:t>:</w:t>
      </w:r>
      <w:r>
        <w:rPr>
          <w:lang w:val="es-ES_tradnl"/>
        </w:rPr>
        <w:tab/>
        <w:t>objetivo de relación de indisponibilidad del tramo de acceso</w:t>
      </w:r>
    </w:p>
    <w:p w:rsidR="005E1F8E" w:rsidRDefault="00610BDA">
      <w:pPr>
        <w:pStyle w:val="Equationlegend"/>
        <w:rPr>
          <w:lang w:val="es-ES_tradnl"/>
        </w:rPr>
      </w:pPr>
      <w:r>
        <w:rPr>
          <w:lang w:val="es-ES_tradnl"/>
        </w:rPr>
        <w:tab/>
      </w:r>
      <w:r>
        <w:rPr>
          <w:i/>
          <w:iCs/>
          <w:lang w:val="es-ES_tradnl"/>
        </w:rPr>
        <w:t>UR</w:t>
      </w:r>
      <w:r>
        <w:rPr>
          <w:i/>
          <w:iCs/>
          <w:vertAlign w:val="subscript"/>
          <w:lang w:val="es-ES_tradnl"/>
        </w:rPr>
        <w:t>SH</w:t>
      </w:r>
      <w:r>
        <w:rPr>
          <w:rFonts w:ascii="Tms Rmn" w:hAnsi="Tms Rmn"/>
          <w:sz w:val="12"/>
          <w:lang w:val="es-ES_tradnl"/>
        </w:rPr>
        <w:t> </w:t>
      </w:r>
      <w:r>
        <w:rPr>
          <w:lang w:val="es-ES_tradnl"/>
        </w:rPr>
        <w:t>:</w:t>
      </w:r>
      <w:r>
        <w:rPr>
          <w:lang w:val="es-ES_tradnl"/>
        </w:rPr>
        <w:tab/>
        <w:t>objetivo de relación de indisponibilidad del tramo de corto alcance</w:t>
      </w:r>
    </w:p>
    <w:p w:rsidR="005E1F8E" w:rsidRDefault="00610BDA">
      <w:pPr>
        <w:pStyle w:val="Equationlegend"/>
        <w:rPr>
          <w:lang w:val="es-ES_tradnl"/>
        </w:rPr>
      </w:pPr>
      <w:r>
        <w:rPr>
          <w:lang w:val="es-ES_tradnl"/>
        </w:rPr>
        <w:tab/>
      </w:r>
      <w:r>
        <w:rPr>
          <w:i/>
          <w:iCs/>
          <w:lang w:val="es-ES_tradnl"/>
        </w:rPr>
        <w:t>UR</w:t>
      </w:r>
      <w:r>
        <w:rPr>
          <w:i/>
          <w:iCs/>
          <w:vertAlign w:val="subscript"/>
          <w:lang w:val="es-ES_tradnl"/>
        </w:rPr>
        <w:t>LH</w:t>
      </w:r>
      <w:r>
        <w:rPr>
          <w:rFonts w:ascii="Tms Rmn" w:hAnsi="Tms Rmn"/>
          <w:sz w:val="12"/>
          <w:lang w:val="es-ES_tradnl"/>
        </w:rPr>
        <w:t> </w:t>
      </w:r>
      <w:r>
        <w:rPr>
          <w:lang w:val="es-ES_tradnl"/>
        </w:rPr>
        <w:t>:</w:t>
      </w:r>
      <w:r>
        <w:rPr>
          <w:lang w:val="es-ES_tradnl"/>
        </w:rPr>
        <w:tab/>
        <w:t>objetivo de relación de indisponibilidad del tramo de largo alcance (véanse los ejemplos anteriores).</w:t>
      </w:r>
    </w:p>
    <w:p w:rsidR="005E1F8E" w:rsidRDefault="00610BDA">
      <w:pPr>
        <w:rPr>
          <w:lang w:val="es-ES_tradnl"/>
        </w:rPr>
      </w:pPr>
      <w:r>
        <w:rPr>
          <w:lang w:val="es-ES_tradnl"/>
        </w:rPr>
        <w:t>El objetivo de Mo viene dado por el valor recíproco de la suma de los objetivos de OI referidos a la parte del alcance perteneciente a cada tramo de red:</w:t>
      </w:r>
    </w:p>
    <w:p w:rsidR="005E1F8E" w:rsidRDefault="00610BDA">
      <w:pPr>
        <w:pStyle w:val="Equation"/>
      </w:pPr>
      <w:r>
        <w:rPr>
          <w:lang w:val="es-ES_tradnl"/>
        </w:rPr>
        <w:tab/>
      </w:r>
      <w:r>
        <w:rPr>
          <w:lang w:val="es-ES_tradnl"/>
        </w:rPr>
        <w:tab/>
      </w:r>
      <w:r>
        <w:rPr>
          <w:position w:val="-30"/>
          <w:sz w:val="20"/>
        </w:rPr>
        <w:object w:dxaOrig="6860" w:dyaOrig="680">
          <v:shape id="_x0000_i1046" type="#_x0000_t75" style="width:359.05pt;height:35.55pt" o:ole="">
            <v:imagedata r:id="rId43" o:title=""/>
          </v:shape>
          <o:OLEObject Type="Embed" ProgID="Equation.3" ShapeID="_x0000_i1046" DrawAspect="Content" ObjectID="_1478092676" r:id="rId44"/>
        </w:object>
      </w:r>
    </w:p>
    <w:p w:rsidR="005E1F8E" w:rsidRDefault="00610BDA">
      <w:pPr>
        <w:rPr>
          <w:lang w:val="es-ES_tradnl"/>
        </w:rPr>
      </w:pPr>
      <w:r>
        <w:rPr>
          <w:lang w:val="es-ES_tradnl"/>
        </w:rPr>
        <w:t>donde:</w:t>
      </w:r>
    </w:p>
    <w:p w:rsidR="005E1F8E" w:rsidRDefault="00610BDA">
      <w:pPr>
        <w:pStyle w:val="Equationlegend"/>
        <w:rPr>
          <w:lang w:val="es-ES_tradnl"/>
        </w:rPr>
      </w:pPr>
      <w:r>
        <w:rPr>
          <w:i/>
          <w:iCs/>
          <w:lang w:val="es-ES_tradnl"/>
        </w:rPr>
        <w:tab/>
        <w:t>Mo</w:t>
      </w:r>
      <w:r>
        <w:rPr>
          <w:rFonts w:ascii="Tms Rmn" w:hAnsi="Tms Rmn"/>
          <w:sz w:val="12"/>
          <w:lang w:val="es-ES_tradnl"/>
        </w:rPr>
        <w:t> </w:t>
      </w:r>
      <w:r>
        <w:rPr>
          <w:lang w:val="es-ES_tradnl"/>
        </w:rPr>
        <w:t>:</w:t>
      </w:r>
      <w:r>
        <w:rPr>
          <w:lang w:val="es-ES_tradnl"/>
        </w:rPr>
        <w:tab/>
        <w:t>tiempo medio total entre interrupciones</w:t>
      </w:r>
    </w:p>
    <w:p w:rsidR="005E1F8E" w:rsidRDefault="00610BDA">
      <w:pPr>
        <w:pStyle w:val="Equationlegend"/>
        <w:rPr>
          <w:lang w:val="es-ES_tradnl"/>
        </w:rPr>
      </w:pPr>
      <w:r>
        <w:rPr>
          <w:i/>
          <w:iCs/>
          <w:lang w:val="es-ES_tradnl"/>
        </w:rPr>
        <w:tab/>
        <w:t>OI</w:t>
      </w:r>
      <w:r>
        <w:rPr>
          <w:i/>
          <w:iCs/>
          <w:vertAlign w:val="subscript"/>
          <w:lang w:val="es-ES_tradnl"/>
        </w:rPr>
        <w:t>AN</w:t>
      </w:r>
      <w:r>
        <w:rPr>
          <w:rFonts w:ascii="Tms Rmn" w:hAnsi="Tms Rmn"/>
          <w:sz w:val="12"/>
          <w:lang w:val="es-ES_tradnl"/>
        </w:rPr>
        <w:t> </w:t>
      </w:r>
      <w:r>
        <w:rPr>
          <w:lang w:val="es-ES_tradnl"/>
        </w:rPr>
        <w:t>:</w:t>
      </w:r>
      <w:r>
        <w:rPr>
          <w:lang w:val="es-ES_tradnl"/>
        </w:rPr>
        <w:tab/>
        <w:t>objetivo de intensidad de interrupciones del tramo de acceso</w:t>
      </w:r>
    </w:p>
    <w:p w:rsidR="005E1F8E" w:rsidRDefault="00610BDA">
      <w:pPr>
        <w:pStyle w:val="Equationlegend"/>
        <w:rPr>
          <w:lang w:val="es-ES_tradnl"/>
        </w:rPr>
      </w:pPr>
      <w:r>
        <w:rPr>
          <w:i/>
          <w:iCs/>
          <w:lang w:val="es-ES_tradnl"/>
        </w:rPr>
        <w:tab/>
        <w:t>OI</w:t>
      </w:r>
      <w:r>
        <w:rPr>
          <w:i/>
          <w:iCs/>
          <w:vertAlign w:val="subscript"/>
          <w:lang w:val="es-ES_tradnl"/>
        </w:rPr>
        <w:t>SH</w:t>
      </w:r>
      <w:r>
        <w:rPr>
          <w:rFonts w:ascii="Tms Rmn" w:hAnsi="Tms Rmn"/>
          <w:sz w:val="12"/>
          <w:lang w:val="es-ES_tradnl"/>
        </w:rPr>
        <w:t> </w:t>
      </w:r>
      <w:r>
        <w:rPr>
          <w:lang w:val="es-ES_tradnl"/>
        </w:rPr>
        <w:t>:</w:t>
      </w:r>
      <w:r>
        <w:rPr>
          <w:lang w:val="es-ES_tradnl"/>
        </w:rPr>
        <w:tab/>
        <w:t>objetivo de intensidad de interrupciones del tramo de corto alcance</w:t>
      </w:r>
    </w:p>
    <w:p w:rsidR="005E1F8E" w:rsidRDefault="00610BDA">
      <w:pPr>
        <w:pStyle w:val="Equationlegend"/>
        <w:rPr>
          <w:lang w:val="es-ES_tradnl"/>
        </w:rPr>
      </w:pPr>
      <w:r>
        <w:rPr>
          <w:i/>
          <w:iCs/>
          <w:lang w:val="es-ES_tradnl"/>
        </w:rPr>
        <w:tab/>
        <w:t>OI</w:t>
      </w:r>
      <w:r>
        <w:rPr>
          <w:i/>
          <w:iCs/>
          <w:vertAlign w:val="subscript"/>
          <w:lang w:val="es-ES_tradnl"/>
        </w:rPr>
        <w:t>LH</w:t>
      </w:r>
      <w:r>
        <w:rPr>
          <w:rFonts w:ascii="Tms Rmn" w:hAnsi="Tms Rmn"/>
          <w:sz w:val="12"/>
          <w:lang w:val="es-ES_tradnl"/>
        </w:rPr>
        <w:t> </w:t>
      </w:r>
      <w:r>
        <w:rPr>
          <w:lang w:val="es-ES_tradnl"/>
        </w:rPr>
        <w:t>:</w:t>
      </w:r>
      <w:r>
        <w:rPr>
          <w:lang w:val="es-ES_tradnl"/>
        </w:rPr>
        <w:tab/>
        <w:t>objetivo de intensidad de interrupciones del tramo de largo alcance (véanse los ejemplos anteriores).</w:t>
      </w:r>
    </w:p>
    <w:p w:rsidR="005E1F8E" w:rsidRDefault="00610BDA" w:rsidP="00D72BE7">
      <w:pPr>
        <w:spacing w:before="240"/>
        <w:rPr>
          <w:lang w:val="es-ES_tradnl"/>
        </w:rPr>
      </w:pPr>
      <w:r>
        <w:rPr>
          <w:lang w:val="es-ES_tradnl"/>
        </w:rPr>
        <w:t>Estos valores corresponden a una AR del 99,</w:t>
      </w:r>
      <w:r w:rsidR="00D72BE7">
        <w:rPr>
          <w:lang w:val="es-ES_tradnl"/>
        </w:rPr>
        <w:t>7</w:t>
      </w:r>
      <w:r>
        <w:rPr>
          <w:lang w:val="es-ES_tradnl"/>
        </w:rPr>
        <w:t xml:space="preserve">9% (una indisponibilidad de </w:t>
      </w:r>
      <w:r w:rsidR="00D72BE7">
        <w:rPr>
          <w:lang w:val="es-ES_tradnl"/>
        </w:rPr>
        <w:t>1 114</w:t>
      </w:r>
      <w:r>
        <w:rPr>
          <w:lang w:val="es-ES_tradnl"/>
        </w:rPr>
        <w:t> min/año), el número de sucesos OI al año es de 313 y el tiempo medio entre sucesos de indisponibilidad, Mo, es de 1</w:t>
      </w:r>
      <w:r>
        <w:rPr>
          <w:rFonts w:ascii="Tms Rmn" w:hAnsi="Tms Rmn"/>
          <w:sz w:val="12"/>
          <w:lang w:val="es-ES_tradnl"/>
        </w:rPr>
        <w:t> </w:t>
      </w:r>
      <w:r>
        <w:rPr>
          <w:lang w:val="es-ES_tradnl"/>
        </w:rPr>
        <w:t>674 min.</w:t>
      </w:r>
    </w:p>
    <w:p w:rsidR="005E1F8E" w:rsidRDefault="00610BDA">
      <w:pPr>
        <w:rPr>
          <w:lang w:val="es-ES_tradnl"/>
        </w:rPr>
      </w:pPr>
      <w:r>
        <w:rPr>
          <w:lang w:val="es-ES_tradnl"/>
        </w:rPr>
        <w:t>De acuerdo con la Recomendación UIT</w:t>
      </w:r>
      <w:r>
        <w:rPr>
          <w:lang w:val="es-ES_tradnl"/>
        </w:rPr>
        <w:noBreakHyphen/>
        <w:t>T G.827, los objetivos para un NPE de 1</w:t>
      </w:r>
      <w:r>
        <w:rPr>
          <w:rFonts w:ascii="Tms Rmn" w:hAnsi="Tms Rmn"/>
          <w:sz w:val="12"/>
          <w:lang w:val="es-ES_tradnl"/>
        </w:rPr>
        <w:t> </w:t>
      </w:r>
      <w:r>
        <w:rPr>
          <w:lang w:val="es-ES_tradnl"/>
        </w:rPr>
        <w:t>095 km son:</w:t>
      </w:r>
    </w:p>
    <w:p w:rsidR="005E1F8E" w:rsidRDefault="00610BDA">
      <w:pPr>
        <w:pStyle w:val="enumlev1"/>
        <w:rPr>
          <w:color w:val="000000"/>
          <w:lang w:val="es-ES_tradnl"/>
        </w:rPr>
      </w:pPr>
      <w:r>
        <w:rPr>
          <w:lang w:val="es-ES_tradnl"/>
        </w:rPr>
        <w:t>–</w:t>
      </w:r>
      <w:r>
        <w:rPr>
          <w:lang w:val="es-ES_tradnl"/>
        </w:rPr>
        <w:tab/>
        <w:t xml:space="preserve">valor normalizado de AR </w:t>
      </w:r>
      <w:r>
        <w:rPr>
          <w:rFonts w:ascii="Symbol" w:hAnsi="Symbol"/>
        </w:rPr>
        <w:t></w:t>
      </w:r>
      <w:r>
        <w:rPr>
          <w:lang w:val="es-ES_tradnl"/>
        </w:rPr>
        <w:t> 0,</w:t>
      </w:r>
      <w:r>
        <w:rPr>
          <w:color w:val="000000"/>
          <w:lang w:val="es-ES_tradnl"/>
        </w:rPr>
        <w:t>9945</w:t>
      </w:r>
    </w:p>
    <w:p w:rsidR="005E1F8E" w:rsidRDefault="00610BDA">
      <w:pPr>
        <w:pStyle w:val="enumlev1"/>
        <w:rPr>
          <w:color w:val="000000"/>
          <w:lang w:val="es-ES_tradnl"/>
        </w:rPr>
      </w:pPr>
      <w:r>
        <w:rPr>
          <w:lang w:val="es-ES_tradnl"/>
        </w:rPr>
        <w:t>–</w:t>
      </w:r>
      <w:r>
        <w:rPr>
          <w:lang w:val="es-ES_tradnl"/>
        </w:rPr>
        <w:tab/>
        <w:t xml:space="preserve">valor elevado de </w:t>
      </w:r>
      <w:r>
        <w:rPr>
          <w:color w:val="000000"/>
          <w:lang w:val="es-ES_tradnl"/>
        </w:rPr>
        <w:t xml:space="preserve">AR </w:t>
      </w:r>
      <w:r>
        <w:rPr>
          <w:rFonts w:ascii="Symbol" w:hAnsi="Symbol"/>
          <w:color w:val="000000"/>
          <w:lang w:val="es-ES_tradnl"/>
        </w:rPr>
        <w:t></w:t>
      </w:r>
      <w:r>
        <w:rPr>
          <w:color w:val="000000"/>
          <w:lang w:val="es-ES_tradnl"/>
        </w:rPr>
        <w:t xml:space="preserve"> 0,99912</w:t>
      </w:r>
    </w:p>
    <w:p w:rsidR="005E1F8E" w:rsidRDefault="00610BDA">
      <w:pPr>
        <w:pStyle w:val="enumlev1"/>
        <w:rPr>
          <w:color w:val="000000"/>
          <w:lang w:val="es-ES_tradnl"/>
        </w:rPr>
      </w:pPr>
      <w:r>
        <w:rPr>
          <w:lang w:val="es-ES_tradnl"/>
        </w:rPr>
        <w:t>–</w:t>
      </w:r>
      <w:r>
        <w:rPr>
          <w:lang w:val="es-ES_tradnl"/>
        </w:rPr>
        <w:tab/>
      </w:r>
      <w:r>
        <w:rPr>
          <w:color w:val="000000"/>
          <w:lang w:val="es-ES_tradnl"/>
        </w:rPr>
        <w:t xml:space="preserve">OI </w:t>
      </w:r>
      <w:r>
        <w:rPr>
          <w:lang w:val="es-ES_tradnl"/>
        </w:rPr>
        <w:t>normalizada</w:t>
      </w:r>
      <w:r>
        <w:rPr>
          <w:color w:val="000000"/>
          <w:lang w:val="es-ES_tradnl"/>
        </w:rPr>
        <w:t> </w:t>
      </w:r>
      <w:r>
        <w:rPr>
          <w:rFonts w:ascii="Symbol" w:hAnsi="Symbol"/>
          <w:color w:val="000000"/>
        </w:rPr>
        <w:t></w:t>
      </w:r>
      <w:r>
        <w:rPr>
          <w:color w:val="000000"/>
          <w:lang w:val="es-ES_tradnl"/>
        </w:rPr>
        <w:t> 12</w:t>
      </w:r>
    </w:p>
    <w:p w:rsidR="005E1F8E" w:rsidRDefault="00610BDA">
      <w:pPr>
        <w:pStyle w:val="enumlev1"/>
        <w:rPr>
          <w:lang w:val="es-ES_tradnl"/>
        </w:rPr>
      </w:pPr>
      <w:r>
        <w:rPr>
          <w:lang w:val="es-ES_tradnl"/>
        </w:rPr>
        <w:t>–</w:t>
      </w:r>
      <w:r>
        <w:rPr>
          <w:lang w:val="es-ES_tradnl"/>
        </w:rPr>
        <w:tab/>
      </w:r>
      <w:r>
        <w:rPr>
          <w:color w:val="000000"/>
          <w:lang w:val="es-ES_tradnl"/>
        </w:rPr>
        <w:t>OI elevada </w:t>
      </w:r>
      <w:r>
        <w:rPr>
          <w:rFonts w:ascii="Symbol" w:hAnsi="Symbol"/>
          <w:color w:val="000000"/>
        </w:rPr>
        <w:t></w:t>
      </w:r>
      <w:r>
        <w:rPr>
          <w:color w:val="000000"/>
          <w:lang w:val="es-ES_tradnl"/>
        </w:rPr>
        <w:t> 6.</w:t>
      </w:r>
    </w:p>
    <w:p w:rsidR="005E1F8E" w:rsidRDefault="00610BDA">
      <w:pPr>
        <w:rPr>
          <w:lang w:val="es-ES_tradnl"/>
        </w:rPr>
      </w:pPr>
      <w:r>
        <w:rPr>
          <w:lang w:val="es-ES_tradnl"/>
        </w:rPr>
        <w:t>En este ejemplo, los objetivos de AR son conformes a la Recomendación UIT</w:t>
      </w:r>
      <w:r>
        <w:rPr>
          <w:lang w:val="es-ES_tradnl"/>
        </w:rPr>
        <w:noBreakHyphen/>
        <w:t>T G.827 para un nivel de calidad de funcionamiento normalizado.</w:t>
      </w:r>
    </w:p>
    <w:p w:rsidR="005E1F8E" w:rsidRDefault="00610BDA">
      <w:pPr>
        <w:rPr>
          <w:lang w:val="es-ES_tradnl"/>
        </w:rPr>
      </w:pPr>
      <w:r>
        <w:rPr>
          <w:lang w:val="es-ES_tradnl"/>
        </w:rPr>
        <w:t>Los objetivos de OI de la Recomendación UIT</w:t>
      </w:r>
      <w:r>
        <w:rPr>
          <w:lang w:val="es-ES_tradnl"/>
        </w:rPr>
        <w:noBreakHyphen/>
        <w:t>T G.827 se basan en un valor de MTTR de cuatro horas. Cabe señalar que algunos sucesos debidos a condiciones de funcionamiento anómalas tales como las degradaciones de propagación para aplicaciones radioeléctricas, pueden dar lugar a sucesos de indisponibilidad autorreparables, y tales sucesos, normalmente mucho más breves, no se tienen en cuenta para los objetivos de OI en la Recomendación UIT</w:t>
      </w:r>
      <w:r>
        <w:rPr>
          <w:lang w:val="es-ES_tradnl"/>
        </w:rPr>
        <w:noBreakHyphen/>
        <w:t>T G.827 pero en cualquier caso no deben rebasarse los objetivos globales de AR.</w:t>
      </w:r>
    </w:p>
    <w:p w:rsidR="005E1F8E" w:rsidRDefault="00610BDA">
      <w:pPr>
        <w:pStyle w:val="AnnexNoTitle"/>
        <w:rPr>
          <w:lang w:val="es-ES_tradnl"/>
        </w:rPr>
      </w:pPr>
      <w:r>
        <w:rPr>
          <w:lang w:val="es-ES_tradnl"/>
        </w:rPr>
        <w:br w:type="page"/>
      </w:r>
      <w:r>
        <w:rPr>
          <w:lang w:val="es-ES_tradnl"/>
        </w:rPr>
        <w:lastRenderedPageBreak/>
        <w:t>Anexo 2</w:t>
      </w:r>
      <w:r>
        <w:rPr>
          <w:lang w:val="es-ES_tradnl"/>
        </w:rPr>
        <w:br/>
      </w:r>
      <w:r>
        <w:rPr>
          <w:lang w:val="es-ES_tradnl"/>
        </w:rPr>
        <w:br/>
        <w:t>Definición de los parámetros</w:t>
      </w:r>
    </w:p>
    <w:p w:rsidR="005E1F8E" w:rsidRDefault="00610BDA">
      <w:pPr>
        <w:pStyle w:val="Heading1"/>
        <w:rPr>
          <w:lang w:val="es-ES_tradnl"/>
        </w:rPr>
      </w:pPr>
      <w:bookmarkStart w:id="1" w:name="_Toc53905541"/>
      <w:bookmarkStart w:id="2" w:name="_Toc66778581"/>
      <w:bookmarkStart w:id="3" w:name="_Toc67109850"/>
      <w:r>
        <w:rPr>
          <w:lang w:val="es-ES_tradnl"/>
        </w:rPr>
        <w:t>1</w:t>
      </w:r>
      <w:r>
        <w:rPr>
          <w:lang w:val="es-ES_tradnl"/>
        </w:rPr>
        <w:tab/>
      </w:r>
      <w:bookmarkEnd w:id="1"/>
      <w:bookmarkEnd w:id="2"/>
      <w:bookmarkEnd w:id="3"/>
      <w:r>
        <w:rPr>
          <w:lang w:val="es-ES_tradnl"/>
        </w:rPr>
        <w:t>Relación de disponibilidad (AR) y relación de indisponibilidad (UR)</w:t>
      </w:r>
    </w:p>
    <w:p w:rsidR="005E1F8E" w:rsidRDefault="00610BDA">
      <w:pPr>
        <w:rPr>
          <w:lang w:val="es-ES_tradnl"/>
        </w:rPr>
      </w:pPr>
      <w:r>
        <w:rPr>
          <w:lang w:val="es-ES_tradnl"/>
        </w:rPr>
        <w:t>El término «disponibilidad» se refiere a la AR que es la proporción de tiempo en que un trayecto se encuentra en estado disponible durante un periodo de observación. AR se calcula dividiendo el tiempo disponible total durante el periodo de observación por la duración del propio periodo de observación.</w:t>
      </w:r>
    </w:p>
    <w:p w:rsidR="005E1F8E" w:rsidRDefault="00610BDA">
      <w:pPr>
        <w:rPr>
          <w:lang w:val="es-ES_tradnl"/>
        </w:rPr>
      </w:pPr>
      <w:r>
        <w:rPr>
          <w:lang w:val="es-ES_tradnl"/>
        </w:rPr>
        <w:t>La inversa de AR, la UR, es la proporción de tiempo durante el cual un trayecto de extremo a extremo se encuentra en estado indisponible durante un periodo de observación. UR se calcula dividiendo el tiempo indisponible total durante el periodo de observación por la duración del propio periodo de observación.</w:t>
      </w:r>
    </w:p>
    <w:p w:rsidR="005E1F8E" w:rsidRDefault="00610BDA">
      <w:pPr>
        <w:pStyle w:val="Equation"/>
        <w:rPr>
          <w:lang w:val="es-ES_tradnl"/>
        </w:rPr>
      </w:pPr>
      <w:r>
        <w:rPr>
          <w:lang w:val="es-ES_tradnl"/>
        </w:rPr>
        <w:tab/>
      </w:r>
      <w:r>
        <w:rPr>
          <w:lang w:val="es-ES_tradnl"/>
        </w:rPr>
        <w:tab/>
      </w:r>
      <w:r>
        <w:rPr>
          <w:i/>
          <w:iCs/>
          <w:lang w:val="es-ES_tradnl"/>
        </w:rPr>
        <w:t>AR</w:t>
      </w:r>
      <w:r>
        <w:rPr>
          <w:lang w:val="es-ES_tradnl"/>
        </w:rPr>
        <w:t xml:space="preserve"> + </w:t>
      </w:r>
      <w:r>
        <w:rPr>
          <w:i/>
          <w:iCs/>
          <w:lang w:val="es-ES_tradnl"/>
        </w:rPr>
        <w:t>UR</w:t>
      </w:r>
      <w:r>
        <w:rPr>
          <w:lang w:val="es-ES_tradnl"/>
        </w:rPr>
        <w:t xml:space="preserve"> </w:t>
      </w:r>
      <w:r>
        <w:rPr>
          <w:rFonts w:ascii="Symbol" w:hAnsi="Symbol"/>
          <w:lang w:val="es-ES_tradnl"/>
        </w:rPr>
        <w:t></w:t>
      </w:r>
      <w:r>
        <w:rPr>
          <w:lang w:val="es-ES_tradnl"/>
        </w:rPr>
        <w:t xml:space="preserve"> 1</w:t>
      </w:r>
    </w:p>
    <w:p w:rsidR="005E1F8E" w:rsidRDefault="00610BDA">
      <w:pPr>
        <w:rPr>
          <w:lang w:val="es-ES_tradnl"/>
        </w:rPr>
      </w:pPr>
      <w:r>
        <w:rPr>
          <w:lang w:val="es-ES_tradnl"/>
        </w:rPr>
        <w:t>Se recomienda que el periodo de observación sea un año.</w:t>
      </w:r>
    </w:p>
    <w:p w:rsidR="005E1F8E" w:rsidRDefault="00610BDA">
      <w:pPr>
        <w:rPr>
          <w:lang w:val="es-ES_tradnl"/>
        </w:rPr>
      </w:pPr>
      <w:r>
        <w:rPr>
          <w:lang w:val="es-ES_tradnl"/>
        </w:rPr>
        <w:t>La asignación de objetivos de disponibilidad a periodos de observación más breves de un año cae fuera del ámbito de la presente Recomendación.</w:t>
      </w:r>
    </w:p>
    <w:p w:rsidR="005E1F8E" w:rsidRDefault="00610BDA">
      <w:pPr>
        <w:pStyle w:val="Headingi"/>
        <w:rPr>
          <w:lang w:val="es-ES_tradnl"/>
        </w:rPr>
      </w:pPr>
      <w:r>
        <w:rPr>
          <w:lang w:val="es-ES_tradnl"/>
        </w:rPr>
        <w:t>Tiempo disponible previsto</w:t>
      </w:r>
    </w:p>
    <w:p w:rsidR="005E1F8E" w:rsidRDefault="00610BDA">
      <w:pPr>
        <w:rPr>
          <w:lang w:val="es-ES_tradnl"/>
        </w:rPr>
      </w:pPr>
      <w:r>
        <w:rPr>
          <w:lang w:val="es-ES_tradnl"/>
        </w:rPr>
        <w:t>Si no está previsto que la conexión sea permanente, los periodos durante los cuales no está en servicio no se tienen en cuenta en el cálculo de su disponibilidad. Ello puede influir en la elección del periodo de observación.</w:t>
      </w:r>
    </w:p>
    <w:p w:rsidR="005E1F8E" w:rsidRDefault="00610BDA">
      <w:pPr>
        <w:pStyle w:val="Heading1"/>
        <w:spacing w:before="240"/>
        <w:rPr>
          <w:lang w:val="es-ES_tradnl"/>
        </w:rPr>
      </w:pPr>
      <w:bookmarkStart w:id="4" w:name="_Toc53905542"/>
      <w:bookmarkStart w:id="5" w:name="_Toc66778582"/>
      <w:bookmarkStart w:id="6" w:name="_Toc67109851"/>
      <w:r>
        <w:rPr>
          <w:lang w:val="es-ES_tradnl"/>
        </w:rPr>
        <w:t>2</w:t>
      </w:r>
      <w:r>
        <w:rPr>
          <w:lang w:val="es-ES_tradnl"/>
        </w:rPr>
        <w:tab/>
      </w:r>
      <w:bookmarkEnd w:id="4"/>
      <w:bookmarkEnd w:id="5"/>
      <w:bookmarkEnd w:id="6"/>
      <w:r>
        <w:rPr>
          <w:lang w:val="es-ES_tradnl"/>
        </w:rPr>
        <w:t>Tiempo medio entre interrupciones e intensidad de interrupciones</w:t>
      </w:r>
    </w:p>
    <w:p w:rsidR="005E1F8E" w:rsidRDefault="00610BDA">
      <w:pPr>
        <w:rPr>
          <w:lang w:val="es-ES_tradnl"/>
        </w:rPr>
      </w:pPr>
      <w:r>
        <w:rPr>
          <w:lang w:val="es-ES_tradnl"/>
        </w:rPr>
        <w:t>Un periodo de indisponibilidad  se conoce también como una «interrupción». El Mo es la duración media de intervalos en que el PE está disponible durante un periodo de medición. El número de interrupciones en cada periodo de medición se denomina OI. (Véase la Nota 1)</w:t>
      </w:r>
    </w:p>
    <w:p w:rsidR="005E1F8E" w:rsidRDefault="00610BDA">
      <w:pPr>
        <w:rPr>
          <w:lang w:val="es-ES_tradnl"/>
        </w:rPr>
      </w:pPr>
      <w:r>
        <w:rPr>
          <w:lang w:val="es-ES_tradnl"/>
        </w:rPr>
        <w:t>Si el periodo de medición es un año y el Mo se expresa como fracción de un año, el valor de OI es la inversa de Mo.</w:t>
      </w:r>
    </w:p>
    <w:p w:rsidR="005E1F8E" w:rsidRDefault="00610BDA">
      <w:pPr>
        <w:pStyle w:val="Note"/>
        <w:rPr>
          <w:lang w:val="es-ES_tradnl"/>
        </w:rPr>
      </w:pPr>
      <w:r>
        <w:rPr>
          <w:lang w:val="es-ES_tradnl"/>
        </w:rPr>
        <w:t>NOTA 1 – Esta relación supone que los periodos de indisponibilidad son cortos en comparación con los periodos de disponibilidad.</w:t>
      </w:r>
    </w:p>
    <w:p w:rsidR="005E1F8E" w:rsidRDefault="005E1F8E">
      <w:pPr>
        <w:rPr>
          <w:lang w:val="es-ES_tradnl"/>
        </w:rPr>
      </w:pPr>
    </w:p>
    <w:p w:rsidR="005E1F8E" w:rsidRDefault="005E1F8E">
      <w:pPr>
        <w:pStyle w:val="Line"/>
        <w:rPr>
          <w:lang w:val="es-ES_tradnl"/>
        </w:rPr>
      </w:pPr>
    </w:p>
    <w:p w:rsidR="005E1F8E" w:rsidRDefault="005E1F8E">
      <w:pPr>
        <w:rPr>
          <w:lang w:val="es-ES_tradnl"/>
        </w:rPr>
      </w:pPr>
    </w:p>
    <w:p w:rsidR="005E1F8E" w:rsidRDefault="005E1F8E">
      <w:pPr>
        <w:rPr>
          <w:lang w:val="es-ES_tradnl"/>
        </w:rPr>
      </w:pPr>
    </w:p>
    <w:p w:rsidR="005E1F8E" w:rsidRDefault="005E1F8E">
      <w:pPr>
        <w:rPr>
          <w:lang w:val="es-ES_tradnl"/>
        </w:rPr>
      </w:pPr>
    </w:p>
    <w:p w:rsidR="005E1F8E" w:rsidRDefault="005E1F8E">
      <w:pPr>
        <w:rPr>
          <w:lang w:val="es-ES_tradnl"/>
        </w:rPr>
      </w:pPr>
    </w:p>
    <w:p w:rsidR="005E1F8E" w:rsidRDefault="005E1F8E">
      <w:pPr>
        <w:rPr>
          <w:lang w:val="es-ES_tradnl"/>
        </w:rPr>
      </w:pPr>
    </w:p>
    <w:p w:rsidR="005E1F8E" w:rsidRDefault="005E1F8E">
      <w:pPr>
        <w:rPr>
          <w:lang w:val="es-ES_tradnl"/>
        </w:rPr>
      </w:pPr>
    </w:p>
    <w:p w:rsidR="005E1F8E" w:rsidRDefault="005E1F8E">
      <w:pPr>
        <w:rPr>
          <w:lang w:val="es-ES_tradnl"/>
        </w:rPr>
      </w:pPr>
    </w:p>
    <w:p w:rsidR="005E1F8E" w:rsidRDefault="005E1F8E">
      <w:pPr>
        <w:rPr>
          <w:lang w:val="es-ES_tradnl"/>
        </w:rPr>
        <w:sectPr w:rsidR="005E1F8E">
          <w:headerReference w:type="even" r:id="rId45"/>
          <w:headerReference w:type="default" r:id="rId46"/>
          <w:pgSz w:w="11907" w:h="16834" w:code="9"/>
          <w:pgMar w:top="1418" w:right="1134" w:bottom="1134" w:left="1134" w:header="720" w:footer="482" w:gutter="0"/>
          <w:paperSrc w:first="15" w:other="15"/>
          <w:cols w:space="720"/>
          <w:vAlign w:val="both"/>
        </w:sectPr>
      </w:pPr>
    </w:p>
    <w:p w:rsidR="005E1F8E" w:rsidRDefault="005E1F8E">
      <w:pPr>
        <w:rPr>
          <w:lang w:val="es-ES_tradnl"/>
        </w:rPr>
      </w:pPr>
    </w:p>
    <w:sectPr w:rsidR="005E1F8E">
      <w:headerReference w:type="default" r:id="rId47"/>
      <w:pgSz w:w="11907" w:h="16834" w:code="9"/>
      <w:pgMar w:top="1418" w:right="1134" w:bottom="1134" w:left="1134" w:header="720" w:footer="482" w:gutter="0"/>
      <w:paperSrc w:first="15" w:other="15"/>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F8E" w:rsidRDefault="00610BDA">
      <w:pPr>
        <w:spacing w:before="0"/>
      </w:pPr>
      <w:r>
        <w:separator/>
      </w:r>
    </w:p>
  </w:endnote>
  <w:endnote w:type="continuationSeparator" w:id="0">
    <w:p w:rsidR="005E1F8E" w:rsidRDefault="00610B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F8E" w:rsidRDefault="00610BDA">
      <w:pPr>
        <w:spacing w:before="0"/>
      </w:pPr>
      <w:r>
        <w:separator/>
      </w:r>
    </w:p>
  </w:footnote>
  <w:footnote w:type="continuationSeparator" w:id="0">
    <w:p w:rsidR="005E1F8E" w:rsidRDefault="00610BDA">
      <w:pPr>
        <w:spacing w:before="0"/>
      </w:pPr>
      <w:r>
        <w:continuationSeparator/>
      </w:r>
    </w:p>
  </w:footnote>
  <w:footnote w:id="1">
    <w:p w:rsidR="00D72BE7" w:rsidRPr="00D72BE7" w:rsidRDefault="00D72BE7" w:rsidP="00D72BE7">
      <w:pPr>
        <w:pStyle w:val="FootnoteText"/>
        <w:rPr>
          <w:lang w:val="es-ES_tradnl"/>
        </w:rPr>
      </w:pPr>
      <w:r>
        <w:rPr>
          <w:rStyle w:val="FootnoteReference"/>
        </w:rPr>
        <w:footnoteRef/>
      </w:r>
      <w:r w:rsidRPr="00D72BE7">
        <w:rPr>
          <w:lang w:val="es-ES_tradnl"/>
        </w:rPr>
        <w:t xml:space="preserve"> </w:t>
      </w:r>
      <w:r w:rsidRPr="00D72BE7">
        <w:rPr>
          <w:lang w:val="es-ES_tradnl"/>
        </w:rPr>
        <w:tab/>
      </w:r>
      <w:r>
        <w:rPr>
          <w:lang w:val="es-ES_tradnl"/>
        </w:rPr>
        <w:t>La Comisión de Estudio 5 de Radiocomunicaciones introdujo modificaciones redaccionales en esta Recomendación en noviembre de 2014, de conformidad con la Resolución UIT-R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8E" w:rsidRDefault="00610BDA">
    <w:pPr>
      <w:pStyle w:val="Header"/>
      <w:jc w:val="left"/>
    </w:pPr>
    <w:r>
      <w:rPr>
        <w:rStyle w:val="PageNumber"/>
        <w:b/>
        <w:bCs/>
      </w:rPr>
      <w:fldChar w:fldCharType="begin"/>
    </w:r>
    <w:r>
      <w:rPr>
        <w:rStyle w:val="PageNumber"/>
        <w:b/>
        <w:bCs/>
      </w:rPr>
      <w:instrText xml:space="preserve"> PAGE </w:instrText>
    </w:r>
    <w:r>
      <w:rPr>
        <w:rStyle w:val="PageNumber"/>
        <w:b/>
        <w:bCs/>
      </w:rPr>
      <w:fldChar w:fldCharType="separate"/>
    </w:r>
    <w:r w:rsidR="00500B7F">
      <w:rPr>
        <w:rStyle w:val="PageNumber"/>
        <w:b/>
        <w:bCs/>
        <w:noProof/>
      </w:rPr>
      <w:t>12</w:t>
    </w:r>
    <w:r>
      <w:rPr>
        <w:rStyle w:val="PageNumber"/>
        <w:b/>
        <w:bCs/>
      </w:rPr>
      <w:fldChar w:fldCharType="end"/>
    </w:r>
    <w:r>
      <w:tab/>
    </w:r>
    <w:r>
      <w:rPr>
        <w:b/>
        <w:bCs/>
      </w:rPr>
      <w:fldChar w:fldCharType="begin"/>
    </w:r>
    <w:r>
      <w:rPr>
        <w:b/>
        <w:bCs/>
      </w:rPr>
      <w:instrText xml:space="preserve"> DOCPROPERTY "Header" \* MERGEFORMAT </w:instrText>
    </w:r>
    <w:r>
      <w:rPr>
        <w:b/>
        <w:bCs/>
      </w:rPr>
      <w:fldChar w:fldCharType="separate"/>
    </w:r>
    <w:r w:rsidR="00500B7F">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500B7F">
      <w:rPr>
        <w:b/>
        <w:bCs/>
        <w:noProof/>
      </w:rPr>
      <w:t>UIT-R  F.1703-0</w:t>
    </w:r>
    <w:r>
      <w:rPr>
        <w:b/>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8E" w:rsidRDefault="00610BDA">
    <w:pPr>
      <w:pStyle w:val="Header"/>
    </w:pPr>
    <w:r>
      <w:tab/>
    </w:r>
    <w:r>
      <w:rPr>
        <w:b/>
        <w:bCs/>
      </w:rPr>
      <w:fldChar w:fldCharType="begin"/>
    </w:r>
    <w:r>
      <w:rPr>
        <w:b/>
        <w:bCs/>
      </w:rPr>
      <w:instrText xml:space="preserve"> DOCPROPERTY "Header" \* MERGEFORMAT </w:instrText>
    </w:r>
    <w:r>
      <w:rPr>
        <w:b/>
        <w:bCs/>
      </w:rPr>
      <w:fldChar w:fldCharType="separate"/>
    </w:r>
    <w:r w:rsidR="00500B7F">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500B7F">
      <w:rPr>
        <w:b/>
        <w:bCs/>
        <w:noProof/>
      </w:rPr>
      <w:t>UIT-R  F.1703-0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500B7F">
      <w:rPr>
        <w:rStyle w:val="PageNumber"/>
        <w:b/>
        <w:bCs/>
        <w:noProof/>
      </w:rPr>
      <w:t>11</w:t>
    </w:r>
    <w:r>
      <w:rPr>
        <w:rStyle w:val="PageNumbe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8E" w:rsidRDefault="005E1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D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nsid w:val="09454EB2"/>
    <w:multiLevelType w:val="hybridMultilevel"/>
    <w:tmpl w:val="8EB41EA4"/>
    <w:lvl w:ilvl="0" w:tplc="171607A4">
      <w:start w:val="2"/>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1F4CDF"/>
    <w:multiLevelType w:val="hybridMultilevel"/>
    <w:tmpl w:val="7E38BF42"/>
    <w:lvl w:ilvl="0" w:tplc="D68A14E0">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B34234"/>
    <w:multiLevelType w:val="multilevel"/>
    <w:tmpl w:val="6FD49FE4"/>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9CC5F6B"/>
    <w:multiLevelType w:val="singleLevel"/>
    <w:tmpl w:val="CE5060D8"/>
    <w:lvl w:ilvl="0">
      <w:start w:val="1"/>
      <w:numFmt w:val="decimal"/>
      <w:lvlText w:val="%1"/>
      <w:legacy w:legacy="1" w:legacySpace="0" w:legacyIndent="795"/>
      <w:lvlJc w:val="left"/>
      <w:pPr>
        <w:ind w:left="795" w:hanging="795"/>
      </w:pPr>
    </w:lvl>
  </w:abstractNum>
  <w:abstractNum w:abstractNumId="5">
    <w:nsid w:val="1C726920"/>
    <w:multiLevelType w:val="hybridMultilevel"/>
    <w:tmpl w:val="A0C88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5C03D5"/>
    <w:multiLevelType w:val="multilevel"/>
    <w:tmpl w:val="79EAA374"/>
    <w:lvl w:ilvl="0">
      <w:start w:val="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A96207"/>
    <w:multiLevelType w:val="hybridMultilevel"/>
    <w:tmpl w:val="E2883C26"/>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F3C0763"/>
    <w:multiLevelType w:val="multilevel"/>
    <w:tmpl w:val="2068AFD4"/>
    <w:lvl w:ilvl="0">
      <w:start w:val="3"/>
      <w:numFmt w:val="decimal"/>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5405F4"/>
    <w:multiLevelType w:val="hybridMultilevel"/>
    <w:tmpl w:val="480EB5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CB53DC"/>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8240F8"/>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50E55E2"/>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7202AFC"/>
    <w:multiLevelType w:val="hybridMultilevel"/>
    <w:tmpl w:val="7DDE28BE"/>
    <w:lvl w:ilvl="0" w:tplc="D68A14E0">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ABA5FF9"/>
    <w:multiLevelType w:val="multilevel"/>
    <w:tmpl w:val="414461C8"/>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C463901"/>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C6B3A71"/>
    <w:multiLevelType w:val="hybridMultilevel"/>
    <w:tmpl w:val="9F786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D5709F"/>
    <w:multiLevelType w:val="hybridMultilevel"/>
    <w:tmpl w:val="22AA38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82E6112"/>
    <w:multiLevelType w:val="hybridMultilevel"/>
    <w:tmpl w:val="545E0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CCD1FBD"/>
    <w:multiLevelType w:val="singleLevel"/>
    <w:tmpl w:val="7CE85C36"/>
    <w:lvl w:ilvl="0">
      <w:start w:val="1"/>
      <w:numFmt w:val="bullet"/>
      <w:lvlText w:val="-"/>
      <w:lvlJc w:val="left"/>
      <w:pPr>
        <w:tabs>
          <w:tab w:val="num" w:pos="360"/>
        </w:tabs>
        <w:ind w:left="360" w:hanging="360"/>
      </w:pPr>
      <w:rPr>
        <w:rFonts w:hint="default"/>
        <w:b/>
      </w:rPr>
    </w:lvl>
  </w:abstractNum>
  <w:abstractNum w:abstractNumId="20">
    <w:nsid w:val="5EEF4333"/>
    <w:multiLevelType w:val="hybridMultilevel"/>
    <w:tmpl w:val="85742186"/>
    <w:lvl w:ilvl="0" w:tplc="D68A14E0">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0770253"/>
    <w:multiLevelType w:val="hybridMultilevel"/>
    <w:tmpl w:val="C37E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144295"/>
    <w:multiLevelType w:val="hybridMultilevel"/>
    <w:tmpl w:val="1D2C6EF0"/>
    <w:lvl w:ilvl="0" w:tplc="20DE2EA6">
      <w:start w:val="3"/>
      <w:numFmt w:val="bullet"/>
      <w:lvlText w:val="–"/>
      <w:lvlJc w:val="left"/>
      <w:pPr>
        <w:tabs>
          <w:tab w:val="num" w:pos="1152"/>
        </w:tabs>
        <w:ind w:left="1152" w:hanging="79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A916E0"/>
    <w:multiLevelType w:val="hybridMultilevel"/>
    <w:tmpl w:val="03C88FB0"/>
    <w:lvl w:ilvl="0" w:tplc="DC66F2DA">
      <w:start w:val="1"/>
      <w:numFmt w:val="bullet"/>
      <w:lvlText w:val="-"/>
      <w:lvlJc w:val="left"/>
      <w:pPr>
        <w:tabs>
          <w:tab w:val="num" w:pos="1155"/>
        </w:tabs>
        <w:ind w:left="1155" w:hanging="795"/>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7B010E2"/>
    <w:multiLevelType w:val="multilevel"/>
    <w:tmpl w:val="9E8AAE9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9802D28"/>
    <w:multiLevelType w:val="singleLevel"/>
    <w:tmpl w:val="2E5E2D88"/>
    <w:lvl w:ilvl="0">
      <w:start w:val="2"/>
      <w:numFmt w:val="decimal"/>
      <w:lvlText w:val="%1"/>
      <w:lvlJc w:val="left"/>
      <w:pPr>
        <w:tabs>
          <w:tab w:val="num" w:pos="1305"/>
        </w:tabs>
        <w:ind w:left="1305" w:hanging="1305"/>
      </w:pPr>
      <w:rPr>
        <w:rFonts w:hint="default"/>
      </w:rPr>
    </w:lvl>
  </w:abstractNum>
  <w:abstractNum w:abstractNumId="26">
    <w:nsid w:val="6A713B4D"/>
    <w:multiLevelType w:val="hybridMultilevel"/>
    <w:tmpl w:val="59023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17411F"/>
    <w:multiLevelType w:val="hybridMultilevel"/>
    <w:tmpl w:val="EBFCE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27138C"/>
    <w:multiLevelType w:val="hybridMultilevel"/>
    <w:tmpl w:val="047EC942"/>
    <w:lvl w:ilvl="0" w:tplc="A5ECE85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D306CEB"/>
    <w:multiLevelType w:val="hybridMultilevel"/>
    <w:tmpl w:val="53FAF6D0"/>
    <w:lvl w:ilvl="0" w:tplc="0D142DC0">
      <w:start w:val="3"/>
      <w:numFmt w:val="bullet"/>
      <w:lvlText w:val="-"/>
      <w:lvlJc w:val="left"/>
      <w:pPr>
        <w:tabs>
          <w:tab w:val="num" w:pos="1155"/>
        </w:tabs>
        <w:ind w:left="1155" w:hanging="795"/>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8"/>
  </w:num>
  <w:num w:numId="4">
    <w:abstractNumId w:val="22"/>
  </w:num>
  <w:num w:numId="5">
    <w:abstractNumId w:val="16"/>
  </w:num>
  <w:num w:numId="6">
    <w:abstractNumId w:val="26"/>
  </w:num>
  <w:num w:numId="7">
    <w:abstractNumId w:val="25"/>
  </w:num>
  <w:num w:numId="8">
    <w:abstractNumId w:val="0"/>
  </w:num>
  <w:num w:numId="9">
    <w:abstractNumId w:val="24"/>
  </w:num>
  <w:num w:numId="10">
    <w:abstractNumId w:val="23"/>
  </w:num>
  <w:num w:numId="11">
    <w:abstractNumId w:val="29"/>
  </w:num>
  <w:num w:numId="12">
    <w:abstractNumId w:val="6"/>
  </w:num>
  <w:num w:numId="13">
    <w:abstractNumId w:val="3"/>
  </w:num>
  <w:num w:numId="14">
    <w:abstractNumId w:val="5"/>
  </w:num>
  <w:num w:numId="15">
    <w:abstractNumId w:val="18"/>
  </w:num>
  <w:num w:numId="16">
    <w:abstractNumId w:val="21"/>
  </w:num>
  <w:num w:numId="17">
    <w:abstractNumId w:val="27"/>
  </w:num>
  <w:num w:numId="18">
    <w:abstractNumId w:val="17"/>
  </w:num>
  <w:num w:numId="19">
    <w:abstractNumId w:val="1"/>
  </w:num>
  <w:num w:numId="20">
    <w:abstractNumId w:val="7"/>
  </w:num>
  <w:num w:numId="21">
    <w:abstractNumId w:val="28"/>
  </w:num>
  <w:num w:numId="22">
    <w:abstractNumId w:val="9"/>
  </w:num>
  <w:num w:numId="23">
    <w:abstractNumId w:val="15"/>
  </w:num>
  <w:num w:numId="24">
    <w:abstractNumId w:val="11"/>
  </w:num>
  <w:num w:numId="25">
    <w:abstractNumId w:val="13"/>
  </w:num>
  <w:num w:numId="26">
    <w:abstractNumId w:val="12"/>
  </w:num>
  <w:num w:numId="27">
    <w:abstractNumId w:val="2"/>
  </w:num>
  <w:num w:numId="28">
    <w:abstractNumId w:val="10"/>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mirrorMargins/>
  <w:hideSpellingErrors/>
  <w:hideGrammaticalErrors/>
  <w:activeWritingStyle w:appName="MSWord" w:lang="en-US" w:vendorID="64" w:dllVersion="131077" w:nlCheck="1" w:checkStyle="0"/>
  <w:attachedTemplate r:id="rId1"/>
  <w:doNotTrackMoves/>
  <w:defaultTabStop w:val="720"/>
  <w:evenAndOddHeaders/>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CE7"/>
    <w:rsid w:val="002E0F28"/>
    <w:rsid w:val="00500B7F"/>
    <w:rsid w:val="005E1F8E"/>
    <w:rsid w:val="00610BDA"/>
    <w:rsid w:val="00773CE7"/>
    <w:rsid w:val="008E5A63"/>
    <w:rsid w:val="00D72B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493888F9-1264-47AF-96E1-A9E94ADB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semiHidden/>
    <w:pPr>
      <w:tabs>
        <w:tab w:val="clear" w:pos="794"/>
        <w:tab w:val="clear" w:pos="1191"/>
        <w:tab w:val="clear" w:pos="1588"/>
        <w:tab w:val="clear" w:pos="1985"/>
      </w:tabs>
      <w:spacing w:before="0"/>
    </w:pPr>
    <w:rPr>
      <w:noProof/>
      <w:sz w:val="18"/>
    </w:rPr>
  </w:style>
  <w:style w:type="character" w:styleId="PageNumber">
    <w:name w:val="page number"/>
    <w:basedOn w:val="DefaultParagraphFont"/>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4.bin"/><Relationship Id="rId29" Type="http://schemas.openxmlformats.org/officeDocument/2006/relationships/image" Target="media/image15.wmf"/><Relationship Id="rId41"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fontTable" Target="fontTable.xml"/><Relationship Id="rId8"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_REC_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BR_REC_2004.dot</Template>
  <TotalTime>5</TotalTime>
  <Pages>1</Pages>
  <Words>3156</Words>
  <Characters>18405</Characters>
  <Application>Microsoft Office Word</Application>
  <DocSecurity>0</DocSecurity>
  <Lines>836</Lines>
  <Paragraphs>124</Paragraphs>
  <ScaleCrop>false</ScaleCrop>
  <HeadingPairs>
    <vt:vector size="2" baseType="variant">
      <vt:variant>
        <vt:lpstr>Title</vt:lpstr>
      </vt:variant>
      <vt:variant>
        <vt:i4>1</vt:i4>
      </vt:variant>
    </vt:vector>
  </HeadingPairs>
  <TitlesOfParts>
    <vt:vector size="1" baseType="lpstr">
      <vt:lpstr>RECOMENDACIÓN  UIT-R  F.1703 - Objetivos de disponibilidad para enlaces inalámbricos fijos digitales  reales utilizados en las conexiones ficticias de referencia  y trayectos ficticios de referencia de 27 500 km</vt:lpstr>
    </vt:vector>
  </TitlesOfParts>
  <Manager>CP..3346/NM</Manager>
  <Company>ITU</Company>
  <LinksUpToDate>false</LinksUpToDate>
  <CharactersWithSpaces>21437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F.1703 - Objetivos de disponibilidad para enlaces inalámbricos fijos digitales  reales utilizados en las conexiones ficticias de referencia  y trayectos ficticios de referencia de 27 500 km</dc:title>
  <dc:subject>Serie F = Servicio fijo</dc:subject>
  <dc:creator>Oficina de Radiocomunicaciones del UIT (BR)</dc:creator>
  <cp:keywords>F,1703</cp:keywords>
  <dc:description>Saisie + Recup.: 10.12.2004/NM_x000d_
Corr. BAT: 21.12.2004/NM_x000d_
2ème corr. BAT: 13.04.2005/NM</dc:description>
  <cp:lastModifiedBy>Gachet, Christelle</cp:lastModifiedBy>
  <cp:revision>7</cp:revision>
  <cp:lastPrinted>2014-11-21T15:06:00Z</cp:lastPrinted>
  <dcterms:created xsi:type="dcterms:W3CDTF">2014-11-21T15:03:00Z</dcterms:created>
  <dcterms:modified xsi:type="dcterms:W3CDTF">2014-11-21T15:08:00Z</dcterms:modified>
  <cp:category>Template:  BR_Rec_2002.dot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