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3B" w:rsidRPr="002B753B" w:rsidRDefault="00E91F23" w:rsidP="002B753B">
      <w:pPr>
        <w:pStyle w:val="RecNo"/>
        <w:spacing w:before="0"/>
        <w:rPr>
          <w:szCs w:val="26"/>
          <w:lang w:val="ru-RU"/>
        </w:rPr>
      </w:pPr>
      <w:bookmarkStart w:id="0" w:name="irecnoe"/>
      <w:bookmarkEnd w:id="0"/>
      <w:r w:rsidRPr="005F05C0">
        <w:rPr>
          <w:lang w:val="ru-RU"/>
        </w:rPr>
        <w:t>РЕКОМЕНДАЦИЯ</w:t>
      </w:r>
      <w:r w:rsidRPr="002B753B">
        <w:rPr>
          <w:lang w:val="ru-RU"/>
        </w:rPr>
        <w:t xml:space="preserve">  </w:t>
      </w:r>
      <w:r w:rsidRPr="002B753B">
        <w:rPr>
          <w:rStyle w:val="href"/>
          <w:lang w:val="ru-RU"/>
        </w:rPr>
        <w:t>МСЭ-</w:t>
      </w:r>
      <w:r w:rsidRPr="001C6156">
        <w:rPr>
          <w:rStyle w:val="href"/>
          <w:lang w:val="en-US"/>
        </w:rPr>
        <w:t>R</w:t>
      </w:r>
      <w:r w:rsidRPr="002B753B">
        <w:rPr>
          <w:rStyle w:val="href"/>
          <w:lang w:val="ru-RU"/>
        </w:rPr>
        <w:t xml:space="preserve">  </w:t>
      </w:r>
      <w:r>
        <w:rPr>
          <w:rStyle w:val="href"/>
          <w:lang w:val="en-US"/>
        </w:rPr>
        <w:t>F</w:t>
      </w:r>
      <w:r w:rsidRPr="002B753B">
        <w:rPr>
          <w:rStyle w:val="href"/>
          <w:lang w:val="ru-RU"/>
        </w:rPr>
        <w:t>.</w:t>
      </w:r>
      <w:r w:rsidR="002B753B" w:rsidRPr="002B753B">
        <w:rPr>
          <w:rStyle w:val="href"/>
          <w:szCs w:val="26"/>
          <w:lang w:val="ru-RU"/>
        </w:rPr>
        <w:t>1703</w:t>
      </w:r>
      <w:r w:rsidR="007603B0">
        <w:rPr>
          <w:rStyle w:val="href"/>
          <w:szCs w:val="26"/>
          <w:lang w:val="ru-RU"/>
        </w:rPr>
        <w:t>-0</w:t>
      </w:r>
      <w:r w:rsidR="007F6114">
        <w:rPr>
          <w:rStyle w:val="FootnoteReference"/>
          <w:szCs w:val="26"/>
          <w:lang w:val="ru-RU"/>
        </w:rPr>
        <w:footnoteReference w:customMarkFollows="1" w:id="1"/>
        <w:t>1</w:t>
      </w:r>
    </w:p>
    <w:p w:rsidR="002B753B" w:rsidRPr="002B753B" w:rsidRDefault="002B753B" w:rsidP="003C1FD0">
      <w:pPr>
        <w:pStyle w:val="Rectitle"/>
        <w:rPr>
          <w:lang w:val="ru-RU"/>
        </w:rPr>
      </w:pPr>
      <w:r w:rsidRPr="00A92CAB">
        <w:rPr>
          <w:lang w:val="ru-RU"/>
        </w:rPr>
        <w:t xml:space="preserve">Показатели готовности для реальных цифровых радиорелейных линий, используемых на </w:t>
      </w:r>
      <w:r w:rsidRPr="001A0CCE">
        <w:rPr>
          <w:lang w:val="ru-RU"/>
        </w:rPr>
        <w:t>гипотетических</w:t>
      </w:r>
      <w:r w:rsidRPr="00A92CAB">
        <w:rPr>
          <w:lang w:val="ru-RU"/>
        </w:rPr>
        <w:t xml:space="preserve"> эталонн</w:t>
      </w:r>
      <w:r>
        <w:rPr>
          <w:lang w:val="ru-RU"/>
        </w:rPr>
        <w:t xml:space="preserve">ых трактах </w:t>
      </w:r>
      <w:r w:rsidR="00AD7808">
        <w:rPr>
          <w:lang w:val="ru-RU"/>
        </w:rPr>
        <w:br/>
      </w:r>
      <w:r>
        <w:rPr>
          <w:lang w:val="ru-RU"/>
        </w:rPr>
        <w:t>и соединениях длиной</w:t>
      </w:r>
      <w:r>
        <w:rPr>
          <w:lang w:val="en-GB"/>
        </w:rPr>
        <w:t> </w:t>
      </w:r>
      <w:r w:rsidRPr="00A92CAB">
        <w:rPr>
          <w:lang w:val="ru-RU"/>
        </w:rPr>
        <w:t>27</w:t>
      </w:r>
      <w:r w:rsidRPr="00A92CAB">
        <w:rPr>
          <w:rFonts w:ascii="Tms Rmn" w:hAnsi="Tms Rmn"/>
          <w:lang w:val="en-US"/>
        </w:rPr>
        <w:t> </w:t>
      </w:r>
      <w:r w:rsidRPr="00A92CAB">
        <w:rPr>
          <w:lang w:val="ru-RU"/>
        </w:rPr>
        <w:t>500</w:t>
      </w:r>
      <w:r w:rsidRPr="00A92CAB">
        <w:rPr>
          <w:lang w:val="en-US"/>
        </w:rPr>
        <w:t> </w:t>
      </w:r>
      <w:r>
        <w:rPr>
          <w:lang w:val="ru-RU"/>
        </w:rPr>
        <w:t>км</w:t>
      </w:r>
    </w:p>
    <w:p w:rsidR="002B753B" w:rsidRPr="002B753B" w:rsidRDefault="002B753B" w:rsidP="002B753B">
      <w:pPr>
        <w:pStyle w:val="Recdate"/>
        <w:rPr>
          <w:lang w:val="ru-RU"/>
        </w:rPr>
      </w:pPr>
      <w:r w:rsidRPr="002B753B">
        <w:rPr>
          <w:lang w:val="ru-RU"/>
        </w:rPr>
        <w:t>(2005)</w:t>
      </w:r>
    </w:p>
    <w:p w:rsidR="002B753B" w:rsidRPr="001A0CCE" w:rsidRDefault="003C1FD0" w:rsidP="003C1FD0">
      <w:pPr>
        <w:pStyle w:val="HeadingSum"/>
        <w:rPr>
          <w:lang w:val="ru-RU"/>
        </w:rPr>
      </w:pPr>
      <w:r w:rsidRPr="001A0CCE">
        <w:rPr>
          <w:lang w:val="ru-RU"/>
        </w:rPr>
        <w:t>Сфера применения</w:t>
      </w:r>
    </w:p>
    <w:p w:rsidR="002B753B" w:rsidRPr="001A0CCE" w:rsidRDefault="002B753B" w:rsidP="003C1FD0">
      <w:pPr>
        <w:pStyle w:val="Summary"/>
        <w:rPr>
          <w:lang w:val="ru-RU"/>
        </w:rPr>
      </w:pPr>
      <w:r w:rsidRPr="001A0CCE">
        <w:rPr>
          <w:lang w:val="ru-RU"/>
        </w:rPr>
        <w:t>В настоящей Рекомендации представлена обновленная информация о показателях готовности для реальных цифровых радиорелейных (фиксированных безпроводных) линий, используемых на гипотетических эталонных трактах длиной 27</w:t>
      </w:r>
      <w:r>
        <w:rPr>
          <w:rFonts w:ascii="Tms Rmn" w:hAnsi="Tms Rmn"/>
          <w:sz w:val="12"/>
          <w:lang w:val="en-US"/>
        </w:rPr>
        <w:t> </w:t>
      </w:r>
      <w:r w:rsidRPr="001A0CCE">
        <w:rPr>
          <w:lang w:val="ru-RU"/>
        </w:rPr>
        <w:t>500</w:t>
      </w:r>
      <w:r>
        <w:rPr>
          <w:lang w:val="en-US"/>
        </w:rPr>
        <w:t> </w:t>
      </w:r>
      <w:r w:rsidRPr="001A0CCE">
        <w:rPr>
          <w:lang w:val="ru-RU"/>
        </w:rPr>
        <w:t>км, с учетом информации в Рекомендации МСЭ</w:t>
      </w:r>
      <w:r w:rsidRPr="001A0CCE">
        <w:rPr>
          <w:lang w:val="ru-RU"/>
        </w:rPr>
        <w:noBreakHyphen/>
      </w:r>
      <w:r>
        <w:rPr>
          <w:lang w:val="en-US"/>
        </w:rPr>
        <w:t>T</w:t>
      </w:r>
      <w:r w:rsidR="007603B0">
        <w:t> </w:t>
      </w:r>
      <w:r>
        <w:rPr>
          <w:lang w:val="en-US"/>
        </w:rPr>
        <w:t>G</w:t>
      </w:r>
      <w:r w:rsidRPr="001A0CCE">
        <w:rPr>
          <w:lang w:val="ru-RU"/>
        </w:rPr>
        <w:t>.827 (утвержденной в 2003 г</w:t>
      </w:r>
      <w:r w:rsidR="005151EF" w:rsidRPr="001A0CCE">
        <w:rPr>
          <w:lang w:val="ru-RU"/>
        </w:rPr>
        <w:t>.</w:t>
      </w:r>
      <w:r w:rsidRPr="001A0CCE">
        <w:rPr>
          <w:lang w:val="ru-RU"/>
        </w:rPr>
        <w:t xml:space="preserve">). Это </w:t>
      </w:r>
      <w:r>
        <w:rPr>
          <w:lang w:val="en-US"/>
        </w:rPr>
        <w:sym w:font="Symbol" w:char="F02D"/>
      </w:r>
      <w:r w:rsidRPr="001A0CCE">
        <w:rPr>
          <w:lang w:val="ru-RU"/>
        </w:rPr>
        <w:t xml:space="preserve"> единственная Рекомендация, определяющая показатели готовности для всех реальных цифровых радиорелейных линий. Данная Рекомендация заменяет Рекомендации МСЭ</w:t>
      </w:r>
      <w:r w:rsidRPr="001A0CCE">
        <w:rPr>
          <w:lang w:val="ru-RU"/>
        </w:rPr>
        <w:noBreakHyphen/>
      </w:r>
      <w:r>
        <w:rPr>
          <w:lang w:val="en-US"/>
        </w:rPr>
        <w:t>R F</w:t>
      </w:r>
      <w:r w:rsidRPr="001A0CCE">
        <w:rPr>
          <w:lang w:val="ru-RU"/>
        </w:rPr>
        <w:t>.1492 и МСЭ</w:t>
      </w:r>
      <w:r w:rsidRPr="001A0CCE">
        <w:rPr>
          <w:lang w:val="ru-RU"/>
        </w:rPr>
        <w:noBreakHyphen/>
      </w:r>
      <w:r>
        <w:rPr>
          <w:lang w:val="en-US"/>
        </w:rPr>
        <w:t>R F</w:t>
      </w:r>
      <w:r w:rsidRPr="001A0CCE">
        <w:rPr>
          <w:lang w:val="ru-RU"/>
        </w:rPr>
        <w:t>.1493. Применимость Рекомендаций МСЭ</w:t>
      </w:r>
      <w:r w:rsidRPr="001A0CCE">
        <w:rPr>
          <w:lang w:val="ru-RU"/>
        </w:rPr>
        <w:noBreakHyphen/>
      </w:r>
      <w:r>
        <w:rPr>
          <w:lang w:val="en-US"/>
        </w:rPr>
        <w:t>R F</w:t>
      </w:r>
      <w:r w:rsidRPr="001A0CCE">
        <w:rPr>
          <w:lang w:val="ru-RU"/>
        </w:rPr>
        <w:t>.557, МСЭ</w:t>
      </w:r>
      <w:r w:rsidRPr="001A0CCE">
        <w:rPr>
          <w:lang w:val="ru-RU"/>
        </w:rPr>
        <w:noBreakHyphen/>
      </w:r>
      <w:r>
        <w:rPr>
          <w:lang w:val="en-US"/>
        </w:rPr>
        <w:t>R F</w:t>
      </w:r>
      <w:r w:rsidRPr="001A0CCE">
        <w:rPr>
          <w:lang w:val="ru-RU"/>
        </w:rPr>
        <w:t>.695, МСЭ</w:t>
      </w:r>
      <w:r w:rsidRPr="001A0CCE">
        <w:rPr>
          <w:lang w:val="ru-RU"/>
        </w:rPr>
        <w:noBreakHyphen/>
      </w:r>
      <w:r>
        <w:rPr>
          <w:lang w:val="en-US"/>
        </w:rPr>
        <w:t>R F</w:t>
      </w:r>
      <w:r w:rsidRPr="001A0CCE">
        <w:rPr>
          <w:lang w:val="ru-RU"/>
        </w:rPr>
        <w:t>.696 и МСЭ</w:t>
      </w:r>
      <w:r w:rsidRPr="001A0CCE">
        <w:rPr>
          <w:lang w:val="ru-RU"/>
        </w:rPr>
        <w:noBreakHyphen/>
      </w:r>
      <w:r>
        <w:rPr>
          <w:lang w:val="en-US"/>
        </w:rPr>
        <w:t>R F</w:t>
      </w:r>
      <w:r w:rsidRPr="001A0CCE">
        <w:rPr>
          <w:lang w:val="ru-RU"/>
        </w:rPr>
        <w:t>.697 ограничивается системами, разработанными до утверждения настоящей Рекомендации. Примеры применения данной</w:t>
      </w:r>
      <w:r w:rsidR="00170309" w:rsidRPr="001A0CCE">
        <w:rPr>
          <w:lang w:val="ru-RU"/>
        </w:rPr>
        <w:t xml:space="preserve"> Рекомендации даны в Приложении</w:t>
      </w:r>
      <w:r w:rsidR="00170309">
        <w:t> </w:t>
      </w:r>
      <w:r w:rsidRPr="001A0CCE">
        <w:rPr>
          <w:lang w:val="ru-RU"/>
        </w:rPr>
        <w:t>1. Определения параметров, взятых из Рекомендации МСЭ</w:t>
      </w:r>
      <w:r w:rsidRPr="001A0CCE">
        <w:rPr>
          <w:lang w:val="ru-RU"/>
        </w:rPr>
        <w:noBreakHyphen/>
      </w:r>
      <w:r>
        <w:rPr>
          <w:lang w:val="en-US"/>
        </w:rPr>
        <w:t>T</w:t>
      </w:r>
      <w:r w:rsidRPr="001A0CCE">
        <w:rPr>
          <w:lang w:val="ru-RU"/>
        </w:rPr>
        <w:t xml:space="preserve"> </w:t>
      </w:r>
      <w:r>
        <w:rPr>
          <w:lang w:val="en-US"/>
        </w:rPr>
        <w:t>G</w:t>
      </w:r>
      <w:r w:rsidR="005151EF" w:rsidRPr="001A0CCE">
        <w:rPr>
          <w:lang w:val="ru-RU"/>
        </w:rPr>
        <w:t>.827, даны в</w:t>
      </w:r>
      <w:r w:rsidR="005151EF">
        <w:t> </w:t>
      </w:r>
      <w:r w:rsidR="005151EF" w:rsidRPr="001A0CCE">
        <w:rPr>
          <w:lang w:val="ru-RU"/>
        </w:rPr>
        <w:t>Приложении</w:t>
      </w:r>
      <w:r w:rsidR="005151EF">
        <w:t> </w:t>
      </w:r>
      <w:r w:rsidRPr="001A0CCE">
        <w:rPr>
          <w:lang w:val="ru-RU"/>
        </w:rPr>
        <w:t>2.</w:t>
      </w:r>
    </w:p>
    <w:p w:rsidR="002B753B" w:rsidRDefault="002B753B" w:rsidP="003829A6">
      <w:pPr>
        <w:pStyle w:val="Normalaftertitle"/>
        <w:rPr>
          <w:lang w:val="ru-RU"/>
        </w:rPr>
      </w:pPr>
      <w:r>
        <w:rPr>
          <w:lang w:val="ru-RU"/>
        </w:rPr>
        <w:t xml:space="preserve">Ассамблея </w:t>
      </w:r>
      <w:r w:rsidRPr="001A0CCE">
        <w:rPr>
          <w:lang w:val="ru-RU"/>
        </w:rPr>
        <w:t>радиосвязи</w:t>
      </w:r>
      <w:r>
        <w:rPr>
          <w:lang w:val="ru-RU"/>
        </w:rPr>
        <w:t xml:space="preserve"> МСЭ,</w:t>
      </w:r>
    </w:p>
    <w:p w:rsidR="002B753B" w:rsidRPr="002B753B" w:rsidRDefault="002B753B" w:rsidP="002B753B">
      <w:pPr>
        <w:pStyle w:val="Call"/>
        <w:rPr>
          <w:lang w:val="ru-RU"/>
        </w:rPr>
      </w:pPr>
      <w:r>
        <w:rPr>
          <w:lang w:val="ru-RU"/>
        </w:rPr>
        <w:t>учитывая</w:t>
      </w:r>
      <w:r w:rsidRPr="005151EF">
        <w:rPr>
          <w:i w:val="0"/>
          <w:iCs/>
          <w:lang w:val="ru-RU"/>
        </w:rPr>
        <w:t>,</w:t>
      </w:r>
    </w:p>
    <w:p w:rsidR="002B753B" w:rsidRDefault="002B753B" w:rsidP="002B753B">
      <w:pPr>
        <w:rPr>
          <w:lang w:val="ru-RU"/>
        </w:rPr>
      </w:pPr>
      <w:r w:rsidRPr="005151EF">
        <w:rPr>
          <w:i/>
          <w:iCs/>
          <w:lang w:val="en-US"/>
        </w:rPr>
        <w:t>a</w:t>
      </w:r>
      <w:r w:rsidRPr="005151EF">
        <w:rPr>
          <w:i/>
          <w:iCs/>
          <w:lang w:val="ru-RU"/>
        </w:rPr>
        <w:t>)</w:t>
      </w:r>
      <w:r>
        <w:rPr>
          <w:lang w:val="ru-RU"/>
        </w:rPr>
        <w:tab/>
        <w:t>что МСЭ</w:t>
      </w:r>
      <w:r>
        <w:rPr>
          <w:lang w:val="ru-RU"/>
        </w:rPr>
        <w:noBreakHyphen/>
      </w:r>
      <w:r>
        <w:rPr>
          <w:lang w:val="en-US"/>
        </w:rPr>
        <w:t>R </w:t>
      </w:r>
      <w:r>
        <w:rPr>
          <w:lang w:val="ru-RU"/>
        </w:rPr>
        <w:t>определил показатели качества по ошибкам для реальных цифровых радиорелейных линий, используемых на гипотетических эталонных трактах (ГЭТ) и соединениях длиной 27</w:t>
      </w:r>
      <w:r>
        <w:rPr>
          <w:rFonts w:ascii="Tms Rmn" w:hAnsi="Tms Rmn"/>
          <w:sz w:val="12"/>
          <w:lang w:val="en-US"/>
        </w:rPr>
        <w:t> </w:t>
      </w:r>
      <w:r>
        <w:rPr>
          <w:lang w:val="ru-RU"/>
        </w:rPr>
        <w:t>500</w:t>
      </w:r>
      <w:r>
        <w:rPr>
          <w:lang w:val="en-US"/>
        </w:rPr>
        <w:t> </w:t>
      </w:r>
      <w:r>
        <w:rPr>
          <w:lang w:val="ru-RU"/>
        </w:rPr>
        <w:t>км (см. Рекомендацию МСЭ</w:t>
      </w:r>
      <w:r>
        <w:rPr>
          <w:lang w:val="ru-RU"/>
        </w:rPr>
        <w:noBreakHyphen/>
      </w:r>
      <w:r>
        <w:rPr>
          <w:lang w:val="en-US"/>
        </w:rPr>
        <w:t>R F</w:t>
      </w:r>
      <w:r>
        <w:rPr>
          <w:lang w:val="ru-RU"/>
        </w:rPr>
        <w:t>.1668);</w:t>
      </w:r>
    </w:p>
    <w:p w:rsidR="002B753B" w:rsidRDefault="002B753B" w:rsidP="002B753B">
      <w:pPr>
        <w:rPr>
          <w:lang w:val="ru-RU"/>
        </w:rPr>
      </w:pPr>
      <w:r w:rsidRPr="005151EF">
        <w:rPr>
          <w:i/>
          <w:iCs/>
          <w:lang w:val="en-US"/>
        </w:rPr>
        <w:t>b</w:t>
      </w:r>
      <w:r w:rsidRPr="005151EF">
        <w:rPr>
          <w:i/>
          <w:iCs/>
          <w:lang w:val="ru-RU"/>
        </w:rPr>
        <w:t>)</w:t>
      </w:r>
      <w:r>
        <w:rPr>
          <w:lang w:val="ru-RU"/>
        </w:rPr>
        <w:tab/>
        <w:t>что МСЭ-Т определил параметры и показатели готовности как для элемента, так и для сквозных международных цифровых трактов с постоянной скоростью передачи, работающих с первичными или более высокими скоростями (см. Рекомендацию МСЭ</w:t>
      </w:r>
      <w:r>
        <w:rPr>
          <w:lang w:val="ru-RU"/>
        </w:rPr>
        <w:noBreakHyphen/>
      </w:r>
      <w:r>
        <w:rPr>
          <w:lang w:val="en-US"/>
        </w:rPr>
        <w:t>T</w:t>
      </w:r>
      <w:r>
        <w:rPr>
          <w:lang w:val="ru-RU"/>
        </w:rPr>
        <w:t xml:space="preserve"> </w:t>
      </w:r>
      <w:r>
        <w:rPr>
          <w:lang w:val="en-US"/>
        </w:rPr>
        <w:t>G</w:t>
      </w:r>
      <w:r>
        <w:rPr>
          <w:lang w:val="ru-RU"/>
        </w:rPr>
        <w:t>.827);</w:t>
      </w:r>
    </w:p>
    <w:p w:rsidR="002B753B" w:rsidRDefault="002B753B" w:rsidP="002B753B">
      <w:pPr>
        <w:rPr>
          <w:lang w:val="ru-RU"/>
        </w:rPr>
      </w:pPr>
      <w:r w:rsidRPr="005151EF">
        <w:rPr>
          <w:i/>
          <w:iCs/>
          <w:lang w:val="en-US"/>
        </w:rPr>
        <w:t>c</w:t>
      </w:r>
      <w:r w:rsidRPr="005151EF">
        <w:rPr>
          <w:i/>
          <w:iCs/>
          <w:lang w:val="ru-RU"/>
        </w:rPr>
        <w:t>)</w:t>
      </w:r>
      <w:r>
        <w:rPr>
          <w:lang w:val="ru-RU"/>
        </w:rPr>
        <w:tab/>
        <w:t>что цифровые радиорелейные системы играют важную роль в международных трактах;</w:t>
      </w:r>
    </w:p>
    <w:p w:rsidR="002B753B" w:rsidRDefault="002B753B" w:rsidP="002B753B">
      <w:pPr>
        <w:rPr>
          <w:lang w:val="ru-RU"/>
        </w:rPr>
      </w:pPr>
      <w:r w:rsidRPr="005151EF">
        <w:rPr>
          <w:i/>
          <w:iCs/>
          <w:lang w:val="en-US"/>
        </w:rPr>
        <w:t>d</w:t>
      </w:r>
      <w:r w:rsidRPr="005151EF">
        <w:rPr>
          <w:i/>
          <w:iCs/>
          <w:lang w:val="ru-RU"/>
        </w:rPr>
        <w:t>)</w:t>
      </w:r>
      <w:r>
        <w:rPr>
          <w:lang w:val="ru-RU"/>
        </w:rPr>
        <w:tab/>
        <w:t>что необходимо, чтобы готовность радиорелейных систем соответствовала показателям готовности, определенным в Рекомендации МСЭ-</w:t>
      </w:r>
      <w:r>
        <w:rPr>
          <w:lang w:val="en-US"/>
        </w:rPr>
        <w:t>T</w:t>
      </w:r>
      <w:r>
        <w:rPr>
          <w:lang w:val="ru-RU"/>
        </w:rPr>
        <w:t xml:space="preserve"> </w:t>
      </w:r>
      <w:r>
        <w:rPr>
          <w:lang w:val="en-US"/>
        </w:rPr>
        <w:t>G</w:t>
      </w:r>
      <w:r>
        <w:rPr>
          <w:lang w:val="ru-RU"/>
        </w:rPr>
        <w:t>.827;</w:t>
      </w:r>
    </w:p>
    <w:p w:rsidR="002B753B" w:rsidRDefault="002B753B" w:rsidP="002B753B">
      <w:pPr>
        <w:rPr>
          <w:lang w:val="ru-RU"/>
        </w:rPr>
      </w:pPr>
      <w:r w:rsidRPr="005151EF">
        <w:rPr>
          <w:i/>
          <w:iCs/>
          <w:lang w:val="en-US"/>
        </w:rPr>
        <w:t>e</w:t>
      </w:r>
      <w:r w:rsidRPr="005151EF">
        <w:rPr>
          <w:i/>
          <w:iCs/>
          <w:lang w:val="ru-RU"/>
        </w:rPr>
        <w:t>)</w:t>
      </w:r>
      <w:r>
        <w:rPr>
          <w:lang w:val="ru-RU"/>
        </w:rPr>
        <w:tab/>
        <w:t>что любой реальный тракт, линия или соединение для цифровой передачи данных могут быть реализованы с использованием линейной и/или избыточной</w:t>
      </w:r>
      <w:r>
        <w:rPr>
          <w:b/>
          <w:bCs/>
          <w:lang w:val="ru-RU"/>
        </w:rPr>
        <w:t xml:space="preserve"> </w:t>
      </w:r>
      <w:r>
        <w:rPr>
          <w:lang w:val="ru-RU"/>
        </w:rPr>
        <w:t>топологии, зависящей от потребностей поставщиков сети;</w:t>
      </w:r>
    </w:p>
    <w:p w:rsidR="002B753B" w:rsidRDefault="002B753B" w:rsidP="002B753B">
      <w:pPr>
        <w:rPr>
          <w:lang w:val="ru-RU"/>
        </w:rPr>
      </w:pPr>
      <w:r w:rsidRPr="005151EF">
        <w:rPr>
          <w:i/>
          <w:iCs/>
          <w:lang w:val="en-US"/>
        </w:rPr>
        <w:t>f</w:t>
      </w:r>
      <w:r w:rsidRPr="005151EF">
        <w:rPr>
          <w:i/>
          <w:iCs/>
          <w:lang w:val="ru-RU"/>
        </w:rPr>
        <w:t>)</w:t>
      </w:r>
      <w:r>
        <w:rPr>
          <w:lang w:val="ru-RU"/>
        </w:rPr>
        <w:tab/>
        <w:t>что цифровые радиорелейные системы могут использоваться в промежуточных и оконечных странах международного тракта;</w:t>
      </w:r>
    </w:p>
    <w:p w:rsidR="002B753B" w:rsidRDefault="002B753B" w:rsidP="002B753B">
      <w:pPr>
        <w:rPr>
          <w:lang w:val="ru-RU"/>
        </w:rPr>
      </w:pPr>
      <w:r w:rsidRPr="005151EF">
        <w:rPr>
          <w:i/>
          <w:iCs/>
          <w:lang w:val="en-US"/>
        </w:rPr>
        <w:t>g</w:t>
      </w:r>
      <w:r w:rsidRPr="005151EF">
        <w:rPr>
          <w:i/>
          <w:iCs/>
          <w:lang w:val="ru-RU"/>
        </w:rPr>
        <w:t>)</w:t>
      </w:r>
      <w:r>
        <w:rPr>
          <w:lang w:val="ru-RU"/>
        </w:rPr>
        <w:tab/>
        <w:t>что для целей настоящей Рекомендации национальный участок ГЭТ длиной 27</w:t>
      </w:r>
      <w:r>
        <w:rPr>
          <w:rFonts w:ascii="Tms Rmn" w:hAnsi="Tms Rmn"/>
          <w:sz w:val="12"/>
          <w:lang w:val="en-US"/>
        </w:rPr>
        <w:t> </w:t>
      </w:r>
      <w:r>
        <w:rPr>
          <w:lang w:val="ru-RU"/>
        </w:rPr>
        <w:t>500</w:t>
      </w:r>
      <w:r>
        <w:rPr>
          <w:lang w:val="en-US"/>
        </w:rPr>
        <w:t> </w:t>
      </w:r>
      <w:r>
        <w:rPr>
          <w:lang w:val="ru-RU"/>
        </w:rPr>
        <w:t>км может быть разделен на три основных секции (см. рисунок</w:t>
      </w:r>
      <w:r>
        <w:rPr>
          <w:lang w:val="en-US"/>
        </w:rPr>
        <w:t> </w:t>
      </w:r>
      <w:r>
        <w:rPr>
          <w:lang w:val="ru-RU"/>
        </w:rPr>
        <w:t>1);</w:t>
      </w:r>
    </w:p>
    <w:bookmarkStart w:id="1" w:name="_MON_1174481119"/>
    <w:bookmarkStart w:id="2" w:name="_MON_1175938754"/>
    <w:bookmarkStart w:id="3" w:name="_MON_1176731900"/>
    <w:bookmarkStart w:id="4" w:name="_MON_1176898938"/>
    <w:bookmarkStart w:id="5" w:name="_MON_1176899515"/>
    <w:bookmarkEnd w:id="1"/>
    <w:bookmarkEnd w:id="2"/>
    <w:bookmarkEnd w:id="3"/>
    <w:bookmarkEnd w:id="4"/>
    <w:bookmarkEnd w:id="5"/>
    <w:bookmarkStart w:id="6" w:name="_MON_1174468564"/>
    <w:bookmarkEnd w:id="6"/>
    <w:p w:rsidR="002B753B" w:rsidRDefault="002B753B" w:rsidP="002B753B">
      <w:pPr>
        <w:pStyle w:val="FigureNo"/>
      </w:pPr>
      <w:r>
        <w:object w:dxaOrig="8317" w:dyaOrig="6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338.25pt" o:ole="">
            <v:imagedata r:id="rId8" o:title=""/>
          </v:shape>
          <o:OLEObject Type="Embed" ProgID="Word.Picture.8" ShapeID="_x0000_i1025" DrawAspect="Content" ObjectID="_1478096287" r:id="rId9"/>
        </w:object>
      </w:r>
    </w:p>
    <w:p w:rsidR="003829A6" w:rsidRPr="003829A6" w:rsidRDefault="003829A6" w:rsidP="003829A6"/>
    <w:p w:rsidR="002B753B" w:rsidRDefault="002B753B" w:rsidP="002B753B">
      <w:pPr>
        <w:rPr>
          <w:lang w:val="ru-RU"/>
        </w:rPr>
      </w:pPr>
      <w:r w:rsidRPr="00420994">
        <w:rPr>
          <w:i/>
          <w:iCs/>
          <w:lang w:val="en-US"/>
        </w:rPr>
        <w:t>h</w:t>
      </w:r>
      <w:r w:rsidRPr="00420994">
        <w:rPr>
          <w:i/>
          <w:iCs/>
          <w:lang w:val="ru-RU"/>
        </w:rPr>
        <w:t>)</w:t>
      </w:r>
      <w:r>
        <w:rPr>
          <w:lang w:val="ru-RU"/>
        </w:rPr>
        <w:tab/>
        <w:t>что для элементов цифрового тракта с постоянной скоростью передачи, равной или превышающей первичную скорость, в Рекомендации МСЭ</w:t>
      </w:r>
      <w:r>
        <w:rPr>
          <w:lang w:val="ru-RU"/>
        </w:rPr>
        <w:noBreakHyphen/>
      </w:r>
      <w:r>
        <w:rPr>
          <w:lang w:val="en-US"/>
        </w:rPr>
        <w:t>T</w:t>
      </w:r>
      <w:r>
        <w:rPr>
          <w:lang w:val="ru-RU"/>
        </w:rPr>
        <w:t xml:space="preserve"> </w:t>
      </w:r>
      <w:r>
        <w:rPr>
          <w:lang w:val="en-US"/>
        </w:rPr>
        <w:t>G</w:t>
      </w:r>
      <w:r>
        <w:rPr>
          <w:lang w:val="ru-RU"/>
        </w:rPr>
        <w:t>.827 определено фиксированное распределение блоков плюс зависящие от расстояния распределения показателей готовности;</w:t>
      </w:r>
    </w:p>
    <w:p w:rsidR="002B753B" w:rsidRDefault="002B753B" w:rsidP="002B753B">
      <w:pPr>
        <w:rPr>
          <w:lang w:val="ru-RU"/>
        </w:rPr>
      </w:pPr>
      <w:r w:rsidRPr="00420994">
        <w:rPr>
          <w:i/>
          <w:iCs/>
          <w:lang w:val="en-US"/>
        </w:rPr>
        <w:t>j</w:t>
      </w:r>
      <w:r w:rsidRPr="00420994">
        <w:rPr>
          <w:i/>
          <w:iCs/>
          <w:lang w:val="ru-RU"/>
        </w:rPr>
        <w:t>)</w:t>
      </w:r>
      <w:r>
        <w:rPr>
          <w:lang w:val="ru-RU"/>
        </w:rPr>
        <w:tab/>
        <w:t>что имеется потребность в определении показателей готовности для реальных цифровых радиолиний с целью обеспечения надлежащего проектирования радиорелейных линий;</w:t>
      </w:r>
    </w:p>
    <w:p w:rsidR="002B753B" w:rsidRDefault="002B753B" w:rsidP="002B753B">
      <w:pPr>
        <w:rPr>
          <w:lang w:val="ru-RU"/>
        </w:rPr>
      </w:pPr>
      <w:r w:rsidRPr="00420994">
        <w:rPr>
          <w:i/>
          <w:iCs/>
          <w:lang w:val="en-US"/>
        </w:rPr>
        <w:t>k</w:t>
      </w:r>
      <w:r w:rsidRPr="00420994">
        <w:rPr>
          <w:i/>
          <w:iCs/>
          <w:lang w:val="ru-RU"/>
        </w:rPr>
        <w:t>)</w:t>
      </w:r>
      <w:r>
        <w:rPr>
          <w:lang w:val="ru-RU"/>
        </w:rPr>
        <w:tab/>
        <w:t>что причиной неготовности радиорелейных систем могут быть явления распространения радиоволн, неисправность оборудования, вмешательство людей, помехи и др.;</w:t>
      </w:r>
    </w:p>
    <w:p w:rsidR="002B753B" w:rsidRDefault="002B753B" w:rsidP="002B753B">
      <w:pPr>
        <w:rPr>
          <w:lang w:val="ru-RU"/>
        </w:rPr>
      </w:pPr>
      <w:r w:rsidRPr="00420994">
        <w:rPr>
          <w:i/>
          <w:iCs/>
          <w:lang w:val="en-US"/>
        </w:rPr>
        <w:t>l</w:t>
      </w:r>
      <w:r w:rsidRPr="00420994">
        <w:rPr>
          <w:i/>
          <w:iCs/>
          <w:lang w:val="ru-RU"/>
        </w:rPr>
        <w:t>)</w:t>
      </w:r>
      <w:r>
        <w:rPr>
          <w:lang w:val="ru-RU"/>
        </w:rPr>
        <w:tab/>
        <w:t>что для целей проектирования необходимы параметры неготовности, коэффициент готовности (</w:t>
      </w:r>
      <w:r>
        <w:rPr>
          <w:lang w:val="en-US"/>
        </w:rPr>
        <w:t>AR</w:t>
      </w:r>
      <w:r>
        <w:rPr>
          <w:lang w:val="ru-RU"/>
        </w:rPr>
        <w:t>) и среднее время между отказами (</w:t>
      </w:r>
      <w:r>
        <w:rPr>
          <w:lang w:val="en-US"/>
        </w:rPr>
        <w:t>Mo</w:t>
      </w:r>
      <w:r>
        <w:rPr>
          <w:lang w:val="ru-RU"/>
        </w:rPr>
        <w:t xml:space="preserve">) или его эквивалент </w:t>
      </w:r>
      <w:r>
        <w:rPr>
          <w:lang w:val="ru-RU"/>
        </w:rPr>
        <w:sym w:font="Symbol" w:char="F02D"/>
      </w:r>
      <w:r>
        <w:rPr>
          <w:lang w:val="ru-RU"/>
        </w:rPr>
        <w:t xml:space="preserve"> интенсивность отказов (</w:t>
      </w:r>
      <w:r>
        <w:rPr>
          <w:lang w:val="en-US"/>
        </w:rPr>
        <w:t>OI</w:t>
      </w:r>
      <w:r>
        <w:rPr>
          <w:lang w:val="ru-RU"/>
        </w:rPr>
        <w:t>),</w:t>
      </w:r>
    </w:p>
    <w:p w:rsidR="002B753B" w:rsidRPr="002B753B" w:rsidRDefault="002B753B" w:rsidP="002B753B">
      <w:pPr>
        <w:pStyle w:val="Call"/>
        <w:rPr>
          <w:lang w:val="ru-RU"/>
        </w:rPr>
      </w:pPr>
      <w:r>
        <w:rPr>
          <w:lang w:val="ru-RU"/>
        </w:rPr>
        <w:t>рекомендует</w:t>
      </w:r>
      <w:r w:rsidRPr="0022094F">
        <w:rPr>
          <w:i w:val="0"/>
          <w:iCs/>
          <w:lang w:val="ru-RU"/>
        </w:rPr>
        <w:t>,</w:t>
      </w:r>
    </w:p>
    <w:p w:rsidR="002B753B" w:rsidRDefault="002B753B" w:rsidP="002B753B">
      <w:pPr>
        <w:rPr>
          <w:lang w:val="ru-RU"/>
        </w:rPr>
      </w:pPr>
      <w:r>
        <w:rPr>
          <w:b/>
          <w:bCs/>
          <w:lang w:val="ru-RU"/>
        </w:rPr>
        <w:t>1</w:t>
      </w:r>
      <w:r>
        <w:rPr>
          <w:lang w:val="ru-RU"/>
        </w:rPr>
        <w:tab/>
        <w:t>что показатели готовности, применимые для любой реальной цифровой радиорелейной линии, входящей в состав международного участка или принадлежащей длиннопролетному участку сети национального участка международного цифрового тракта и соединения с постоянной скоростью передачи, должны быть распределены по принципу фиксированного распределения блоков плюс распределения, зависящего от расстояния;</w:t>
      </w:r>
    </w:p>
    <w:p w:rsidR="002B753B" w:rsidRDefault="002B753B" w:rsidP="002B753B">
      <w:pPr>
        <w:rPr>
          <w:lang w:val="ru-RU"/>
        </w:rPr>
      </w:pPr>
      <w:r>
        <w:rPr>
          <w:b/>
          <w:bCs/>
          <w:lang w:val="ru-RU"/>
        </w:rPr>
        <w:t>2</w:t>
      </w:r>
      <w:r>
        <w:rPr>
          <w:lang w:val="ru-RU"/>
        </w:rPr>
        <w:tab/>
        <w:t>что показатели готовности, применимые для любой реальной цифровой радиолинии, принадлежащей секции сети доступа и короткопролетной секции сети национального участка международного цифрового тракта и соединения с постоянной скоростью передачи должны быть распределены по принципу фиксированного распределения блоков (то есть независимо от длины);</w:t>
      </w:r>
    </w:p>
    <w:p w:rsidR="004D1C64" w:rsidRDefault="004D1C64">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rsidR="002B753B" w:rsidRDefault="002B753B" w:rsidP="002B753B">
      <w:pPr>
        <w:rPr>
          <w:lang w:val="ru-RU"/>
        </w:rPr>
      </w:pPr>
      <w:r>
        <w:rPr>
          <w:b/>
          <w:bCs/>
          <w:lang w:val="ru-RU"/>
        </w:rPr>
        <w:lastRenderedPageBreak/>
        <w:t>3</w:t>
      </w:r>
      <w:r>
        <w:rPr>
          <w:lang w:val="ru-RU"/>
        </w:rPr>
        <w:tab/>
        <w:t xml:space="preserve">что показатели готовности, применимые для каждого направления радиорелейной линии длиной </w:t>
      </w:r>
      <w:r>
        <w:rPr>
          <w:i/>
          <w:iCs/>
          <w:lang w:val="en-US"/>
        </w:rPr>
        <w:t>L</w:t>
      </w:r>
      <w:r>
        <w:rPr>
          <w:i/>
          <w:iCs/>
          <w:position w:val="-4"/>
          <w:sz w:val="16"/>
          <w:lang w:val="en-US"/>
        </w:rPr>
        <w:t>link</w:t>
      </w:r>
      <w:r>
        <w:rPr>
          <w:lang w:val="ru-RU"/>
        </w:rPr>
        <w:t>, могут быть получены из значений, приведенных в таблицах</w:t>
      </w:r>
      <w:r>
        <w:rPr>
          <w:lang w:val="en-US"/>
        </w:rPr>
        <w:t> </w:t>
      </w:r>
      <w:r>
        <w:rPr>
          <w:lang w:val="ru-RU"/>
        </w:rPr>
        <w:t>1, 2, 3 и 4 с использованием уравнений</w:t>
      </w:r>
      <w:r>
        <w:rPr>
          <w:lang w:val="en-US"/>
        </w:rPr>
        <w:t> </w:t>
      </w:r>
      <w:r>
        <w:rPr>
          <w:lang w:val="ru-RU"/>
        </w:rPr>
        <w:t>(1) и</w:t>
      </w:r>
      <w:r>
        <w:rPr>
          <w:lang w:val="en-US"/>
        </w:rPr>
        <w:t> </w:t>
      </w:r>
      <w:r>
        <w:rPr>
          <w:lang w:val="ru-RU"/>
        </w:rPr>
        <w:t xml:space="preserve">(2) для величин </w:t>
      </w:r>
      <w:r>
        <w:rPr>
          <w:lang w:val="en-US"/>
        </w:rPr>
        <w:t>AR</w:t>
      </w:r>
      <w:r>
        <w:rPr>
          <w:lang w:val="ru-RU"/>
        </w:rPr>
        <w:t xml:space="preserve"> и </w:t>
      </w:r>
      <w:r>
        <w:rPr>
          <w:lang w:val="en-US"/>
        </w:rPr>
        <w:t>Mo</w:t>
      </w:r>
      <w:r>
        <w:rPr>
          <w:lang w:val="ru-RU"/>
        </w:rPr>
        <w:t xml:space="preserve">, либо для эквивалента </w:t>
      </w:r>
      <w:r>
        <w:rPr>
          <w:lang w:val="en-US"/>
        </w:rPr>
        <w:t>Mo</w:t>
      </w:r>
      <w:r>
        <w:rPr>
          <w:lang w:val="ru-RU"/>
        </w:rPr>
        <w:t>, определенного как показатель </w:t>
      </w:r>
      <w:r>
        <w:rPr>
          <w:lang w:val="en-US"/>
        </w:rPr>
        <w:t>OI</w:t>
      </w:r>
      <w:r>
        <w:rPr>
          <w:lang w:val="ru-RU"/>
        </w:rPr>
        <w:t>, соответственно;</w:t>
      </w:r>
    </w:p>
    <w:p w:rsidR="002B753B" w:rsidRPr="002B753B" w:rsidRDefault="002B753B" w:rsidP="002B753B">
      <w:pPr>
        <w:pStyle w:val="Equation"/>
        <w:spacing w:before="240"/>
        <w:rPr>
          <w:lang w:val="ru-RU"/>
        </w:rPr>
      </w:pPr>
      <w:r>
        <w:rPr>
          <w:lang w:val="ru-RU"/>
        </w:rPr>
        <w:tab/>
      </w:r>
      <w:r>
        <w:rPr>
          <w:lang w:val="ru-RU"/>
        </w:rPr>
        <w:tab/>
      </w:r>
      <w:r>
        <w:rPr>
          <w:position w:val="-36"/>
        </w:rPr>
        <w:object w:dxaOrig="2600" w:dyaOrig="820">
          <v:shape id="_x0000_i1026" type="#_x0000_t75" style="width:129.75pt;height:40.75pt" o:ole="">
            <v:imagedata r:id="rId10" o:title=""/>
          </v:shape>
          <o:OLEObject Type="Embed" ProgID="Equation.3" ShapeID="_x0000_i1026" DrawAspect="Content" ObjectID="_1478096288" r:id="rId11"/>
        </w:object>
      </w:r>
      <w:r w:rsidRPr="002B753B">
        <w:rPr>
          <w:lang w:val="ru-RU"/>
        </w:rPr>
        <w:tab/>
        <w:t>(1)</w:t>
      </w:r>
    </w:p>
    <w:p w:rsidR="002B753B" w:rsidRPr="002B753B" w:rsidRDefault="002B753B" w:rsidP="002B753B">
      <w:pPr>
        <w:pStyle w:val="Equation"/>
        <w:spacing w:before="0"/>
        <w:rPr>
          <w:lang w:val="ru-RU"/>
        </w:rPr>
      </w:pPr>
      <w:r w:rsidRPr="002B753B">
        <w:rPr>
          <w:lang w:val="ru-RU"/>
        </w:rPr>
        <w:tab/>
      </w:r>
      <w:r w:rsidRPr="002B753B">
        <w:rPr>
          <w:lang w:val="ru-RU"/>
        </w:rPr>
        <w:tab/>
      </w:r>
      <w:r>
        <w:rPr>
          <w:position w:val="-66"/>
        </w:rPr>
        <w:object w:dxaOrig="2980" w:dyaOrig="1020">
          <v:shape id="_x0000_i1027" type="#_x0000_t75" style="width:148.75pt;height:50.95pt" o:ole="">
            <v:imagedata r:id="rId12" o:title=""/>
          </v:shape>
          <o:OLEObject Type="Embed" ProgID="Equation.3" ShapeID="_x0000_i1027" DrawAspect="Content" ObjectID="_1478096289" r:id="rId13"/>
        </w:object>
      </w:r>
      <w:r w:rsidRPr="002B753B">
        <w:rPr>
          <w:lang w:val="ru-RU"/>
        </w:rPr>
        <w:t>,</w:t>
      </w:r>
      <w:r w:rsidRPr="002B753B">
        <w:rPr>
          <w:lang w:val="ru-RU"/>
        </w:rPr>
        <w:tab/>
        <w:t>(2)</w:t>
      </w:r>
    </w:p>
    <w:p w:rsidR="002B753B" w:rsidRPr="002B753B" w:rsidRDefault="002B753B" w:rsidP="002B753B">
      <w:pPr>
        <w:rPr>
          <w:lang w:val="ru-RU"/>
        </w:rPr>
      </w:pPr>
      <w:r>
        <w:rPr>
          <w:lang w:val="ru-RU"/>
        </w:rPr>
        <w:t>где</w:t>
      </w:r>
      <w:r w:rsidRPr="002B753B">
        <w:rPr>
          <w:lang w:val="ru-RU"/>
        </w:rPr>
        <w:t>:</w:t>
      </w:r>
    </w:p>
    <w:p w:rsidR="002B753B" w:rsidRDefault="002B753B" w:rsidP="002B753B">
      <w:pPr>
        <w:pStyle w:val="enumlev1"/>
        <w:tabs>
          <w:tab w:val="left" w:pos="2835"/>
          <w:tab w:val="left" w:pos="3686"/>
          <w:tab w:val="left" w:pos="4480"/>
          <w:tab w:val="left" w:pos="4718"/>
          <w:tab w:val="left" w:pos="5222"/>
          <w:tab w:val="left" w:pos="5460"/>
          <w:tab w:val="right" w:pos="9639"/>
        </w:tabs>
        <w:ind w:left="2160" w:hanging="2160"/>
        <w:jc w:val="left"/>
        <w:rPr>
          <w:lang w:val="ru-RU"/>
        </w:rPr>
      </w:pPr>
      <w:r>
        <w:rPr>
          <w:lang w:val="ru-RU"/>
        </w:rPr>
        <w:t xml:space="preserve">величина </w:t>
      </w:r>
      <w:r>
        <w:rPr>
          <w:i/>
          <w:iCs/>
          <w:lang w:val="en-US"/>
        </w:rPr>
        <w:t>j</w:t>
      </w:r>
      <w:r>
        <w:rPr>
          <w:lang w:val="ru-RU"/>
        </w:rPr>
        <w:t xml:space="preserve"> равна: </w:t>
      </w:r>
      <w:r>
        <w:rPr>
          <w:lang w:val="ru-RU"/>
        </w:rPr>
        <w:tab/>
      </w:r>
      <w:r>
        <w:rPr>
          <w:lang w:val="ru-RU"/>
        </w:rPr>
        <w:tab/>
        <w:t>для международного участка:</w:t>
      </w:r>
    </w:p>
    <w:p w:rsidR="002B753B" w:rsidRDefault="002B753B" w:rsidP="00ED2104">
      <w:pPr>
        <w:pStyle w:val="enumlev1"/>
        <w:tabs>
          <w:tab w:val="clear" w:pos="1985"/>
          <w:tab w:val="left" w:pos="2835"/>
          <w:tab w:val="left" w:pos="3686"/>
          <w:tab w:val="left" w:pos="4320"/>
          <w:tab w:val="left" w:pos="4578"/>
          <w:tab w:val="left" w:pos="5110"/>
          <w:tab w:val="left" w:pos="5362"/>
          <w:tab w:val="right" w:pos="9639"/>
        </w:tabs>
        <w:ind w:left="2160" w:hanging="2160"/>
        <w:jc w:val="left"/>
        <w:rPr>
          <w:lang w:val="ru-RU"/>
        </w:rPr>
      </w:pPr>
      <w:r>
        <w:rPr>
          <w:lang w:val="ru-RU"/>
        </w:rPr>
        <w:tab/>
      </w:r>
      <w:r>
        <w:rPr>
          <w:lang w:val="ru-RU"/>
        </w:rPr>
        <w:tab/>
      </w:r>
      <w:r>
        <w:rPr>
          <w:lang w:val="ru-RU"/>
        </w:rPr>
        <w:tab/>
      </w:r>
      <w:r>
        <w:rPr>
          <w:lang w:val="ru-RU"/>
        </w:rPr>
        <w:tab/>
        <w:t>1</w:t>
      </w:r>
      <w:r>
        <w:rPr>
          <w:lang w:val="ru-RU"/>
        </w:rPr>
        <w:tab/>
        <w:t xml:space="preserve">для </w:t>
      </w:r>
      <w:r>
        <w:rPr>
          <w:i/>
          <w:iCs/>
          <w:lang w:val="en-US"/>
        </w:rPr>
        <w:t>L</w:t>
      </w:r>
      <w:r w:rsidRPr="00A92CAB">
        <w:rPr>
          <w:i/>
          <w:iCs/>
          <w:position w:val="-4"/>
          <w:sz w:val="18"/>
          <w:szCs w:val="18"/>
          <w:lang w:val="en-US"/>
        </w:rPr>
        <w:t>min</w:t>
      </w:r>
      <w:r>
        <w:rPr>
          <w:lang w:val="ru-RU"/>
        </w:rPr>
        <w:tab/>
      </w:r>
      <w:r>
        <w:rPr>
          <w:lang w:val="ru-RU"/>
        </w:rPr>
        <w:tab/>
      </w:r>
      <w:r>
        <w:rPr>
          <w:rFonts w:ascii="Symbol" w:hAnsi="Symbol"/>
        </w:rPr>
        <w:t></w:t>
      </w:r>
      <w:r>
        <w:rPr>
          <w:lang w:val="ru-RU"/>
        </w:rPr>
        <w:tab/>
      </w:r>
      <w:r>
        <w:rPr>
          <w:i/>
          <w:iCs/>
          <w:lang w:val="en-US"/>
        </w:rPr>
        <w:t>L</w:t>
      </w:r>
      <w:r>
        <w:rPr>
          <w:i/>
          <w:iCs/>
          <w:position w:val="-4"/>
          <w:sz w:val="18"/>
          <w:lang w:val="en-US"/>
        </w:rPr>
        <w:t>link</w:t>
      </w:r>
      <w:r>
        <w:rPr>
          <w:i/>
          <w:iCs/>
          <w:position w:val="-4"/>
          <w:lang w:val="ru-RU"/>
        </w:rPr>
        <w:tab/>
      </w:r>
      <w:r>
        <w:rPr>
          <w:rFonts w:ascii="Symbol" w:hAnsi="Symbol"/>
        </w:rPr>
        <w:t></w:t>
      </w:r>
      <w:r w:rsidRPr="002B753B">
        <w:rPr>
          <w:rFonts w:ascii="Symbol" w:hAnsi="Symbol"/>
          <w:lang w:val="ru-RU"/>
        </w:rPr>
        <w:tab/>
      </w:r>
      <w:r>
        <w:rPr>
          <w:lang w:val="ru-RU"/>
        </w:rPr>
        <w:t>250</w:t>
      </w:r>
      <w:r>
        <w:rPr>
          <w:lang w:val="en-US"/>
        </w:rPr>
        <w:t> </w:t>
      </w:r>
      <w:r>
        <w:rPr>
          <w:lang w:val="ru-RU"/>
        </w:rPr>
        <w:t>км</w:t>
      </w:r>
      <w:r>
        <w:rPr>
          <w:lang w:val="ru-RU"/>
        </w:rPr>
        <w:br/>
        <w:t>2</w:t>
      </w:r>
      <w:r>
        <w:rPr>
          <w:lang w:val="ru-RU"/>
        </w:rPr>
        <w:tab/>
        <w:t>для 250</w:t>
      </w:r>
      <w:r>
        <w:rPr>
          <w:lang w:val="en-US"/>
        </w:rPr>
        <w:t> </w:t>
      </w:r>
      <w:r>
        <w:rPr>
          <w:lang w:val="ru-RU"/>
        </w:rPr>
        <w:t>км</w:t>
      </w:r>
      <w:r>
        <w:rPr>
          <w:lang w:val="ru-RU"/>
        </w:rPr>
        <w:tab/>
      </w:r>
      <w:r>
        <w:rPr>
          <w:rFonts w:ascii="Symbol" w:hAnsi="Symbol"/>
        </w:rPr>
        <w:t></w:t>
      </w:r>
      <w:r>
        <w:rPr>
          <w:lang w:val="ru-RU"/>
        </w:rPr>
        <w:tab/>
      </w:r>
      <w:r>
        <w:rPr>
          <w:i/>
          <w:iCs/>
          <w:lang w:val="en-US"/>
        </w:rPr>
        <w:t>L</w:t>
      </w:r>
      <w:r>
        <w:rPr>
          <w:i/>
          <w:iCs/>
          <w:position w:val="-4"/>
          <w:sz w:val="18"/>
          <w:lang w:val="en-US"/>
        </w:rPr>
        <w:t>link</w:t>
      </w:r>
      <w:r>
        <w:rPr>
          <w:lang w:val="ru-RU"/>
        </w:rPr>
        <w:tab/>
      </w:r>
      <w:r>
        <w:rPr>
          <w:rFonts w:ascii="Symbol" w:hAnsi="Symbol"/>
        </w:rPr>
        <w:t></w:t>
      </w:r>
      <w:r>
        <w:rPr>
          <w:lang w:val="ru-RU"/>
        </w:rPr>
        <w:tab/>
        <w:t>2500</w:t>
      </w:r>
      <w:r>
        <w:rPr>
          <w:lang w:val="en-US"/>
        </w:rPr>
        <w:t> </w:t>
      </w:r>
      <w:r>
        <w:rPr>
          <w:lang w:val="ru-RU"/>
        </w:rPr>
        <w:t>км</w:t>
      </w:r>
      <w:r>
        <w:rPr>
          <w:lang w:val="ru-RU"/>
        </w:rPr>
        <w:br/>
        <w:t>3</w:t>
      </w:r>
      <w:r>
        <w:rPr>
          <w:lang w:val="ru-RU"/>
        </w:rPr>
        <w:tab/>
        <w:t>для 2500</w:t>
      </w:r>
      <w:r>
        <w:rPr>
          <w:lang w:val="en-US"/>
        </w:rPr>
        <w:t> </w:t>
      </w:r>
      <w:r>
        <w:rPr>
          <w:lang w:val="ru-RU"/>
        </w:rPr>
        <w:t>км</w:t>
      </w:r>
      <w:r>
        <w:rPr>
          <w:lang w:val="ru-RU"/>
        </w:rPr>
        <w:tab/>
      </w:r>
      <w:r>
        <w:rPr>
          <w:rFonts w:ascii="Symbol" w:hAnsi="Symbol"/>
        </w:rPr>
        <w:t></w:t>
      </w:r>
      <w:r>
        <w:rPr>
          <w:lang w:val="ru-RU"/>
        </w:rPr>
        <w:tab/>
      </w:r>
      <w:r>
        <w:rPr>
          <w:i/>
          <w:iCs/>
          <w:lang w:val="en-US"/>
        </w:rPr>
        <w:t>L</w:t>
      </w:r>
      <w:r>
        <w:rPr>
          <w:i/>
          <w:iCs/>
          <w:position w:val="-4"/>
          <w:sz w:val="18"/>
          <w:lang w:val="en-US"/>
        </w:rPr>
        <w:t>link</w:t>
      </w:r>
      <w:r>
        <w:rPr>
          <w:lang w:val="ru-RU"/>
        </w:rPr>
        <w:tab/>
      </w:r>
      <w:r>
        <w:rPr>
          <w:rFonts w:ascii="Symbol" w:hAnsi="Symbol"/>
        </w:rPr>
        <w:t></w:t>
      </w:r>
      <w:r>
        <w:rPr>
          <w:lang w:val="ru-RU"/>
        </w:rPr>
        <w:tab/>
        <w:t>7500</w:t>
      </w:r>
      <w:r>
        <w:rPr>
          <w:lang w:val="en-US"/>
        </w:rPr>
        <w:t> </w:t>
      </w:r>
      <w:r>
        <w:rPr>
          <w:lang w:val="ru-RU"/>
        </w:rPr>
        <w:t>км</w:t>
      </w:r>
      <w:r>
        <w:rPr>
          <w:lang w:val="ru-RU"/>
        </w:rPr>
        <w:br/>
        <w:t>4</w:t>
      </w:r>
      <w:r>
        <w:rPr>
          <w:lang w:val="ru-RU"/>
        </w:rPr>
        <w:tab/>
        <w:t xml:space="preserve">для </w:t>
      </w:r>
      <w:r>
        <w:rPr>
          <w:lang w:val="ru-RU"/>
        </w:rPr>
        <w:tab/>
      </w:r>
      <w:r>
        <w:rPr>
          <w:lang w:val="ru-RU"/>
        </w:rPr>
        <w:tab/>
      </w:r>
      <w:r>
        <w:rPr>
          <w:lang w:val="ru-RU"/>
        </w:rPr>
        <w:tab/>
      </w:r>
      <w:r>
        <w:rPr>
          <w:i/>
          <w:iCs/>
          <w:lang w:val="en-US"/>
        </w:rPr>
        <w:t>L</w:t>
      </w:r>
      <w:r>
        <w:rPr>
          <w:i/>
          <w:iCs/>
          <w:position w:val="-4"/>
          <w:sz w:val="18"/>
          <w:lang w:val="en-US"/>
        </w:rPr>
        <w:t>link</w:t>
      </w:r>
      <w:r>
        <w:rPr>
          <w:lang w:val="ru-RU"/>
        </w:rPr>
        <w:tab/>
      </w:r>
      <w:r>
        <w:rPr>
          <w:rFonts w:ascii="Symbol" w:hAnsi="Symbol"/>
        </w:rPr>
        <w:t></w:t>
      </w:r>
      <w:r>
        <w:rPr>
          <w:lang w:val="ru-RU"/>
        </w:rPr>
        <w:tab/>
        <w:t>7500</w:t>
      </w:r>
      <w:r>
        <w:rPr>
          <w:lang w:val="en-US"/>
        </w:rPr>
        <w:t> </w:t>
      </w:r>
      <w:r>
        <w:rPr>
          <w:lang w:val="ru-RU"/>
        </w:rPr>
        <w:t>км</w:t>
      </w:r>
    </w:p>
    <w:p w:rsidR="002B753B" w:rsidRDefault="002B753B" w:rsidP="002B753B">
      <w:pPr>
        <w:rPr>
          <w:lang w:val="ru-RU"/>
        </w:rPr>
      </w:pPr>
      <w:r>
        <w:rPr>
          <w:lang w:val="ru-RU"/>
        </w:rPr>
        <w:tab/>
      </w:r>
      <w:r>
        <w:rPr>
          <w:lang w:val="ru-RU"/>
        </w:rPr>
        <w:tab/>
      </w:r>
      <w:r>
        <w:rPr>
          <w:lang w:val="ru-RU"/>
        </w:rPr>
        <w:tab/>
      </w:r>
      <w:r>
        <w:rPr>
          <w:lang w:val="ru-RU"/>
        </w:rPr>
        <w:tab/>
      </w:r>
      <w:r>
        <w:rPr>
          <w:lang w:val="ru-RU"/>
        </w:rPr>
        <w:tab/>
        <w:t>для секций национального участка:</w:t>
      </w:r>
    </w:p>
    <w:p w:rsidR="002B753B" w:rsidRDefault="002B753B" w:rsidP="00ED2104">
      <w:pPr>
        <w:pStyle w:val="enumlev1"/>
        <w:tabs>
          <w:tab w:val="left" w:pos="2835"/>
          <w:tab w:val="left" w:pos="3686"/>
          <w:tab w:val="left" w:pos="4320"/>
          <w:tab w:val="left" w:pos="4578"/>
          <w:tab w:val="left" w:pos="5110"/>
          <w:tab w:val="left" w:pos="5362"/>
          <w:tab w:val="right" w:pos="9639"/>
        </w:tabs>
        <w:ind w:left="2160" w:hanging="2160"/>
        <w:jc w:val="left"/>
        <w:rPr>
          <w:lang w:val="ru-RU"/>
        </w:rPr>
      </w:pPr>
      <w:r>
        <w:rPr>
          <w:i/>
          <w:iCs/>
          <w:lang w:val="ru-RU"/>
        </w:rPr>
        <w:tab/>
      </w:r>
      <w:r>
        <w:rPr>
          <w:i/>
          <w:iCs/>
          <w:lang w:val="ru-RU"/>
        </w:rPr>
        <w:tab/>
      </w:r>
      <w:r>
        <w:rPr>
          <w:i/>
          <w:iCs/>
          <w:lang w:val="ru-RU"/>
        </w:rPr>
        <w:tab/>
      </w:r>
      <w:r>
        <w:rPr>
          <w:i/>
          <w:iCs/>
          <w:lang w:val="ru-RU"/>
        </w:rPr>
        <w:tab/>
      </w:r>
      <w:r>
        <w:rPr>
          <w:i/>
          <w:iCs/>
          <w:lang w:val="ru-RU"/>
        </w:rPr>
        <w:tab/>
      </w:r>
      <w:r>
        <w:rPr>
          <w:lang w:val="ru-RU"/>
        </w:rPr>
        <w:t>5</w:t>
      </w:r>
      <w:r>
        <w:rPr>
          <w:lang w:val="ru-RU"/>
        </w:rPr>
        <w:tab/>
        <w:t>для сети доступа</w:t>
      </w:r>
      <w:r>
        <w:rPr>
          <w:lang w:val="ru-RU"/>
        </w:rPr>
        <w:br/>
        <w:t>6</w:t>
      </w:r>
      <w:r>
        <w:rPr>
          <w:lang w:val="ru-RU"/>
        </w:rPr>
        <w:tab/>
        <w:t>для короткого пролета</w:t>
      </w:r>
      <w:r>
        <w:rPr>
          <w:lang w:val="ru-RU"/>
        </w:rPr>
        <w:br/>
        <w:t>7</w:t>
      </w:r>
      <w:r>
        <w:rPr>
          <w:lang w:val="ru-RU"/>
        </w:rPr>
        <w:tab/>
        <w:t>для длинного пролета</w:t>
      </w:r>
    </w:p>
    <w:p w:rsidR="002B753B" w:rsidRDefault="002B753B" w:rsidP="002B753B">
      <w:pPr>
        <w:pStyle w:val="Equationlegend"/>
        <w:rPr>
          <w:lang w:val="ru-RU"/>
        </w:rPr>
      </w:pPr>
      <w:r>
        <w:rPr>
          <w:lang w:val="ru-RU"/>
        </w:rPr>
        <w:tab/>
      </w:r>
      <w:r>
        <w:rPr>
          <w:i/>
          <w:iCs/>
        </w:rPr>
        <w:t>L</w:t>
      </w:r>
      <w:r>
        <w:rPr>
          <w:i/>
          <w:iCs/>
          <w:vertAlign w:val="subscript"/>
        </w:rPr>
        <w:t>R</w:t>
      </w:r>
      <w:r>
        <w:rPr>
          <w:rFonts w:ascii="Tms Rmn" w:hAnsi="Tms Rmn"/>
          <w:sz w:val="12"/>
        </w:rPr>
        <w:t> </w:t>
      </w:r>
      <w:r>
        <w:rPr>
          <w:lang w:val="ru-RU"/>
        </w:rPr>
        <w:t>:</w:t>
      </w:r>
      <w:r>
        <w:rPr>
          <w:vertAlign w:val="subscript"/>
          <w:lang w:val="ru-RU"/>
        </w:rPr>
        <w:tab/>
      </w:r>
      <w:r>
        <w:rPr>
          <w:lang w:val="ru-RU"/>
        </w:rPr>
        <w:t xml:space="preserve">эталонная длина </w:t>
      </w:r>
      <w:r>
        <w:rPr>
          <w:i/>
          <w:iCs/>
        </w:rPr>
        <w:t>L</w:t>
      </w:r>
      <w:r>
        <w:rPr>
          <w:i/>
          <w:iCs/>
          <w:position w:val="-4"/>
          <w:sz w:val="16"/>
        </w:rPr>
        <w:t>R</w:t>
      </w:r>
      <w:r>
        <w:t> </w:t>
      </w:r>
      <w:r>
        <w:rPr>
          <w:rFonts w:ascii="Symbol" w:hAnsi="Symbol"/>
        </w:rPr>
        <w:t></w:t>
      </w:r>
      <w:r>
        <w:t> </w:t>
      </w:r>
      <w:r>
        <w:rPr>
          <w:lang w:val="ru-RU"/>
        </w:rPr>
        <w:t>2500</w:t>
      </w:r>
      <w:r>
        <w:t> </w:t>
      </w:r>
      <w:r>
        <w:rPr>
          <w:lang w:val="ru-RU"/>
        </w:rPr>
        <w:t>км.</w:t>
      </w:r>
    </w:p>
    <w:p w:rsidR="002B753B" w:rsidRDefault="002B753B" w:rsidP="002B753B">
      <w:pPr>
        <w:rPr>
          <w:lang w:val="ru-RU"/>
        </w:rPr>
      </w:pPr>
      <w:r>
        <w:rPr>
          <w:lang w:val="ru-RU"/>
        </w:rPr>
        <w:t xml:space="preserve">Нижний предел значения </w:t>
      </w:r>
      <w:r>
        <w:rPr>
          <w:i/>
          <w:iCs/>
          <w:lang w:val="en-US"/>
        </w:rPr>
        <w:t>L</w:t>
      </w:r>
      <w:r>
        <w:rPr>
          <w:i/>
          <w:iCs/>
          <w:vertAlign w:val="subscript"/>
          <w:lang w:val="en-US"/>
        </w:rPr>
        <w:t>link</w:t>
      </w:r>
      <w:r>
        <w:rPr>
          <w:lang w:val="ru-RU"/>
        </w:rPr>
        <w:t xml:space="preserve">, используемый для масштабирования параметров, составляет </w:t>
      </w:r>
      <w:r>
        <w:rPr>
          <w:i/>
          <w:iCs/>
          <w:lang w:val="en-US"/>
        </w:rPr>
        <w:t>L</w:t>
      </w:r>
      <w:r>
        <w:rPr>
          <w:i/>
          <w:iCs/>
          <w:vertAlign w:val="subscript"/>
          <w:lang w:val="en-US"/>
        </w:rPr>
        <w:t>min</w:t>
      </w:r>
      <w:r>
        <w:rPr>
          <w:lang w:val="ru-RU"/>
        </w:rPr>
        <w:t> </w:t>
      </w:r>
      <w:r>
        <w:rPr>
          <w:rFonts w:ascii="Symbol" w:hAnsi="Symbol"/>
          <w:lang w:val="en-US"/>
        </w:rPr>
        <w:t></w:t>
      </w:r>
      <w:r>
        <w:rPr>
          <w:lang w:val="ru-RU"/>
        </w:rPr>
        <w:t> 50</w:t>
      </w:r>
      <w:r>
        <w:rPr>
          <w:lang w:val="en-US"/>
        </w:rPr>
        <w:t> </w:t>
      </w:r>
      <w:r>
        <w:rPr>
          <w:lang w:val="ru-RU"/>
        </w:rPr>
        <w:t>км.</w:t>
      </w:r>
    </w:p>
    <w:p w:rsidR="002B753B" w:rsidRDefault="002B753B" w:rsidP="002B753B">
      <w:pPr>
        <w:rPr>
          <w:lang w:val="ru-RU"/>
        </w:rPr>
      </w:pPr>
      <w:r>
        <w:rPr>
          <w:lang w:val="ru-RU"/>
        </w:rPr>
        <w:t xml:space="preserve">Значения </w:t>
      </w:r>
      <w:r>
        <w:rPr>
          <w:i/>
          <w:iCs/>
          <w:lang w:val="en-US"/>
        </w:rPr>
        <w:t>B</w:t>
      </w:r>
      <w:r>
        <w:rPr>
          <w:i/>
          <w:iCs/>
          <w:vertAlign w:val="subscript"/>
          <w:lang w:val="en-US"/>
        </w:rPr>
        <w:t>j</w:t>
      </w:r>
      <w:r>
        <w:rPr>
          <w:lang w:val="ru-RU"/>
        </w:rPr>
        <w:t xml:space="preserve">, </w:t>
      </w:r>
      <w:r>
        <w:rPr>
          <w:i/>
          <w:iCs/>
          <w:lang w:val="en-US"/>
        </w:rPr>
        <w:t>C</w:t>
      </w:r>
      <w:r>
        <w:rPr>
          <w:i/>
          <w:iCs/>
          <w:vertAlign w:val="subscript"/>
          <w:lang w:val="en-US"/>
        </w:rPr>
        <w:t>j</w:t>
      </w:r>
      <w:r>
        <w:rPr>
          <w:lang w:val="ru-RU"/>
        </w:rPr>
        <w:t xml:space="preserve">, </w:t>
      </w:r>
      <w:r>
        <w:rPr>
          <w:i/>
          <w:iCs/>
          <w:lang w:val="en-US"/>
        </w:rPr>
        <w:t>D</w:t>
      </w:r>
      <w:r>
        <w:rPr>
          <w:i/>
          <w:iCs/>
          <w:vertAlign w:val="subscript"/>
          <w:lang w:val="en-US"/>
        </w:rPr>
        <w:t>j</w:t>
      </w:r>
      <w:r>
        <w:rPr>
          <w:lang w:val="ru-RU"/>
        </w:rPr>
        <w:t xml:space="preserve"> и </w:t>
      </w:r>
      <w:r>
        <w:rPr>
          <w:i/>
          <w:iCs/>
          <w:lang w:val="en-US"/>
        </w:rPr>
        <w:t>E</w:t>
      </w:r>
      <w:r>
        <w:rPr>
          <w:i/>
          <w:iCs/>
          <w:vertAlign w:val="subscript"/>
          <w:lang w:val="en-US"/>
        </w:rPr>
        <w:t>j</w:t>
      </w:r>
      <w:r>
        <w:rPr>
          <w:lang w:val="ru-RU"/>
        </w:rPr>
        <w:t xml:space="preserve"> приведены в таблицах 1, 2, 3 и 4. Параметр </w:t>
      </w:r>
      <w:r>
        <w:rPr>
          <w:lang w:val="en-US"/>
        </w:rPr>
        <w:t>OI</w:t>
      </w:r>
      <w:r>
        <w:rPr>
          <w:lang w:val="ru-RU"/>
        </w:rPr>
        <w:t xml:space="preserve"> определяет число событий неготовности за год, поэтому его эквивалент </w:t>
      </w:r>
      <w:r>
        <w:rPr>
          <w:lang w:val="en-US"/>
        </w:rPr>
        <w:t>Mo</w:t>
      </w:r>
      <w:r>
        <w:rPr>
          <w:lang w:val="ru-RU"/>
        </w:rPr>
        <w:t xml:space="preserve"> для того, чтобы он представлял эффективное среднее время в секунда</w:t>
      </w:r>
      <w:r w:rsidR="001400D8">
        <w:rPr>
          <w:lang w:val="ru-RU"/>
        </w:rPr>
        <w:t xml:space="preserve">х между событиями неготовности </w:t>
      </w:r>
      <w:r>
        <w:rPr>
          <w:lang w:val="ru-RU"/>
        </w:rPr>
        <w:t>за год, следует умножить на число секунд в году;</w:t>
      </w:r>
    </w:p>
    <w:p w:rsidR="002B753B" w:rsidRDefault="002B753B" w:rsidP="002B753B">
      <w:pPr>
        <w:rPr>
          <w:lang w:val="ru-RU"/>
        </w:rPr>
      </w:pPr>
      <w:r>
        <w:rPr>
          <w:b/>
          <w:bCs/>
          <w:lang w:val="ru-RU"/>
        </w:rPr>
        <w:t>4</w:t>
      </w:r>
      <w:r>
        <w:rPr>
          <w:lang w:val="ru-RU"/>
        </w:rPr>
        <w:tab/>
        <w:t>что показатели готовности следует разделить для того, чтобы учитывать события неготовности, обусловленные явлениями распространения, неисправностями оборудования, вмешательством людей, помехами и другими причинами. Это деление показателей в соответствии с различными причинами их появления выходит за пределы настоящей Рекомендации;</w:t>
      </w:r>
    </w:p>
    <w:p w:rsidR="002B753B" w:rsidRDefault="002B753B" w:rsidP="002B753B">
      <w:pPr>
        <w:rPr>
          <w:lang w:val="ru-RU"/>
        </w:rPr>
      </w:pPr>
      <w:r>
        <w:rPr>
          <w:b/>
          <w:bCs/>
          <w:lang w:val="ru-RU"/>
        </w:rPr>
        <w:t>5</w:t>
      </w:r>
      <w:r>
        <w:rPr>
          <w:lang w:val="ru-RU"/>
        </w:rPr>
        <w:tab/>
        <w:t>что для случая, когда линия состоит из нескольких пролетов, эти показатели применяются для всей линии в целом. Масштабирование показателей для каждого отдельного пролета входит в зону ответственности операторов сетей (дополнительную информацию см. в Приложении 1);</w:t>
      </w:r>
    </w:p>
    <w:p w:rsidR="002B753B" w:rsidRDefault="002B753B" w:rsidP="002B753B">
      <w:pPr>
        <w:rPr>
          <w:b/>
          <w:bCs/>
          <w:lang w:val="ru-RU"/>
        </w:rPr>
      </w:pPr>
      <w:r w:rsidRPr="008E0174">
        <w:rPr>
          <w:b/>
          <w:lang w:val="ru-RU"/>
        </w:rPr>
        <w:t>6</w:t>
      </w:r>
      <w:r>
        <w:rPr>
          <w:lang w:val="ru-RU"/>
        </w:rPr>
        <w:tab/>
        <w:t>что показатели для радиолинии, являющейся частью любого элемента тракта, входящего в состав международного участка (то есть для основного элемента тракта между странами (ОЭТМС) и основного элемента международного тракта (ОЭМТ)), ни в коем случае не должны превышать показателей, определенных в Рекомендации МСЭ</w:t>
      </w:r>
      <w:r>
        <w:rPr>
          <w:lang w:val="ru-RU"/>
        </w:rPr>
        <w:noBreakHyphen/>
      </w:r>
      <w:r>
        <w:rPr>
          <w:lang w:val="en-US"/>
        </w:rPr>
        <w:t>T</w:t>
      </w:r>
      <w:r>
        <w:rPr>
          <w:lang w:val="ru-RU"/>
        </w:rPr>
        <w:t xml:space="preserve"> </w:t>
      </w:r>
      <w:r>
        <w:rPr>
          <w:lang w:val="en-US"/>
        </w:rPr>
        <w:t>G</w:t>
      </w:r>
      <w:r>
        <w:rPr>
          <w:lang w:val="ru-RU"/>
        </w:rPr>
        <w:t>.827 (дополнительную информацию см. в Приложении 1 к настоящей Рекомендации);</w:t>
      </w:r>
    </w:p>
    <w:p w:rsidR="002B753B" w:rsidRDefault="002B753B" w:rsidP="002B753B">
      <w:pPr>
        <w:rPr>
          <w:lang w:val="ru-RU"/>
        </w:rPr>
      </w:pPr>
      <w:r w:rsidRPr="008E0174">
        <w:rPr>
          <w:b/>
          <w:lang w:val="ru-RU"/>
        </w:rPr>
        <w:t>7</w:t>
      </w:r>
      <w:r>
        <w:rPr>
          <w:lang w:val="ru-RU"/>
        </w:rPr>
        <w:tab/>
        <w:t xml:space="preserve">что суммарные показатели для национального участка (то есть полученные в результате суммирования показателей для сети доступа, коротких и длинных пролетов), реализованного с </w:t>
      </w:r>
      <w:r>
        <w:rPr>
          <w:spacing w:val="-4"/>
          <w:lang w:val="ru-RU"/>
        </w:rPr>
        <w:t>использованием радиорелейных систем, ни в коем случае не должны превышать показателей, определенных в Рекомендации МСЭ</w:t>
      </w:r>
      <w:r>
        <w:rPr>
          <w:spacing w:val="-4"/>
          <w:lang w:val="ru-RU"/>
        </w:rPr>
        <w:noBreakHyphen/>
      </w:r>
      <w:r>
        <w:rPr>
          <w:spacing w:val="-4"/>
          <w:lang w:val="en-US"/>
        </w:rPr>
        <w:t>T</w:t>
      </w:r>
      <w:r>
        <w:rPr>
          <w:spacing w:val="-4"/>
          <w:lang w:val="ru-RU"/>
        </w:rPr>
        <w:t xml:space="preserve"> </w:t>
      </w:r>
      <w:r>
        <w:rPr>
          <w:spacing w:val="-4"/>
          <w:lang w:val="en-US"/>
        </w:rPr>
        <w:t>G</w:t>
      </w:r>
      <w:r>
        <w:rPr>
          <w:spacing w:val="-4"/>
          <w:lang w:val="ru-RU"/>
        </w:rPr>
        <w:t xml:space="preserve">.827 для элемента национального участка (см. </w:t>
      </w:r>
      <w:r w:rsidR="003829A6">
        <w:rPr>
          <w:spacing w:val="-4"/>
          <w:lang w:val="ru-RU"/>
        </w:rPr>
        <w:t xml:space="preserve">Примечание </w:t>
      </w:r>
      <w:r>
        <w:rPr>
          <w:spacing w:val="-4"/>
          <w:lang w:val="ru-RU"/>
        </w:rPr>
        <w:t>5).</w:t>
      </w:r>
    </w:p>
    <w:p w:rsidR="002B753B" w:rsidRDefault="002B753B" w:rsidP="004D1C64">
      <w:pPr>
        <w:pStyle w:val="Note"/>
        <w:rPr>
          <w:lang w:val="ru-RU"/>
        </w:rPr>
      </w:pPr>
      <w:r>
        <w:rPr>
          <w:lang w:val="ru-RU"/>
        </w:rPr>
        <w:t>ПРИМЕЧАНИЕ</w:t>
      </w:r>
      <w:r>
        <w:rPr>
          <w:lang w:val="en-US"/>
        </w:rPr>
        <w:t> </w:t>
      </w:r>
      <w:r>
        <w:rPr>
          <w:lang w:val="ru-RU"/>
        </w:rPr>
        <w:t>1.</w:t>
      </w:r>
      <w:r>
        <w:rPr>
          <w:lang w:val="en-US"/>
        </w:rPr>
        <w:t> </w:t>
      </w:r>
      <w:r>
        <w:rPr>
          <w:lang w:val="ru-RU"/>
        </w:rPr>
        <w:t>–</w:t>
      </w:r>
      <w:r>
        <w:rPr>
          <w:lang w:val="en-US"/>
        </w:rPr>
        <w:t> </w:t>
      </w:r>
      <w:r>
        <w:rPr>
          <w:lang w:val="ru-RU"/>
        </w:rPr>
        <w:t>Международный участок цифрового тракта с постоянной скоростью передачи, работающий с первичной или более высокими скоростями, состоит, как минимум, из одного ОЭТМС и/или одного ОЭМТ.</w:t>
      </w:r>
    </w:p>
    <w:p w:rsidR="002B753B" w:rsidRDefault="002B753B" w:rsidP="004D1C64">
      <w:pPr>
        <w:pStyle w:val="Note"/>
        <w:rPr>
          <w:lang w:val="ru-RU"/>
        </w:rPr>
      </w:pPr>
      <w:r>
        <w:rPr>
          <w:lang w:val="ru-RU"/>
        </w:rPr>
        <w:t>ПРИМЕЧАНИЕ</w:t>
      </w:r>
      <w:r>
        <w:rPr>
          <w:lang w:val="en-US"/>
        </w:rPr>
        <w:t> </w:t>
      </w:r>
      <w:r>
        <w:rPr>
          <w:lang w:val="ru-RU"/>
        </w:rPr>
        <w:t>2.</w:t>
      </w:r>
      <w:r>
        <w:rPr>
          <w:lang w:val="en-US"/>
        </w:rPr>
        <w:t> </w:t>
      </w:r>
      <w:r>
        <w:rPr>
          <w:lang w:val="ru-RU"/>
        </w:rPr>
        <w:t>–</w:t>
      </w:r>
      <w:r>
        <w:rPr>
          <w:lang w:val="en-US"/>
        </w:rPr>
        <w:t> </w:t>
      </w:r>
      <w:r>
        <w:rPr>
          <w:lang w:val="ru-RU"/>
        </w:rPr>
        <w:t>ОЭТМС – это элемент тракта (ЭТ), продолжающий цифровой тракт наивысшего порядка через границу между двумя странами. ОЭТМС – это линия между сетями в различных странах, рассматриваемых как подсети. Этот ЭТ ограничивается приграничными станциями (ПГС), где этот тракт наивысшего порядка между странами может заканчиваться. Там, где тракт наивысшего порядка между странами не оканчивается на ПГС, ОЭТМС ограничивается вспомогательной точкой доступа к секции тракта между странами.</w:t>
      </w:r>
    </w:p>
    <w:p w:rsidR="002B753B" w:rsidRDefault="002B753B" w:rsidP="004D1C64">
      <w:pPr>
        <w:pStyle w:val="Note"/>
        <w:rPr>
          <w:lang w:val="ru-RU"/>
        </w:rPr>
      </w:pPr>
      <w:r>
        <w:rPr>
          <w:lang w:val="ru-RU"/>
        </w:rPr>
        <w:lastRenderedPageBreak/>
        <w:t>ПРИМЕЧАНИЕ</w:t>
      </w:r>
      <w:r>
        <w:rPr>
          <w:lang w:val="en-US"/>
        </w:rPr>
        <w:t> </w:t>
      </w:r>
      <w:r>
        <w:rPr>
          <w:lang w:val="ru-RU"/>
        </w:rPr>
        <w:t>3.</w:t>
      </w:r>
      <w:r>
        <w:rPr>
          <w:lang w:val="en-US"/>
        </w:rPr>
        <w:t> </w:t>
      </w:r>
      <w:r>
        <w:rPr>
          <w:lang w:val="ru-RU"/>
        </w:rPr>
        <w:t>–</w:t>
      </w:r>
      <w:r>
        <w:rPr>
          <w:lang w:val="en-US"/>
        </w:rPr>
        <w:t> </w:t>
      </w:r>
      <w:r>
        <w:rPr>
          <w:lang w:val="ru-RU"/>
        </w:rPr>
        <w:t>ОЭМТ – это ЭТ, используемый в основной сети. Положение границы этого ЭТ зависит от его применения; для транзитной страны этот ЭТ ограничивается двумя ПГС. Для оконечной страны этот элемент ограничивается МСС и ПГС. В частности, этот элемент не должен ограничиваться международным центром коммутации (МЦК) и ПГС или ОМЦ, который соответствует концу международного участка, и ПГС.</w:t>
      </w:r>
    </w:p>
    <w:p w:rsidR="002B753B" w:rsidRDefault="002B753B" w:rsidP="004D1C64">
      <w:pPr>
        <w:pStyle w:val="Note"/>
        <w:rPr>
          <w:i/>
          <w:lang w:val="ru-RU"/>
        </w:rPr>
      </w:pPr>
      <w:r>
        <w:rPr>
          <w:lang w:val="ru-RU"/>
        </w:rPr>
        <w:t>ПРИМЕЧАНИЕ</w:t>
      </w:r>
      <w:r>
        <w:rPr>
          <w:lang w:val="en-US"/>
        </w:rPr>
        <w:t> </w:t>
      </w:r>
      <w:r>
        <w:rPr>
          <w:lang w:val="ru-RU"/>
        </w:rPr>
        <w:t>4.</w:t>
      </w:r>
      <w:r>
        <w:rPr>
          <w:lang w:val="en-US"/>
        </w:rPr>
        <w:t> </w:t>
      </w:r>
      <w:r>
        <w:rPr>
          <w:lang w:val="ru-RU"/>
        </w:rPr>
        <w:t>–</w:t>
      </w:r>
      <w:r>
        <w:rPr>
          <w:lang w:val="en-US"/>
        </w:rPr>
        <w:t> </w:t>
      </w:r>
      <w:r>
        <w:rPr>
          <w:lang w:val="ru-RU"/>
        </w:rPr>
        <w:t>Международный участок тракта состоит из ОЭМТ и ОЭТМС, поэтому граница этого элемента соответствует ОЭМТ (то есть ПГС или ОМЦ, или МЦК) и участку ОЭТМС, который пересекает границу между двумя странами.</w:t>
      </w:r>
    </w:p>
    <w:p w:rsidR="002B753B" w:rsidRDefault="002B753B" w:rsidP="004D1C64">
      <w:pPr>
        <w:pStyle w:val="Note"/>
        <w:rPr>
          <w:lang w:val="ru-RU"/>
        </w:rPr>
      </w:pPr>
      <w:r>
        <w:rPr>
          <w:lang w:val="ru-RU"/>
        </w:rPr>
        <w:t>ПРИМЕЧАНИЕ</w:t>
      </w:r>
      <w:r>
        <w:rPr>
          <w:lang w:val="en-US"/>
        </w:rPr>
        <w:t> </w:t>
      </w:r>
      <w:r>
        <w:rPr>
          <w:lang w:val="ru-RU"/>
        </w:rPr>
        <w:t>5.</w:t>
      </w:r>
      <w:r>
        <w:rPr>
          <w:lang w:val="en-US"/>
        </w:rPr>
        <w:t> </w:t>
      </w:r>
      <w:r>
        <w:rPr>
          <w:lang w:val="ru-RU"/>
        </w:rPr>
        <w:t>–</w:t>
      </w:r>
      <w:r>
        <w:rPr>
          <w:lang w:val="en-US"/>
        </w:rPr>
        <w:t> </w:t>
      </w:r>
      <w:r>
        <w:rPr>
          <w:lang w:val="ru-RU"/>
        </w:rPr>
        <w:t>Элемент национального тракта (ЭНТ) – это ЭТ, используемый в оконечной стране для соединения международного участка и ОТТ. Элемент ЭНТ включает в свой состав и ЭДТ, и ОЭНТ.</w:t>
      </w:r>
    </w:p>
    <w:p w:rsidR="002B753B" w:rsidRDefault="002B753B" w:rsidP="004D1C64">
      <w:pPr>
        <w:pStyle w:val="Note"/>
        <w:rPr>
          <w:lang w:val="ru-RU"/>
        </w:rPr>
      </w:pPr>
      <w:r>
        <w:rPr>
          <w:lang w:val="ru-RU"/>
        </w:rPr>
        <w:t>ПРИМЕЧАНИЕ</w:t>
      </w:r>
      <w:r>
        <w:rPr>
          <w:lang w:val="en-US"/>
        </w:rPr>
        <w:t> </w:t>
      </w:r>
      <w:r>
        <w:rPr>
          <w:lang w:val="ru-RU"/>
        </w:rPr>
        <w:t>6.</w:t>
      </w:r>
      <w:r>
        <w:rPr>
          <w:lang w:val="en-US"/>
        </w:rPr>
        <w:t> </w:t>
      </w:r>
      <w:r>
        <w:rPr>
          <w:lang w:val="ru-RU"/>
        </w:rPr>
        <w:t>–</w:t>
      </w:r>
      <w:r>
        <w:rPr>
          <w:lang w:val="en-US"/>
        </w:rPr>
        <w:t> </w:t>
      </w:r>
      <w:r>
        <w:rPr>
          <w:lang w:val="ru-RU"/>
        </w:rPr>
        <w:t>В рамках настоящей Рекомендации национальный участок совпадает с ЭНТ.</w:t>
      </w:r>
    </w:p>
    <w:p w:rsidR="002B753B" w:rsidRDefault="002B753B" w:rsidP="004D1C64">
      <w:pPr>
        <w:pStyle w:val="Note"/>
        <w:rPr>
          <w:lang w:val="ru-RU"/>
        </w:rPr>
      </w:pPr>
      <w:r>
        <w:rPr>
          <w:lang w:val="ru-RU"/>
        </w:rPr>
        <w:t>ПРИМЕЧАНИЕ</w:t>
      </w:r>
      <w:r>
        <w:rPr>
          <w:lang w:val="en-US"/>
        </w:rPr>
        <w:t> </w:t>
      </w:r>
      <w:r>
        <w:rPr>
          <w:lang w:val="ru-RU"/>
        </w:rPr>
        <w:t>7.</w:t>
      </w:r>
      <w:r>
        <w:rPr>
          <w:lang w:val="en-US"/>
        </w:rPr>
        <w:t> </w:t>
      </w:r>
      <w:r>
        <w:rPr>
          <w:lang w:val="ru-RU"/>
        </w:rPr>
        <w:t>–</w:t>
      </w:r>
      <w:r>
        <w:rPr>
          <w:lang w:val="en-US"/>
        </w:rPr>
        <w:t> </w:t>
      </w:r>
      <w:r>
        <w:rPr>
          <w:lang w:val="ru-RU"/>
        </w:rPr>
        <w:t>ОМЦ, ЭДТ и ОЭНТ определены в Рекомендации МСЭ</w:t>
      </w:r>
      <w:r>
        <w:rPr>
          <w:lang w:val="ru-RU"/>
        </w:rPr>
        <w:noBreakHyphen/>
      </w:r>
      <w:r>
        <w:rPr>
          <w:lang w:val="en-US"/>
        </w:rPr>
        <w:t>T</w:t>
      </w:r>
      <w:r>
        <w:rPr>
          <w:lang w:val="ru-RU"/>
        </w:rPr>
        <w:t xml:space="preserve"> </w:t>
      </w:r>
      <w:r>
        <w:rPr>
          <w:lang w:val="en-US"/>
        </w:rPr>
        <w:t>M</w:t>
      </w:r>
      <w:r>
        <w:rPr>
          <w:lang w:val="ru-RU"/>
        </w:rPr>
        <w:t>.1010. (Заметим, что МЦК и ОМЦ могут располагаться в одном месте.)</w:t>
      </w:r>
    </w:p>
    <w:p w:rsidR="002B753B" w:rsidRDefault="002B753B" w:rsidP="004D1C64">
      <w:pPr>
        <w:pStyle w:val="Note"/>
        <w:rPr>
          <w:lang w:val="ru-RU"/>
        </w:rPr>
      </w:pPr>
      <w:r>
        <w:rPr>
          <w:lang w:val="ru-RU"/>
        </w:rPr>
        <w:t>ПРИМЕЧАНИЕ</w:t>
      </w:r>
      <w:r>
        <w:rPr>
          <w:lang w:val="en-US"/>
        </w:rPr>
        <w:t> </w:t>
      </w:r>
      <w:r>
        <w:rPr>
          <w:lang w:val="ru-RU"/>
        </w:rPr>
        <w:t>8.</w:t>
      </w:r>
      <w:r>
        <w:rPr>
          <w:lang w:val="en-US"/>
        </w:rPr>
        <w:t> </w:t>
      </w:r>
      <w:r>
        <w:rPr>
          <w:lang w:val="ru-RU"/>
        </w:rPr>
        <w:t>–</w:t>
      </w:r>
      <w:r>
        <w:rPr>
          <w:lang w:val="en-US"/>
        </w:rPr>
        <w:t> </w:t>
      </w:r>
      <w:r>
        <w:rPr>
          <w:lang w:val="ru-RU"/>
        </w:rPr>
        <w:t>Критерии вхождения в состояние неготовности и выхода из него опреде</w:t>
      </w:r>
      <w:r w:rsidR="003829A6">
        <w:rPr>
          <w:lang w:val="ru-RU"/>
        </w:rPr>
        <w:t>лены в Приложении </w:t>
      </w:r>
      <w:r>
        <w:rPr>
          <w:lang w:val="en-US"/>
        </w:rPr>
        <w:t>A</w:t>
      </w:r>
      <w:r>
        <w:rPr>
          <w:lang w:val="ru-RU"/>
        </w:rPr>
        <w:t xml:space="preserve"> Рекомендации МСЭ</w:t>
      </w:r>
      <w:r>
        <w:rPr>
          <w:lang w:val="ru-RU"/>
        </w:rPr>
        <w:noBreakHyphen/>
      </w:r>
      <w:r>
        <w:rPr>
          <w:lang w:val="en-US"/>
        </w:rPr>
        <w:t>T</w:t>
      </w:r>
      <w:r>
        <w:rPr>
          <w:lang w:val="ru-RU"/>
        </w:rPr>
        <w:t xml:space="preserve"> </w:t>
      </w:r>
      <w:r>
        <w:rPr>
          <w:lang w:val="en-US"/>
        </w:rPr>
        <w:t>G</w:t>
      </w:r>
      <w:r>
        <w:rPr>
          <w:lang w:val="ru-RU"/>
        </w:rPr>
        <w:t>.826.</w:t>
      </w:r>
    </w:p>
    <w:p w:rsidR="002B753B" w:rsidRDefault="002B753B" w:rsidP="004D1C64">
      <w:pPr>
        <w:pStyle w:val="Note"/>
        <w:rPr>
          <w:lang w:val="ru-RU"/>
        </w:rPr>
      </w:pPr>
      <w:r>
        <w:rPr>
          <w:lang w:val="ru-RU"/>
        </w:rPr>
        <w:t>ПРИМЕЧАНИЕ</w:t>
      </w:r>
      <w:r>
        <w:rPr>
          <w:lang w:val="en-US"/>
        </w:rPr>
        <w:t> </w:t>
      </w:r>
      <w:r>
        <w:rPr>
          <w:lang w:val="ru-RU"/>
        </w:rPr>
        <w:t>9.</w:t>
      </w:r>
      <w:r>
        <w:rPr>
          <w:lang w:val="en-US"/>
        </w:rPr>
        <w:t> </w:t>
      </w:r>
      <w:r>
        <w:rPr>
          <w:lang w:val="ru-RU"/>
        </w:rPr>
        <w:t>–</w:t>
      </w:r>
      <w:r>
        <w:rPr>
          <w:lang w:val="en-US"/>
        </w:rPr>
        <w:t> </w:t>
      </w:r>
      <w:r>
        <w:rPr>
          <w:lang w:val="ru-RU"/>
        </w:rPr>
        <w:t>Предполагается, что показатели для участка доступа сети не зависят от длины, поскольку такие линии, как правило, короче 50</w:t>
      </w:r>
      <w:r>
        <w:rPr>
          <w:lang w:val="en-US"/>
        </w:rPr>
        <w:t> </w:t>
      </w:r>
      <w:r>
        <w:rPr>
          <w:lang w:val="ru-RU"/>
        </w:rPr>
        <w:t>км.</w:t>
      </w:r>
    </w:p>
    <w:p w:rsidR="002B753B" w:rsidRDefault="002B753B" w:rsidP="004D1C64">
      <w:pPr>
        <w:pStyle w:val="Note"/>
        <w:rPr>
          <w:lang w:val="ru-RU"/>
        </w:rPr>
      </w:pPr>
      <w:r>
        <w:rPr>
          <w:lang w:val="ru-RU"/>
        </w:rPr>
        <w:t>ПРИМЕЧАНИЕ</w:t>
      </w:r>
      <w:r>
        <w:rPr>
          <w:lang w:val="en-US"/>
        </w:rPr>
        <w:t> </w:t>
      </w:r>
      <w:r>
        <w:rPr>
          <w:lang w:val="ru-RU"/>
        </w:rPr>
        <w:t>10.</w:t>
      </w:r>
      <w:r>
        <w:rPr>
          <w:lang w:val="en-US"/>
        </w:rPr>
        <w:t> </w:t>
      </w:r>
      <w:r>
        <w:rPr>
          <w:lang w:val="ru-RU"/>
        </w:rPr>
        <w:t>–</w:t>
      </w:r>
      <w:r>
        <w:rPr>
          <w:lang w:val="en-US"/>
        </w:rPr>
        <w:t> </w:t>
      </w:r>
      <w:r>
        <w:rPr>
          <w:lang w:val="ru-RU"/>
        </w:rPr>
        <w:t xml:space="preserve">Показатели для участка доступа и короткопролетного участка определяются для максимальной длины </w:t>
      </w:r>
      <w:r>
        <w:rPr>
          <w:i/>
          <w:iCs/>
          <w:lang w:val="en-US"/>
        </w:rPr>
        <w:t>L</w:t>
      </w:r>
      <w:r w:rsidRPr="003829A6">
        <w:rPr>
          <w:i/>
          <w:iCs/>
          <w:vertAlign w:val="subscript"/>
          <w:lang w:val="en-US"/>
        </w:rPr>
        <w:t>max</w:t>
      </w:r>
      <w:r>
        <w:rPr>
          <w:lang w:val="en-US"/>
        </w:rPr>
        <w:t> </w:t>
      </w:r>
      <w:r>
        <w:rPr>
          <w:rFonts w:ascii="Symbol" w:hAnsi="Symbol"/>
        </w:rPr>
        <w:t></w:t>
      </w:r>
      <w:r>
        <w:rPr>
          <w:lang w:val="en-US"/>
        </w:rPr>
        <w:t> </w:t>
      </w:r>
      <w:r>
        <w:rPr>
          <w:lang w:val="ru-RU"/>
        </w:rPr>
        <w:t>250</w:t>
      </w:r>
      <w:r>
        <w:rPr>
          <w:lang w:val="en-US"/>
        </w:rPr>
        <w:t> </w:t>
      </w:r>
      <w:r>
        <w:rPr>
          <w:lang w:val="ru-RU"/>
        </w:rPr>
        <w:t>км.</w:t>
      </w:r>
    </w:p>
    <w:p w:rsidR="002B753B" w:rsidRDefault="002B753B" w:rsidP="004D1C64">
      <w:pPr>
        <w:pStyle w:val="Note"/>
        <w:rPr>
          <w:lang w:val="ru-RU"/>
        </w:rPr>
      </w:pPr>
      <w:r>
        <w:rPr>
          <w:lang w:val="ru-RU"/>
        </w:rPr>
        <w:t>ПРИМЕЧАНИЕ</w:t>
      </w:r>
      <w:r>
        <w:rPr>
          <w:lang w:val="en-US"/>
        </w:rPr>
        <w:t> </w:t>
      </w:r>
      <w:r>
        <w:rPr>
          <w:lang w:val="ru-RU"/>
        </w:rPr>
        <w:t>11.</w:t>
      </w:r>
      <w:r>
        <w:rPr>
          <w:lang w:val="en-US"/>
        </w:rPr>
        <w:t> </w:t>
      </w:r>
      <w:r>
        <w:rPr>
          <w:lang w:val="ru-RU"/>
        </w:rPr>
        <w:t>–</w:t>
      </w:r>
      <w:r>
        <w:rPr>
          <w:lang w:val="en-US"/>
        </w:rPr>
        <w:t> </w:t>
      </w:r>
      <w:r>
        <w:rPr>
          <w:lang w:val="ru-RU"/>
        </w:rPr>
        <w:t>Показатели для короткопролетного участка неприменимы для линий длиннее 2500</w:t>
      </w:r>
      <w:r>
        <w:rPr>
          <w:lang w:val="en-US"/>
        </w:rPr>
        <w:t> </w:t>
      </w:r>
      <w:r>
        <w:rPr>
          <w:lang w:val="ru-RU"/>
        </w:rPr>
        <w:t>км.</w:t>
      </w:r>
    </w:p>
    <w:p w:rsidR="002B753B" w:rsidRDefault="002B753B" w:rsidP="004D1C64">
      <w:pPr>
        <w:pStyle w:val="Note"/>
        <w:rPr>
          <w:lang w:val="ru-RU"/>
        </w:rPr>
      </w:pPr>
      <w:r>
        <w:rPr>
          <w:lang w:val="ru-RU"/>
        </w:rPr>
        <w:t>ПРИМЕЧАНИЕ</w:t>
      </w:r>
      <w:r>
        <w:rPr>
          <w:lang w:val="en-US"/>
        </w:rPr>
        <w:t> </w:t>
      </w:r>
      <w:r>
        <w:rPr>
          <w:lang w:val="ru-RU"/>
        </w:rPr>
        <w:t>12.</w:t>
      </w:r>
      <w:r>
        <w:rPr>
          <w:lang w:val="en-US"/>
        </w:rPr>
        <w:t> </w:t>
      </w:r>
      <w:r>
        <w:rPr>
          <w:lang w:val="ru-RU"/>
        </w:rPr>
        <w:t>–</w:t>
      </w:r>
      <w:r>
        <w:rPr>
          <w:lang w:val="en-US"/>
        </w:rPr>
        <w:t> </w:t>
      </w:r>
      <w:r>
        <w:rPr>
          <w:lang w:val="ru-RU"/>
        </w:rPr>
        <w:t>Показатели готовности и критерии пропорционального распределения для соединений должны быть такими же, что и для трактов.</w:t>
      </w:r>
    </w:p>
    <w:p w:rsidR="002B753B" w:rsidRDefault="002B753B" w:rsidP="004D1C64">
      <w:pPr>
        <w:pStyle w:val="Note"/>
        <w:rPr>
          <w:lang w:val="ru-RU"/>
        </w:rPr>
      </w:pPr>
      <w:r>
        <w:rPr>
          <w:lang w:val="ru-RU"/>
        </w:rPr>
        <w:t>ПРИМЕЧАНИЕ</w:t>
      </w:r>
      <w:r>
        <w:rPr>
          <w:lang w:val="en-US"/>
        </w:rPr>
        <w:t> </w:t>
      </w:r>
      <w:r>
        <w:rPr>
          <w:lang w:val="ru-RU"/>
        </w:rPr>
        <w:t>13.</w:t>
      </w:r>
      <w:r>
        <w:rPr>
          <w:lang w:val="en-US"/>
        </w:rPr>
        <w:t> </w:t>
      </w:r>
      <w:r>
        <w:rPr>
          <w:lang w:val="ru-RU"/>
        </w:rPr>
        <w:t>–</w:t>
      </w:r>
      <w:r>
        <w:rPr>
          <w:lang w:val="en-US"/>
        </w:rPr>
        <w:t> </w:t>
      </w:r>
      <w:r>
        <w:rPr>
          <w:lang w:val="ru-RU"/>
        </w:rPr>
        <w:t>Определение критериев вхождения в состояние неготовности и выхода из него изложено в п. </w:t>
      </w:r>
      <w:r>
        <w:rPr>
          <w:lang w:val="en-US"/>
        </w:rPr>
        <w:t>A</w:t>
      </w:r>
      <w:r>
        <w:rPr>
          <w:lang w:val="ru-RU"/>
        </w:rPr>
        <w:t xml:space="preserve">.1 Приложении </w:t>
      </w:r>
      <w:r>
        <w:rPr>
          <w:lang w:val="en-US"/>
        </w:rPr>
        <w:t>A</w:t>
      </w:r>
      <w:r>
        <w:rPr>
          <w:lang w:val="ru-RU"/>
        </w:rPr>
        <w:t xml:space="preserve"> Рекомендации МСЭ</w:t>
      </w:r>
      <w:r>
        <w:rPr>
          <w:lang w:val="ru-RU"/>
        </w:rPr>
        <w:noBreakHyphen/>
      </w:r>
      <w:r>
        <w:rPr>
          <w:lang w:val="en-US"/>
        </w:rPr>
        <w:t>T G</w:t>
      </w:r>
      <w:r>
        <w:rPr>
          <w:lang w:val="ru-RU"/>
        </w:rPr>
        <w:t>.826.</w:t>
      </w:r>
    </w:p>
    <w:p w:rsidR="002B753B" w:rsidRDefault="002B753B" w:rsidP="004D1C64">
      <w:pPr>
        <w:pStyle w:val="Note"/>
        <w:rPr>
          <w:lang w:val="ru-RU"/>
        </w:rPr>
      </w:pPr>
      <w:r>
        <w:rPr>
          <w:lang w:val="ru-RU"/>
        </w:rPr>
        <w:t>ПРИМЕЧАНИЕ</w:t>
      </w:r>
      <w:r>
        <w:rPr>
          <w:lang w:val="en-US"/>
        </w:rPr>
        <w:t> </w:t>
      </w:r>
      <w:r>
        <w:rPr>
          <w:lang w:val="ru-RU"/>
        </w:rPr>
        <w:t>14.</w:t>
      </w:r>
      <w:r>
        <w:rPr>
          <w:lang w:val="en-US"/>
        </w:rPr>
        <w:t> </w:t>
      </w:r>
      <w:r>
        <w:rPr>
          <w:lang w:val="ru-RU"/>
        </w:rPr>
        <w:t>–</w:t>
      </w:r>
      <w:r>
        <w:rPr>
          <w:lang w:val="en-US"/>
        </w:rPr>
        <w:t> </w:t>
      </w:r>
      <w:r>
        <w:rPr>
          <w:lang w:val="ru-RU"/>
        </w:rPr>
        <w:t>Желательно провести дальнейшие исследования по определению того, какое число событий из-за аномальных условий распространения может вызвать самоизлечение событий неготовности в связи с тем, что такие события, длительностью, как правило, менее четырех часов (среднее время восстановления (</w:t>
      </w:r>
      <w:r>
        <w:rPr>
          <w:lang w:val="en-US"/>
        </w:rPr>
        <w:t>MTTR</w:t>
      </w:r>
      <w:r>
        <w:rPr>
          <w:lang w:val="ru-RU"/>
        </w:rPr>
        <w:t>), равное четырем часам, определено в Рекомендации МСЭ-Т</w:t>
      </w:r>
      <w:r>
        <w:rPr>
          <w:lang w:val="en-US"/>
        </w:rPr>
        <w:t> G</w:t>
      </w:r>
      <w:r>
        <w:rPr>
          <w:lang w:val="ru-RU"/>
        </w:rPr>
        <w:t xml:space="preserve">.827 в качестве основы для показателей </w:t>
      </w:r>
      <w:r>
        <w:rPr>
          <w:lang w:val="en-US"/>
        </w:rPr>
        <w:t>OI</w:t>
      </w:r>
      <w:r>
        <w:rPr>
          <w:lang w:val="ru-RU"/>
        </w:rPr>
        <w:t xml:space="preserve">), не учитываются для показателей </w:t>
      </w:r>
      <w:r>
        <w:rPr>
          <w:lang w:val="en-US"/>
        </w:rPr>
        <w:t>OI</w:t>
      </w:r>
      <w:r>
        <w:rPr>
          <w:lang w:val="ru-RU"/>
        </w:rPr>
        <w:t xml:space="preserve"> в Рекомендации МСЭ</w:t>
      </w:r>
      <w:r>
        <w:rPr>
          <w:lang w:val="ru-RU"/>
        </w:rPr>
        <w:noBreakHyphen/>
      </w:r>
      <w:r>
        <w:rPr>
          <w:lang w:val="en-US"/>
        </w:rPr>
        <w:t>T</w:t>
      </w:r>
      <w:r>
        <w:rPr>
          <w:lang w:val="ru-RU"/>
        </w:rPr>
        <w:t xml:space="preserve"> </w:t>
      </w:r>
      <w:r>
        <w:rPr>
          <w:lang w:val="en-US"/>
        </w:rPr>
        <w:t>G</w:t>
      </w:r>
      <w:r>
        <w:rPr>
          <w:lang w:val="ru-RU"/>
        </w:rPr>
        <w:t>.827.</w:t>
      </w:r>
    </w:p>
    <w:p w:rsidR="002B753B" w:rsidRDefault="002B753B" w:rsidP="004D1C64">
      <w:pPr>
        <w:pStyle w:val="Note"/>
        <w:rPr>
          <w:lang w:val="ru-RU"/>
        </w:rPr>
      </w:pPr>
      <w:r>
        <w:rPr>
          <w:lang w:val="ru-RU"/>
        </w:rPr>
        <w:t>ПРИМЕЧАНИЕ</w:t>
      </w:r>
      <w:r>
        <w:rPr>
          <w:lang w:val="en-US"/>
        </w:rPr>
        <w:t> </w:t>
      </w:r>
      <w:r>
        <w:rPr>
          <w:lang w:val="ru-RU"/>
        </w:rPr>
        <w:t>15.</w:t>
      </w:r>
      <w:r>
        <w:rPr>
          <w:lang w:val="en-US"/>
        </w:rPr>
        <w:t> </w:t>
      </w:r>
      <w:r>
        <w:rPr>
          <w:lang w:val="ru-RU"/>
        </w:rPr>
        <w:t>–</w:t>
      </w:r>
      <w:r>
        <w:rPr>
          <w:lang w:val="en-US"/>
        </w:rPr>
        <w:t> </w:t>
      </w:r>
      <w:r>
        <w:rPr>
          <w:lang w:val="ru-RU"/>
        </w:rPr>
        <w:t xml:space="preserve">Желательно провести дальнейшие исследования по определению того, могут ли быть улучшены показатели </w:t>
      </w:r>
      <w:r>
        <w:rPr>
          <w:lang w:val="en-US"/>
        </w:rPr>
        <w:t>AR</w:t>
      </w:r>
      <w:r>
        <w:rPr>
          <w:lang w:val="ru-RU"/>
        </w:rPr>
        <w:t xml:space="preserve"> и </w:t>
      </w:r>
      <w:r>
        <w:rPr>
          <w:lang w:val="en-US"/>
        </w:rPr>
        <w:t>OI</w:t>
      </w:r>
      <w:r>
        <w:rPr>
          <w:lang w:val="ru-RU"/>
        </w:rPr>
        <w:t xml:space="preserve"> и до какой степени.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1560"/>
        <w:gridCol w:w="932"/>
        <w:gridCol w:w="910"/>
        <w:gridCol w:w="924"/>
        <w:gridCol w:w="952"/>
        <w:gridCol w:w="979"/>
        <w:gridCol w:w="940"/>
        <w:gridCol w:w="992"/>
        <w:gridCol w:w="996"/>
        <w:gridCol w:w="8"/>
      </w:tblGrid>
      <w:tr w:rsidR="002B753B" w:rsidRPr="001A0CCE" w:rsidTr="00FB75C5">
        <w:trPr>
          <w:gridAfter w:val="1"/>
          <w:wAfter w:w="8" w:type="dxa"/>
          <w:cantSplit/>
          <w:tblHeader/>
          <w:jc w:val="center"/>
        </w:trPr>
        <w:tc>
          <w:tcPr>
            <w:tcW w:w="9185" w:type="dxa"/>
            <w:gridSpan w:val="9"/>
            <w:tcBorders>
              <w:top w:val="nil"/>
              <w:left w:val="nil"/>
              <w:right w:val="nil"/>
            </w:tcBorders>
          </w:tcPr>
          <w:p w:rsidR="002B753B" w:rsidRDefault="002B753B" w:rsidP="00FB75C5">
            <w:pPr>
              <w:pStyle w:val="TableNo"/>
              <w:rPr>
                <w:lang w:val="ru-RU"/>
              </w:rPr>
            </w:pPr>
            <w:r>
              <w:rPr>
                <w:lang w:val="ru-RU"/>
              </w:rPr>
              <w:t>ТАБЛИЦА  1</w:t>
            </w:r>
          </w:p>
          <w:p w:rsidR="002B753B" w:rsidRDefault="002B753B" w:rsidP="00FB75C5">
            <w:pPr>
              <w:pStyle w:val="Tabletitle"/>
              <w:rPr>
                <w:i/>
                <w:iCs/>
                <w:sz w:val="20"/>
                <w:lang w:val="ru-RU"/>
              </w:rPr>
            </w:pPr>
            <w:r>
              <w:rPr>
                <w:lang w:val="ru-RU"/>
              </w:rPr>
              <w:t xml:space="preserve">Параметры для показателей </w:t>
            </w:r>
            <w:r>
              <w:rPr>
                <w:lang w:val="en-US"/>
              </w:rPr>
              <w:t>AR</w:t>
            </w:r>
            <w:r>
              <w:rPr>
                <w:lang w:val="ru-RU"/>
              </w:rPr>
              <w:t xml:space="preserve"> для линий, составляющих часть международного участка цифрового тракта с постоянной скоростью передачи</w:t>
            </w:r>
          </w:p>
        </w:tc>
      </w:tr>
      <w:tr w:rsidR="002B753B" w:rsidTr="00FB75C5">
        <w:trPr>
          <w:gridAfter w:val="1"/>
          <w:wAfter w:w="8" w:type="dxa"/>
          <w:tblHeader/>
          <w:jc w:val="center"/>
        </w:trPr>
        <w:tc>
          <w:tcPr>
            <w:tcW w:w="1560" w:type="dxa"/>
          </w:tcPr>
          <w:p w:rsidR="002B753B" w:rsidRPr="00C66DC4" w:rsidRDefault="002B753B" w:rsidP="00FB75C5">
            <w:pPr>
              <w:pStyle w:val="Tablehead"/>
              <w:rPr>
                <w:b w:val="0"/>
                <w:bCs/>
                <w:sz w:val="18"/>
              </w:rPr>
            </w:pPr>
            <w:r w:rsidRPr="00C66DC4">
              <w:rPr>
                <w:b w:val="0"/>
                <w:bCs/>
                <w:sz w:val="18"/>
                <w:lang w:val="ru-RU"/>
              </w:rPr>
              <w:t xml:space="preserve">Длина </w:t>
            </w:r>
            <w:r w:rsidRPr="00C66DC4">
              <w:rPr>
                <w:b w:val="0"/>
                <w:bCs/>
                <w:sz w:val="18"/>
              </w:rPr>
              <w:t>(км)</w:t>
            </w:r>
          </w:p>
        </w:tc>
        <w:tc>
          <w:tcPr>
            <w:tcW w:w="1842" w:type="dxa"/>
            <w:gridSpan w:val="2"/>
            <w:vAlign w:val="center"/>
          </w:tcPr>
          <w:p w:rsidR="002B753B" w:rsidRPr="00C66DC4" w:rsidRDefault="002B753B" w:rsidP="00FB75C5">
            <w:pPr>
              <w:pStyle w:val="Tablehead"/>
              <w:rPr>
                <w:b w:val="0"/>
                <w:bCs/>
                <w:sz w:val="18"/>
                <w:lang w:val="fr-CH"/>
              </w:rPr>
            </w:pPr>
            <w:r w:rsidRPr="00C66DC4">
              <w:rPr>
                <w:b w:val="0"/>
                <w:bCs/>
                <w:i/>
                <w:iCs/>
                <w:sz w:val="18"/>
                <w:lang w:val="fr-CH"/>
              </w:rPr>
              <w:t>L</w:t>
            </w:r>
            <w:r w:rsidRPr="00C66DC4">
              <w:rPr>
                <w:b w:val="0"/>
                <w:bCs/>
                <w:i/>
                <w:iCs/>
                <w:sz w:val="18"/>
                <w:vertAlign w:val="subscript"/>
                <w:lang w:val="fr-CH"/>
              </w:rPr>
              <w:t>min</w:t>
            </w:r>
            <w:r w:rsidRPr="00C66DC4">
              <w:rPr>
                <w:b w:val="0"/>
                <w:bCs/>
                <w:sz w:val="18"/>
                <w:lang w:val="fr-CH"/>
              </w:rPr>
              <w:t xml:space="preserve"> </w:t>
            </w:r>
            <w:r w:rsidRPr="00C66DC4">
              <w:rPr>
                <w:rFonts w:ascii="Symbol" w:hAnsi="Symbol"/>
                <w:b w:val="0"/>
                <w:bCs/>
                <w:sz w:val="18"/>
              </w:rPr>
              <w:sym w:font="Symbol" w:char="F0A3"/>
            </w:r>
            <w:r w:rsidRPr="00C66DC4">
              <w:rPr>
                <w:b w:val="0"/>
                <w:bCs/>
                <w:sz w:val="18"/>
                <w:lang w:val="fr-CH"/>
              </w:rPr>
              <w:t xml:space="preserve"> </w:t>
            </w:r>
            <w:r w:rsidRPr="00C66DC4">
              <w:rPr>
                <w:b w:val="0"/>
                <w:bCs/>
                <w:i/>
                <w:iCs/>
                <w:sz w:val="18"/>
                <w:lang w:val="fr-CH"/>
              </w:rPr>
              <w:t>L</w:t>
            </w:r>
            <w:r w:rsidRPr="00C66DC4">
              <w:rPr>
                <w:b w:val="0"/>
                <w:bCs/>
                <w:i/>
                <w:iCs/>
                <w:sz w:val="18"/>
                <w:vertAlign w:val="subscript"/>
                <w:lang w:val="fr-CH"/>
              </w:rPr>
              <w:t>link</w:t>
            </w:r>
            <w:r w:rsidRPr="00C66DC4">
              <w:rPr>
                <w:b w:val="0"/>
                <w:bCs/>
                <w:sz w:val="18"/>
                <w:lang w:val="fr-CH"/>
              </w:rPr>
              <w:t xml:space="preserve"> </w:t>
            </w:r>
            <w:r w:rsidRPr="00C66DC4">
              <w:rPr>
                <w:rFonts w:ascii="Symbol" w:hAnsi="Symbol"/>
                <w:b w:val="0"/>
                <w:bCs/>
                <w:sz w:val="18"/>
              </w:rPr>
              <w:sym w:font="Symbol" w:char="F0A3"/>
            </w:r>
            <w:r w:rsidRPr="00C66DC4">
              <w:rPr>
                <w:b w:val="0"/>
                <w:bCs/>
                <w:sz w:val="18"/>
                <w:lang w:val="fr-CH"/>
              </w:rPr>
              <w:t xml:space="preserve"> 250</w:t>
            </w:r>
          </w:p>
        </w:tc>
        <w:tc>
          <w:tcPr>
            <w:tcW w:w="1876" w:type="dxa"/>
            <w:gridSpan w:val="2"/>
            <w:vAlign w:val="center"/>
          </w:tcPr>
          <w:p w:rsidR="002B753B" w:rsidRPr="00C66DC4" w:rsidRDefault="002B753B" w:rsidP="00FB75C5">
            <w:pPr>
              <w:pStyle w:val="Tablehead"/>
              <w:rPr>
                <w:b w:val="0"/>
                <w:bCs/>
                <w:sz w:val="18"/>
                <w:lang w:val="en-GB"/>
              </w:rPr>
            </w:pPr>
            <w:r w:rsidRPr="00C66DC4">
              <w:rPr>
                <w:b w:val="0"/>
                <w:bCs/>
                <w:sz w:val="18"/>
                <w:lang w:val="en-GB"/>
              </w:rPr>
              <w:t xml:space="preserve">250 </w:t>
            </w:r>
            <w:r w:rsidRPr="00C66DC4">
              <w:rPr>
                <w:rFonts w:ascii="Symbol" w:hAnsi="Symbol"/>
                <w:b w:val="0"/>
                <w:bCs/>
                <w:sz w:val="18"/>
              </w:rPr>
              <w:t></w:t>
            </w:r>
            <w:r w:rsidRPr="00C66DC4">
              <w:rPr>
                <w:b w:val="0"/>
                <w:bCs/>
                <w:sz w:val="18"/>
                <w:lang w:val="en-GB"/>
              </w:rPr>
              <w:t xml:space="preserve"> </w:t>
            </w:r>
            <w:r w:rsidRPr="00C66DC4">
              <w:rPr>
                <w:b w:val="0"/>
                <w:bCs/>
                <w:i/>
                <w:iCs/>
                <w:sz w:val="18"/>
                <w:lang w:val="en-GB"/>
              </w:rPr>
              <w:t>L</w:t>
            </w:r>
            <w:r w:rsidRPr="00C66DC4">
              <w:rPr>
                <w:b w:val="0"/>
                <w:bCs/>
                <w:i/>
                <w:iCs/>
                <w:sz w:val="18"/>
                <w:vertAlign w:val="subscript"/>
                <w:lang w:val="en-GB"/>
              </w:rPr>
              <w:t>link</w:t>
            </w:r>
            <w:r w:rsidRPr="00C66DC4">
              <w:rPr>
                <w:b w:val="0"/>
                <w:bCs/>
                <w:sz w:val="18"/>
                <w:lang w:val="en-GB"/>
              </w:rPr>
              <w:t xml:space="preserve"> </w:t>
            </w:r>
            <w:r w:rsidRPr="00C66DC4">
              <w:rPr>
                <w:rFonts w:ascii="Symbol" w:hAnsi="Symbol"/>
                <w:b w:val="0"/>
                <w:bCs/>
                <w:sz w:val="18"/>
              </w:rPr>
              <w:sym w:font="Symbol" w:char="F0A3"/>
            </w:r>
            <w:r w:rsidRPr="00C66DC4">
              <w:rPr>
                <w:b w:val="0"/>
                <w:bCs/>
                <w:sz w:val="18"/>
                <w:lang w:val="en-GB"/>
              </w:rPr>
              <w:t xml:space="preserve"> 2</w:t>
            </w:r>
            <w:r w:rsidRPr="00C66DC4">
              <w:rPr>
                <w:rFonts w:ascii="Tms Rmn" w:hAnsi="Tms Rmn"/>
                <w:b w:val="0"/>
                <w:bCs/>
                <w:sz w:val="12"/>
                <w:lang w:val="en-GB"/>
              </w:rPr>
              <w:t> </w:t>
            </w:r>
            <w:r w:rsidRPr="00C66DC4">
              <w:rPr>
                <w:b w:val="0"/>
                <w:bCs/>
                <w:sz w:val="18"/>
                <w:lang w:val="en-GB"/>
              </w:rPr>
              <w:t>500</w:t>
            </w:r>
          </w:p>
        </w:tc>
        <w:tc>
          <w:tcPr>
            <w:tcW w:w="1919" w:type="dxa"/>
            <w:gridSpan w:val="2"/>
            <w:vAlign w:val="center"/>
          </w:tcPr>
          <w:p w:rsidR="002B753B" w:rsidRPr="00C66DC4" w:rsidRDefault="002B753B" w:rsidP="00FB75C5">
            <w:pPr>
              <w:pStyle w:val="Tablehead"/>
              <w:rPr>
                <w:b w:val="0"/>
                <w:bCs/>
                <w:sz w:val="18"/>
                <w:lang w:val="en-GB"/>
              </w:rPr>
            </w:pPr>
            <w:r w:rsidRPr="00C66DC4">
              <w:rPr>
                <w:b w:val="0"/>
                <w:bCs/>
                <w:sz w:val="18"/>
                <w:lang w:val="en-GB"/>
              </w:rPr>
              <w:t>2</w:t>
            </w:r>
            <w:r w:rsidRPr="00C66DC4">
              <w:rPr>
                <w:rFonts w:ascii="Tms Rmn" w:hAnsi="Tms Rmn"/>
                <w:b w:val="0"/>
                <w:bCs/>
                <w:sz w:val="12"/>
                <w:lang w:val="en-GB"/>
              </w:rPr>
              <w:t> </w:t>
            </w:r>
            <w:r w:rsidRPr="00C66DC4">
              <w:rPr>
                <w:b w:val="0"/>
                <w:bCs/>
                <w:sz w:val="18"/>
                <w:lang w:val="en-GB"/>
              </w:rPr>
              <w:t xml:space="preserve">500 </w:t>
            </w:r>
            <w:r w:rsidRPr="00C66DC4">
              <w:rPr>
                <w:rFonts w:ascii="Symbol" w:hAnsi="Symbol"/>
                <w:b w:val="0"/>
                <w:bCs/>
                <w:sz w:val="18"/>
              </w:rPr>
              <w:t></w:t>
            </w:r>
            <w:r w:rsidRPr="00C66DC4">
              <w:rPr>
                <w:b w:val="0"/>
                <w:bCs/>
                <w:sz w:val="18"/>
                <w:lang w:val="en-GB"/>
              </w:rPr>
              <w:t xml:space="preserve"> </w:t>
            </w:r>
            <w:r w:rsidRPr="00C66DC4">
              <w:rPr>
                <w:b w:val="0"/>
                <w:bCs/>
                <w:i/>
                <w:iCs/>
                <w:sz w:val="18"/>
                <w:lang w:val="en-GB"/>
              </w:rPr>
              <w:t>L</w:t>
            </w:r>
            <w:r w:rsidRPr="00C66DC4">
              <w:rPr>
                <w:b w:val="0"/>
                <w:bCs/>
                <w:i/>
                <w:iCs/>
                <w:sz w:val="18"/>
                <w:vertAlign w:val="subscript"/>
                <w:lang w:val="en-GB"/>
              </w:rPr>
              <w:t>link</w:t>
            </w:r>
            <w:r w:rsidRPr="00C66DC4">
              <w:rPr>
                <w:b w:val="0"/>
                <w:bCs/>
                <w:sz w:val="18"/>
                <w:lang w:val="en-GB"/>
              </w:rPr>
              <w:t xml:space="preserve"> </w:t>
            </w:r>
            <w:r w:rsidRPr="00C66DC4">
              <w:rPr>
                <w:rFonts w:ascii="Symbol" w:hAnsi="Symbol"/>
                <w:b w:val="0"/>
                <w:bCs/>
                <w:sz w:val="18"/>
              </w:rPr>
              <w:sym w:font="Symbol" w:char="F0A3"/>
            </w:r>
            <w:r w:rsidRPr="00C66DC4">
              <w:rPr>
                <w:b w:val="0"/>
                <w:bCs/>
                <w:sz w:val="18"/>
                <w:lang w:val="en-GB"/>
              </w:rPr>
              <w:t xml:space="preserve"> 7</w:t>
            </w:r>
            <w:r w:rsidRPr="00C66DC4">
              <w:rPr>
                <w:rFonts w:ascii="Tms Rmn" w:hAnsi="Tms Rmn"/>
                <w:b w:val="0"/>
                <w:bCs/>
                <w:sz w:val="12"/>
                <w:lang w:val="en-GB"/>
              </w:rPr>
              <w:t> </w:t>
            </w:r>
            <w:r w:rsidRPr="00C66DC4">
              <w:rPr>
                <w:b w:val="0"/>
                <w:bCs/>
                <w:sz w:val="18"/>
                <w:lang w:val="en-GB"/>
              </w:rPr>
              <w:t>500</w:t>
            </w:r>
          </w:p>
        </w:tc>
        <w:tc>
          <w:tcPr>
            <w:tcW w:w="1988" w:type="dxa"/>
            <w:gridSpan w:val="2"/>
            <w:vAlign w:val="center"/>
          </w:tcPr>
          <w:p w:rsidR="002B753B" w:rsidRPr="00C66DC4" w:rsidRDefault="002B753B" w:rsidP="00FB75C5">
            <w:pPr>
              <w:pStyle w:val="Tablehead"/>
              <w:rPr>
                <w:b w:val="0"/>
                <w:bCs/>
                <w:sz w:val="18"/>
                <w:lang w:val="en-GB"/>
              </w:rPr>
            </w:pPr>
            <w:r w:rsidRPr="00C66DC4">
              <w:rPr>
                <w:b w:val="0"/>
                <w:bCs/>
                <w:i/>
                <w:iCs/>
                <w:sz w:val="18"/>
                <w:lang w:val="en-GB"/>
              </w:rPr>
              <w:t>L</w:t>
            </w:r>
            <w:r w:rsidRPr="00C66DC4">
              <w:rPr>
                <w:b w:val="0"/>
                <w:bCs/>
                <w:i/>
                <w:iCs/>
                <w:sz w:val="18"/>
                <w:vertAlign w:val="subscript"/>
                <w:lang w:val="en-GB"/>
              </w:rPr>
              <w:t>link</w:t>
            </w:r>
            <w:r w:rsidRPr="00C66DC4">
              <w:rPr>
                <w:b w:val="0"/>
                <w:bCs/>
                <w:sz w:val="18"/>
                <w:lang w:val="en-GB"/>
              </w:rPr>
              <w:t xml:space="preserve"> </w:t>
            </w:r>
            <w:r w:rsidRPr="00C66DC4">
              <w:rPr>
                <w:rFonts w:ascii="Symbol" w:hAnsi="Symbol"/>
                <w:b w:val="0"/>
                <w:bCs/>
                <w:sz w:val="18"/>
              </w:rPr>
              <w:t></w:t>
            </w:r>
            <w:r w:rsidRPr="00C66DC4">
              <w:rPr>
                <w:b w:val="0"/>
                <w:bCs/>
                <w:sz w:val="18"/>
                <w:lang w:val="en-GB"/>
              </w:rPr>
              <w:t xml:space="preserve"> 7</w:t>
            </w:r>
            <w:r w:rsidRPr="00C66DC4">
              <w:rPr>
                <w:rFonts w:ascii="Tms Rmn" w:hAnsi="Tms Rmn"/>
                <w:b w:val="0"/>
                <w:bCs/>
                <w:sz w:val="12"/>
                <w:lang w:val="en-GB"/>
              </w:rPr>
              <w:t> </w:t>
            </w:r>
            <w:r w:rsidRPr="00C66DC4">
              <w:rPr>
                <w:b w:val="0"/>
                <w:bCs/>
                <w:sz w:val="18"/>
                <w:lang w:val="en-GB"/>
              </w:rPr>
              <w:t>500</w:t>
            </w:r>
          </w:p>
        </w:tc>
      </w:tr>
      <w:tr w:rsidR="002B753B" w:rsidTr="00FB75C5">
        <w:trPr>
          <w:jc w:val="center"/>
        </w:trPr>
        <w:tc>
          <w:tcPr>
            <w:tcW w:w="1560" w:type="dxa"/>
          </w:tcPr>
          <w:p w:rsidR="002B753B" w:rsidRDefault="002B753B" w:rsidP="00FB75C5">
            <w:pPr>
              <w:pStyle w:val="Tabletext"/>
              <w:jc w:val="center"/>
              <w:rPr>
                <w:sz w:val="18"/>
                <w:lang w:val="en-GB"/>
              </w:rPr>
            </w:pPr>
          </w:p>
        </w:tc>
        <w:tc>
          <w:tcPr>
            <w:tcW w:w="932" w:type="dxa"/>
          </w:tcPr>
          <w:p w:rsidR="002B753B" w:rsidRDefault="002B753B" w:rsidP="00FB75C5">
            <w:pPr>
              <w:pStyle w:val="Tabletext"/>
              <w:jc w:val="center"/>
              <w:rPr>
                <w:sz w:val="18"/>
                <w:lang w:val="en-GB"/>
              </w:rPr>
            </w:pPr>
            <w:r>
              <w:rPr>
                <w:i/>
                <w:iCs/>
                <w:sz w:val="18"/>
                <w:lang w:val="en-GB"/>
              </w:rPr>
              <w:t>B</w:t>
            </w:r>
            <w:r>
              <w:rPr>
                <w:sz w:val="18"/>
                <w:vertAlign w:val="subscript"/>
                <w:lang w:val="en-GB"/>
              </w:rPr>
              <w:t>1</w:t>
            </w:r>
          </w:p>
        </w:tc>
        <w:tc>
          <w:tcPr>
            <w:tcW w:w="910" w:type="dxa"/>
          </w:tcPr>
          <w:p w:rsidR="002B753B" w:rsidRDefault="002B753B" w:rsidP="00FB75C5">
            <w:pPr>
              <w:pStyle w:val="Tabletext"/>
              <w:jc w:val="center"/>
              <w:rPr>
                <w:sz w:val="18"/>
                <w:lang w:val="en-GB"/>
              </w:rPr>
            </w:pPr>
            <w:r>
              <w:rPr>
                <w:i/>
                <w:iCs/>
                <w:sz w:val="18"/>
                <w:lang w:val="en-GB"/>
              </w:rPr>
              <w:t>C</w:t>
            </w:r>
            <w:r>
              <w:rPr>
                <w:sz w:val="18"/>
                <w:vertAlign w:val="subscript"/>
                <w:lang w:val="en-GB"/>
              </w:rPr>
              <w:t>1</w:t>
            </w:r>
          </w:p>
        </w:tc>
        <w:tc>
          <w:tcPr>
            <w:tcW w:w="924" w:type="dxa"/>
          </w:tcPr>
          <w:p w:rsidR="002B753B" w:rsidRDefault="002B753B" w:rsidP="00FB75C5">
            <w:pPr>
              <w:pStyle w:val="Tabletext"/>
              <w:jc w:val="center"/>
              <w:rPr>
                <w:sz w:val="18"/>
                <w:lang w:val="en-GB"/>
              </w:rPr>
            </w:pPr>
            <w:r>
              <w:rPr>
                <w:i/>
                <w:iCs/>
                <w:sz w:val="18"/>
                <w:lang w:val="en-GB"/>
              </w:rPr>
              <w:t>B</w:t>
            </w:r>
            <w:r>
              <w:rPr>
                <w:sz w:val="18"/>
                <w:vertAlign w:val="subscript"/>
                <w:lang w:val="en-GB"/>
              </w:rPr>
              <w:t>2</w:t>
            </w:r>
          </w:p>
        </w:tc>
        <w:tc>
          <w:tcPr>
            <w:tcW w:w="952" w:type="dxa"/>
          </w:tcPr>
          <w:p w:rsidR="002B753B" w:rsidRDefault="002B753B" w:rsidP="00FB75C5">
            <w:pPr>
              <w:pStyle w:val="Tabletext"/>
              <w:jc w:val="center"/>
              <w:rPr>
                <w:sz w:val="18"/>
                <w:lang w:val="en-GB"/>
              </w:rPr>
            </w:pPr>
            <w:r>
              <w:rPr>
                <w:i/>
                <w:iCs/>
                <w:sz w:val="18"/>
                <w:lang w:val="en-GB"/>
              </w:rPr>
              <w:t>C</w:t>
            </w:r>
            <w:r>
              <w:rPr>
                <w:sz w:val="18"/>
                <w:vertAlign w:val="subscript"/>
                <w:lang w:val="en-GB"/>
              </w:rPr>
              <w:t>2</w:t>
            </w:r>
          </w:p>
        </w:tc>
        <w:tc>
          <w:tcPr>
            <w:tcW w:w="979" w:type="dxa"/>
          </w:tcPr>
          <w:p w:rsidR="002B753B" w:rsidRDefault="002B753B" w:rsidP="00FB75C5">
            <w:pPr>
              <w:pStyle w:val="Tabletext"/>
              <w:jc w:val="center"/>
              <w:rPr>
                <w:sz w:val="18"/>
                <w:lang w:val="en-GB"/>
              </w:rPr>
            </w:pPr>
            <w:r>
              <w:rPr>
                <w:i/>
                <w:iCs/>
                <w:sz w:val="18"/>
                <w:lang w:val="en-GB"/>
              </w:rPr>
              <w:t>B</w:t>
            </w:r>
            <w:r>
              <w:rPr>
                <w:sz w:val="18"/>
                <w:vertAlign w:val="subscript"/>
                <w:lang w:val="en-GB"/>
              </w:rPr>
              <w:t>3</w:t>
            </w:r>
          </w:p>
        </w:tc>
        <w:tc>
          <w:tcPr>
            <w:tcW w:w="940" w:type="dxa"/>
          </w:tcPr>
          <w:p w:rsidR="002B753B" w:rsidRDefault="002B753B" w:rsidP="00FB75C5">
            <w:pPr>
              <w:pStyle w:val="Tabletext"/>
              <w:jc w:val="center"/>
              <w:rPr>
                <w:sz w:val="18"/>
                <w:lang w:val="en-GB"/>
              </w:rPr>
            </w:pPr>
            <w:r>
              <w:rPr>
                <w:i/>
                <w:iCs/>
                <w:sz w:val="18"/>
                <w:lang w:val="en-GB"/>
              </w:rPr>
              <w:t>C</w:t>
            </w:r>
            <w:r>
              <w:rPr>
                <w:sz w:val="18"/>
                <w:vertAlign w:val="subscript"/>
                <w:lang w:val="en-GB"/>
              </w:rPr>
              <w:t>3</w:t>
            </w:r>
          </w:p>
        </w:tc>
        <w:tc>
          <w:tcPr>
            <w:tcW w:w="992" w:type="dxa"/>
          </w:tcPr>
          <w:p w:rsidR="002B753B" w:rsidRDefault="002B753B" w:rsidP="00FB75C5">
            <w:pPr>
              <w:pStyle w:val="Tabletext"/>
              <w:jc w:val="center"/>
              <w:rPr>
                <w:sz w:val="18"/>
                <w:lang w:val="fr-CH"/>
              </w:rPr>
            </w:pPr>
            <w:r>
              <w:rPr>
                <w:i/>
                <w:iCs/>
                <w:sz w:val="18"/>
                <w:lang w:val="fr-CH"/>
              </w:rPr>
              <w:t>B</w:t>
            </w:r>
            <w:r>
              <w:rPr>
                <w:sz w:val="18"/>
                <w:vertAlign w:val="subscript"/>
                <w:lang w:val="fr-CH"/>
              </w:rPr>
              <w:t>4</w:t>
            </w:r>
          </w:p>
        </w:tc>
        <w:tc>
          <w:tcPr>
            <w:tcW w:w="1004" w:type="dxa"/>
            <w:gridSpan w:val="2"/>
          </w:tcPr>
          <w:p w:rsidR="002B753B" w:rsidRDefault="002B753B" w:rsidP="00FB75C5">
            <w:pPr>
              <w:pStyle w:val="Tabletext"/>
              <w:jc w:val="center"/>
              <w:rPr>
                <w:sz w:val="18"/>
                <w:lang w:val="fr-CH"/>
              </w:rPr>
            </w:pPr>
            <w:r>
              <w:rPr>
                <w:i/>
                <w:iCs/>
                <w:sz w:val="18"/>
                <w:lang w:val="fr-CH"/>
              </w:rPr>
              <w:t>C</w:t>
            </w:r>
            <w:r>
              <w:rPr>
                <w:sz w:val="18"/>
                <w:vertAlign w:val="subscript"/>
                <w:lang w:val="fr-CH"/>
              </w:rPr>
              <w:t>4</w:t>
            </w:r>
          </w:p>
        </w:tc>
      </w:tr>
      <w:tr w:rsidR="002B753B" w:rsidTr="00FB75C5">
        <w:trPr>
          <w:jc w:val="center"/>
        </w:trPr>
        <w:tc>
          <w:tcPr>
            <w:tcW w:w="1560" w:type="dxa"/>
          </w:tcPr>
          <w:p w:rsidR="002B753B" w:rsidRDefault="002B753B" w:rsidP="00FB75C5">
            <w:pPr>
              <w:pStyle w:val="Tabletext"/>
              <w:jc w:val="center"/>
              <w:rPr>
                <w:sz w:val="18"/>
                <w:lang w:val="ru-RU"/>
              </w:rPr>
            </w:pPr>
            <w:r>
              <w:rPr>
                <w:sz w:val="18"/>
                <w:lang w:val="ru-RU"/>
              </w:rPr>
              <w:t>Международный участок</w:t>
            </w:r>
          </w:p>
        </w:tc>
        <w:tc>
          <w:tcPr>
            <w:tcW w:w="932" w:type="dxa"/>
          </w:tcPr>
          <w:p w:rsidR="002B753B" w:rsidRDefault="002B753B" w:rsidP="00FB75C5">
            <w:pPr>
              <w:pStyle w:val="Tabletext"/>
              <w:ind w:left="-57" w:right="-57"/>
              <w:jc w:val="center"/>
              <w:rPr>
                <w:sz w:val="18"/>
                <w:lang w:val="en-GB"/>
              </w:rPr>
            </w:pPr>
            <w:r>
              <w:rPr>
                <w:sz w:val="18"/>
                <w:lang w:val="en-GB"/>
              </w:rPr>
              <w:t>1</w:t>
            </w:r>
            <w:r>
              <w:rPr>
                <w:sz w:val="18"/>
                <w:lang w:val="ru-RU"/>
              </w:rPr>
              <w:t>,</w:t>
            </w:r>
            <w:r>
              <w:rPr>
                <w:sz w:val="18"/>
                <w:lang w:val="en-GB"/>
              </w:rPr>
              <w:t xml:space="preserve">9 </w:t>
            </w:r>
            <w:r>
              <w:rPr>
                <w:rFonts w:ascii="Symbol" w:hAnsi="Symbol"/>
                <w:sz w:val="18"/>
              </w:rPr>
              <w:t></w:t>
            </w:r>
            <w:r>
              <w:rPr>
                <w:sz w:val="18"/>
                <w:lang w:val="en-GB"/>
              </w:rPr>
              <w:t xml:space="preserve"> 10</w:t>
            </w:r>
            <w:r>
              <w:rPr>
                <w:sz w:val="18"/>
                <w:vertAlign w:val="superscript"/>
                <w:lang w:val="en-GB"/>
              </w:rPr>
              <w:t>–3</w:t>
            </w:r>
          </w:p>
        </w:tc>
        <w:tc>
          <w:tcPr>
            <w:tcW w:w="910" w:type="dxa"/>
          </w:tcPr>
          <w:p w:rsidR="002B753B" w:rsidRDefault="002B753B" w:rsidP="00FB75C5">
            <w:pPr>
              <w:pStyle w:val="Tabletext"/>
              <w:ind w:left="-57" w:right="-57"/>
              <w:jc w:val="center"/>
              <w:rPr>
                <w:sz w:val="18"/>
                <w:lang w:val="en-GB"/>
              </w:rPr>
            </w:pPr>
            <w:r>
              <w:rPr>
                <w:sz w:val="18"/>
                <w:lang w:val="en-GB"/>
              </w:rPr>
              <w:t>1</w:t>
            </w:r>
            <w:r>
              <w:rPr>
                <w:sz w:val="18"/>
                <w:lang w:val="ru-RU"/>
              </w:rPr>
              <w:t>,</w:t>
            </w:r>
            <w:r>
              <w:rPr>
                <w:sz w:val="18"/>
                <w:lang w:val="en-GB"/>
              </w:rPr>
              <w:t xml:space="preserve">1 </w:t>
            </w:r>
            <w:r>
              <w:rPr>
                <w:rFonts w:ascii="Symbol" w:hAnsi="Symbol"/>
                <w:sz w:val="18"/>
              </w:rPr>
              <w:t></w:t>
            </w:r>
            <w:r>
              <w:rPr>
                <w:sz w:val="18"/>
                <w:lang w:val="en-GB"/>
              </w:rPr>
              <w:t xml:space="preserve"> 10</w:t>
            </w:r>
            <w:r>
              <w:rPr>
                <w:sz w:val="18"/>
                <w:vertAlign w:val="superscript"/>
                <w:lang w:val="en-GB"/>
              </w:rPr>
              <w:t>–4</w:t>
            </w:r>
          </w:p>
        </w:tc>
        <w:tc>
          <w:tcPr>
            <w:tcW w:w="924" w:type="dxa"/>
          </w:tcPr>
          <w:p w:rsidR="002B753B" w:rsidRDefault="002B753B" w:rsidP="00FB75C5">
            <w:pPr>
              <w:pStyle w:val="Tabletext"/>
              <w:ind w:left="-57" w:right="-57"/>
              <w:jc w:val="center"/>
              <w:rPr>
                <w:sz w:val="18"/>
                <w:lang w:val="en-GB"/>
              </w:rPr>
            </w:pPr>
            <w:r>
              <w:rPr>
                <w:sz w:val="18"/>
                <w:lang w:val="en-GB"/>
              </w:rPr>
              <w:t xml:space="preserve">3 </w:t>
            </w:r>
            <w:r>
              <w:rPr>
                <w:rFonts w:ascii="Symbol" w:hAnsi="Symbol"/>
                <w:sz w:val="18"/>
              </w:rPr>
              <w:t></w:t>
            </w:r>
            <w:r>
              <w:rPr>
                <w:sz w:val="18"/>
                <w:lang w:val="en-GB"/>
              </w:rPr>
              <w:t xml:space="preserve"> 10</w:t>
            </w:r>
            <w:r>
              <w:rPr>
                <w:sz w:val="18"/>
                <w:vertAlign w:val="superscript"/>
                <w:lang w:val="en-GB"/>
              </w:rPr>
              <w:t>–3</w:t>
            </w:r>
          </w:p>
        </w:tc>
        <w:tc>
          <w:tcPr>
            <w:tcW w:w="952" w:type="dxa"/>
          </w:tcPr>
          <w:p w:rsidR="002B753B" w:rsidRDefault="002B753B" w:rsidP="00FB75C5">
            <w:pPr>
              <w:pStyle w:val="Tabletext"/>
              <w:ind w:left="-57" w:right="-57"/>
              <w:jc w:val="center"/>
              <w:rPr>
                <w:sz w:val="18"/>
                <w:lang w:val="en-GB"/>
              </w:rPr>
            </w:pPr>
            <w:r>
              <w:rPr>
                <w:sz w:val="18"/>
                <w:lang w:val="en-GB"/>
              </w:rPr>
              <w:t>0</w:t>
            </w:r>
          </w:p>
        </w:tc>
        <w:tc>
          <w:tcPr>
            <w:tcW w:w="979" w:type="dxa"/>
          </w:tcPr>
          <w:p w:rsidR="002B753B" w:rsidRDefault="002B753B" w:rsidP="00FB75C5">
            <w:pPr>
              <w:pStyle w:val="Tabletext"/>
              <w:ind w:left="-57" w:right="-57"/>
              <w:jc w:val="center"/>
              <w:rPr>
                <w:sz w:val="18"/>
                <w:lang w:val="en-GB"/>
              </w:rPr>
            </w:pPr>
            <w:r>
              <w:rPr>
                <w:sz w:val="18"/>
                <w:lang w:val="en-GB"/>
              </w:rPr>
              <w:t xml:space="preserve">3 </w:t>
            </w:r>
            <w:r>
              <w:rPr>
                <w:rFonts w:ascii="Symbol" w:hAnsi="Symbol"/>
                <w:sz w:val="18"/>
              </w:rPr>
              <w:t></w:t>
            </w:r>
            <w:r>
              <w:rPr>
                <w:sz w:val="18"/>
                <w:lang w:val="en-GB"/>
              </w:rPr>
              <w:t xml:space="preserve"> 10</w:t>
            </w:r>
            <w:r>
              <w:rPr>
                <w:sz w:val="18"/>
                <w:vertAlign w:val="superscript"/>
                <w:lang w:val="en-GB"/>
              </w:rPr>
              <w:t>–3</w:t>
            </w:r>
          </w:p>
        </w:tc>
        <w:tc>
          <w:tcPr>
            <w:tcW w:w="940" w:type="dxa"/>
          </w:tcPr>
          <w:p w:rsidR="002B753B" w:rsidRDefault="002B753B" w:rsidP="00FB75C5">
            <w:pPr>
              <w:pStyle w:val="Tabletext"/>
              <w:ind w:left="-57" w:right="-57"/>
              <w:jc w:val="center"/>
              <w:rPr>
                <w:sz w:val="18"/>
                <w:lang w:val="en-GB"/>
              </w:rPr>
            </w:pPr>
            <w:r>
              <w:rPr>
                <w:sz w:val="18"/>
                <w:lang w:val="en-GB"/>
              </w:rPr>
              <w:t>0</w:t>
            </w:r>
          </w:p>
        </w:tc>
        <w:tc>
          <w:tcPr>
            <w:tcW w:w="992" w:type="dxa"/>
          </w:tcPr>
          <w:p w:rsidR="002B753B" w:rsidRDefault="002B753B" w:rsidP="00FB75C5">
            <w:pPr>
              <w:pStyle w:val="Tabletext"/>
              <w:ind w:left="-57" w:right="-57"/>
              <w:jc w:val="center"/>
              <w:rPr>
                <w:sz w:val="18"/>
                <w:lang w:val="en-GB"/>
              </w:rPr>
            </w:pPr>
            <w:r>
              <w:rPr>
                <w:sz w:val="18"/>
                <w:lang w:val="en-GB"/>
              </w:rPr>
              <w:t xml:space="preserve">3 </w:t>
            </w:r>
            <w:r>
              <w:rPr>
                <w:rFonts w:ascii="Symbol" w:hAnsi="Symbol"/>
                <w:sz w:val="18"/>
              </w:rPr>
              <w:t></w:t>
            </w:r>
            <w:r>
              <w:rPr>
                <w:sz w:val="18"/>
                <w:lang w:val="en-GB"/>
              </w:rPr>
              <w:t xml:space="preserve"> 10</w:t>
            </w:r>
            <w:r>
              <w:rPr>
                <w:sz w:val="18"/>
                <w:vertAlign w:val="superscript"/>
                <w:lang w:val="en-GB"/>
              </w:rPr>
              <w:t>–3</w:t>
            </w:r>
          </w:p>
        </w:tc>
        <w:tc>
          <w:tcPr>
            <w:tcW w:w="1004" w:type="dxa"/>
            <w:gridSpan w:val="2"/>
          </w:tcPr>
          <w:p w:rsidR="002B753B" w:rsidRDefault="002B753B" w:rsidP="00FB75C5">
            <w:pPr>
              <w:pStyle w:val="Tabletext"/>
              <w:ind w:left="-57" w:right="-57"/>
              <w:jc w:val="center"/>
              <w:rPr>
                <w:sz w:val="18"/>
                <w:lang w:val="en-GB"/>
              </w:rPr>
            </w:pPr>
            <w:r>
              <w:rPr>
                <w:sz w:val="18"/>
                <w:lang w:val="en-GB"/>
              </w:rPr>
              <w:t>0</w:t>
            </w:r>
          </w:p>
        </w:tc>
      </w:tr>
    </w:tbl>
    <w:p w:rsidR="002B753B" w:rsidRDefault="002B753B" w:rsidP="002B753B">
      <w:pPr>
        <w:pStyle w:val="Tablefin"/>
      </w:pPr>
    </w:p>
    <w:tbl>
      <w:tblPr>
        <w:tblW w:w="9747" w:type="dxa"/>
        <w:tblBorders>
          <w:left w:val="single" w:sz="4" w:space="0" w:color="auto"/>
        </w:tblBorders>
        <w:tblLook w:val="0000" w:firstRow="0" w:lastRow="0" w:firstColumn="0" w:lastColumn="0" w:noHBand="0" w:noVBand="0"/>
      </w:tblPr>
      <w:tblGrid>
        <w:gridCol w:w="436"/>
        <w:gridCol w:w="910"/>
        <w:gridCol w:w="689"/>
        <w:gridCol w:w="1131"/>
        <w:gridCol w:w="3333"/>
        <w:gridCol w:w="3248"/>
      </w:tblGrid>
      <w:tr w:rsidR="002B753B" w:rsidRPr="001A0CCE" w:rsidTr="005B1105">
        <w:trPr>
          <w:cantSplit/>
          <w:trHeight w:val="435"/>
          <w:tblHeader/>
        </w:trPr>
        <w:tc>
          <w:tcPr>
            <w:tcW w:w="9747" w:type="dxa"/>
            <w:gridSpan w:val="6"/>
            <w:tcBorders>
              <w:top w:val="nil"/>
              <w:left w:val="nil"/>
              <w:bottom w:val="single" w:sz="4" w:space="0" w:color="auto"/>
              <w:right w:val="nil"/>
            </w:tcBorders>
            <w:vAlign w:val="center"/>
          </w:tcPr>
          <w:p w:rsidR="002B753B" w:rsidRPr="002B753B" w:rsidRDefault="002B753B" w:rsidP="005B1105">
            <w:pPr>
              <w:pStyle w:val="TableNo"/>
              <w:spacing w:before="120"/>
              <w:rPr>
                <w:lang w:val="ru-RU"/>
              </w:rPr>
            </w:pPr>
            <w:r>
              <w:rPr>
                <w:lang w:val="ru-RU"/>
              </w:rPr>
              <w:t>ТАБЛИЦА</w:t>
            </w:r>
            <w:r w:rsidRPr="002B753B">
              <w:rPr>
                <w:lang w:val="ru-RU"/>
              </w:rPr>
              <w:t xml:space="preserve">  2</w:t>
            </w:r>
          </w:p>
          <w:p w:rsidR="002B753B" w:rsidRDefault="002B753B" w:rsidP="005B1105">
            <w:pPr>
              <w:pStyle w:val="Tabletitle"/>
              <w:rPr>
                <w:sz w:val="20"/>
                <w:lang w:val="ru-RU"/>
              </w:rPr>
            </w:pPr>
            <w:r>
              <w:rPr>
                <w:lang w:val="ru-RU"/>
              </w:rPr>
              <w:t xml:space="preserve">Параметры для показателей </w:t>
            </w:r>
            <w:r>
              <w:rPr>
                <w:lang w:val="en-GB"/>
              </w:rPr>
              <w:t>AR</w:t>
            </w:r>
            <w:r>
              <w:rPr>
                <w:lang w:val="ru-RU"/>
              </w:rPr>
              <w:t xml:space="preserve"> для линий, составляющих часть национального участка элемента  цифрового тракта с постоянной скоростью передачи</w:t>
            </w:r>
          </w:p>
        </w:tc>
      </w:tr>
      <w:tr w:rsidR="002B753B" w:rsidTr="005B1105">
        <w:trPr>
          <w:trHeight w:val="435"/>
          <w:tblHeader/>
        </w:trPr>
        <w:tc>
          <w:tcPr>
            <w:tcW w:w="1346" w:type="dxa"/>
            <w:gridSpan w:val="2"/>
            <w:tcBorders>
              <w:top w:val="single" w:sz="4" w:space="0" w:color="auto"/>
              <w:left w:val="single" w:sz="4" w:space="0" w:color="auto"/>
              <w:bottom w:val="single" w:sz="4" w:space="0" w:color="auto"/>
              <w:right w:val="single" w:sz="4" w:space="0" w:color="auto"/>
            </w:tcBorders>
            <w:vAlign w:val="center"/>
          </w:tcPr>
          <w:p w:rsidR="002B753B" w:rsidRDefault="002B753B" w:rsidP="005B1105">
            <w:pPr>
              <w:pStyle w:val="Tablehead"/>
              <w:rPr>
                <w:i/>
                <w:iCs/>
                <w:sz w:val="18"/>
                <w:lang w:val="ru-RU"/>
              </w:rPr>
            </w:pPr>
            <w:r>
              <w:rPr>
                <w:sz w:val="18"/>
                <w:lang w:val="ru-RU"/>
              </w:rPr>
              <w:t>Участок доступа</w:t>
            </w:r>
          </w:p>
        </w:tc>
        <w:tc>
          <w:tcPr>
            <w:tcW w:w="1820" w:type="dxa"/>
            <w:gridSpan w:val="2"/>
            <w:tcBorders>
              <w:top w:val="single" w:sz="4" w:space="0" w:color="auto"/>
              <w:left w:val="nil"/>
              <w:bottom w:val="single" w:sz="4" w:space="0" w:color="auto"/>
              <w:right w:val="single" w:sz="4" w:space="0" w:color="auto"/>
            </w:tcBorders>
          </w:tcPr>
          <w:p w:rsidR="002B753B" w:rsidRDefault="002B753B" w:rsidP="005B1105">
            <w:pPr>
              <w:pStyle w:val="Tablehead"/>
              <w:rPr>
                <w:i/>
                <w:iCs/>
                <w:sz w:val="18"/>
                <w:lang w:val="ru-RU"/>
              </w:rPr>
            </w:pPr>
            <w:r>
              <w:rPr>
                <w:sz w:val="18"/>
                <w:lang w:val="ru-RU"/>
              </w:rPr>
              <w:t>Короткопролетный участок</w:t>
            </w:r>
          </w:p>
        </w:tc>
        <w:tc>
          <w:tcPr>
            <w:tcW w:w="6581" w:type="dxa"/>
            <w:gridSpan w:val="2"/>
            <w:tcBorders>
              <w:top w:val="single" w:sz="4" w:space="0" w:color="auto"/>
              <w:left w:val="nil"/>
              <w:bottom w:val="single" w:sz="4" w:space="0" w:color="auto"/>
              <w:right w:val="single" w:sz="4" w:space="0" w:color="auto"/>
            </w:tcBorders>
            <w:vAlign w:val="center"/>
          </w:tcPr>
          <w:p w:rsidR="002B753B" w:rsidRDefault="002B753B" w:rsidP="005B1105">
            <w:pPr>
              <w:pStyle w:val="Tablehead"/>
              <w:rPr>
                <w:i/>
                <w:iCs/>
                <w:sz w:val="18"/>
                <w:lang w:val="ru-RU"/>
              </w:rPr>
            </w:pPr>
            <w:r>
              <w:rPr>
                <w:sz w:val="18"/>
                <w:lang w:val="ru-RU"/>
              </w:rPr>
              <w:t>Длиннопролетный участок</w:t>
            </w:r>
          </w:p>
        </w:tc>
      </w:tr>
      <w:tr w:rsidR="002B753B" w:rsidTr="005B1105">
        <w:trPr>
          <w:trHeight w:val="269"/>
        </w:trPr>
        <w:tc>
          <w:tcPr>
            <w:tcW w:w="436" w:type="dxa"/>
            <w:tcBorders>
              <w:top w:val="nil"/>
              <w:left w:val="single" w:sz="4" w:space="0" w:color="auto"/>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B</w:t>
            </w:r>
            <w:r>
              <w:rPr>
                <w:sz w:val="18"/>
                <w:vertAlign w:val="subscript"/>
                <w:lang w:val="en-US"/>
              </w:rPr>
              <w:t>5</w:t>
            </w:r>
          </w:p>
        </w:tc>
        <w:tc>
          <w:tcPr>
            <w:tcW w:w="910" w:type="dxa"/>
            <w:tcBorders>
              <w:top w:val="nil"/>
              <w:left w:val="single" w:sz="4" w:space="0" w:color="auto"/>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C</w:t>
            </w:r>
            <w:r>
              <w:rPr>
                <w:sz w:val="18"/>
                <w:vertAlign w:val="subscript"/>
                <w:lang w:val="en-US"/>
              </w:rPr>
              <w:t>5</w:t>
            </w:r>
          </w:p>
        </w:tc>
        <w:tc>
          <w:tcPr>
            <w:tcW w:w="689" w:type="dxa"/>
            <w:tcBorders>
              <w:top w:val="nil"/>
              <w:left w:val="nil"/>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B</w:t>
            </w:r>
            <w:r>
              <w:rPr>
                <w:sz w:val="18"/>
                <w:vertAlign w:val="subscript"/>
                <w:lang w:val="en-US"/>
              </w:rPr>
              <w:t>6</w:t>
            </w:r>
          </w:p>
        </w:tc>
        <w:tc>
          <w:tcPr>
            <w:tcW w:w="1131" w:type="dxa"/>
            <w:tcBorders>
              <w:top w:val="nil"/>
              <w:left w:val="nil"/>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C</w:t>
            </w:r>
            <w:r>
              <w:rPr>
                <w:sz w:val="18"/>
                <w:vertAlign w:val="subscript"/>
                <w:lang w:val="en-US"/>
              </w:rPr>
              <w:t>6</w:t>
            </w:r>
          </w:p>
        </w:tc>
        <w:tc>
          <w:tcPr>
            <w:tcW w:w="3333" w:type="dxa"/>
            <w:tcBorders>
              <w:top w:val="nil"/>
              <w:left w:val="nil"/>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B</w:t>
            </w:r>
            <w:r>
              <w:rPr>
                <w:sz w:val="18"/>
                <w:vertAlign w:val="subscript"/>
                <w:lang w:val="en-US"/>
              </w:rPr>
              <w:t>7</w:t>
            </w:r>
          </w:p>
        </w:tc>
        <w:tc>
          <w:tcPr>
            <w:tcW w:w="3248" w:type="dxa"/>
            <w:tcBorders>
              <w:top w:val="nil"/>
              <w:left w:val="nil"/>
              <w:bottom w:val="single" w:sz="4" w:space="0" w:color="auto"/>
              <w:right w:val="single" w:sz="4" w:space="0" w:color="auto"/>
            </w:tcBorders>
          </w:tcPr>
          <w:p w:rsidR="002B753B" w:rsidRDefault="002B753B" w:rsidP="005B1105">
            <w:pPr>
              <w:pStyle w:val="Tabletext"/>
              <w:jc w:val="center"/>
              <w:rPr>
                <w:sz w:val="18"/>
                <w:lang w:val="en-US"/>
              </w:rPr>
            </w:pPr>
            <w:r>
              <w:rPr>
                <w:i/>
                <w:iCs/>
                <w:sz w:val="18"/>
                <w:lang w:val="en-US"/>
              </w:rPr>
              <w:t>C</w:t>
            </w:r>
            <w:r>
              <w:rPr>
                <w:sz w:val="18"/>
                <w:vertAlign w:val="subscript"/>
                <w:lang w:val="en-US"/>
              </w:rPr>
              <w:t>7</w:t>
            </w:r>
          </w:p>
        </w:tc>
      </w:tr>
      <w:tr w:rsidR="002B753B" w:rsidRPr="001A0CCE" w:rsidTr="005B1105">
        <w:trPr>
          <w:trHeight w:val="20"/>
        </w:trPr>
        <w:tc>
          <w:tcPr>
            <w:tcW w:w="436" w:type="dxa"/>
            <w:tcBorders>
              <w:top w:val="single" w:sz="4" w:space="0" w:color="auto"/>
              <w:left w:val="single" w:sz="4" w:space="0" w:color="auto"/>
              <w:bottom w:val="single" w:sz="4" w:space="0" w:color="auto"/>
              <w:right w:val="single" w:sz="4" w:space="0" w:color="auto"/>
            </w:tcBorders>
          </w:tcPr>
          <w:p w:rsidR="002B753B" w:rsidRDefault="002B753B" w:rsidP="005B1105">
            <w:pPr>
              <w:pStyle w:val="Tabletext"/>
              <w:jc w:val="center"/>
              <w:rPr>
                <w:sz w:val="18"/>
                <w:lang w:val="en-US"/>
              </w:rPr>
            </w:pPr>
            <w:r>
              <w:rPr>
                <w:sz w:val="18"/>
                <w:lang w:val="en-US"/>
              </w:rPr>
              <w:t>0</w:t>
            </w:r>
          </w:p>
        </w:tc>
        <w:tc>
          <w:tcPr>
            <w:tcW w:w="910" w:type="dxa"/>
            <w:tcBorders>
              <w:top w:val="single" w:sz="4" w:space="0" w:color="auto"/>
              <w:left w:val="single" w:sz="4" w:space="0" w:color="auto"/>
              <w:bottom w:val="single" w:sz="4" w:space="0" w:color="auto"/>
              <w:right w:val="single" w:sz="4" w:space="0" w:color="auto"/>
            </w:tcBorders>
          </w:tcPr>
          <w:p w:rsidR="002B753B" w:rsidRDefault="002B753B" w:rsidP="005B1105">
            <w:pPr>
              <w:pStyle w:val="Tabletext"/>
              <w:jc w:val="center"/>
              <w:rPr>
                <w:sz w:val="18"/>
                <w:lang w:val="en-US"/>
              </w:rPr>
            </w:pPr>
            <w:r>
              <w:rPr>
                <w:sz w:val="18"/>
                <w:lang w:val="en-US"/>
              </w:rPr>
              <w:t xml:space="preserve">5 </w:t>
            </w:r>
            <w:r>
              <w:rPr>
                <w:rFonts w:ascii="Symbol" w:hAnsi="Symbol"/>
                <w:sz w:val="18"/>
              </w:rPr>
              <w:t></w:t>
            </w:r>
            <w:r>
              <w:rPr>
                <w:sz w:val="18"/>
                <w:lang w:val="en-US"/>
              </w:rPr>
              <w:t xml:space="preserve"> 10</w:t>
            </w:r>
            <w:r>
              <w:rPr>
                <w:sz w:val="18"/>
                <w:vertAlign w:val="superscript"/>
                <w:lang w:val="en-US"/>
              </w:rPr>
              <w:t>–4</w:t>
            </w:r>
          </w:p>
        </w:tc>
        <w:tc>
          <w:tcPr>
            <w:tcW w:w="689" w:type="dxa"/>
            <w:tcBorders>
              <w:top w:val="single" w:sz="4" w:space="0" w:color="auto"/>
              <w:left w:val="nil"/>
              <w:bottom w:val="single" w:sz="4" w:space="0" w:color="auto"/>
              <w:right w:val="single" w:sz="4" w:space="0" w:color="auto"/>
            </w:tcBorders>
          </w:tcPr>
          <w:p w:rsidR="002B753B" w:rsidRDefault="002B753B" w:rsidP="005B1105">
            <w:pPr>
              <w:pStyle w:val="Tabletext"/>
              <w:jc w:val="center"/>
              <w:rPr>
                <w:sz w:val="18"/>
                <w:lang w:val="en-US"/>
              </w:rPr>
            </w:pPr>
            <w:r>
              <w:rPr>
                <w:sz w:val="18"/>
                <w:lang w:val="en-US"/>
              </w:rPr>
              <w:t>0</w:t>
            </w:r>
          </w:p>
        </w:tc>
        <w:tc>
          <w:tcPr>
            <w:tcW w:w="1131" w:type="dxa"/>
            <w:tcBorders>
              <w:top w:val="single" w:sz="4" w:space="0" w:color="auto"/>
              <w:left w:val="nil"/>
              <w:bottom w:val="single" w:sz="4" w:space="0" w:color="auto"/>
              <w:right w:val="single" w:sz="4" w:space="0" w:color="auto"/>
            </w:tcBorders>
          </w:tcPr>
          <w:p w:rsidR="002B753B" w:rsidRDefault="002B753B" w:rsidP="005B1105">
            <w:pPr>
              <w:pStyle w:val="Tabletext"/>
              <w:jc w:val="center"/>
              <w:rPr>
                <w:sz w:val="18"/>
                <w:lang w:val="en-US"/>
              </w:rPr>
            </w:pPr>
            <w:r>
              <w:rPr>
                <w:sz w:val="18"/>
                <w:lang w:val="en-US"/>
              </w:rPr>
              <w:t xml:space="preserve">4 </w:t>
            </w:r>
            <w:r>
              <w:rPr>
                <w:rFonts w:ascii="Symbol" w:hAnsi="Symbol"/>
                <w:sz w:val="18"/>
              </w:rPr>
              <w:t></w:t>
            </w:r>
            <w:r>
              <w:rPr>
                <w:sz w:val="18"/>
                <w:lang w:val="en-US"/>
              </w:rPr>
              <w:t xml:space="preserve"> 10</w:t>
            </w:r>
            <w:r>
              <w:rPr>
                <w:sz w:val="18"/>
                <w:vertAlign w:val="superscript"/>
                <w:lang w:val="en-US"/>
              </w:rPr>
              <w:t>–4</w:t>
            </w:r>
          </w:p>
        </w:tc>
        <w:tc>
          <w:tcPr>
            <w:tcW w:w="3333" w:type="dxa"/>
            <w:tcBorders>
              <w:top w:val="single" w:sz="4" w:space="0" w:color="auto"/>
              <w:left w:val="nil"/>
              <w:bottom w:val="single" w:sz="4" w:space="0" w:color="auto"/>
              <w:right w:val="single" w:sz="4" w:space="0" w:color="auto"/>
            </w:tcBorders>
            <w:tcMar>
              <w:left w:w="85" w:type="dxa"/>
              <w:right w:w="85" w:type="dxa"/>
            </w:tcMar>
          </w:tcPr>
          <w:p w:rsidR="002B753B" w:rsidRDefault="002B753B" w:rsidP="005B1105">
            <w:pPr>
              <w:pStyle w:val="Tabletext"/>
              <w:tabs>
                <w:tab w:val="clear" w:pos="284"/>
              </w:tabs>
              <w:ind w:left="33"/>
              <w:jc w:val="left"/>
              <w:rPr>
                <w:sz w:val="18"/>
                <w:lang w:val="en-US"/>
              </w:rPr>
            </w:pPr>
            <w:r>
              <w:rPr>
                <w:sz w:val="18"/>
                <w:lang w:val="en-US"/>
              </w:rPr>
              <w:t>3 </w:t>
            </w:r>
            <w:r>
              <w:rPr>
                <w:rFonts w:ascii="Symbol" w:hAnsi="Symbol"/>
                <w:sz w:val="18"/>
              </w:rPr>
              <w:t></w:t>
            </w:r>
            <w:r>
              <w:rPr>
                <w:sz w:val="18"/>
                <w:lang w:val="en-US"/>
              </w:rPr>
              <w:t> 10</w:t>
            </w:r>
            <w:r>
              <w:rPr>
                <w:sz w:val="18"/>
                <w:vertAlign w:val="superscript"/>
                <w:lang w:val="en-US"/>
              </w:rPr>
              <w:t>–3</w:t>
            </w:r>
            <w:r>
              <w:rPr>
                <w:position w:val="6"/>
                <w:sz w:val="18"/>
                <w:lang w:val="en-US"/>
              </w:rPr>
              <w:tab/>
            </w:r>
            <w:r>
              <w:rPr>
                <w:sz w:val="18"/>
                <w:lang w:val="ru-RU"/>
              </w:rPr>
              <w:t>для</w:t>
            </w:r>
            <w:r>
              <w:rPr>
                <w:sz w:val="18"/>
                <w:lang w:val="en-US"/>
              </w:rPr>
              <w:t xml:space="preserve"> 250 </w:t>
            </w:r>
            <w:r>
              <w:rPr>
                <w:sz w:val="18"/>
                <w:lang w:val="ru-RU"/>
              </w:rPr>
              <w:t>км</w:t>
            </w:r>
            <w:r>
              <w:rPr>
                <w:sz w:val="18"/>
                <w:lang w:val="en-US"/>
              </w:rPr>
              <w:t xml:space="preserve">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w:t>
            </w:r>
            <w:r>
              <w:rPr>
                <w:sz w:val="18"/>
                <w:lang w:val="ru-RU"/>
              </w:rPr>
              <w:t>км</w:t>
            </w:r>
          </w:p>
          <w:p w:rsidR="002B753B" w:rsidRDefault="002B753B" w:rsidP="005B1105">
            <w:pPr>
              <w:pStyle w:val="Tabletext"/>
              <w:tabs>
                <w:tab w:val="clear" w:pos="284"/>
              </w:tabs>
              <w:ind w:left="33"/>
              <w:jc w:val="left"/>
              <w:rPr>
                <w:sz w:val="18"/>
                <w:lang w:val="en-US"/>
              </w:rPr>
            </w:pPr>
            <w:r>
              <w:rPr>
                <w:sz w:val="18"/>
                <w:lang w:val="en-US"/>
              </w:rPr>
              <w:t>1,9 </w:t>
            </w:r>
            <w:r>
              <w:rPr>
                <w:rFonts w:ascii="Symbol" w:hAnsi="Symbol"/>
                <w:sz w:val="18"/>
              </w:rPr>
              <w:t></w:t>
            </w:r>
            <w:r>
              <w:rPr>
                <w:sz w:val="18"/>
                <w:lang w:val="en-US"/>
              </w:rPr>
              <w:t> 10</w:t>
            </w:r>
            <w:r>
              <w:rPr>
                <w:sz w:val="18"/>
                <w:vertAlign w:val="superscript"/>
                <w:lang w:val="en-US"/>
              </w:rPr>
              <w:t>–3</w:t>
            </w:r>
            <w:r>
              <w:rPr>
                <w:sz w:val="18"/>
                <w:lang w:val="en-US"/>
              </w:rPr>
              <w:tab/>
            </w:r>
            <w:r>
              <w:rPr>
                <w:sz w:val="18"/>
                <w:lang w:val="ru-RU"/>
              </w:rPr>
              <w:t>для</w:t>
            </w:r>
            <w:r>
              <w:rPr>
                <w:sz w:val="18"/>
                <w:lang w:val="en-US"/>
              </w:rPr>
              <w:t xml:space="preserve"> </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w:t>
            </w:r>
            <w:r>
              <w:rPr>
                <w:sz w:val="18"/>
                <w:lang w:val="ru-RU"/>
              </w:rPr>
              <w:t>км</w:t>
            </w:r>
          </w:p>
        </w:tc>
        <w:tc>
          <w:tcPr>
            <w:tcW w:w="3248" w:type="dxa"/>
            <w:tcBorders>
              <w:top w:val="single" w:sz="4" w:space="0" w:color="auto"/>
              <w:left w:val="nil"/>
              <w:bottom w:val="single" w:sz="4" w:space="0" w:color="auto"/>
              <w:right w:val="single" w:sz="4" w:space="0" w:color="auto"/>
            </w:tcBorders>
          </w:tcPr>
          <w:p w:rsidR="002B753B" w:rsidRPr="00C66DC4" w:rsidRDefault="002B753B" w:rsidP="005B1105">
            <w:pPr>
              <w:pStyle w:val="Tabletext"/>
              <w:jc w:val="left"/>
              <w:rPr>
                <w:sz w:val="18"/>
                <w:lang w:val="en-US"/>
              </w:rPr>
            </w:pPr>
            <w:r w:rsidRPr="00C66DC4">
              <w:rPr>
                <w:sz w:val="18"/>
                <w:lang w:val="en-US"/>
              </w:rPr>
              <w:t>0</w:t>
            </w:r>
            <w:r w:rsidRPr="00C66DC4">
              <w:rPr>
                <w:sz w:val="18"/>
                <w:lang w:val="en-US"/>
              </w:rPr>
              <w:tab/>
            </w:r>
            <w:r w:rsidRPr="00C66DC4">
              <w:rPr>
                <w:sz w:val="18"/>
                <w:lang w:val="en-US"/>
              </w:rPr>
              <w:tab/>
            </w:r>
            <w:r w:rsidRPr="00C66DC4">
              <w:rPr>
                <w:sz w:val="18"/>
                <w:lang w:val="en-US"/>
              </w:rPr>
              <w:tab/>
            </w:r>
            <w:r>
              <w:rPr>
                <w:sz w:val="18"/>
                <w:lang w:val="ru-RU"/>
              </w:rPr>
              <w:t>для</w:t>
            </w:r>
            <w:r w:rsidRPr="00C66DC4">
              <w:rPr>
                <w:sz w:val="18"/>
                <w:lang w:val="en-US"/>
              </w:rPr>
              <w:t xml:space="preserve"> 250</w:t>
            </w:r>
            <w:r>
              <w:rPr>
                <w:sz w:val="18"/>
                <w:lang w:val="en-US"/>
              </w:rPr>
              <w:t> </w:t>
            </w:r>
            <w:r>
              <w:rPr>
                <w:sz w:val="18"/>
                <w:lang w:val="ru-RU"/>
              </w:rPr>
              <w:t>км</w:t>
            </w:r>
            <w:r w:rsidRPr="00C66DC4">
              <w:rPr>
                <w:sz w:val="18"/>
                <w:lang w:val="en-US"/>
              </w:rPr>
              <w:t xml:space="preserve"> </w:t>
            </w:r>
            <w:r>
              <w:rPr>
                <w:rFonts w:ascii="Symbol" w:hAnsi="Symbol"/>
                <w:sz w:val="18"/>
              </w:rPr>
              <w:sym w:font="Symbol" w:char="00A3"/>
            </w:r>
            <w:r w:rsidRPr="00C66DC4">
              <w:rPr>
                <w:sz w:val="18"/>
                <w:lang w:val="en-US"/>
              </w:rPr>
              <w:t xml:space="preserve"> </w:t>
            </w:r>
            <w:r>
              <w:rPr>
                <w:i/>
                <w:iCs/>
                <w:sz w:val="18"/>
                <w:lang w:val="en-US"/>
              </w:rPr>
              <w:t>L</w:t>
            </w:r>
            <w:r>
              <w:rPr>
                <w:i/>
                <w:iCs/>
                <w:sz w:val="18"/>
                <w:vertAlign w:val="subscript"/>
                <w:lang w:val="en-US"/>
              </w:rPr>
              <w:t>link</w:t>
            </w:r>
            <w:r w:rsidRPr="00C66DC4">
              <w:rPr>
                <w:sz w:val="18"/>
                <w:lang w:val="en-US"/>
              </w:rPr>
              <w:t xml:space="preserve"> </w:t>
            </w:r>
            <w:r>
              <w:rPr>
                <w:rFonts w:ascii="Symbol" w:hAnsi="Symbol"/>
                <w:sz w:val="18"/>
              </w:rPr>
              <w:t></w:t>
            </w:r>
            <w:r w:rsidRPr="00C66DC4">
              <w:rPr>
                <w:sz w:val="18"/>
                <w:lang w:val="en-US"/>
              </w:rPr>
              <w:t xml:space="preserve"> 2</w:t>
            </w:r>
            <w:r>
              <w:rPr>
                <w:rFonts w:ascii="Tms Rmn" w:hAnsi="Tms Rmn"/>
                <w:sz w:val="12"/>
                <w:lang w:val="en-US"/>
              </w:rPr>
              <w:t> </w:t>
            </w:r>
            <w:r w:rsidRPr="00C66DC4">
              <w:rPr>
                <w:sz w:val="18"/>
                <w:lang w:val="en-US"/>
              </w:rPr>
              <w:t>500</w:t>
            </w:r>
            <w:r>
              <w:rPr>
                <w:sz w:val="18"/>
                <w:lang w:val="en-US"/>
              </w:rPr>
              <w:t> </w:t>
            </w:r>
            <w:r>
              <w:rPr>
                <w:sz w:val="18"/>
                <w:lang w:val="ru-RU"/>
              </w:rPr>
              <w:t>км</w:t>
            </w:r>
          </w:p>
          <w:p w:rsidR="002B753B" w:rsidRPr="00C66DC4" w:rsidRDefault="002B753B" w:rsidP="005B1105">
            <w:pPr>
              <w:pStyle w:val="Tabletext"/>
              <w:tabs>
                <w:tab w:val="clear" w:pos="1134"/>
                <w:tab w:val="left" w:pos="1021"/>
              </w:tabs>
              <w:jc w:val="left"/>
              <w:rPr>
                <w:sz w:val="18"/>
                <w:lang w:val="en-US"/>
              </w:rPr>
            </w:pPr>
            <w:r w:rsidRPr="00C66DC4">
              <w:rPr>
                <w:sz w:val="18"/>
                <w:lang w:val="en-US"/>
              </w:rPr>
              <w:t xml:space="preserve">1,1 </w:t>
            </w:r>
            <w:r>
              <w:rPr>
                <w:rFonts w:ascii="Symbol" w:hAnsi="Symbol"/>
                <w:sz w:val="18"/>
              </w:rPr>
              <w:t></w:t>
            </w:r>
            <w:r w:rsidRPr="00C66DC4">
              <w:rPr>
                <w:sz w:val="18"/>
                <w:lang w:val="en-US"/>
              </w:rPr>
              <w:t xml:space="preserve"> 10</w:t>
            </w:r>
            <w:r w:rsidRPr="00C66DC4">
              <w:rPr>
                <w:sz w:val="18"/>
                <w:vertAlign w:val="superscript"/>
                <w:lang w:val="en-US"/>
              </w:rPr>
              <w:t>–</w:t>
            </w:r>
            <w:r w:rsidRPr="00C66DC4">
              <w:rPr>
                <w:sz w:val="16"/>
                <w:vertAlign w:val="superscript"/>
                <w:lang w:val="en-US"/>
              </w:rPr>
              <w:t>4</w:t>
            </w:r>
            <w:r w:rsidRPr="00C66DC4">
              <w:rPr>
                <w:sz w:val="18"/>
                <w:lang w:val="en-US"/>
              </w:rPr>
              <w:tab/>
            </w:r>
            <w:r>
              <w:rPr>
                <w:sz w:val="18"/>
                <w:lang w:val="ru-RU"/>
              </w:rPr>
              <w:t>для</w:t>
            </w:r>
            <w:r w:rsidRPr="00C66DC4">
              <w:rPr>
                <w:sz w:val="18"/>
                <w:lang w:val="en-US"/>
              </w:rPr>
              <w:t xml:space="preserve"> </w:t>
            </w:r>
            <w:r>
              <w:rPr>
                <w:i/>
                <w:iCs/>
                <w:sz w:val="18"/>
                <w:lang w:val="en-US"/>
              </w:rPr>
              <w:t>L</w:t>
            </w:r>
            <w:r>
              <w:rPr>
                <w:i/>
                <w:iCs/>
                <w:sz w:val="18"/>
                <w:vertAlign w:val="subscript"/>
                <w:lang w:val="en-US"/>
              </w:rPr>
              <w:t>min</w:t>
            </w:r>
            <w:r>
              <w:rPr>
                <w:sz w:val="18"/>
                <w:lang w:val="en-US"/>
              </w:rPr>
              <w:t> </w:t>
            </w:r>
            <w:r>
              <w:rPr>
                <w:sz w:val="18"/>
              </w:rPr>
              <w:sym w:font="Symbol" w:char="00A3"/>
            </w:r>
            <w:r>
              <w:rPr>
                <w:sz w:val="18"/>
                <w:lang w:val="en-US"/>
              </w:rPr>
              <w:t> </w:t>
            </w:r>
            <w:r>
              <w:rPr>
                <w:i/>
                <w:iCs/>
                <w:sz w:val="18"/>
                <w:lang w:val="en-US"/>
              </w:rPr>
              <w:t>L</w:t>
            </w:r>
            <w:r>
              <w:rPr>
                <w:i/>
                <w:iCs/>
                <w:sz w:val="18"/>
                <w:vertAlign w:val="subscript"/>
                <w:lang w:val="en-US"/>
              </w:rPr>
              <w:t>link</w:t>
            </w:r>
            <w:r>
              <w:rPr>
                <w:sz w:val="18"/>
                <w:lang w:val="en-US"/>
              </w:rPr>
              <w:t> </w:t>
            </w:r>
            <w:r>
              <w:rPr>
                <w:rFonts w:ascii="Symbol" w:hAnsi="Symbol"/>
                <w:sz w:val="18"/>
              </w:rPr>
              <w:t></w:t>
            </w:r>
            <w:r>
              <w:rPr>
                <w:sz w:val="18"/>
                <w:lang w:val="en-US"/>
              </w:rPr>
              <w:t> </w:t>
            </w:r>
            <w:r w:rsidRPr="00C66DC4">
              <w:rPr>
                <w:sz w:val="18"/>
                <w:lang w:val="en-US"/>
              </w:rPr>
              <w:t>250</w:t>
            </w:r>
            <w:r>
              <w:rPr>
                <w:sz w:val="18"/>
                <w:lang w:val="en-US"/>
              </w:rPr>
              <w:t> </w:t>
            </w:r>
            <w:r>
              <w:rPr>
                <w:sz w:val="18"/>
                <w:lang w:val="ru-RU"/>
              </w:rPr>
              <w:t>км</w:t>
            </w:r>
          </w:p>
        </w:tc>
      </w:tr>
    </w:tbl>
    <w:p w:rsidR="002B753B" w:rsidRPr="00C66DC4" w:rsidRDefault="002B753B" w:rsidP="002B753B">
      <w:pPr>
        <w:pStyle w:val="Tablefin"/>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992"/>
        <w:gridCol w:w="992"/>
        <w:gridCol w:w="993"/>
        <w:gridCol w:w="924"/>
        <w:gridCol w:w="918"/>
        <w:gridCol w:w="993"/>
        <w:gridCol w:w="996"/>
      </w:tblGrid>
      <w:tr w:rsidR="002B753B" w:rsidRPr="001A0CCE" w:rsidTr="001A0CCE">
        <w:trPr>
          <w:cantSplit/>
          <w:jc w:val="center"/>
        </w:trPr>
        <w:tc>
          <w:tcPr>
            <w:tcW w:w="9360" w:type="dxa"/>
            <w:gridSpan w:val="9"/>
            <w:tcBorders>
              <w:top w:val="nil"/>
              <w:left w:val="nil"/>
              <w:right w:val="nil"/>
            </w:tcBorders>
          </w:tcPr>
          <w:p w:rsidR="002B753B" w:rsidRPr="008E0174" w:rsidRDefault="002B753B" w:rsidP="00FB75C5">
            <w:pPr>
              <w:pStyle w:val="TableNo"/>
              <w:rPr>
                <w:lang w:val="ru-RU"/>
              </w:rPr>
            </w:pPr>
            <w:r>
              <w:rPr>
                <w:lang w:val="ru-RU"/>
              </w:rPr>
              <w:lastRenderedPageBreak/>
              <w:t>ТАБЛИЦА</w:t>
            </w:r>
            <w:r w:rsidRPr="008E0174">
              <w:rPr>
                <w:lang w:val="ru-RU"/>
              </w:rPr>
              <w:t xml:space="preserve">  3</w:t>
            </w:r>
          </w:p>
          <w:p w:rsidR="002B753B" w:rsidRDefault="002B753B" w:rsidP="00FB75C5">
            <w:pPr>
              <w:pStyle w:val="Tabletitle"/>
              <w:rPr>
                <w:i/>
                <w:iCs/>
                <w:sz w:val="20"/>
                <w:lang w:val="ru-RU"/>
              </w:rPr>
            </w:pPr>
            <w:r>
              <w:rPr>
                <w:lang w:val="ru-RU"/>
              </w:rPr>
              <w:t xml:space="preserve">Параметры для показателей </w:t>
            </w:r>
            <w:r>
              <w:rPr>
                <w:lang w:val="en-GB"/>
              </w:rPr>
              <w:t>OI</w:t>
            </w:r>
            <w:r>
              <w:rPr>
                <w:lang w:val="ru-RU"/>
              </w:rPr>
              <w:t xml:space="preserve"> для линий, составляющих часть международного участка цифрового тракта с постоянной скоростью передачи</w:t>
            </w:r>
          </w:p>
        </w:tc>
      </w:tr>
      <w:tr w:rsidR="002B753B" w:rsidRPr="00C66DC4" w:rsidTr="001A0CCE">
        <w:trPr>
          <w:jc w:val="center"/>
        </w:trPr>
        <w:tc>
          <w:tcPr>
            <w:tcW w:w="1560" w:type="dxa"/>
          </w:tcPr>
          <w:p w:rsidR="002B753B" w:rsidRPr="00C66DC4" w:rsidRDefault="002B753B" w:rsidP="00FB75C5">
            <w:pPr>
              <w:pStyle w:val="Tablehead"/>
              <w:rPr>
                <w:b w:val="0"/>
                <w:bCs/>
                <w:sz w:val="18"/>
              </w:rPr>
            </w:pPr>
            <w:r w:rsidRPr="00C66DC4">
              <w:rPr>
                <w:b w:val="0"/>
                <w:bCs/>
                <w:sz w:val="18"/>
                <w:lang w:val="ru-RU"/>
              </w:rPr>
              <w:t xml:space="preserve">Длина </w:t>
            </w:r>
            <w:r w:rsidRPr="00C66DC4">
              <w:rPr>
                <w:b w:val="0"/>
                <w:bCs/>
                <w:sz w:val="18"/>
              </w:rPr>
              <w:t>(км)</w:t>
            </w:r>
          </w:p>
        </w:tc>
        <w:tc>
          <w:tcPr>
            <w:tcW w:w="1984" w:type="dxa"/>
            <w:gridSpan w:val="2"/>
            <w:vAlign w:val="center"/>
          </w:tcPr>
          <w:p w:rsidR="002B753B" w:rsidRPr="00C66DC4" w:rsidRDefault="002B753B" w:rsidP="00FB75C5">
            <w:pPr>
              <w:pStyle w:val="Tablehead"/>
              <w:rPr>
                <w:b w:val="0"/>
                <w:bCs/>
                <w:sz w:val="18"/>
                <w:lang w:val="fr-CH"/>
              </w:rPr>
            </w:pPr>
            <w:r w:rsidRPr="00C66DC4">
              <w:rPr>
                <w:b w:val="0"/>
                <w:bCs/>
                <w:i/>
                <w:iCs/>
                <w:sz w:val="18"/>
                <w:lang w:val="fr-CH"/>
              </w:rPr>
              <w:t>L</w:t>
            </w:r>
            <w:r w:rsidRPr="00C66DC4">
              <w:rPr>
                <w:b w:val="0"/>
                <w:bCs/>
                <w:i/>
                <w:iCs/>
                <w:sz w:val="18"/>
                <w:vertAlign w:val="subscript"/>
                <w:lang w:val="fr-CH"/>
              </w:rPr>
              <w:t>min</w:t>
            </w:r>
            <w:r w:rsidRPr="00C66DC4">
              <w:rPr>
                <w:b w:val="0"/>
                <w:bCs/>
                <w:sz w:val="18"/>
                <w:lang w:val="fr-CH"/>
              </w:rPr>
              <w:t xml:space="preserve"> </w:t>
            </w:r>
            <w:r w:rsidRPr="00C66DC4">
              <w:rPr>
                <w:rFonts w:ascii="Symbol" w:hAnsi="Symbol"/>
                <w:b w:val="0"/>
                <w:bCs/>
                <w:sz w:val="18"/>
              </w:rPr>
              <w:sym w:font="Symbol" w:char="F0A3"/>
            </w:r>
            <w:r w:rsidRPr="00C66DC4">
              <w:rPr>
                <w:b w:val="0"/>
                <w:bCs/>
                <w:sz w:val="18"/>
                <w:lang w:val="fr-CH"/>
              </w:rPr>
              <w:t xml:space="preserve"> </w:t>
            </w:r>
            <w:r w:rsidRPr="00C66DC4">
              <w:rPr>
                <w:b w:val="0"/>
                <w:bCs/>
                <w:i/>
                <w:iCs/>
                <w:sz w:val="18"/>
                <w:lang w:val="fr-CH"/>
              </w:rPr>
              <w:t>L</w:t>
            </w:r>
            <w:r w:rsidRPr="00C66DC4">
              <w:rPr>
                <w:b w:val="0"/>
                <w:bCs/>
                <w:i/>
                <w:iCs/>
                <w:sz w:val="18"/>
                <w:vertAlign w:val="subscript"/>
                <w:lang w:val="fr-CH"/>
              </w:rPr>
              <w:t>link</w:t>
            </w:r>
            <w:r w:rsidRPr="00C66DC4">
              <w:rPr>
                <w:b w:val="0"/>
                <w:bCs/>
                <w:sz w:val="18"/>
                <w:lang w:val="fr-CH"/>
              </w:rPr>
              <w:t xml:space="preserve"> </w:t>
            </w:r>
            <w:r w:rsidRPr="00C66DC4">
              <w:rPr>
                <w:rFonts w:ascii="Symbol" w:hAnsi="Symbol"/>
                <w:b w:val="0"/>
                <w:bCs/>
                <w:sz w:val="18"/>
              </w:rPr>
              <w:sym w:font="Symbol" w:char="F0A3"/>
            </w:r>
            <w:r w:rsidRPr="00C66DC4">
              <w:rPr>
                <w:b w:val="0"/>
                <w:bCs/>
                <w:sz w:val="18"/>
                <w:lang w:val="fr-CH"/>
              </w:rPr>
              <w:t xml:space="preserve"> 250</w:t>
            </w:r>
          </w:p>
        </w:tc>
        <w:tc>
          <w:tcPr>
            <w:tcW w:w="1985" w:type="dxa"/>
            <w:gridSpan w:val="2"/>
            <w:vAlign w:val="center"/>
          </w:tcPr>
          <w:p w:rsidR="002B753B" w:rsidRPr="00C66DC4" w:rsidRDefault="002B753B" w:rsidP="00FB75C5">
            <w:pPr>
              <w:pStyle w:val="Tablehead"/>
              <w:rPr>
                <w:b w:val="0"/>
                <w:bCs/>
                <w:sz w:val="18"/>
                <w:lang w:val="en-US"/>
              </w:rPr>
            </w:pPr>
            <w:r w:rsidRPr="00C66DC4">
              <w:rPr>
                <w:b w:val="0"/>
                <w:bCs/>
                <w:sz w:val="18"/>
                <w:lang w:val="en-US"/>
              </w:rPr>
              <w:t xml:space="preserve">250 </w:t>
            </w:r>
            <w:r w:rsidRPr="00C66DC4">
              <w:rPr>
                <w:rFonts w:ascii="Symbol" w:hAnsi="Symbol"/>
                <w:b w:val="0"/>
                <w:bCs/>
                <w:sz w:val="18"/>
              </w:rPr>
              <w:t></w:t>
            </w:r>
            <w:r w:rsidRPr="00C66DC4">
              <w:rPr>
                <w:b w:val="0"/>
                <w:bCs/>
                <w:sz w:val="18"/>
                <w:lang w:val="en-US"/>
              </w:rPr>
              <w:t xml:space="preserve"> </w:t>
            </w:r>
            <w:r w:rsidRPr="00C66DC4">
              <w:rPr>
                <w:b w:val="0"/>
                <w:bCs/>
                <w:i/>
                <w:iCs/>
                <w:sz w:val="18"/>
                <w:lang w:val="en-US"/>
              </w:rPr>
              <w:t>L</w:t>
            </w:r>
            <w:r w:rsidRPr="00C66DC4">
              <w:rPr>
                <w:b w:val="0"/>
                <w:bCs/>
                <w:i/>
                <w:iCs/>
                <w:sz w:val="18"/>
                <w:vertAlign w:val="subscript"/>
                <w:lang w:val="en-US"/>
              </w:rPr>
              <w:t>link</w:t>
            </w:r>
            <w:r w:rsidRPr="00C66DC4">
              <w:rPr>
                <w:b w:val="0"/>
                <w:bCs/>
                <w:sz w:val="18"/>
                <w:lang w:val="en-US"/>
              </w:rPr>
              <w:t xml:space="preserve"> </w:t>
            </w:r>
            <w:r w:rsidRPr="00C66DC4">
              <w:rPr>
                <w:rFonts w:ascii="Symbol" w:hAnsi="Symbol"/>
                <w:b w:val="0"/>
                <w:bCs/>
                <w:sz w:val="18"/>
              </w:rPr>
              <w:sym w:font="Symbol" w:char="F0A3"/>
            </w:r>
            <w:r w:rsidRPr="00C66DC4">
              <w:rPr>
                <w:b w:val="0"/>
                <w:bCs/>
                <w:sz w:val="18"/>
                <w:lang w:val="en-US"/>
              </w:rPr>
              <w:t xml:space="preserve"> 2</w:t>
            </w:r>
            <w:r w:rsidRPr="00C66DC4">
              <w:rPr>
                <w:rFonts w:ascii="Tms Rmn" w:hAnsi="Tms Rmn"/>
                <w:b w:val="0"/>
                <w:bCs/>
                <w:sz w:val="12"/>
                <w:lang w:val="en-GB"/>
              </w:rPr>
              <w:t> </w:t>
            </w:r>
            <w:r w:rsidRPr="00C66DC4">
              <w:rPr>
                <w:b w:val="0"/>
                <w:bCs/>
                <w:sz w:val="18"/>
                <w:lang w:val="en-US"/>
              </w:rPr>
              <w:t>500</w:t>
            </w:r>
          </w:p>
        </w:tc>
        <w:tc>
          <w:tcPr>
            <w:tcW w:w="1842" w:type="dxa"/>
            <w:gridSpan w:val="2"/>
            <w:vAlign w:val="center"/>
          </w:tcPr>
          <w:p w:rsidR="002B753B" w:rsidRPr="00C66DC4" w:rsidRDefault="002B753B" w:rsidP="00FB75C5">
            <w:pPr>
              <w:pStyle w:val="Tablehead"/>
              <w:rPr>
                <w:b w:val="0"/>
                <w:bCs/>
                <w:sz w:val="18"/>
                <w:lang w:val="en-US"/>
              </w:rPr>
            </w:pPr>
            <w:r w:rsidRPr="00C66DC4">
              <w:rPr>
                <w:b w:val="0"/>
                <w:bCs/>
                <w:sz w:val="18"/>
                <w:lang w:val="en-US"/>
              </w:rPr>
              <w:t>2</w:t>
            </w:r>
            <w:r w:rsidRPr="00C66DC4">
              <w:rPr>
                <w:rFonts w:ascii="Tms Rmn" w:hAnsi="Tms Rmn"/>
                <w:b w:val="0"/>
                <w:bCs/>
                <w:sz w:val="12"/>
                <w:lang w:val="en-GB"/>
              </w:rPr>
              <w:t> </w:t>
            </w:r>
            <w:r w:rsidRPr="00C66DC4">
              <w:rPr>
                <w:b w:val="0"/>
                <w:bCs/>
                <w:sz w:val="18"/>
                <w:lang w:val="en-US"/>
              </w:rPr>
              <w:t xml:space="preserve">500 </w:t>
            </w:r>
            <w:r w:rsidRPr="00C66DC4">
              <w:rPr>
                <w:rFonts w:ascii="Symbol" w:hAnsi="Symbol"/>
                <w:b w:val="0"/>
                <w:bCs/>
                <w:sz w:val="18"/>
              </w:rPr>
              <w:t></w:t>
            </w:r>
            <w:r w:rsidRPr="00C66DC4">
              <w:rPr>
                <w:b w:val="0"/>
                <w:bCs/>
                <w:sz w:val="18"/>
                <w:lang w:val="en-US"/>
              </w:rPr>
              <w:t xml:space="preserve"> </w:t>
            </w:r>
            <w:r w:rsidRPr="00C66DC4">
              <w:rPr>
                <w:b w:val="0"/>
                <w:bCs/>
                <w:i/>
                <w:iCs/>
                <w:sz w:val="18"/>
                <w:lang w:val="en-US"/>
              </w:rPr>
              <w:t>L</w:t>
            </w:r>
            <w:r w:rsidRPr="00C66DC4">
              <w:rPr>
                <w:b w:val="0"/>
                <w:bCs/>
                <w:i/>
                <w:iCs/>
                <w:sz w:val="18"/>
                <w:vertAlign w:val="subscript"/>
                <w:lang w:val="en-US"/>
              </w:rPr>
              <w:t>link</w:t>
            </w:r>
            <w:r w:rsidRPr="00C66DC4">
              <w:rPr>
                <w:b w:val="0"/>
                <w:bCs/>
                <w:sz w:val="18"/>
                <w:lang w:val="en-US"/>
              </w:rPr>
              <w:t xml:space="preserve"> </w:t>
            </w:r>
            <w:r w:rsidRPr="00C66DC4">
              <w:rPr>
                <w:rFonts w:ascii="Symbol" w:hAnsi="Symbol"/>
                <w:b w:val="0"/>
                <w:bCs/>
                <w:sz w:val="18"/>
              </w:rPr>
              <w:sym w:font="Symbol" w:char="F0A3"/>
            </w:r>
            <w:r w:rsidRPr="00C66DC4">
              <w:rPr>
                <w:b w:val="0"/>
                <w:bCs/>
                <w:sz w:val="18"/>
                <w:lang w:val="en-US"/>
              </w:rPr>
              <w:t xml:space="preserve"> 7</w:t>
            </w:r>
            <w:r w:rsidRPr="00C66DC4">
              <w:rPr>
                <w:rFonts w:ascii="Tms Rmn" w:hAnsi="Tms Rmn"/>
                <w:b w:val="0"/>
                <w:bCs/>
                <w:sz w:val="12"/>
                <w:lang w:val="en-GB"/>
              </w:rPr>
              <w:t> </w:t>
            </w:r>
            <w:r w:rsidRPr="00C66DC4">
              <w:rPr>
                <w:b w:val="0"/>
                <w:bCs/>
                <w:sz w:val="18"/>
                <w:lang w:val="en-US"/>
              </w:rPr>
              <w:t>500</w:t>
            </w:r>
          </w:p>
        </w:tc>
        <w:tc>
          <w:tcPr>
            <w:tcW w:w="1989" w:type="dxa"/>
            <w:gridSpan w:val="2"/>
            <w:vAlign w:val="center"/>
          </w:tcPr>
          <w:p w:rsidR="002B753B" w:rsidRPr="00C66DC4" w:rsidRDefault="002B753B" w:rsidP="00FB75C5">
            <w:pPr>
              <w:pStyle w:val="Tablehead"/>
              <w:rPr>
                <w:b w:val="0"/>
                <w:bCs/>
                <w:sz w:val="18"/>
                <w:lang w:val="en-US"/>
              </w:rPr>
            </w:pPr>
            <w:r w:rsidRPr="00C66DC4">
              <w:rPr>
                <w:b w:val="0"/>
                <w:bCs/>
                <w:i/>
                <w:iCs/>
                <w:sz w:val="18"/>
                <w:lang w:val="en-US"/>
              </w:rPr>
              <w:t>L</w:t>
            </w:r>
            <w:r w:rsidRPr="00C66DC4">
              <w:rPr>
                <w:b w:val="0"/>
                <w:bCs/>
                <w:i/>
                <w:iCs/>
                <w:sz w:val="18"/>
                <w:vertAlign w:val="subscript"/>
                <w:lang w:val="en-US"/>
              </w:rPr>
              <w:t>link</w:t>
            </w:r>
            <w:r w:rsidRPr="00C66DC4">
              <w:rPr>
                <w:b w:val="0"/>
                <w:bCs/>
                <w:sz w:val="18"/>
                <w:lang w:val="en-US"/>
              </w:rPr>
              <w:t xml:space="preserve"> </w:t>
            </w:r>
            <w:r w:rsidRPr="00C66DC4">
              <w:rPr>
                <w:rFonts w:ascii="Symbol" w:hAnsi="Symbol"/>
                <w:b w:val="0"/>
                <w:bCs/>
                <w:sz w:val="18"/>
              </w:rPr>
              <w:t></w:t>
            </w:r>
            <w:r w:rsidRPr="00C66DC4">
              <w:rPr>
                <w:b w:val="0"/>
                <w:bCs/>
                <w:sz w:val="18"/>
                <w:lang w:val="en-US"/>
              </w:rPr>
              <w:t xml:space="preserve"> 7</w:t>
            </w:r>
            <w:r w:rsidRPr="00C66DC4">
              <w:rPr>
                <w:rFonts w:ascii="Tms Rmn" w:hAnsi="Tms Rmn"/>
                <w:b w:val="0"/>
                <w:bCs/>
                <w:sz w:val="12"/>
                <w:lang w:val="en-GB"/>
              </w:rPr>
              <w:t> </w:t>
            </w:r>
            <w:r w:rsidRPr="00C66DC4">
              <w:rPr>
                <w:b w:val="0"/>
                <w:bCs/>
                <w:sz w:val="18"/>
                <w:lang w:val="en-US"/>
              </w:rPr>
              <w:t>500</w:t>
            </w:r>
          </w:p>
        </w:tc>
      </w:tr>
      <w:tr w:rsidR="002B753B" w:rsidTr="001A0CCE">
        <w:trPr>
          <w:jc w:val="center"/>
        </w:trPr>
        <w:tc>
          <w:tcPr>
            <w:tcW w:w="1560" w:type="dxa"/>
          </w:tcPr>
          <w:p w:rsidR="002B753B" w:rsidRDefault="002B753B" w:rsidP="00FB75C5">
            <w:pPr>
              <w:pStyle w:val="Tabletext"/>
              <w:jc w:val="center"/>
              <w:rPr>
                <w:sz w:val="18"/>
                <w:lang w:val="en-US"/>
              </w:rPr>
            </w:pPr>
          </w:p>
        </w:tc>
        <w:tc>
          <w:tcPr>
            <w:tcW w:w="992" w:type="dxa"/>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1</w:t>
            </w:r>
          </w:p>
        </w:tc>
        <w:tc>
          <w:tcPr>
            <w:tcW w:w="992" w:type="dxa"/>
          </w:tcPr>
          <w:p w:rsidR="002B753B" w:rsidRDefault="002B753B" w:rsidP="00FB75C5">
            <w:pPr>
              <w:pStyle w:val="Tabletext"/>
              <w:jc w:val="center"/>
              <w:rPr>
                <w:sz w:val="18"/>
                <w:lang w:val="es-ES_tradnl"/>
              </w:rPr>
            </w:pPr>
            <w:r>
              <w:rPr>
                <w:i/>
                <w:iCs/>
                <w:sz w:val="18"/>
                <w:lang w:val="es-ES_tradnl"/>
              </w:rPr>
              <w:t>E</w:t>
            </w:r>
            <w:r>
              <w:rPr>
                <w:sz w:val="18"/>
                <w:vertAlign w:val="subscript"/>
                <w:lang w:val="es-ES_tradnl"/>
              </w:rPr>
              <w:t>1</w:t>
            </w:r>
          </w:p>
        </w:tc>
        <w:tc>
          <w:tcPr>
            <w:tcW w:w="992" w:type="dxa"/>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2</w:t>
            </w:r>
          </w:p>
        </w:tc>
        <w:tc>
          <w:tcPr>
            <w:tcW w:w="993" w:type="dxa"/>
          </w:tcPr>
          <w:p w:rsidR="002B753B" w:rsidRPr="00C66DC4" w:rsidRDefault="002B753B" w:rsidP="00FB75C5">
            <w:pPr>
              <w:pStyle w:val="Tabletext"/>
              <w:jc w:val="center"/>
              <w:rPr>
                <w:sz w:val="18"/>
                <w:lang w:val="ru-RU"/>
              </w:rPr>
            </w:pPr>
            <w:r>
              <w:rPr>
                <w:i/>
                <w:iCs/>
                <w:sz w:val="18"/>
                <w:lang w:val="es-ES_tradnl"/>
              </w:rPr>
              <w:t>E</w:t>
            </w:r>
            <w:r>
              <w:rPr>
                <w:sz w:val="18"/>
                <w:vertAlign w:val="subscript"/>
                <w:lang w:val="es-ES_tradnl"/>
              </w:rPr>
              <w:t>2</w:t>
            </w:r>
          </w:p>
        </w:tc>
        <w:tc>
          <w:tcPr>
            <w:tcW w:w="924" w:type="dxa"/>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3</w:t>
            </w:r>
          </w:p>
        </w:tc>
        <w:tc>
          <w:tcPr>
            <w:tcW w:w="918" w:type="dxa"/>
          </w:tcPr>
          <w:p w:rsidR="002B753B" w:rsidRDefault="002B753B" w:rsidP="00FB75C5">
            <w:pPr>
              <w:pStyle w:val="Tabletext"/>
              <w:jc w:val="center"/>
              <w:rPr>
                <w:sz w:val="18"/>
                <w:lang w:val="es-ES_tradnl"/>
              </w:rPr>
            </w:pPr>
            <w:r>
              <w:rPr>
                <w:i/>
                <w:iCs/>
                <w:sz w:val="18"/>
                <w:lang w:val="es-ES_tradnl"/>
              </w:rPr>
              <w:t>E</w:t>
            </w:r>
            <w:r>
              <w:rPr>
                <w:sz w:val="18"/>
                <w:vertAlign w:val="subscript"/>
                <w:lang w:val="es-ES_tradnl"/>
              </w:rPr>
              <w:t>3</w:t>
            </w:r>
          </w:p>
        </w:tc>
        <w:tc>
          <w:tcPr>
            <w:tcW w:w="993" w:type="dxa"/>
          </w:tcPr>
          <w:p w:rsidR="002B753B" w:rsidRDefault="002B753B" w:rsidP="00FB75C5">
            <w:pPr>
              <w:pStyle w:val="Tabletext"/>
              <w:jc w:val="center"/>
              <w:rPr>
                <w:sz w:val="18"/>
                <w:lang w:val="fr-CH"/>
              </w:rPr>
            </w:pPr>
            <w:r>
              <w:rPr>
                <w:i/>
                <w:iCs/>
                <w:sz w:val="18"/>
                <w:lang w:val="fr-CH"/>
              </w:rPr>
              <w:t>D</w:t>
            </w:r>
            <w:r>
              <w:rPr>
                <w:sz w:val="18"/>
                <w:vertAlign w:val="subscript"/>
                <w:lang w:val="fr-CH"/>
              </w:rPr>
              <w:t>4</w:t>
            </w:r>
          </w:p>
        </w:tc>
        <w:tc>
          <w:tcPr>
            <w:tcW w:w="996" w:type="dxa"/>
          </w:tcPr>
          <w:p w:rsidR="002B753B" w:rsidRDefault="002B753B" w:rsidP="00FB75C5">
            <w:pPr>
              <w:pStyle w:val="Tabletext"/>
              <w:jc w:val="center"/>
              <w:rPr>
                <w:sz w:val="18"/>
                <w:lang w:val="fr-CH"/>
              </w:rPr>
            </w:pPr>
            <w:r>
              <w:rPr>
                <w:i/>
                <w:iCs/>
                <w:sz w:val="18"/>
                <w:lang w:val="fr-CH"/>
              </w:rPr>
              <w:t>E</w:t>
            </w:r>
            <w:r>
              <w:rPr>
                <w:sz w:val="18"/>
                <w:vertAlign w:val="subscript"/>
                <w:lang w:val="fr-CH"/>
              </w:rPr>
              <w:t>4</w:t>
            </w:r>
          </w:p>
        </w:tc>
      </w:tr>
      <w:tr w:rsidR="002B753B" w:rsidTr="001A0CCE">
        <w:trPr>
          <w:jc w:val="center"/>
        </w:trPr>
        <w:tc>
          <w:tcPr>
            <w:tcW w:w="1560" w:type="dxa"/>
          </w:tcPr>
          <w:p w:rsidR="002B753B" w:rsidRDefault="002B753B" w:rsidP="001A0CCE">
            <w:pPr>
              <w:pStyle w:val="Tabletext"/>
              <w:jc w:val="center"/>
              <w:rPr>
                <w:sz w:val="18"/>
              </w:rPr>
            </w:pPr>
            <w:r>
              <w:rPr>
                <w:sz w:val="18"/>
                <w:lang w:val="ru-RU"/>
              </w:rPr>
              <w:t>Международный участок</w:t>
            </w:r>
          </w:p>
        </w:tc>
        <w:tc>
          <w:tcPr>
            <w:tcW w:w="992" w:type="dxa"/>
          </w:tcPr>
          <w:p w:rsidR="002B753B" w:rsidRDefault="002B753B" w:rsidP="00FB75C5">
            <w:pPr>
              <w:pStyle w:val="Tabletext"/>
              <w:jc w:val="center"/>
              <w:rPr>
                <w:sz w:val="18"/>
              </w:rPr>
            </w:pPr>
            <w:r>
              <w:rPr>
                <w:sz w:val="18"/>
              </w:rPr>
              <w:t>150</w:t>
            </w:r>
          </w:p>
        </w:tc>
        <w:tc>
          <w:tcPr>
            <w:tcW w:w="992" w:type="dxa"/>
          </w:tcPr>
          <w:p w:rsidR="002B753B" w:rsidRDefault="002B753B" w:rsidP="00FB75C5">
            <w:pPr>
              <w:pStyle w:val="Tabletext"/>
              <w:jc w:val="center"/>
              <w:rPr>
                <w:sz w:val="18"/>
              </w:rPr>
            </w:pPr>
            <w:r>
              <w:rPr>
                <w:sz w:val="18"/>
              </w:rPr>
              <w:t>50</w:t>
            </w:r>
          </w:p>
        </w:tc>
        <w:tc>
          <w:tcPr>
            <w:tcW w:w="992" w:type="dxa"/>
          </w:tcPr>
          <w:p w:rsidR="002B753B" w:rsidRDefault="002B753B" w:rsidP="00FB75C5">
            <w:pPr>
              <w:pStyle w:val="Tabletext"/>
              <w:jc w:val="center"/>
              <w:rPr>
                <w:sz w:val="18"/>
              </w:rPr>
            </w:pPr>
            <w:r>
              <w:rPr>
                <w:sz w:val="18"/>
              </w:rPr>
              <w:t>100</w:t>
            </w:r>
          </w:p>
        </w:tc>
        <w:tc>
          <w:tcPr>
            <w:tcW w:w="993" w:type="dxa"/>
          </w:tcPr>
          <w:p w:rsidR="002B753B" w:rsidRDefault="002B753B" w:rsidP="00FB75C5">
            <w:pPr>
              <w:pStyle w:val="Tabletext"/>
              <w:jc w:val="center"/>
              <w:rPr>
                <w:sz w:val="18"/>
              </w:rPr>
            </w:pPr>
            <w:r>
              <w:rPr>
                <w:sz w:val="18"/>
              </w:rPr>
              <w:t>55</w:t>
            </w:r>
          </w:p>
        </w:tc>
        <w:tc>
          <w:tcPr>
            <w:tcW w:w="924" w:type="dxa"/>
          </w:tcPr>
          <w:p w:rsidR="002B753B" w:rsidRDefault="002B753B" w:rsidP="00FB75C5">
            <w:pPr>
              <w:pStyle w:val="Tabletext"/>
              <w:jc w:val="center"/>
              <w:rPr>
                <w:sz w:val="18"/>
              </w:rPr>
            </w:pPr>
            <w:r>
              <w:rPr>
                <w:sz w:val="18"/>
              </w:rPr>
              <w:t>100</w:t>
            </w:r>
          </w:p>
        </w:tc>
        <w:tc>
          <w:tcPr>
            <w:tcW w:w="918" w:type="dxa"/>
          </w:tcPr>
          <w:p w:rsidR="002B753B" w:rsidRDefault="002B753B" w:rsidP="00FB75C5">
            <w:pPr>
              <w:pStyle w:val="Tabletext"/>
              <w:jc w:val="center"/>
              <w:rPr>
                <w:sz w:val="18"/>
              </w:rPr>
            </w:pPr>
            <w:r>
              <w:rPr>
                <w:sz w:val="18"/>
              </w:rPr>
              <w:t>55</w:t>
            </w:r>
          </w:p>
        </w:tc>
        <w:tc>
          <w:tcPr>
            <w:tcW w:w="993" w:type="dxa"/>
          </w:tcPr>
          <w:p w:rsidR="002B753B" w:rsidRDefault="002B753B" w:rsidP="00FB75C5">
            <w:pPr>
              <w:pStyle w:val="Tabletext"/>
              <w:jc w:val="center"/>
              <w:rPr>
                <w:sz w:val="18"/>
              </w:rPr>
            </w:pPr>
            <w:r>
              <w:rPr>
                <w:sz w:val="18"/>
              </w:rPr>
              <w:t>100</w:t>
            </w:r>
          </w:p>
        </w:tc>
        <w:tc>
          <w:tcPr>
            <w:tcW w:w="996" w:type="dxa"/>
          </w:tcPr>
          <w:p w:rsidR="002B753B" w:rsidRDefault="002B753B" w:rsidP="00FB75C5">
            <w:pPr>
              <w:pStyle w:val="Tabletext"/>
              <w:jc w:val="center"/>
              <w:rPr>
                <w:sz w:val="18"/>
              </w:rPr>
            </w:pPr>
            <w:r>
              <w:rPr>
                <w:sz w:val="18"/>
              </w:rPr>
              <w:t>55</w:t>
            </w:r>
          </w:p>
        </w:tc>
      </w:tr>
    </w:tbl>
    <w:p w:rsidR="002B753B" w:rsidRDefault="002B753B" w:rsidP="002B753B">
      <w:pPr>
        <w:pStyle w:val="Tablefin"/>
        <w:rPr>
          <w:lang w:val="fr-CH"/>
        </w:rPr>
      </w:pPr>
    </w:p>
    <w:tbl>
      <w:tblPr>
        <w:tblW w:w="9889" w:type="dxa"/>
        <w:jc w:val="center"/>
        <w:tblBorders>
          <w:left w:val="single" w:sz="4" w:space="0" w:color="auto"/>
        </w:tblBorders>
        <w:tblLayout w:type="fixed"/>
        <w:tblLook w:val="0000" w:firstRow="0" w:lastRow="0" w:firstColumn="0" w:lastColumn="0" w:noHBand="0" w:noVBand="0"/>
      </w:tblPr>
      <w:tblGrid>
        <w:gridCol w:w="613"/>
        <w:gridCol w:w="1130"/>
        <w:gridCol w:w="655"/>
        <w:gridCol w:w="1310"/>
        <w:gridCol w:w="3060"/>
        <w:gridCol w:w="3121"/>
      </w:tblGrid>
      <w:tr w:rsidR="002B753B" w:rsidRPr="001A0CCE" w:rsidTr="00FB75C5">
        <w:trPr>
          <w:cantSplit/>
          <w:trHeight w:val="435"/>
          <w:tblHeader/>
          <w:jc w:val="center"/>
        </w:trPr>
        <w:tc>
          <w:tcPr>
            <w:tcW w:w="9889" w:type="dxa"/>
            <w:gridSpan w:val="6"/>
            <w:tcBorders>
              <w:top w:val="nil"/>
              <w:left w:val="nil"/>
              <w:bottom w:val="single" w:sz="4" w:space="0" w:color="auto"/>
              <w:right w:val="nil"/>
            </w:tcBorders>
            <w:vAlign w:val="center"/>
          </w:tcPr>
          <w:p w:rsidR="002B753B" w:rsidRPr="002B753B" w:rsidRDefault="002B753B" w:rsidP="00FB75C5">
            <w:pPr>
              <w:pStyle w:val="TableNo"/>
              <w:rPr>
                <w:lang w:val="ru-RU"/>
              </w:rPr>
            </w:pPr>
            <w:r>
              <w:rPr>
                <w:lang w:val="ru-RU"/>
              </w:rPr>
              <w:t>ТАБЛИЦА</w:t>
            </w:r>
            <w:r w:rsidRPr="002B753B">
              <w:rPr>
                <w:lang w:val="ru-RU"/>
              </w:rPr>
              <w:t xml:space="preserve">  4</w:t>
            </w:r>
          </w:p>
          <w:p w:rsidR="002B753B" w:rsidRPr="002B753B" w:rsidRDefault="002B753B" w:rsidP="00FB75C5">
            <w:pPr>
              <w:pStyle w:val="Tabletitle"/>
              <w:rPr>
                <w:sz w:val="20"/>
                <w:lang w:val="ru-RU"/>
              </w:rPr>
            </w:pPr>
            <w:r>
              <w:rPr>
                <w:lang w:val="ru-RU"/>
              </w:rPr>
              <w:t>Параметры</w:t>
            </w:r>
            <w:r w:rsidRPr="002B753B">
              <w:rPr>
                <w:lang w:val="ru-RU"/>
              </w:rPr>
              <w:t xml:space="preserve"> </w:t>
            </w:r>
            <w:r>
              <w:rPr>
                <w:lang w:val="ru-RU"/>
              </w:rPr>
              <w:t>для</w:t>
            </w:r>
            <w:r w:rsidRPr="002B753B">
              <w:rPr>
                <w:lang w:val="ru-RU"/>
              </w:rPr>
              <w:t xml:space="preserve"> </w:t>
            </w:r>
            <w:r>
              <w:rPr>
                <w:lang w:val="ru-RU"/>
              </w:rPr>
              <w:t>показателей</w:t>
            </w:r>
            <w:r w:rsidRPr="002B753B">
              <w:rPr>
                <w:lang w:val="ru-RU"/>
              </w:rPr>
              <w:t xml:space="preserve"> </w:t>
            </w:r>
            <w:r>
              <w:rPr>
                <w:lang w:val="fr-CH"/>
              </w:rPr>
              <w:t>OI</w:t>
            </w:r>
            <w:r w:rsidRPr="002B753B">
              <w:rPr>
                <w:lang w:val="ru-RU"/>
              </w:rPr>
              <w:t xml:space="preserve"> </w:t>
            </w:r>
            <w:r>
              <w:rPr>
                <w:lang w:val="ru-RU"/>
              </w:rPr>
              <w:t>для</w:t>
            </w:r>
            <w:r w:rsidRPr="002B753B">
              <w:rPr>
                <w:lang w:val="ru-RU"/>
              </w:rPr>
              <w:t xml:space="preserve"> </w:t>
            </w:r>
            <w:r>
              <w:rPr>
                <w:lang w:val="ru-RU"/>
              </w:rPr>
              <w:t>линий</w:t>
            </w:r>
            <w:r w:rsidRPr="002B753B">
              <w:rPr>
                <w:lang w:val="ru-RU"/>
              </w:rPr>
              <w:t xml:space="preserve">, </w:t>
            </w:r>
            <w:r>
              <w:rPr>
                <w:lang w:val="ru-RU"/>
              </w:rPr>
              <w:t>составляющих</w:t>
            </w:r>
            <w:r w:rsidRPr="002B753B">
              <w:rPr>
                <w:lang w:val="ru-RU"/>
              </w:rPr>
              <w:t xml:space="preserve"> </w:t>
            </w:r>
            <w:r>
              <w:rPr>
                <w:lang w:val="ru-RU"/>
              </w:rPr>
              <w:t>часть</w:t>
            </w:r>
            <w:r w:rsidRPr="002B753B">
              <w:rPr>
                <w:lang w:val="ru-RU"/>
              </w:rPr>
              <w:t xml:space="preserve"> </w:t>
            </w:r>
            <w:r w:rsidR="00FB75C5">
              <w:rPr>
                <w:lang w:val="ru-RU"/>
              </w:rPr>
              <w:t>национального участка элемента</w:t>
            </w:r>
            <w:r>
              <w:rPr>
                <w:lang w:val="ru-RU"/>
              </w:rPr>
              <w:t xml:space="preserve"> цифрового тракта с постоянной скоростью передачи</w:t>
            </w:r>
          </w:p>
        </w:tc>
      </w:tr>
      <w:tr w:rsidR="002B753B" w:rsidTr="00FB75C5">
        <w:trPr>
          <w:trHeight w:val="435"/>
          <w:tblHeader/>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2B753B" w:rsidRDefault="002B753B" w:rsidP="00FB75C5">
            <w:pPr>
              <w:pStyle w:val="Tablehead"/>
              <w:rPr>
                <w:i/>
                <w:iCs/>
                <w:sz w:val="18"/>
                <w:lang w:val="ru-RU"/>
              </w:rPr>
            </w:pPr>
            <w:r>
              <w:rPr>
                <w:sz w:val="18"/>
                <w:lang w:val="ru-RU"/>
              </w:rPr>
              <w:t>Участок доступа</w:t>
            </w:r>
          </w:p>
        </w:tc>
        <w:tc>
          <w:tcPr>
            <w:tcW w:w="1965" w:type="dxa"/>
            <w:gridSpan w:val="2"/>
            <w:tcBorders>
              <w:top w:val="single" w:sz="4" w:space="0" w:color="auto"/>
              <w:left w:val="nil"/>
              <w:bottom w:val="single" w:sz="4" w:space="0" w:color="auto"/>
              <w:right w:val="single" w:sz="4" w:space="0" w:color="auto"/>
            </w:tcBorders>
          </w:tcPr>
          <w:p w:rsidR="002B753B" w:rsidRDefault="002B753B" w:rsidP="00FB75C5">
            <w:pPr>
              <w:pStyle w:val="Tablehead"/>
              <w:rPr>
                <w:i/>
                <w:iCs/>
                <w:sz w:val="18"/>
                <w:lang w:val="ru-RU"/>
              </w:rPr>
            </w:pPr>
            <w:r>
              <w:rPr>
                <w:sz w:val="18"/>
                <w:lang w:val="ru-RU"/>
              </w:rPr>
              <w:t>Короткопролетный участок</w:t>
            </w:r>
          </w:p>
        </w:tc>
        <w:tc>
          <w:tcPr>
            <w:tcW w:w="6181" w:type="dxa"/>
            <w:gridSpan w:val="2"/>
            <w:tcBorders>
              <w:top w:val="single" w:sz="4" w:space="0" w:color="auto"/>
              <w:left w:val="nil"/>
              <w:bottom w:val="single" w:sz="4" w:space="0" w:color="auto"/>
              <w:right w:val="single" w:sz="4" w:space="0" w:color="auto"/>
            </w:tcBorders>
            <w:vAlign w:val="center"/>
          </w:tcPr>
          <w:p w:rsidR="002B753B" w:rsidRDefault="002B753B" w:rsidP="00FB75C5">
            <w:pPr>
              <w:pStyle w:val="Tablehead"/>
              <w:rPr>
                <w:i/>
                <w:iCs/>
                <w:sz w:val="18"/>
                <w:lang w:val="ru-RU"/>
              </w:rPr>
            </w:pPr>
            <w:r>
              <w:rPr>
                <w:sz w:val="18"/>
                <w:lang w:val="ru-RU"/>
              </w:rPr>
              <w:t>Длиннопролетный участок</w:t>
            </w:r>
          </w:p>
        </w:tc>
      </w:tr>
      <w:tr w:rsidR="002B753B" w:rsidTr="00FB75C5">
        <w:trPr>
          <w:trHeight w:val="214"/>
          <w:jc w:val="center"/>
        </w:trPr>
        <w:tc>
          <w:tcPr>
            <w:tcW w:w="613" w:type="dxa"/>
            <w:tcBorders>
              <w:top w:val="nil"/>
              <w:left w:val="single" w:sz="4" w:space="0" w:color="auto"/>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5</w:t>
            </w:r>
          </w:p>
        </w:tc>
        <w:tc>
          <w:tcPr>
            <w:tcW w:w="1130" w:type="dxa"/>
            <w:tcBorders>
              <w:top w:val="nil"/>
              <w:left w:val="single" w:sz="4" w:space="0" w:color="auto"/>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E</w:t>
            </w:r>
            <w:r>
              <w:rPr>
                <w:sz w:val="18"/>
                <w:vertAlign w:val="subscript"/>
                <w:lang w:val="es-ES_tradnl"/>
              </w:rPr>
              <w:t>5</w:t>
            </w:r>
          </w:p>
        </w:tc>
        <w:tc>
          <w:tcPr>
            <w:tcW w:w="655" w:type="dxa"/>
            <w:tcBorders>
              <w:top w:val="nil"/>
              <w:left w:val="nil"/>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6</w:t>
            </w:r>
          </w:p>
        </w:tc>
        <w:tc>
          <w:tcPr>
            <w:tcW w:w="1310" w:type="dxa"/>
            <w:tcBorders>
              <w:top w:val="nil"/>
              <w:left w:val="nil"/>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E</w:t>
            </w:r>
            <w:r>
              <w:rPr>
                <w:sz w:val="18"/>
                <w:vertAlign w:val="subscript"/>
                <w:lang w:val="es-ES_tradnl"/>
              </w:rPr>
              <w:t>6</w:t>
            </w:r>
          </w:p>
        </w:tc>
        <w:tc>
          <w:tcPr>
            <w:tcW w:w="3060" w:type="dxa"/>
            <w:tcBorders>
              <w:top w:val="nil"/>
              <w:left w:val="nil"/>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D</w:t>
            </w:r>
            <w:r>
              <w:rPr>
                <w:sz w:val="18"/>
                <w:vertAlign w:val="subscript"/>
                <w:lang w:val="es-ES_tradnl"/>
              </w:rPr>
              <w:t>7</w:t>
            </w:r>
          </w:p>
        </w:tc>
        <w:tc>
          <w:tcPr>
            <w:tcW w:w="3121" w:type="dxa"/>
            <w:tcBorders>
              <w:top w:val="nil"/>
              <w:left w:val="nil"/>
              <w:bottom w:val="single" w:sz="4" w:space="0" w:color="auto"/>
              <w:right w:val="single" w:sz="4" w:space="0" w:color="auto"/>
            </w:tcBorders>
          </w:tcPr>
          <w:p w:rsidR="002B753B" w:rsidRDefault="002B753B" w:rsidP="00FB75C5">
            <w:pPr>
              <w:pStyle w:val="Tabletext"/>
              <w:jc w:val="center"/>
              <w:rPr>
                <w:sz w:val="18"/>
                <w:lang w:val="es-ES_tradnl"/>
              </w:rPr>
            </w:pPr>
            <w:r>
              <w:rPr>
                <w:i/>
                <w:iCs/>
                <w:sz w:val="18"/>
                <w:lang w:val="es-ES_tradnl"/>
              </w:rPr>
              <w:t>E</w:t>
            </w:r>
            <w:r>
              <w:rPr>
                <w:sz w:val="18"/>
                <w:vertAlign w:val="subscript"/>
                <w:lang w:val="es-ES_tradnl"/>
              </w:rPr>
              <w:t>7</w:t>
            </w:r>
          </w:p>
        </w:tc>
      </w:tr>
      <w:tr w:rsidR="002B753B" w:rsidRPr="001A0CCE" w:rsidTr="00FB75C5">
        <w:trPr>
          <w:trHeight w:val="20"/>
          <w:jc w:val="center"/>
        </w:trPr>
        <w:tc>
          <w:tcPr>
            <w:tcW w:w="613" w:type="dxa"/>
            <w:tcBorders>
              <w:top w:val="single" w:sz="4" w:space="0" w:color="auto"/>
              <w:left w:val="single" w:sz="4" w:space="0" w:color="auto"/>
              <w:bottom w:val="single" w:sz="4" w:space="0" w:color="auto"/>
              <w:right w:val="single" w:sz="4" w:space="0" w:color="auto"/>
            </w:tcBorders>
          </w:tcPr>
          <w:p w:rsidR="002B753B" w:rsidRDefault="002B753B" w:rsidP="00FB75C5">
            <w:pPr>
              <w:pStyle w:val="Tabletext"/>
              <w:jc w:val="center"/>
              <w:rPr>
                <w:sz w:val="18"/>
                <w:lang w:val="en-US"/>
              </w:rPr>
            </w:pPr>
            <w:r>
              <w:rPr>
                <w:sz w:val="18"/>
                <w:lang w:val="en-US"/>
              </w:rPr>
              <w:t>0</w:t>
            </w:r>
          </w:p>
        </w:tc>
        <w:tc>
          <w:tcPr>
            <w:tcW w:w="1130" w:type="dxa"/>
            <w:tcBorders>
              <w:top w:val="single" w:sz="4" w:space="0" w:color="auto"/>
              <w:left w:val="single" w:sz="4" w:space="0" w:color="auto"/>
              <w:bottom w:val="single" w:sz="4" w:space="0" w:color="auto"/>
              <w:right w:val="single" w:sz="4" w:space="0" w:color="auto"/>
            </w:tcBorders>
          </w:tcPr>
          <w:p w:rsidR="002B753B" w:rsidRDefault="002B753B" w:rsidP="00FB75C5">
            <w:pPr>
              <w:pStyle w:val="Tabletext"/>
              <w:jc w:val="center"/>
              <w:rPr>
                <w:sz w:val="18"/>
                <w:lang w:val="en-US"/>
              </w:rPr>
            </w:pPr>
            <w:r>
              <w:rPr>
                <w:sz w:val="18"/>
                <w:lang w:val="en-US"/>
              </w:rPr>
              <w:t>100</w:t>
            </w:r>
          </w:p>
        </w:tc>
        <w:tc>
          <w:tcPr>
            <w:tcW w:w="655" w:type="dxa"/>
            <w:tcBorders>
              <w:top w:val="single" w:sz="4" w:space="0" w:color="auto"/>
              <w:left w:val="nil"/>
              <w:bottom w:val="single" w:sz="4" w:space="0" w:color="auto"/>
              <w:right w:val="single" w:sz="4" w:space="0" w:color="auto"/>
            </w:tcBorders>
          </w:tcPr>
          <w:p w:rsidR="002B753B" w:rsidRDefault="002B753B" w:rsidP="00FB75C5">
            <w:pPr>
              <w:pStyle w:val="Tabletext"/>
              <w:jc w:val="center"/>
              <w:rPr>
                <w:sz w:val="18"/>
                <w:lang w:val="en-US"/>
              </w:rPr>
            </w:pPr>
            <w:r>
              <w:rPr>
                <w:sz w:val="18"/>
                <w:lang w:val="en-US"/>
              </w:rPr>
              <w:t>0</w:t>
            </w:r>
          </w:p>
        </w:tc>
        <w:tc>
          <w:tcPr>
            <w:tcW w:w="1310" w:type="dxa"/>
            <w:tcBorders>
              <w:top w:val="single" w:sz="4" w:space="0" w:color="auto"/>
              <w:left w:val="nil"/>
              <w:bottom w:val="single" w:sz="4" w:space="0" w:color="auto"/>
              <w:right w:val="single" w:sz="4" w:space="0" w:color="auto"/>
            </w:tcBorders>
          </w:tcPr>
          <w:p w:rsidR="002B753B" w:rsidRDefault="002B753B" w:rsidP="00FB75C5">
            <w:pPr>
              <w:pStyle w:val="Tabletext"/>
              <w:jc w:val="center"/>
              <w:rPr>
                <w:sz w:val="18"/>
                <w:lang w:val="en-US"/>
              </w:rPr>
            </w:pPr>
            <w:r>
              <w:rPr>
                <w:sz w:val="18"/>
                <w:lang w:val="en-US"/>
              </w:rPr>
              <w:t>120</w:t>
            </w:r>
          </w:p>
        </w:tc>
        <w:tc>
          <w:tcPr>
            <w:tcW w:w="3060" w:type="dxa"/>
            <w:tcBorders>
              <w:top w:val="single" w:sz="4" w:space="0" w:color="auto"/>
              <w:left w:val="nil"/>
              <w:bottom w:val="single" w:sz="4" w:space="0" w:color="auto"/>
              <w:right w:val="single" w:sz="4" w:space="0" w:color="auto"/>
            </w:tcBorders>
            <w:tcMar>
              <w:left w:w="85" w:type="dxa"/>
              <w:right w:w="85" w:type="dxa"/>
            </w:tcMar>
          </w:tcPr>
          <w:p w:rsidR="002B753B" w:rsidRPr="002B753B" w:rsidRDefault="002B753B" w:rsidP="00FB75C5">
            <w:pPr>
              <w:pStyle w:val="Tabletext"/>
              <w:tabs>
                <w:tab w:val="clear" w:pos="284"/>
                <w:tab w:val="clear" w:pos="567"/>
                <w:tab w:val="clear" w:pos="851"/>
                <w:tab w:val="left" w:pos="568"/>
              </w:tabs>
              <w:ind w:left="33"/>
              <w:jc w:val="left"/>
              <w:rPr>
                <w:sz w:val="18"/>
                <w:lang w:val="en-US"/>
              </w:rPr>
            </w:pPr>
            <w:r w:rsidRPr="002B753B">
              <w:rPr>
                <w:sz w:val="18"/>
                <w:lang w:val="en-US"/>
              </w:rPr>
              <w:t>100</w:t>
            </w:r>
            <w:r w:rsidRPr="002B753B">
              <w:rPr>
                <w:sz w:val="18"/>
                <w:lang w:val="en-US"/>
              </w:rPr>
              <w:tab/>
            </w:r>
            <w:r>
              <w:rPr>
                <w:sz w:val="18"/>
                <w:lang w:val="ru-RU"/>
              </w:rPr>
              <w:t>для</w:t>
            </w:r>
            <w:r w:rsidRPr="002B753B">
              <w:rPr>
                <w:sz w:val="18"/>
                <w:lang w:val="en-US"/>
              </w:rPr>
              <w:t xml:space="preserve"> 250</w:t>
            </w:r>
            <w:r>
              <w:rPr>
                <w:sz w:val="18"/>
                <w:lang w:val="en-US"/>
              </w:rPr>
              <w:t> </w:t>
            </w:r>
            <w:r>
              <w:rPr>
                <w:sz w:val="18"/>
                <w:lang w:val="ru-RU"/>
              </w:rPr>
              <w:t>км</w:t>
            </w:r>
            <w:r w:rsidRPr="002B753B">
              <w:rPr>
                <w:sz w:val="18"/>
                <w:lang w:val="en-US"/>
              </w:rPr>
              <w:t xml:space="preserve"> </w:t>
            </w:r>
            <w:r>
              <w:rPr>
                <w:rFonts w:ascii="Symbol" w:hAnsi="Symbol"/>
                <w:sz w:val="18"/>
              </w:rPr>
              <w:sym w:font="Symbol" w:char="F0A3"/>
            </w:r>
            <w:r w:rsidRPr="002B753B">
              <w:rPr>
                <w:sz w:val="18"/>
                <w:lang w:val="en-US"/>
              </w:rPr>
              <w:t xml:space="preserve"> </w:t>
            </w:r>
            <w:r>
              <w:rPr>
                <w:i/>
                <w:iCs/>
                <w:sz w:val="18"/>
                <w:lang w:val="en-US"/>
              </w:rPr>
              <w:t>L</w:t>
            </w:r>
            <w:r>
              <w:rPr>
                <w:i/>
                <w:iCs/>
                <w:sz w:val="18"/>
                <w:vertAlign w:val="subscript"/>
                <w:lang w:val="en-US"/>
              </w:rPr>
              <w:t>link</w:t>
            </w:r>
            <w:r w:rsidRPr="002B753B">
              <w:rPr>
                <w:sz w:val="18"/>
                <w:lang w:val="en-US"/>
              </w:rPr>
              <w:t xml:space="preserve"> </w:t>
            </w:r>
            <w:r>
              <w:rPr>
                <w:rFonts w:ascii="Symbol" w:hAnsi="Symbol"/>
                <w:sz w:val="18"/>
              </w:rPr>
              <w:t></w:t>
            </w:r>
            <w:r w:rsidRPr="002B753B">
              <w:rPr>
                <w:sz w:val="18"/>
                <w:lang w:val="en-US"/>
              </w:rPr>
              <w:t xml:space="preserve"> 2</w:t>
            </w:r>
            <w:r>
              <w:rPr>
                <w:rFonts w:ascii="Tms Rmn" w:hAnsi="Tms Rmn"/>
                <w:sz w:val="12"/>
                <w:lang w:val="en-US"/>
              </w:rPr>
              <w:t> </w:t>
            </w:r>
            <w:r w:rsidRPr="002B753B">
              <w:rPr>
                <w:sz w:val="18"/>
                <w:lang w:val="en-US"/>
              </w:rPr>
              <w:t>500</w:t>
            </w:r>
            <w:r>
              <w:rPr>
                <w:sz w:val="18"/>
                <w:lang w:val="en-US"/>
              </w:rPr>
              <w:t> </w:t>
            </w:r>
            <w:r>
              <w:rPr>
                <w:sz w:val="18"/>
                <w:lang w:val="ru-RU"/>
              </w:rPr>
              <w:t>км</w:t>
            </w:r>
          </w:p>
          <w:p w:rsidR="002B753B" w:rsidRDefault="002B753B" w:rsidP="00FB75C5">
            <w:pPr>
              <w:pStyle w:val="Tabletext"/>
              <w:tabs>
                <w:tab w:val="clear" w:pos="284"/>
              </w:tabs>
              <w:ind w:left="33"/>
              <w:jc w:val="left"/>
              <w:rPr>
                <w:sz w:val="18"/>
                <w:lang w:val="en-US"/>
              </w:rPr>
            </w:pPr>
            <w:r>
              <w:rPr>
                <w:sz w:val="18"/>
                <w:lang w:val="en-US"/>
              </w:rPr>
              <w:t>150</w:t>
            </w:r>
            <w:r>
              <w:rPr>
                <w:sz w:val="18"/>
                <w:lang w:val="en-US"/>
              </w:rPr>
              <w:tab/>
            </w:r>
            <w:r>
              <w:rPr>
                <w:sz w:val="18"/>
                <w:lang w:val="ru-RU"/>
              </w:rPr>
              <w:t>для</w:t>
            </w:r>
            <w:r>
              <w:rPr>
                <w:sz w:val="18"/>
                <w:lang w:val="en-US"/>
              </w:rPr>
              <w:t xml:space="preserve"> </w:t>
            </w:r>
            <w:r>
              <w:rPr>
                <w:i/>
                <w:iCs/>
                <w:sz w:val="18"/>
                <w:lang w:val="en-US"/>
              </w:rPr>
              <w:t>L</w:t>
            </w:r>
            <w:r>
              <w:rPr>
                <w:i/>
                <w:iCs/>
                <w:sz w:val="18"/>
                <w:vertAlign w:val="subscript"/>
                <w:lang w:val="en-US"/>
              </w:rPr>
              <w:t>min</w:t>
            </w:r>
            <w:r>
              <w:rPr>
                <w:sz w:val="18"/>
                <w:lang w:val="en-US"/>
              </w:rPr>
              <w:t xml:space="preserve">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US"/>
              </w:rPr>
              <w:t>link</w:t>
            </w:r>
            <w:r>
              <w:rPr>
                <w:sz w:val="18"/>
                <w:lang w:val="en-US"/>
              </w:rPr>
              <w:t xml:space="preserve"> </w:t>
            </w:r>
            <w:r>
              <w:rPr>
                <w:rFonts w:ascii="Symbol" w:hAnsi="Symbol"/>
                <w:sz w:val="18"/>
              </w:rPr>
              <w:t></w:t>
            </w:r>
            <w:r>
              <w:rPr>
                <w:sz w:val="18"/>
                <w:lang w:val="en-US"/>
              </w:rPr>
              <w:t xml:space="preserve"> 250 </w:t>
            </w:r>
            <w:r>
              <w:rPr>
                <w:sz w:val="18"/>
                <w:lang w:val="ru-RU"/>
              </w:rPr>
              <w:t>км</w:t>
            </w:r>
          </w:p>
        </w:tc>
        <w:tc>
          <w:tcPr>
            <w:tcW w:w="3121" w:type="dxa"/>
            <w:tcBorders>
              <w:top w:val="single" w:sz="4" w:space="0" w:color="auto"/>
              <w:left w:val="nil"/>
              <w:bottom w:val="single" w:sz="4" w:space="0" w:color="auto"/>
              <w:right w:val="single" w:sz="4" w:space="0" w:color="auto"/>
            </w:tcBorders>
          </w:tcPr>
          <w:p w:rsidR="002B753B" w:rsidRPr="002B753B" w:rsidRDefault="002B753B" w:rsidP="00FB75C5">
            <w:pPr>
              <w:pStyle w:val="Tabletext"/>
              <w:tabs>
                <w:tab w:val="clear" w:pos="284"/>
                <w:tab w:val="clear" w:pos="567"/>
                <w:tab w:val="left" w:pos="425"/>
              </w:tabs>
              <w:jc w:val="left"/>
              <w:rPr>
                <w:sz w:val="18"/>
                <w:lang w:val="en-US"/>
              </w:rPr>
            </w:pPr>
            <w:r w:rsidRPr="002B753B">
              <w:rPr>
                <w:sz w:val="18"/>
                <w:lang w:val="en-US"/>
              </w:rPr>
              <w:t>55</w:t>
            </w:r>
            <w:r w:rsidRPr="002B753B">
              <w:rPr>
                <w:sz w:val="18"/>
                <w:lang w:val="en-US"/>
              </w:rPr>
              <w:tab/>
            </w:r>
            <w:r>
              <w:rPr>
                <w:sz w:val="18"/>
                <w:lang w:val="ru-RU"/>
              </w:rPr>
              <w:t>для</w:t>
            </w:r>
            <w:r w:rsidRPr="002B753B">
              <w:rPr>
                <w:sz w:val="18"/>
                <w:lang w:val="en-US"/>
              </w:rPr>
              <w:t xml:space="preserve"> 250</w:t>
            </w:r>
            <w:r>
              <w:rPr>
                <w:sz w:val="18"/>
                <w:lang w:val="en-US"/>
              </w:rPr>
              <w:t> </w:t>
            </w:r>
            <w:r>
              <w:rPr>
                <w:sz w:val="18"/>
                <w:lang w:val="ru-RU"/>
              </w:rPr>
              <w:t>км</w:t>
            </w:r>
            <w:r w:rsidRPr="002B753B">
              <w:rPr>
                <w:sz w:val="18"/>
                <w:lang w:val="en-US"/>
              </w:rPr>
              <w:t xml:space="preserve"> </w:t>
            </w:r>
            <w:r>
              <w:rPr>
                <w:rFonts w:ascii="Symbol" w:hAnsi="Symbol"/>
                <w:sz w:val="18"/>
              </w:rPr>
              <w:sym w:font="Symbol" w:char="F0A3"/>
            </w:r>
            <w:r w:rsidRPr="002B753B">
              <w:rPr>
                <w:sz w:val="18"/>
                <w:lang w:val="en-US"/>
              </w:rPr>
              <w:t xml:space="preserve"> </w:t>
            </w:r>
            <w:r>
              <w:rPr>
                <w:i/>
                <w:iCs/>
                <w:sz w:val="18"/>
                <w:lang w:val="en-US"/>
              </w:rPr>
              <w:t>L</w:t>
            </w:r>
            <w:r>
              <w:rPr>
                <w:i/>
                <w:iCs/>
                <w:sz w:val="18"/>
                <w:vertAlign w:val="subscript"/>
                <w:lang w:val="en-US"/>
              </w:rPr>
              <w:t>link</w:t>
            </w:r>
            <w:r w:rsidRPr="002B753B">
              <w:rPr>
                <w:sz w:val="18"/>
                <w:lang w:val="en-US"/>
              </w:rPr>
              <w:t xml:space="preserve"> </w:t>
            </w:r>
            <w:r>
              <w:rPr>
                <w:rFonts w:ascii="Symbol" w:hAnsi="Symbol"/>
                <w:sz w:val="18"/>
              </w:rPr>
              <w:t></w:t>
            </w:r>
            <w:r w:rsidRPr="002B753B">
              <w:rPr>
                <w:sz w:val="18"/>
                <w:lang w:val="en-US"/>
              </w:rPr>
              <w:t xml:space="preserve"> 2</w:t>
            </w:r>
            <w:r>
              <w:rPr>
                <w:rFonts w:ascii="Tms Rmn" w:hAnsi="Tms Rmn"/>
                <w:sz w:val="12"/>
                <w:lang w:val="en-US"/>
              </w:rPr>
              <w:t> </w:t>
            </w:r>
            <w:r w:rsidRPr="002B753B">
              <w:rPr>
                <w:sz w:val="18"/>
                <w:lang w:val="en-US"/>
              </w:rPr>
              <w:t>500</w:t>
            </w:r>
            <w:r>
              <w:rPr>
                <w:sz w:val="18"/>
                <w:lang w:val="en-US"/>
              </w:rPr>
              <w:t> </w:t>
            </w:r>
            <w:r>
              <w:rPr>
                <w:sz w:val="18"/>
                <w:lang w:val="ru-RU"/>
              </w:rPr>
              <w:t>км</w:t>
            </w:r>
          </w:p>
          <w:p w:rsidR="002B753B" w:rsidRDefault="002B753B" w:rsidP="00FB75C5">
            <w:pPr>
              <w:pStyle w:val="Tabletext"/>
              <w:tabs>
                <w:tab w:val="clear" w:pos="284"/>
                <w:tab w:val="clear" w:pos="567"/>
                <w:tab w:val="clear" w:pos="1134"/>
                <w:tab w:val="left" w:pos="425"/>
                <w:tab w:val="left" w:pos="1021"/>
              </w:tabs>
              <w:jc w:val="left"/>
              <w:rPr>
                <w:sz w:val="18"/>
                <w:lang w:val="en-GB"/>
              </w:rPr>
            </w:pPr>
            <w:r>
              <w:rPr>
                <w:sz w:val="18"/>
                <w:lang w:val="en-GB"/>
              </w:rPr>
              <w:t>50</w:t>
            </w:r>
            <w:r>
              <w:rPr>
                <w:sz w:val="18"/>
                <w:lang w:val="en-GB"/>
              </w:rPr>
              <w:tab/>
            </w:r>
            <w:r>
              <w:rPr>
                <w:sz w:val="18"/>
                <w:lang w:val="ru-RU"/>
              </w:rPr>
              <w:t>для</w:t>
            </w:r>
            <w:r>
              <w:rPr>
                <w:sz w:val="18"/>
                <w:lang w:val="en-GB"/>
              </w:rPr>
              <w:t xml:space="preserve"> </w:t>
            </w:r>
            <w:r>
              <w:rPr>
                <w:i/>
                <w:iCs/>
                <w:sz w:val="18"/>
                <w:lang w:val="en-GB"/>
              </w:rPr>
              <w:t>L</w:t>
            </w:r>
            <w:r>
              <w:rPr>
                <w:i/>
                <w:iCs/>
                <w:sz w:val="18"/>
                <w:vertAlign w:val="subscript"/>
                <w:lang w:val="en-US"/>
              </w:rPr>
              <w:t>min</w:t>
            </w:r>
            <w:r>
              <w:rPr>
                <w:sz w:val="18"/>
                <w:lang w:val="en-GB"/>
              </w:rPr>
              <w:t> </w:t>
            </w:r>
            <w:r>
              <w:rPr>
                <w:sz w:val="18"/>
              </w:rPr>
              <w:sym w:font="Symbol" w:char="F0A3"/>
            </w:r>
            <w:r>
              <w:rPr>
                <w:sz w:val="18"/>
                <w:lang w:val="en-GB"/>
              </w:rPr>
              <w:t> </w:t>
            </w:r>
            <w:r>
              <w:rPr>
                <w:i/>
                <w:iCs/>
                <w:sz w:val="18"/>
                <w:lang w:val="en-GB"/>
              </w:rPr>
              <w:t>L</w:t>
            </w:r>
            <w:r>
              <w:rPr>
                <w:i/>
                <w:iCs/>
                <w:sz w:val="18"/>
                <w:vertAlign w:val="subscript"/>
                <w:lang w:val="en-GB"/>
              </w:rPr>
              <w:t>link</w:t>
            </w:r>
            <w:r>
              <w:rPr>
                <w:sz w:val="18"/>
                <w:lang w:val="en-GB"/>
              </w:rPr>
              <w:t> </w:t>
            </w:r>
            <w:r>
              <w:rPr>
                <w:rFonts w:ascii="Symbol" w:hAnsi="Symbol"/>
                <w:sz w:val="18"/>
              </w:rPr>
              <w:t></w:t>
            </w:r>
            <w:r>
              <w:rPr>
                <w:sz w:val="18"/>
                <w:lang w:val="en-GB"/>
              </w:rPr>
              <w:t> 250 </w:t>
            </w:r>
            <w:r>
              <w:rPr>
                <w:sz w:val="18"/>
                <w:lang w:val="ru-RU"/>
              </w:rPr>
              <w:t>км</w:t>
            </w:r>
          </w:p>
        </w:tc>
      </w:tr>
    </w:tbl>
    <w:p w:rsidR="002B753B" w:rsidRDefault="002B753B" w:rsidP="002B753B">
      <w:pPr>
        <w:pStyle w:val="Tablefin"/>
      </w:pPr>
    </w:p>
    <w:p w:rsidR="000360F8" w:rsidRPr="001A0CCE" w:rsidRDefault="000360F8" w:rsidP="000360F8">
      <w:pPr>
        <w:rPr>
          <w:lang w:val="en-US"/>
        </w:rPr>
      </w:pPr>
    </w:p>
    <w:p w:rsidR="000360F8" w:rsidRPr="001A0CCE" w:rsidRDefault="000360F8" w:rsidP="000360F8">
      <w:pPr>
        <w:rPr>
          <w:lang w:val="en-US"/>
        </w:rPr>
      </w:pPr>
    </w:p>
    <w:p w:rsidR="003C1FD0" w:rsidRPr="001A0CCE" w:rsidRDefault="003C1FD0" w:rsidP="000360F8">
      <w:pPr>
        <w:rPr>
          <w:lang w:val="en-US"/>
        </w:rPr>
      </w:pPr>
    </w:p>
    <w:p w:rsidR="002B753B" w:rsidRDefault="002B753B" w:rsidP="002B753B">
      <w:pPr>
        <w:pStyle w:val="AnnexNoTitle"/>
        <w:rPr>
          <w:lang w:val="ru-RU"/>
        </w:rPr>
      </w:pPr>
      <w:r>
        <w:rPr>
          <w:lang w:val="ru-RU"/>
        </w:rPr>
        <w:t>Приложение 1</w:t>
      </w:r>
      <w:r>
        <w:rPr>
          <w:lang w:val="ru-RU"/>
        </w:rPr>
        <w:br/>
      </w:r>
      <w:r>
        <w:rPr>
          <w:lang w:val="ru-RU"/>
        </w:rPr>
        <w:br/>
        <w:t>Терминология и примеры оценки реальных линий</w:t>
      </w:r>
    </w:p>
    <w:p w:rsidR="002B753B" w:rsidRPr="008E0174" w:rsidRDefault="002B753B" w:rsidP="003C1FD0">
      <w:pPr>
        <w:pStyle w:val="Heading1"/>
        <w:rPr>
          <w:lang w:val="ru-RU"/>
        </w:rPr>
      </w:pPr>
      <w:r>
        <w:rPr>
          <w:lang w:val="ru-RU"/>
        </w:rPr>
        <w:t>1</w:t>
      </w:r>
      <w:r>
        <w:rPr>
          <w:lang w:val="ru-RU"/>
        </w:rPr>
        <w:tab/>
      </w:r>
      <w:r w:rsidRPr="001A0CCE">
        <w:rPr>
          <w:lang w:val="ru-RU"/>
        </w:rPr>
        <w:t>Введение</w:t>
      </w:r>
    </w:p>
    <w:p w:rsidR="002B753B" w:rsidRDefault="002B753B" w:rsidP="002B753B">
      <w:pPr>
        <w:rPr>
          <w:lang w:val="ru-RU"/>
        </w:rPr>
      </w:pPr>
      <w:r>
        <w:rPr>
          <w:lang w:val="ru-RU"/>
        </w:rPr>
        <w:t>В настоящем Приложении приведена более подробная информация по значениям терминов, используемых для определения соотношения между показателями, указанными в Рекомендации МСЭ</w:t>
      </w:r>
      <w:r>
        <w:rPr>
          <w:lang w:val="ru-RU"/>
        </w:rPr>
        <w:noBreakHyphen/>
      </w:r>
      <w:r>
        <w:rPr>
          <w:lang w:val="en-GB"/>
        </w:rPr>
        <w:t>T</w:t>
      </w:r>
      <w:r>
        <w:rPr>
          <w:lang w:val="ru-RU"/>
        </w:rPr>
        <w:t xml:space="preserve"> </w:t>
      </w:r>
      <w:r>
        <w:rPr>
          <w:lang w:val="en-GB"/>
        </w:rPr>
        <w:t>G</w:t>
      </w:r>
      <w:r>
        <w:rPr>
          <w:lang w:val="ru-RU"/>
        </w:rPr>
        <w:t>.827, и показателями, определенными в настоящей Рекомендации, а также некоторые примеры оценки этих параметров для реальной радиолинии.</w:t>
      </w:r>
    </w:p>
    <w:p w:rsidR="002B753B" w:rsidRDefault="002B753B" w:rsidP="003C1FD0">
      <w:pPr>
        <w:pStyle w:val="Heading1"/>
        <w:rPr>
          <w:lang w:val="ru-RU"/>
        </w:rPr>
      </w:pPr>
      <w:r>
        <w:rPr>
          <w:lang w:val="ru-RU"/>
        </w:rPr>
        <w:t>2</w:t>
      </w:r>
      <w:r>
        <w:rPr>
          <w:lang w:val="ru-RU"/>
        </w:rPr>
        <w:tab/>
        <w:t>Определения и терминология</w:t>
      </w:r>
    </w:p>
    <w:p w:rsidR="002B753B" w:rsidRDefault="002B753B" w:rsidP="002B753B">
      <w:pPr>
        <w:rPr>
          <w:lang w:val="ru-RU"/>
        </w:rPr>
      </w:pPr>
      <w:r>
        <w:rPr>
          <w:lang w:val="ru-RU"/>
        </w:rPr>
        <w:t>Задачей настоящей Рекомендации является определение показателей готовности для реальной радиолинии, но поскольку в сетях электросвязи термин "линия" является достаточно общим, ниже приведено разъяснение этого термина для контекста настоящей Рекомендации.</w:t>
      </w:r>
    </w:p>
    <w:p w:rsidR="002B753B" w:rsidRDefault="002B753B" w:rsidP="002B753B">
      <w:pPr>
        <w:rPr>
          <w:lang w:val="ru-RU"/>
        </w:rPr>
      </w:pPr>
      <w:r>
        <w:rPr>
          <w:lang w:val="ru-RU"/>
        </w:rPr>
        <w:t>Определение ЭТ дается в Рекомендации МСЭ</w:t>
      </w:r>
      <w:r>
        <w:rPr>
          <w:lang w:val="ru-RU"/>
        </w:rPr>
        <w:noBreakHyphen/>
      </w:r>
      <w:r>
        <w:rPr>
          <w:lang w:val="en-GB"/>
        </w:rPr>
        <w:t>T</w:t>
      </w:r>
      <w:r>
        <w:rPr>
          <w:lang w:val="ru-RU"/>
        </w:rPr>
        <w:t xml:space="preserve"> </w:t>
      </w:r>
      <w:r>
        <w:rPr>
          <w:lang w:val="en-GB"/>
        </w:rPr>
        <w:t>G</w:t>
      </w:r>
      <w:r>
        <w:rPr>
          <w:lang w:val="ru-RU"/>
        </w:rPr>
        <w:t>.827. Пример тракта, состоящего из нескольких ЭТ, показан на рисунке</w:t>
      </w:r>
      <w:r>
        <w:rPr>
          <w:lang w:val="en-GB"/>
        </w:rPr>
        <w:t> </w:t>
      </w:r>
      <w:r>
        <w:rPr>
          <w:lang w:val="ru-RU"/>
        </w:rPr>
        <w:t>2. Радиолинию можно определить как участок тракта, и она может реализовывать элемент ОЭМТ (или часть его) и/или ОЭТМС, как показано на рисунке</w:t>
      </w:r>
      <w:r>
        <w:rPr>
          <w:lang w:val="en-GB"/>
        </w:rPr>
        <w:t> </w:t>
      </w:r>
      <w:r>
        <w:rPr>
          <w:lang w:val="ru-RU"/>
        </w:rPr>
        <w:t>3, или же она может принадлежать любому участку сети, как показано на рисунке</w:t>
      </w:r>
      <w:r>
        <w:rPr>
          <w:lang w:val="en-GB"/>
        </w:rPr>
        <w:t> </w:t>
      </w:r>
      <w:r>
        <w:rPr>
          <w:lang w:val="ru-RU"/>
        </w:rPr>
        <w:t>4. Кроме того, линия может быть сформирована из нескольких пролетов.</w:t>
      </w:r>
    </w:p>
    <w:bookmarkStart w:id="7" w:name="_MON_1174481121"/>
    <w:bookmarkStart w:id="8" w:name="_MON_1175939281"/>
    <w:bookmarkStart w:id="9" w:name="_MON_1175939326"/>
    <w:bookmarkStart w:id="10" w:name="_MON_1176899126"/>
    <w:bookmarkStart w:id="11" w:name="_MON_1176899517"/>
    <w:bookmarkStart w:id="12" w:name="_MON_1176902075"/>
    <w:bookmarkStart w:id="13" w:name="_MON_1176902121"/>
    <w:bookmarkEnd w:id="7"/>
    <w:bookmarkEnd w:id="8"/>
    <w:bookmarkEnd w:id="9"/>
    <w:bookmarkEnd w:id="10"/>
    <w:bookmarkEnd w:id="11"/>
    <w:bookmarkEnd w:id="12"/>
    <w:bookmarkEnd w:id="13"/>
    <w:bookmarkStart w:id="14" w:name="_MON_1174477865"/>
    <w:bookmarkEnd w:id="14"/>
    <w:p w:rsidR="002B753B" w:rsidRDefault="002B753B" w:rsidP="002B753B">
      <w:pPr>
        <w:pStyle w:val="FigureNo"/>
      </w:pPr>
      <w:r>
        <w:object w:dxaOrig="9493" w:dyaOrig="6313">
          <v:shape id="_x0000_i1028" type="#_x0000_t75" style="width:474.8pt;height:315.85pt" o:ole="">
            <v:imagedata r:id="rId14" o:title=""/>
          </v:shape>
          <o:OLEObject Type="Embed" ProgID="Word.Picture.8" ShapeID="_x0000_i1028" DrawAspect="Content" ObjectID="_1478096290" r:id="rId15"/>
        </w:object>
      </w:r>
    </w:p>
    <w:bookmarkStart w:id="15" w:name="_MON_1174479253"/>
    <w:bookmarkStart w:id="16" w:name="_MON_1174481122"/>
    <w:bookmarkStart w:id="17" w:name="_MON_1176899425"/>
    <w:bookmarkStart w:id="18" w:name="_MON_1176899436"/>
    <w:bookmarkStart w:id="19" w:name="_MON_1176899518"/>
    <w:bookmarkEnd w:id="15"/>
    <w:bookmarkEnd w:id="16"/>
    <w:bookmarkEnd w:id="17"/>
    <w:bookmarkEnd w:id="18"/>
    <w:bookmarkEnd w:id="19"/>
    <w:bookmarkStart w:id="20" w:name="_MON_1174479162"/>
    <w:bookmarkEnd w:id="20"/>
    <w:p w:rsidR="002B753B" w:rsidRDefault="002B753B" w:rsidP="002B753B">
      <w:pPr>
        <w:pStyle w:val="FigureNo"/>
        <w:rPr>
          <w:lang w:val="ru-RU"/>
        </w:rPr>
      </w:pPr>
      <w:r w:rsidRPr="00C66DC4">
        <w:rPr>
          <w:lang w:val="en-GB"/>
        </w:rPr>
        <w:object w:dxaOrig="9073" w:dyaOrig="3229">
          <v:shape id="_x0000_i1029" type="#_x0000_t75" style="width:453.75pt;height:161.65pt" o:ole="">
            <v:imagedata r:id="rId16" o:title=""/>
          </v:shape>
          <o:OLEObject Type="Embed" ProgID="Word.Picture.8" ShapeID="_x0000_i1029" DrawAspect="Content" ObjectID="_1478096291" r:id="rId17"/>
        </w:object>
      </w:r>
    </w:p>
    <w:p w:rsidR="002B753B" w:rsidRDefault="002B753B" w:rsidP="002B753B">
      <w:pPr>
        <w:rPr>
          <w:lang w:val="ru-RU"/>
        </w:rPr>
      </w:pPr>
    </w:p>
    <w:bookmarkStart w:id="21" w:name="_MON_1174481129"/>
    <w:bookmarkStart w:id="22" w:name="_MON_1175939340"/>
    <w:bookmarkStart w:id="23" w:name="_MON_1175939765"/>
    <w:bookmarkStart w:id="24" w:name="_MON_1176899474"/>
    <w:bookmarkStart w:id="25" w:name="_MON_1176899519"/>
    <w:bookmarkStart w:id="26" w:name="_GoBack"/>
    <w:bookmarkEnd w:id="21"/>
    <w:bookmarkEnd w:id="22"/>
    <w:bookmarkEnd w:id="23"/>
    <w:bookmarkEnd w:id="24"/>
    <w:bookmarkEnd w:id="25"/>
    <w:bookmarkStart w:id="27" w:name="_MON_1174479332"/>
    <w:bookmarkEnd w:id="27"/>
    <w:p w:rsidR="002B753B" w:rsidRDefault="002B753B" w:rsidP="002B753B">
      <w:pPr>
        <w:pStyle w:val="FigureNo"/>
        <w:rPr>
          <w:lang w:val="en-GB"/>
        </w:rPr>
      </w:pPr>
      <w:r w:rsidRPr="00C66DC4">
        <w:rPr>
          <w:lang w:val="en-GB"/>
        </w:rPr>
        <w:object w:dxaOrig="9493" w:dyaOrig="4069">
          <v:shape id="_x0000_i1030" type="#_x0000_t75" style="width:474.8pt;height:203.75pt" o:ole="">
            <v:imagedata r:id="rId18" o:title=""/>
          </v:shape>
          <o:OLEObject Type="Embed" ProgID="Word.Picture.8" ShapeID="_x0000_i1030" DrawAspect="Content" ObjectID="_1478096292" r:id="rId19"/>
        </w:object>
      </w:r>
      <w:bookmarkEnd w:id="26"/>
    </w:p>
    <w:p w:rsidR="003C1FD0" w:rsidRDefault="003C1FD0" w:rsidP="003C1FD0">
      <w:pPr>
        <w:rPr>
          <w:lang w:val="ru-RU"/>
        </w:rPr>
      </w:pPr>
    </w:p>
    <w:p w:rsidR="002B753B" w:rsidRDefault="002B753B" w:rsidP="002B753B">
      <w:pPr>
        <w:spacing w:before="240"/>
        <w:rPr>
          <w:lang w:val="ru-RU"/>
        </w:rPr>
      </w:pPr>
      <w:r>
        <w:rPr>
          <w:lang w:val="ru-RU"/>
        </w:rPr>
        <w:t>Исторически терминология, используемая в Рекомендации МСЭ</w:t>
      </w:r>
      <w:r>
        <w:rPr>
          <w:lang w:val="ru-RU"/>
        </w:rPr>
        <w:noBreakHyphen/>
      </w:r>
      <w:r>
        <w:rPr>
          <w:lang w:val="en-GB"/>
        </w:rPr>
        <w:t>T</w:t>
      </w:r>
      <w:r>
        <w:rPr>
          <w:lang w:val="ru-RU"/>
        </w:rPr>
        <w:t xml:space="preserve"> </w:t>
      </w:r>
      <w:r>
        <w:rPr>
          <w:lang w:val="en-GB"/>
        </w:rPr>
        <w:t>G</w:t>
      </w:r>
      <w:r>
        <w:rPr>
          <w:lang w:val="ru-RU"/>
        </w:rPr>
        <w:t xml:space="preserve">.827, получена из требований по техническому обслуживанию международных трактов, поскольку готовность </w:t>
      </w:r>
      <w:r>
        <w:rPr>
          <w:lang w:val="en-GB"/>
        </w:rPr>
        <w:sym w:font="Symbol" w:char="F02D"/>
      </w:r>
      <w:r>
        <w:rPr>
          <w:lang w:val="ru-RU"/>
        </w:rPr>
        <w:t xml:space="preserve"> это один из главных факторов, определяющих работу радиотр</w:t>
      </w:r>
      <w:r w:rsidR="00FB75C5">
        <w:rPr>
          <w:lang w:val="ru-RU"/>
        </w:rPr>
        <w:t xml:space="preserve">акта. Действительно, в прошлом </w:t>
      </w:r>
      <w:r>
        <w:rPr>
          <w:lang w:val="ru-RU"/>
        </w:rPr>
        <w:t xml:space="preserve">требования к показателям качества по ошибкам были не очень значимым фактором, и поэтому их не принимали в расчет. Сегодня, с точки зрения эксплуатации системы, показатели качества по ошибкам имеют такое же значение, что и готовность. К тому же, требования по качеству и готовности являются основными требованиями при проектировании линий. </w:t>
      </w:r>
    </w:p>
    <w:p w:rsidR="002B753B" w:rsidRDefault="002B753B" w:rsidP="002B753B">
      <w:pPr>
        <w:rPr>
          <w:lang w:val="ru-RU"/>
        </w:rPr>
      </w:pPr>
      <w:r>
        <w:rPr>
          <w:lang w:val="ru-RU"/>
        </w:rPr>
        <w:t>Кроме того, показатели качества по ошибкам, определенные в Рекомендации МСЭ</w:t>
      </w:r>
      <w:r>
        <w:rPr>
          <w:lang w:val="ru-RU"/>
        </w:rPr>
        <w:noBreakHyphen/>
      </w:r>
      <w:r>
        <w:rPr>
          <w:lang w:val="en-GB"/>
        </w:rPr>
        <w:t>R F</w:t>
      </w:r>
      <w:r>
        <w:rPr>
          <w:lang w:val="ru-RU"/>
        </w:rPr>
        <w:t>.1668 и в Рекомендациях МСЭ</w:t>
      </w:r>
      <w:r>
        <w:rPr>
          <w:lang w:val="ru-RU"/>
        </w:rPr>
        <w:noBreakHyphen/>
      </w:r>
      <w:r>
        <w:rPr>
          <w:lang w:val="en-GB"/>
        </w:rPr>
        <w:t>T</w:t>
      </w:r>
      <w:r>
        <w:rPr>
          <w:lang w:val="ru-RU"/>
        </w:rPr>
        <w:t xml:space="preserve"> </w:t>
      </w:r>
      <w:r>
        <w:rPr>
          <w:lang w:val="en-GB"/>
        </w:rPr>
        <w:t>G</w:t>
      </w:r>
      <w:r>
        <w:rPr>
          <w:lang w:val="ru-RU"/>
        </w:rPr>
        <w:t xml:space="preserve">.826, </w:t>
      </w:r>
      <w:r>
        <w:rPr>
          <w:lang w:val="en-GB"/>
        </w:rPr>
        <w:t>G</w:t>
      </w:r>
      <w:r>
        <w:rPr>
          <w:lang w:val="ru-RU"/>
        </w:rPr>
        <w:t xml:space="preserve">.828 и </w:t>
      </w:r>
      <w:r>
        <w:rPr>
          <w:lang w:val="en-GB"/>
        </w:rPr>
        <w:t>G</w:t>
      </w:r>
      <w:r>
        <w:rPr>
          <w:lang w:val="ru-RU"/>
        </w:rPr>
        <w:t xml:space="preserve">.829 для трактов плезиохронной цифровой иерархии (ПЦИ), синхронной цифровой иерархии (СЦИ) и построенных по сотовому принципу, основаны на различных элементах тракта. В частности, элементы, составляющие СЦИ, </w:t>
      </w:r>
      <w:r>
        <w:rPr>
          <w:lang w:val="en-GB"/>
        </w:rPr>
        <w:sym w:font="Symbol" w:char="F02D"/>
      </w:r>
      <w:r>
        <w:rPr>
          <w:lang w:val="ru-RU"/>
        </w:rPr>
        <w:t xml:space="preserve"> это секция мультиплексирования (СМ) и секция регенерации (СР), которые являются основой для определений качества. Для того чтобы прояснить соотношение между качеством по ошибкам и показателями готовности, следует объяснить соотношение между секциями СЦИ и элементами тракта (ЭТ).</w:t>
      </w:r>
    </w:p>
    <w:p w:rsidR="002B753B" w:rsidRDefault="002B753B" w:rsidP="002B753B">
      <w:pPr>
        <w:rPr>
          <w:lang w:val="ru-RU"/>
        </w:rPr>
      </w:pPr>
      <w:r>
        <w:rPr>
          <w:lang w:val="ru-RU"/>
        </w:rPr>
        <w:t>На рисунках 5 и 6 показаны примеры</w:t>
      </w:r>
      <w:r w:rsidR="00FB75C5">
        <w:rPr>
          <w:lang w:val="ru-RU"/>
        </w:rPr>
        <w:t xml:space="preserve"> радиолинии, образующей участок</w:t>
      </w:r>
      <w:r>
        <w:rPr>
          <w:lang w:val="ru-RU"/>
        </w:rPr>
        <w:t xml:space="preserve"> ОЭМТ и часть короткопролетного участка ЭНТ и состоящей из секций СМ и СР синхронной цифровой иерархии (СЦИ). Параметры из данной Рекомендации применимы к радиолинии, тогда как показатели, взятые из Рекомендации МСЭ</w:t>
      </w:r>
      <w:r>
        <w:rPr>
          <w:lang w:val="ru-RU"/>
        </w:rPr>
        <w:noBreakHyphen/>
      </w:r>
      <w:r>
        <w:rPr>
          <w:lang w:val="en-GB"/>
        </w:rPr>
        <w:t>R F</w:t>
      </w:r>
      <w:r>
        <w:rPr>
          <w:lang w:val="ru-RU"/>
        </w:rPr>
        <w:t>.1668, применимы к отдельным секциям СМ и СР СЦИ, реализованным в виде радиоустройств. Распределение показателей готовности качества по ошибкам на каждый пролет выходит за рамки настоящей Рекомендации и Рекомендации МСЭ</w:t>
      </w:r>
      <w:r>
        <w:rPr>
          <w:lang w:val="ru-RU"/>
        </w:rPr>
        <w:noBreakHyphen/>
      </w:r>
      <w:r>
        <w:rPr>
          <w:lang w:val="en-GB"/>
        </w:rPr>
        <w:t>R F</w:t>
      </w:r>
      <w:r>
        <w:rPr>
          <w:lang w:val="ru-RU"/>
        </w:rPr>
        <w:t>.1668.</w:t>
      </w:r>
    </w:p>
    <w:bookmarkStart w:id="28" w:name="_MON_1174481131"/>
    <w:bookmarkStart w:id="29" w:name="_MON_1175939403"/>
    <w:bookmarkStart w:id="30" w:name="_MON_1175939767"/>
    <w:bookmarkStart w:id="31" w:name="_MON_1176899523"/>
    <w:bookmarkStart w:id="32" w:name="_MON_1176901096"/>
    <w:bookmarkEnd w:id="28"/>
    <w:bookmarkEnd w:id="29"/>
    <w:bookmarkEnd w:id="30"/>
    <w:bookmarkEnd w:id="31"/>
    <w:bookmarkEnd w:id="32"/>
    <w:bookmarkStart w:id="33" w:name="_MON_1174479778"/>
    <w:bookmarkEnd w:id="33"/>
    <w:p w:rsidR="002B753B" w:rsidRDefault="002B753B" w:rsidP="002B753B">
      <w:pPr>
        <w:pStyle w:val="FigureNo"/>
        <w:rPr>
          <w:lang w:val="ru-RU"/>
        </w:rPr>
      </w:pPr>
      <w:r>
        <w:object w:dxaOrig="9289" w:dyaOrig="4285">
          <v:shape id="_x0000_i1031" type="#_x0000_t75" style="width:464.6pt;height:213.95pt" o:ole="">
            <v:imagedata r:id="rId20" o:title=""/>
          </v:shape>
          <o:OLEObject Type="Embed" ProgID="Word.Picture.8" ShapeID="_x0000_i1031" DrawAspect="Content" ObjectID="_1478096293" r:id="rId21"/>
        </w:object>
      </w:r>
    </w:p>
    <w:p w:rsidR="002B753B" w:rsidRDefault="002B753B" w:rsidP="002B753B">
      <w:pPr>
        <w:rPr>
          <w:lang w:val="ru-RU"/>
        </w:rPr>
      </w:pPr>
    </w:p>
    <w:bookmarkStart w:id="34" w:name="_MON_1174481133"/>
    <w:bookmarkStart w:id="35" w:name="_MON_1176900824"/>
    <w:bookmarkStart w:id="36" w:name="_MON_1176900949"/>
    <w:bookmarkEnd w:id="34"/>
    <w:bookmarkEnd w:id="35"/>
    <w:bookmarkEnd w:id="36"/>
    <w:bookmarkStart w:id="37" w:name="_MON_1174479977"/>
    <w:bookmarkEnd w:id="37"/>
    <w:p w:rsidR="002B753B" w:rsidRDefault="002B753B" w:rsidP="002B753B">
      <w:pPr>
        <w:pStyle w:val="FigureNo"/>
        <w:rPr>
          <w:lang w:val="en-GB"/>
        </w:rPr>
      </w:pPr>
      <w:r w:rsidRPr="00A916A1">
        <w:rPr>
          <w:lang w:val="en-GB"/>
        </w:rPr>
        <w:object w:dxaOrig="9145" w:dyaOrig="4393">
          <v:shape id="_x0000_i1032" type="#_x0000_t75" style="width:457.15pt;height:219.4pt" o:ole="">
            <v:imagedata r:id="rId22" o:title=""/>
          </v:shape>
          <o:OLEObject Type="Embed" ProgID="Word.Picture.8" ShapeID="_x0000_i1032" DrawAspect="Content" ObjectID="_1478096294" r:id="rId23"/>
        </w:object>
      </w:r>
    </w:p>
    <w:p w:rsidR="002B753B" w:rsidRDefault="002B753B" w:rsidP="002B753B">
      <w:pPr>
        <w:rPr>
          <w:lang w:val="ru-RU"/>
        </w:rPr>
      </w:pPr>
    </w:p>
    <w:p w:rsidR="002B753B" w:rsidRDefault="002B753B" w:rsidP="002B753B">
      <w:pPr>
        <w:rPr>
          <w:lang w:val="ru-RU"/>
        </w:rPr>
      </w:pPr>
      <w:r>
        <w:rPr>
          <w:lang w:val="ru-RU"/>
        </w:rPr>
        <w:t xml:space="preserve">При проектировании радиолиний, кроме этих показателей, необходимо тщательно учитывать влияние эффектов распространения радиоволн, поскольку связь между готовностью и качеством определяется явлениями распространения. В действительности, вообще говоря, явления распространения могут больше влиять на качество и меньше на готовность или наоборот. </w:t>
      </w:r>
    </w:p>
    <w:p w:rsidR="002B753B" w:rsidRDefault="002B753B" w:rsidP="002B753B">
      <w:pPr>
        <w:rPr>
          <w:lang w:val="ru-RU"/>
        </w:rPr>
      </w:pPr>
      <w:r>
        <w:rPr>
          <w:lang w:val="ru-RU"/>
        </w:rPr>
        <w:t>Показатель готовности радиолинии, определенный в данной Рекомендации, должен соответствовать показателям для ЭНТ, определенным в Рекомендации МСЭ</w:t>
      </w:r>
      <w:r>
        <w:rPr>
          <w:lang w:val="ru-RU"/>
        </w:rPr>
        <w:noBreakHyphen/>
      </w:r>
      <w:r>
        <w:rPr>
          <w:lang w:val="en-GB"/>
        </w:rPr>
        <w:t>T</w:t>
      </w:r>
      <w:r>
        <w:rPr>
          <w:lang w:val="ru-RU"/>
        </w:rPr>
        <w:t xml:space="preserve"> </w:t>
      </w:r>
      <w:r>
        <w:rPr>
          <w:lang w:val="en-GB"/>
        </w:rPr>
        <w:t>G</w:t>
      </w:r>
      <w:r>
        <w:rPr>
          <w:lang w:val="ru-RU"/>
        </w:rPr>
        <w:t>.827.</w:t>
      </w:r>
    </w:p>
    <w:p w:rsidR="002B753B" w:rsidRPr="008E0174" w:rsidRDefault="002B753B" w:rsidP="003C1FD0">
      <w:pPr>
        <w:pStyle w:val="Heading1"/>
        <w:rPr>
          <w:lang w:val="ru-RU"/>
        </w:rPr>
      </w:pPr>
      <w:r>
        <w:rPr>
          <w:lang w:val="ru-RU"/>
        </w:rPr>
        <w:t>3</w:t>
      </w:r>
      <w:r>
        <w:rPr>
          <w:lang w:val="ru-RU"/>
        </w:rPr>
        <w:tab/>
        <w:t>Расчет</w:t>
      </w:r>
      <w:r w:rsidRPr="008E0174">
        <w:rPr>
          <w:lang w:val="ru-RU"/>
        </w:rPr>
        <w:t xml:space="preserve"> </w:t>
      </w:r>
      <w:r w:rsidRPr="001A0CCE">
        <w:rPr>
          <w:lang w:val="ru-RU"/>
        </w:rPr>
        <w:t>показателей</w:t>
      </w:r>
      <w:r w:rsidRPr="008E0174">
        <w:rPr>
          <w:lang w:val="ru-RU"/>
        </w:rPr>
        <w:t xml:space="preserve"> </w:t>
      </w:r>
      <w:r>
        <w:rPr>
          <w:lang w:val="ru-RU"/>
        </w:rPr>
        <w:t>готовности</w:t>
      </w:r>
    </w:p>
    <w:p w:rsidR="002B753B" w:rsidRDefault="002B753B" w:rsidP="002B753B">
      <w:pPr>
        <w:rPr>
          <w:lang w:val="ru-RU"/>
        </w:rPr>
      </w:pPr>
      <w:r>
        <w:rPr>
          <w:lang w:val="ru-RU"/>
        </w:rPr>
        <w:t>В данном разделе приведено несколько примеров применения настоящей Рекомендации к реальным линиям с целью определения значений показателей.</w:t>
      </w:r>
    </w:p>
    <w:p w:rsidR="002B753B" w:rsidRDefault="002B753B" w:rsidP="002B753B">
      <w:pPr>
        <w:rPr>
          <w:lang w:val="ru-RU"/>
        </w:rPr>
      </w:pPr>
      <w:r>
        <w:rPr>
          <w:lang w:val="ru-RU"/>
        </w:rPr>
        <w:t>В нижеследующих расчетах предполагается, что один год соответствует 525</w:t>
      </w:r>
      <w:r>
        <w:rPr>
          <w:rFonts w:ascii="Tms Rmn" w:hAnsi="Tms Rmn"/>
          <w:sz w:val="12"/>
          <w:lang w:val="en-GB"/>
        </w:rPr>
        <w:t> </w:t>
      </w:r>
      <w:r>
        <w:rPr>
          <w:lang w:val="ru-RU"/>
        </w:rPr>
        <w:t>960</w:t>
      </w:r>
      <w:r>
        <w:rPr>
          <w:lang w:val="en-GB"/>
        </w:rPr>
        <w:t> </w:t>
      </w:r>
      <w:r>
        <w:rPr>
          <w:lang w:val="ru-RU"/>
        </w:rPr>
        <w:t>мин.</w:t>
      </w:r>
    </w:p>
    <w:p w:rsidR="002B753B" w:rsidRDefault="002B753B" w:rsidP="003C1FD0">
      <w:pPr>
        <w:pStyle w:val="Heading2"/>
        <w:rPr>
          <w:lang w:val="ru-RU"/>
        </w:rPr>
      </w:pPr>
      <w:r>
        <w:rPr>
          <w:lang w:val="ru-RU"/>
        </w:rPr>
        <w:lastRenderedPageBreak/>
        <w:t>3.1</w:t>
      </w:r>
      <w:r>
        <w:rPr>
          <w:lang w:val="ru-RU"/>
        </w:rPr>
        <w:tab/>
      </w:r>
      <w:r w:rsidRPr="001A0CCE">
        <w:rPr>
          <w:lang w:val="ru-RU"/>
        </w:rPr>
        <w:t>Международный</w:t>
      </w:r>
      <w:r>
        <w:rPr>
          <w:lang w:val="ru-RU"/>
        </w:rPr>
        <w:t xml:space="preserve"> участок</w:t>
      </w:r>
    </w:p>
    <w:p w:rsidR="002B753B" w:rsidRDefault="002B753B" w:rsidP="002B753B">
      <w:pPr>
        <w:pStyle w:val="Headingb"/>
        <w:rPr>
          <w:lang w:val="ru-RU"/>
        </w:rPr>
      </w:pPr>
      <w:r>
        <w:rPr>
          <w:lang w:val="ru-RU"/>
        </w:rPr>
        <w:t>Случай 1: протяженность 30</w:t>
      </w:r>
      <w:r>
        <w:rPr>
          <w:lang w:val="en-GB"/>
        </w:rPr>
        <w:t> </w:t>
      </w:r>
      <w:r>
        <w:rPr>
          <w:lang w:val="ru-RU"/>
        </w:rPr>
        <w:t>км</w:t>
      </w:r>
    </w:p>
    <w:p w:rsidR="002B753B" w:rsidRDefault="002B753B" w:rsidP="002B753B">
      <w:pPr>
        <w:rPr>
          <w:lang w:val="ru-RU"/>
        </w:rPr>
      </w:pPr>
      <w:r>
        <w:rPr>
          <w:lang w:val="ru-RU"/>
        </w:rPr>
        <w:t xml:space="preserve">Длина менее </w:t>
      </w:r>
      <w:r>
        <w:rPr>
          <w:i/>
          <w:iCs/>
          <w:lang w:val="en-GB"/>
        </w:rPr>
        <w:t>L</w:t>
      </w:r>
      <w:r>
        <w:rPr>
          <w:i/>
          <w:iCs/>
          <w:vertAlign w:val="subscript"/>
          <w:lang w:val="en-GB"/>
        </w:rPr>
        <w:t>min</w:t>
      </w:r>
      <w:r>
        <w:rPr>
          <w:lang w:val="ru-RU"/>
        </w:rPr>
        <w:t xml:space="preserve"> </w:t>
      </w:r>
      <w:r>
        <w:rPr>
          <w:rFonts w:ascii="Symbol" w:hAnsi="Symbol"/>
        </w:rPr>
        <w:t></w:t>
      </w:r>
      <w:r>
        <w:rPr>
          <w:lang w:val="ru-RU"/>
        </w:rPr>
        <w:t xml:space="preserve"> 50</w:t>
      </w:r>
      <w:r>
        <w:rPr>
          <w:lang w:val="en-GB"/>
        </w:rPr>
        <w:t> </w:t>
      </w:r>
      <w:r>
        <w:rPr>
          <w:lang w:val="ru-RU"/>
        </w:rPr>
        <w:t xml:space="preserve">км, поэтому использовалось значение </w:t>
      </w:r>
      <w:r>
        <w:rPr>
          <w:i/>
          <w:iCs/>
          <w:lang w:val="en-GB"/>
        </w:rPr>
        <w:t>L</w:t>
      </w:r>
      <w:r>
        <w:rPr>
          <w:i/>
          <w:iCs/>
          <w:vertAlign w:val="subscript"/>
          <w:lang w:val="en-GB"/>
        </w:rPr>
        <w:t>link</w:t>
      </w:r>
      <w:r>
        <w:rPr>
          <w:lang w:val="ru-RU"/>
        </w:rPr>
        <w:t xml:space="preserve"> </w:t>
      </w:r>
      <w:r>
        <w:rPr>
          <w:rFonts w:ascii="Symbol" w:hAnsi="Symbol"/>
        </w:rPr>
        <w:t></w:t>
      </w:r>
      <w:r>
        <w:rPr>
          <w:lang w:val="ru-RU"/>
        </w:rPr>
        <w:t xml:space="preserve"> 50.</w:t>
      </w:r>
    </w:p>
    <w:p w:rsidR="002B753B" w:rsidRPr="00A916A1" w:rsidRDefault="002B753B" w:rsidP="002B753B">
      <w:pPr>
        <w:pStyle w:val="Equation"/>
        <w:jc w:val="center"/>
        <w:rPr>
          <w:lang w:val="ru-RU"/>
        </w:rPr>
      </w:pPr>
      <w:r>
        <w:rPr>
          <w:position w:val="-36"/>
        </w:rPr>
        <w:object w:dxaOrig="6480" w:dyaOrig="820">
          <v:shape id="_x0000_i1033" type="#_x0000_t75" style="width:324pt;height:40.75pt" o:ole="">
            <v:imagedata r:id="rId24" o:title=""/>
          </v:shape>
          <o:OLEObject Type="Embed" ProgID="Equation.3" ShapeID="_x0000_i1033" DrawAspect="Content" ObjectID="_1478096295" r:id="rId25"/>
        </w:object>
      </w:r>
      <w:r>
        <w:rPr>
          <w:lang w:val="ru-RU"/>
        </w:rPr>
        <w:t>,</w:t>
      </w:r>
    </w:p>
    <w:p w:rsidR="002B753B" w:rsidRPr="00A916A1" w:rsidRDefault="003C1FD0" w:rsidP="002B753B">
      <w:pPr>
        <w:jc w:val="center"/>
        <w:rPr>
          <w:lang w:val="ru-RU"/>
        </w:rPr>
      </w:pPr>
      <w:r>
        <w:rPr>
          <w:position w:val="-58"/>
        </w:rPr>
        <w:object w:dxaOrig="5640" w:dyaOrig="960">
          <v:shape id="_x0000_i1034" type="#_x0000_t75" style="width:273.05pt;height:46.85pt" o:ole="">
            <v:imagedata r:id="rId26" o:title=""/>
          </v:shape>
          <o:OLEObject Type="Embed" ProgID="Equation.3" ShapeID="_x0000_i1034" DrawAspect="Content" ObjectID="_1478096296" r:id="rId27"/>
        </w:object>
      </w:r>
      <w:r w:rsidR="002B753B">
        <w:rPr>
          <w:lang w:val="ru-RU"/>
        </w:rPr>
        <w:t>.</w:t>
      </w:r>
    </w:p>
    <w:p w:rsidR="002B753B" w:rsidRDefault="002B753B" w:rsidP="002B753B">
      <w:pPr>
        <w:rPr>
          <w:lang w:val="ru-RU"/>
        </w:rPr>
      </w:pPr>
      <w:r>
        <w:rPr>
          <w:lang w:val="ru-RU"/>
        </w:rPr>
        <w:t xml:space="preserve">Эти значения соответствуют </w:t>
      </w:r>
      <w:r>
        <w:rPr>
          <w:lang w:val="en-GB"/>
        </w:rPr>
        <w:t>AR</w:t>
      </w:r>
      <w:r>
        <w:rPr>
          <w:lang w:val="ru-RU"/>
        </w:rPr>
        <w:t xml:space="preserve"> = 99,985% (неготовность составляет 78</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53, а среднее время между событиями неготовности </w:t>
      </w:r>
      <w:r>
        <w:rPr>
          <w:lang w:val="en-GB"/>
        </w:rPr>
        <w:t>Mo </w:t>
      </w:r>
      <w:r>
        <w:rPr>
          <w:rFonts w:ascii="Symbol" w:hAnsi="Symbol"/>
        </w:rPr>
        <w:t></w:t>
      </w:r>
      <w:r>
        <w:rPr>
          <w:lang w:val="en-GB"/>
        </w:rPr>
        <w:t> </w:t>
      </w:r>
      <w:r>
        <w:rPr>
          <w:lang w:val="ru-RU"/>
        </w:rPr>
        <w:t>9922</w:t>
      </w:r>
      <w:r>
        <w:rPr>
          <w:lang w:val="en-GB"/>
        </w:rPr>
        <w:t> </w:t>
      </w:r>
      <w:r>
        <w:rPr>
          <w:lang w:val="ru-RU"/>
        </w:rPr>
        <w:t>мин., или 6,9 дней.</w:t>
      </w:r>
    </w:p>
    <w:p w:rsidR="002B753B" w:rsidRDefault="002B753B" w:rsidP="002B753B">
      <w:pPr>
        <w:pStyle w:val="Headingb"/>
        <w:rPr>
          <w:lang w:val="ru-RU"/>
        </w:rPr>
      </w:pPr>
      <w:r>
        <w:rPr>
          <w:lang w:val="ru-RU"/>
        </w:rPr>
        <w:t>Случай 2: протяженность 80</w:t>
      </w:r>
      <w:r>
        <w:rPr>
          <w:lang w:val="en-GB"/>
        </w:rPr>
        <w:t> </w:t>
      </w:r>
      <w:r>
        <w:rPr>
          <w:lang w:val="ru-RU"/>
        </w:rPr>
        <w:t>км</w:t>
      </w:r>
    </w:p>
    <w:p w:rsidR="002B753B" w:rsidRDefault="002B753B" w:rsidP="002B753B">
      <w:pPr>
        <w:rPr>
          <w:lang w:val="ru-RU"/>
        </w:rPr>
      </w:pPr>
      <w:r>
        <w:rPr>
          <w:lang w:val="ru-RU"/>
        </w:rPr>
        <w:t>Длина находится в пределах 50</w:t>
      </w:r>
      <w:r>
        <w:rPr>
          <w:lang w:val="en-GB"/>
        </w:rPr>
        <w:sym w:font="Symbol" w:char="F02D"/>
      </w:r>
      <w:r>
        <w:rPr>
          <w:lang w:val="ru-RU"/>
        </w:rPr>
        <w:t>250</w:t>
      </w:r>
      <w:r>
        <w:rPr>
          <w:lang w:val="en-GB"/>
        </w:rPr>
        <w:t> </w:t>
      </w:r>
      <w:r>
        <w:rPr>
          <w:lang w:val="ru-RU"/>
        </w:rPr>
        <w:t>км, поэтому:</w:t>
      </w:r>
    </w:p>
    <w:p w:rsidR="002B753B" w:rsidRPr="00A916A1" w:rsidRDefault="003C1FD0" w:rsidP="002B753B">
      <w:pPr>
        <w:pStyle w:val="Equation"/>
        <w:jc w:val="center"/>
        <w:rPr>
          <w:lang w:val="ru-RU"/>
        </w:rPr>
      </w:pPr>
      <w:r>
        <w:rPr>
          <w:position w:val="-32"/>
        </w:rPr>
        <w:object w:dxaOrig="6820" w:dyaOrig="760">
          <v:shape id="_x0000_i1035" type="#_x0000_t75" style="width:331.45pt;height:37.35pt" o:ole="">
            <v:imagedata r:id="rId28" o:title=""/>
          </v:shape>
          <o:OLEObject Type="Embed" ProgID="Equation.3" ShapeID="_x0000_i1035" DrawAspect="Content" ObjectID="_1478096297" r:id="rId29"/>
        </w:object>
      </w:r>
      <w:r w:rsidR="002B753B">
        <w:rPr>
          <w:lang w:val="ru-RU"/>
        </w:rPr>
        <w:t>,</w:t>
      </w:r>
    </w:p>
    <w:p w:rsidR="002B753B" w:rsidRPr="00A916A1" w:rsidRDefault="002B753B" w:rsidP="002B753B">
      <w:pPr>
        <w:jc w:val="center"/>
        <w:rPr>
          <w:lang w:val="ru-RU"/>
        </w:rPr>
      </w:pPr>
      <w:r>
        <w:rPr>
          <w:position w:val="-58"/>
        </w:rPr>
        <w:object w:dxaOrig="5820" w:dyaOrig="960">
          <v:shape id="_x0000_i1036" type="#_x0000_t75" style="width:290.7pt;height:48.25pt" o:ole="">
            <v:imagedata r:id="rId30" o:title=""/>
          </v:shape>
          <o:OLEObject Type="Embed" ProgID="Equation.3" ShapeID="_x0000_i1036" DrawAspect="Content" ObjectID="_1478096298" r:id="rId31"/>
        </w:object>
      </w:r>
      <w:r>
        <w:rPr>
          <w:lang w:val="ru-RU"/>
        </w:rPr>
        <w:t>.</w:t>
      </w:r>
    </w:p>
    <w:p w:rsidR="002B753B" w:rsidRDefault="002B753B" w:rsidP="002B753B">
      <w:pPr>
        <w:rPr>
          <w:lang w:val="ru-RU"/>
        </w:rPr>
      </w:pPr>
      <w:r>
        <w:rPr>
          <w:lang w:val="ru-RU"/>
        </w:rPr>
        <w:t xml:space="preserve">Эти значения соответствуют </w:t>
      </w:r>
      <w:r>
        <w:rPr>
          <w:lang w:val="en-GB"/>
        </w:rPr>
        <w:t>AR</w:t>
      </w:r>
      <w:r>
        <w:rPr>
          <w:lang w:val="ru-RU"/>
        </w:rPr>
        <w:t xml:space="preserve"> = 99,983% (неготовность составляет 90</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55, а среднее время между событиями неготовности </w:t>
      </w:r>
      <w:r>
        <w:rPr>
          <w:lang w:val="en-GB"/>
        </w:rPr>
        <w:t>Mo </w:t>
      </w:r>
      <w:r>
        <w:rPr>
          <w:rFonts w:ascii="Symbol" w:hAnsi="Symbol"/>
        </w:rPr>
        <w:t></w:t>
      </w:r>
      <w:r>
        <w:rPr>
          <w:lang w:val="en-GB"/>
        </w:rPr>
        <w:t> </w:t>
      </w:r>
      <w:r>
        <w:rPr>
          <w:lang w:val="ru-RU"/>
        </w:rPr>
        <w:t>9596</w:t>
      </w:r>
      <w:r>
        <w:rPr>
          <w:lang w:val="en-GB"/>
        </w:rPr>
        <w:t> </w:t>
      </w:r>
      <w:r>
        <w:rPr>
          <w:lang w:val="ru-RU"/>
        </w:rPr>
        <w:t>мин., или 6,7 дней.</w:t>
      </w:r>
    </w:p>
    <w:p w:rsidR="002B753B" w:rsidRDefault="002B753B" w:rsidP="002B753B">
      <w:pPr>
        <w:pStyle w:val="Headingb"/>
        <w:rPr>
          <w:lang w:val="ru-RU"/>
        </w:rPr>
      </w:pPr>
      <w:r>
        <w:rPr>
          <w:lang w:val="ru-RU"/>
        </w:rPr>
        <w:t>Случай 3: протяженность 1056</w:t>
      </w:r>
      <w:r>
        <w:rPr>
          <w:lang w:val="en-GB"/>
        </w:rPr>
        <w:t> </w:t>
      </w:r>
      <w:r>
        <w:rPr>
          <w:lang w:val="ru-RU"/>
        </w:rPr>
        <w:t>км</w:t>
      </w:r>
    </w:p>
    <w:p w:rsidR="002B753B" w:rsidRDefault="002B753B" w:rsidP="002B753B">
      <w:pPr>
        <w:rPr>
          <w:lang w:val="ru-RU"/>
        </w:rPr>
      </w:pPr>
      <w:r>
        <w:rPr>
          <w:lang w:val="ru-RU"/>
        </w:rPr>
        <w:t>Длина находится в пределах 250</w:t>
      </w:r>
      <w:r>
        <w:rPr>
          <w:lang w:val="en-GB"/>
        </w:rPr>
        <w:sym w:font="Symbol" w:char="F02D"/>
      </w:r>
      <w:r>
        <w:rPr>
          <w:lang w:val="ru-RU"/>
        </w:rPr>
        <w:t>2500</w:t>
      </w:r>
      <w:r>
        <w:rPr>
          <w:lang w:val="en-GB"/>
        </w:rPr>
        <w:t> </w:t>
      </w:r>
      <w:r>
        <w:rPr>
          <w:lang w:val="ru-RU"/>
        </w:rPr>
        <w:t>км, поэтому:</w:t>
      </w:r>
    </w:p>
    <w:p w:rsidR="002B753B" w:rsidRPr="00A916A1" w:rsidRDefault="002B753B" w:rsidP="002B753B">
      <w:pPr>
        <w:pStyle w:val="Equation"/>
        <w:jc w:val="center"/>
        <w:rPr>
          <w:lang w:val="ru-RU"/>
        </w:rPr>
      </w:pPr>
      <w:r>
        <w:rPr>
          <w:position w:val="-36"/>
        </w:rPr>
        <w:object w:dxaOrig="7220" w:dyaOrig="820">
          <v:shape id="_x0000_i1037" type="#_x0000_t75" style="width:360.7pt;height:40.75pt" o:ole="">
            <v:imagedata r:id="rId32" o:title=""/>
          </v:shape>
          <o:OLEObject Type="Embed" ProgID="Equation.3" ShapeID="_x0000_i1037" DrawAspect="Content" ObjectID="_1478096299" r:id="rId33"/>
        </w:object>
      </w:r>
      <w:r>
        <w:rPr>
          <w:lang w:val="ru-RU"/>
        </w:rPr>
        <w:t>,</w:t>
      </w:r>
    </w:p>
    <w:p w:rsidR="002B753B" w:rsidRPr="00A916A1" w:rsidRDefault="003C1FD0" w:rsidP="002B753B">
      <w:pPr>
        <w:pStyle w:val="Equation"/>
        <w:jc w:val="center"/>
        <w:rPr>
          <w:lang w:val="ru-RU"/>
        </w:rPr>
      </w:pPr>
      <w:r>
        <w:rPr>
          <w:position w:val="-58"/>
        </w:rPr>
        <w:object w:dxaOrig="5960" w:dyaOrig="960">
          <v:shape id="_x0000_i1038" type="#_x0000_t75" style="width:292.1pt;height:47.55pt" o:ole="">
            <v:imagedata r:id="rId34" o:title=""/>
          </v:shape>
          <o:OLEObject Type="Embed" ProgID="Equation.3" ShapeID="_x0000_i1038" DrawAspect="Content" ObjectID="_1478096300" r:id="rId35"/>
        </w:object>
      </w:r>
      <w:r w:rsidR="002B753B">
        <w:rPr>
          <w:lang w:val="ru-RU"/>
        </w:rPr>
        <w:t>.</w:t>
      </w:r>
    </w:p>
    <w:p w:rsidR="002B753B" w:rsidRDefault="002B753B" w:rsidP="002B753B">
      <w:pPr>
        <w:rPr>
          <w:lang w:val="ru-RU"/>
        </w:rPr>
      </w:pPr>
      <w:r>
        <w:rPr>
          <w:lang w:val="ru-RU"/>
        </w:rPr>
        <w:t xml:space="preserve">Эти значения соответствуют </w:t>
      </w:r>
      <w:r>
        <w:rPr>
          <w:lang w:val="en-GB"/>
        </w:rPr>
        <w:t>AR</w:t>
      </w:r>
      <w:r>
        <w:rPr>
          <w:lang w:val="ru-RU"/>
        </w:rPr>
        <w:t xml:space="preserve"> = 99,873% (неготовность составляет 667</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97, а среднее время между событиями неготовности </w:t>
      </w:r>
      <w:r>
        <w:rPr>
          <w:lang w:val="en-GB"/>
        </w:rPr>
        <w:t>Mo </w:t>
      </w:r>
      <w:r>
        <w:rPr>
          <w:rFonts w:ascii="Symbol" w:hAnsi="Symbol"/>
        </w:rPr>
        <w:t></w:t>
      </w:r>
      <w:r>
        <w:rPr>
          <w:lang w:val="en-GB"/>
        </w:rPr>
        <w:t> </w:t>
      </w:r>
      <w:r>
        <w:rPr>
          <w:lang w:val="ru-RU"/>
        </w:rPr>
        <w:t>5402</w:t>
      </w:r>
      <w:r>
        <w:rPr>
          <w:lang w:val="en-GB"/>
        </w:rPr>
        <w:t> </w:t>
      </w:r>
      <w:r>
        <w:rPr>
          <w:lang w:val="ru-RU"/>
        </w:rPr>
        <w:t>мин., или 3,7 дней.</w:t>
      </w:r>
    </w:p>
    <w:p w:rsidR="002B753B" w:rsidRDefault="003C1FD0" w:rsidP="003C1FD0">
      <w:pPr>
        <w:pStyle w:val="Heading2"/>
        <w:rPr>
          <w:lang w:val="ru-RU"/>
        </w:rPr>
      </w:pPr>
      <w:r>
        <w:rPr>
          <w:lang w:val="ru-RU"/>
        </w:rPr>
        <w:t>3.2</w:t>
      </w:r>
      <w:r>
        <w:rPr>
          <w:lang w:val="ru-RU"/>
        </w:rPr>
        <w:tab/>
      </w:r>
      <w:r w:rsidR="002B753B">
        <w:rPr>
          <w:lang w:val="ru-RU"/>
        </w:rPr>
        <w:t>Национальный участок</w:t>
      </w:r>
    </w:p>
    <w:p w:rsidR="002B753B" w:rsidRDefault="002B753B" w:rsidP="002B753B">
      <w:pPr>
        <w:pStyle w:val="Headingb"/>
        <w:rPr>
          <w:lang w:val="ru-RU"/>
        </w:rPr>
      </w:pPr>
      <w:r>
        <w:rPr>
          <w:lang w:val="ru-RU"/>
        </w:rPr>
        <w:t>Случай 1: участок доступа длиной 30</w:t>
      </w:r>
      <w:r>
        <w:rPr>
          <w:lang w:val="en-GB"/>
        </w:rPr>
        <w:t> </w:t>
      </w:r>
      <w:r>
        <w:rPr>
          <w:lang w:val="ru-RU"/>
        </w:rPr>
        <w:t>км</w:t>
      </w:r>
    </w:p>
    <w:p w:rsidR="002B753B" w:rsidRDefault="002B753B" w:rsidP="002B753B">
      <w:pPr>
        <w:rPr>
          <w:lang w:val="ru-RU"/>
        </w:rPr>
      </w:pPr>
      <w:r>
        <w:rPr>
          <w:lang w:val="ru-RU"/>
        </w:rPr>
        <w:t xml:space="preserve">Длина менее </w:t>
      </w:r>
      <w:r>
        <w:rPr>
          <w:i/>
          <w:iCs/>
          <w:lang w:val="en-GB"/>
        </w:rPr>
        <w:t>L</w:t>
      </w:r>
      <w:r>
        <w:rPr>
          <w:i/>
          <w:iCs/>
          <w:vertAlign w:val="subscript"/>
          <w:lang w:val="en-GB"/>
        </w:rPr>
        <w:t>min</w:t>
      </w:r>
      <w:r>
        <w:rPr>
          <w:lang w:val="en-GB"/>
        </w:rPr>
        <w:t> </w:t>
      </w:r>
      <w:r>
        <w:rPr>
          <w:rFonts w:ascii="Symbol" w:hAnsi="Symbol"/>
        </w:rPr>
        <w:t></w:t>
      </w:r>
      <w:r>
        <w:rPr>
          <w:lang w:val="en-GB"/>
        </w:rPr>
        <w:t> </w:t>
      </w:r>
      <w:r>
        <w:rPr>
          <w:lang w:val="ru-RU"/>
        </w:rPr>
        <w:t>50</w:t>
      </w:r>
      <w:r>
        <w:rPr>
          <w:lang w:val="en-GB"/>
        </w:rPr>
        <w:t> </w:t>
      </w:r>
      <w:r>
        <w:rPr>
          <w:lang w:val="ru-RU"/>
        </w:rPr>
        <w:t xml:space="preserve">км, поэтому использовалось значение </w:t>
      </w:r>
      <w:r>
        <w:rPr>
          <w:i/>
          <w:iCs/>
          <w:lang w:val="en-GB"/>
        </w:rPr>
        <w:t>L</w:t>
      </w:r>
      <w:r>
        <w:rPr>
          <w:i/>
          <w:iCs/>
          <w:vertAlign w:val="subscript"/>
          <w:lang w:val="en-GB"/>
        </w:rPr>
        <w:t>link</w:t>
      </w:r>
      <w:r>
        <w:rPr>
          <w:lang w:val="en-GB"/>
        </w:rPr>
        <w:t> </w:t>
      </w:r>
      <w:r>
        <w:rPr>
          <w:rFonts w:ascii="Symbol" w:hAnsi="Symbol"/>
        </w:rPr>
        <w:t></w:t>
      </w:r>
      <w:r>
        <w:rPr>
          <w:lang w:val="en-GB"/>
        </w:rPr>
        <w:t> </w:t>
      </w:r>
      <w:r>
        <w:rPr>
          <w:lang w:val="ru-RU"/>
        </w:rPr>
        <w:t>50</w:t>
      </w:r>
      <w:r>
        <w:rPr>
          <w:lang w:val="en-GB"/>
        </w:rPr>
        <w:t> </w:t>
      </w:r>
      <w:r>
        <w:rPr>
          <w:lang w:val="ru-RU"/>
        </w:rPr>
        <w:t>км.</w:t>
      </w:r>
    </w:p>
    <w:p w:rsidR="002B753B" w:rsidRPr="00A916A1" w:rsidRDefault="002B753B" w:rsidP="002B753B">
      <w:pPr>
        <w:pStyle w:val="Equation"/>
        <w:spacing w:before="240"/>
        <w:rPr>
          <w:lang w:val="ru-RU"/>
        </w:rPr>
      </w:pPr>
      <w:r>
        <w:rPr>
          <w:lang w:val="ru-RU"/>
        </w:rPr>
        <w:tab/>
      </w:r>
      <w:r>
        <w:rPr>
          <w:lang w:val="ru-RU"/>
        </w:rPr>
        <w:tab/>
      </w:r>
      <w:r>
        <w:rPr>
          <w:position w:val="-32"/>
          <w:sz w:val="20"/>
        </w:rPr>
        <w:object w:dxaOrig="6640" w:dyaOrig="760">
          <v:shape id="_x0000_i1039" type="#_x0000_t75" style="width:332.15pt;height:38.05pt" o:ole="">
            <v:imagedata r:id="rId36" o:title=""/>
          </v:shape>
          <o:OLEObject Type="Embed" ProgID="Equation.3" ShapeID="_x0000_i1039" DrawAspect="Content" ObjectID="_1478096301" r:id="rId37"/>
        </w:object>
      </w:r>
      <w:r>
        <w:rPr>
          <w:lang w:val="ru-RU"/>
        </w:rPr>
        <w:t>,</w:t>
      </w:r>
    </w:p>
    <w:p w:rsidR="002B753B" w:rsidRPr="00A916A1" w:rsidRDefault="002B753B" w:rsidP="002B753B">
      <w:pPr>
        <w:pStyle w:val="Equation"/>
        <w:pageBreakBefore/>
        <w:spacing w:before="240"/>
        <w:rPr>
          <w:lang w:val="ru-RU"/>
        </w:rPr>
      </w:pPr>
      <w:r w:rsidRPr="002B753B">
        <w:rPr>
          <w:lang w:val="ru-RU"/>
        </w:rPr>
        <w:lastRenderedPageBreak/>
        <w:tab/>
      </w:r>
      <w:r w:rsidRPr="002B753B">
        <w:rPr>
          <w:lang w:val="ru-RU"/>
        </w:rPr>
        <w:tab/>
      </w:r>
      <w:r>
        <w:rPr>
          <w:position w:val="-58"/>
        </w:rPr>
        <w:object w:dxaOrig="5319" w:dyaOrig="960">
          <v:shape id="_x0000_i1040" type="#_x0000_t75" style="width:266.25pt;height:48.25pt" o:ole="">
            <v:imagedata r:id="rId38" o:title=""/>
          </v:shape>
          <o:OLEObject Type="Embed" ProgID="Equation.3" ShapeID="_x0000_i1040" DrawAspect="Content" ObjectID="_1478096302" r:id="rId39"/>
        </w:object>
      </w:r>
      <w:r>
        <w:rPr>
          <w:lang w:val="ru-RU"/>
        </w:rPr>
        <w:t>.</w:t>
      </w:r>
    </w:p>
    <w:p w:rsidR="002B753B" w:rsidRDefault="002B753B" w:rsidP="002B753B">
      <w:pPr>
        <w:spacing w:before="240"/>
        <w:rPr>
          <w:lang w:val="ru-RU"/>
        </w:rPr>
      </w:pPr>
      <w:r>
        <w:rPr>
          <w:lang w:val="ru-RU"/>
        </w:rPr>
        <w:t xml:space="preserve">Эти значения соответствуют </w:t>
      </w:r>
      <w:r>
        <w:rPr>
          <w:lang w:val="en-GB"/>
        </w:rPr>
        <w:t>AR</w:t>
      </w:r>
      <w:r>
        <w:rPr>
          <w:lang w:val="ru-RU"/>
        </w:rPr>
        <w:t xml:space="preserve"> = 99,95% (неготовность составляет 263</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100, а среднее время между событиями неготовности </w:t>
      </w:r>
      <w:r>
        <w:rPr>
          <w:lang w:val="en-GB"/>
        </w:rPr>
        <w:t>Mo </w:t>
      </w:r>
      <w:r>
        <w:rPr>
          <w:rFonts w:ascii="Symbol" w:hAnsi="Symbol"/>
        </w:rPr>
        <w:t></w:t>
      </w:r>
      <w:r>
        <w:rPr>
          <w:lang w:val="en-GB"/>
        </w:rPr>
        <w:t> </w:t>
      </w:r>
      <w:r>
        <w:rPr>
          <w:lang w:val="ru-RU"/>
        </w:rPr>
        <w:t>5257</w:t>
      </w:r>
      <w:r>
        <w:rPr>
          <w:lang w:val="en-GB"/>
        </w:rPr>
        <w:t> </w:t>
      </w:r>
      <w:r>
        <w:rPr>
          <w:lang w:val="ru-RU"/>
        </w:rPr>
        <w:t xml:space="preserve">мин. </w:t>
      </w:r>
    </w:p>
    <w:p w:rsidR="002B753B" w:rsidRDefault="002B753B" w:rsidP="002B753B">
      <w:pPr>
        <w:pStyle w:val="Headingb"/>
        <w:rPr>
          <w:lang w:val="ru-RU"/>
        </w:rPr>
      </w:pPr>
      <w:r>
        <w:rPr>
          <w:lang w:val="ru-RU"/>
        </w:rPr>
        <w:t>Случай 2: короткопролетный участок длиной 105</w:t>
      </w:r>
      <w:r>
        <w:rPr>
          <w:lang w:val="en-GB"/>
        </w:rPr>
        <w:t> </w:t>
      </w:r>
      <w:r>
        <w:rPr>
          <w:lang w:val="ru-RU"/>
        </w:rPr>
        <w:t>км</w:t>
      </w:r>
    </w:p>
    <w:p w:rsidR="002B753B" w:rsidRDefault="002B753B" w:rsidP="002B753B">
      <w:pPr>
        <w:rPr>
          <w:lang w:val="ru-RU"/>
        </w:rPr>
      </w:pPr>
      <w:r>
        <w:rPr>
          <w:lang w:val="ru-RU"/>
        </w:rPr>
        <w:t>Длина находится в пределах 50</w:t>
      </w:r>
      <w:r>
        <w:rPr>
          <w:lang w:val="en-GB"/>
        </w:rPr>
        <w:sym w:font="Symbol" w:char="F02D"/>
      </w:r>
      <w:r>
        <w:rPr>
          <w:lang w:val="ru-RU"/>
        </w:rPr>
        <w:t>250</w:t>
      </w:r>
      <w:r>
        <w:rPr>
          <w:lang w:val="en-GB"/>
        </w:rPr>
        <w:t> </w:t>
      </w:r>
      <w:r>
        <w:rPr>
          <w:lang w:val="ru-RU"/>
        </w:rPr>
        <w:t>км, поэтому:</w:t>
      </w:r>
    </w:p>
    <w:p w:rsidR="002B753B" w:rsidRPr="00A916A1" w:rsidRDefault="002B753B" w:rsidP="002B753B">
      <w:pPr>
        <w:pStyle w:val="Equation"/>
        <w:spacing w:before="240"/>
        <w:rPr>
          <w:lang w:val="ru-RU"/>
        </w:rPr>
      </w:pPr>
      <w:r>
        <w:rPr>
          <w:lang w:val="ru-RU"/>
        </w:rPr>
        <w:tab/>
      </w:r>
      <w:r>
        <w:rPr>
          <w:lang w:val="ru-RU"/>
        </w:rPr>
        <w:tab/>
      </w:r>
      <w:r>
        <w:rPr>
          <w:position w:val="-32"/>
          <w:sz w:val="20"/>
        </w:rPr>
        <w:object w:dxaOrig="6680" w:dyaOrig="760">
          <v:shape id="_x0000_i1041" type="#_x0000_t75" style="width:334.2pt;height:38.05pt" o:ole="">
            <v:imagedata r:id="rId40" o:title=""/>
          </v:shape>
          <o:OLEObject Type="Embed" ProgID="Equation.3" ShapeID="_x0000_i1041" DrawAspect="Content" ObjectID="_1478096303" r:id="rId41"/>
        </w:object>
      </w:r>
      <w:r>
        <w:rPr>
          <w:lang w:val="ru-RU"/>
        </w:rPr>
        <w:t>,</w:t>
      </w:r>
    </w:p>
    <w:p w:rsidR="002B753B" w:rsidRPr="00A916A1" w:rsidRDefault="002B753B" w:rsidP="002B753B">
      <w:pPr>
        <w:pStyle w:val="Equation"/>
        <w:spacing w:before="240"/>
        <w:rPr>
          <w:lang w:val="ru-RU"/>
        </w:rPr>
      </w:pPr>
      <w:r w:rsidRPr="002B753B">
        <w:rPr>
          <w:lang w:val="ru-RU"/>
        </w:rPr>
        <w:tab/>
      </w:r>
      <w:r w:rsidRPr="002B753B">
        <w:rPr>
          <w:lang w:val="ru-RU"/>
        </w:rPr>
        <w:tab/>
      </w:r>
      <w:r>
        <w:rPr>
          <w:position w:val="-58"/>
        </w:rPr>
        <w:object w:dxaOrig="5640" w:dyaOrig="960">
          <v:shape id="_x0000_i1042" type="#_x0000_t75" style="width:281.9pt;height:48.25pt" o:ole="">
            <v:imagedata r:id="rId42" o:title=""/>
          </v:shape>
          <o:OLEObject Type="Embed" ProgID="Equation.3" ShapeID="_x0000_i1042" DrawAspect="Content" ObjectID="_1478096304" r:id="rId43"/>
        </w:object>
      </w:r>
      <w:r>
        <w:rPr>
          <w:lang w:val="ru-RU"/>
        </w:rPr>
        <w:t>.</w:t>
      </w:r>
    </w:p>
    <w:p w:rsidR="002B753B" w:rsidRDefault="002B753B" w:rsidP="002B753B">
      <w:pPr>
        <w:spacing w:before="240"/>
        <w:rPr>
          <w:lang w:val="ru-RU"/>
        </w:rPr>
      </w:pPr>
      <w:r>
        <w:rPr>
          <w:lang w:val="ru-RU"/>
        </w:rPr>
        <w:t xml:space="preserve">Эти значения соответствуют </w:t>
      </w:r>
      <w:r>
        <w:rPr>
          <w:lang w:val="en-GB"/>
        </w:rPr>
        <w:t>AR</w:t>
      </w:r>
      <w:r>
        <w:rPr>
          <w:lang w:val="ru-RU"/>
        </w:rPr>
        <w:t xml:space="preserve"> = 99,96% (неготовность составляет 210</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120, а среднее время между событиями неготовности </w:t>
      </w:r>
      <w:r>
        <w:rPr>
          <w:lang w:val="en-GB"/>
        </w:rPr>
        <w:t>Mo </w:t>
      </w:r>
      <w:r>
        <w:rPr>
          <w:rFonts w:ascii="Symbol" w:hAnsi="Symbol"/>
        </w:rPr>
        <w:t></w:t>
      </w:r>
      <w:r>
        <w:rPr>
          <w:lang w:val="en-GB"/>
        </w:rPr>
        <w:t> </w:t>
      </w:r>
      <w:r>
        <w:rPr>
          <w:lang w:val="ru-RU"/>
        </w:rPr>
        <w:t>4381</w:t>
      </w:r>
      <w:r>
        <w:rPr>
          <w:lang w:val="en-GB"/>
        </w:rPr>
        <w:t> </w:t>
      </w:r>
      <w:r>
        <w:rPr>
          <w:lang w:val="ru-RU"/>
        </w:rPr>
        <w:t>мин.</w:t>
      </w:r>
    </w:p>
    <w:p w:rsidR="002B753B" w:rsidRDefault="002B753B" w:rsidP="002B753B">
      <w:pPr>
        <w:pStyle w:val="Headingb"/>
        <w:rPr>
          <w:lang w:val="ru-RU"/>
        </w:rPr>
      </w:pPr>
      <w:r>
        <w:rPr>
          <w:lang w:val="ru-RU"/>
        </w:rPr>
        <w:t>Случай 3: длиннопролетный участок длиной 960</w:t>
      </w:r>
      <w:r>
        <w:rPr>
          <w:lang w:val="en-GB"/>
        </w:rPr>
        <w:t> </w:t>
      </w:r>
      <w:r>
        <w:rPr>
          <w:lang w:val="ru-RU"/>
        </w:rPr>
        <w:t>км</w:t>
      </w:r>
    </w:p>
    <w:p w:rsidR="002B753B" w:rsidRDefault="002B753B" w:rsidP="002B753B">
      <w:pPr>
        <w:rPr>
          <w:lang w:val="ru-RU"/>
        </w:rPr>
      </w:pPr>
      <w:r>
        <w:rPr>
          <w:lang w:val="ru-RU"/>
        </w:rPr>
        <w:t>Длина находится в пределах 250</w:t>
      </w:r>
      <w:r>
        <w:rPr>
          <w:lang w:val="en-GB"/>
        </w:rPr>
        <w:sym w:font="Symbol" w:char="F02D"/>
      </w:r>
      <w:r>
        <w:rPr>
          <w:lang w:val="ru-RU"/>
        </w:rPr>
        <w:t>2</w:t>
      </w:r>
      <w:r>
        <w:rPr>
          <w:rFonts w:ascii="Tms Rmn" w:hAnsi="Tms Rmn"/>
          <w:sz w:val="12"/>
          <w:lang w:val="en-GB"/>
        </w:rPr>
        <w:t> </w:t>
      </w:r>
      <w:r>
        <w:rPr>
          <w:lang w:val="ru-RU"/>
        </w:rPr>
        <w:t>500</w:t>
      </w:r>
      <w:r>
        <w:rPr>
          <w:lang w:val="en-GB"/>
        </w:rPr>
        <w:t> </w:t>
      </w:r>
      <w:r>
        <w:rPr>
          <w:lang w:val="ru-RU"/>
        </w:rPr>
        <w:t>км, поэтому:</w:t>
      </w:r>
    </w:p>
    <w:p w:rsidR="002B753B" w:rsidRPr="00A916A1" w:rsidRDefault="002B753B" w:rsidP="002B753B">
      <w:pPr>
        <w:pStyle w:val="Equation"/>
        <w:spacing w:before="240"/>
        <w:rPr>
          <w:lang w:val="ru-RU"/>
        </w:rPr>
      </w:pPr>
      <w:r>
        <w:rPr>
          <w:lang w:val="ru-RU"/>
        </w:rPr>
        <w:tab/>
      </w:r>
      <w:r>
        <w:rPr>
          <w:lang w:val="ru-RU"/>
        </w:rPr>
        <w:tab/>
      </w:r>
      <w:r>
        <w:rPr>
          <w:position w:val="-32"/>
          <w:sz w:val="20"/>
        </w:rPr>
        <w:object w:dxaOrig="6960" w:dyaOrig="760">
          <v:shape id="_x0000_i1043" type="#_x0000_t75" style="width:347.75pt;height:38.05pt" o:ole="">
            <v:imagedata r:id="rId44" o:title=""/>
          </v:shape>
          <o:OLEObject Type="Embed" ProgID="Equation.3" ShapeID="_x0000_i1043" DrawAspect="Content" ObjectID="_1478096305" r:id="rId45"/>
        </w:object>
      </w:r>
      <w:r>
        <w:rPr>
          <w:lang w:val="ru-RU"/>
        </w:rPr>
        <w:t>,</w:t>
      </w:r>
    </w:p>
    <w:p w:rsidR="002B753B" w:rsidRPr="00A916A1" w:rsidRDefault="002B753B" w:rsidP="002B753B">
      <w:pPr>
        <w:pStyle w:val="Equation"/>
        <w:spacing w:before="240"/>
        <w:rPr>
          <w:lang w:val="ru-RU"/>
        </w:rPr>
      </w:pPr>
      <w:r w:rsidRPr="002B753B">
        <w:rPr>
          <w:lang w:val="ru-RU"/>
        </w:rPr>
        <w:tab/>
      </w:r>
      <w:r w:rsidRPr="002B753B">
        <w:rPr>
          <w:lang w:val="ru-RU"/>
        </w:rPr>
        <w:tab/>
      </w:r>
      <w:r>
        <w:rPr>
          <w:position w:val="-58"/>
        </w:rPr>
        <w:object w:dxaOrig="5840" w:dyaOrig="960">
          <v:shape id="_x0000_i1044" type="#_x0000_t75" style="width:292.1pt;height:48.25pt" o:ole="">
            <v:imagedata r:id="rId46" o:title=""/>
          </v:shape>
          <o:OLEObject Type="Embed" ProgID="Equation.3" ShapeID="_x0000_i1044" DrawAspect="Content" ObjectID="_1478096306" r:id="rId47"/>
        </w:object>
      </w:r>
      <w:r>
        <w:rPr>
          <w:lang w:val="ru-RU"/>
        </w:rPr>
        <w:t>.</w:t>
      </w:r>
    </w:p>
    <w:p w:rsidR="002B753B" w:rsidRDefault="002B753B" w:rsidP="002B753B">
      <w:pPr>
        <w:spacing w:before="80"/>
        <w:rPr>
          <w:lang w:val="ru-RU"/>
        </w:rPr>
      </w:pPr>
      <w:r>
        <w:rPr>
          <w:lang w:val="ru-RU"/>
        </w:rPr>
        <w:t xml:space="preserve">Эти значения соответствуют </w:t>
      </w:r>
      <w:r>
        <w:rPr>
          <w:lang w:val="en-GB"/>
        </w:rPr>
        <w:t>AR</w:t>
      </w:r>
      <w:r>
        <w:rPr>
          <w:lang w:val="ru-RU"/>
        </w:rPr>
        <w:t xml:space="preserve"> = 99,88% (неготовность составляет 606</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93, а среднее время между событиями неготовности </w:t>
      </w:r>
      <w:r>
        <w:rPr>
          <w:lang w:val="en-GB"/>
        </w:rPr>
        <w:t>Mo </w:t>
      </w:r>
      <w:r>
        <w:rPr>
          <w:rFonts w:ascii="Symbol" w:hAnsi="Symbol"/>
        </w:rPr>
        <w:t></w:t>
      </w:r>
      <w:r>
        <w:rPr>
          <w:lang w:val="en-GB"/>
        </w:rPr>
        <w:t> </w:t>
      </w:r>
      <w:r>
        <w:rPr>
          <w:lang w:val="ru-RU"/>
        </w:rPr>
        <w:t>5627</w:t>
      </w:r>
      <w:r>
        <w:rPr>
          <w:lang w:val="en-GB"/>
        </w:rPr>
        <w:t> </w:t>
      </w:r>
      <w:r>
        <w:rPr>
          <w:lang w:val="ru-RU"/>
        </w:rPr>
        <w:t>мин.</w:t>
      </w:r>
    </w:p>
    <w:p w:rsidR="002B753B" w:rsidRDefault="002B753B" w:rsidP="002B753B">
      <w:pPr>
        <w:pStyle w:val="Headingb"/>
        <w:rPr>
          <w:lang w:val="ru-RU"/>
        </w:rPr>
      </w:pPr>
      <w:r>
        <w:rPr>
          <w:lang w:val="ru-RU"/>
        </w:rPr>
        <w:t>Случай 4: общие показатели для линии протяженностью 1095</w:t>
      </w:r>
      <w:r>
        <w:rPr>
          <w:lang w:val="en-GB"/>
        </w:rPr>
        <w:t> </w:t>
      </w:r>
      <w:r>
        <w:rPr>
          <w:lang w:val="ru-RU"/>
        </w:rPr>
        <w:t>км, состоящей из участка доступа длиной 30</w:t>
      </w:r>
      <w:r>
        <w:rPr>
          <w:lang w:val="en-GB"/>
        </w:rPr>
        <w:t> </w:t>
      </w:r>
      <w:r>
        <w:rPr>
          <w:lang w:val="ru-RU"/>
        </w:rPr>
        <w:t>км, короткопролетного участка длиной 105</w:t>
      </w:r>
      <w:r>
        <w:rPr>
          <w:lang w:val="en-GB"/>
        </w:rPr>
        <w:t> </w:t>
      </w:r>
      <w:r>
        <w:rPr>
          <w:lang w:val="ru-RU"/>
        </w:rPr>
        <w:t>км и длиннопролетного участка длиной 960</w:t>
      </w:r>
      <w:r>
        <w:rPr>
          <w:lang w:val="en-GB"/>
        </w:rPr>
        <w:t> </w:t>
      </w:r>
      <w:r>
        <w:rPr>
          <w:lang w:val="ru-RU"/>
        </w:rPr>
        <w:t>км</w:t>
      </w:r>
    </w:p>
    <w:p w:rsidR="002B753B" w:rsidRDefault="002B753B" w:rsidP="002B753B">
      <w:pPr>
        <w:rPr>
          <w:lang w:val="ru-RU"/>
        </w:rPr>
      </w:pPr>
      <w:r>
        <w:rPr>
          <w:lang w:val="ru-RU"/>
        </w:rPr>
        <w:t xml:space="preserve">Показатели </w:t>
      </w:r>
      <w:r>
        <w:rPr>
          <w:lang w:val="en-GB"/>
        </w:rPr>
        <w:t>AR</w:t>
      </w:r>
      <w:r>
        <w:rPr>
          <w:lang w:val="ru-RU"/>
        </w:rPr>
        <w:t xml:space="preserve"> для такой линии определяются в процессе суммирования показателей неготовности, относящихся к участку линии, принадлежащему каждому участку сети:</w:t>
      </w:r>
    </w:p>
    <w:p w:rsidR="002B753B" w:rsidRDefault="006D1747" w:rsidP="002B753B">
      <w:pPr>
        <w:pStyle w:val="Equation"/>
        <w:spacing w:before="240"/>
        <w:jc w:val="center"/>
        <w:rPr>
          <w:lang w:val="ru-RU"/>
        </w:rPr>
      </w:pPr>
      <w:r w:rsidRPr="006D1747">
        <w:rPr>
          <w:position w:val="-10"/>
        </w:rPr>
        <w:object w:dxaOrig="8440" w:dyaOrig="360">
          <v:shape id="_x0000_i1045" type="#_x0000_t75" style="width:421.15pt;height:18.35pt" o:ole="">
            <v:imagedata r:id="rId48" o:title=""/>
          </v:shape>
          <o:OLEObject Type="Embed" ProgID="Equation.3" ShapeID="_x0000_i1045" DrawAspect="Content" ObjectID="_1478096307" r:id="rId49"/>
        </w:object>
      </w:r>
      <w:r w:rsidR="002B753B">
        <w:rPr>
          <w:lang w:val="ru-RU"/>
        </w:rPr>
        <w:t>,</w:t>
      </w:r>
    </w:p>
    <w:p w:rsidR="002B753B" w:rsidRDefault="002B753B" w:rsidP="002B753B">
      <w:pPr>
        <w:rPr>
          <w:lang w:val="ru-RU"/>
        </w:rPr>
      </w:pPr>
      <w:r>
        <w:rPr>
          <w:lang w:val="ru-RU"/>
        </w:rPr>
        <w:t>где:</w:t>
      </w:r>
    </w:p>
    <w:p w:rsidR="002B753B" w:rsidRDefault="002B753B" w:rsidP="002B753B">
      <w:pPr>
        <w:pStyle w:val="Equationlegend"/>
        <w:jc w:val="left"/>
        <w:rPr>
          <w:lang w:val="ru-RU"/>
        </w:rPr>
      </w:pPr>
      <w:r>
        <w:rPr>
          <w:lang w:val="ru-RU"/>
        </w:rPr>
        <w:tab/>
      </w:r>
      <w:r>
        <w:rPr>
          <w:i/>
          <w:iCs/>
        </w:rPr>
        <w:t>UR</w:t>
      </w:r>
      <w:r>
        <w:rPr>
          <w:rFonts w:ascii="Tms Rmn" w:hAnsi="Tms Rmn"/>
          <w:sz w:val="12"/>
        </w:rPr>
        <w:t> </w:t>
      </w:r>
      <w:r>
        <w:rPr>
          <w:lang w:val="ru-RU"/>
        </w:rPr>
        <w:t>:</w:t>
      </w:r>
      <w:r>
        <w:rPr>
          <w:lang w:val="ru-RU"/>
        </w:rPr>
        <w:tab/>
        <w:t>суммарный коэффициент неготовности</w:t>
      </w:r>
      <w:r w:rsidR="00EA5A7F">
        <w:rPr>
          <w:lang w:val="ru-RU"/>
        </w:rPr>
        <w:t>;</w:t>
      </w:r>
    </w:p>
    <w:p w:rsidR="002B753B" w:rsidRDefault="002B753B" w:rsidP="002B753B">
      <w:pPr>
        <w:pStyle w:val="Equationlegend"/>
        <w:jc w:val="left"/>
        <w:rPr>
          <w:lang w:val="ru-RU"/>
        </w:rPr>
      </w:pPr>
      <w:r>
        <w:rPr>
          <w:lang w:val="ru-RU"/>
        </w:rPr>
        <w:tab/>
      </w:r>
      <w:r>
        <w:rPr>
          <w:i/>
          <w:iCs/>
        </w:rPr>
        <w:t>UR</w:t>
      </w:r>
      <w:r>
        <w:rPr>
          <w:i/>
          <w:iCs/>
          <w:vertAlign w:val="subscript"/>
        </w:rPr>
        <w:t>AN</w:t>
      </w:r>
      <w:r>
        <w:rPr>
          <w:rFonts w:ascii="Tms Rmn" w:hAnsi="Tms Rmn"/>
          <w:sz w:val="12"/>
        </w:rPr>
        <w:t> </w:t>
      </w:r>
      <w:r>
        <w:rPr>
          <w:lang w:val="ru-RU"/>
        </w:rPr>
        <w:t>:</w:t>
      </w:r>
      <w:r>
        <w:rPr>
          <w:lang w:val="ru-RU"/>
        </w:rPr>
        <w:tab/>
        <w:t>показатель коэффициента неготовности для участка доступа</w:t>
      </w:r>
      <w:r w:rsidR="00EA5A7F">
        <w:rPr>
          <w:lang w:val="ru-RU"/>
        </w:rPr>
        <w:t>;</w:t>
      </w:r>
    </w:p>
    <w:p w:rsidR="002B753B" w:rsidRDefault="002B753B" w:rsidP="002B753B">
      <w:pPr>
        <w:pStyle w:val="Equationlegend"/>
        <w:jc w:val="left"/>
        <w:rPr>
          <w:lang w:val="ru-RU"/>
        </w:rPr>
      </w:pPr>
      <w:r>
        <w:rPr>
          <w:lang w:val="ru-RU"/>
        </w:rPr>
        <w:tab/>
      </w:r>
      <w:r>
        <w:rPr>
          <w:i/>
          <w:iCs/>
        </w:rPr>
        <w:t>UR</w:t>
      </w:r>
      <w:r>
        <w:rPr>
          <w:i/>
          <w:iCs/>
          <w:vertAlign w:val="subscript"/>
        </w:rPr>
        <w:t>SH</w:t>
      </w:r>
      <w:r>
        <w:rPr>
          <w:rFonts w:ascii="Tms Rmn" w:hAnsi="Tms Rmn"/>
          <w:sz w:val="12"/>
        </w:rPr>
        <w:t> </w:t>
      </w:r>
      <w:r>
        <w:rPr>
          <w:lang w:val="ru-RU"/>
        </w:rPr>
        <w:t>:</w:t>
      </w:r>
      <w:r>
        <w:rPr>
          <w:lang w:val="ru-RU"/>
        </w:rPr>
        <w:tab/>
        <w:t>показатель коэффициента неготовности для короткопролетного участка</w:t>
      </w:r>
      <w:r w:rsidR="00EA5A7F">
        <w:rPr>
          <w:lang w:val="ru-RU"/>
        </w:rPr>
        <w:t>;</w:t>
      </w:r>
    </w:p>
    <w:p w:rsidR="002B753B" w:rsidRDefault="002B753B" w:rsidP="002B753B">
      <w:pPr>
        <w:pStyle w:val="Equationlegend"/>
        <w:jc w:val="left"/>
        <w:rPr>
          <w:lang w:val="ru-RU"/>
        </w:rPr>
      </w:pPr>
      <w:r>
        <w:rPr>
          <w:lang w:val="ru-RU"/>
        </w:rPr>
        <w:tab/>
      </w:r>
      <w:r>
        <w:rPr>
          <w:i/>
          <w:iCs/>
        </w:rPr>
        <w:t>UR</w:t>
      </w:r>
      <w:r>
        <w:rPr>
          <w:i/>
          <w:iCs/>
          <w:vertAlign w:val="subscript"/>
        </w:rPr>
        <w:t>LH</w:t>
      </w:r>
      <w:r>
        <w:rPr>
          <w:rFonts w:ascii="Tms Rmn" w:hAnsi="Tms Rmn"/>
          <w:sz w:val="12"/>
        </w:rPr>
        <w:t> </w:t>
      </w:r>
      <w:r>
        <w:rPr>
          <w:lang w:val="ru-RU"/>
        </w:rPr>
        <w:t>:</w:t>
      </w:r>
      <w:r>
        <w:rPr>
          <w:lang w:val="ru-RU"/>
        </w:rPr>
        <w:tab/>
        <w:t>показатель коэффициента неготовности для длиннопролетного участка (см. приведенные выше примеры).</w:t>
      </w:r>
    </w:p>
    <w:p w:rsidR="00A24A0A" w:rsidRDefault="00A24A0A">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rsidR="002B753B" w:rsidRDefault="002B753B" w:rsidP="00A24A0A">
      <w:pPr>
        <w:keepNext/>
        <w:keepLines/>
        <w:rPr>
          <w:lang w:val="ru-RU"/>
        </w:rPr>
      </w:pPr>
      <w:r>
        <w:rPr>
          <w:lang w:val="ru-RU"/>
        </w:rPr>
        <w:lastRenderedPageBreak/>
        <w:t xml:space="preserve">Показатель </w:t>
      </w:r>
      <w:r>
        <w:rPr>
          <w:lang w:val="en-GB"/>
        </w:rPr>
        <w:t>Mo</w:t>
      </w:r>
      <w:r>
        <w:rPr>
          <w:lang w:val="ru-RU"/>
        </w:rPr>
        <w:t xml:space="preserve"> определяется из обратной величины суммы показателей </w:t>
      </w:r>
      <w:r>
        <w:rPr>
          <w:lang w:val="en-GB"/>
        </w:rPr>
        <w:t>OI</w:t>
      </w:r>
      <w:r>
        <w:rPr>
          <w:lang w:val="ru-RU"/>
        </w:rPr>
        <w:t>, относящихся к части линии, принадлежащей каждому участку сети:</w:t>
      </w:r>
    </w:p>
    <w:p w:rsidR="002B753B" w:rsidRDefault="002B753B" w:rsidP="00A24A0A">
      <w:pPr>
        <w:pStyle w:val="Equation"/>
        <w:rPr>
          <w:lang w:val="ru-RU"/>
        </w:rPr>
      </w:pPr>
      <w:r>
        <w:rPr>
          <w:lang w:val="ru-RU"/>
        </w:rPr>
        <w:tab/>
      </w:r>
      <w:r>
        <w:rPr>
          <w:lang w:val="ru-RU"/>
        </w:rPr>
        <w:tab/>
      </w:r>
      <w:r>
        <w:rPr>
          <w:position w:val="-34"/>
          <w:sz w:val="20"/>
        </w:rPr>
        <w:object w:dxaOrig="6399" w:dyaOrig="700">
          <v:shape id="_x0000_i1046" type="#_x0000_t75" style="width:319.9pt;height:35.3pt" o:ole="">
            <v:imagedata r:id="rId50" o:title=""/>
          </v:shape>
          <o:OLEObject Type="Embed" ProgID="Equation.3" ShapeID="_x0000_i1046" DrawAspect="Content" ObjectID="_1478096308" r:id="rId51"/>
        </w:object>
      </w:r>
      <w:r>
        <w:rPr>
          <w:lang w:val="ru-RU"/>
        </w:rPr>
        <w:t>,</w:t>
      </w:r>
    </w:p>
    <w:p w:rsidR="002B753B" w:rsidRDefault="002B753B" w:rsidP="00A24A0A">
      <w:pPr>
        <w:rPr>
          <w:lang w:val="ru-RU"/>
        </w:rPr>
      </w:pPr>
      <w:r>
        <w:rPr>
          <w:lang w:val="ru-RU"/>
        </w:rPr>
        <w:t>где:</w:t>
      </w:r>
    </w:p>
    <w:p w:rsidR="002B753B" w:rsidRDefault="002B753B" w:rsidP="00A24A0A">
      <w:pPr>
        <w:pStyle w:val="Equationlegend"/>
        <w:rPr>
          <w:lang w:val="ru-RU"/>
        </w:rPr>
      </w:pPr>
      <w:r>
        <w:rPr>
          <w:i/>
          <w:iCs/>
          <w:lang w:val="ru-RU"/>
        </w:rPr>
        <w:tab/>
      </w:r>
      <w:r>
        <w:rPr>
          <w:i/>
          <w:iCs/>
        </w:rPr>
        <w:t>Mo</w:t>
      </w:r>
      <w:r>
        <w:rPr>
          <w:rFonts w:ascii="Tms Rmn" w:hAnsi="Tms Rmn"/>
          <w:sz w:val="12"/>
        </w:rPr>
        <w:t> </w:t>
      </w:r>
      <w:r>
        <w:rPr>
          <w:lang w:val="ru-RU"/>
        </w:rPr>
        <w:t>:</w:t>
      </w:r>
      <w:r>
        <w:rPr>
          <w:lang w:val="ru-RU"/>
        </w:rPr>
        <w:tab/>
        <w:t>общее среднее время между отказами</w:t>
      </w:r>
      <w:r w:rsidR="00EA5A7F">
        <w:rPr>
          <w:lang w:val="ru-RU"/>
        </w:rPr>
        <w:t>;</w:t>
      </w:r>
    </w:p>
    <w:p w:rsidR="002B753B" w:rsidRDefault="002B753B" w:rsidP="00A24A0A">
      <w:pPr>
        <w:pStyle w:val="Equationlegend"/>
        <w:rPr>
          <w:lang w:val="ru-RU"/>
        </w:rPr>
      </w:pPr>
      <w:r>
        <w:rPr>
          <w:i/>
          <w:iCs/>
          <w:lang w:val="ru-RU"/>
        </w:rPr>
        <w:tab/>
      </w:r>
      <w:r>
        <w:rPr>
          <w:i/>
          <w:iCs/>
        </w:rPr>
        <w:t>OI</w:t>
      </w:r>
      <w:r>
        <w:rPr>
          <w:i/>
          <w:iCs/>
          <w:vertAlign w:val="subscript"/>
        </w:rPr>
        <w:t>AN</w:t>
      </w:r>
      <w:r>
        <w:rPr>
          <w:rFonts w:ascii="Tms Rmn" w:hAnsi="Tms Rmn"/>
          <w:sz w:val="12"/>
        </w:rPr>
        <w:t> </w:t>
      </w:r>
      <w:r>
        <w:rPr>
          <w:lang w:val="ru-RU"/>
        </w:rPr>
        <w:t>:</w:t>
      </w:r>
      <w:r>
        <w:rPr>
          <w:lang w:val="ru-RU"/>
        </w:rPr>
        <w:tab/>
        <w:t>показатель интенсивности отказов для участка доступа</w:t>
      </w:r>
      <w:r w:rsidR="00EA5A7F">
        <w:rPr>
          <w:lang w:val="ru-RU"/>
        </w:rPr>
        <w:t>;</w:t>
      </w:r>
    </w:p>
    <w:p w:rsidR="002B753B" w:rsidRDefault="002B753B" w:rsidP="00A24A0A">
      <w:pPr>
        <w:pStyle w:val="Equationlegend"/>
        <w:rPr>
          <w:lang w:val="ru-RU"/>
        </w:rPr>
      </w:pPr>
      <w:r>
        <w:rPr>
          <w:i/>
          <w:iCs/>
          <w:lang w:val="ru-RU"/>
        </w:rPr>
        <w:tab/>
      </w:r>
      <w:r>
        <w:rPr>
          <w:i/>
          <w:iCs/>
        </w:rPr>
        <w:t>OI</w:t>
      </w:r>
      <w:r>
        <w:rPr>
          <w:i/>
          <w:iCs/>
          <w:vertAlign w:val="subscript"/>
        </w:rPr>
        <w:t>SH</w:t>
      </w:r>
      <w:r>
        <w:rPr>
          <w:rFonts w:ascii="Tms Rmn" w:hAnsi="Tms Rmn"/>
          <w:sz w:val="12"/>
        </w:rPr>
        <w:t> </w:t>
      </w:r>
      <w:r>
        <w:rPr>
          <w:lang w:val="ru-RU"/>
        </w:rPr>
        <w:t>:</w:t>
      </w:r>
      <w:r>
        <w:rPr>
          <w:lang w:val="ru-RU"/>
        </w:rPr>
        <w:tab/>
        <w:t>показатель интенсивности отказов для для короткопролетного участка</w:t>
      </w:r>
      <w:r w:rsidR="00EA5A7F">
        <w:rPr>
          <w:lang w:val="ru-RU"/>
        </w:rPr>
        <w:t>;</w:t>
      </w:r>
    </w:p>
    <w:p w:rsidR="002B753B" w:rsidRDefault="002B753B" w:rsidP="00A24A0A">
      <w:pPr>
        <w:pStyle w:val="Equationlegend"/>
        <w:jc w:val="left"/>
        <w:rPr>
          <w:lang w:val="ru-RU"/>
        </w:rPr>
      </w:pPr>
      <w:r>
        <w:rPr>
          <w:i/>
          <w:iCs/>
          <w:lang w:val="ru-RU"/>
        </w:rPr>
        <w:tab/>
      </w:r>
      <w:r>
        <w:rPr>
          <w:i/>
          <w:iCs/>
        </w:rPr>
        <w:t>OI</w:t>
      </w:r>
      <w:r>
        <w:rPr>
          <w:i/>
          <w:iCs/>
          <w:vertAlign w:val="subscript"/>
        </w:rPr>
        <w:t>LH</w:t>
      </w:r>
      <w:r>
        <w:rPr>
          <w:rFonts w:ascii="Tms Rmn" w:hAnsi="Tms Rmn"/>
          <w:sz w:val="12"/>
        </w:rPr>
        <w:t> </w:t>
      </w:r>
      <w:r>
        <w:rPr>
          <w:lang w:val="ru-RU"/>
        </w:rPr>
        <w:t>:</w:t>
      </w:r>
      <w:r>
        <w:rPr>
          <w:lang w:val="ru-RU"/>
        </w:rPr>
        <w:tab/>
        <w:t>показатель интенсивности отказов для длиннопролетного участка (см. приведенные выше примеры).</w:t>
      </w:r>
    </w:p>
    <w:p w:rsidR="002B753B" w:rsidRDefault="002B753B" w:rsidP="00D11FB2">
      <w:pPr>
        <w:spacing w:before="240"/>
        <w:rPr>
          <w:lang w:val="ru-RU"/>
        </w:rPr>
      </w:pPr>
      <w:r>
        <w:rPr>
          <w:lang w:val="ru-RU"/>
        </w:rPr>
        <w:t xml:space="preserve">Эти значения соответствуют </w:t>
      </w:r>
      <w:r>
        <w:rPr>
          <w:lang w:val="en-GB"/>
        </w:rPr>
        <w:t>AR</w:t>
      </w:r>
      <w:r>
        <w:rPr>
          <w:lang w:val="ru-RU"/>
        </w:rPr>
        <w:t xml:space="preserve"> = 99,</w:t>
      </w:r>
      <w:r w:rsidR="00D11FB2">
        <w:rPr>
          <w:lang w:val="ru-RU"/>
        </w:rPr>
        <w:t>7</w:t>
      </w:r>
      <w:r>
        <w:rPr>
          <w:lang w:val="ru-RU"/>
        </w:rPr>
        <w:t xml:space="preserve">9% (неготовность составляет </w:t>
      </w:r>
      <w:r w:rsidR="00D11FB2">
        <w:rPr>
          <w:lang w:val="ru-RU"/>
        </w:rPr>
        <w:t>111</w:t>
      </w:r>
      <w:r>
        <w:rPr>
          <w:lang w:val="ru-RU"/>
        </w:rPr>
        <w:t>4</w:t>
      </w:r>
      <w:r>
        <w:rPr>
          <w:lang w:val="en-GB"/>
        </w:rPr>
        <w:t> </w:t>
      </w:r>
      <w:r>
        <w:rPr>
          <w:lang w:val="ru-RU"/>
        </w:rPr>
        <w:t xml:space="preserve">мин./год), число событий в году </w:t>
      </w:r>
      <w:r>
        <w:rPr>
          <w:lang w:val="en-GB"/>
        </w:rPr>
        <w:t>OI </w:t>
      </w:r>
      <w:r>
        <w:rPr>
          <w:rFonts w:ascii="Symbol" w:hAnsi="Symbol"/>
        </w:rPr>
        <w:t></w:t>
      </w:r>
      <w:r>
        <w:rPr>
          <w:lang w:val="en-GB"/>
        </w:rPr>
        <w:t> </w:t>
      </w:r>
      <w:r>
        <w:rPr>
          <w:lang w:val="ru-RU"/>
        </w:rPr>
        <w:t xml:space="preserve">313, а среднее время между событиями неготовности </w:t>
      </w:r>
      <w:r>
        <w:rPr>
          <w:lang w:val="en-GB"/>
        </w:rPr>
        <w:t>Mo </w:t>
      </w:r>
      <w:r>
        <w:rPr>
          <w:rFonts w:ascii="Symbol" w:hAnsi="Symbol"/>
        </w:rPr>
        <w:t></w:t>
      </w:r>
      <w:r>
        <w:rPr>
          <w:lang w:val="en-GB"/>
        </w:rPr>
        <w:t> </w:t>
      </w:r>
      <w:r>
        <w:rPr>
          <w:lang w:val="ru-RU"/>
        </w:rPr>
        <w:t>1674</w:t>
      </w:r>
      <w:r>
        <w:rPr>
          <w:lang w:val="en-GB"/>
        </w:rPr>
        <w:t> </w:t>
      </w:r>
      <w:r>
        <w:rPr>
          <w:lang w:val="ru-RU"/>
        </w:rPr>
        <w:t xml:space="preserve">мин. </w:t>
      </w:r>
    </w:p>
    <w:p w:rsidR="002B753B" w:rsidRDefault="002B753B" w:rsidP="002B753B">
      <w:pPr>
        <w:rPr>
          <w:lang w:val="ru-RU"/>
        </w:rPr>
      </w:pPr>
      <w:r>
        <w:rPr>
          <w:lang w:val="ru-RU"/>
        </w:rPr>
        <w:t>В соответствии с Рекомендацией МСЭ</w:t>
      </w:r>
      <w:r>
        <w:rPr>
          <w:lang w:val="ru-RU"/>
        </w:rPr>
        <w:noBreakHyphen/>
      </w:r>
      <w:r>
        <w:rPr>
          <w:lang w:val="en-GB"/>
        </w:rPr>
        <w:t>T</w:t>
      </w:r>
      <w:r>
        <w:rPr>
          <w:lang w:val="ru-RU"/>
        </w:rPr>
        <w:t xml:space="preserve"> </w:t>
      </w:r>
      <w:r>
        <w:rPr>
          <w:lang w:val="en-GB"/>
        </w:rPr>
        <w:t>G</w:t>
      </w:r>
      <w:r>
        <w:rPr>
          <w:lang w:val="ru-RU"/>
        </w:rPr>
        <w:t>.827 показатели для ЭНТ протяженностью 1095</w:t>
      </w:r>
      <w:r>
        <w:rPr>
          <w:lang w:val="en-GB"/>
        </w:rPr>
        <w:t> </w:t>
      </w:r>
      <w:r>
        <w:rPr>
          <w:lang w:val="ru-RU"/>
        </w:rPr>
        <w:t>км составляют:</w:t>
      </w:r>
    </w:p>
    <w:p w:rsidR="002B753B" w:rsidRDefault="002B753B" w:rsidP="002B753B">
      <w:pPr>
        <w:pStyle w:val="enumlev1"/>
        <w:rPr>
          <w:color w:val="000000"/>
          <w:lang w:val="ru-RU"/>
        </w:rPr>
      </w:pPr>
      <w:r>
        <w:rPr>
          <w:lang w:val="ru-RU"/>
        </w:rPr>
        <w:t>–</w:t>
      </w:r>
      <w:r>
        <w:rPr>
          <w:lang w:val="ru-RU"/>
        </w:rPr>
        <w:tab/>
        <w:t xml:space="preserve">Среднее значение </w:t>
      </w:r>
      <w:r>
        <w:rPr>
          <w:lang w:val="en-GB"/>
        </w:rPr>
        <w:t>AR </w:t>
      </w:r>
      <w:r>
        <w:rPr>
          <w:rFonts w:ascii="Symbol" w:hAnsi="Symbol"/>
        </w:rPr>
        <w:t></w:t>
      </w:r>
      <w:r>
        <w:rPr>
          <w:lang w:val="en-GB"/>
        </w:rPr>
        <w:t> </w:t>
      </w:r>
      <w:r>
        <w:rPr>
          <w:lang w:val="ru-RU"/>
        </w:rPr>
        <w:t>0,</w:t>
      </w:r>
      <w:r>
        <w:rPr>
          <w:color w:val="000000"/>
          <w:lang w:val="ru-RU"/>
        </w:rPr>
        <w:t>9945</w:t>
      </w:r>
      <w:r w:rsidR="00EA5A7F">
        <w:rPr>
          <w:color w:val="000000"/>
          <w:lang w:val="ru-RU"/>
        </w:rPr>
        <w:t>;</w:t>
      </w:r>
    </w:p>
    <w:p w:rsidR="002B753B" w:rsidRDefault="002B753B" w:rsidP="002B753B">
      <w:pPr>
        <w:pStyle w:val="enumlev1"/>
        <w:rPr>
          <w:color w:val="000000"/>
          <w:lang w:val="ru-RU"/>
        </w:rPr>
      </w:pPr>
      <w:r>
        <w:rPr>
          <w:lang w:val="ru-RU"/>
        </w:rPr>
        <w:t>–</w:t>
      </w:r>
      <w:r>
        <w:rPr>
          <w:lang w:val="ru-RU"/>
        </w:rPr>
        <w:tab/>
        <w:t xml:space="preserve">Значение </w:t>
      </w:r>
      <w:r>
        <w:rPr>
          <w:color w:val="000000"/>
          <w:lang w:val="en-GB"/>
        </w:rPr>
        <w:t>AR</w:t>
      </w:r>
      <w:r>
        <w:rPr>
          <w:color w:val="000000"/>
          <w:lang w:val="ru-RU"/>
        </w:rPr>
        <w:t xml:space="preserve"> для наихудшего случая</w:t>
      </w:r>
      <w:r>
        <w:rPr>
          <w:color w:val="000000"/>
          <w:lang w:val="en-GB"/>
        </w:rPr>
        <w:t> </w:t>
      </w:r>
      <w:r>
        <w:rPr>
          <w:rFonts w:ascii="Symbol" w:hAnsi="Symbol"/>
          <w:color w:val="000000"/>
        </w:rPr>
        <w:t></w:t>
      </w:r>
      <w:r>
        <w:rPr>
          <w:color w:val="000000"/>
          <w:lang w:val="en-GB"/>
        </w:rPr>
        <w:t> </w:t>
      </w:r>
      <w:r>
        <w:rPr>
          <w:color w:val="000000"/>
          <w:lang w:val="ru-RU"/>
        </w:rPr>
        <w:t>0,99912</w:t>
      </w:r>
      <w:r w:rsidR="00EA5A7F">
        <w:rPr>
          <w:color w:val="000000"/>
          <w:lang w:val="ru-RU"/>
        </w:rPr>
        <w:t>;</w:t>
      </w:r>
    </w:p>
    <w:p w:rsidR="002B753B" w:rsidRDefault="002B753B" w:rsidP="002B753B">
      <w:pPr>
        <w:pStyle w:val="enumlev1"/>
        <w:rPr>
          <w:color w:val="000000"/>
          <w:lang w:val="ru-RU"/>
        </w:rPr>
      </w:pPr>
      <w:r>
        <w:rPr>
          <w:lang w:val="ru-RU"/>
        </w:rPr>
        <w:t>–</w:t>
      </w:r>
      <w:r>
        <w:rPr>
          <w:lang w:val="ru-RU"/>
        </w:rPr>
        <w:tab/>
        <w:t xml:space="preserve">Среднее значение </w:t>
      </w:r>
      <w:r>
        <w:rPr>
          <w:color w:val="000000"/>
          <w:lang w:val="en-GB"/>
        </w:rPr>
        <w:t>OI</w:t>
      </w:r>
      <w:r>
        <w:rPr>
          <w:color w:val="000000"/>
          <w:lang w:val="ru-RU"/>
        </w:rPr>
        <w:t xml:space="preserve"> </w:t>
      </w:r>
      <w:r>
        <w:rPr>
          <w:rFonts w:ascii="Symbol" w:hAnsi="Symbol"/>
          <w:color w:val="000000"/>
        </w:rPr>
        <w:t></w:t>
      </w:r>
      <w:r>
        <w:rPr>
          <w:color w:val="000000"/>
          <w:lang w:val="en-GB"/>
        </w:rPr>
        <w:t> </w:t>
      </w:r>
      <w:r>
        <w:rPr>
          <w:color w:val="000000"/>
          <w:lang w:val="ru-RU"/>
        </w:rPr>
        <w:t>12</w:t>
      </w:r>
      <w:r w:rsidR="00EA5A7F">
        <w:rPr>
          <w:color w:val="000000"/>
          <w:lang w:val="ru-RU"/>
        </w:rPr>
        <w:t>;</w:t>
      </w:r>
    </w:p>
    <w:p w:rsidR="002B753B" w:rsidRDefault="002B753B" w:rsidP="002B753B">
      <w:pPr>
        <w:pStyle w:val="enumlev1"/>
        <w:rPr>
          <w:lang w:val="ru-RU"/>
        </w:rPr>
      </w:pPr>
      <w:r>
        <w:rPr>
          <w:lang w:val="ru-RU"/>
        </w:rPr>
        <w:t>–</w:t>
      </w:r>
      <w:r>
        <w:rPr>
          <w:lang w:val="ru-RU"/>
        </w:rPr>
        <w:tab/>
        <w:t>Значение</w:t>
      </w:r>
      <w:r>
        <w:rPr>
          <w:color w:val="000000"/>
          <w:lang w:val="ru-RU"/>
        </w:rPr>
        <w:t xml:space="preserve"> </w:t>
      </w:r>
      <w:r>
        <w:rPr>
          <w:color w:val="000000"/>
          <w:lang w:val="en-GB"/>
        </w:rPr>
        <w:t>OI</w:t>
      </w:r>
      <w:r>
        <w:rPr>
          <w:color w:val="000000"/>
          <w:lang w:val="ru-RU"/>
        </w:rPr>
        <w:t xml:space="preserve"> для наихудшего случая</w:t>
      </w:r>
      <w:r>
        <w:rPr>
          <w:color w:val="000000"/>
          <w:lang w:val="en-GB"/>
        </w:rPr>
        <w:t> </w:t>
      </w:r>
      <w:r>
        <w:rPr>
          <w:rFonts w:ascii="Symbol" w:hAnsi="Symbol"/>
          <w:color w:val="000000"/>
        </w:rPr>
        <w:t></w:t>
      </w:r>
      <w:r>
        <w:rPr>
          <w:color w:val="000000"/>
          <w:lang w:val="en-GB"/>
        </w:rPr>
        <w:t> </w:t>
      </w:r>
      <w:r>
        <w:rPr>
          <w:color w:val="000000"/>
          <w:lang w:val="ru-RU"/>
        </w:rPr>
        <w:t>6.</w:t>
      </w:r>
    </w:p>
    <w:p w:rsidR="002B753B" w:rsidRDefault="002B753B" w:rsidP="002B753B">
      <w:pPr>
        <w:rPr>
          <w:lang w:val="ru-RU"/>
        </w:rPr>
      </w:pPr>
      <w:r>
        <w:rPr>
          <w:lang w:val="ru-RU"/>
        </w:rPr>
        <w:t xml:space="preserve">В данном примере показатели </w:t>
      </w:r>
      <w:r>
        <w:rPr>
          <w:lang w:val="en-GB"/>
        </w:rPr>
        <w:t>AR</w:t>
      </w:r>
      <w:r>
        <w:rPr>
          <w:lang w:val="ru-RU"/>
        </w:rPr>
        <w:t xml:space="preserve"> соответствуют Рекомендации МСЭ</w:t>
      </w:r>
      <w:r>
        <w:rPr>
          <w:lang w:val="ru-RU"/>
        </w:rPr>
        <w:noBreakHyphen/>
      </w:r>
      <w:r>
        <w:rPr>
          <w:lang w:val="en-GB"/>
        </w:rPr>
        <w:t>T</w:t>
      </w:r>
      <w:r>
        <w:rPr>
          <w:lang w:val="ru-RU"/>
        </w:rPr>
        <w:t xml:space="preserve"> </w:t>
      </w:r>
      <w:r>
        <w:rPr>
          <w:lang w:val="en-GB"/>
        </w:rPr>
        <w:t>G</w:t>
      </w:r>
      <w:r>
        <w:rPr>
          <w:lang w:val="ru-RU"/>
        </w:rPr>
        <w:t>.827 для стандартного уровня качества.</w:t>
      </w:r>
    </w:p>
    <w:p w:rsidR="002B753B" w:rsidRDefault="002B753B" w:rsidP="002B753B">
      <w:pPr>
        <w:rPr>
          <w:lang w:val="ru-RU"/>
        </w:rPr>
      </w:pPr>
      <w:r>
        <w:rPr>
          <w:lang w:val="ru-RU"/>
        </w:rPr>
        <w:t xml:space="preserve">Показатели </w:t>
      </w:r>
      <w:r>
        <w:rPr>
          <w:lang w:val="en-GB"/>
        </w:rPr>
        <w:t>OI</w:t>
      </w:r>
      <w:r>
        <w:rPr>
          <w:lang w:val="ru-RU"/>
        </w:rPr>
        <w:t xml:space="preserve"> в Рекомендации МСЭ</w:t>
      </w:r>
      <w:r>
        <w:rPr>
          <w:lang w:val="ru-RU"/>
        </w:rPr>
        <w:noBreakHyphen/>
      </w:r>
      <w:r>
        <w:rPr>
          <w:lang w:val="en-GB"/>
        </w:rPr>
        <w:t>T G</w:t>
      </w:r>
      <w:r>
        <w:rPr>
          <w:lang w:val="ru-RU"/>
        </w:rPr>
        <w:t>.827 основаны на значении среднего времени восстановления (</w:t>
      </w:r>
      <w:r>
        <w:rPr>
          <w:lang w:val="en-US"/>
        </w:rPr>
        <w:t>MTTR</w:t>
      </w:r>
      <w:r>
        <w:rPr>
          <w:lang w:val="ru-RU"/>
        </w:rPr>
        <w:t xml:space="preserve">) четыре часа. Отмечается, что некоторые события, из-за аномальных условий работы, например, ухудшения условий распространения для радиоприменений, могут привести к самовосстановлению событий неготовности в связи с тем, что такие события, длительностью, как правило, намного менее четырех часов,  не учитываются в качестве основы для показателей </w:t>
      </w:r>
      <w:r>
        <w:rPr>
          <w:lang w:val="en-US"/>
        </w:rPr>
        <w:t>OI</w:t>
      </w:r>
      <w:r>
        <w:rPr>
          <w:lang w:val="ru-RU"/>
        </w:rPr>
        <w:t xml:space="preserve"> в Рекомендации МСЭ-Т</w:t>
      </w:r>
      <w:r>
        <w:rPr>
          <w:lang w:val="en-US"/>
        </w:rPr>
        <w:t> G</w:t>
      </w:r>
      <w:r>
        <w:rPr>
          <w:lang w:val="ru-RU"/>
        </w:rPr>
        <w:t xml:space="preserve">.827), но в любом случае общие показатели </w:t>
      </w:r>
      <w:r>
        <w:rPr>
          <w:lang w:val="en-GB"/>
        </w:rPr>
        <w:t>AR</w:t>
      </w:r>
      <w:r>
        <w:rPr>
          <w:lang w:val="ru-RU"/>
        </w:rPr>
        <w:t xml:space="preserve"> не должны превышаться.</w:t>
      </w:r>
    </w:p>
    <w:p w:rsidR="000360F8" w:rsidRDefault="000360F8" w:rsidP="002B753B">
      <w:pPr>
        <w:rPr>
          <w:lang w:val="ru-RU"/>
        </w:rPr>
      </w:pPr>
    </w:p>
    <w:p w:rsidR="000360F8" w:rsidRDefault="000360F8" w:rsidP="002B753B">
      <w:pPr>
        <w:rPr>
          <w:lang w:val="ru-RU"/>
        </w:rPr>
      </w:pPr>
    </w:p>
    <w:p w:rsidR="00A3339B" w:rsidRDefault="00A3339B" w:rsidP="002B753B">
      <w:pPr>
        <w:rPr>
          <w:lang w:val="ru-RU"/>
        </w:rPr>
      </w:pPr>
    </w:p>
    <w:p w:rsidR="002B753B" w:rsidRDefault="002B753B" w:rsidP="002B753B">
      <w:pPr>
        <w:pStyle w:val="AnnexNoTitle"/>
        <w:rPr>
          <w:sz w:val="27"/>
          <w:lang w:val="ru-RU"/>
        </w:rPr>
      </w:pPr>
      <w:r>
        <w:rPr>
          <w:sz w:val="27"/>
          <w:lang w:val="ru-RU"/>
        </w:rPr>
        <w:t>Приложение 2</w:t>
      </w:r>
      <w:r>
        <w:rPr>
          <w:sz w:val="27"/>
          <w:lang w:val="ru-RU"/>
        </w:rPr>
        <w:br/>
      </w:r>
      <w:r>
        <w:rPr>
          <w:sz w:val="27"/>
          <w:lang w:val="ru-RU"/>
        </w:rPr>
        <w:br/>
        <w:t>Определение параметров</w:t>
      </w:r>
    </w:p>
    <w:p w:rsidR="002B753B" w:rsidRDefault="002B753B" w:rsidP="002B753B">
      <w:pPr>
        <w:pStyle w:val="Heading1"/>
        <w:rPr>
          <w:lang w:val="ru-RU"/>
        </w:rPr>
      </w:pPr>
      <w:bookmarkStart w:id="38" w:name="_Toc53905541"/>
      <w:bookmarkStart w:id="39" w:name="_Toc66778581"/>
      <w:bookmarkStart w:id="40" w:name="_Toc67109850"/>
      <w:r>
        <w:rPr>
          <w:lang w:val="ru-RU"/>
        </w:rPr>
        <w:t>1</w:t>
      </w:r>
      <w:r>
        <w:rPr>
          <w:lang w:val="ru-RU"/>
        </w:rPr>
        <w:tab/>
        <w:t>Коэффициент готовности (</w:t>
      </w:r>
      <w:r>
        <w:rPr>
          <w:lang w:val="en-GB"/>
        </w:rPr>
        <w:t>AR</w:t>
      </w:r>
      <w:r>
        <w:rPr>
          <w:lang w:val="ru-RU"/>
        </w:rPr>
        <w:t>) и коэффициент неготовности</w:t>
      </w:r>
      <w:bookmarkEnd w:id="38"/>
      <w:bookmarkEnd w:id="39"/>
      <w:bookmarkEnd w:id="40"/>
      <w:r>
        <w:rPr>
          <w:lang w:val="ru-RU"/>
        </w:rPr>
        <w:t xml:space="preserve"> (</w:t>
      </w:r>
      <w:r>
        <w:rPr>
          <w:lang w:val="en-GB"/>
        </w:rPr>
        <w:t>UR</w:t>
      </w:r>
      <w:r>
        <w:rPr>
          <w:lang w:val="ru-RU"/>
        </w:rPr>
        <w:t>)</w:t>
      </w:r>
    </w:p>
    <w:p w:rsidR="002B753B" w:rsidRDefault="002B753B" w:rsidP="002B753B">
      <w:pPr>
        <w:rPr>
          <w:lang w:val="ru-RU"/>
        </w:rPr>
      </w:pPr>
      <w:r>
        <w:rPr>
          <w:lang w:val="ru-RU"/>
        </w:rPr>
        <w:t xml:space="preserve">Термин "готовность", обозначаемый как </w:t>
      </w:r>
      <w:r>
        <w:rPr>
          <w:lang w:val="en-GB"/>
        </w:rPr>
        <w:t>AR</w:t>
      </w:r>
      <w:r>
        <w:rPr>
          <w:lang w:val="ru-RU"/>
        </w:rPr>
        <w:t xml:space="preserve">, </w:t>
      </w:r>
      <w:r>
        <w:rPr>
          <w:lang w:val="en-GB"/>
        </w:rPr>
        <w:sym w:font="Symbol" w:char="F02D"/>
      </w:r>
      <w:r>
        <w:rPr>
          <w:lang w:val="ru-RU"/>
        </w:rPr>
        <w:t xml:space="preserve"> это доля времени в течение периода наблюдения, когда тракт находится в состоянии готовности. </w:t>
      </w:r>
      <w:r>
        <w:rPr>
          <w:lang w:val="en-GB"/>
        </w:rPr>
        <w:t>AR</w:t>
      </w:r>
      <w:r>
        <w:rPr>
          <w:lang w:val="ru-RU"/>
        </w:rPr>
        <w:t xml:space="preserve"> вычисляется путем деления общего времени готовности в период наблюдения на продолжительность периода наблюдения.</w:t>
      </w:r>
    </w:p>
    <w:p w:rsidR="002B753B" w:rsidRDefault="002B753B" w:rsidP="002B753B">
      <w:pPr>
        <w:rPr>
          <w:lang w:val="ru-RU"/>
        </w:rPr>
      </w:pPr>
      <w:r>
        <w:rPr>
          <w:lang w:val="ru-RU"/>
        </w:rPr>
        <w:t xml:space="preserve">Величина </w:t>
      </w:r>
      <w:r>
        <w:rPr>
          <w:lang w:val="en-GB"/>
        </w:rPr>
        <w:t>UR</w:t>
      </w:r>
      <w:r>
        <w:rPr>
          <w:lang w:val="ru-RU"/>
        </w:rPr>
        <w:t xml:space="preserve">, которая является обратной величиной </w:t>
      </w:r>
      <w:r>
        <w:rPr>
          <w:lang w:val="en-GB"/>
        </w:rPr>
        <w:t>AR</w:t>
      </w:r>
      <w:r>
        <w:rPr>
          <w:lang w:val="ru-RU"/>
        </w:rPr>
        <w:t xml:space="preserve">, </w:t>
      </w:r>
      <w:r>
        <w:rPr>
          <w:lang w:val="en-GB"/>
        </w:rPr>
        <w:sym w:font="Symbol" w:char="F02D"/>
      </w:r>
      <w:r>
        <w:rPr>
          <w:lang w:val="ru-RU"/>
        </w:rPr>
        <w:t xml:space="preserve"> это доля времени в течение периода наблюдения, когда сквозной тракт находится в состоянии неготовности. </w:t>
      </w:r>
      <w:smartTag w:uri="urn:schemas-microsoft-com:office:smarttags" w:element="place">
        <w:smartTag w:uri="urn:schemas-microsoft-com:office:smarttags" w:element="City">
          <w:r>
            <w:rPr>
              <w:lang w:val="en-GB"/>
            </w:rPr>
            <w:t>UR</w:t>
          </w:r>
        </w:smartTag>
      </w:smartTag>
      <w:r>
        <w:rPr>
          <w:lang w:val="ru-RU"/>
        </w:rPr>
        <w:t xml:space="preserve"> вычисляется путем деления общего времени неготовности в период наблюдения на продолжительность периода наблюдения.</w:t>
      </w:r>
    </w:p>
    <w:p w:rsidR="002B753B" w:rsidRPr="002B753B" w:rsidRDefault="002B753B" w:rsidP="002B753B">
      <w:pPr>
        <w:pStyle w:val="Equation"/>
        <w:rPr>
          <w:lang w:val="ru-RU"/>
        </w:rPr>
      </w:pPr>
      <w:r>
        <w:rPr>
          <w:lang w:val="ru-RU"/>
        </w:rPr>
        <w:tab/>
      </w:r>
      <w:r>
        <w:rPr>
          <w:lang w:val="ru-RU"/>
        </w:rPr>
        <w:tab/>
      </w:r>
      <w:r>
        <w:rPr>
          <w:i/>
          <w:iCs/>
          <w:lang w:val="en-GB"/>
        </w:rPr>
        <w:t>AR</w:t>
      </w:r>
      <w:r w:rsidRPr="002B753B">
        <w:rPr>
          <w:lang w:val="ru-RU"/>
        </w:rPr>
        <w:t xml:space="preserve"> + </w:t>
      </w:r>
      <w:smartTag w:uri="urn:schemas-microsoft-com:office:smarttags" w:element="City">
        <w:smartTag w:uri="urn:schemas-microsoft-com:office:smarttags" w:element="place">
          <w:r>
            <w:rPr>
              <w:i/>
              <w:iCs/>
              <w:lang w:val="en-GB"/>
            </w:rPr>
            <w:t>UR</w:t>
          </w:r>
        </w:smartTag>
      </w:smartTag>
      <w:r w:rsidRPr="002B753B">
        <w:rPr>
          <w:lang w:val="ru-RU"/>
        </w:rPr>
        <w:t xml:space="preserve"> </w:t>
      </w:r>
      <w:r>
        <w:rPr>
          <w:rFonts w:ascii="Symbol" w:hAnsi="Symbol"/>
          <w:lang w:val="en-GB"/>
        </w:rPr>
        <w:t></w:t>
      </w:r>
      <w:r w:rsidRPr="002B753B">
        <w:rPr>
          <w:lang w:val="ru-RU"/>
        </w:rPr>
        <w:t xml:space="preserve"> 1</w:t>
      </w:r>
    </w:p>
    <w:p w:rsidR="002B753B" w:rsidRDefault="002B753B" w:rsidP="002B753B">
      <w:pPr>
        <w:rPr>
          <w:lang w:val="ru-RU"/>
        </w:rPr>
      </w:pPr>
      <w:r>
        <w:rPr>
          <w:lang w:val="ru-RU"/>
        </w:rPr>
        <w:lastRenderedPageBreak/>
        <w:t>Период наблюдения рекомендуется брать равным одному году.</w:t>
      </w:r>
    </w:p>
    <w:p w:rsidR="002B753B" w:rsidRDefault="002B753B" w:rsidP="002B753B">
      <w:pPr>
        <w:rPr>
          <w:lang w:val="ru-RU"/>
        </w:rPr>
      </w:pPr>
      <w:r>
        <w:rPr>
          <w:lang w:val="ru-RU"/>
        </w:rPr>
        <w:t>Распределение показателей готовности для периодов наблюдения продолжительностью менее одного года выходит за рамки рассмотрения настоящей Рекомендации.</w:t>
      </w:r>
    </w:p>
    <w:p w:rsidR="002B753B" w:rsidRPr="002B753B" w:rsidRDefault="002B753B" w:rsidP="002B753B">
      <w:pPr>
        <w:pStyle w:val="Headingi"/>
        <w:rPr>
          <w:lang w:val="ru-RU"/>
        </w:rPr>
      </w:pPr>
      <w:r>
        <w:rPr>
          <w:lang w:val="ru-RU"/>
        </w:rPr>
        <w:t>Планируемое</w:t>
      </w:r>
      <w:r w:rsidRPr="002B753B">
        <w:rPr>
          <w:lang w:val="ru-RU"/>
        </w:rPr>
        <w:t xml:space="preserve"> </w:t>
      </w:r>
      <w:r>
        <w:rPr>
          <w:lang w:val="ru-RU"/>
        </w:rPr>
        <w:t>время</w:t>
      </w:r>
      <w:r w:rsidRPr="002B753B">
        <w:rPr>
          <w:lang w:val="ru-RU"/>
        </w:rPr>
        <w:t xml:space="preserve"> </w:t>
      </w:r>
      <w:r>
        <w:rPr>
          <w:lang w:val="ru-RU"/>
        </w:rPr>
        <w:t>готовности</w:t>
      </w:r>
    </w:p>
    <w:p w:rsidR="002B753B" w:rsidRDefault="002B753B" w:rsidP="002B753B">
      <w:pPr>
        <w:rPr>
          <w:lang w:val="ru-RU"/>
        </w:rPr>
      </w:pPr>
      <w:r>
        <w:rPr>
          <w:lang w:val="ru-RU"/>
        </w:rPr>
        <w:t>Есди данное соединение не планируется в качестве постоянного соединения, то в этом случае периоды, когда соединение не эксплуатируется, не учитывается при расчете его готовности. Этот фактор может повлиять на выбор периода наблюдения.</w:t>
      </w:r>
    </w:p>
    <w:p w:rsidR="002B753B" w:rsidRDefault="002B753B" w:rsidP="002B753B">
      <w:pPr>
        <w:pStyle w:val="Heading1"/>
        <w:spacing w:before="240"/>
        <w:rPr>
          <w:lang w:val="ru-RU"/>
        </w:rPr>
      </w:pPr>
      <w:bookmarkStart w:id="41" w:name="_Toc53905542"/>
      <w:bookmarkStart w:id="42" w:name="_Toc66778582"/>
      <w:bookmarkStart w:id="43" w:name="_Toc67109851"/>
      <w:r>
        <w:rPr>
          <w:lang w:val="ru-RU"/>
        </w:rPr>
        <w:t>2</w:t>
      </w:r>
      <w:r>
        <w:rPr>
          <w:lang w:val="ru-RU"/>
        </w:rPr>
        <w:tab/>
        <w:t>Среднее время между отказами и интенсивность отказов</w:t>
      </w:r>
      <w:bookmarkEnd w:id="41"/>
      <w:bookmarkEnd w:id="42"/>
      <w:bookmarkEnd w:id="43"/>
    </w:p>
    <w:p w:rsidR="002B753B" w:rsidRDefault="002B753B" w:rsidP="002B753B">
      <w:pPr>
        <w:rPr>
          <w:lang w:val="ru-RU"/>
        </w:rPr>
      </w:pPr>
      <w:r>
        <w:rPr>
          <w:lang w:val="ru-RU"/>
        </w:rPr>
        <w:t>Период неготовности называют также "отказом". Среднее время между отказами (</w:t>
      </w:r>
      <w:r>
        <w:rPr>
          <w:lang w:val="en-GB"/>
        </w:rPr>
        <w:t>Mo</w:t>
      </w:r>
      <w:r>
        <w:rPr>
          <w:lang w:val="ru-RU"/>
        </w:rPr>
        <w:t xml:space="preserve">) </w:t>
      </w:r>
      <w:r>
        <w:rPr>
          <w:lang w:val="en-GB"/>
        </w:rPr>
        <w:sym w:font="Symbol" w:char="F02D"/>
      </w:r>
      <w:r>
        <w:rPr>
          <w:lang w:val="ru-RU"/>
        </w:rPr>
        <w:t xml:space="preserve"> это средняя продолжительность интервалов времени, когда элемент тракта (ЭТ) доступен в течение периода измерения. Число отказов в течение периода измерения называется "интенсивностью отказов" (</w:t>
      </w:r>
      <w:r>
        <w:rPr>
          <w:lang w:val="en-GB"/>
        </w:rPr>
        <w:t>OI</w:t>
      </w:r>
      <w:r>
        <w:rPr>
          <w:lang w:val="ru-RU"/>
        </w:rPr>
        <w:t>). (См. Примечание 1.)</w:t>
      </w:r>
    </w:p>
    <w:p w:rsidR="002B753B" w:rsidRDefault="002B753B" w:rsidP="002B753B">
      <w:pPr>
        <w:rPr>
          <w:lang w:val="ru-RU"/>
        </w:rPr>
      </w:pPr>
      <w:r>
        <w:rPr>
          <w:lang w:val="ru-RU"/>
        </w:rPr>
        <w:t xml:space="preserve">Если период измерения составляет один год, а </w:t>
      </w:r>
      <w:r>
        <w:rPr>
          <w:lang w:val="en-US"/>
        </w:rPr>
        <w:t>Mo</w:t>
      </w:r>
      <w:r>
        <w:rPr>
          <w:lang w:val="ru-RU"/>
        </w:rPr>
        <w:t xml:space="preserve"> выражено в долях года, то тогда </w:t>
      </w:r>
      <w:r>
        <w:rPr>
          <w:lang w:val="en-US"/>
        </w:rPr>
        <w:t>OI</w:t>
      </w:r>
      <w:r>
        <w:rPr>
          <w:lang w:val="ru-RU"/>
        </w:rPr>
        <w:t xml:space="preserve"> является величиной, обратной </w:t>
      </w:r>
      <w:r>
        <w:rPr>
          <w:lang w:val="en-US"/>
        </w:rPr>
        <w:t>Mo</w:t>
      </w:r>
      <w:r>
        <w:rPr>
          <w:lang w:val="ru-RU"/>
        </w:rPr>
        <w:t>.</w:t>
      </w:r>
    </w:p>
    <w:p w:rsidR="00934ED7" w:rsidRDefault="002B753B" w:rsidP="002B753B">
      <w:pPr>
        <w:pStyle w:val="Note"/>
        <w:rPr>
          <w:lang w:val="ru-RU"/>
        </w:rPr>
      </w:pPr>
      <w:r>
        <w:rPr>
          <w:lang w:val="ru-RU"/>
        </w:rPr>
        <w:t>ПРИМЕЧАНИЕ</w:t>
      </w:r>
      <w:r>
        <w:rPr>
          <w:lang w:val="en-US"/>
        </w:rPr>
        <w:t> </w:t>
      </w:r>
      <w:r>
        <w:rPr>
          <w:lang w:val="ru-RU"/>
        </w:rPr>
        <w:t>1.</w:t>
      </w:r>
      <w:r>
        <w:rPr>
          <w:lang w:val="en-US"/>
        </w:rPr>
        <w:t> </w:t>
      </w:r>
      <w:r>
        <w:rPr>
          <w:lang w:val="ru-RU"/>
        </w:rPr>
        <w:t>–</w:t>
      </w:r>
      <w:r>
        <w:rPr>
          <w:lang w:val="en-US"/>
        </w:rPr>
        <w:t> </w:t>
      </w:r>
      <w:r>
        <w:rPr>
          <w:lang w:val="ru-RU"/>
        </w:rPr>
        <w:t>Это соотношение предполагает, что периоды неготовности невелики по сравнению с периодами готовности.</w:t>
      </w:r>
    </w:p>
    <w:p w:rsidR="002B753B" w:rsidRPr="002B753B" w:rsidRDefault="002B753B" w:rsidP="002B753B">
      <w:pPr>
        <w:spacing w:before="720"/>
        <w:jc w:val="center"/>
      </w:pPr>
      <w:r>
        <w:t>______________</w:t>
      </w:r>
    </w:p>
    <w:sectPr w:rsidR="002B753B" w:rsidRPr="002B753B" w:rsidSect="00E91F23">
      <w:headerReference w:type="first" r:id="rId52"/>
      <w:pgSz w:w="11907" w:h="16840" w:code="9"/>
      <w:pgMar w:top="1418" w:right="1134" w:bottom="1134" w:left="1134" w:header="720" w:footer="4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7F" w:rsidRDefault="001D407F">
      <w:r>
        <w:separator/>
      </w:r>
    </w:p>
  </w:endnote>
  <w:endnote w:type="continuationSeparator" w:id="0">
    <w:p w:rsidR="001D407F" w:rsidRDefault="001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7F" w:rsidRDefault="001D407F">
      <w:r>
        <w:separator/>
      </w:r>
    </w:p>
  </w:footnote>
  <w:footnote w:type="continuationSeparator" w:id="0">
    <w:p w:rsidR="001D407F" w:rsidRDefault="001D407F">
      <w:r>
        <w:continuationSeparator/>
      </w:r>
    </w:p>
  </w:footnote>
  <w:footnote w:id="1">
    <w:p w:rsidR="007F6114" w:rsidRPr="007F6114" w:rsidRDefault="007F6114" w:rsidP="007F6114">
      <w:pPr>
        <w:pStyle w:val="FootnoteText"/>
        <w:rPr>
          <w:lang w:val="ru-RU"/>
        </w:rPr>
      </w:pPr>
      <w:r w:rsidRPr="007F6114">
        <w:rPr>
          <w:rStyle w:val="FootnoteReference"/>
          <w:lang w:val="ru-RU"/>
        </w:rPr>
        <w:t>1</w:t>
      </w:r>
      <w:r w:rsidRPr="007F6114">
        <w:rPr>
          <w:lang w:val="ru-RU"/>
        </w:rPr>
        <w:tab/>
      </w:r>
      <w:r w:rsidRPr="007F6114">
        <w:rPr>
          <w:rFonts w:hint="eastAsia"/>
          <w:lang w:val="ru-RU"/>
        </w:rPr>
        <w:t>В</w:t>
      </w:r>
      <w:r w:rsidRPr="007F6114">
        <w:rPr>
          <w:lang w:val="ru-RU"/>
        </w:rPr>
        <w:t xml:space="preserve"> </w:t>
      </w:r>
      <w:r>
        <w:rPr>
          <w:lang w:val="ru-RU"/>
        </w:rPr>
        <w:t>ноябре</w:t>
      </w:r>
      <w:r w:rsidRPr="007F6114">
        <w:rPr>
          <w:lang w:val="ru-RU"/>
        </w:rPr>
        <w:t xml:space="preserve"> 201</w:t>
      </w:r>
      <w:r>
        <w:rPr>
          <w:lang w:val="ru-RU"/>
        </w:rPr>
        <w:t>4</w:t>
      </w:r>
      <w:r w:rsidRPr="007F6114">
        <w:rPr>
          <w:lang w:val="ru-RU"/>
        </w:rPr>
        <w:t xml:space="preserve"> года </w:t>
      </w:r>
      <w:r>
        <w:rPr>
          <w:lang w:val="ru-RU"/>
        </w:rPr>
        <w:t>5</w:t>
      </w:r>
      <w:r w:rsidRPr="007F6114">
        <w:rPr>
          <w:lang w:val="ru-RU"/>
        </w:rPr>
        <w:t>-</w:t>
      </w:r>
      <w:r w:rsidRPr="007F6114">
        <w:rPr>
          <w:rFonts w:hint="eastAsia"/>
          <w:lang w:val="ru-RU"/>
        </w:rPr>
        <w:t>я</w:t>
      </w:r>
      <w:r w:rsidRPr="007F6114">
        <w:rPr>
          <w:lang w:val="ru-RU"/>
        </w:rPr>
        <w:t xml:space="preserve"> </w:t>
      </w:r>
      <w:r w:rsidRPr="007F6114">
        <w:rPr>
          <w:rFonts w:hint="eastAsia"/>
          <w:lang w:val="ru-RU"/>
        </w:rPr>
        <w:t>Исследовательская</w:t>
      </w:r>
      <w:r w:rsidRPr="007F6114">
        <w:rPr>
          <w:lang w:val="ru-RU"/>
        </w:rPr>
        <w:t xml:space="preserve"> </w:t>
      </w:r>
      <w:r w:rsidRPr="007F6114">
        <w:rPr>
          <w:rFonts w:hint="eastAsia"/>
          <w:lang w:val="ru-RU"/>
        </w:rPr>
        <w:t>комиссия</w:t>
      </w:r>
      <w:r w:rsidRPr="007F6114">
        <w:rPr>
          <w:lang w:val="ru-RU"/>
        </w:rPr>
        <w:t xml:space="preserve"> </w:t>
      </w:r>
      <w:r w:rsidRPr="007F6114">
        <w:rPr>
          <w:rFonts w:hint="eastAsia"/>
          <w:lang w:val="ru-RU"/>
        </w:rPr>
        <w:t>по</w:t>
      </w:r>
      <w:r w:rsidRPr="007F6114">
        <w:rPr>
          <w:lang w:val="ru-RU"/>
        </w:rPr>
        <w:t xml:space="preserve"> </w:t>
      </w:r>
      <w:r w:rsidRPr="007F6114">
        <w:rPr>
          <w:rFonts w:hint="eastAsia"/>
          <w:lang w:val="ru-RU"/>
        </w:rPr>
        <w:t>радиосвязи</w:t>
      </w:r>
      <w:r w:rsidRPr="007F6114">
        <w:rPr>
          <w:lang w:val="ru-RU"/>
        </w:rPr>
        <w:t xml:space="preserve"> </w:t>
      </w:r>
      <w:r w:rsidRPr="007F6114">
        <w:rPr>
          <w:rFonts w:hint="eastAsia"/>
          <w:lang w:val="ru-RU"/>
        </w:rPr>
        <w:t>внесла</w:t>
      </w:r>
      <w:r w:rsidRPr="007F6114">
        <w:rPr>
          <w:lang w:val="ru-RU"/>
        </w:rPr>
        <w:t xml:space="preserve"> </w:t>
      </w:r>
      <w:r w:rsidRPr="007F6114">
        <w:rPr>
          <w:rFonts w:hint="eastAsia"/>
          <w:lang w:val="ru-RU"/>
        </w:rPr>
        <w:t>в</w:t>
      </w:r>
      <w:r w:rsidRPr="007F6114">
        <w:rPr>
          <w:lang w:val="ru-RU"/>
        </w:rPr>
        <w:t xml:space="preserve"> </w:t>
      </w:r>
      <w:r w:rsidRPr="007F6114">
        <w:rPr>
          <w:rFonts w:hint="eastAsia"/>
          <w:lang w:val="ru-RU"/>
        </w:rPr>
        <w:t>настоящую</w:t>
      </w:r>
      <w:r w:rsidRPr="007F6114">
        <w:rPr>
          <w:lang w:val="ru-RU"/>
        </w:rPr>
        <w:t xml:space="preserve"> </w:t>
      </w:r>
      <w:r w:rsidRPr="007F6114">
        <w:rPr>
          <w:rFonts w:hint="eastAsia"/>
        </w:rPr>
        <w:t>Рекомендацию</w:t>
      </w:r>
      <w:r w:rsidRPr="007F6114">
        <w:t xml:space="preserve"> </w:t>
      </w:r>
      <w:r w:rsidRPr="007F6114">
        <w:rPr>
          <w:rFonts w:hint="eastAsia"/>
        </w:rPr>
        <w:t>редакционные</w:t>
      </w:r>
      <w:r w:rsidRPr="007F6114">
        <w:t xml:space="preserve"> </w:t>
      </w:r>
      <w:r w:rsidRPr="007F6114">
        <w:rPr>
          <w:rFonts w:hint="eastAsia"/>
        </w:rPr>
        <w:t>поправки</w:t>
      </w:r>
      <w:r w:rsidRPr="007F6114">
        <w:t xml:space="preserve"> </w:t>
      </w:r>
      <w:r w:rsidRPr="007F6114">
        <w:rPr>
          <w:rFonts w:hint="eastAsia"/>
        </w:rPr>
        <w:t>в</w:t>
      </w:r>
      <w:r w:rsidRPr="007F6114">
        <w:t xml:space="preserve"> </w:t>
      </w:r>
      <w:r w:rsidRPr="007F6114">
        <w:rPr>
          <w:rFonts w:hint="eastAsia"/>
        </w:rPr>
        <w:t>соответствии</w:t>
      </w:r>
      <w:r w:rsidRPr="007F6114">
        <w:t xml:space="preserve"> </w:t>
      </w:r>
      <w:r w:rsidRPr="007F6114">
        <w:rPr>
          <w:rFonts w:hint="eastAsia"/>
        </w:rPr>
        <w:t>с</w:t>
      </w:r>
      <w:r w:rsidRPr="007F6114">
        <w:t xml:space="preserve"> </w:t>
      </w:r>
      <w:r w:rsidRPr="007F6114">
        <w:rPr>
          <w:rFonts w:hint="eastAsia"/>
        </w:rPr>
        <w:t>Резолюцией</w:t>
      </w:r>
      <w:r w:rsidRPr="007F6114">
        <w:t xml:space="preserve"> </w:t>
      </w:r>
      <w:r w:rsidRPr="007F6114">
        <w:rPr>
          <w:rFonts w:hint="eastAsia"/>
        </w:rPr>
        <w:t>МСЭ</w:t>
      </w:r>
      <w:r w:rsidRPr="007F6114">
        <w: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23" w:rsidRPr="00E91F23" w:rsidRDefault="00E91F23" w:rsidP="00E91F23">
    <w:pPr>
      <w:pStyle w:val="Header"/>
      <w:rPr>
        <w:szCs w:val="22"/>
      </w:rPr>
    </w:pPr>
    <w:r w:rsidRPr="00553C5F">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D64075">
      <w:rPr>
        <w:b/>
        <w:bCs/>
        <w:noProof/>
        <w:szCs w:val="22"/>
        <w:lang w:val="en-US"/>
      </w:rPr>
      <w:t>МСЭ-R  F.1703-0</w:t>
    </w:r>
    <w:r w:rsidRPr="00553C5F">
      <w:rPr>
        <w:b/>
        <w:bCs/>
        <w:szCs w:val="22"/>
        <w:lang w:val="en-US"/>
      </w:rPr>
      <w:fldChar w:fldCharType="end"/>
    </w:r>
    <w:r w:rsidRPr="00553C5F">
      <w:rPr>
        <w:szCs w:val="22"/>
      </w:rPr>
      <w:tab/>
    </w: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sidR="00D64075">
      <w:rPr>
        <w:rStyle w:val="PageNumber"/>
        <w:b/>
        <w:bCs/>
        <w:noProof/>
        <w:szCs w:val="22"/>
      </w:rPr>
      <w:t>1</w:t>
    </w:r>
    <w:r w:rsidRPr="00553C5F">
      <w:rPr>
        <w:rStyle w:val="PageNumber"/>
        <w:b/>
        <w:bCs/>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3E478C"/>
    <w:lvl w:ilvl="0">
      <w:start w:val="1"/>
      <w:numFmt w:val="decimal"/>
      <w:lvlText w:val="%1."/>
      <w:lvlJc w:val="left"/>
      <w:pPr>
        <w:tabs>
          <w:tab w:val="num" w:pos="1492"/>
        </w:tabs>
        <w:ind w:left="1492" w:hanging="360"/>
      </w:pPr>
    </w:lvl>
  </w:abstractNum>
  <w:abstractNum w:abstractNumId="1">
    <w:nsid w:val="FFFFFF7D"/>
    <w:multiLevelType w:val="singleLevel"/>
    <w:tmpl w:val="0B5411E6"/>
    <w:lvl w:ilvl="0">
      <w:start w:val="1"/>
      <w:numFmt w:val="decimal"/>
      <w:lvlText w:val="%1."/>
      <w:lvlJc w:val="left"/>
      <w:pPr>
        <w:tabs>
          <w:tab w:val="num" w:pos="1209"/>
        </w:tabs>
        <w:ind w:left="1209" w:hanging="360"/>
      </w:pPr>
    </w:lvl>
  </w:abstractNum>
  <w:abstractNum w:abstractNumId="2">
    <w:nsid w:val="FFFFFF7E"/>
    <w:multiLevelType w:val="singleLevel"/>
    <w:tmpl w:val="03C0388C"/>
    <w:lvl w:ilvl="0">
      <w:start w:val="1"/>
      <w:numFmt w:val="decimal"/>
      <w:lvlText w:val="%1."/>
      <w:lvlJc w:val="left"/>
      <w:pPr>
        <w:tabs>
          <w:tab w:val="num" w:pos="926"/>
        </w:tabs>
        <w:ind w:left="926" w:hanging="360"/>
      </w:pPr>
    </w:lvl>
  </w:abstractNum>
  <w:abstractNum w:abstractNumId="3">
    <w:nsid w:val="FFFFFF7F"/>
    <w:multiLevelType w:val="singleLevel"/>
    <w:tmpl w:val="0D40D19A"/>
    <w:lvl w:ilvl="0">
      <w:start w:val="1"/>
      <w:numFmt w:val="decimal"/>
      <w:lvlText w:val="%1."/>
      <w:lvlJc w:val="left"/>
      <w:pPr>
        <w:tabs>
          <w:tab w:val="num" w:pos="643"/>
        </w:tabs>
        <w:ind w:left="643" w:hanging="360"/>
      </w:pPr>
    </w:lvl>
  </w:abstractNum>
  <w:abstractNum w:abstractNumId="4">
    <w:nsid w:val="FFFFFF80"/>
    <w:multiLevelType w:val="singleLevel"/>
    <w:tmpl w:val="A4F86F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18CD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FE0D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617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81A34"/>
    <w:lvl w:ilvl="0">
      <w:start w:val="1"/>
      <w:numFmt w:val="decimal"/>
      <w:lvlText w:val="%1."/>
      <w:lvlJc w:val="left"/>
      <w:pPr>
        <w:tabs>
          <w:tab w:val="num" w:pos="360"/>
        </w:tabs>
        <w:ind w:left="360" w:hanging="360"/>
      </w:pPr>
    </w:lvl>
  </w:abstractNum>
  <w:abstractNum w:abstractNumId="9">
    <w:nsid w:val="FFFFFF89"/>
    <w:multiLevelType w:val="singleLevel"/>
    <w:tmpl w:val="EF647920"/>
    <w:lvl w:ilvl="0">
      <w:start w:val="1"/>
      <w:numFmt w:val="bullet"/>
      <w:lvlText w:val=""/>
      <w:lvlJc w:val="left"/>
      <w:pPr>
        <w:tabs>
          <w:tab w:val="num" w:pos="360"/>
        </w:tabs>
        <w:ind w:left="360" w:hanging="360"/>
      </w:pPr>
      <w:rPr>
        <w:rFonts w:ascii="Symbol" w:hAnsi="Symbol" w:hint="default"/>
      </w:rPr>
    </w:lvl>
  </w:abstractNum>
  <w:abstractNum w:abstractNumId="1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7D6C05"/>
    <w:multiLevelType w:val="multilevel"/>
    <w:tmpl w:val="8782F8D2"/>
    <w:lvl w:ilvl="0">
      <w:start w:val="3"/>
      <w:numFmt w:val="decimal"/>
      <w:lvlText w:val="%1"/>
      <w:lvlJc w:val="left"/>
      <w:pPr>
        <w:tabs>
          <w:tab w:val="num" w:pos="792"/>
        </w:tabs>
        <w:ind w:left="792" w:hanging="792"/>
      </w:pPr>
      <w:rPr>
        <w:rFonts w:hint="default"/>
      </w:rPr>
    </w:lvl>
    <w:lvl w:ilvl="1">
      <w:start w:val="2"/>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ru-RU"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46081">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5285"/>
    <w:rsid w:val="00013002"/>
    <w:rsid w:val="000360F8"/>
    <w:rsid w:val="00036EE3"/>
    <w:rsid w:val="00072484"/>
    <w:rsid w:val="00096612"/>
    <w:rsid w:val="000B7683"/>
    <w:rsid w:val="000D0677"/>
    <w:rsid w:val="000E6A6E"/>
    <w:rsid w:val="000F2C79"/>
    <w:rsid w:val="00102934"/>
    <w:rsid w:val="0012391B"/>
    <w:rsid w:val="00127730"/>
    <w:rsid w:val="00131900"/>
    <w:rsid w:val="001400D8"/>
    <w:rsid w:val="00147110"/>
    <w:rsid w:val="001511A6"/>
    <w:rsid w:val="00170309"/>
    <w:rsid w:val="00197B47"/>
    <w:rsid w:val="001A0CCE"/>
    <w:rsid w:val="001C6156"/>
    <w:rsid w:val="001D407F"/>
    <w:rsid w:val="001E6074"/>
    <w:rsid w:val="002058CE"/>
    <w:rsid w:val="002165F1"/>
    <w:rsid w:val="0022094F"/>
    <w:rsid w:val="0025422D"/>
    <w:rsid w:val="00265B3D"/>
    <w:rsid w:val="00276D21"/>
    <w:rsid w:val="00296D7F"/>
    <w:rsid w:val="002B3CF6"/>
    <w:rsid w:val="002B753B"/>
    <w:rsid w:val="002C768A"/>
    <w:rsid w:val="002D76C4"/>
    <w:rsid w:val="002F5199"/>
    <w:rsid w:val="00305A41"/>
    <w:rsid w:val="00356B5D"/>
    <w:rsid w:val="0036003A"/>
    <w:rsid w:val="003646F2"/>
    <w:rsid w:val="003829A6"/>
    <w:rsid w:val="003B10DC"/>
    <w:rsid w:val="003C1FD0"/>
    <w:rsid w:val="003C38BA"/>
    <w:rsid w:val="00420994"/>
    <w:rsid w:val="00420DFD"/>
    <w:rsid w:val="00424855"/>
    <w:rsid w:val="00437A76"/>
    <w:rsid w:val="00470E28"/>
    <w:rsid w:val="004934C5"/>
    <w:rsid w:val="004B3EB5"/>
    <w:rsid w:val="004D1C64"/>
    <w:rsid w:val="005151EF"/>
    <w:rsid w:val="00556548"/>
    <w:rsid w:val="00571788"/>
    <w:rsid w:val="00586EF8"/>
    <w:rsid w:val="005A127F"/>
    <w:rsid w:val="005A7651"/>
    <w:rsid w:val="005B49AB"/>
    <w:rsid w:val="005B50E7"/>
    <w:rsid w:val="005E7B4F"/>
    <w:rsid w:val="00601882"/>
    <w:rsid w:val="00607D68"/>
    <w:rsid w:val="00610FF9"/>
    <w:rsid w:val="006114CA"/>
    <w:rsid w:val="00613212"/>
    <w:rsid w:val="006149B1"/>
    <w:rsid w:val="00680D2B"/>
    <w:rsid w:val="00681B32"/>
    <w:rsid w:val="006A6447"/>
    <w:rsid w:val="006B1D2B"/>
    <w:rsid w:val="006D1747"/>
    <w:rsid w:val="006E1131"/>
    <w:rsid w:val="006E2037"/>
    <w:rsid w:val="006E227A"/>
    <w:rsid w:val="006E6199"/>
    <w:rsid w:val="00712870"/>
    <w:rsid w:val="00743D85"/>
    <w:rsid w:val="00753CF4"/>
    <w:rsid w:val="007565CC"/>
    <w:rsid w:val="007603B0"/>
    <w:rsid w:val="00763B9A"/>
    <w:rsid w:val="007A6AA8"/>
    <w:rsid w:val="007D056D"/>
    <w:rsid w:val="007F008D"/>
    <w:rsid w:val="007F6114"/>
    <w:rsid w:val="008310C9"/>
    <w:rsid w:val="00853CC5"/>
    <w:rsid w:val="00870848"/>
    <w:rsid w:val="00887BB3"/>
    <w:rsid w:val="008C7091"/>
    <w:rsid w:val="008C7848"/>
    <w:rsid w:val="0090251D"/>
    <w:rsid w:val="00905CFB"/>
    <w:rsid w:val="00906589"/>
    <w:rsid w:val="00906AD6"/>
    <w:rsid w:val="00917AF2"/>
    <w:rsid w:val="0092418A"/>
    <w:rsid w:val="00934ED7"/>
    <w:rsid w:val="009543C3"/>
    <w:rsid w:val="00966E1B"/>
    <w:rsid w:val="009947C0"/>
    <w:rsid w:val="009E3058"/>
    <w:rsid w:val="009F2D2C"/>
    <w:rsid w:val="00A24A0A"/>
    <w:rsid w:val="00A25DEC"/>
    <w:rsid w:val="00A31928"/>
    <w:rsid w:val="00A3339B"/>
    <w:rsid w:val="00A62A14"/>
    <w:rsid w:val="00A6617B"/>
    <w:rsid w:val="00A71FE5"/>
    <w:rsid w:val="00A971A1"/>
    <w:rsid w:val="00AA3AD8"/>
    <w:rsid w:val="00AB0DC8"/>
    <w:rsid w:val="00AD238A"/>
    <w:rsid w:val="00AD7808"/>
    <w:rsid w:val="00AF302B"/>
    <w:rsid w:val="00B033C8"/>
    <w:rsid w:val="00B33425"/>
    <w:rsid w:val="00B44E24"/>
    <w:rsid w:val="00B54ECC"/>
    <w:rsid w:val="00B714F3"/>
    <w:rsid w:val="00B87B6B"/>
    <w:rsid w:val="00BB283C"/>
    <w:rsid w:val="00BC5D77"/>
    <w:rsid w:val="00BE7C5C"/>
    <w:rsid w:val="00BF0366"/>
    <w:rsid w:val="00BF487A"/>
    <w:rsid w:val="00C46BD9"/>
    <w:rsid w:val="00C55258"/>
    <w:rsid w:val="00C73560"/>
    <w:rsid w:val="00C855C0"/>
    <w:rsid w:val="00CB0F14"/>
    <w:rsid w:val="00CD659B"/>
    <w:rsid w:val="00CE0A43"/>
    <w:rsid w:val="00D11FB2"/>
    <w:rsid w:val="00D27B54"/>
    <w:rsid w:val="00D54BEC"/>
    <w:rsid w:val="00D64075"/>
    <w:rsid w:val="00D83556"/>
    <w:rsid w:val="00DF4176"/>
    <w:rsid w:val="00E17240"/>
    <w:rsid w:val="00E74595"/>
    <w:rsid w:val="00E91F23"/>
    <w:rsid w:val="00EA5A7F"/>
    <w:rsid w:val="00EB7C57"/>
    <w:rsid w:val="00ED2104"/>
    <w:rsid w:val="00ED2695"/>
    <w:rsid w:val="00F074C2"/>
    <w:rsid w:val="00F14BB7"/>
    <w:rsid w:val="00F30C9B"/>
    <w:rsid w:val="00F354B1"/>
    <w:rsid w:val="00F53FD3"/>
    <w:rsid w:val="00F76900"/>
    <w:rsid w:val="00FA5A91"/>
    <w:rsid w:val="00FB0E4E"/>
    <w:rsid w:val="00FB75C5"/>
    <w:rsid w:val="00FD3C61"/>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6081">
      <o:colormru v:ext="edit" colors="#d62a47"/>
      <o:colormenu v:ext="edit" strokecolor="#d62a47"/>
    </o:shapedefaults>
    <o:shapelayout v:ext="edit">
      <o:idmap v:ext="edit" data="1"/>
    </o:shapelayout>
  </w:shapeDefaults>
  <w:decimalSymbol w:val="."/>
  <w:listSeparator w:val=","/>
  <w15:docId w15:val="{F8CDDDAD-4D68-4E9C-A667-69632D31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64"/>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qFormat/>
    <w:rsid w:val="006E227A"/>
    <w:pPr>
      <w:keepNext/>
      <w:keepLines/>
      <w:spacing w:before="480"/>
      <w:ind w:left="794" w:hanging="794"/>
      <w:outlineLvl w:val="0"/>
    </w:pPr>
    <w:rPr>
      <w:b/>
    </w:rPr>
  </w:style>
  <w:style w:type="paragraph" w:styleId="Heading2">
    <w:name w:val="heading 2"/>
    <w:basedOn w:val="Heading1"/>
    <w:next w:val="Normal"/>
    <w:qFormat/>
    <w:rsid w:val="006E227A"/>
    <w:pPr>
      <w:spacing w:before="320"/>
      <w:outlineLvl w:val="1"/>
    </w:pPr>
  </w:style>
  <w:style w:type="paragraph" w:styleId="Heading3">
    <w:name w:val="heading 3"/>
    <w:basedOn w:val="Heading1"/>
    <w:next w:val="Normal"/>
    <w:qFormat/>
    <w:rsid w:val="006E227A"/>
    <w:pPr>
      <w:spacing w:before="200"/>
      <w:outlineLvl w:val="2"/>
    </w:pPr>
  </w:style>
  <w:style w:type="paragraph" w:styleId="Heading4">
    <w:name w:val="heading 4"/>
    <w:basedOn w:val="Heading3"/>
    <w:next w:val="Normal"/>
    <w:qFormat/>
    <w:rsid w:val="006E227A"/>
    <w:pPr>
      <w:tabs>
        <w:tab w:val="clear" w:pos="794"/>
        <w:tab w:val="left" w:pos="992"/>
      </w:tabs>
      <w:ind w:left="992" w:hanging="992"/>
      <w:outlineLvl w:val="3"/>
    </w:pPr>
  </w:style>
  <w:style w:type="paragraph" w:styleId="Heading5">
    <w:name w:val="heading 5"/>
    <w:basedOn w:val="Heading4"/>
    <w:next w:val="Normal"/>
    <w:qFormat/>
    <w:rsid w:val="006E227A"/>
    <w:pPr>
      <w:outlineLvl w:val="4"/>
    </w:pPr>
  </w:style>
  <w:style w:type="paragraph" w:styleId="Heading6">
    <w:name w:val="heading 6"/>
    <w:basedOn w:val="Heading4"/>
    <w:next w:val="Normal"/>
    <w:qFormat/>
    <w:rsid w:val="006E227A"/>
    <w:pPr>
      <w:tabs>
        <w:tab w:val="clear" w:pos="992"/>
        <w:tab w:val="clear" w:pos="1191"/>
      </w:tabs>
      <w:ind w:left="1588" w:hanging="1588"/>
      <w:outlineLvl w:val="5"/>
    </w:pPr>
  </w:style>
  <w:style w:type="paragraph" w:styleId="Heading7">
    <w:name w:val="heading 7"/>
    <w:basedOn w:val="Heading6"/>
    <w:next w:val="Normal"/>
    <w:qFormat/>
    <w:rsid w:val="006E227A"/>
    <w:pPr>
      <w:outlineLvl w:val="6"/>
    </w:pPr>
  </w:style>
  <w:style w:type="paragraph" w:styleId="Heading8">
    <w:name w:val="heading 8"/>
    <w:basedOn w:val="Heading6"/>
    <w:next w:val="Normal"/>
    <w:qFormat/>
    <w:rsid w:val="006E227A"/>
    <w:pPr>
      <w:outlineLvl w:val="7"/>
    </w:pPr>
  </w:style>
  <w:style w:type="paragraph" w:styleId="Heading9">
    <w:name w:val="heading 9"/>
    <w:basedOn w:val="Heading6"/>
    <w:next w:val="Normal"/>
    <w:qFormat/>
    <w:rsid w:val="006E22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227A"/>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6E22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E227A"/>
  </w:style>
  <w:style w:type="paragraph" w:customStyle="1" w:styleId="Headingb">
    <w:name w:val="Heading_b"/>
    <w:basedOn w:val="Heading3"/>
    <w:next w:val="Normal"/>
    <w:rsid w:val="006E227A"/>
    <w:pPr>
      <w:spacing w:before="160"/>
      <w:ind w:left="0" w:firstLine="0"/>
      <w:outlineLvl w:val="9"/>
    </w:pPr>
  </w:style>
  <w:style w:type="paragraph" w:customStyle="1" w:styleId="Headingi">
    <w:name w:val="Heading_i"/>
    <w:basedOn w:val="Heading3"/>
    <w:next w:val="Normal"/>
    <w:rsid w:val="006E227A"/>
    <w:pPr>
      <w:spacing w:before="160"/>
      <w:ind w:left="0" w:firstLine="0"/>
    </w:pPr>
    <w:rPr>
      <w:b w:val="0"/>
      <w:i/>
    </w:rPr>
  </w:style>
  <w:style w:type="character" w:customStyle="1" w:styleId="href">
    <w:name w:val="href"/>
    <w:basedOn w:val="DefaultParagraphFont"/>
    <w:rsid w:val="006E227A"/>
  </w:style>
  <w:style w:type="paragraph" w:customStyle="1" w:styleId="AnnexNoTitle">
    <w:name w:val="Annex_NoTitle"/>
    <w:basedOn w:val="Normal"/>
    <w:next w:val="Normalaftertitle"/>
    <w:rsid w:val="006E227A"/>
    <w:pPr>
      <w:keepNext/>
      <w:keepLines/>
      <w:spacing w:before="480" w:after="80"/>
      <w:jc w:val="center"/>
    </w:pPr>
    <w:rPr>
      <w:b/>
      <w:sz w:val="26"/>
    </w:rPr>
  </w:style>
  <w:style w:type="paragraph" w:customStyle="1" w:styleId="Normalaftertitle">
    <w:name w:val="Normal_after_title"/>
    <w:basedOn w:val="Normal"/>
    <w:next w:val="Normal"/>
    <w:rsid w:val="006E227A"/>
    <w:pPr>
      <w:spacing w:before="320"/>
    </w:pPr>
  </w:style>
  <w:style w:type="paragraph" w:customStyle="1" w:styleId="enumlev2">
    <w:name w:val="enumlev2"/>
    <w:basedOn w:val="enumlev1"/>
    <w:rsid w:val="006E227A"/>
    <w:pPr>
      <w:ind w:left="1191" w:hanging="397"/>
    </w:pPr>
  </w:style>
  <w:style w:type="paragraph" w:customStyle="1" w:styleId="enumlev1">
    <w:name w:val="enumlev1"/>
    <w:basedOn w:val="Normal"/>
    <w:rsid w:val="006E227A"/>
    <w:pPr>
      <w:spacing w:before="80"/>
      <w:ind w:left="794" w:hanging="794"/>
    </w:pPr>
  </w:style>
  <w:style w:type="paragraph" w:customStyle="1" w:styleId="enumlev3">
    <w:name w:val="enumlev3"/>
    <w:basedOn w:val="enumlev2"/>
    <w:rsid w:val="006E227A"/>
    <w:pPr>
      <w:ind w:left="1588"/>
    </w:pPr>
  </w:style>
  <w:style w:type="paragraph" w:customStyle="1" w:styleId="Note">
    <w:name w:val="Note"/>
    <w:basedOn w:val="Normal"/>
    <w:rsid w:val="006E227A"/>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6E227A"/>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rsid w:val="006E227A"/>
    <w:pPr>
      <w:keepNext/>
      <w:keepLines/>
      <w:spacing w:before="240"/>
      <w:jc w:val="center"/>
    </w:pPr>
    <w:rPr>
      <w:b/>
      <w:sz w:val="26"/>
    </w:rPr>
  </w:style>
  <w:style w:type="paragraph" w:customStyle="1" w:styleId="Recref">
    <w:name w:val="Rec_ref"/>
    <w:basedOn w:val="Normal"/>
    <w:next w:val="Recdate"/>
    <w:rsid w:val="006E227A"/>
    <w:pPr>
      <w:jc w:val="center"/>
    </w:pPr>
  </w:style>
  <w:style w:type="paragraph" w:customStyle="1" w:styleId="Recdate">
    <w:name w:val="Rec_date"/>
    <w:basedOn w:val="Recref"/>
    <w:next w:val="Normalaftertitle"/>
    <w:rsid w:val="006E227A"/>
    <w:pPr>
      <w:jc w:val="right"/>
    </w:pPr>
  </w:style>
  <w:style w:type="paragraph" w:customStyle="1" w:styleId="HeadingSum">
    <w:name w:val="Heading_Sum"/>
    <w:basedOn w:val="Headingb"/>
    <w:next w:val="Normal"/>
    <w:rsid w:val="006E227A"/>
    <w:pPr>
      <w:spacing w:before="240"/>
    </w:pPr>
    <w:rPr>
      <w:lang w:val="es-ES_tradnl"/>
    </w:rPr>
  </w:style>
  <w:style w:type="paragraph" w:customStyle="1" w:styleId="AppendixNoTitle">
    <w:name w:val="Appendix_NoTitle"/>
    <w:basedOn w:val="AnnexNoTitle"/>
    <w:next w:val="Normal"/>
    <w:rsid w:val="006E227A"/>
  </w:style>
  <w:style w:type="paragraph" w:customStyle="1" w:styleId="Tablefin">
    <w:name w:val="Table_fin"/>
    <w:basedOn w:val="Normal"/>
    <w:next w:val="Normal"/>
    <w:rsid w:val="006E227A"/>
    <w:pPr>
      <w:spacing w:before="0"/>
    </w:pPr>
    <w:rPr>
      <w:sz w:val="20"/>
      <w:lang w:val="en-GB"/>
    </w:rPr>
  </w:style>
  <w:style w:type="paragraph" w:customStyle="1" w:styleId="Tablehead">
    <w:name w:val="Table_head"/>
    <w:basedOn w:val="Normal"/>
    <w:next w:val="Normal"/>
    <w:rsid w:val="006E22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6E22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rsid w:val="006E227A"/>
    <w:pPr>
      <w:keepNext/>
      <w:spacing w:before="360" w:after="120"/>
      <w:jc w:val="center"/>
    </w:pPr>
  </w:style>
  <w:style w:type="paragraph" w:customStyle="1" w:styleId="Tabletext">
    <w:name w:val="Table_text"/>
    <w:basedOn w:val="Normal"/>
    <w:rsid w:val="006E22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rsid w:val="006E227A"/>
    <w:pPr>
      <w:tabs>
        <w:tab w:val="clear" w:pos="1191"/>
        <w:tab w:val="clear" w:pos="1588"/>
        <w:tab w:val="clear" w:pos="1985"/>
        <w:tab w:val="center" w:pos="4820"/>
        <w:tab w:val="right" w:pos="9639"/>
      </w:tabs>
    </w:pPr>
  </w:style>
  <w:style w:type="paragraph" w:customStyle="1" w:styleId="Equationlegend">
    <w:name w:val="Equation_legend"/>
    <w:basedOn w:val="NormalIndent"/>
    <w:rsid w:val="006E22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E227A"/>
    <w:pPr>
      <w:ind w:left="794"/>
    </w:pPr>
  </w:style>
  <w:style w:type="paragraph" w:customStyle="1" w:styleId="Figurelegend">
    <w:name w:val="Figure_legend"/>
    <w:basedOn w:val="Normal"/>
    <w:rsid w:val="006E22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E227A"/>
    <w:pPr>
      <w:keepNext/>
      <w:keepLines/>
      <w:spacing w:before="480" w:after="80"/>
      <w:jc w:val="center"/>
    </w:pPr>
    <w:rPr>
      <w:caps/>
      <w:sz w:val="18"/>
    </w:rPr>
  </w:style>
  <w:style w:type="paragraph" w:customStyle="1" w:styleId="Figuretitle">
    <w:name w:val="Figure_title"/>
    <w:basedOn w:val="Normal"/>
    <w:next w:val="Figure"/>
    <w:rsid w:val="006E227A"/>
    <w:pPr>
      <w:keepNext/>
      <w:spacing w:before="0" w:after="120"/>
      <w:jc w:val="center"/>
    </w:pPr>
    <w:rPr>
      <w:rFonts w:ascii="Times New Roman Bold" w:hAnsi="Times New Roman Bold"/>
      <w:b/>
      <w:sz w:val="18"/>
    </w:rPr>
  </w:style>
  <w:style w:type="paragraph" w:customStyle="1" w:styleId="Figure">
    <w:name w:val="Figure"/>
    <w:basedOn w:val="FigureNo"/>
    <w:next w:val="Normal"/>
    <w:rsid w:val="006E227A"/>
    <w:pPr>
      <w:keepNext w:val="0"/>
      <w:spacing w:before="0" w:after="240"/>
    </w:pPr>
  </w:style>
  <w:style w:type="paragraph" w:customStyle="1" w:styleId="tocpart">
    <w:name w:val="tocpart"/>
    <w:basedOn w:val="Normal"/>
    <w:rsid w:val="006E22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E227A"/>
    <w:pPr>
      <w:keepNext/>
      <w:keepLines/>
      <w:spacing w:before="480"/>
      <w:jc w:val="center"/>
    </w:pPr>
    <w:rPr>
      <w:sz w:val="26"/>
    </w:rPr>
  </w:style>
  <w:style w:type="paragraph" w:customStyle="1" w:styleId="Arttitle">
    <w:name w:val="Art_title"/>
    <w:basedOn w:val="Normal"/>
    <w:next w:val="Normalaftertitle"/>
    <w:rsid w:val="006E227A"/>
    <w:pPr>
      <w:keepNext/>
      <w:keepLines/>
      <w:spacing w:before="240"/>
      <w:jc w:val="center"/>
    </w:pPr>
    <w:rPr>
      <w:b/>
      <w:sz w:val="26"/>
    </w:rPr>
  </w:style>
  <w:style w:type="paragraph" w:customStyle="1" w:styleId="Blanc">
    <w:name w:val="Blanc"/>
    <w:basedOn w:val="Normal"/>
    <w:next w:val="Tabletext"/>
    <w:rsid w:val="006E22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E22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6E227A"/>
    <w:pPr>
      <w:keepNext/>
      <w:keepLines/>
      <w:spacing w:before="160"/>
      <w:ind w:left="794"/>
    </w:pPr>
    <w:rPr>
      <w:i/>
    </w:rPr>
  </w:style>
  <w:style w:type="paragraph" w:customStyle="1" w:styleId="ChapNo">
    <w:name w:val="Chap_No"/>
    <w:basedOn w:val="ArtNo"/>
    <w:next w:val="Chaptitle"/>
    <w:rsid w:val="006E227A"/>
    <w:rPr>
      <w:b/>
    </w:rPr>
  </w:style>
  <w:style w:type="paragraph" w:customStyle="1" w:styleId="Chaptitle">
    <w:name w:val="Chap_title"/>
    <w:basedOn w:val="Arttitle"/>
    <w:next w:val="Normalaftertitle"/>
    <w:rsid w:val="006E227A"/>
  </w:style>
  <w:style w:type="character" w:styleId="FootnoteReference">
    <w:name w:val="footnote reference"/>
    <w:basedOn w:val="DefaultParagraphFont"/>
    <w:semiHidden/>
    <w:rsid w:val="006E227A"/>
    <w:rPr>
      <w:position w:val="6"/>
      <w:sz w:val="16"/>
    </w:rPr>
  </w:style>
  <w:style w:type="paragraph" w:styleId="FootnoteText">
    <w:name w:val="footnote text"/>
    <w:basedOn w:val="Normal"/>
    <w:semiHidden/>
    <w:rsid w:val="006E227A"/>
    <w:pPr>
      <w:keepLines/>
      <w:tabs>
        <w:tab w:val="left" w:pos="284"/>
      </w:tabs>
      <w:spacing w:before="60"/>
      <w:ind w:left="284" w:hanging="284"/>
    </w:pPr>
    <w:rPr>
      <w:sz w:val="20"/>
    </w:rPr>
  </w:style>
  <w:style w:type="paragraph" w:styleId="Index1">
    <w:name w:val="index 1"/>
    <w:basedOn w:val="Normal"/>
    <w:next w:val="Normal"/>
    <w:semiHidden/>
    <w:rsid w:val="006E227A"/>
  </w:style>
  <w:style w:type="paragraph" w:styleId="Index2">
    <w:name w:val="index 2"/>
    <w:basedOn w:val="Normal"/>
    <w:next w:val="Normal"/>
    <w:semiHidden/>
    <w:rsid w:val="006E227A"/>
    <w:pPr>
      <w:ind w:left="283"/>
    </w:pPr>
  </w:style>
  <w:style w:type="paragraph" w:styleId="Index3">
    <w:name w:val="index 3"/>
    <w:basedOn w:val="Normal"/>
    <w:next w:val="Normal"/>
    <w:semiHidden/>
    <w:rsid w:val="006E227A"/>
    <w:pPr>
      <w:ind w:left="566"/>
    </w:pPr>
  </w:style>
  <w:style w:type="paragraph" w:styleId="IndexHeading">
    <w:name w:val="index heading"/>
    <w:basedOn w:val="Normal"/>
    <w:next w:val="Index1"/>
    <w:semiHidden/>
    <w:rsid w:val="006E227A"/>
  </w:style>
  <w:style w:type="paragraph" w:customStyle="1" w:styleId="Line">
    <w:name w:val="Line"/>
    <w:basedOn w:val="Normal"/>
    <w:next w:val="Normal"/>
    <w:rsid w:val="006E22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E22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E227A"/>
  </w:style>
  <w:style w:type="paragraph" w:customStyle="1" w:styleId="Partref">
    <w:name w:val="Part_ref"/>
    <w:basedOn w:val="Normal"/>
    <w:next w:val="Normal"/>
    <w:rsid w:val="006E227A"/>
    <w:pPr>
      <w:keepNext/>
      <w:keepLines/>
      <w:spacing w:after="280"/>
      <w:jc w:val="center"/>
    </w:pPr>
  </w:style>
  <w:style w:type="paragraph" w:customStyle="1" w:styleId="Parttitle">
    <w:name w:val="Part_title"/>
    <w:basedOn w:val="Normal"/>
    <w:next w:val="Normalaftertitle"/>
    <w:rsid w:val="006E227A"/>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6E227A"/>
  </w:style>
  <w:style w:type="paragraph" w:customStyle="1" w:styleId="QuestionNo">
    <w:name w:val="Question_No"/>
    <w:basedOn w:val="RecNo"/>
    <w:next w:val="Normal"/>
    <w:rsid w:val="006E227A"/>
  </w:style>
  <w:style w:type="paragraph" w:customStyle="1" w:styleId="Questionref">
    <w:name w:val="Question_ref"/>
    <w:basedOn w:val="Recref"/>
    <w:next w:val="Questiondate"/>
    <w:rsid w:val="006E227A"/>
  </w:style>
  <w:style w:type="paragraph" w:customStyle="1" w:styleId="Questiontitle">
    <w:name w:val="Question_title"/>
    <w:basedOn w:val="Normal"/>
    <w:next w:val="Questionref"/>
    <w:rsid w:val="006E227A"/>
  </w:style>
  <w:style w:type="paragraph" w:customStyle="1" w:styleId="Reftext">
    <w:name w:val="Ref_text"/>
    <w:basedOn w:val="Normal"/>
    <w:rsid w:val="006E227A"/>
    <w:pPr>
      <w:ind w:left="794" w:hanging="794"/>
    </w:pPr>
  </w:style>
  <w:style w:type="paragraph" w:customStyle="1" w:styleId="Reftitle">
    <w:name w:val="Ref_title"/>
    <w:basedOn w:val="Normal"/>
    <w:next w:val="Reftext"/>
    <w:rsid w:val="006E227A"/>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6E227A"/>
  </w:style>
  <w:style w:type="paragraph" w:customStyle="1" w:styleId="RepNo">
    <w:name w:val="Rep_No"/>
    <w:basedOn w:val="RecNo"/>
    <w:next w:val="Reptitle"/>
    <w:rsid w:val="006E227A"/>
  </w:style>
  <w:style w:type="paragraph" w:customStyle="1" w:styleId="Reptitle">
    <w:name w:val="Rep_title"/>
    <w:basedOn w:val="Rectitle"/>
    <w:next w:val="Repref"/>
    <w:rsid w:val="006E227A"/>
  </w:style>
  <w:style w:type="paragraph" w:customStyle="1" w:styleId="Repref">
    <w:name w:val="Rep_ref"/>
    <w:basedOn w:val="Recref"/>
    <w:next w:val="Repdate"/>
    <w:rsid w:val="006E227A"/>
  </w:style>
  <w:style w:type="paragraph" w:customStyle="1" w:styleId="Resdate">
    <w:name w:val="Res_date"/>
    <w:basedOn w:val="Recdate"/>
    <w:next w:val="Normalaftertitle"/>
    <w:rsid w:val="006E227A"/>
  </w:style>
  <w:style w:type="paragraph" w:customStyle="1" w:styleId="ResNo">
    <w:name w:val="Res_No"/>
    <w:basedOn w:val="RecNo"/>
    <w:next w:val="Restitle"/>
    <w:rsid w:val="006E227A"/>
  </w:style>
  <w:style w:type="paragraph" w:customStyle="1" w:styleId="Restitle">
    <w:name w:val="Res_title"/>
    <w:basedOn w:val="Normal"/>
    <w:next w:val="Resref"/>
    <w:rsid w:val="006E227A"/>
    <w:pPr>
      <w:spacing w:before="240"/>
      <w:jc w:val="center"/>
    </w:pPr>
    <w:rPr>
      <w:b/>
      <w:sz w:val="26"/>
    </w:rPr>
  </w:style>
  <w:style w:type="paragraph" w:customStyle="1" w:styleId="Resref">
    <w:name w:val="Res_ref"/>
    <w:basedOn w:val="Recref"/>
    <w:next w:val="Resdate"/>
    <w:rsid w:val="006E227A"/>
  </w:style>
  <w:style w:type="paragraph" w:customStyle="1" w:styleId="SectionNo">
    <w:name w:val="Section_No"/>
    <w:basedOn w:val="Normal"/>
    <w:next w:val="Normal"/>
    <w:rsid w:val="006E227A"/>
  </w:style>
  <w:style w:type="paragraph" w:customStyle="1" w:styleId="Sectiontitle">
    <w:name w:val="Section_title"/>
    <w:basedOn w:val="Normal"/>
    <w:next w:val="Normalaftertitle"/>
    <w:rsid w:val="006E227A"/>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6E227A"/>
    <w:pPr>
      <w:tabs>
        <w:tab w:val="clear" w:pos="794"/>
        <w:tab w:val="clear" w:pos="1191"/>
        <w:tab w:val="clear" w:pos="1588"/>
        <w:tab w:val="clear" w:pos="1985"/>
        <w:tab w:val="right" w:pos="9611"/>
      </w:tabs>
    </w:pPr>
    <w:rPr>
      <w:i/>
    </w:rPr>
  </w:style>
  <w:style w:type="paragraph" w:styleId="TOC1">
    <w:name w:val="toc 1"/>
    <w:basedOn w:val="Normal"/>
    <w:semiHidden/>
    <w:rsid w:val="006E22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6E227A"/>
    <w:pPr>
      <w:tabs>
        <w:tab w:val="clear" w:pos="567"/>
        <w:tab w:val="left" w:pos="1276"/>
      </w:tabs>
      <w:spacing w:before="160"/>
      <w:ind w:left="1276" w:hanging="709"/>
    </w:pPr>
  </w:style>
  <w:style w:type="paragraph" w:styleId="TOC3">
    <w:name w:val="toc 3"/>
    <w:basedOn w:val="TOC2"/>
    <w:semiHidden/>
    <w:rsid w:val="006E227A"/>
    <w:pPr>
      <w:tabs>
        <w:tab w:val="clear" w:pos="1276"/>
        <w:tab w:val="left" w:pos="2155"/>
      </w:tabs>
      <w:ind w:left="2155" w:hanging="879"/>
    </w:pPr>
  </w:style>
  <w:style w:type="paragraph" w:styleId="TOC4">
    <w:name w:val="toc 4"/>
    <w:basedOn w:val="TOC3"/>
    <w:semiHidden/>
    <w:rsid w:val="006E227A"/>
    <w:pPr>
      <w:tabs>
        <w:tab w:val="left" w:pos="3261"/>
      </w:tabs>
      <w:spacing w:before="80"/>
      <w:ind w:left="3261" w:hanging="993"/>
    </w:pPr>
  </w:style>
  <w:style w:type="paragraph" w:styleId="TOC5">
    <w:name w:val="toc 5"/>
    <w:basedOn w:val="TOC4"/>
    <w:semiHidden/>
    <w:rsid w:val="006E227A"/>
  </w:style>
  <w:style w:type="paragraph" w:styleId="TOC6">
    <w:name w:val="toc 6"/>
    <w:basedOn w:val="TOC4"/>
    <w:semiHidden/>
    <w:rsid w:val="006E227A"/>
  </w:style>
  <w:style w:type="paragraph" w:styleId="TOC7">
    <w:name w:val="toc 7"/>
    <w:basedOn w:val="TOC4"/>
    <w:semiHidden/>
    <w:rsid w:val="006E227A"/>
  </w:style>
  <w:style w:type="paragraph" w:styleId="TOC8">
    <w:name w:val="toc 8"/>
    <w:basedOn w:val="TOC4"/>
    <w:semiHidden/>
    <w:rsid w:val="006E227A"/>
  </w:style>
  <w:style w:type="paragraph" w:customStyle="1" w:styleId="Annexref">
    <w:name w:val="Annex_ref"/>
    <w:basedOn w:val="Normal"/>
    <w:next w:val="Normalaftertitle"/>
    <w:rsid w:val="006E227A"/>
    <w:pPr>
      <w:keepNext/>
      <w:keepLines/>
      <w:spacing w:after="280"/>
      <w:jc w:val="center"/>
    </w:pPr>
  </w:style>
  <w:style w:type="paragraph" w:customStyle="1" w:styleId="Appendixref">
    <w:name w:val="Appendix_ref"/>
    <w:basedOn w:val="Annexref"/>
    <w:next w:val="Normalaftertitle"/>
    <w:rsid w:val="006E227A"/>
  </w:style>
  <w:style w:type="paragraph" w:customStyle="1" w:styleId="Tabletitle">
    <w:name w:val="Table_title"/>
    <w:basedOn w:val="Normal"/>
    <w:next w:val="Tablehead"/>
    <w:rsid w:val="006E227A"/>
    <w:pPr>
      <w:keepNext/>
      <w:spacing w:before="0" w:after="120"/>
      <w:jc w:val="center"/>
    </w:pPr>
    <w:rPr>
      <w:b/>
    </w:rPr>
  </w:style>
  <w:style w:type="paragraph" w:customStyle="1" w:styleId="Summary">
    <w:name w:val="Summary"/>
    <w:basedOn w:val="Normal"/>
    <w:next w:val="Normalaftertitle"/>
    <w:rsid w:val="006E227A"/>
    <w:pPr>
      <w:spacing w:after="480"/>
    </w:pPr>
    <w:rPr>
      <w:lang w:val="es-ES_tradnl"/>
    </w:rPr>
  </w:style>
  <w:style w:type="character" w:styleId="Hyperlink">
    <w:name w:val="Hyperlink"/>
    <w:basedOn w:val="DefaultParagraphFont"/>
    <w:rsid w:val="006E227A"/>
    <w:rPr>
      <w:color w:val="0000FF"/>
      <w:u w:val="single"/>
    </w:rPr>
  </w:style>
  <w:style w:type="character" w:customStyle="1" w:styleId="HeaderChar">
    <w:name w:val="Header Char"/>
    <w:basedOn w:val="DefaultParagraphFont"/>
    <w:link w:val="Header"/>
    <w:rsid w:val="006E227A"/>
    <w:rPr>
      <w:sz w:val="22"/>
      <w:lang w:val="fr-FR" w:eastAsia="en-US"/>
    </w:rPr>
  </w:style>
  <w:style w:type="paragraph" w:customStyle="1" w:styleId="TableLegendNote">
    <w:name w:val="Table_Legend_Note"/>
    <w:basedOn w:val="Tablelegend"/>
    <w:next w:val="Tablelegend"/>
    <w:rsid w:val="006E227A"/>
    <w:pPr>
      <w:ind w:left="-85" w:firstLine="0"/>
    </w:pPr>
    <w:rPr>
      <w:lang w:val="en-US"/>
    </w:rPr>
  </w:style>
  <w:style w:type="paragraph" w:customStyle="1" w:styleId="Reasons">
    <w:name w:val="Reasons"/>
    <w:basedOn w:val="Normal"/>
    <w:qFormat/>
    <w:rsid w:val="002B753B"/>
    <w:pPr>
      <w:tabs>
        <w:tab w:val="clear" w:pos="794"/>
        <w:tab w:val="clear" w:pos="1191"/>
        <w:tab w:val="clear" w:pos="1588"/>
        <w:tab w:val="clear" w:pos="1985"/>
      </w:tabs>
      <w:overflowPunct/>
      <w:autoSpaceDE/>
      <w:autoSpaceDN/>
      <w:adjustRightInd/>
      <w:spacing w:before="0"/>
      <w:jc w:val="left"/>
      <w:textAlignment w:val="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38F6F-CDB4-412E-BDF2-6CC49F7C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42</TotalTime>
  <Pages>12</Pages>
  <Words>2763</Words>
  <Characters>17460</Characters>
  <Application>Microsoft Office Word</Application>
  <DocSecurity>0</DocSecurity>
  <Lines>727</Lines>
  <Paragraphs>124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20099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1.11.07      SP_x000d_
corr. editeur: 14.2.08/KJ_x000d_
REV - 18-02-08 - HB_x000d_
Récup + PDF: 2.7.09/KJ</dc:description>
  <cp:lastModifiedBy>Berdyeva, Elena</cp:lastModifiedBy>
  <cp:revision>30</cp:revision>
  <cp:lastPrinted>2014-11-21T16:09:00Z</cp:lastPrinted>
  <dcterms:created xsi:type="dcterms:W3CDTF">2014-11-21T15:23:00Z</dcterms:created>
  <dcterms:modified xsi:type="dcterms:W3CDTF">2014-11-21T16:12:00Z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