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DCB" w:rsidRDefault="009A534E">
      <w:pPr>
        <w:pStyle w:val="RecNo"/>
        <w:spacing w:before="0"/>
      </w:pPr>
      <w:r>
        <w:t xml:space="preserve">RECOMMANDATION  </w:t>
      </w:r>
      <w:r>
        <w:rPr>
          <w:rStyle w:val="href"/>
        </w:rPr>
        <w:t>UIT-R  F.1703</w:t>
      </w:r>
      <w:r w:rsidR="00CD3AE5">
        <w:rPr>
          <w:rStyle w:val="href"/>
        </w:rPr>
        <w:t>-0</w:t>
      </w:r>
      <w:bookmarkStart w:id="0" w:name="_GoBack"/>
      <w:bookmarkEnd w:id="0"/>
      <w:r w:rsidR="00C71A9D">
        <w:rPr>
          <w:rStyle w:val="FootnoteReference"/>
        </w:rPr>
        <w:footnoteReference w:id="1"/>
      </w:r>
    </w:p>
    <w:p w:rsidR="00053DCB" w:rsidRDefault="009A534E">
      <w:pPr>
        <w:pStyle w:val="Rectitle"/>
        <w:rPr>
          <w:lang w:val="fr-CH"/>
        </w:rPr>
      </w:pPr>
      <w:r>
        <w:rPr>
          <w:lang w:val="fr-CH"/>
        </w:rPr>
        <w:t xml:space="preserve">Objectifs de disponibilité applicables à des liaisons hertziennes </w:t>
      </w:r>
      <w:r>
        <w:rPr>
          <w:lang w:val="fr-CH"/>
        </w:rPr>
        <w:br/>
        <w:t xml:space="preserve">fixes numériques réelles utilisées dans des conduits et </w:t>
      </w:r>
      <w:r>
        <w:rPr>
          <w:lang w:val="fr-CH"/>
        </w:rPr>
        <w:br/>
        <w:t>des connexions fictifs de référence de 27</w:t>
      </w:r>
      <w:r>
        <w:rPr>
          <w:rFonts w:ascii="Tms Rmn" w:hAnsi="Tms Rmn"/>
          <w:sz w:val="12"/>
          <w:lang w:val="fr-CH"/>
        </w:rPr>
        <w:t> </w:t>
      </w:r>
      <w:r>
        <w:rPr>
          <w:lang w:val="fr-CH"/>
        </w:rPr>
        <w:t>500 km</w:t>
      </w:r>
    </w:p>
    <w:p w:rsidR="00053DCB" w:rsidRDefault="009A534E">
      <w:pPr>
        <w:pStyle w:val="Recdate"/>
        <w:rPr>
          <w:lang w:val="fr-CH"/>
        </w:rPr>
      </w:pPr>
      <w:r>
        <w:rPr>
          <w:lang w:val="fr-CH"/>
        </w:rPr>
        <w:t>(2005)</w:t>
      </w:r>
    </w:p>
    <w:p w:rsidR="00053DCB" w:rsidRDefault="00053DCB">
      <w:pPr>
        <w:rPr>
          <w:lang w:val="fr-CH"/>
        </w:rPr>
      </w:pPr>
    </w:p>
    <w:p w:rsidR="00053DCB" w:rsidRDefault="009A534E">
      <w:pPr>
        <w:pStyle w:val="Headingb"/>
        <w:rPr>
          <w:sz w:val="22"/>
          <w:lang w:val="fr-CH"/>
        </w:rPr>
      </w:pPr>
      <w:r>
        <w:rPr>
          <w:sz w:val="22"/>
          <w:lang w:val="fr-CH"/>
        </w:rPr>
        <w:t>Domaine de compétence</w:t>
      </w:r>
    </w:p>
    <w:p w:rsidR="00053DCB" w:rsidRDefault="009A534E">
      <w:pPr>
        <w:rPr>
          <w:sz w:val="22"/>
          <w:lang w:val="fr-CH"/>
        </w:rPr>
      </w:pPr>
      <w:r>
        <w:rPr>
          <w:sz w:val="22"/>
          <w:lang w:val="fr-CH"/>
        </w:rPr>
        <w:t xml:space="preserve">La présente Recommandation fournit des données actualisées sur les objectifs de disponibilité applicables à des liaisons hertziennes fixes numériques réelles utilisées dans des conduits fictifs de référence (HRP, </w:t>
      </w:r>
      <w:r>
        <w:rPr>
          <w:i/>
          <w:iCs/>
          <w:sz w:val="22"/>
          <w:lang w:val="fr-CH"/>
        </w:rPr>
        <w:t>hypothetical reference paths</w:t>
      </w:r>
      <w:r>
        <w:rPr>
          <w:sz w:val="22"/>
          <w:lang w:val="fr-CH"/>
        </w:rPr>
        <w:t>) de 27</w:t>
      </w:r>
      <w:r>
        <w:rPr>
          <w:rFonts w:ascii="Tms Rmn" w:hAnsi="Tms Rmn"/>
          <w:sz w:val="12"/>
          <w:lang w:val="fr-CH"/>
        </w:rPr>
        <w:t> </w:t>
      </w:r>
      <w:r>
        <w:rPr>
          <w:sz w:val="22"/>
          <w:lang w:val="fr-CH"/>
        </w:rPr>
        <w:t>500 km, compte tenu de la Recommandation UIT-T G.827 (approuvée en 2003). C'est la seule Recommandation qui définisse les objectifs de disponibilité applicables à la totalité des liaisons hertziennes fixes numériques réelles. Cette Recommandation remplace les Recommandations UIT-R F.1492 et UIT-R F.1493. L'applicabilité des Recommandations UIT</w:t>
      </w:r>
      <w:r>
        <w:rPr>
          <w:sz w:val="22"/>
          <w:lang w:val="fr-CH"/>
        </w:rPr>
        <w:noBreakHyphen/>
        <w:t>R F.557, UIT-R F.695, UIT-R F.696 et UIT-R F.697 est limitée aux systèmes conçus avant l'approbation de cette Recommandation. Des exemples d'application de la Recommandation sont donnés dans l'Annexe 1. La définition des événements, qui est tirée de la Recommandation UIT</w:t>
      </w:r>
      <w:r>
        <w:rPr>
          <w:sz w:val="22"/>
          <w:lang w:val="fr-CH"/>
        </w:rPr>
        <w:noBreakHyphen/>
        <w:t>T G.827, fait l'objet de l'Annexe 2.</w:t>
      </w:r>
    </w:p>
    <w:p w:rsidR="00053DCB" w:rsidRDefault="00053DCB">
      <w:pPr>
        <w:rPr>
          <w:sz w:val="22"/>
          <w:lang w:val="fr-CH"/>
        </w:rPr>
      </w:pPr>
    </w:p>
    <w:p w:rsidR="00053DCB" w:rsidRDefault="009A534E">
      <w:pPr>
        <w:pStyle w:val="Normalaftertitle"/>
        <w:rPr>
          <w:lang w:val="fr-CH"/>
        </w:rPr>
      </w:pPr>
      <w:r>
        <w:rPr>
          <w:lang w:val="fr-CH"/>
        </w:rPr>
        <w:t>L'Assemblée des radiocommunications de l'UIT,</w:t>
      </w:r>
    </w:p>
    <w:p w:rsidR="00053DCB" w:rsidRDefault="009A534E">
      <w:pPr>
        <w:pStyle w:val="Call"/>
        <w:rPr>
          <w:lang w:val="fr-CH"/>
        </w:rPr>
      </w:pPr>
      <w:r>
        <w:rPr>
          <w:lang w:val="fr-CH"/>
        </w:rPr>
        <w:t>considérant</w:t>
      </w:r>
    </w:p>
    <w:p w:rsidR="00053DCB" w:rsidRDefault="009A534E">
      <w:pPr>
        <w:rPr>
          <w:lang w:val="fr-CH"/>
        </w:rPr>
      </w:pPr>
      <w:r>
        <w:rPr>
          <w:lang w:val="fr-CH"/>
        </w:rPr>
        <w:t>a)</w:t>
      </w:r>
      <w:r>
        <w:rPr>
          <w:lang w:val="fr-CH"/>
        </w:rPr>
        <w:tab/>
        <w:t>que l'UIT-R a spécifié les objectifs de qualité en matière d'erreur applicables à des liaisons hertziennes fixes numériques réelles utilisées dans des conduits et des connexions fictifs de référence de 27</w:t>
      </w:r>
      <w:r>
        <w:rPr>
          <w:rFonts w:ascii="Tms Rmn" w:hAnsi="Tms Rmn"/>
          <w:sz w:val="12"/>
          <w:lang w:val="fr-CH"/>
        </w:rPr>
        <w:t> </w:t>
      </w:r>
      <w:r>
        <w:rPr>
          <w:lang w:val="fr-CH"/>
        </w:rPr>
        <w:t>500 km (voir la Recommandation UIT-R F.1668);</w:t>
      </w:r>
    </w:p>
    <w:p w:rsidR="00053DCB" w:rsidRDefault="009A534E">
      <w:pPr>
        <w:rPr>
          <w:lang w:val="fr-CH"/>
        </w:rPr>
      </w:pPr>
      <w:r>
        <w:rPr>
          <w:lang w:val="fr-CH"/>
        </w:rPr>
        <w:t>b)</w:t>
      </w:r>
      <w:r>
        <w:rPr>
          <w:lang w:val="fr-CH"/>
        </w:rPr>
        <w:tab/>
        <w:t>que l'UIT-T a spécifié les paramètres et les objectifs de disponibilité pour les éléments de bout en bout et de conduit des conduits numériques internationaux à débit constant égal ou supérieur au débit primaire (voir la Recommandation UIT-T G.827);</w:t>
      </w:r>
    </w:p>
    <w:p w:rsidR="00053DCB" w:rsidRDefault="009A534E">
      <w:pPr>
        <w:rPr>
          <w:lang w:val="fr-CH"/>
        </w:rPr>
      </w:pPr>
      <w:r>
        <w:rPr>
          <w:lang w:val="fr-CH"/>
        </w:rPr>
        <w:t>c)</w:t>
      </w:r>
      <w:r>
        <w:rPr>
          <w:lang w:val="fr-CH"/>
        </w:rPr>
        <w:tab/>
        <w:t>que les faisceaux hertziens numériques fixes jouent un rôle important dans les conduits internationaux;</w:t>
      </w:r>
    </w:p>
    <w:p w:rsidR="00053DCB" w:rsidRDefault="009A534E">
      <w:pPr>
        <w:rPr>
          <w:lang w:val="fr-CH"/>
        </w:rPr>
      </w:pPr>
      <w:r>
        <w:rPr>
          <w:lang w:val="fr-CH"/>
        </w:rPr>
        <w:t>d)</w:t>
      </w:r>
      <w:r>
        <w:rPr>
          <w:lang w:val="fr-CH"/>
        </w:rPr>
        <w:tab/>
        <w:t xml:space="preserve">qu'il est nécessaire que la disponibilité des systèmes hertziens fixes (FWS, </w:t>
      </w:r>
      <w:r>
        <w:rPr>
          <w:i/>
          <w:iCs/>
          <w:lang w:val="fr-CH"/>
        </w:rPr>
        <w:t>fixed wireless systems</w:t>
      </w:r>
      <w:r>
        <w:rPr>
          <w:lang w:val="fr-CH"/>
        </w:rPr>
        <w:t>) soit conforme aux objectifs de disponibilité spécifiés dans la Recommandation UIT-T G.827;</w:t>
      </w:r>
    </w:p>
    <w:p w:rsidR="00053DCB" w:rsidRDefault="009A534E">
      <w:pPr>
        <w:rPr>
          <w:lang w:val="fr-CH"/>
        </w:rPr>
      </w:pPr>
      <w:r>
        <w:rPr>
          <w:lang w:val="fr-CH"/>
        </w:rPr>
        <w:t>e)</w:t>
      </w:r>
      <w:r>
        <w:rPr>
          <w:lang w:val="fr-CH"/>
        </w:rPr>
        <w:tab/>
        <w:t>qu'il est possible de réaliser un conduit, une liaison ou une connexion réelle pour la transmission de données numériques sur la base d'une configuration linéaire ou redondante, suivant les besoins des fournisseurs de réseau;</w:t>
      </w:r>
    </w:p>
    <w:p w:rsidR="00053DCB" w:rsidRDefault="009A534E">
      <w:pPr>
        <w:rPr>
          <w:lang w:val="fr-CH"/>
        </w:rPr>
      </w:pPr>
      <w:r>
        <w:rPr>
          <w:lang w:val="fr-CH"/>
        </w:rPr>
        <w:t>f)</w:t>
      </w:r>
      <w:r>
        <w:rPr>
          <w:lang w:val="fr-CH"/>
        </w:rPr>
        <w:tab/>
        <w:t>que les FWS numériques peuvent être utilisés dans les pays intermédiaires et dans les pays terminaux d'un conduit international;</w:t>
      </w:r>
    </w:p>
    <w:p w:rsidR="00053DCB" w:rsidRDefault="009A534E">
      <w:pPr>
        <w:rPr>
          <w:lang w:val="fr-CH"/>
        </w:rPr>
      </w:pPr>
      <w:r>
        <w:rPr>
          <w:lang w:val="fr-CH"/>
        </w:rPr>
        <w:t>g)</w:t>
      </w:r>
      <w:r>
        <w:rPr>
          <w:lang w:val="fr-CH"/>
        </w:rPr>
        <w:tab/>
        <w:t>qu'aux fins de la présente Recommandation, un tronçon national du conduit HRP de 27</w:t>
      </w:r>
      <w:r>
        <w:rPr>
          <w:rFonts w:ascii="Tms Rmn" w:hAnsi="Tms Rmn"/>
          <w:sz w:val="12"/>
          <w:lang w:val="fr-CH"/>
        </w:rPr>
        <w:t> </w:t>
      </w:r>
      <w:r>
        <w:rPr>
          <w:lang w:val="fr-CH"/>
        </w:rPr>
        <w:t>500 km peut être subdivisé en trois sections de base (voir la Fig. 1);</w:t>
      </w:r>
    </w:p>
    <w:p w:rsidR="00053DCB" w:rsidRDefault="009A534E">
      <w:pPr>
        <w:pStyle w:val="FigureNo"/>
      </w:pPr>
      <w:r>
        <w:br w:type="page"/>
      </w:r>
      <w:r w:rsidR="005E1796">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345pt">
            <v:imagedata r:id="rId7" o:title=""/>
          </v:shape>
        </w:pict>
      </w:r>
    </w:p>
    <w:p w:rsidR="00053DCB" w:rsidRDefault="00053DCB"/>
    <w:p w:rsidR="00053DCB" w:rsidRDefault="009A534E">
      <w:pPr>
        <w:rPr>
          <w:lang w:val="fr-CH"/>
        </w:rPr>
      </w:pPr>
      <w:r>
        <w:rPr>
          <w:lang w:val="fr-CH"/>
        </w:rPr>
        <w:t>h)</w:t>
      </w:r>
      <w:r>
        <w:rPr>
          <w:lang w:val="fr-CH"/>
        </w:rPr>
        <w:tab/>
        <w:t>que pour les éléments de conduit d'un conduit numérique à débit constant égal ou supérieur au débit primaire, la Recommandation UIT-T G.827 spécifie, en ce qui concerne les objectifs de disponibilité, une allocation par bloc fixe plus des allocations en fonction de la distance;</w:t>
      </w:r>
    </w:p>
    <w:p w:rsidR="00053DCB" w:rsidRDefault="009A534E">
      <w:pPr>
        <w:rPr>
          <w:lang w:val="fr-CH"/>
        </w:rPr>
      </w:pPr>
      <w:r>
        <w:rPr>
          <w:lang w:val="fr-CH"/>
        </w:rPr>
        <w:t>j)</w:t>
      </w:r>
      <w:r>
        <w:rPr>
          <w:lang w:val="fr-CH"/>
        </w:rPr>
        <w:tab/>
        <w:t>qu'il est nécessaire d'établir les objectifs de disponibilité applicables à des liaisons radioélectriques numériques réelles afin de pouvoir concevoir correctement les liaisons hertziennes fixes;</w:t>
      </w:r>
    </w:p>
    <w:p w:rsidR="00053DCB" w:rsidRDefault="009A534E">
      <w:pPr>
        <w:rPr>
          <w:lang w:val="fr-CH"/>
        </w:rPr>
      </w:pPr>
      <w:r>
        <w:rPr>
          <w:lang w:val="fr-CH"/>
        </w:rPr>
        <w:t>k)</w:t>
      </w:r>
      <w:r>
        <w:rPr>
          <w:lang w:val="fr-CH"/>
        </w:rPr>
        <w:tab/>
        <w:t>que l'indisponibilité des FWS peut notamment être due aux effets de la propagation, à des pannes d'équipement, à des interventions humaines, à des brouillages ou à d'autres facteurs;</w:t>
      </w:r>
    </w:p>
    <w:p w:rsidR="00053DCB" w:rsidRDefault="009A534E">
      <w:pPr>
        <w:rPr>
          <w:lang w:val="fr-CH"/>
        </w:rPr>
      </w:pPr>
      <w:r>
        <w:rPr>
          <w:lang w:val="fr-CH"/>
        </w:rPr>
        <w:t>l)</w:t>
      </w:r>
      <w:r>
        <w:rPr>
          <w:lang w:val="fr-CH"/>
        </w:rPr>
        <w:tab/>
        <w:t xml:space="preserve">que les objectifs de disponibilité, à savoir le taux de disponibilité (AR, </w:t>
      </w:r>
      <w:r>
        <w:rPr>
          <w:i/>
          <w:iCs/>
          <w:lang w:val="fr-CH"/>
        </w:rPr>
        <w:t>availability ratio</w:t>
      </w:r>
      <w:r>
        <w:rPr>
          <w:lang w:val="fr-CH"/>
        </w:rPr>
        <w:t xml:space="preserve">) et la durée moyenne entre interruptions (Mo, </w:t>
      </w:r>
      <w:r>
        <w:rPr>
          <w:i/>
          <w:iCs/>
          <w:lang w:val="fr-CH"/>
        </w:rPr>
        <w:t>mean time between outrage</w:t>
      </w:r>
      <w:r>
        <w:rPr>
          <w:lang w:val="fr-CH"/>
        </w:rPr>
        <w:t xml:space="preserve">) ou le paramètre inverse, la fréquence d'interruption (OI, </w:t>
      </w:r>
      <w:r>
        <w:rPr>
          <w:i/>
          <w:iCs/>
          <w:lang w:val="fr-CH"/>
        </w:rPr>
        <w:t>outage intensity</w:t>
      </w:r>
      <w:r>
        <w:rPr>
          <w:lang w:val="fr-CH"/>
        </w:rPr>
        <w:t>), sont nécessaires à des fins de conception,</w:t>
      </w:r>
    </w:p>
    <w:p w:rsidR="00053DCB" w:rsidRDefault="009A534E">
      <w:pPr>
        <w:pStyle w:val="Call"/>
        <w:rPr>
          <w:lang w:val="fr-CH"/>
        </w:rPr>
      </w:pPr>
      <w:r>
        <w:rPr>
          <w:lang w:val="fr-CH"/>
        </w:rPr>
        <w:t>recommande</w:t>
      </w:r>
    </w:p>
    <w:p w:rsidR="00053DCB" w:rsidRDefault="009A534E">
      <w:pPr>
        <w:rPr>
          <w:lang w:val="fr-CH"/>
        </w:rPr>
      </w:pPr>
      <w:r>
        <w:rPr>
          <w:b/>
          <w:bCs/>
          <w:lang w:val="fr-CH"/>
        </w:rPr>
        <w:t>1</w:t>
      </w:r>
      <w:r>
        <w:rPr>
          <w:lang w:val="fr-CH"/>
        </w:rPr>
        <w:tab/>
        <w:t>que les objectifs de disponibilité applicables à n'importe quelle liaison hertzienne numérique réelle faisant partie du tronçon international ou de la section de réseau grande distance d'un tronçon national de conduit et de connexion numérique international à débit constant soient alloués par bloc fixe et en fonction de la distance;</w:t>
      </w:r>
    </w:p>
    <w:p w:rsidR="00053DCB" w:rsidRDefault="009A534E">
      <w:pPr>
        <w:rPr>
          <w:lang w:val="fr-CH"/>
        </w:rPr>
      </w:pPr>
      <w:r>
        <w:rPr>
          <w:b/>
          <w:bCs/>
          <w:lang w:val="fr-CH"/>
        </w:rPr>
        <w:t>2</w:t>
      </w:r>
      <w:r>
        <w:rPr>
          <w:lang w:val="fr-CH"/>
        </w:rPr>
        <w:tab/>
        <w:t>que les objectifs de disponibilité applicables à n'importe quelle liaison hertzienne numérique réelle faisant partie des sections des réseaux d'accès et courte distance d'un tronçon national de conduit et de connexion numérique international à débit constant soient alloués par bloc fixe (c'est</w:t>
      </w:r>
      <w:r>
        <w:rPr>
          <w:lang w:val="fr-CH"/>
        </w:rPr>
        <w:noBreakHyphen/>
        <w:t>à</w:t>
      </w:r>
      <w:r>
        <w:rPr>
          <w:lang w:val="fr-CH"/>
        </w:rPr>
        <w:noBreakHyphen/>
        <w:t>dire indépendamment de la longueur);</w:t>
      </w:r>
    </w:p>
    <w:p w:rsidR="00053DCB" w:rsidRDefault="009A534E">
      <w:pPr>
        <w:rPr>
          <w:lang w:val="fr-CH"/>
        </w:rPr>
      </w:pPr>
      <w:r>
        <w:rPr>
          <w:b/>
          <w:bCs/>
          <w:lang w:val="fr-CH"/>
        </w:rPr>
        <w:br w:type="page"/>
      </w:r>
      <w:r>
        <w:rPr>
          <w:b/>
          <w:bCs/>
          <w:lang w:val="fr-CH"/>
        </w:rPr>
        <w:lastRenderedPageBreak/>
        <w:t>3</w:t>
      </w:r>
      <w:r>
        <w:rPr>
          <w:lang w:val="fr-CH"/>
        </w:rPr>
        <w:tab/>
        <w:t xml:space="preserve">que les objectifs de disponibilité applicables à chaque sens d'une liaison hertzienne fixe de longueur, </w:t>
      </w:r>
      <w:r>
        <w:rPr>
          <w:i/>
          <w:iCs/>
          <w:lang w:val="fr-CH"/>
        </w:rPr>
        <w:t>L</w:t>
      </w:r>
      <w:r>
        <w:rPr>
          <w:i/>
          <w:iCs/>
          <w:vertAlign w:val="subscript"/>
          <w:lang w:val="fr-CH"/>
        </w:rPr>
        <w:t>link</w:t>
      </w:r>
      <w:r>
        <w:rPr>
          <w:lang w:val="fr-CH"/>
        </w:rPr>
        <w:t>, soient calculés à partir des valeurs indiquées dans les Tableaux 1, 2, 3 et 4 au moyen des équations (1) et (2) respectivement pour les objectifs de taux AR et de Mo ou OI, l'inverse de Mo;</w:t>
      </w:r>
    </w:p>
    <w:p w:rsidR="00053DCB" w:rsidRDefault="009A534E">
      <w:pPr>
        <w:pStyle w:val="Equation"/>
        <w:spacing w:before="240"/>
        <w:rPr>
          <w:lang w:val="fr-CH"/>
        </w:rPr>
      </w:pPr>
      <w:r>
        <w:rPr>
          <w:lang w:val="fr-CH"/>
        </w:rPr>
        <w:tab/>
      </w:r>
      <w:r>
        <w:rPr>
          <w:lang w:val="fr-CH"/>
        </w:rPr>
        <w:tab/>
      </w:r>
      <w:r>
        <w:rPr>
          <w:position w:val="-32"/>
        </w:rPr>
        <w:object w:dxaOrig="2780" w:dyaOrig="760">
          <v:shape id="_x0000_i1026" type="#_x0000_t75" style="width:139pt;height:38pt" o:ole="">
            <v:imagedata r:id="rId8" o:title=""/>
          </v:shape>
          <o:OLEObject Type="Embed" ProgID="Equation.3" ShapeID="_x0000_i1026" DrawAspect="Content" ObjectID="_1478092224" r:id="rId9"/>
        </w:object>
      </w:r>
      <w:r>
        <w:rPr>
          <w:lang w:val="fr-CH"/>
        </w:rPr>
        <w:tab/>
        <w:t>(1)</w:t>
      </w:r>
    </w:p>
    <w:p w:rsidR="00053DCB" w:rsidRDefault="009A534E">
      <w:pPr>
        <w:pStyle w:val="Equation"/>
        <w:spacing w:before="0"/>
        <w:rPr>
          <w:lang w:val="fr-CH"/>
        </w:rPr>
      </w:pPr>
      <w:r>
        <w:rPr>
          <w:lang w:val="fr-CH"/>
        </w:rPr>
        <w:tab/>
      </w:r>
      <w:r>
        <w:rPr>
          <w:lang w:val="fr-CH"/>
        </w:rPr>
        <w:tab/>
      </w:r>
      <w:r>
        <w:rPr>
          <w:position w:val="-58"/>
        </w:rPr>
        <w:object w:dxaOrig="3180" w:dyaOrig="960">
          <v:shape id="_x0000_i1027" type="#_x0000_t75" style="width:159pt;height:48pt" o:ole="">
            <v:imagedata r:id="rId10" o:title=""/>
          </v:shape>
          <o:OLEObject Type="Embed" ProgID="Equation.3" ShapeID="_x0000_i1027" DrawAspect="Content" ObjectID="_1478092225" r:id="rId11"/>
        </w:object>
      </w:r>
      <w:r>
        <w:rPr>
          <w:lang w:val="fr-CH"/>
        </w:rPr>
        <w:tab/>
        <w:t>(2)</w:t>
      </w:r>
    </w:p>
    <w:p w:rsidR="00053DCB" w:rsidRDefault="009A534E">
      <w:pPr>
        <w:rPr>
          <w:lang w:val="fr-CH"/>
        </w:rPr>
      </w:pPr>
      <w:r>
        <w:rPr>
          <w:lang w:val="fr-CH"/>
        </w:rPr>
        <w:t>où:</w:t>
      </w:r>
    </w:p>
    <w:p w:rsidR="00053DCB" w:rsidRDefault="009A534E">
      <w:pPr>
        <w:rPr>
          <w:lang w:val="fr-CH"/>
        </w:rPr>
      </w:pPr>
      <w:r>
        <w:rPr>
          <w:lang w:val="fr-CH"/>
        </w:rPr>
        <w:t xml:space="preserve">la valeur de </w:t>
      </w:r>
      <w:r>
        <w:rPr>
          <w:i/>
          <w:iCs/>
          <w:lang w:val="fr-CH"/>
        </w:rPr>
        <w:t>j</w:t>
      </w:r>
      <w:r>
        <w:rPr>
          <w:lang w:val="fr-CH"/>
        </w:rPr>
        <w:t xml:space="preserve"> est:</w:t>
      </w:r>
      <w:r>
        <w:rPr>
          <w:lang w:val="fr-CH"/>
        </w:rPr>
        <w:tab/>
      </w:r>
      <w:r>
        <w:rPr>
          <w:lang w:val="fr-CH"/>
        </w:rPr>
        <w:tab/>
        <w:t>pour le tronçon international:</w:t>
      </w:r>
    </w:p>
    <w:p w:rsidR="00053DCB" w:rsidRDefault="009A534E">
      <w:pPr>
        <w:pStyle w:val="enumlev1"/>
        <w:tabs>
          <w:tab w:val="left" w:pos="2835"/>
          <w:tab w:val="left" w:pos="3686"/>
          <w:tab w:val="left" w:pos="4368"/>
          <w:tab w:val="left" w:pos="4620"/>
          <w:tab w:val="left" w:pos="5152"/>
          <w:tab w:val="left" w:pos="5390"/>
          <w:tab w:val="right" w:pos="9639"/>
        </w:tabs>
        <w:ind w:left="2160" w:hanging="2160"/>
        <w:jc w:val="left"/>
      </w:pPr>
      <w:r>
        <w:tab/>
      </w:r>
      <w:r>
        <w:tab/>
      </w:r>
      <w:r>
        <w:tab/>
      </w:r>
      <w:r>
        <w:tab/>
      </w:r>
      <w:r>
        <w:tab/>
        <w:t>1</w:t>
      </w:r>
      <w:r>
        <w:tab/>
        <w:t xml:space="preserve">pour </w:t>
      </w:r>
      <w:r>
        <w:rPr>
          <w:i/>
          <w:iCs/>
        </w:rPr>
        <w:t>L</w:t>
      </w:r>
      <w:r>
        <w:rPr>
          <w:i/>
          <w:iCs/>
          <w:position w:val="-4"/>
          <w:sz w:val="16"/>
        </w:rPr>
        <w:t>min</w:t>
      </w:r>
      <w:r>
        <w:tab/>
      </w:r>
      <w:r>
        <w:rPr>
          <w:rFonts w:ascii="Symbol" w:hAnsi="Symbol"/>
        </w:rPr>
        <w:t></w:t>
      </w:r>
      <w:r>
        <w:rPr>
          <w:rFonts w:ascii="Symbol" w:hAnsi="Symbol"/>
        </w:rPr>
        <w:t></w:t>
      </w:r>
      <w:r>
        <w:tab/>
      </w:r>
      <w:r>
        <w:rPr>
          <w:i/>
          <w:iCs/>
        </w:rPr>
        <w:t>L</w:t>
      </w:r>
      <w:r>
        <w:rPr>
          <w:i/>
          <w:iCs/>
          <w:position w:val="-4"/>
          <w:sz w:val="16"/>
        </w:rPr>
        <w:t>link</w:t>
      </w:r>
      <w:r>
        <w:tab/>
      </w:r>
      <w:r>
        <w:rPr>
          <w:rFonts w:ascii="Symbol" w:hAnsi="Symbol"/>
        </w:rPr>
        <w:t></w:t>
      </w:r>
      <w:r>
        <w:tab/>
        <w:t>250 km</w:t>
      </w:r>
      <w:r>
        <w:br/>
        <w:t>2</w:t>
      </w:r>
      <w:r>
        <w:tab/>
        <w:t>pour 250 km</w:t>
      </w:r>
      <w:r>
        <w:tab/>
      </w:r>
      <w:r>
        <w:rPr>
          <w:rFonts w:ascii="Symbol" w:hAnsi="Symbol"/>
        </w:rPr>
        <w:t></w:t>
      </w:r>
      <w:r>
        <w:tab/>
      </w:r>
      <w:r>
        <w:rPr>
          <w:i/>
          <w:iCs/>
        </w:rPr>
        <w:t>L</w:t>
      </w:r>
      <w:r>
        <w:rPr>
          <w:i/>
          <w:iCs/>
          <w:position w:val="-4"/>
          <w:sz w:val="16"/>
        </w:rPr>
        <w:t>link</w:t>
      </w:r>
      <w:r>
        <w:tab/>
      </w:r>
      <w:r>
        <w:rPr>
          <w:rFonts w:ascii="Symbol" w:hAnsi="Symbol"/>
        </w:rPr>
        <w:t></w:t>
      </w:r>
      <w:r>
        <w:rPr>
          <w:rFonts w:ascii="Symbol" w:hAnsi="Symbol"/>
        </w:rPr>
        <w:tab/>
      </w:r>
      <w:r>
        <w:t>2</w:t>
      </w:r>
      <w:r>
        <w:rPr>
          <w:rFonts w:ascii="Tms Rmn" w:hAnsi="Tms Rmn"/>
          <w:sz w:val="12"/>
        </w:rPr>
        <w:t> </w:t>
      </w:r>
      <w:r>
        <w:t>500 km</w:t>
      </w:r>
      <w:r>
        <w:br/>
        <w:t>3</w:t>
      </w:r>
      <w:r>
        <w:tab/>
        <w:t>pour 2</w:t>
      </w:r>
      <w:r>
        <w:rPr>
          <w:rFonts w:ascii="Tms Rmn" w:hAnsi="Tms Rmn"/>
          <w:sz w:val="12"/>
        </w:rPr>
        <w:t> </w:t>
      </w:r>
      <w:r>
        <w:t>500 km</w:t>
      </w:r>
      <w:r>
        <w:tab/>
      </w:r>
      <w:r>
        <w:rPr>
          <w:rFonts w:ascii="Symbol" w:hAnsi="Symbol"/>
        </w:rPr>
        <w:t></w:t>
      </w:r>
      <w:r>
        <w:tab/>
      </w:r>
      <w:r>
        <w:rPr>
          <w:i/>
          <w:iCs/>
        </w:rPr>
        <w:t>L</w:t>
      </w:r>
      <w:r>
        <w:rPr>
          <w:i/>
          <w:iCs/>
          <w:position w:val="-4"/>
          <w:sz w:val="16"/>
        </w:rPr>
        <w:t>link</w:t>
      </w:r>
      <w:r>
        <w:tab/>
      </w:r>
      <w:r>
        <w:rPr>
          <w:rFonts w:ascii="Symbol" w:hAnsi="Symbol"/>
        </w:rPr>
        <w:t></w:t>
      </w:r>
      <w:r>
        <w:rPr>
          <w:rFonts w:ascii="Symbol" w:hAnsi="Symbol"/>
        </w:rPr>
        <w:tab/>
      </w:r>
      <w:r>
        <w:t>7</w:t>
      </w:r>
      <w:r>
        <w:rPr>
          <w:rFonts w:ascii="Tms Rmn" w:hAnsi="Tms Rmn"/>
          <w:sz w:val="12"/>
        </w:rPr>
        <w:t> </w:t>
      </w:r>
      <w:r>
        <w:t>500 km</w:t>
      </w:r>
      <w:r>
        <w:br/>
        <w:t>4</w:t>
      </w:r>
      <w:r>
        <w:tab/>
        <w:t xml:space="preserve">pour </w:t>
      </w:r>
      <w:r>
        <w:tab/>
      </w:r>
      <w:r>
        <w:tab/>
      </w:r>
      <w:r>
        <w:tab/>
      </w:r>
      <w:r>
        <w:rPr>
          <w:i/>
          <w:iCs/>
        </w:rPr>
        <w:t>L</w:t>
      </w:r>
      <w:r>
        <w:rPr>
          <w:i/>
          <w:iCs/>
          <w:position w:val="-4"/>
          <w:sz w:val="16"/>
        </w:rPr>
        <w:t>link</w:t>
      </w:r>
      <w:r>
        <w:tab/>
      </w:r>
      <w:r>
        <w:rPr>
          <w:rFonts w:ascii="Symbol" w:hAnsi="Symbol"/>
        </w:rPr>
        <w:t></w:t>
      </w:r>
      <w:r>
        <w:tab/>
        <w:t>7</w:t>
      </w:r>
      <w:r>
        <w:rPr>
          <w:rFonts w:ascii="Tms Rmn" w:hAnsi="Tms Rmn"/>
          <w:sz w:val="12"/>
        </w:rPr>
        <w:t> </w:t>
      </w:r>
      <w:r>
        <w:t>500 km</w:t>
      </w:r>
    </w:p>
    <w:p w:rsidR="00053DCB" w:rsidRDefault="009A534E">
      <w:r>
        <w:tab/>
      </w:r>
      <w:r>
        <w:tab/>
      </w:r>
      <w:r>
        <w:tab/>
      </w:r>
      <w:r>
        <w:tab/>
      </w:r>
      <w:r>
        <w:tab/>
        <w:t>pour la section du tronçon national:</w:t>
      </w:r>
    </w:p>
    <w:p w:rsidR="00053DCB" w:rsidRDefault="009A534E">
      <w:pPr>
        <w:pStyle w:val="enumlev1"/>
        <w:tabs>
          <w:tab w:val="left" w:pos="2835"/>
          <w:tab w:val="left" w:pos="3686"/>
          <w:tab w:val="left" w:pos="4480"/>
          <w:tab w:val="left" w:pos="4718"/>
          <w:tab w:val="left" w:pos="5222"/>
          <w:tab w:val="left" w:pos="5460"/>
          <w:tab w:val="right" w:pos="9639"/>
        </w:tabs>
        <w:ind w:left="2160" w:hanging="2160"/>
        <w:jc w:val="left"/>
      </w:pPr>
      <w:r>
        <w:rPr>
          <w:i/>
          <w:iCs/>
        </w:rPr>
        <w:tab/>
      </w:r>
      <w:r>
        <w:rPr>
          <w:i/>
          <w:iCs/>
        </w:rPr>
        <w:tab/>
      </w:r>
      <w:r>
        <w:rPr>
          <w:i/>
          <w:iCs/>
        </w:rPr>
        <w:tab/>
      </w:r>
      <w:r>
        <w:rPr>
          <w:i/>
          <w:iCs/>
        </w:rPr>
        <w:tab/>
      </w:r>
      <w:r>
        <w:rPr>
          <w:i/>
          <w:iCs/>
        </w:rPr>
        <w:tab/>
      </w:r>
      <w:r>
        <w:t>5</w:t>
      </w:r>
      <w:r>
        <w:tab/>
        <w:t xml:space="preserve">pour le réseau d'accès </w:t>
      </w:r>
      <w:r>
        <w:br/>
        <w:t>6</w:t>
      </w:r>
      <w:r>
        <w:tab/>
        <w:t>pour le réseau courte distance</w:t>
      </w:r>
      <w:r>
        <w:br/>
        <w:t>7</w:t>
      </w:r>
      <w:r>
        <w:tab/>
        <w:t>pour le réseau grande distance</w:t>
      </w:r>
    </w:p>
    <w:p w:rsidR="00053DCB" w:rsidRDefault="009A534E">
      <w:pPr>
        <w:pStyle w:val="Equationlegend"/>
        <w:tabs>
          <w:tab w:val="clear" w:pos="1701"/>
          <w:tab w:val="clear" w:pos="1985"/>
          <w:tab w:val="right" w:pos="1800"/>
          <w:tab w:val="left" w:pos="2160"/>
        </w:tabs>
        <w:ind w:left="2160" w:hanging="2160"/>
        <w:jc w:val="left"/>
        <w:rPr>
          <w:lang w:val="fr-CH"/>
        </w:rPr>
      </w:pPr>
      <w:r w:rsidRPr="00CD3AE5">
        <w:rPr>
          <w:lang w:val="fr-CH"/>
        </w:rPr>
        <w:tab/>
      </w:r>
      <w:r>
        <w:rPr>
          <w:i/>
          <w:iCs/>
          <w:lang w:val="fr-CH"/>
        </w:rPr>
        <w:t>L</w:t>
      </w:r>
      <w:r>
        <w:rPr>
          <w:i/>
          <w:iCs/>
          <w:position w:val="-4"/>
          <w:sz w:val="16"/>
          <w:lang w:val="fr-CH"/>
        </w:rPr>
        <w:t>R</w:t>
      </w:r>
      <w:r>
        <w:rPr>
          <w:rFonts w:ascii="Tms Rmn" w:hAnsi="Tms Rmn"/>
          <w:sz w:val="6"/>
          <w:vertAlign w:val="subscript"/>
          <w:lang w:val="fr-CH"/>
        </w:rPr>
        <w:t> </w:t>
      </w:r>
      <w:r>
        <w:rPr>
          <w:rFonts w:ascii="Tms Rmn" w:hAnsi="Tms Rmn"/>
          <w:sz w:val="12"/>
          <w:lang w:val="fr-CH"/>
        </w:rPr>
        <w:t> </w:t>
      </w:r>
      <w:r>
        <w:rPr>
          <w:lang w:val="fr-CH"/>
        </w:rPr>
        <w:t>:</w:t>
      </w:r>
      <w:r>
        <w:rPr>
          <w:vertAlign w:val="subscript"/>
          <w:lang w:val="fr-CH"/>
        </w:rPr>
        <w:tab/>
      </w:r>
      <w:r>
        <w:rPr>
          <w:lang w:val="fr-CH"/>
        </w:rPr>
        <w:t>longueur de référence</w:t>
      </w:r>
    </w:p>
    <w:p w:rsidR="00053DCB" w:rsidRDefault="009A534E">
      <w:pPr>
        <w:pStyle w:val="Equationlegend"/>
        <w:tabs>
          <w:tab w:val="clear" w:pos="1701"/>
          <w:tab w:val="clear" w:pos="1985"/>
          <w:tab w:val="right" w:pos="1946"/>
        </w:tabs>
        <w:ind w:left="2160" w:hanging="2160"/>
        <w:jc w:val="left"/>
        <w:rPr>
          <w:lang w:val="fr-CH"/>
        </w:rPr>
      </w:pPr>
      <w:r>
        <w:rPr>
          <w:lang w:val="fr-CH"/>
        </w:rPr>
        <w:tab/>
      </w:r>
      <w:r>
        <w:rPr>
          <w:rFonts w:ascii="Symbol" w:hAnsi="Symbol"/>
        </w:rPr>
        <w:t></w:t>
      </w:r>
      <w:r>
        <w:rPr>
          <w:lang w:val="fr-CH"/>
        </w:rPr>
        <w:tab/>
        <w:t>2</w:t>
      </w:r>
      <w:r>
        <w:rPr>
          <w:rFonts w:ascii="Tms Rmn" w:hAnsi="Tms Rmn"/>
          <w:sz w:val="12"/>
          <w:lang w:val="fr-CH"/>
        </w:rPr>
        <w:t> </w:t>
      </w:r>
      <w:r>
        <w:rPr>
          <w:lang w:val="fr-CH"/>
        </w:rPr>
        <w:t>500 km.</w:t>
      </w:r>
    </w:p>
    <w:p w:rsidR="00053DCB" w:rsidRDefault="009A534E">
      <w:pPr>
        <w:rPr>
          <w:lang w:val="fr-CH"/>
        </w:rPr>
      </w:pPr>
      <w:r>
        <w:rPr>
          <w:lang w:val="fr-CH"/>
        </w:rPr>
        <w:t xml:space="preserve">La limite inférieure de </w:t>
      </w:r>
      <w:r>
        <w:rPr>
          <w:i/>
          <w:iCs/>
          <w:lang w:val="fr-CH"/>
        </w:rPr>
        <w:t>L</w:t>
      </w:r>
      <w:r>
        <w:rPr>
          <w:i/>
          <w:iCs/>
          <w:vertAlign w:val="subscript"/>
          <w:lang w:val="fr-CH"/>
        </w:rPr>
        <w:t>link</w:t>
      </w:r>
      <w:r>
        <w:t>,</w:t>
      </w:r>
      <w:r>
        <w:rPr>
          <w:lang w:val="fr-CH"/>
        </w:rPr>
        <w:t xml:space="preserve"> </w:t>
      </w:r>
      <w:r>
        <w:rPr>
          <w:i/>
          <w:iCs/>
          <w:lang w:val="fr-CH"/>
        </w:rPr>
        <w:t>L</w:t>
      </w:r>
      <w:r>
        <w:rPr>
          <w:i/>
          <w:iCs/>
          <w:vertAlign w:val="subscript"/>
          <w:lang w:val="fr-CH"/>
        </w:rPr>
        <w:t>min</w:t>
      </w:r>
      <w:r>
        <w:rPr>
          <w:lang w:val="fr-CH"/>
        </w:rPr>
        <w:t xml:space="preserve"> utilisée pour fixer les objectifs est égale à 50 km.</w:t>
      </w:r>
    </w:p>
    <w:p w:rsidR="00053DCB" w:rsidRDefault="009A534E">
      <w:pPr>
        <w:rPr>
          <w:lang w:val="fr-CH"/>
        </w:rPr>
      </w:pPr>
      <w:r>
        <w:rPr>
          <w:lang w:val="fr-CH"/>
        </w:rPr>
        <w:t xml:space="preserve">Les valeurs de </w:t>
      </w:r>
      <w:r>
        <w:rPr>
          <w:i/>
          <w:iCs/>
        </w:rPr>
        <w:t>B</w:t>
      </w:r>
      <w:r>
        <w:rPr>
          <w:i/>
          <w:iCs/>
          <w:vertAlign w:val="subscript"/>
        </w:rPr>
        <w:t>j</w:t>
      </w:r>
      <w:r>
        <w:t xml:space="preserve">, </w:t>
      </w:r>
      <w:r>
        <w:rPr>
          <w:i/>
          <w:iCs/>
        </w:rPr>
        <w:t>C</w:t>
      </w:r>
      <w:r>
        <w:rPr>
          <w:i/>
          <w:iCs/>
          <w:vertAlign w:val="subscript"/>
        </w:rPr>
        <w:t>j</w:t>
      </w:r>
      <w:r>
        <w:t xml:space="preserve">, </w:t>
      </w:r>
      <w:r>
        <w:rPr>
          <w:i/>
          <w:iCs/>
        </w:rPr>
        <w:t>D</w:t>
      </w:r>
      <w:r>
        <w:rPr>
          <w:i/>
          <w:iCs/>
          <w:vertAlign w:val="subscript"/>
        </w:rPr>
        <w:t>j</w:t>
      </w:r>
      <w:r>
        <w:t xml:space="preserve"> et </w:t>
      </w:r>
      <w:r>
        <w:rPr>
          <w:i/>
          <w:iCs/>
        </w:rPr>
        <w:t>E</w:t>
      </w:r>
      <w:r>
        <w:rPr>
          <w:i/>
          <w:iCs/>
          <w:vertAlign w:val="subscript"/>
        </w:rPr>
        <w:t>j</w:t>
      </w:r>
      <w:r>
        <w:t xml:space="preserve"> sont indiquées dans les Tableaux 1, 2, 3 et 4. </w:t>
      </w:r>
      <w:r>
        <w:rPr>
          <w:lang w:val="fr-CH"/>
        </w:rPr>
        <w:t>Le paramètre OI correspond au nombre annuel d'événements d'indisponibilité, de sorte que le paramètre inverse, Mo, doit être multiplié par le nombre de secondes d'une année pour représenter la durée moyenne effective en secondes entre les événements d'indisponibilité qui se sont produits pendant une année;</w:t>
      </w:r>
    </w:p>
    <w:p w:rsidR="00053DCB" w:rsidRDefault="009A534E">
      <w:pPr>
        <w:rPr>
          <w:lang w:val="fr-CH"/>
        </w:rPr>
      </w:pPr>
      <w:r>
        <w:rPr>
          <w:b/>
          <w:bCs/>
          <w:lang w:val="fr-CH"/>
        </w:rPr>
        <w:t>4</w:t>
      </w:r>
      <w:r>
        <w:rPr>
          <w:lang w:val="fr-CH"/>
        </w:rPr>
        <w:tab/>
        <w:t>que les objectifs de disponibilité soient répartis afin de tenir compte des événements d'indisponibilité dus à la propagation, à des pannes d'équipement, à des interventions humaines et à d'autres facteurs. La répartition des objectifs en fonction des différentes causes d'indisponibilité n'entre pas dans le cadre de la présente Recommandation;</w:t>
      </w:r>
    </w:p>
    <w:p w:rsidR="00053DCB" w:rsidRDefault="009A534E">
      <w:pPr>
        <w:rPr>
          <w:lang w:val="fr-CH"/>
        </w:rPr>
      </w:pPr>
      <w:r>
        <w:rPr>
          <w:b/>
          <w:bCs/>
          <w:lang w:val="fr-CH"/>
        </w:rPr>
        <w:t>5</w:t>
      </w:r>
      <w:r>
        <w:rPr>
          <w:lang w:val="fr-CH"/>
        </w:rPr>
        <w:tab/>
        <w:t>que, si la liaison est composée de plusieurs bonds, les objectifs soient applicables à l'ensemble de la liaison. L'adaptation des objectifs à chaque bond relève de la responsabilité des opérateurs de réseau (voir l'Annexe 1 pour plus d'informations);</w:t>
      </w:r>
    </w:p>
    <w:p w:rsidR="00053DCB" w:rsidRDefault="009A534E">
      <w:pPr>
        <w:rPr>
          <w:lang w:val="fr-CH"/>
        </w:rPr>
      </w:pPr>
      <w:r>
        <w:rPr>
          <w:b/>
          <w:bCs/>
          <w:lang w:val="fr-CH"/>
        </w:rPr>
        <w:t>6</w:t>
      </w:r>
      <w:r>
        <w:rPr>
          <w:b/>
          <w:bCs/>
          <w:lang w:val="fr-CH"/>
        </w:rPr>
        <w:tab/>
      </w:r>
      <w:r>
        <w:rPr>
          <w:lang w:val="fr-CH"/>
        </w:rPr>
        <w:t xml:space="preserve">que, dans tous les cas, les objectifs applicables aux liaisons hertziennes faisant partie d'un élément de conduit formant le tronçon international (par exemple, élément central de conduit entre deux pays (ICPCE, </w:t>
      </w:r>
      <w:r>
        <w:rPr>
          <w:i/>
          <w:iCs/>
        </w:rPr>
        <w:t>inter</w:t>
      </w:r>
      <w:r>
        <w:rPr>
          <w:i/>
          <w:iCs/>
        </w:rPr>
        <w:noBreakHyphen/>
        <w:t>country path core element</w:t>
      </w:r>
      <w:r>
        <w:t>)</w:t>
      </w:r>
      <w:r>
        <w:rPr>
          <w:b/>
          <w:bCs/>
          <w:lang w:val="fr-CH"/>
        </w:rPr>
        <w:t xml:space="preserve"> </w:t>
      </w:r>
      <w:r>
        <w:rPr>
          <w:lang w:val="fr-CH"/>
        </w:rPr>
        <w:t xml:space="preserve">ou élément central de conduit international (IPCE, </w:t>
      </w:r>
      <w:r>
        <w:rPr>
          <w:i/>
          <w:iCs/>
        </w:rPr>
        <w:t>international path core element</w:t>
      </w:r>
      <w:r>
        <w:t xml:space="preserve">) ne devraient pas être supérieurs aux objectifs définis dans la </w:t>
      </w:r>
      <w:r>
        <w:rPr>
          <w:lang w:val="fr-CH"/>
        </w:rPr>
        <w:t>Recommandation UIT-T G.827 (voir l'Annexe 1 pour plus d'informations);</w:t>
      </w:r>
    </w:p>
    <w:p w:rsidR="00053DCB" w:rsidRDefault="009A534E">
      <w:pPr>
        <w:rPr>
          <w:lang w:val="fr-CH"/>
        </w:rPr>
      </w:pPr>
      <w:r>
        <w:rPr>
          <w:b/>
          <w:bCs/>
          <w:lang w:val="fr-CH"/>
        </w:rPr>
        <w:t>7</w:t>
      </w:r>
      <w:r>
        <w:rPr>
          <w:lang w:val="fr-CH"/>
        </w:rPr>
        <w:tab/>
        <w:t>que, dans tous les cas, les objectifs globaux applicables à un tronçon national (c'est-à-dire obtenus par addition des objectifs associés au réseau d'accès, au réseau courte distance et au réseau grande distance) correspondant à des FWS ne devraient pas être supérieurs aux objectifs définis dans la Recommandation UIT-T G.827 en ce qui concerne l'élément de conduit national (voir la Note 5).</w:t>
      </w:r>
    </w:p>
    <w:p w:rsidR="00053DCB" w:rsidRDefault="009A534E">
      <w:r>
        <w:br w:type="page"/>
      </w:r>
      <w:r>
        <w:lastRenderedPageBreak/>
        <w:t>NOTE 1 – Le tronçon international d'un conduit numérique à débit binaire constant égal ou supérieur au débit primaire est composé d'au moins un ICPCE et/ou d'un IPCE.</w:t>
      </w:r>
    </w:p>
    <w:p w:rsidR="00053DCB" w:rsidRDefault="009A534E">
      <w:r>
        <w:t xml:space="preserve">NOTE 2 – L'élément ICPCE est l'élément de conduit (PE, </w:t>
      </w:r>
      <w:r>
        <w:rPr>
          <w:i/>
          <w:iCs/>
        </w:rPr>
        <w:t>path element</w:t>
      </w:r>
      <w:r>
        <w:t>) ayant pour support le conduit numérique d'ordre le plus élevé de part et d'autre de la frontière entre deux pays. Il constitue la liaison entre des réseaux situés dans différents pays, considérés comme des sous</w:t>
      </w:r>
      <w:r>
        <w:noBreakHyphen/>
        <w:t xml:space="preserve">réseaux. Lorsque le conduit entre deux pays d'ordre le plus élevé a pour extrémités des stations frontières (FS, </w:t>
      </w:r>
      <w:r>
        <w:rPr>
          <w:i/>
          <w:iCs/>
        </w:rPr>
        <w:t>frontier stations</w:t>
      </w:r>
      <w:r>
        <w:t>), l'élément ICPCE est limité par ces stations FS. Lorsqu'une extrémité de ce conduit n'est pas située dans une station FS, l'élément ICPCE est limité par le point d'accès à la section entre deux pays supports.</w:t>
      </w:r>
    </w:p>
    <w:p w:rsidR="00053DCB" w:rsidRDefault="009A534E">
      <w:r>
        <w:t xml:space="preserve">NOTE 3 – L'élément IPCE est le PE utilisé dans un réseau central. Les frontières de ce PE dépendent de son application. Pour un pays de transit, cet élément est limité par deux stations FS. Pour un pays terminal, cet élément est limité par une passerelle internationale (IG, </w:t>
      </w:r>
      <w:r>
        <w:rPr>
          <w:i/>
          <w:iCs/>
        </w:rPr>
        <w:t>international gateway</w:t>
      </w:r>
      <w:r>
        <w:t>) et une station FS. En particulier, cet élément devrait être délimité par un centre de commutation international (CCI) et une station FS ou par un centre international terminal (CTI), qui correspond à l'extrémité du tronçon international, et une station FS.</w:t>
      </w:r>
    </w:p>
    <w:p w:rsidR="00053DCB" w:rsidRDefault="009A534E">
      <w:r>
        <w:t>NOTE 4 – Le tronçon international d'un conduit comprend l'élément IPCE et le ICPCE, dont chaque frontière est une station FS ou un centre CTI ou encore un centre CCI, et l'élément ICPCE, qui franchit la frontière entre deux pays.</w:t>
      </w:r>
    </w:p>
    <w:p w:rsidR="00053DCB" w:rsidRDefault="009A534E">
      <w:pPr>
        <w:rPr>
          <w:lang w:val="fr-CH"/>
        </w:rPr>
      </w:pPr>
      <w:r>
        <w:rPr>
          <w:lang w:val="fr-CH"/>
        </w:rPr>
        <w:t xml:space="preserve">NOTE 5 – L'élément de conduit national (NPE, </w:t>
      </w:r>
      <w:r>
        <w:rPr>
          <w:i/>
          <w:iCs/>
          <w:lang w:val="fr-CH"/>
        </w:rPr>
        <w:t>national path element</w:t>
      </w:r>
      <w:r>
        <w:rPr>
          <w:lang w:val="fr-CH"/>
        </w:rPr>
        <w:t>) est un PE utilisé dans un pays terminal pour relier le tronçon international et le point PEP. L'élément NPE comprend le PAE et le NPCE.</w:t>
      </w:r>
    </w:p>
    <w:p w:rsidR="00053DCB" w:rsidRDefault="009A534E">
      <w:pPr>
        <w:rPr>
          <w:lang w:val="fr-CH"/>
        </w:rPr>
      </w:pPr>
      <w:r>
        <w:rPr>
          <w:lang w:val="fr-CH"/>
        </w:rPr>
        <w:t>NOTE 6 – Dans le cadre de la présente Recommandation, le tronçon national correspond à l'élément NPE.</w:t>
      </w:r>
    </w:p>
    <w:p w:rsidR="00053DCB" w:rsidRDefault="009A534E">
      <w:pPr>
        <w:rPr>
          <w:lang w:val="fr-CH"/>
        </w:rPr>
      </w:pPr>
      <w:r>
        <w:rPr>
          <w:lang w:val="fr-CH"/>
        </w:rPr>
        <w:t>NOTE 7 – Le CTI, l'élément PAE et l'élément NPCE sont définis dans la Recommandation UIT-T M.1010. (Il est à noter que le CCI et le centre CTI peuvent se trouver au même endroit.)</w:t>
      </w:r>
    </w:p>
    <w:p w:rsidR="00053DCB" w:rsidRDefault="009A534E">
      <w:pPr>
        <w:rPr>
          <w:lang w:val="fr-CH"/>
        </w:rPr>
      </w:pPr>
      <w:r>
        <w:rPr>
          <w:lang w:val="fr-CH"/>
        </w:rPr>
        <w:t>NOTE 8 – Les critères d'entrée et de sortie de l'état d'indisponibilité sont définis dans l'Annexe 1 de la Recommanda</w:t>
      </w:r>
      <w:r>
        <w:rPr>
          <w:lang w:val="fr-CH"/>
        </w:rPr>
        <w:softHyphen/>
        <w:t>tion UIT-T G.826.</w:t>
      </w:r>
    </w:p>
    <w:p w:rsidR="00053DCB" w:rsidRDefault="009A534E">
      <w:pPr>
        <w:rPr>
          <w:lang w:val="fr-CH"/>
        </w:rPr>
      </w:pPr>
      <w:r>
        <w:rPr>
          <w:lang w:val="fr-CH"/>
        </w:rPr>
        <w:t>NOTE 9 – On part de l'hypothèse que les objectifs applicables à la section accès du réseau sont indépendants de la longueur, étant donné que ces liaisons ont en général une longueur inférieure à 50 km.</w:t>
      </w:r>
    </w:p>
    <w:p w:rsidR="00053DCB" w:rsidRDefault="009A534E">
      <w:pPr>
        <w:rPr>
          <w:lang w:val="fr-CH"/>
        </w:rPr>
      </w:pPr>
      <w:r>
        <w:rPr>
          <w:lang w:val="fr-CH"/>
        </w:rPr>
        <w:t xml:space="preserve">NOTE 10 – Les objectifs applicables à la section accès et à la section courte distance sont définis pour une longueur maximale </w:t>
      </w:r>
      <w:r>
        <w:rPr>
          <w:i/>
          <w:iCs/>
          <w:lang w:val="fr-CH"/>
        </w:rPr>
        <w:t>L</w:t>
      </w:r>
      <w:r>
        <w:rPr>
          <w:i/>
          <w:iCs/>
          <w:vertAlign w:val="subscript"/>
          <w:lang w:val="fr-CH"/>
        </w:rPr>
        <w:t>max</w:t>
      </w:r>
      <w:r>
        <w:rPr>
          <w:lang w:val="fr-CH"/>
        </w:rPr>
        <w:t> </w:t>
      </w:r>
      <w:r>
        <w:rPr>
          <w:rFonts w:ascii="Symbol" w:hAnsi="Symbol"/>
          <w:lang w:val="fr-CH"/>
        </w:rPr>
        <w:t></w:t>
      </w:r>
      <w:r>
        <w:rPr>
          <w:lang w:val="fr-CH"/>
        </w:rPr>
        <w:t> 250 km.</w:t>
      </w:r>
    </w:p>
    <w:p w:rsidR="00053DCB" w:rsidRDefault="009A534E">
      <w:pPr>
        <w:rPr>
          <w:lang w:val="fr-CH"/>
        </w:rPr>
      </w:pPr>
      <w:r>
        <w:rPr>
          <w:lang w:val="fr-CH"/>
        </w:rPr>
        <w:t>NOTE 11 – Les objectifs associés à la section courte distance pour des longueurs supérieures à 2</w:t>
      </w:r>
      <w:r>
        <w:rPr>
          <w:rFonts w:ascii="Tms Rmn" w:hAnsi="Tms Rmn"/>
          <w:sz w:val="12"/>
          <w:lang w:val="fr-CH"/>
        </w:rPr>
        <w:t> </w:t>
      </w:r>
      <w:r>
        <w:rPr>
          <w:lang w:val="fr-CH"/>
        </w:rPr>
        <w:t>500 km ne sont pas applicables.</w:t>
      </w:r>
    </w:p>
    <w:p w:rsidR="00053DCB" w:rsidRDefault="009A534E">
      <w:pPr>
        <w:rPr>
          <w:lang w:val="fr-CH"/>
        </w:rPr>
      </w:pPr>
      <w:r>
        <w:rPr>
          <w:lang w:val="fr-CH"/>
        </w:rPr>
        <w:t>NOTE 12 – Les objectifs de disponibilité et les critères de répartition applicables aux connexions devraient être les mêmes que pour les conduits.</w:t>
      </w:r>
    </w:p>
    <w:p w:rsidR="00053DCB" w:rsidRDefault="009A534E">
      <w:pPr>
        <w:rPr>
          <w:lang w:val="fr-CH"/>
        </w:rPr>
      </w:pPr>
      <w:r>
        <w:rPr>
          <w:lang w:val="fr-CH"/>
        </w:rPr>
        <w:t>NOTE 13 – Les critères définissant l'entrée et la sortie de l'état d'indisponibilité sont définis au § A.1 de l'Annexe A de la Recommandation UIT</w:t>
      </w:r>
      <w:r>
        <w:rPr>
          <w:lang w:val="fr-CH"/>
        </w:rPr>
        <w:noBreakHyphen/>
        <w:t>T G.826.</w:t>
      </w:r>
    </w:p>
    <w:p w:rsidR="00053DCB" w:rsidRDefault="009A534E">
      <w:pPr>
        <w:rPr>
          <w:lang w:val="fr-CH"/>
        </w:rPr>
      </w:pPr>
      <w:r>
        <w:rPr>
          <w:lang w:val="fr-CH"/>
        </w:rPr>
        <w:t xml:space="preserve">NOTE 14 – Il est nécessaire d'entreprendre un complément d'étude pour définir le nombre d'événements dus à des anomalies constatées dans les conditions de propagation qui peuvent donner lieu à des événements d'indisponibilité passagers: de tels événements, généralement inférieurs à quatre heures (temps moyen pour réparer (MTTR, </w:t>
      </w:r>
      <w:r>
        <w:rPr>
          <w:i/>
          <w:iCs/>
          <w:lang w:val="fr-CH"/>
        </w:rPr>
        <w:t>mean time to restore</w:t>
      </w:r>
      <w:r>
        <w:rPr>
          <w:lang w:val="fr-CH"/>
        </w:rPr>
        <w:t xml:space="preserve">) </w:t>
      </w:r>
      <w:r>
        <w:rPr>
          <w:rFonts w:ascii="Symbol" w:hAnsi="Symbol"/>
          <w:lang w:val="fr-CH"/>
        </w:rPr>
        <w:t></w:t>
      </w:r>
      <w:r>
        <w:rPr>
          <w:lang w:val="fr-CH"/>
        </w:rPr>
        <w:t xml:space="preserve"> quatre heures selon les objectifs de OI définis dans la Recommandation UIT</w:t>
      </w:r>
      <w:r>
        <w:rPr>
          <w:lang w:val="fr-CH"/>
        </w:rPr>
        <w:noBreakHyphen/>
        <w:t>T G.827), ne sont pas pris en considération pour de tels objectifs dans la Recommandation UIT</w:t>
      </w:r>
      <w:r>
        <w:rPr>
          <w:lang w:val="fr-CH"/>
        </w:rPr>
        <w:noBreakHyphen/>
        <w:t>T G.827.</w:t>
      </w:r>
    </w:p>
    <w:p w:rsidR="00053DCB" w:rsidRDefault="009A534E">
      <w:pPr>
        <w:rPr>
          <w:lang w:val="fr-CH"/>
        </w:rPr>
      </w:pPr>
      <w:r>
        <w:rPr>
          <w:lang w:val="fr-CH"/>
        </w:rPr>
        <w:br w:type="page"/>
      </w:r>
      <w:r>
        <w:rPr>
          <w:lang w:val="fr-CH"/>
        </w:rPr>
        <w:lastRenderedPageBreak/>
        <w:t>NOTE 15 – Il est nécessaire d'entreprendre un complément d'étude pour déterminer si les objectifs de taux AR et de OI peuvent être améliorés et, dans l'affirmative, dans quelle mesure ils peuvent l'être.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5"/>
        <w:gridCol w:w="992"/>
        <w:gridCol w:w="995"/>
        <w:gridCol w:w="992"/>
        <w:gridCol w:w="993"/>
        <w:gridCol w:w="992"/>
        <w:gridCol w:w="993"/>
        <w:gridCol w:w="992"/>
        <w:gridCol w:w="983"/>
        <w:gridCol w:w="13"/>
      </w:tblGrid>
      <w:tr w:rsidR="00053DCB">
        <w:trPr>
          <w:gridAfter w:val="1"/>
          <w:wAfter w:w="13" w:type="dxa"/>
          <w:cantSplit/>
          <w:tblHeader/>
        </w:trPr>
        <w:tc>
          <w:tcPr>
            <w:tcW w:w="9347" w:type="dxa"/>
            <w:gridSpan w:val="9"/>
            <w:tcBorders>
              <w:top w:val="nil"/>
              <w:left w:val="nil"/>
              <w:right w:val="nil"/>
            </w:tcBorders>
          </w:tcPr>
          <w:p w:rsidR="00053DCB" w:rsidRDefault="009A534E">
            <w:pPr>
              <w:pStyle w:val="TableNo"/>
              <w:framePr w:hSpace="181" w:wrap="notBeside" w:vAnchor="text" w:hAnchor="text" w:xAlign="center" w:y="1"/>
              <w:rPr>
                <w:lang w:val="fr-CH"/>
              </w:rPr>
            </w:pPr>
            <w:r>
              <w:rPr>
                <w:lang w:val="fr-CH"/>
              </w:rPr>
              <w:t>TABLEAU  1</w:t>
            </w:r>
          </w:p>
          <w:p w:rsidR="00053DCB" w:rsidRPr="00CD3AE5" w:rsidRDefault="009A534E">
            <w:pPr>
              <w:pStyle w:val="Tabletitle"/>
              <w:rPr>
                <w:i/>
                <w:iCs/>
                <w:sz w:val="20"/>
                <w:lang w:val="fr-CH"/>
              </w:rPr>
            </w:pPr>
            <w:r>
              <w:rPr>
                <w:lang w:val="fr-CH"/>
              </w:rPr>
              <w:t xml:space="preserve">Paramètres applicables aux objectifs de taux AR pour les liaisons faisant partie </w:t>
            </w:r>
            <w:r>
              <w:rPr>
                <w:lang w:val="fr-CH"/>
              </w:rPr>
              <w:br/>
              <w:t>d'un tronçon international de conduit numérique à débit constant</w:t>
            </w:r>
          </w:p>
        </w:tc>
      </w:tr>
      <w:tr w:rsidR="00053DCB">
        <w:tc>
          <w:tcPr>
            <w:tcW w:w="1415" w:type="dxa"/>
          </w:tcPr>
          <w:p w:rsidR="00053DCB" w:rsidRDefault="009A534E">
            <w:pPr>
              <w:pStyle w:val="Tablehead"/>
              <w:framePr w:hSpace="181" w:wrap="notBeside" w:vAnchor="text" w:hAnchor="text" w:xAlign="center" w:y="1"/>
              <w:jc w:val="left"/>
              <w:rPr>
                <w:b w:val="0"/>
                <w:bCs/>
                <w:sz w:val="18"/>
              </w:rPr>
            </w:pPr>
            <w:r>
              <w:rPr>
                <w:b w:val="0"/>
                <w:bCs/>
                <w:sz w:val="18"/>
              </w:rPr>
              <w:t>Longueur (km)</w:t>
            </w:r>
          </w:p>
        </w:tc>
        <w:tc>
          <w:tcPr>
            <w:tcW w:w="1987" w:type="dxa"/>
            <w:gridSpan w:val="2"/>
            <w:vAlign w:val="center"/>
          </w:tcPr>
          <w:p w:rsidR="00053DCB" w:rsidRDefault="009A534E">
            <w:pPr>
              <w:pStyle w:val="Tablehead"/>
              <w:framePr w:hSpace="181" w:wrap="notBeside" w:vAnchor="text" w:hAnchor="text" w:xAlign="center" w:y="1"/>
              <w:rPr>
                <w:b w:val="0"/>
                <w:bCs/>
                <w:sz w:val="18"/>
                <w:lang w:val="fr-CH"/>
              </w:rPr>
            </w:pPr>
            <w:r>
              <w:rPr>
                <w:b w:val="0"/>
                <w:bCs/>
                <w:i/>
                <w:iCs/>
                <w:sz w:val="18"/>
                <w:lang w:val="fr-CH"/>
              </w:rPr>
              <w:t>L</w:t>
            </w:r>
            <w:r>
              <w:rPr>
                <w:b w:val="0"/>
                <w:bCs/>
                <w:i/>
                <w:iCs/>
                <w:sz w:val="18"/>
                <w:vertAlign w:val="subscript"/>
                <w:lang w:val="fr-CH"/>
              </w:rPr>
              <w:t>min</w:t>
            </w:r>
            <w:r>
              <w:rPr>
                <w:b w:val="0"/>
                <w:bCs/>
                <w:sz w:val="18"/>
                <w:lang w:val="fr-CH"/>
              </w:rPr>
              <w:t xml:space="preserve"> </w:t>
            </w:r>
            <w:r>
              <w:rPr>
                <w:rFonts w:ascii="Symbol" w:hAnsi="Symbol"/>
                <w:b w:val="0"/>
                <w:bCs/>
                <w:sz w:val="18"/>
              </w:rPr>
              <w:sym w:font="Symbol" w:char="F0A3"/>
            </w:r>
            <w:r>
              <w:rPr>
                <w:b w:val="0"/>
                <w:bCs/>
                <w:sz w:val="18"/>
                <w:lang w:val="fr-CH"/>
              </w:rPr>
              <w:t xml:space="preserve"> </w:t>
            </w:r>
            <w:r>
              <w:rPr>
                <w:b w:val="0"/>
                <w:bCs/>
                <w:i/>
                <w:iCs/>
                <w:sz w:val="18"/>
                <w:lang w:val="fr-CH"/>
              </w:rPr>
              <w:t>L</w:t>
            </w:r>
            <w:r>
              <w:rPr>
                <w:b w:val="0"/>
                <w:bCs/>
                <w:i/>
                <w:iCs/>
                <w:sz w:val="18"/>
                <w:vertAlign w:val="subscript"/>
                <w:lang w:val="fr-CH"/>
              </w:rPr>
              <w:t>link</w:t>
            </w:r>
            <w:r>
              <w:rPr>
                <w:b w:val="0"/>
                <w:bCs/>
                <w:sz w:val="18"/>
                <w:lang w:val="fr-CH"/>
              </w:rPr>
              <w:t xml:space="preserve"> </w:t>
            </w:r>
            <w:r>
              <w:rPr>
                <w:rFonts w:ascii="Symbol" w:hAnsi="Symbol"/>
                <w:b w:val="0"/>
                <w:bCs/>
                <w:sz w:val="18"/>
              </w:rPr>
              <w:sym w:font="Symbol" w:char="F0A3"/>
            </w:r>
            <w:r>
              <w:rPr>
                <w:b w:val="0"/>
                <w:bCs/>
                <w:sz w:val="18"/>
                <w:lang w:val="fr-CH"/>
              </w:rPr>
              <w:t xml:space="preserve"> 250</w:t>
            </w:r>
          </w:p>
        </w:tc>
        <w:tc>
          <w:tcPr>
            <w:tcW w:w="1985" w:type="dxa"/>
            <w:gridSpan w:val="2"/>
            <w:vAlign w:val="center"/>
          </w:tcPr>
          <w:p w:rsidR="00053DCB" w:rsidRDefault="009A534E">
            <w:pPr>
              <w:pStyle w:val="Tablehead"/>
              <w:framePr w:hSpace="181" w:wrap="notBeside" w:vAnchor="text" w:hAnchor="text" w:xAlign="center" w:y="1"/>
              <w:rPr>
                <w:b w:val="0"/>
                <w:bCs/>
                <w:sz w:val="18"/>
                <w:lang w:val="en-US"/>
              </w:rPr>
            </w:pPr>
            <w:r>
              <w:rPr>
                <w:b w:val="0"/>
                <w:bCs/>
                <w:sz w:val="18"/>
                <w:lang w:val="en-US"/>
              </w:rPr>
              <w:t xml:space="preserve">250 </w:t>
            </w:r>
            <w:r>
              <w:rPr>
                <w:rFonts w:ascii="Symbol" w:hAnsi="Symbol"/>
                <w:b w:val="0"/>
                <w:bCs/>
                <w:sz w:val="18"/>
              </w:rPr>
              <w:t></w:t>
            </w:r>
            <w:r>
              <w:rPr>
                <w:b w:val="0"/>
                <w:bCs/>
                <w:sz w:val="18"/>
                <w:lang w:val="en-US"/>
              </w:rPr>
              <w:t xml:space="preserve"> </w:t>
            </w:r>
            <w:r>
              <w:rPr>
                <w:b w:val="0"/>
                <w:bCs/>
                <w:i/>
                <w:iCs/>
                <w:sz w:val="18"/>
                <w:lang w:val="en-US"/>
              </w:rPr>
              <w:t>L</w:t>
            </w:r>
            <w:r>
              <w:rPr>
                <w:b w:val="0"/>
                <w:bCs/>
                <w:i/>
                <w:iCs/>
                <w:sz w:val="18"/>
                <w:vertAlign w:val="subscript"/>
                <w:lang w:val="en-US"/>
              </w:rPr>
              <w:t>link</w:t>
            </w:r>
            <w:r>
              <w:rPr>
                <w:b w:val="0"/>
                <w:bCs/>
                <w:sz w:val="18"/>
                <w:lang w:val="en-US"/>
              </w:rPr>
              <w:t xml:space="preserve"> </w:t>
            </w:r>
            <w:r>
              <w:rPr>
                <w:rFonts w:ascii="Symbol" w:hAnsi="Symbol"/>
                <w:b w:val="0"/>
                <w:bCs/>
                <w:sz w:val="18"/>
              </w:rPr>
              <w:sym w:font="Symbol" w:char="F0A3"/>
            </w:r>
            <w:r>
              <w:rPr>
                <w:b w:val="0"/>
                <w:bCs/>
                <w:sz w:val="18"/>
                <w:lang w:val="en-US"/>
              </w:rPr>
              <w:t xml:space="preserve"> 2</w:t>
            </w:r>
            <w:r>
              <w:rPr>
                <w:rFonts w:ascii="Tms Rmn" w:hAnsi="Tms Rmn"/>
                <w:b w:val="0"/>
                <w:bCs/>
                <w:sz w:val="12"/>
                <w:lang w:val="en-GB"/>
              </w:rPr>
              <w:t> </w:t>
            </w:r>
            <w:r>
              <w:rPr>
                <w:b w:val="0"/>
                <w:bCs/>
                <w:sz w:val="18"/>
                <w:lang w:val="en-US"/>
              </w:rPr>
              <w:t>500</w:t>
            </w:r>
          </w:p>
        </w:tc>
        <w:tc>
          <w:tcPr>
            <w:tcW w:w="1985" w:type="dxa"/>
            <w:gridSpan w:val="2"/>
            <w:vAlign w:val="center"/>
          </w:tcPr>
          <w:p w:rsidR="00053DCB" w:rsidRDefault="009A534E">
            <w:pPr>
              <w:pStyle w:val="Tablehead"/>
              <w:framePr w:hSpace="181" w:wrap="notBeside" w:vAnchor="text" w:hAnchor="text" w:xAlign="center" w:y="1"/>
              <w:rPr>
                <w:b w:val="0"/>
                <w:bCs/>
                <w:sz w:val="18"/>
                <w:lang w:val="en-US"/>
              </w:rPr>
            </w:pPr>
            <w:r>
              <w:rPr>
                <w:b w:val="0"/>
                <w:bCs/>
                <w:sz w:val="18"/>
                <w:lang w:val="en-US"/>
              </w:rPr>
              <w:t>2</w:t>
            </w:r>
            <w:r>
              <w:rPr>
                <w:rFonts w:ascii="Tms Rmn" w:hAnsi="Tms Rmn"/>
                <w:b w:val="0"/>
                <w:bCs/>
                <w:sz w:val="12"/>
                <w:lang w:val="en-GB"/>
              </w:rPr>
              <w:t> </w:t>
            </w:r>
            <w:r>
              <w:rPr>
                <w:b w:val="0"/>
                <w:bCs/>
                <w:sz w:val="18"/>
                <w:lang w:val="en-US"/>
              </w:rPr>
              <w:t xml:space="preserve">500 </w:t>
            </w:r>
            <w:r>
              <w:rPr>
                <w:rFonts w:ascii="Symbol" w:hAnsi="Symbol"/>
                <w:b w:val="0"/>
                <w:bCs/>
                <w:sz w:val="18"/>
              </w:rPr>
              <w:t></w:t>
            </w:r>
            <w:r>
              <w:rPr>
                <w:b w:val="0"/>
                <w:bCs/>
                <w:sz w:val="18"/>
                <w:lang w:val="en-US"/>
              </w:rPr>
              <w:t xml:space="preserve"> </w:t>
            </w:r>
            <w:r>
              <w:rPr>
                <w:b w:val="0"/>
                <w:bCs/>
                <w:i/>
                <w:iCs/>
                <w:sz w:val="18"/>
                <w:lang w:val="en-US"/>
              </w:rPr>
              <w:t>L</w:t>
            </w:r>
            <w:r>
              <w:rPr>
                <w:b w:val="0"/>
                <w:bCs/>
                <w:i/>
                <w:iCs/>
                <w:sz w:val="18"/>
                <w:vertAlign w:val="subscript"/>
                <w:lang w:val="en-US"/>
              </w:rPr>
              <w:t>link</w:t>
            </w:r>
            <w:r>
              <w:rPr>
                <w:b w:val="0"/>
                <w:bCs/>
                <w:sz w:val="18"/>
                <w:lang w:val="en-US"/>
              </w:rPr>
              <w:t xml:space="preserve"> </w:t>
            </w:r>
            <w:r>
              <w:rPr>
                <w:rFonts w:ascii="Symbol" w:hAnsi="Symbol"/>
                <w:b w:val="0"/>
                <w:bCs/>
                <w:sz w:val="18"/>
              </w:rPr>
              <w:sym w:font="Symbol" w:char="F0A3"/>
            </w:r>
            <w:r>
              <w:rPr>
                <w:b w:val="0"/>
                <w:bCs/>
                <w:sz w:val="18"/>
                <w:lang w:val="en-US"/>
              </w:rPr>
              <w:t xml:space="preserve"> 7</w:t>
            </w:r>
            <w:r>
              <w:rPr>
                <w:rFonts w:ascii="Tms Rmn" w:hAnsi="Tms Rmn"/>
                <w:b w:val="0"/>
                <w:bCs/>
                <w:sz w:val="12"/>
                <w:lang w:val="en-GB"/>
              </w:rPr>
              <w:t> </w:t>
            </w:r>
            <w:r>
              <w:rPr>
                <w:b w:val="0"/>
                <w:bCs/>
                <w:sz w:val="18"/>
                <w:lang w:val="en-US"/>
              </w:rPr>
              <w:t>500</w:t>
            </w:r>
          </w:p>
        </w:tc>
        <w:tc>
          <w:tcPr>
            <w:tcW w:w="1988" w:type="dxa"/>
            <w:gridSpan w:val="3"/>
            <w:vAlign w:val="center"/>
          </w:tcPr>
          <w:p w:rsidR="00053DCB" w:rsidRDefault="009A534E">
            <w:pPr>
              <w:pStyle w:val="Tablehead"/>
              <w:framePr w:hSpace="181" w:wrap="notBeside" w:vAnchor="text" w:hAnchor="text" w:xAlign="center" w:y="1"/>
              <w:rPr>
                <w:b w:val="0"/>
                <w:bCs/>
                <w:sz w:val="18"/>
                <w:lang w:val="en-US"/>
              </w:rPr>
            </w:pPr>
            <w:r>
              <w:rPr>
                <w:b w:val="0"/>
                <w:bCs/>
                <w:i/>
                <w:iCs/>
                <w:sz w:val="18"/>
                <w:lang w:val="en-US"/>
              </w:rPr>
              <w:t>L</w:t>
            </w:r>
            <w:r>
              <w:rPr>
                <w:b w:val="0"/>
                <w:bCs/>
                <w:i/>
                <w:iCs/>
                <w:sz w:val="18"/>
                <w:vertAlign w:val="subscript"/>
                <w:lang w:val="en-US"/>
              </w:rPr>
              <w:t>link</w:t>
            </w:r>
            <w:r>
              <w:rPr>
                <w:b w:val="0"/>
                <w:bCs/>
                <w:sz w:val="18"/>
                <w:lang w:val="en-US"/>
              </w:rPr>
              <w:t xml:space="preserve"> </w:t>
            </w:r>
            <w:r>
              <w:rPr>
                <w:rFonts w:ascii="Symbol" w:hAnsi="Symbol"/>
                <w:b w:val="0"/>
                <w:bCs/>
                <w:sz w:val="18"/>
              </w:rPr>
              <w:t></w:t>
            </w:r>
            <w:r>
              <w:rPr>
                <w:b w:val="0"/>
                <w:bCs/>
                <w:sz w:val="18"/>
                <w:lang w:val="en-US"/>
              </w:rPr>
              <w:t xml:space="preserve"> 7</w:t>
            </w:r>
            <w:r>
              <w:rPr>
                <w:rFonts w:ascii="Tms Rmn" w:hAnsi="Tms Rmn"/>
                <w:b w:val="0"/>
                <w:bCs/>
                <w:sz w:val="12"/>
                <w:lang w:val="en-GB"/>
              </w:rPr>
              <w:t> </w:t>
            </w:r>
            <w:r>
              <w:rPr>
                <w:b w:val="0"/>
                <w:bCs/>
                <w:sz w:val="18"/>
                <w:lang w:val="en-US"/>
              </w:rPr>
              <w:t>500</w:t>
            </w:r>
          </w:p>
        </w:tc>
      </w:tr>
      <w:tr w:rsidR="00053DCB">
        <w:tc>
          <w:tcPr>
            <w:tcW w:w="1415" w:type="dxa"/>
          </w:tcPr>
          <w:p w:rsidR="00053DCB" w:rsidRDefault="00053DCB">
            <w:pPr>
              <w:pStyle w:val="Tabletext"/>
              <w:framePr w:hSpace="181" w:wrap="notBeside" w:vAnchor="text" w:hAnchor="text" w:xAlign="center" w:y="1"/>
              <w:jc w:val="left"/>
              <w:rPr>
                <w:sz w:val="18"/>
                <w:lang w:val="en-US"/>
              </w:rPr>
            </w:pPr>
          </w:p>
        </w:tc>
        <w:tc>
          <w:tcPr>
            <w:tcW w:w="992" w:type="dxa"/>
          </w:tcPr>
          <w:p w:rsidR="00053DCB" w:rsidRDefault="009A534E">
            <w:pPr>
              <w:pStyle w:val="Tabletext"/>
              <w:framePr w:hSpace="181" w:wrap="notBeside" w:vAnchor="text" w:hAnchor="text" w:xAlign="center" w:y="1"/>
              <w:jc w:val="center"/>
              <w:rPr>
                <w:sz w:val="18"/>
                <w:lang w:val="en-GB"/>
              </w:rPr>
            </w:pPr>
            <w:r>
              <w:rPr>
                <w:i/>
                <w:iCs/>
                <w:sz w:val="18"/>
                <w:lang w:val="en-GB"/>
              </w:rPr>
              <w:t>B</w:t>
            </w:r>
            <w:r>
              <w:rPr>
                <w:sz w:val="18"/>
                <w:vertAlign w:val="subscript"/>
                <w:lang w:val="en-GB"/>
              </w:rPr>
              <w:t>1</w:t>
            </w:r>
          </w:p>
        </w:tc>
        <w:tc>
          <w:tcPr>
            <w:tcW w:w="995" w:type="dxa"/>
          </w:tcPr>
          <w:p w:rsidR="00053DCB" w:rsidRDefault="009A534E">
            <w:pPr>
              <w:pStyle w:val="Tabletext"/>
              <w:framePr w:hSpace="181" w:wrap="notBeside" w:vAnchor="text" w:hAnchor="text" w:xAlign="center" w:y="1"/>
              <w:jc w:val="center"/>
              <w:rPr>
                <w:sz w:val="18"/>
                <w:lang w:val="en-GB"/>
              </w:rPr>
            </w:pPr>
            <w:r>
              <w:rPr>
                <w:i/>
                <w:iCs/>
                <w:sz w:val="18"/>
                <w:lang w:val="en-GB"/>
              </w:rPr>
              <w:t>C</w:t>
            </w:r>
            <w:r>
              <w:rPr>
                <w:sz w:val="18"/>
                <w:vertAlign w:val="subscript"/>
                <w:lang w:val="en-GB"/>
              </w:rPr>
              <w:t>1</w:t>
            </w:r>
          </w:p>
        </w:tc>
        <w:tc>
          <w:tcPr>
            <w:tcW w:w="992" w:type="dxa"/>
          </w:tcPr>
          <w:p w:rsidR="00053DCB" w:rsidRDefault="009A534E">
            <w:pPr>
              <w:pStyle w:val="Tabletext"/>
              <w:framePr w:hSpace="181" w:wrap="notBeside" w:vAnchor="text" w:hAnchor="text" w:xAlign="center" w:y="1"/>
              <w:jc w:val="center"/>
              <w:rPr>
                <w:sz w:val="18"/>
                <w:lang w:val="en-GB"/>
              </w:rPr>
            </w:pPr>
            <w:r>
              <w:rPr>
                <w:i/>
                <w:iCs/>
                <w:sz w:val="18"/>
                <w:lang w:val="en-GB"/>
              </w:rPr>
              <w:t>B</w:t>
            </w:r>
            <w:r>
              <w:rPr>
                <w:sz w:val="18"/>
                <w:vertAlign w:val="subscript"/>
                <w:lang w:val="en-GB"/>
              </w:rPr>
              <w:t>2</w:t>
            </w:r>
          </w:p>
        </w:tc>
        <w:tc>
          <w:tcPr>
            <w:tcW w:w="993" w:type="dxa"/>
          </w:tcPr>
          <w:p w:rsidR="00053DCB" w:rsidRDefault="009A534E">
            <w:pPr>
              <w:pStyle w:val="Tabletext"/>
              <w:framePr w:hSpace="181" w:wrap="notBeside" w:vAnchor="text" w:hAnchor="text" w:xAlign="center" w:y="1"/>
              <w:jc w:val="center"/>
              <w:rPr>
                <w:sz w:val="18"/>
                <w:lang w:val="en-GB"/>
              </w:rPr>
            </w:pPr>
            <w:r>
              <w:rPr>
                <w:i/>
                <w:iCs/>
                <w:sz w:val="18"/>
                <w:lang w:val="en-GB"/>
              </w:rPr>
              <w:t>C</w:t>
            </w:r>
            <w:r>
              <w:rPr>
                <w:sz w:val="18"/>
                <w:vertAlign w:val="subscript"/>
                <w:lang w:val="en-GB"/>
              </w:rPr>
              <w:t>2</w:t>
            </w:r>
          </w:p>
        </w:tc>
        <w:tc>
          <w:tcPr>
            <w:tcW w:w="992" w:type="dxa"/>
          </w:tcPr>
          <w:p w:rsidR="00053DCB" w:rsidRDefault="009A534E">
            <w:pPr>
              <w:pStyle w:val="Tabletext"/>
              <w:framePr w:hSpace="181" w:wrap="notBeside" w:vAnchor="text" w:hAnchor="text" w:xAlign="center" w:y="1"/>
              <w:jc w:val="center"/>
              <w:rPr>
                <w:sz w:val="18"/>
                <w:lang w:val="en-GB"/>
              </w:rPr>
            </w:pPr>
            <w:r>
              <w:rPr>
                <w:i/>
                <w:iCs/>
                <w:sz w:val="18"/>
                <w:lang w:val="en-GB"/>
              </w:rPr>
              <w:t>B</w:t>
            </w:r>
            <w:r>
              <w:rPr>
                <w:sz w:val="18"/>
                <w:vertAlign w:val="subscript"/>
                <w:lang w:val="en-GB"/>
              </w:rPr>
              <w:t>3</w:t>
            </w:r>
          </w:p>
        </w:tc>
        <w:tc>
          <w:tcPr>
            <w:tcW w:w="993" w:type="dxa"/>
          </w:tcPr>
          <w:p w:rsidR="00053DCB" w:rsidRDefault="009A534E">
            <w:pPr>
              <w:pStyle w:val="Tabletext"/>
              <w:framePr w:hSpace="181" w:wrap="notBeside" w:vAnchor="text" w:hAnchor="text" w:xAlign="center" w:y="1"/>
              <w:jc w:val="center"/>
              <w:rPr>
                <w:sz w:val="18"/>
                <w:lang w:val="en-GB"/>
              </w:rPr>
            </w:pPr>
            <w:r>
              <w:rPr>
                <w:i/>
                <w:iCs/>
                <w:sz w:val="18"/>
                <w:lang w:val="en-GB"/>
              </w:rPr>
              <w:t>C</w:t>
            </w:r>
            <w:r>
              <w:rPr>
                <w:sz w:val="18"/>
                <w:vertAlign w:val="subscript"/>
                <w:lang w:val="en-GB"/>
              </w:rPr>
              <w:t>3</w:t>
            </w:r>
          </w:p>
        </w:tc>
        <w:tc>
          <w:tcPr>
            <w:tcW w:w="992" w:type="dxa"/>
          </w:tcPr>
          <w:p w:rsidR="00053DCB" w:rsidRDefault="009A534E">
            <w:pPr>
              <w:pStyle w:val="Tabletext"/>
              <w:framePr w:hSpace="181" w:wrap="notBeside" w:vAnchor="text" w:hAnchor="text" w:xAlign="center" w:y="1"/>
              <w:jc w:val="center"/>
              <w:rPr>
                <w:sz w:val="18"/>
                <w:lang w:val="fr-CH"/>
              </w:rPr>
            </w:pPr>
            <w:r>
              <w:rPr>
                <w:i/>
                <w:iCs/>
                <w:sz w:val="18"/>
                <w:lang w:val="en-GB"/>
              </w:rPr>
              <w:t>B</w:t>
            </w:r>
            <w:r>
              <w:rPr>
                <w:sz w:val="18"/>
                <w:vertAlign w:val="subscript"/>
                <w:lang w:val="en-GB"/>
              </w:rPr>
              <w:t>4</w:t>
            </w:r>
          </w:p>
        </w:tc>
        <w:tc>
          <w:tcPr>
            <w:tcW w:w="992" w:type="dxa"/>
            <w:gridSpan w:val="2"/>
          </w:tcPr>
          <w:p w:rsidR="00053DCB" w:rsidRDefault="009A534E">
            <w:pPr>
              <w:pStyle w:val="Tabletext"/>
              <w:framePr w:hSpace="181" w:wrap="notBeside" w:vAnchor="text" w:hAnchor="text" w:xAlign="center" w:y="1"/>
              <w:jc w:val="center"/>
              <w:rPr>
                <w:sz w:val="18"/>
                <w:lang w:val="fr-CH"/>
              </w:rPr>
            </w:pPr>
            <w:r>
              <w:rPr>
                <w:i/>
                <w:iCs/>
                <w:sz w:val="18"/>
                <w:lang w:val="en-GB"/>
              </w:rPr>
              <w:t>C</w:t>
            </w:r>
            <w:r>
              <w:rPr>
                <w:sz w:val="18"/>
                <w:vertAlign w:val="subscript"/>
                <w:lang w:val="en-GB"/>
              </w:rPr>
              <w:t>4</w:t>
            </w:r>
          </w:p>
        </w:tc>
      </w:tr>
      <w:tr w:rsidR="00053DCB">
        <w:tc>
          <w:tcPr>
            <w:tcW w:w="1415" w:type="dxa"/>
          </w:tcPr>
          <w:p w:rsidR="00053DCB" w:rsidRDefault="009A534E">
            <w:pPr>
              <w:pStyle w:val="Tabletext"/>
              <w:framePr w:hSpace="181" w:wrap="notBeside" w:vAnchor="text" w:hAnchor="text" w:xAlign="center" w:y="1"/>
              <w:jc w:val="left"/>
              <w:rPr>
                <w:sz w:val="18"/>
              </w:rPr>
            </w:pPr>
            <w:r>
              <w:rPr>
                <w:sz w:val="18"/>
              </w:rPr>
              <w:t>Tronçon international</w:t>
            </w:r>
          </w:p>
        </w:tc>
        <w:tc>
          <w:tcPr>
            <w:tcW w:w="992" w:type="dxa"/>
          </w:tcPr>
          <w:p w:rsidR="00053DCB" w:rsidRDefault="009A534E">
            <w:pPr>
              <w:pStyle w:val="Tabletext"/>
              <w:framePr w:hSpace="181" w:wrap="notBeside" w:vAnchor="text" w:hAnchor="text" w:xAlign="center" w:y="1"/>
              <w:jc w:val="center"/>
              <w:rPr>
                <w:sz w:val="18"/>
              </w:rPr>
            </w:pPr>
            <w:r>
              <w:rPr>
                <w:sz w:val="18"/>
              </w:rPr>
              <w:t xml:space="preserve">1,9 </w:t>
            </w:r>
            <w:r>
              <w:rPr>
                <w:rFonts w:ascii="Symbol" w:hAnsi="Symbol"/>
                <w:sz w:val="18"/>
              </w:rPr>
              <w:t></w:t>
            </w:r>
            <w:r>
              <w:rPr>
                <w:sz w:val="18"/>
              </w:rPr>
              <w:t xml:space="preserve"> 10</w:t>
            </w:r>
            <w:r>
              <w:rPr>
                <w:sz w:val="18"/>
                <w:vertAlign w:val="superscript"/>
              </w:rPr>
              <w:t>–3</w:t>
            </w:r>
          </w:p>
        </w:tc>
        <w:tc>
          <w:tcPr>
            <w:tcW w:w="995" w:type="dxa"/>
          </w:tcPr>
          <w:p w:rsidR="00053DCB" w:rsidRDefault="009A534E">
            <w:pPr>
              <w:pStyle w:val="Tabletext"/>
              <w:framePr w:hSpace="181" w:wrap="notBeside" w:vAnchor="text" w:hAnchor="text" w:xAlign="center" w:y="1"/>
              <w:jc w:val="center"/>
              <w:rPr>
                <w:sz w:val="18"/>
              </w:rPr>
            </w:pPr>
            <w:r>
              <w:rPr>
                <w:sz w:val="18"/>
              </w:rPr>
              <w:t xml:space="preserve">1,1 </w:t>
            </w:r>
            <w:r>
              <w:rPr>
                <w:rFonts w:ascii="Symbol" w:hAnsi="Symbol"/>
                <w:sz w:val="18"/>
              </w:rPr>
              <w:t></w:t>
            </w:r>
            <w:r>
              <w:rPr>
                <w:sz w:val="18"/>
              </w:rPr>
              <w:t xml:space="preserve"> 10</w:t>
            </w:r>
            <w:r>
              <w:rPr>
                <w:sz w:val="18"/>
                <w:vertAlign w:val="superscript"/>
              </w:rPr>
              <w:t>–4</w:t>
            </w:r>
          </w:p>
        </w:tc>
        <w:tc>
          <w:tcPr>
            <w:tcW w:w="992" w:type="dxa"/>
          </w:tcPr>
          <w:p w:rsidR="00053DCB" w:rsidRDefault="009A534E">
            <w:pPr>
              <w:pStyle w:val="Tabletext"/>
              <w:framePr w:hSpace="181" w:wrap="notBeside" w:vAnchor="text" w:hAnchor="text" w:xAlign="center" w:y="1"/>
              <w:jc w:val="center"/>
              <w:rPr>
                <w:sz w:val="18"/>
              </w:rPr>
            </w:pPr>
            <w:r>
              <w:rPr>
                <w:sz w:val="18"/>
              </w:rPr>
              <w:t xml:space="preserve">3 </w:t>
            </w:r>
            <w:r>
              <w:rPr>
                <w:rFonts w:ascii="Symbol" w:hAnsi="Symbol"/>
                <w:sz w:val="18"/>
              </w:rPr>
              <w:t></w:t>
            </w:r>
            <w:r>
              <w:rPr>
                <w:sz w:val="18"/>
              </w:rPr>
              <w:t xml:space="preserve"> 10</w:t>
            </w:r>
            <w:r>
              <w:rPr>
                <w:sz w:val="18"/>
                <w:vertAlign w:val="superscript"/>
              </w:rPr>
              <w:t>–3</w:t>
            </w:r>
          </w:p>
        </w:tc>
        <w:tc>
          <w:tcPr>
            <w:tcW w:w="993" w:type="dxa"/>
          </w:tcPr>
          <w:p w:rsidR="00053DCB" w:rsidRDefault="009A534E">
            <w:pPr>
              <w:pStyle w:val="Tabletext"/>
              <w:framePr w:hSpace="181" w:wrap="notBeside" w:vAnchor="text" w:hAnchor="text" w:xAlign="center" w:y="1"/>
              <w:jc w:val="center"/>
              <w:rPr>
                <w:sz w:val="18"/>
              </w:rPr>
            </w:pPr>
            <w:r>
              <w:rPr>
                <w:sz w:val="18"/>
              </w:rPr>
              <w:t>0</w:t>
            </w:r>
          </w:p>
        </w:tc>
        <w:tc>
          <w:tcPr>
            <w:tcW w:w="992" w:type="dxa"/>
          </w:tcPr>
          <w:p w:rsidR="00053DCB" w:rsidRDefault="009A534E">
            <w:pPr>
              <w:pStyle w:val="Tabletext"/>
              <w:framePr w:hSpace="181" w:wrap="notBeside" w:vAnchor="text" w:hAnchor="text" w:xAlign="center" w:y="1"/>
              <w:jc w:val="center"/>
              <w:rPr>
                <w:sz w:val="18"/>
              </w:rPr>
            </w:pPr>
            <w:r>
              <w:rPr>
                <w:sz w:val="18"/>
              </w:rPr>
              <w:t xml:space="preserve">3 </w:t>
            </w:r>
            <w:r>
              <w:rPr>
                <w:rFonts w:ascii="Symbol" w:hAnsi="Symbol"/>
                <w:sz w:val="18"/>
              </w:rPr>
              <w:t></w:t>
            </w:r>
            <w:r>
              <w:rPr>
                <w:sz w:val="18"/>
              </w:rPr>
              <w:t xml:space="preserve"> 10</w:t>
            </w:r>
            <w:r>
              <w:rPr>
                <w:sz w:val="18"/>
                <w:vertAlign w:val="superscript"/>
              </w:rPr>
              <w:t>–3</w:t>
            </w:r>
          </w:p>
        </w:tc>
        <w:tc>
          <w:tcPr>
            <w:tcW w:w="993" w:type="dxa"/>
          </w:tcPr>
          <w:p w:rsidR="00053DCB" w:rsidRDefault="009A534E">
            <w:pPr>
              <w:pStyle w:val="Tabletext"/>
              <w:framePr w:hSpace="181" w:wrap="notBeside" w:vAnchor="text" w:hAnchor="text" w:xAlign="center" w:y="1"/>
              <w:jc w:val="center"/>
              <w:rPr>
                <w:sz w:val="18"/>
              </w:rPr>
            </w:pPr>
            <w:r>
              <w:rPr>
                <w:sz w:val="18"/>
              </w:rPr>
              <w:t>0</w:t>
            </w:r>
          </w:p>
        </w:tc>
        <w:tc>
          <w:tcPr>
            <w:tcW w:w="992" w:type="dxa"/>
          </w:tcPr>
          <w:p w:rsidR="00053DCB" w:rsidRDefault="009A534E">
            <w:pPr>
              <w:pStyle w:val="Tabletext"/>
              <w:framePr w:hSpace="181" w:wrap="notBeside" w:vAnchor="text" w:hAnchor="text" w:xAlign="center" w:y="1"/>
              <w:jc w:val="center"/>
              <w:rPr>
                <w:sz w:val="18"/>
              </w:rPr>
            </w:pPr>
            <w:r>
              <w:rPr>
                <w:sz w:val="18"/>
              </w:rPr>
              <w:t xml:space="preserve">3 </w:t>
            </w:r>
            <w:r>
              <w:rPr>
                <w:rFonts w:ascii="Symbol" w:hAnsi="Symbol"/>
                <w:sz w:val="18"/>
              </w:rPr>
              <w:t></w:t>
            </w:r>
            <w:r>
              <w:rPr>
                <w:sz w:val="18"/>
              </w:rPr>
              <w:t xml:space="preserve"> 10</w:t>
            </w:r>
            <w:r>
              <w:rPr>
                <w:sz w:val="18"/>
                <w:vertAlign w:val="superscript"/>
              </w:rPr>
              <w:t>–3</w:t>
            </w:r>
          </w:p>
        </w:tc>
        <w:tc>
          <w:tcPr>
            <w:tcW w:w="992" w:type="dxa"/>
            <w:gridSpan w:val="2"/>
          </w:tcPr>
          <w:p w:rsidR="00053DCB" w:rsidRDefault="009A534E">
            <w:pPr>
              <w:pStyle w:val="Tabletext"/>
              <w:framePr w:hSpace="181" w:wrap="notBeside" w:vAnchor="text" w:hAnchor="text" w:xAlign="center" w:y="1"/>
              <w:jc w:val="center"/>
              <w:rPr>
                <w:sz w:val="18"/>
              </w:rPr>
            </w:pPr>
            <w:r>
              <w:rPr>
                <w:sz w:val="18"/>
              </w:rPr>
              <w:t>0</w:t>
            </w:r>
          </w:p>
        </w:tc>
      </w:tr>
    </w:tbl>
    <w:p w:rsidR="00053DCB" w:rsidRDefault="00053DCB">
      <w:pPr>
        <w:pStyle w:val="Tablefin"/>
      </w:pPr>
    </w:p>
    <w:tbl>
      <w:tblPr>
        <w:tblW w:w="9889" w:type="dxa"/>
        <w:tblBorders>
          <w:left w:val="single" w:sz="4" w:space="0" w:color="auto"/>
        </w:tblBorders>
        <w:tblLook w:val="0000" w:firstRow="0" w:lastRow="0" w:firstColumn="0" w:lastColumn="0" w:noHBand="0" w:noVBand="0"/>
      </w:tblPr>
      <w:tblGrid>
        <w:gridCol w:w="439"/>
        <w:gridCol w:w="945"/>
        <w:gridCol w:w="439"/>
        <w:gridCol w:w="979"/>
        <w:gridCol w:w="3548"/>
        <w:gridCol w:w="3539"/>
      </w:tblGrid>
      <w:tr w:rsidR="00053DCB">
        <w:trPr>
          <w:cantSplit/>
          <w:trHeight w:val="435"/>
          <w:tblHeader/>
        </w:trPr>
        <w:tc>
          <w:tcPr>
            <w:tcW w:w="9889" w:type="dxa"/>
            <w:gridSpan w:val="6"/>
            <w:tcBorders>
              <w:top w:val="nil"/>
              <w:left w:val="nil"/>
              <w:bottom w:val="single" w:sz="4" w:space="0" w:color="auto"/>
              <w:right w:val="nil"/>
            </w:tcBorders>
            <w:vAlign w:val="center"/>
          </w:tcPr>
          <w:p w:rsidR="00053DCB" w:rsidRDefault="009A534E">
            <w:pPr>
              <w:pStyle w:val="TableNo"/>
              <w:framePr w:hSpace="181" w:wrap="notBeside" w:vAnchor="text" w:hAnchor="text" w:xAlign="center" w:y="1"/>
              <w:rPr>
                <w:lang w:val="fr-CH"/>
              </w:rPr>
            </w:pPr>
            <w:r>
              <w:rPr>
                <w:lang w:val="fr-CH"/>
              </w:rPr>
              <w:t>TABLEAU  2</w:t>
            </w:r>
          </w:p>
          <w:p w:rsidR="00053DCB" w:rsidRDefault="009A534E">
            <w:pPr>
              <w:pStyle w:val="Tabletitle"/>
              <w:framePr w:hSpace="181" w:wrap="notBeside" w:vAnchor="text" w:hAnchor="text" w:xAlign="center" w:y="1"/>
              <w:rPr>
                <w:sz w:val="20"/>
              </w:rPr>
            </w:pPr>
            <w:r>
              <w:rPr>
                <w:lang w:val="fr-CH"/>
              </w:rPr>
              <w:t xml:space="preserve">Paramètres applicables aux objectifs de taux AR pour les liaisons faisant partie </w:t>
            </w:r>
            <w:r>
              <w:rPr>
                <w:lang w:val="fr-CH"/>
              </w:rPr>
              <w:br/>
              <w:t>d'un tronçon national d'élément de conduit numérique à débit constant</w:t>
            </w:r>
          </w:p>
        </w:tc>
      </w:tr>
      <w:tr w:rsidR="00053DCB">
        <w:trPr>
          <w:trHeight w:val="435"/>
          <w:tblHeader/>
        </w:trPr>
        <w:tc>
          <w:tcPr>
            <w:tcW w:w="1384" w:type="dxa"/>
            <w:gridSpan w:val="2"/>
            <w:tcBorders>
              <w:top w:val="single" w:sz="4" w:space="0" w:color="auto"/>
              <w:left w:val="single" w:sz="4" w:space="0" w:color="auto"/>
              <w:bottom w:val="single" w:sz="4" w:space="0" w:color="auto"/>
              <w:right w:val="single" w:sz="4" w:space="0" w:color="auto"/>
            </w:tcBorders>
            <w:vAlign w:val="center"/>
          </w:tcPr>
          <w:p w:rsidR="00053DCB" w:rsidRDefault="009A534E">
            <w:pPr>
              <w:pStyle w:val="Tablehead"/>
              <w:framePr w:hSpace="181" w:wrap="notBeside" w:vAnchor="text" w:hAnchor="text" w:xAlign="center" w:y="1"/>
              <w:rPr>
                <w:i/>
                <w:iCs/>
                <w:sz w:val="18"/>
              </w:rPr>
            </w:pPr>
            <w:r>
              <w:rPr>
                <w:sz w:val="18"/>
              </w:rPr>
              <w:t>Section accès</w:t>
            </w:r>
          </w:p>
        </w:tc>
        <w:tc>
          <w:tcPr>
            <w:tcW w:w="1418" w:type="dxa"/>
            <w:gridSpan w:val="2"/>
            <w:tcBorders>
              <w:top w:val="single" w:sz="4" w:space="0" w:color="auto"/>
              <w:left w:val="nil"/>
              <w:bottom w:val="single" w:sz="4" w:space="0" w:color="auto"/>
              <w:right w:val="single" w:sz="4" w:space="0" w:color="auto"/>
            </w:tcBorders>
          </w:tcPr>
          <w:p w:rsidR="00053DCB" w:rsidRDefault="009A534E">
            <w:pPr>
              <w:pStyle w:val="Tablehead"/>
              <w:framePr w:hSpace="181" w:wrap="notBeside" w:vAnchor="text" w:hAnchor="text" w:xAlign="center" w:y="1"/>
              <w:rPr>
                <w:i/>
                <w:iCs/>
                <w:sz w:val="18"/>
              </w:rPr>
            </w:pPr>
            <w:r>
              <w:rPr>
                <w:sz w:val="18"/>
              </w:rPr>
              <w:t>Section courte distance</w:t>
            </w:r>
          </w:p>
        </w:tc>
        <w:tc>
          <w:tcPr>
            <w:tcW w:w="7087" w:type="dxa"/>
            <w:gridSpan w:val="2"/>
            <w:tcBorders>
              <w:top w:val="single" w:sz="4" w:space="0" w:color="auto"/>
              <w:left w:val="nil"/>
              <w:bottom w:val="single" w:sz="4" w:space="0" w:color="auto"/>
              <w:right w:val="single" w:sz="4" w:space="0" w:color="auto"/>
            </w:tcBorders>
            <w:vAlign w:val="center"/>
          </w:tcPr>
          <w:p w:rsidR="00053DCB" w:rsidRDefault="009A534E">
            <w:pPr>
              <w:pStyle w:val="Tablehead"/>
              <w:framePr w:hSpace="181" w:wrap="notBeside" w:vAnchor="text" w:hAnchor="text" w:xAlign="center" w:y="1"/>
              <w:rPr>
                <w:i/>
                <w:iCs/>
                <w:sz w:val="18"/>
              </w:rPr>
            </w:pPr>
            <w:r>
              <w:rPr>
                <w:sz w:val="18"/>
              </w:rPr>
              <w:t>Section grande distance</w:t>
            </w:r>
          </w:p>
        </w:tc>
      </w:tr>
      <w:tr w:rsidR="00053DCB">
        <w:trPr>
          <w:trHeight w:val="435"/>
        </w:trPr>
        <w:tc>
          <w:tcPr>
            <w:tcW w:w="439" w:type="dxa"/>
            <w:tcBorders>
              <w:top w:val="nil"/>
              <w:left w:val="single" w:sz="4" w:space="0" w:color="auto"/>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B</w:t>
            </w:r>
            <w:r>
              <w:rPr>
                <w:sz w:val="18"/>
                <w:vertAlign w:val="subscript"/>
                <w:lang w:val="en-US"/>
              </w:rPr>
              <w:t>5</w:t>
            </w:r>
          </w:p>
        </w:tc>
        <w:tc>
          <w:tcPr>
            <w:tcW w:w="945" w:type="dxa"/>
            <w:tcBorders>
              <w:top w:val="nil"/>
              <w:left w:val="single" w:sz="4" w:space="0" w:color="auto"/>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C</w:t>
            </w:r>
            <w:r>
              <w:rPr>
                <w:sz w:val="18"/>
                <w:vertAlign w:val="subscript"/>
                <w:lang w:val="en-US"/>
              </w:rPr>
              <w:t>5</w:t>
            </w:r>
          </w:p>
        </w:tc>
        <w:tc>
          <w:tcPr>
            <w:tcW w:w="439" w:type="dxa"/>
            <w:tcBorders>
              <w:top w:val="nil"/>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B</w:t>
            </w:r>
            <w:r>
              <w:rPr>
                <w:sz w:val="18"/>
                <w:vertAlign w:val="subscript"/>
                <w:lang w:val="en-US"/>
              </w:rPr>
              <w:t>6</w:t>
            </w:r>
          </w:p>
        </w:tc>
        <w:tc>
          <w:tcPr>
            <w:tcW w:w="979" w:type="dxa"/>
            <w:tcBorders>
              <w:top w:val="nil"/>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C</w:t>
            </w:r>
            <w:r>
              <w:rPr>
                <w:sz w:val="18"/>
                <w:vertAlign w:val="subscript"/>
                <w:lang w:val="en-US"/>
              </w:rPr>
              <w:t>6</w:t>
            </w:r>
          </w:p>
        </w:tc>
        <w:tc>
          <w:tcPr>
            <w:tcW w:w="3548" w:type="dxa"/>
            <w:tcBorders>
              <w:top w:val="nil"/>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B</w:t>
            </w:r>
            <w:r>
              <w:rPr>
                <w:sz w:val="18"/>
                <w:vertAlign w:val="subscript"/>
                <w:lang w:val="en-US"/>
              </w:rPr>
              <w:t>7</w:t>
            </w:r>
          </w:p>
        </w:tc>
        <w:tc>
          <w:tcPr>
            <w:tcW w:w="3539" w:type="dxa"/>
            <w:tcBorders>
              <w:top w:val="nil"/>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C</w:t>
            </w:r>
            <w:r>
              <w:rPr>
                <w:sz w:val="18"/>
                <w:vertAlign w:val="subscript"/>
                <w:lang w:val="en-US"/>
              </w:rPr>
              <w:t>7</w:t>
            </w:r>
          </w:p>
        </w:tc>
      </w:tr>
      <w:tr w:rsidR="00053DCB" w:rsidRPr="00CD3AE5">
        <w:trPr>
          <w:trHeight w:val="20"/>
        </w:trPr>
        <w:tc>
          <w:tcPr>
            <w:tcW w:w="439" w:type="dxa"/>
            <w:tcBorders>
              <w:top w:val="single" w:sz="4" w:space="0" w:color="auto"/>
              <w:left w:val="single" w:sz="4" w:space="0" w:color="auto"/>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sz w:val="18"/>
                <w:lang w:val="en-US"/>
              </w:rPr>
              <w:t>0</w:t>
            </w:r>
          </w:p>
        </w:tc>
        <w:tc>
          <w:tcPr>
            <w:tcW w:w="945" w:type="dxa"/>
            <w:tcBorders>
              <w:top w:val="single" w:sz="4" w:space="0" w:color="auto"/>
              <w:left w:val="single" w:sz="4" w:space="0" w:color="auto"/>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sz w:val="18"/>
                <w:lang w:val="en-US"/>
              </w:rPr>
              <w:t xml:space="preserve">5 </w:t>
            </w:r>
            <w:r>
              <w:rPr>
                <w:rFonts w:ascii="Symbol" w:hAnsi="Symbol"/>
                <w:sz w:val="18"/>
              </w:rPr>
              <w:t></w:t>
            </w:r>
            <w:r>
              <w:rPr>
                <w:sz w:val="18"/>
                <w:lang w:val="en-US"/>
              </w:rPr>
              <w:t xml:space="preserve"> 10</w:t>
            </w:r>
            <w:r>
              <w:rPr>
                <w:sz w:val="18"/>
                <w:vertAlign w:val="superscript"/>
                <w:lang w:val="en-US"/>
              </w:rPr>
              <w:t>–4</w:t>
            </w:r>
          </w:p>
        </w:tc>
        <w:tc>
          <w:tcPr>
            <w:tcW w:w="439" w:type="dxa"/>
            <w:tcBorders>
              <w:top w:val="single" w:sz="4" w:space="0" w:color="auto"/>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sz w:val="18"/>
                <w:lang w:val="en-US"/>
              </w:rPr>
              <w:t>0</w:t>
            </w:r>
          </w:p>
        </w:tc>
        <w:tc>
          <w:tcPr>
            <w:tcW w:w="979" w:type="dxa"/>
            <w:tcBorders>
              <w:top w:val="single" w:sz="4" w:space="0" w:color="auto"/>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sz w:val="18"/>
                <w:lang w:val="en-US"/>
              </w:rPr>
              <w:t xml:space="preserve">4 </w:t>
            </w:r>
            <w:r>
              <w:rPr>
                <w:rFonts w:ascii="Symbol" w:hAnsi="Symbol"/>
                <w:sz w:val="18"/>
              </w:rPr>
              <w:t></w:t>
            </w:r>
            <w:r>
              <w:rPr>
                <w:sz w:val="18"/>
                <w:lang w:val="en-US"/>
              </w:rPr>
              <w:t xml:space="preserve"> 10</w:t>
            </w:r>
            <w:r>
              <w:rPr>
                <w:sz w:val="18"/>
                <w:vertAlign w:val="superscript"/>
                <w:lang w:val="en-US"/>
              </w:rPr>
              <w:t>–4</w:t>
            </w:r>
          </w:p>
        </w:tc>
        <w:tc>
          <w:tcPr>
            <w:tcW w:w="3548" w:type="dxa"/>
            <w:tcBorders>
              <w:top w:val="single" w:sz="4" w:space="0" w:color="auto"/>
              <w:left w:val="nil"/>
              <w:bottom w:val="single" w:sz="4" w:space="0" w:color="auto"/>
              <w:right w:val="single" w:sz="4" w:space="0" w:color="auto"/>
            </w:tcBorders>
            <w:tcMar>
              <w:left w:w="85" w:type="dxa"/>
              <w:right w:w="85" w:type="dxa"/>
            </w:tcMar>
          </w:tcPr>
          <w:p w:rsidR="00053DCB" w:rsidRDefault="009A534E">
            <w:pPr>
              <w:pStyle w:val="Tabletext"/>
              <w:framePr w:hSpace="181" w:wrap="notBeside" w:vAnchor="text" w:hAnchor="text" w:xAlign="center" w:y="1"/>
              <w:tabs>
                <w:tab w:val="clear" w:pos="284"/>
              </w:tabs>
              <w:ind w:left="33"/>
              <w:jc w:val="left"/>
              <w:rPr>
                <w:sz w:val="18"/>
                <w:lang w:val="en-US"/>
              </w:rPr>
            </w:pPr>
            <w:r>
              <w:rPr>
                <w:sz w:val="18"/>
                <w:lang w:val="en-US"/>
              </w:rPr>
              <w:t>3 </w:t>
            </w:r>
            <w:r>
              <w:rPr>
                <w:rFonts w:ascii="Symbol" w:hAnsi="Symbol"/>
                <w:sz w:val="18"/>
              </w:rPr>
              <w:t></w:t>
            </w:r>
            <w:r>
              <w:rPr>
                <w:sz w:val="18"/>
                <w:lang w:val="en-US"/>
              </w:rPr>
              <w:t> 10</w:t>
            </w:r>
            <w:r>
              <w:rPr>
                <w:sz w:val="18"/>
                <w:vertAlign w:val="superscript"/>
                <w:lang w:val="en-US"/>
              </w:rPr>
              <w:t>–3</w:t>
            </w:r>
            <w:r>
              <w:rPr>
                <w:position w:val="6"/>
                <w:sz w:val="18"/>
                <w:lang w:val="en-US"/>
              </w:rPr>
              <w:tab/>
            </w:r>
            <w:r>
              <w:rPr>
                <w:sz w:val="18"/>
                <w:lang w:val="en-US"/>
              </w:rPr>
              <w:t xml:space="preserve">pour 250 km </w:t>
            </w:r>
            <w:r>
              <w:rPr>
                <w:rFonts w:ascii="Symbol" w:hAnsi="Symbol"/>
                <w:sz w:val="18"/>
              </w:rPr>
              <w:sym w:font="Symbol" w:char="00A3"/>
            </w:r>
            <w:r>
              <w:rPr>
                <w:sz w:val="18"/>
                <w:lang w:val="en-US"/>
              </w:rPr>
              <w:t xml:space="preserve"> </w:t>
            </w:r>
            <w:r>
              <w:rPr>
                <w:i/>
                <w:iCs/>
                <w:sz w:val="18"/>
                <w:lang w:val="en-US"/>
              </w:rPr>
              <w:t>L</w:t>
            </w:r>
            <w:r>
              <w:rPr>
                <w:i/>
                <w:iCs/>
                <w:sz w:val="18"/>
                <w:vertAlign w:val="subscript"/>
                <w:lang w:val="en-US"/>
              </w:rPr>
              <w:t>link</w:t>
            </w:r>
            <w:r>
              <w:rPr>
                <w:sz w:val="18"/>
                <w:lang w:val="en-US"/>
              </w:rPr>
              <w:t xml:space="preserve"> </w:t>
            </w:r>
            <w:r>
              <w:rPr>
                <w:rFonts w:ascii="Symbol" w:hAnsi="Symbol"/>
                <w:sz w:val="18"/>
              </w:rPr>
              <w:t></w:t>
            </w:r>
            <w:r>
              <w:rPr>
                <w:sz w:val="18"/>
                <w:lang w:val="en-US"/>
              </w:rPr>
              <w:t xml:space="preserve"> 2</w:t>
            </w:r>
            <w:r>
              <w:rPr>
                <w:rFonts w:ascii="Tms Rmn" w:hAnsi="Tms Rmn"/>
                <w:sz w:val="12"/>
                <w:lang w:val="en-US"/>
              </w:rPr>
              <w:t> </w:t>
            </w:r>
            <w:r>
              <w:rPr>
                <w:sz w:val="18"/>
                <w:lang w:val="en-US"/>
              </w:rPr>
              <w:t>500 km</w:t>
            </w:r>
          </w:p>
          <w:p w:rsidR="00053DCB" w:rsidRPr="00CD3AE5" w:rsidRDefault="009A534E">
            <w:pPr>
              <w:pStyle w:val="Tabletext"/>
              <w:framePr w:hSpace="181" w:wrap="notBeside" w:vAnchor="text" w:hAnchor="text" w:xAlign="center" w:y="1"/>
              <w:tabs>
                <w:tab w:val="clear" w:pos="284"/>
              </w:tabs>
              <w:ind w:left="33"/>
              <w:jc w:val="left"/>
              <w:rPr>
                <w:sz w:val="18"/>
                <w:lang w:val="en-US"/>
              </w:rPr>
            </w:pPr>
            <w:r w:rsidRPr="00CD3AE5">
              <w:rPr>
                <w:sz w:val="18"/>
                <w:lang w:val="en-US"/>
              </w:rPr>
              <w:t>1,9 </w:t>
            </w:r>
            <w:r>
              <w:rPr>
                <w:rFonts w:ascii="Symbol" w:hAnsi="Symbol"/>
                <w:sz w:val="18"/>
              </w:rPr>
              <w:t></w:t>
            </w:r>
            <w:r w:rsidRPr="00CD3AE5">
              <w:rPr>
                <w:sz w:val="18"/>
                <w:lang w:val="en-US"/>
              </w:rPr>
              <w:t> 10</w:t>
            </w:r>
            <w:r w:rsidRPr="00CD3AE5">
              <w:rPr>
                <w:sz w:val="18"/>
                <w:vertAlign w:val="superscript"/>
                <w:lang w:val="en-US"/>
              </w:rPr>
              <w:t>–3</w:t>
            </w:r>
            <w:r w:rsidRPr="00CD3AE5">
              <w:rPr>
                <w:sz w:val="18"/>
                <w:lang w:val="en-US"/>
              </w:rPr>
              <w:tab/>
              <w:t xml:space="preserve">pour </w:t>
            </w:r>
            <w:r w:rsidRPr="00CD3AE5">
              <w:rPr>
                <w:i/>
                <w:iCs/>
                <w:sz w:val="18"/>
                <w:lang w:val="en-US"/>
              </w:rPr>
              <w:t>L</w:t>
            </w:r>
            <w:r w:rsidRPr="00CD3AE5">
              <w:rPr>
                <w:i/>
                <w:iCs/>
                <w:sz w:val="18"/>
                <w:vertAlign w:val="subscript"/>
                <w:lang w:val="en-US"/>
              </w:rPr>
              <w:t>min</w:t>
            </w:r>
            <w:r w:rsidRPr="00CD3AE5">
              <w:rPr>
                <w:sz w:val="18"/>
                <w:lang w:val="en-US"/>
              </w:rPr>
              <w:t xml:space="preserve"> </w:t>
            </w:r>
            <w:r>
              <w:rPr>
                <w:rFonts w:ascii="Symbol" w:hAnsi="Symbol"/>
                <w:sz w:val="18"/>
              </w:rPr>
              <w:sym w:font="Symbol" w:char="00A3"/>
            </w:r>
            <w:r w:rsidRPr="00CD3AE5">
              <w:rPr>
                <w:sz w:val="18"/>
                <w:lang w:val="en-US"/>
              </w:rPr>
              <w:t xml:space="preserve"> </w:t>
            </w:r>
            <w:r w:rsidRPr="00CD3AE5">
              <w:rPr>
                <w:i/>
                <w:iCs/>
                <w:sz w:val="18"/>
                <w:lang w:val="en-US"/>
              </w:rPr>
              <w:t>L</w:t>
            </w:r>
            <w:r w:rsidRPr="00CD3AE5">
              <w:rPr>
                <w:i/>
                <w:iCs/>
                <w:sz w:val="18"/>
                <w:vertAlign w:val="subscript"/>
                <w:lang w:val="en-US"/>
              </w:rPr>
              <w:t>link</w:t>
            </w:r>
            <w:r w:rsidRPr="00CD3AE5">
              <w:rPr>
                <w:sz w:val="18"/>
                <w:lang w:val="en-US"/>
              </w:rPr>
              <w:t xml:space="preserve"> </w:t>
            </w:r>
            <w:r>
              <w:rPr>
                <w:rFonts w:ascii="Symbol" w:hAnsi="Symbol"/>
                <w:sz w:val="18"/>
              </w:rPr>
              <w:t></w:t>
            </w:r>
            <w:r w:rsidRPr="00CD3AE5">
              <w:rPr>
                <w:sz w:val="18"/>
                <w:lang w:val="en-US"/>
              </w:rPr>
              <w:t xml:space="preserve"> 250 km</w:t>
            </w:r>
          </w:p>
        </w:tc>
        <w:tc>
          <w:tcPr>
            <w:tcW w:w="3539" w:type="dxa"/>
            <w:tcBorders>
              <w:top w:val="single" w:sz="4" w:space="0" w:color="auto"/>
              <w:left w:val="nil"/>
              <w:bottom w:val="single" w:sz="4" w:space="0" w:color="auto"/>
              <w:right w:val="single" w:sz="4" w:space="0" w:color="auto"/>
            </w:tcBorders>
          </w:tcPr>
          <w:p w:rsidR="00053DCB" w:rsidRDefault="009A534E">
            <w:pPr>
              <w:pStyle w:val="Tabletext"/>
              <w:framePr w:hSpace="181" w:wrap="notBeside" w:vAnchor="text" w:hAnchor="text" w:xAlign="center" w:y="1"/>
              <w:jc w:val="left"/>
              <w:rPr>
                <w:sz w:val="18"/>
                <w:lang w:val="en-US"/>
              </w:rPr>
            </w:pPr>
            <w:r>
              <w:rPr>
                <w:sz w:val="18"/>
                <w:lang w:val="en-US"/>
              </w:rPr>
              <w:t>0</w:t>
            </w:r>
            <w:r>
              <w:rPr>
                <w:sz w:val="18"/>
                <w:lang w:val="en-US"/>
              </w:rPr>
              <w:tab/>
            </w:r>
            <w:r>
              <w:rPr>
                <w:sz w:val="18"/>
                <w:lang w:val="en-US"/>
              </w:rPr>
              <w:tab/>
            </w:r>
            <w:r>
              <w:rPr>
                <w:sz w:val="18"/>
                <w:lang w:val="en-US"/>
              </w:rPr>
              <w:tab/>
              <w:t xml:space="preserve">pour 250 km </w:t>
            </w:r>
            <w:r>
              <w:rPr>
                <w:rFonts w:ascii="Symbol" w:hAnsi="Symbol"/>
                <w:sz w:val="18"/>
              </w:rPr>
              <w:sym w:font="Symbol" w:char="00A3"/>
            </w:r>
            <w:r>
              <w:rPr>
                <w:sz w:val="18"/>
                <w:lang w:val="en-US"/>
              </w:rPr>
              <w:t xml:space="preserve"> </w:t>
            </w:r>
            <w:r>
              <w:rPr>
                <w:i/>
                <w:iCs/>
                <w:sz w:val="18"/>
                <w:lang w:val="en-US"/>
              </w:rPr>
              <w:t>L</w:t>
            </w:r>
            <w:r>
              <w:rPr>
                <w:i/>
                <w:iCs/>
                <w:sz w:val="18"/>
                <w:vertAlign w:val="subscript"/>
                <w:lang w:val="en-US"/>
              </w:rPr>
              <w:t>link</w:t>
            </w:r>
            <w:r>
              <w:rPr>
                <w:sz w:val="18"/>
                <w:lang w:val="en-US"/>
              </w:rPr>
              <w:t xml:space="preserve"> </w:t>
            </w:r>
            <w:r>
              <w:rPr>
                <w:rFonts w:ascii="Symbol" w:hAnsi="Symbol"/>
                <w:sz w:val="18"/>
              </w:rPr>
              <w:t></w:t>
            </w:r>
            <w:r>
              <w:rPr>
                <w:sz w:val="18"/>
                <w:lang w:val="en-US"/>
              </w:rPr>
              <w:t xml:space="preserve"> 2</w:t>
            </w:r>
            <w:r>
              <w:rPr>
                <w:rFonts w:ascii="Tms Rmn" w:hAnsi="Tms Rmn"/>
                <w:sz w:val="12"/>
                <w:lang w:val="en-US"/>
              </w:rPr>
              <w:t> </w:t>
            </w:r>
            <w:r>
              <w:rPr>
                <w:sz w:val="18"/>
                <w:lang w:val="en-US"/>
              </w:rPr>
              <w:t>500 km</w:t>
            </w:r>
          </w:p>
          <w:p w:rsidR="00053DCB" w:rsidRDefault="009A534E">
            <w:pPr>
              <w:pStyle w:val="Tabletext"/>
              <w:framePr w:hSpace="181" w:wrap="notBeside" w:vAnchor="text" w:hAnchor="text" w:xAlign="center" w:y="1"/>
              <w:tabs>
                <w:tab w:val="clear" w:pos="1134"/>
                <w:tab w:val="left" w:pos="1021"/>
              </w:tabs>
              <w:jc w:val="left"/>
              <w:rPr>
                <w:sz w:val="18"/>
                <w:lang w:val="en-US"/>
              </w:rPr>
            </w:pPr>
            <w:r>
              <w:rPr>
                <w:sz w:val="18"/>
                <w:lang w:val="en-US"/>
              </w:rPr>
              <w:t xml:space="preserve">1,1 </w:t>
            </w:r>
            <w:r>
              <w:rPr>
                <w:rFonts w:ascii="Symbol" w:hAnsi="Symbol"/>
                <w:sz w:val="18"/>
              </w:rPr>
              <w:t></w:t>
            </w:r>
            <w:r>
              <w:rPr>
                <w:sz w:val="18"/>
                <w:lang w:val="en-US"/>
              </w:rPr>
              <w:t xml:space="preserve"> 10</w:t>
            </w:r>
            <w:r>
              <w:rPr>
                <w:position w:val="6"/>
                <w:sz w:val="18"/>
                <w:lang w:val="en-US"/>
              </w:rPr>
              <w:t>–4</w:t>
            </w:r>
            <w:r>
              <w:rPr>
                <w:sz w:val="18"/>
                <w:lang w:val="en-US"/>
              </w:rPr>
              <w:tab/>
              <w:t xml:space="preserve">pour </w:t>
            </w:r>
            <w:r>
              <w:rPr>
                <w:i/>
                <w:iCs/>
                <w:sz w:val="18"/>
                <w:lang w:val="en-US"/>
              </w:rPr>
              <w:t>L</w:t>
            </w:r>
            <w:r>
              <w:rPr>
                <w:i/>
                <w:iCs/>
                <w:sz w:val="18"/>
                <w:vertAlign w:val="subscript"/>
                <w:lang w:val="en-US"/>
              </w:rPr>
              <w:t>min</w:t>
            </w:r>
            <w:r>
              <w:rPr>
                <w:sz w:val="18"/>
                <w:lang w:val="en-US"/>
              </w:rPr>
              <w:t> </w:t>
            </w:r>
            <w:r>
              <w:rPr>
                <w:sz w:val="18"/>
              </w:rPr>
              <w:sym w:font="Symbol" w:char="00A3"/>
            </w:r>
            <w:r>
              <w:rPr>
                <w:sz w:val="18"/>
                <w:lang w:val="en-US"/>
              </w:rPr>
              <w:t> </w:t>
            </w:r>
            <w:r>
              <w:rPr>
                <w:i/>
                <w:iCs/>
                <w:sz w:val="18"/>
                <w:lang w:val="en-US"/>
              </w:rPr>
              <w:t>L</w:t>
            </w:r>
            <w:r>
              <w:rPr>
                <w:i/>
                <w:iCs/>
                <w:sz w:val="18"/>
                <w:vertAlign w:val="subscript"/>
                <w:lang w:val="en-US"/>
              </w:rPr>
              <w:t>link</w:t>
            </w:r>
            <w:r>
              <w:rPr>
                <w:sz w:val="18"/>
                <w:lang w:val="en-US"/>
              </w:rPr>
              <w:t> </w:t>
            </w:r>
            <w:r>
              <w:rPr>
                <w:rFonts w:ascii="Symbol" w:hAnsi="Symbol"/>
                <w:sz w:val="18"/>
              </w:rPr>
              <w:t></w:t>
            </w:r>
            <w:r>
              <w:rPr>
                <w:sz w:val="18"/>
                <w:lang w:val="en-US"/>
              </w:rPr>
              <w:t> 250 km</w:t>
            </w:r>
          </w:p>
        </w:tc>
      </w:tr>
    </w:tbl>
    <w:p w:rsidR="00053DCB" w:rsidRDefault="00053DCB">
      <w:pPr>
        <w:pStyle w:val="Tablefin"/>
        <w:spacing w:befor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5"/>
        <w:gridCol w:w="992"/>
        <w:gridCol w:w="995"/>
        <w:gridCol w:w="992"/>
        <w:gridCol w:w="993"/>
        <w:gridCol w:w="992"/>
        <w:gridCol w:w="993"/>
        <w:gridCol w:w="992"/>
        <w:gridCol w:w="996"/>
      </w:tblGrid>
      <w:tr w:rsidR="00053DCB">
        <w:trPr>
          <w:cantSplit/>
        </w:trPr>
        <w:tc>
          <w:tcPr>
            <w:tcW w:w="9358" w:type="dxa"/>
            <w:gridSpan w:val="9"/>
            <w:tcBorders>
              <w:top w:val="nil"/>
              <w:left w:val="nil"/>
              <w:right w:val="nil"/>
            </w:tcBorders>
          </w:tcPr>
          <w:p w:rsidR="00053DCB" w:rsidRDefault="009A534E">
            <w:pPr>
              <w:pStyle w:val="TableNo"/>
              <w:framePr w:hSpace="181" w:wrap="notBeside" w:vAnchor="text" w:hAnchor="text" w:xAlign="center" w:y="1"/>
              <w:rPr>
                <w:lang w:val="fr-CH"/>
              </w:rPr>
            </w:pPr>
            <w:r>
              <w:rPr>
                <w:lang w:val="fr-CH"/>
              </w:rPr>
              <w:t>TABLEAU  3</w:t>
            </w:r>
          </w:p>
          <w:p w:rsidR="00053DCB" w:rsidRPr="00CD3AE5" w:rsidRDefault="009A534E">
            <w:pPr>
              <w:pStyle w:val="Tabletitle"/>
              <w:framePr w:hSpace="181" w:wrap="notBeside" w:vAnchor="text" w:hAnchor="text" w:xAlign="center" w:y="1"/>
              <w:rPr>
                <w:i/>
                <w:iCs/>
                <w:sz w:val="20"/>
                <w:lang w:val="fr-CH"/>
              </w:rPr>
            </w:pPr>
            <w:r>
              <w:rPr>
                <w:lang w:val="fr-CH"/>
              </w:rPr>
              <w:t xml:space="preserve">Paramètres applicables aux objectifs de OI pour les liaisons faisant partie </w:t>
            </w:r>
            <w:r>
              <w:rPr>
                <w:lang w:val="fr-CH"/>
              </w:rPr>
              <w:br/>
              <w:t>d'un tronçon international de conduit numérique à débit constant</w:t>
            </w:r>
          </w:p>
        </w:tc>
      </w:tr>
      <w:tr w:rsidR="00053DCB">
        <w:tc>
          <w:tcPr>
            <w:tcW w:w="1415" w:type="dxa"/>
          </w:tcPr>
          <w:p w:rsidR="00053DCB" w:rsidRDefault="009A534E">
            <w:pPr>
              <w:pStyle w:val="Tablehead"/>
              <w:framePr w:hSpace="181" w:wrap="notBeside" w:vAnchor="text" w:hAnchor="text" w:xAlign="center" w:y="1"/>
              <w:jc w:val="left"/>
              <w:rPr>
                <w:b w:val="0"/>
                <w:bCs/>
                <w:sz w:val="18"/>
              </w:rPr>
            </w:pPr>
            <w:r>
              <w:rPr>
                <w:b w:val="0"/>
                <w:bCs/>
                <w:sz w:val="18"/>
              </w:rPr>
              <w:t>Longueur (km)</w:t>
            </w:r>
          </w:p>
        </w:tc>
        <w:tc>
          <w:tcPr>
            <w:tcW w:w="1987" w:type="dxa"/>
            <w:gridSpan w:val="2"/>
            <w:vAlign w:val="center"/>
          </w:tcPr>
          <w:p w:rsidR="00053DCB" w:rsidRDefault="009A534E">
            <w:pPr>
              <w:pStyle w:val="Tablehead"/>
              <w:framePr w:hSpace="181" w:wrap="notBeside" w:vAnchor="text" w:hAnchor="text" w:xAlign="center" w:y="1"/>
              <w:rPr>
                <w:b w:val="0"/>
                <w:bCs/>
                <w:sz w:val="18"/>
                <w:lang w:val="en-US"/>
              </w:rPr>
            </w:pPr>
            <w:r>
              <w:rPr>
                <w:b w:val="0"/>
                <w:bCs/>
                <w:i/>
                <w:iCs/>
                <w:sz w:val="18"/>
                <w:lang w:val="en-US"/>
              </w:rPr>
              <w:t>L</w:t>
            </w:r>
            <w:r>
              <w:rPr>
                <w:b w:val="0"/>
                <w:bCs/>
                <w:i/>
                <w:iCs/>
                <w:sz w:val="18"/>
                <w:vertAlign w:val="subscript"/>
                <w:lang w:val="en-US"/>
              </w:rPr>
              <w:t>min</w:t>
            </w:r>
            <w:r>
              <w:rPr>
                <w:b w:val="0"/>
                <w:bCs/>
                <w:sz w:val="18"/>
                <w:lang w:val="en-US"/>
              </w:rPr>
              <w:t xml:space="preserve"> </w:t>
            </w:r>
            <w:r>
              <w:rPr>
                <w:rFonts w:ascii="Symbol" w:hAnsi="Symbol"/>
                <w:b w:val="0"/>
                <w:bCs/>
                <w:sz w:val="18"/>
              </w:rPr>
              <w:sym w:font="Symbol" w:char="F0A3"/>
            </w:r>
            <w:r>
              <w:rPr>
                <w:b w:val="0"/>
                <w:bCs/>
                <w:sz w:val="18"/>
                <w:lang w:val="en-US"/>
              </w:rPr>
              <w:t xml:space="preserve"> </w:t>
            </w:r>
            <w:r>
              <w:rPr>
                <w:b w:val="0"/>
                <w:bCs/>
                <w:i/>
                <w:iCs/>
                <w:sz w:val="18"/>
                <w:lang w:val="en-US"/>
              </w:rPr>
              <w:t>L</w:t>
            </w:r>
            <w:r>
              <w:rPr>
                <w:b w:val="0"/>
                <w:bCs/>
                <w:i/>
                <w:iCs/>
                <w:sz w:val="18"/>
                <w:vertAlign w:val="subscript"/>
                <w:lang w:val="en-US"/>
              </w:rPr>
              <w:t>link</w:t>
            </w:r>
            <w:r>
              <w:rPr>
                <w:b w:val="0"/>
                <w:bCs/>
                <w:sz w:val="18"/>
                <w:lang w:val="en-US"/>
              </w:rPr>
              <w:t xml:space="preserve"> </w:t>
            </w:r>
            <w:r>
              <w:rPr>
                <w:rFonts w:ascii="Symbol" w:hAnsi="Symbol"/>
                <w:b w:val="0"/>
                <w:bCs/>
                <w:sz w:val="18"/>
              </w:rPr>
              <w:sym w:font="Symbol" w:char="F0A3"/>
            </w:r>
            <w:r>
              <w:rPr>
                <w:b w:val="0"/>
                <w:bCs/>
                <w:sz w:val="18"/>
                <w:lang w:val="en-US"/>
              </w:rPr>
              <w:t xml:space="preserve"> 250</w:t>
            </w:r>
          </w:p>
        </w:tc>
        <w:tc>
          <w:tcPr>
            <w:tcW w:w="1983" w:type="dxa"/>
            <w:gridSpan w:val="2"/>
            <w:vAlign w:val="center"/>
          </w:tcPr>
          <w:p w:rsidR="00053DCB" w:rsidRDefault="009A534E">
            <w:pPr>
              <w:pStyle w:val="Tablehead"/>
              <w:framePr w:hSpace="181" w:wrap="notBeside" w:vAnchor="text" w:hAnchor="text" w:xAlign="center" w:y="1"/>
              <w:rPr>
                <w:b w:val="0"/>
                <w:bCs/>
                <w:sz w:val="18"/>
                <w:lang w:val="en-US"/>
              </w:rPr>
            </w:pPr>
            <w:r>
              <w:rPr>
                <w:b w:val="0"/>
                <w:bCs/>
                <w:sz w:val="18"/>
                <w:lang w:val="en-US"/>
              </w:rPr>
              <w:t xml:space="preserve">250 </w:t>
            </w:r>
            <w:r>
              <w:rPr>
                <w:rFonts w:ascii="Symbol" w:hAnsi="Symbol"/>
                <w:b w:val="0"/>
                <w:bCs/>
                <w:sz w:val="18"/>
              </w:rPr>
              <w:t></w:t>
            </w:r>
            <w:r>
              <w:rPr>
                <w:b w:val="0"/>
                <w:bCs/>
                <w:sz w:val="18"/>
                <w:lang w:val="en-US"/>
              </w:rPr>
              <w:t xml:space="preserve"> </w:t>
            </w:r>
            <w:r>
              <w:rPr>
                <w:b w:val="0"/>
                <w:bCs/>
                <w:i/>
                <w:iCs/>
                <w:sz w:val="18"/>
                <w:lang w:val="en-US"/>
              </w:rPr>
              <w:t>L</w:t>
            </w:r>
            <w:r>
              <w:rPr>
                <w:b w:val="0"/>
                <w:bCs/>
                <w:i/>
                <w:iCs/>
                <w:sz w:val="18"/>
                <w:vertAlign w:val="subscript"/>
                <w:lang w:val="en-US"/>
              </w:rPr>
              <w:t>link</w:t>
            </w:r>
            <w:r>
              <w:rPr>
                <w:b w:val="0"/>
                <w:bCs/>
                <w:sz w:val="18"/>
                <w:lang w:val="en-US"/>
              </w:rPr>
              <w:t xml:space="preserve"> </w:t>
            </w:r>
            <w:r>
              <w:rPr>
                <w:rFonts w:ascii="Symbol" w:hAnsi="Symbol"/>
                <w:b w:val="0"/>
                <w:bCs/>
                <w:sz w:val="18"/>
              </w:rPr>
              <w:sym w:font="Symbol" w:char="F0A3"/>
            </w:r>
            <w:r>
              <w:rPr>
                <w:b w:val="0"/>
                <w:bCs/>
                <w:sz w:val="18"/>
                <w:lang w:val="en-US"/>
              </w:rPr>
              <w:t xml:space="preserve"> 2</w:t>
            </w:r>
            <w:r>
              <w:rPr>
                <w:rFonts w:ascii="Tms Rmn" w:hAnsi="Tms Rmn"/>
                <w:b w:val="0"/>
                <w:bCs/>
                <w:sz w:val="12"/>
                <w:lang w:val="en-GB"/>
              </w:rPr>
              <w:t> </w:t>
            </w:r>
            <w:r>
              <w:rPr>
                <w:b w:val="0"/>
                <w:bCs/>
                <w:sz w:val="18"/>
                <w:lang w:val="en-US"/>
              </w:rPr>
              <w:t>500</w:t>
            </w:r>
          </w:p>
        </w:tc>
        <w:tc>
          <w:tcPr>
            <w:tcW w:w="1985" w:type="dxa"/>
            <w:gridSpan w:val="2"/>
            <w:vAlign w:val="center"/>
          </w:tcPr>
          <w:p w:rsidR="00053DCB" w:rsidRDefault="009A534E">
            <w:pPr>
              <w:pStyle w:val="Tablehead"/>
              <w:framePr w:hSpace="181" w:wrap="notBeside" w:vAnchor="text" w:hAnchor="text" w:xAlign="center" w:y="1"/>
              <w:rPr>
                <w:b w:val="0"/>
                <w:bCs/>
                <w:sz w:val="18"/>
                <w:lang w:val="en-US"/>
              </w:rPr>
            </w:pPr>
            <w:r>
              <w:rPr>
                <w:b w:val="0"/>
                <w:bCs/>
                <w:sz w:val="18"/>
                <w:lang w:val="en-US"/>
              </w:rPr>
              <w:t>2</w:t>
            </w:r>
            <w:r>
              <w:rPr>
                <w:rFonts w:ascii="Tms Rmn" w:hAnsi="Tms Rmn"/>
                <w:b w:val="0"/>
                <w:bCs/>
                <w:sz w:val="12"/>
                <w:lang w:val="en-GB"/>
              </w:rPr>
              <w:t> </w:t>
            </w:r>
            <w:r>
              <w:rPr>
                <w:b w:val="0"/>
                <w:bCs/>
                <w:sz w:val="18"/>
                <w:lang w:val="en-US"/>
              </w:rPr>
              <w:t xml:space="preserve">500 </w:t>
            </w:r>
            <w:r>
              <w:rPr>
                <w:rFonts w:ascii="Symbol" w:hAnsi="Symbol"/>
                <w:b w:val="0"/>
                <w:bCs/>
                <w:sz w:val="18"/>
              </w:rPr>
              <w:t></w:t>
            </w:r>
            <w:r>
              <w:rPr>
                <w:b w:val="0"/>
                <w:bCs/>
                <w:sz w:val="18"/>
                <w:lang w:val="en-US"/>
              </w:rPr>
              <w:t xml:space="preserve"> </w:t>
            </w:r>
            <w:r>
              <w:rPr>
                <w:b w:val="0"/>
                <w:bCs/>
                <w:i/>
                <w:iCs/>
                <w:sz w:val="18"/>
                <w:lang w:val="en-US"/>
              </w:rPr>
              <w:t>L</w:t>
            </w:r>
            <w:r>
              <w:rPr>
                <w:b w:val="0"/>
                <w:bCs/>
                <w:i/>
                <w:iCs/>
                <w:sz w:val="18"/>
                <w:vertAlign w:val="subscript"/>
                <w:lang w:val="en-US"/>
              </w:rPr>
              <w:t>link</w:t>
            </w:r>
            <w:r>
              <w:rPr>
                <w:b w:val="0"/>
                <w:bCs/>
                <w:sz w:val="18"/>
                <w:lang w:val="en-US"/>
              </w:rPr>
              <w:t xml:space="preserve"> </w:t>
            </w:r>
            <w:r>
              <w:rPr>
                <w:rFonts w:ascii="Symbol" w:hAnsi="Symbol"/>
                <w:b w:val="0"/>
                <w:bCs/>
                <w:sz w:val="18"/>
              </w:rPr>
              <w:sym w:font="Symbol" w:char="F0A3"/>
            </w:r>
            <w:r>
              <w:rPr>
                <w:b w:val="0"/>
                <w:bCs/>
                <w:sz w:val="18"/>
                <w:lang w:val="en-US"/>
              </w:rPr>
              <w:t xml:space="preserve"> 7</w:t>
            </w:r>
            <w:r>
              <w:rPr>
                <w:rFonts w:ascii="Tms Rmn" w:hAnsi="Tms Rmn"/>
                <w:b w:val="0"/>
                <w:bCs/>
                <w:sz w:val="12"/>
                <w:lang w:val="en-GB"/>
              </w:rPr>
              <w:t> </w:t>
            </w:r>
            <w:r>
              <w:rPr>
                <w:b w:val="0"/>
                <w:bCs/>
                <w:sz w:val="18"/>
                <w:lang w:val="en-US"/>
              </w:rPr>
              <w:t>500</w:t>
            </w:r>
          </w:p>
        </w:tc>
        <w:tc>
          <w:tcPr>
            <w:tcW w:w="1988" w:type="dxa"/>
            <w:gridSpan w:val="2"/>
            <w:vAlign w:val="center"/>
          </w:tcPr>
          <w:p w:rsidR="00053DCB" w:rsidRDefault="009A534E">
            <w:pPr>
              <w:pStyle w:val="Tablehead"/>
              <w:framePr w:hSpace="181" w:wrap="notBeside" w:vAnchor="text" w:hAnchor="text" w:xAlign="center" w:y="1"/>
              <w:rPr>
                <w:b w:val="0"/>
                <w:bCs/>
                <w:sz w:val="18"/>
                <w:lang w:val="en-US"/>
              </w:rPr>
            </w:pPr>
            <w:r>
              <w:rPr>
                <w:b w:val="0"/>
                <w:bCs/>
                <w:i/>
                <w:iCs/>
                <w:sz w:val="18"/>
                <w:lang w:val="en-US"/>
              </w:rPr>
              <w:t>L</w:t>
            </w:r>
            <w:r>
              <w:rPr>
                <w:b w:val="0"/>
                <w:bCs/>
                <w:i/>
                <w:iCs/>
                <w:sz w:val="18"/>
                <w:vertAlign w:val="subscript"/>
                <w:lang w:val="en-US"/>
              </w:rPr>
              <w:t>link</w:t>
            </w:r>
            <w:r>
              <w:rPr>
                <w:b w:val="0"/>
                <w:bCs/>
                <w:sz w:val="18"/>
                <w:lang w:val="en-US"/>
              </w:rPr>
              <w:t xml:space="preserve"> </w:t>
            </w:r>
            <w:r>
              <w:rPr>
                <w:rFonts w:ascii="Symbol" w:hAnsi="Symbol"/>
                <w:b w:val="0"/>
                <w:bCs/>
                <w:sz w:val="18"/>
              </w:rPr>
              <w:t></w:t>
            </w:r>
            <w:r>
              <w:rPr>
                <w:b w:val="0"/>
                <w:bCs/>
                <w:sz w:val="18"/>
                <w:lang w:val="en-US"/>
              </w:rPr>
              <w:t xml:space="preserve"> 7</w:t>
            </w:r>
            <w:r>
              <w:rPr>
                <w:rFonts w:ascii="Tms Rmn" w:hAnsi="Tms Rmn"/>
                <w:b w:val="0"/>
                <w:bCs/>
                <w:sz w:val="12"/>
                <w:lang w:val="en-GB"/>
              </w:rPr>
              <w:t> </w:t>
            </w:r>
            <w:r>
              <w:rPr>
                <w:b w:val="0"/>
                <w:bCs/>
                <w:sz w:val="18"/>
                <w:lang w:val="en-US"/>
              </w:rPr>
              <w:t>500</w:t>
            </w:r>
          </w:p>
        </w:tc>
      </w:tr>
      <w:tr w:rsidR="00053DCB">
        <w:tc>
          <w:tcPr>
            <w:tcW w:w="1415" w:type="dxa"/>
          </w:tcPr>
          <w:p w:rsidR="00053DCB" w:rsidRDefault="00053DCB">
            <w:pPr>
              <w:pStyle w:val="Tabletext"/>
              <w:framePr w:hSpace="181" w:wrap="notBeside" w:vAnchor="text" w:hAnchor="text" w:xAlign="center" w:y="1"/>
              <w:jc w:val="left"/>
              <w:rPr>
                <w:sz w:val="18"/>
                <w:lang w:val="en-US"/>
              </w:rPr>
            </w:pPr>
          </w:p>
        </w:tc>
        <w:tc>
          <w:tcPr>
            <w:tcW w:w="992" w:type="dxa"/>
          </w:tcPr>
          <w:p w:rsidR="00053DCB" w:rsidRDefault="009A534E">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1</w:t>
            </w:r>
          </w:p>
        </w:tc>
        <w:tc>
          <w:tcPr>
            <w:tcW w:w="993" w:type="dxa"/>
          </w:tcPr>
          <w:p w:rsidR="00053DCB" w:rsidRDefault="009A534E">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1</w:t>
            </w:r>
          </w:p>
        </w:tc>
        <w:tc>
          <w:tcPr>
            <w:tcW w:w="992" w:type="dxa"/>
          </w:tcPr>
          <w:p w:rsidR="00053DCB" w:rsidRDefault="009A534E">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2</w:t>
            </w:r>
          </w:p>
        </w:tc>
        <w:tc>
          <w:tcPr>
            <w:tcW w:w="993" w:type="dxa"/>
          </w:tcPr>
          <w:p w:rsidR="00053DCB" w:rsidRDefault="009A534E">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2</w:t>
            </w:r>
          </w:p>
        </w:tc>
        <w:tc>
          <w:tcPr>
            <w:tcW w:w="992" w:type="dxa"/>
          </w:tcPr>
          <w:p w:rsidR="00053DCB" w:rsidRDefault="009A534E">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3</w:t>
            </w:r>
          </w:p>
        </w:tc>
        <w:tc>
          <w:tcPr>
            <w:tcW w:w="993" w:type="dxa"/>
          </w:tcPr>
          <w:p w:rsidR="00053DCB" w:rsidRDefault="009A534E">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3</w:t>
            </w:r>
          </w:p>
        </w:tc>
        <w:tc>
          <w:tcPr>
            <w:tcW w:w="992" w:type="dxa"/>
          </w:tcPr>
          <w:p w:rsidR="00053DCB" w:rsidRDefault="009A534E">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4</w:t>
            </w:r>
          </w:p>
        </w:tc>
        <w:tc>
          <w:tcPr>
            <w:tcW w:w="992" w:type="dxa"/>
          </w:tcPr>
          <w:p w:rsidR="00053DCB" w:rsidRDefault="009A534E">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4</w:t>
            </w:r>
          </w:p>
        </w:tc>
      </w:tr>
      <w:tr w:rsidR="00053DCB">
        <w:tc>
          <w:tcPr>
            <w:tcW w:w="1415" w:type="dxa"/>
          </w:tcPr>
          <w:p w:rsidR="00053DCB" w:rsidRDefault="009A534E">
            <w:pPr>
              <w:pStyle w:val="Tabletext"/>
              <w:framePr w:hSpace="181" w:wrap="notBeside" w:vAnchor="text" w:hAnchor="text" w:xAlign="center" w:y="1"/>
              <w:jc w:val="left"/>
              <w:rPr>
                <w:sz w:val="18"/>
              </w:rPr>
            </w:pPr>
            <w:r>
              <w:rPr>
                <w:sz w:val="18"/>
              </w:rPr>
              <w:t>Tronçon international</w:t>
            </w:r>
          </w:p>
        </w:tc>
        <w:tc>
          <w:tcPr>
            <w:tcW w:w="992" w:type="dxa"/>
          </w:tcPr>
          <w:p w:rsidR="00053DCB" w:rsidRDefault="009A534E">
            <w:pPr>
              <w:pStyle w:val="Tabletext"/>
              <w:framePr w:hSpace="181" w:wrap="notBeside" w:vAnchor="text" w:hAnchor="text" w:xAlign="center" w:y="1"/>
              <w:jc w:val="center"/>
              <w:rPr>
                <w:sz w:val="18"/>
              </w:rPr>
            </w:pPr>
            <w:r>
              <w:rPr>
                <w:sz w:val="18"/>
              </w:rPr>
              <w:t>150</w:t>
            </w:r>
          </w:p>
        </w:tc>
        <w:tc>
          <w:tcPr>
            <w:tcW w:w="993" w:type="dxa"/>
          </w:tcPr>
          <w:p w:rsidR="00053DCB" w:rsidRDefault="009A534E">
            <w:pPr>
              <w:pStyle w:val="Tabletext"/>
              <w:framePr w:hSpace="181" w:wrap="notBeside" w:vAnchor="text" w:hAnchor="text" w:xAlign="center" w:y="1"/>
              <w:jc w:val="center"/>
              <w:rPr>
                <w:sz w:val="18"/>
              </w:rPr>
            </w:pPr>
            <w:r>
              <w:rPr>
                <w:sz w:val="18"/>
              </w:rPr>
              <w:t>50</w:t>
            </w:r>
          </w:p>
        </w:tc>
        <w:tc>
          <w:tcPr>
            <w:tcW w:w="992" w:type="dxa"/>
          </w:tcPr>
          <w:p w:rsidR="00053DCB" w:rsidRDefault="009A534E">
            <w:pPr>
              <w:pStyle w:val="Tabletext"/>
              <w:framePr w:hSpace="181" w:wrap="notBeside" w:vAnchor="text" w:hAnchor="text" w:xAlign="center" w:y="1"/>
              <w:jc w:val="center"/>
              <w:rPr>
                <w:sz w:val="18"/>
              </w:rPr>
            </w:pPr>
            <w:r>
              <w:rPr>
                <w:sz w:val="18"/>
              </w:rPr>
              <w:t>100</w:t>
            </w:r>
          </w:p>
        </w:tc>
        <w:tc>
          <w:tcPr>
            <w:tcW w:w="993" w:type="dxa"/>
          </w:tcPr>
          <w:p w:rsidR="00053DCB" w:rsidRDefault="009A534E">
            <w:pPr>
              <w:pStyle w:val="Tabletext"/>
              <w:framePr w:hSpace="181" w:wrap="notBeside" w:vAnchor="text" w:hAnchor="text" w:xAlign="center" w:y="1"/>
              <w:jc w:val="center"/>
              <w:rPr>
                <w:sz w:val="18"/>
              </w:rPr>
            </w:pPr>
            <w:r>
              <w:rPr>
                <w:sz w:val="18"/>
              </w:rPr>
              <w:t>55</w:t>
            </w:r>
          </w:p>
        </w:tc>
        <w:tc>
          <w:tcPr>
            <w:tcW w:w="992" w:type="dxa"/>
          </w:tcPr>
          <w:p w:rsidR="00053DCB" w:rsidRDefault="009A534E">
            <w:pPr>
              <w:pStyle w:val="Tabletext"/>
              <w:framePr w:hSpace="181" w:wrap="notBeside" w:vAnchor="text" w:hAnchor="text" w:xAlign="center" w:y="1"/>
              <w:jc w:val="center"/>
              <w:rPr>
                <w:sz w:val="18"/>
              </w:rPr>
            </w:pPr>
            <w:r>
              <w:rPr>
                <w:sz w:val="18"/>
              </w:rPr>
              <w:t>100</w:t>
            </w:r>
          </w:p>
        </w:tc>
        <w:tc>
          <w:tcPr>
            <w:tcW w:w="993" w:type="dxa"/>
          </w:tcPr>
          <w:p w:rsidR="00053DCB" w:rsidRDefault="009A534E">
            <w:pPr>
              <w:pStyle w:val="Tabletext"/>
              <w:framePr w:hSpace="181" w:wrap="notBeside" w:vAnchor="text" w:hAnchor="text" w:xAlign="center" w:y="1"/>
              <w:jc w:val="center"/>
              <w:rPr>
                <w:sz w:val="18"/>
              </w:rPr>
            </w:pPr>
            <w:r>
              <w:rPr>
                <w:sz w:val="18"/>
              </w:rPr>
              <w:t>55</w:t>
            </w:r>
          </w:p>
        </w:tc>
        <w:tc>
          <w:tcPr>
            <w:tcW w:w="992" w:type="dxa"/>
          </w:tcPr>
          <w:p w:rsidR="00053DCB" w:rsidRDefault="009A534E">
            <w:pPr>
              <w:pStyle w:val="Tabletext"/>
              <w:framePr w:hSpace="181" w:wrap="notBeside" w:vAnchor="text" w:hAnchor="text" w:xAlign="center" w:y="1"/>
              <w:jc w:val="center"/>
              <w:rPr>
                <w:sz w:val="18"/>
              </w:rPr>
            </w:pPr>
            <w:r>
              <w:rPr>
                <w:sz w:val="18"/>
              </w:rPr>
              <w:t>100</w:t>
            </w:r>
          </w:p>
        </w:tc>
        <w:tc>
          <w:tcPr>
            <w:tcW w:w="992" w:type="dxa"/>
          </w:tcPr>
          <w:p w:rsidR="00053DCB" w:rsidRDefault="009A534E">
            <w:pPr>
              <w:pStyle w:val="Tabletext"/>
              <w:framePr w:hSpace="181" w:wrap="notBeside" w:vAnchor="text" w:hAnchor="text" w:xAlign="center" w:y="1"/>
              <w:jc w:val="center"/>
              <w:rPr>
                <w:sz w:val="18"/>
              </w:rPr>
            </w:pPr>
            <w:r>
              <w:rPr>
                <w:sz w:val="18"/>
              </w:rPr>
              <w:t>55</w:t>
            </w:r>
          </w:p>
        </w:tc>
      </w:tr>
    </w:tbl>
    <w:p w:rsidR="00053DCB" w:rsidRDefault="00053DCB">
      <w:pPr>
        <w:pStyle w:val="Tablefin"/>
        <w:spacing w:before="0"/>
      </w:pPr>
    </w:p>
    <w:tbl>
      <w:tblPr>
        <w:tblW w:w="9889" w:type="dxa"/>
        <w:tblBorders>
          <w:left w:val="single" w:sz="4" w:space="0" w:color="auto"/>
        </w:tblBorders>
        <w:tblLook w:val="0000" w:firstRow="0" w:lastRow="0" w:firstColumn="0" w:lastColumn="0" w:noHBand="0" w:noVBand="0"/>
      </w:tblPr>
      <w:tblGrid>
        <w:gridCol w:w="439"/>
        <w:gridCol w:w="945"/>
        <w:gridCol w:w="439"/>
        <w:gridCol w:w="979"/>
        <w:gridCol w:w="3548"/>
        <w:gridCol w:w="3539"/>
      </w:tblGrid>
      <w:tr w:rsidR="00053DCB">
        <w:trPr>
          <w:cantSplit/>
          <w:trHeight w:val="435"/>
          <w:tblHeader/>
        </w:trPr>
        <w:tc>
          <w:tcPr>
            <w:tcW w:w="9889" w:type="dxa"/>
            <w:gridSpan w:val="6"/>
            <w:tcBorders>
              <w:top w:val="nil"/>
              <w:left w:val="nil"/>
              <w:bottom w:val="single" w:sz="4" w:space="0" w:color="auto"/>
              <w:right w:val="nil"/>
            </w:tcBorders>
            <w:vAlign w:val="center"/>
          </w:tcPr>
          <w:p w:rsidR="00053DCB" w:rsidRDefault="009A534E">
            <w:pPr>
              <w:pStyle w:val="TableNo"/>
              <w:framePr w:hSpace="181" w:wrap="notBeside" w:vAnchor="text" w:hAnchor="text" w:xAlign="center" w:y="1"/>
              <w:rPr>
                <w:lang w:val="fr-CH"/>
              </w:rPr>
            </w:pPr>
            <w:r>
              <w:rPr>
                <w:lang w:val="fr-CH"/>
              </w:rPr>
              <w:t>TABLEAU  4</w:t>
            </w:r>
          </w:p>
          <w:p w:rsidR="00053DCB" w:rsidRDefault="009A534E">
            <w:pPr>
              <w:pStyle w:val="Tabletitle"/>
              <w:framePr w:hSpace="181" w:wrap="notBeside" w:vAnchor="text" w:hAnchor="text" w:xAlign="center" w:y="1"/>
              <w:rPr>
                <w:sz w:val="20"/>
              </w:rPr>
            </w:pPr>
            <w:r>
              <w:rPr>
                <w:lang w:val="fr-CH"/>
              </w:rPr>
              <w:t xml:space="preserve">Paramètres applicables aux objectifs de OI pour les liaisons faisant partie </w:t>
            </w:r>
            <w:r>
              <w:rPr>
                <w:lang w:val="fr-CH"/>
              </w:rPr>
              <w:br/>
              <w:t>d'un tronçon national d'élément de conduit numérique à débit constant</w:t>
            </w:r>
          </w:p>
        </w:tc>
      </w:tr>
      <w:tr w:rsidR="00053DCB">
        <w:trPr>
          <w:trHeight w:val="435"/>
          <w:tblHeader/>
        </w:trPr>
        <w:tc>
          <w:tcPr>
            <w:tcW w:w="1384" w:type="dxa"/>
            <w:gridSpan w:val="2"/>
            <w:tcBorders>
              <w:top w:val="single" w:sz="4" w:space="0" w:color="auto"/>
              <w:left w:val="single" w:sz="4" w:space="0" w:color="auto"/>
              <w:bottom w:val="single" w:sz="4" w:space="0" w:color="auto"/>
              <w:right w:val="single" w:sz="4" w:space="0" w:color="auto"/>
            </w:tcBorders>
            <w:vAlign w:val="center"/>
          </w:tcPr>
          <w:p w:rsidR="00053DCB" w:rsidRDefault="009A534E">
            <w:pPr>
              <w:pStyle w:val="Tablehead"/>
              <w:framePr w:hSpace="181" w:wrap="notBeside" w:vAnchor="text" w:hAnchor="text" w:xAlign="center" w:y="1"/>
              <w:rPr>
                <w:i/>
                <w:iCs/>
                <w:sz w:val="18"/>
              </w:rPr>
            </w:pPr>
            <w:r>
              <w:rPr>
                <w:sz w:val="18"/>
              </w:rPr>
              <w:t>Section accès</w:t>
            </w:r>
          </w:p>
        </w:tc>
        <w:tc>
          <w:tcPr>
            <w:tcW w:w="1418" w:type="dxa"/>
            <w:gridSpan w:val="2"/>
            <w:tcBorders>
              <w:top w:val="single" w:sz="4" w:space="0" w:color="auto"/>
              <w:left w:val="nil"/>
              <w:bottom w:val="single" w:sz="4" w:space="0" w:color="auto"/>
              <w:right w:val="single" w:sz="4" w:space="0" w:color="auto"/>
            </w:tcBorders>
          </w:tcPr>
          <w:p w:rsidR="00053DCB" w:rsidRDefault="009A534E">
            <w:pPr>
              <w:pStyle w:val="Tablehead"/>
              <w:framePr w:hSpace="181" w:wrap="notBeside" w:vAnchor="text" w:hAnchor="text" w:xAlign="center" w:y="1"/>
              <w:rPr>
                <w:i/>
                <w:iCs/>
                <w:sz w:val="18"/>
              </w:rPr>
            </w:pPr>
            <w:r>
              <w:rPr>
                <w:sz w:val="18"/>
              </w:rPr>
              <w:t>Section courte distance</w:t>
            </w:r>
          </w:p>
        </w:tc>
        <w:tc>
          <w:tcPr>
            <w:tcW w:w="7087" w:type="dxa"/>
            <w:gridSpan w:val="2"/>
            <w:tcBorders>
              <w:top w:val="single" w:sz="4" w:space="0" w:color="auto"/>
              <w:left w:val="nil"/>
              <w:bottom w:val="single" w:sz="4" w:space="0" w:color="auto"/>
              <w:right w:val="single" w:sz="4" w:space="0" w:color="auto"/>
            </w:tcBorders>
            <w:vAlign w:val="center"/>
          </w:tcPr>
          <w:p w:rsidR="00053DCB" w:rsidRDefault="009A534E">
            <w:pPr>
              <w:pStyle w:val="Tablehead"/>
              <w:framePr w:hSpace="181" w:wrap="notBeside" w:vAnchor="text" w:hAnchor="text" w:xAlign="center" w:y="1"/>
              <w:rPr>
                <w:i/>
                <w:iCs/>
                <w:sz w:val="18"/>
              </w:rPr>
            </w:pPr>
            <w:r>
              <w:rPr>
                <w:sz w:val="18"/>
              </w:rPr>
              <w:t>Section grande distance</w:t>
            </w:r>
          </w:p>
        </w:tc>
      </w:tr>
      <w:tr w:rsidR="00053DCB">
        <w:trPr>
          <w:trHeight w:val="435"/>
        </w:trPr>
        <w:tc>
          <w:tcPr>
            <w:tcW w:w="439" w:type="dxa"/>
            <w:tcBorders>
              <w:top w:val="nil"/>
              <w:left w:val="single" w:sz="4" w:space="0" w:color="auto"/>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D</w:t>
            </w:r>
            <w:r>
              <w:rPr>
                <w:sz w:val="18"/>
                <w:vertAlign w:val="subscript"/>
                <w:lang w:val="en-US"/>
              </w:rPr>
              <w:t>5</w:t>
            </w:r>
          </w:p>
        </w:tc>
        <w:tc>
          <w:tcPr>
            <w:tcW w:w="945" w:type="dxa"/>
            <w:tcBorders>
              <w:top w:val="nil"/>
              <w:left w:val="single" w:sz="4" w:space="0" w:color="auto"/>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5</w:t>
            </w:r>
          </w:p>
        </w:tc>
        <w:tc>
          <w:tcPr>
            <w:tcW w:w="439" w:type="dxa"/>
            <w:tcBorders>
              <w:top w:val="nil"/>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s-ES_tradnl"/>
              </w:rPr>
            </w:pPr>
            <w:r>
              <w:rPr>
                <w:i/>
                <w:iCs/>
                <w:sz w:val="18"/>
                <w:lang w:val="es-ES_tradnl"/>
              </w:rPr>
              <w:t>D</w:t>
            </w:r>
            <w:r>
              <w:rPr>
                <w:sz w:val="18"/>
                <w:vertAlign w:val="subscript"/>
                <w:lang w:val="es-ES_tradnl"/>
              </w:rPr>
              <w:t>6</w:t>
            </w:r>
          </w:p>
        </w:tc>
        <w:tc>
          <w:tcPr>
            <w:tcW w:w="979" w:type="dxa"/>
            <w:tcBorders>
              <w:top w:val="nil"/>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s-ES_tradnl"/>
              </w:rPr>
            </w:pPr>
            <w:r>
              <w:rPr>
                <w:i/>
                <w:iCs/>
                <w:sz w:val="18"/>
                <w:lang w:val="es-ES_tradnl"/>
              </w:rPr>
              <w:t>E</w:t>
            </w:r>
            <w:r>
              <w:rPr>
                <w:sz w:val="18"/>
                <w:vertAlign w:val="subscript"/>
                <w:lang w:val="es-ES_tradnl"/>
              </w:rPr>
              <w:t>6</w:t>
            </w:r>
          </w:p>
        </w:tc>
        <w:tc>
          <w:tcPr>
            <w:tcW w:w="3548" w:type="dxa"/>
            <w:tcBorders>
              <w:top w:val="nil"/>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D</w:t>
            </w:r>
            <w:r>
              <w:rPr>
                <w:sz w:val="18"/>
                <w:vertAlign w:val="subscript"/>
                <w:lang w:val="en-US"/>
              </w:rPr>
              <w:t>7</w:t>
            </w:r>
          </w:p>
        </w:tc>
        <w:tc>
          <w:tcPr>
            <w:tcW w:w="3539" w:type="dxa"/>
            <w:tcBorders>
              <w:top w:val="nil"/>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i/>
                <w:iCs/>
                <w:sz w:val="18"/>
                <w:lang w:val="en-US"/>
              </w:rPr>
              <w:t>E</w:t>
            </w:r>
            <w:r>
              <w:rPr>
                <w:sz w:val="18"/>
                <w:vertAlign w:val="subscript"/>
                <w:lang w:val="en-US"/>
              </w:rPr>
              <w:t>7</w:t>
            </w:r>
          </w:p>
        </w:tc>
      </w:tr>
      <w:tr w:rsidR="00053DCB">
        <w:trPr>
          <w:trHeight w:val="20"/>
        </w:trPr>
        <w:tc>
          <w:tcPr>
            <w:tcW w:w="439" w:type="dxa"/>
            <w:tcBorders>
              <w:top w:val="single" w:sz="4" w:space="0" w:color="auto"/>
              <w:left w:val="single" w:sz="4" w:space="0" w:color="auto"/>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sz w:val="18"/>
                <w:lang w:val="en-US"/>
              </w:rPr>
              <w:t>0</w:t>
            </w:r>
          </w:p>
        </w:tc>
        <w:tc>
          <w:tcPr>
            <w:tcW w:w="945" w:type="dxa"/>
            <w:tcBorders>
              <w:top w:val="single" w:sz="4" w:space="0" w:color="auto"/>
              <w:left w:val="single" w:sz="4" w:space="0" w:color="auto"/>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sz w:val="18"/>
                <w:lang w:val="en-US"/>
              </w:rPr>
              <w:t>100</w:t>
            </w:r>
          </w:p>
        </w:tc>
        <w:tc>
          <w:tcPr>
            <w:tcW w:w="439" w:type="dxa"/>
            <w:tcBorders>
              <w:top w:val="single" w:sz="4" w:space="0" w:color="auto"/>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en-US"/>
              </w:rPr>
            </w:pPr>
            <w:r>
              <w:rPr>
                <w:sz w:val="18"/>
                <w:lang w:val="en-US"/>
              </w:rPr>
              <w:t>0</w:t>
            </w:r>
          </w:p>
        </w:tc>
        <w:tc>
          <w:tcPr>
            <w:tcW w:w="979" w:type="dxa"/>
            <w:tcBorders>
              <w:top w:val="single" w:sz="4" w:space="0" w:color="auto"/>
              <w:left w:val="nil"/>
              <w:bottom w:val="single" w:sz="4" w:space="0" w:color="auto"/>
              <w:right w:val="single" w:sz="4" w:space="0" w:color="auto"/>
            </w:tcBorders>
          </w:tcPr>
          <w:p w:rsidR="00053DCB" w:rsidRDefault="009A534E">
            <w:pPr>
              <w:pStyle w:val="Tabletext"/>
              <w:framePr w:hSpace="181" w:wrap="notBeside" w:vAnchor="text" w:hAnchor="text" w:xAlign="center" w:y="1"/>
              <w:jc w:val="center"/>
              <w:rPr>
                <w:sz w:val="18"/>
                <w:lang w:val="fr-CH"/>
              </w:rPr>
            </w:pPr>
            <w:r>
              <w:rPr>
                <w:sz w:val="18"/>
                <w:lang w:val="fr-CH"/>
              </w:rPr>
              <w:t>120</w:t>
            </w:r>
          </w:p>
        </w:tc>
        <w:tc>
          <w:tcPr>
            <w:tcW w:w="3548" w:type="dxa"/>
            <w:tcBorders>
              <w:top w:val="single" w:sz="4" w:space="0" w:color="auto"/>
              <w:left w:val="nil"/>
              <w:bottom w:val="single" w:sz="4" w:space="0" w:color="auto"/>
              <w:right w:val="single" w:sz="4" w:space="0" w:color="auto"/>
            </w:tcBorders>
            <w:tcMar>
              <w:left w:w="85" w:type="dxa"/>
              <w:right w:w="85" w:type="dxa"/>
            </w:tcMar>
          </w:tcPr>
          <w:p w:rsidR="00053DCB" w:rsidRPr="00CD3AE5" w:rsidRDefault="009A534E">
            <w:pPr>
              <w:pStyle w:val="Tabletext"/>
              <w:framePr w:hSpace="181" w:wrap="notBeside" w:vAnchor="text" w:hAnchor="text" w:xAlign="center" w:y="1"/>
              <w:tabs>
                <w:tab w:val="clear" w:pos="284"/>
              </w:tabs>
              <w:ind w:left="33"/>
              <w:jc w:val="left"/>
              <w:rPr>
                <w:sz w:val="18"/>
                <w:lang w:val="fr-CH"/>
              </w:rPr>
            </w:pPr>
            <w:r w:rsidRPr="00CD3AE5">
              <w:rPr>
                <w:sz w:val="18"/>
                <w:lang w:val="fr-CH"/>
              </w:rPr>
              <w:t>100</w:t>
            </w:r>
            <w:r w:rsidRPr="00CD3AE5">
              <w:rPr>
                <w:sz w:val="18"/>
                <w:lang w:val="fr-CH"/>
              </w:rPr>
              <w:tab/>
              <w:t xml:space="preserve">pour 250 km </w:t>
            </w:r>
            <w:r>
              <w:rPr>
                <w:rFonts w:ascii="Symbol" w:hAnsi="Symbol"/>
                <w:sz w:val="18"/>
              </w:rPr>
              <w:sym w:font="Symbol" w:char="F0A3"/>
            </w:r>
            <w:r w:rsidRPr="00CD3AE5">
              <w:rPr>
                <w:sz w:val="18"/>
                <w:lang w:val="fr-CH"/>
              </w:rPr>
              <w:t xml:space="preserve"> </w:t>
            </w:r>
            <w:r w:rsidRPr="00CD3AE5">
              <w:rPr>
                <w:i/>
                <w:iCs/>
                <w:sz w:val="18"/>
                <w:lang w:val="fr-CH"/>
              </w:rPr>
              <w:t>L</w:t>
            </w:r>
            <w:r w:rsidRPr="00CD3AE5">
              <w:rPr>
                <w:i/>
                <w:iCs/>
                <w:sz w:val="18"/>
                <w:vertAlign w:val="subscript"/>
                <w:lang w:val="fr-CH"/>
              </w:rPr>
              <w:t>link</w:t>
            </w:r>
            <w:r w:rsidRPr="00CD3AE5">
              <w:rPr>
                <w:sz w:val="18"/>
                <w:lang w:val="fr-CH"/>
              </w:rPr>
              <w:t xml:space="preserve"> </w:t>
            </w:r>
            <w:r>
              <w:rPr>
                <w:rFonts w:ascii="Symbol" w:hAnsi="Symbol"/>
                <w:sz w:val="18"/>
              </w:rPr>
              <w:t></w:t>
            </w:r>
            <w:r w:rsidRPr="00CD3AE5">
              <w:rPr>
                <w:sz w:val="18"/>
                <w:lang w:val="fr-CH"/>
              </w:rPr>
              <w:t xml:space="preserve"> 2</w:t>
            </w:r>
            <w:r w:rsidRPr="00CD3AE5">
              <w:rPr>
                <w:rFonts w:ascii="Tms Rmn" w:hAnsi="Tms Rmn"/>
                <w:sz w:val="12"/>
                <w:lang w:val="fr-CH"/>
              </w:rPr>
              <w:t> </w:t>
            </w:r>
            <w:r w:rsidRPr="00CD3AE5">
              <w:rPr>
                <w:sz w:val="18"/>
                <w:lang w:val="fr-CH"/>
              </w:rPr>
              <w:t>500 km</w:t>
            </w:r>
          </w:p>
          <w:p w:rsidR="00053DCB" w:rsidRDefault="009A534E">
            <w:pPr>
              <w:pStyle w:val="Tabletext"/>
              <w:framePr w:hSpace="181" w:wrap="notBeside" w:vAnchor="text" w:hAnchor="text" w:xAlign="center" w:y="1"/>
              <w:tabs>
                <w:tab w:val="clear" w:pos="284"/>
              </w:tabs>
              <w:ind w:left="33"/>
              <w:jc w:val="left"/>
              <w:rPr>
                <w:sz w:val="18"/>
                <w:lang w:val="fr-CH"/>
              </w:rPr>
            </w:pPr>
            <w:r>
              <w:rPr>
                <w:sz w:val="18"/>
                <w:lang w:val="fr-CH"/>
              </w:rPr>
              <w:t>150</w:t>
            </w:r>
            <w:r>
              <w:rPr>
                <w:sz w:val="18"/>
                <w:lang w:val="fr-CH"/>
              </w:rPr>
              <w:tab/>
              <w:t xml:space="preserve">pour </w:t>
            </w:r>
            <w:r>
              <w:rPr>
                <w:i/>
                <w:iCs/>
                <w:sz w:val="18"/>
                <w:lang w:val="fr-CH"/>
              </w:rPr>
              <w:t>L</w:t>
            </w:r>
            <w:r>
              <w:rPr>
                <w:i/>
                <w:iCs/>
                <w:sz w:val="18"/>
                <w:vertAlign w:val="subscript"/>
                <w:lang w:val="fr-CH"/>
              </w:rPr>
              <w:t>min</w:t>
            </w:r>
            <w:r>
              <w:rPr>
                <w:sz w:val="18"/>
                <w:lang w:val="fr-CH"/>
              </w:rPr>
              <w:t xml:space="preserve"> </w:t>
            </w:r>
            <w:r>
              <w:rPr>
                <w:rFonts w:ascii="Symbol" w:hAnsi="Symbol"/>
                <w:sz w:val="18"/>
              </w:rPr>
              <w:sym w:font="Symbol" w:char="F0A3"/>
            </w:r>
            <w:r>
              <w:rPr>
                <w:sz w:val="18"/>
                <w:lang w:val="fr-CH"/>
              </w:rPr>
              <w:t xml:space="preserve"> </w:t>
            </w:r>
            <w:r>
              <w:rPr>
                <w:i/>
                <w:iCs/>
                <w:sz w:val="18"/>
                <w:lang w:val="fr-CH"/>
              </w:rPr>
              <w:t>L</w:t>
            </w:r>
            <w:r>
              <w:rPr>
                <w:i/>
                <w:iCs/>
                <w:sz w:val="18"/>
                <w:vertAlign w:val="subscript"/>
                <w:lang w:val="fr-CH"/>
              </w:rPr>
              <w:t>link</w:t>
            </w:r>
            <w:r>
              <w:rPr>
                <w:sz w:val="18"/>
                <w:lang w:val="fr-CH"/>
              </w:rPr>
              <w:t xml:space="preserve"> </w:t>
            </w:r>
            <w:r>
              <w:rPr>
                <w:rFonts w:ascii="Symbol" w:hAnsi="Symbol"/>
                <w:sz w:val="18"/>
              </w:rPr>
              <w:t></w:t>
            </w:r>
            <w:r>
              <w:rPr>
                <w:sz w:val="18"/>
                <w:lang w:val="fr-CH"/>
              </w:rPr>
              <w:t xml:space="preserve"> 250 km</w:t>
            </w:r>
          </w:p>
        </w:tc>
        <w:tc>
          <w:tcPr>
            <w:tcW w:w="3539" w:type="dxa"/>
            <w:tcBorders>
              <w:top w:val="single" w:sz="4" w:space="0" w:color="auto"/>
              <w:left w:val="nil"/>
              <w:bottom w:val="single" w:sz="4" w:space="0" w:color="auto"/>
              <w:right w:val="single" w:sz="4" w:space="0" w:color="auto"/>
            </w:tcBorders>
          </w:tcPr>
          <w:p w:rsidR="00053DCB" w:rsidRPr="00CD3AE5" w:rsidRDefault="009A534E">
            <w:pPr>
              <w:pStyle w:val="Tabletext"/>
              <w:framePr w:hSpace="181" w:wrap="notBeside" w:vAnchor="text" w:hAnchor="text" w:xAlign="center" w:y="1"/>
              <w:tabs>
                <w:tab w:val="clear" w:pos="284"/>
                <w:tab w:val="clear" w:pos="567"/>
                <w:tab w:val="left" w:pos="425"/>
              </w:tabs>
              <w:jc w:val="left"/>
              <w:rPr>
                <w:sz w:val="18"/>
                <w:lang w:val="fr-CH"/>
              </w:rPr>
            </w:pPr>
            <w:r w:rsidRPr="00CD3AE5">
              <w:rPr>
                <w:sz w:val="18"/>
                <w:lang w:val="fr-CH"/>
              </w:rPr>
              <w:t>55</w:t>
            </w:r>
            <w:r w:rsidRPr="00CD3AE5">
              <w:rPr>
                <w:sz w:val="18"/>
                <w:lang w:val="fr-CH"/>
              </w:rPr>
              <w:tab/>
              <w:t xml:space="preserve">pour 250 km </w:t>
            </w:r>
            <w:r>
              <w:rPr>
                <w:rFonts w:ascii="Symbol" w:hAnsi="Symbol"/>
                <w:sz w:val="18"/>
              </w:rPr>
              <w:sym w:font="Symbol" w:char="F0A3"/>
            </w:r>
            <w:r w:rsidRPr="00CD3AE5">
              <w:rPr>
                <w:sz w:val="18"/>
                <w:lang w:val="fr-CH"/>
              </w:rPr>
              <w:t xml:space="preserve"> </w:t>
            </w:r>
            <w:r w:rsidRPr="00CD3AE5">
              <w:rPr>
                <w:i/>
                <w:iCs/>
                <w:sz w:val="18"/>
                <w:lang w:val="fr-CH"/>
              </w:rPr>
              <w:t>L</w:t>
            </w:r>
            <w:r w:rsidRPr="00CD3AE5">
              <w:rPr>
                <w:i/>
                <w:iCs/>
                <w:sz w:val="18"/>
                <w:vertAlign w:val="subscript"/>
                <w:lang w:val="fr-CH"/>
              </w:rPr>
              <w:t>link</w:t>
            </w:r>
            <w:r w:rsidRPr="00CD3AE5">
              <w:rPr>
                <w:sz w:val="18"/>
                <w:lang w:val="fr-CH"/>
              </w:rPr>
              <w:t xml:space="preserve"> </w:t>
            </w:r>
            <w:r>
              <w:rPr>
                <w:rFonts w:ascii="Symbol" w:hAnsi="Symbol"/>
                <w:sz w:val="18"/>
              </w:rPr>
              <w:t></w:t>
            </w:r>
            <w:r w:rsidRPr="00CD3AE5">
              <w:rPr>
                <w:sz w:val="18"/>
                <w:lang w:val="fr-CH"/>
              </w:rPr>
              <w:t xml:space="preserve"> 2</w:t>
            </w:r>
            <w:r w:rsidRPr="00CD3AE5">
              <w:rPr>
                <w:rFonts w:ascii="Tms Rmn" w:hAnsi="Tms Rmn"/>
                <w:sz w:val="12"/>
                <w:lang w:val="fr-CH"/>
              </w:rPr>
              <w:t> </w:t>
            </w:r>
            <w:r w:rsidRPr="00CD3AE5">
              <w:rPr>
                <w:sz w:val="18"/>
                <w:lang w:val="fr-CH"/>
              </w:rPr>
              <w:t>500 km</w:t>
            </w:r>
          </w:p>
          <w:p w:rsidR="00053DCB" w:rsidRDefault="009A534E">
            <w:pPr>
              <w:pStyle w:val="Tabletext"/>
              <w:framePr w:hSpace="181" w:wrap="notBeside" w:vAnchor="text" w:hAnchor="text" w:xAlign="center" w:y="1"/>
              <w:tabs>
                <w:tab w:val="clear" w:pos="284"/>
                <w:tab w:val="clear" w:pos="567"/>
                <w:tab w:val="clear" w:pos="1134"/>
                <w:tab w:val="left" w:pos="425"/>
                <w:tab w:val="left" w:pos="1021"/>
              </w:tabs>
              <w:jc w:val="left"/>
              <w:rPr>
                <w:sz w:val="18"/>
                <w:lang w:val="fr-CH"/>
              </w:rPr>
            </w:pPr>
            <w:r>
              <w:rPr>
                <w:sz w:val="18"/>
              </w:rPr>
              <w:t>50</w:t>
            </w:r>
            <w:r>
              <w:rPr>
                <w:sz w:val="18"/>
              </w:rPr>
              <w:tab/>
              <w:t xml:space="preserve">pour </w:t>
            </w:r>
            <w:r>
              <w:rPr>
                <w:i/>
                <w:iCs/>
                <w:sz w:val="18"/>
              </w:rPr>
              <w:t>L</w:t>
            </w:r>
            <w:r>
              <w:rPr>
                <w:i/>
                <w:iCs/>
                <w:sz w:val="18"/>
                <w:vertAlign w:val="subscript"/>
              </w:rPr>
              <w:t>min</w:t>
            </w:r>
            <w:r>
              <w:rPr>
                <w:sz w:val="18"/>
              </w:rPr>
              <w:t> </w:t>
            </w:r>
            <w:r>
              <w:rPr>
                <w:sz w:val="18"/>
              </w:rPr>
              <w:sym w:font="Symbol" w:char="F0A3"/>
            </w:r>
            <w:r>
              <w:rPr>
                <w:sz w:val="18"/>
              </w:rPr>
              <w:t> </w:t>
            </w:r>
            <w:r>
              <w:rPr>
                <w:i/>
                <w:iCs/>
                <w:sz w:val="18"/>
              </w:rPr>
              <w:t>L</w:t>
            </w:r>
            <w:r>
              <w:rPr>
                <w:i/>
                <w:iCs/>
                <w:sz w:val="18"/>
                <w:vertAlign w:val="subscript"/>
              </w:rPr>
              <w:t>link</w:t>
            </w:r>
            <w:r>
              <w:rPr>
                <w:sz w:val="18"/>
              </w:rPr>
              <w:t> </w:t>
            </w:r>
            <w:r>
              <w:rPr>
                <w:rFonts w:ascii="Symbol" w:hAnsi="Symbol"/>
                <w:sz w:val="18"/>
              </w:rPr>
              <w:t></w:t>
            </w:r>
            <w:r>
              <w:rPr>
                <w:sz w:val="18"/>
              </w:rPr>
              <w:t> 250 km</w:t>
            </w:r>
          </w:p>
        </w:tc>
      </w:tr>
    </w:tbl>
    <w:p w:rsidR="00053DCB" w:rsidRDefault="00053DCB">
      <w:pPr>
        <w:pStyle w:val="Tablefin"/>
        <w:spacing w:before="0"/>
        <w:rPr>
          <w:lang w:val="fr-CH"/>
        </w:rPr>
      </w:pPr>
    </w:p>
    <w:p w:rsidR="00053DCB" w:rsidRDefault="009A534E">
      <w:pPr>
        <w:pStyle w:val="AnnexNoTitle"/>
      </w:pPr>
      <w:r>
        <w:br w:type="page"/>
      </w:r>
      <w:r>
        <w:lastRenderedPageBreak/>
        <w:t>Annexe 1</w:t>
      </w:r>
      <w:r>
        <w:br/>
      </w:r>
      <w:r>
        <w:br/>
        <w:t>Terminologie et exemples d'évaluation des objectifs pour une liaison réelle</w:t>
      </w:r>
    </w:p>
    <w:p w:rsidR="00053DCB" w:rsidRDefault="009A534E">
      <w:pPr>
        <w:pStyle w:val="Heading1"/>
      </w:pPr>
      <w:r>
        <w:t>1</w:t>
      </w:r>
      <w:r>
        <w:tab/>
        <w:t>Introduction</w:t>
      </w:r>
    </w:p>
    <w:p w:rsidR="00053DCB" w:rsidRDefault="009A534E">
      <w:r>
        <w:t>La présente Annexe contient des informations supplémentaires sur la signification de termes relatifs à la connexion, sur la relation entre les objectifs indiqués dans la Recommandation UIT-T G.827 et ceux définis dans la présente Recommandation, ainsi que quelques exemples d'évaluation des objectifs pour une liaison hertzienne réelle.</w:t>
      </w:r>
    </w:p>
    <w:p w:rsidR="00053DCB" w:rsidRDefault="009A534E">
      <w:pPr>
        <w:pStyle w:val="Heading1"/>
      </w:pPr>
      <w:r>
        <w:t>2</w:t>
      </w:r>
      <w:r>
        <w:tab/>
        <w:t>Définition et terminologie</w:t>
      </w:r>
    </w:p>
    <w:p w:rsidR="00053DCB" w:rsidRDefault="009A534E">
      <w:r>
        <w:t>La présente Recommandation vise à définir les objectifs de disponibilité pour une liaison hertzienne réelle, mais étant donné que dans un réseau de télécommunication, le terme liaison est assez général, on trouvera ci</w:t>
      </w:r>
      <w:r>
        <w:noBreakHyphen/>
        <w:t>dessous la définition plus précise de ce terme dans le contexte de la présente Recommandation.</w:t>
      </w:r>
    </w:p>
    <w:p w:rsidR="00053DCB" w:rsidRDefault="009A534E">
      <w:r>
        <w:t>L'élément PE est défini dans la Recommandation UIT-T G.827. La Fig. 2 représente un exemple de conduit composé de plusieurs PE. Une liaison hertzienne peut être identifiée par un tronçon du conduit et elle peut contenir un élément IPCE (ou un tronçon de cet élément) et/ou un élément ICPCE, comme illustré à la Fig. 3 ou elle peut appartenir à n'importe quelle section du réseau, comme illustré à la Fig. 4. En outre, une liaison peut être constituée de plusieurs bonds.</w:t>
      </w:r>
    </w:p>
    <w:p w:rsidR="00053DCB" w:rsidRDefault="009A534E">
      <w:pPr>
        <w:pStyle w:val="FigureNo"/>
      </w:pPr>
      <w:r>
        <w:object w:dxaOrig="9505" w:dyaOrig="6322">
          <v:shape id="_x0000_i1028" type="#_x0000_t75" style="width:475.5pt;height:316pt" o:ole="">
            <v:imagedata r:id="rId12" o:title=""/>
          </v:shape>
          <o:OLEObject Type="Embed" ProgID="Designer.Drawing.7" ShapeID="_x0000_i1028" DrawAspect="Content" ObjectID="_1478092226" r:id="rId13"/>
        </w:object>
      </w:r>
    </w:p>
    <w:p w:rsidR="00053DCB" w:rsidRDefault="009A534E">
      <w:pPr>
        <w:pStyle w:val="FigureNo"/>
      </w:pPr>
      <w:r>
        <w:br w:type="page"/>
      </w:r>
      <w:r w:rsidR="005E1796">
        <w:lastRenderedPageBreak/>
        <w:pict>
          <v:shape id="_x0000_i1029" type="#_x0000_t75" style="width:454.5pt;height:162pt">
            <v:imagedata r:id="rId14" o:title=""/>
          </v:shape>
        </w:pict>
      </w:r>
    </w:p>
    <w:p w:rsidR="00053DCB" w:rsidRDefault="005E1796">
      <w:pPr>
        <w:pStyle w:val="FigureNo"/>
      </w:pPr>
      <w:r>
        <w:pict>
          <v:shape id="_x0000_i1030" type="#_x0000_t75" style="width:475.5pt;height:204pt">
            <v:imagedata r:id="rId15" o:title=""/>
          </v:shape>
        </w:pict>
      </w:r>
    </w:p>
    <w:p w:rsidR="00053DCB" w:rsidRDefault="009A534E">
      <w:r>
        <w:t>A l'origine, la terminologie employée dans la Recommandation UIT-T G.827 est celle utilisée pour la maintenance des conduits internationaux, étant donné que la disponibilité est l'un des principaux facteurs influant sur le comportement d'un conduit hertzien. En fait, par le passé, les caractéristiques de performance en termes d'erreur étaient un facteur négligeable, de sorte qu'elles n'étaient pas prises en considération. Aujourd'hui, du point de vue de la maintenance, la performance en termes d'erreur a la même importance que la disponibilité. En outre, les caractéristiques de performance et de disponibilité sont les éléments incontournables de la conception des liaisons.</w:t>
      </w:r>
    </w:p>
    <w:p w:rsidR="00053DCB" w:rsidRDefault="009A534E">
      <w:pPr>
        <w:rPr>
          <w:lang w:val="fr-CH"/>
        </w:rPr>
      </w:pPr>
      <w:r>
        <w:rPr>
          <w:lang w:val="fr-CH"/>
        </w:rPr>
        <w:t>Par ailleurs, les objectifs de performance en termes d'erreur, définis dans la Recommandation UIT</w:t>
      </w:r>
      <w:r>
        <w:rPr>
          <w:lang w:val="fr-CH"/>
        </w:rPr>
        <w:noBreakHyphen/>
        <w:t xml:space="preserve">R F.1668 et dans les Recommandations UIT-T G.826, UIT-T G.828 et UIT-T G.829 pour les conduits en hiérarchie numérique plésiochrone (PDH, </w:t>
      </w:r>
      <w:r>
        <w:rPr>
          <w:i/>
          <w:iCs/>
          <w:lang w:val="fr-CH"/>
        </w:rPr>
        <w:t>plesiochronous digital hierarchy</w:t>
      </w:r>
      <w:r>
        <w:rPr>
          <w:lang w:val="fr-CH"/>
        </w:rPr>
        <w:t xml:space="preserve">), en hiérarchie numérique synchrone (SDH, </w:t>
      </w:r>
      <w:r>
        <w:rPr>
          <w:i/>
          <w:iCs/>
          <w:lang w:val="fr-CH"/>
        </w:rPr>
        <w:t>synchronous digital hierarchy</w:t>
      </w:r>
      <w:r>
        <w:rPr>
          <w:lang w:val="fr-CH"/>
        </w:rPr>
        <w:t>), et pour les conduits en mode de transfert de cellules, sont fondés sur différents éléments d'un conduit. Plus particulièrement, les éléments qui composent un conduit SDH sont les sections de multiplexage (section MS) et les sections de régénération (section RS), sur lesquelles se fondent les définitions de performance. Afin de préciser la relation entre les objectifs de performance en termes d'erreur et les objectifs de disponibilité, il convient d'expliquer la relation existant entre les sections SDH et les éléments PE.</w:t>
      </w:r>
    </w:p>
    <w:p w:rsidR="00053DCB" w:rsidRDefault="009A534E">
      <w:pPr>
        <w:rPr>
          <w:lang w:val="fr-CH"/>
        </w:rPr>
      </w:pPr>
      <w:r>
        <w:rPr>
          <w:lang w:val="fr-CH"/>
        </w:rPr>
        <w:t xml:space="preserve">Les Fig. 5 et 6 représentent une liaison hertzienne utilisée dans une section d'un élément IPCE et dans une partie d'un élément NPE de section courte distance et composée de sections MS et RS SDH. Les objectifs de la présente Recommandation sont applicables à la liaison hertzienne, alors </w:t>
      </w:r>
      <w:r>
        <w:rPr>
          <w:lang w:val="fr-CH"/>
        </w:rPr>
        <w:br w:type="page"/>
      </w:r>
      <w:r>
        <w:rPr>
          <w:lang w:val="fr-CH"/>
        </w:rPr>
        <w:lastRenderedPageBreak/>
        <w:t>que les objectifs de la Recommandation UIT</w:t>
      </w:r>
      <w:r>
        <w:rPr>
          <w:lang w:val="fr-CH"/>
        </w:rPr>
        <w:noBreakHyphen/>
        <w:t>R F.1668 sont applicables aux seules sections MS et RS SDH correspondant à la liaison hertzienne. La subdivision des objectifs de disponibilité et de performance en termes d'erreur entre chaque bond n'entre pas dans le cadre de la présente Recommandation ni dans celui de la Recommandation UIT-R F.1668.</w:t>
      </w:r>
    </w:p>
    <w:p w:rsidR="00053DCB" w:rsidRDefault="005E1796">
      <w:pPr>
        <w:pStyle w:val="FigureNo"/>
      </w:pPr>
      <w:r>
        <w:pict>
          <v:shape id="_x0000_i1031" type="#_x0000_t75" style="width:465pt;height:214.5pt">
            <v:imagedata r:id="rId16" o:title=""/>
          </v:shape>
        </w:pict>
      </w:r>
    </w:p>
    <w:p w:rsidR="00053DCB" w:rsidRDefault="005E1796">
      <w:pPr>
        <w:pStyle w:val="FigureNo"/>
      </w:pPr>
      <w:r>
        <w:pict>
          <v:shape id="_x0000_i1032" type="#_x0000_t75" style="width:457.5pt;height:220pt">
            <v:imagedata r:id="rId17" o:title=""/>
          </v:shape>
        </w:pict>
      </w:r>
    </w:p>
    <w:p w:rsidR="00053DCB" w:rsidRDefault="009A534E">
      <w:pPr>
        <w:rPr>
          <w:lang w:val="fr-CH"/>
        </w:rPr>
      </w:pPr>
      <w:r>
        <w:rPr>
          <w:lang w:val="fr-CH"/>
        </w:rPr>
        <w:t>En ce qui concerne la conception d'une liaison hertzienne, outre les objectifs, il convient de porter une attention particulière aux effets de la propagation, étant donné que la relation entre la disponibilité et la performance est définie par des phénomènes de propagation. En fait, en règle générale, plus un phénomène de propagation influe sur la performance, moins il influe sur la disponibilité, ou vice versa.</w:t>
      </w:r>
    </w:p>
    <w:p w:rsidR="00053DCB" w:rsidRDefault="009A534E">
      <w:r>
        <w:t>L'objectif de disponibilité d'une liaison hertzienne, tel qu'il est défini dans la présente Recommandation, devrait être conforme aux objectifs définis dans la Recommandation UIT</w:t>
      </w:r>
      <w:r>
        <w:noBreakHyphen/>
        <w:t>T G.827 pour l'élément NPE.</w:t>
      </w:r>
    </w:p>
    <w:p w:rsidR="00053DCB" w:rsidRDefault="009A534E">
      <w:pPr>
        <w:pStyle w:val="Heading1"/>
        <w:rPr>
          <w:lang w:val="fr-CH"/>
        </w:rPr>
      </w:pPr>
      <w:r>
        <w:rPr>
          <w:lang w:val="fr-CH"/>
        </w:rPr>
        <w:br w:type="page"/>
      </w:r>
      <w:r>
        <w:rPr>
          <w:lang w:val="fr-CH"/>
        </w:rPr>
        <w:lastRenderedPageBreak/>
        <w:t>3</w:t>
      </w:r>
      <w:r>
        <w:rPr>
          <w:lang w:val="fr-CH"/>
        </w:rPr>
        <w:tab/>
        <w:t>Calcul d'objectifs de disponibilité</w:t>
      </w:r>
    </w:p>
    <w:p w:rsidR="00053DCB" w:rsidRDefault="009A534E">
      <w:pPr>
        <w:rPr>
          <w:lang w:val="fr-CH"/>
        </w:rPr>
      </w:pPr>
      <w:r>
        <w:rPr>
          <w:lang w:val="fr-CH"/>
        </w:rPr>
        <w:t>On trouvera ci-dessous des exemples d'application de la présente Recommandation à des liaisons réelles en vue du calcul des objectifs.</w:t>
      </w:r>
    </w:p>
    <w:p w:rsidR="00053DCB" w:rsidRDefault="009A534E">
      <w:pPr>
        <w:rPr>
          <w:lang w:val="fr-CH"/>
        </w:rPr>
      </w:pPr>
      <w:r>
        <w:rPr>
          <w:lang w:val="fr-CH"/>
        </w:rPr>
        <w:t>Dans les calculs qui suivent, on suppose qu'une année correspond à 525</w:t>
      </w:r>
      <w:r>
        <w:rPr>
          <w:rFonts w:ascii="Tms Rmn" w:hAnsi="Tms Rmn"/>
          <w:sz w:val="12"/>
          <w:lang w:val="fr-CH"/>
        </w:rPr>
        <w:t> </w:t>
      </w:r>
      <w:r>
        <w:rPr>
          <w:lang w:val="fr-CH"/>
        </w:rPr>
        <w:t>960 min.</w:t>
      </w:r>
    </w:p>
    <w:p w:rsidR="00053DCB" w:rsidRDefault="009A534E">
      <w:pPr>
        <w:pStyle w:val="Heading2"/>
        <w:rPr>
          <w:lang w:val="fr-CH"/>
        </w:rPr>
      </w:pPr>
      <w:r>
        <w:rPr>
          <w:lang w:val="fr-CH"/>
        </w:rPr>
        <w:t>3.1</w:t>
      </w:r>
      <w:r>
        <w:rPr>
          <w:lang w:val="fr-CH"/>
        </w:rPr>
        <w:tab/>
        <w:t>Tronçon international</w:t>
      </w:r>
    </w:p>
    <w:p w:rsidR="00053DCB" w:rsidRDefault="009A534E">
      <w:pPr>
        <w:pStyle w:val="Headingb"/>
      </w:pPr>
      <w:r>
        <w:t>Cas 1: longueur 30 km</w:t>
      </w:r>
    </w:p>
    <w:p w:rsidR="00053DCB" w:rsidRDefault="009A534E">
      <w:r>
        <w:t xml:space="preserve">Cette longueur est inférieure à </w:t>
      </w:r>
      <w:r>
        <w:rPr>
          <w:i/>
          <w:iCs/>
        </w:rPr>
        <w:t>L</w:t>
      </w:r>
      <w:r>
        <w:rPr>
          <w:i/>
          <w:iCs/>
          <w:vertAlign w:val="subscript"/>
        </w:rPr>
        <w:t>min</w:t>
      </w:r>
      <w:r>
        <w:t> </w:t>
      </w:r>
      <w:r>
        <w:rPr>
          <w:rFonts w:ascii="Symbol" w:hAnsi="Symbol"/>
        </w:rPr>
        <w:t></w:t>
      </w:r>
      <w:r>
        <w:t xml:space="preserve"> 50 km, de sorte que l'on a utilisé la valeur de </w:t>
      </w:r>
      <w:r>
        <w:rPr>
          <w:i/>
          <w:iCs/>
        </w:rPr>
        <w:t>L</w:t>
      </w:r>
      <w:r>
        <w:rPr>
          <w:i/>
          <w:iCs/>
          <w:vertAlign w:val="subscript"/>
        </w:rPr>
        <w:t>link</w:t>
      </w:r>
      <w:r>
        <w:t> </w:t>
      </w:r>
      <w:r>
        <w:rPr>
          <w:rFonts w:ascii="Symbol" w:hAnsi="Symbol"/>
        </w:rPr>
        <w:t></w:t>
      </w:r>
      <w:r>
        <w:t> 50.</w:t>
      </w:r>
    </w:p>
    <w:p w:rsidR="00053DCB" w:rsidRDefault="009A534E">
      <w:pPr>
        <w:pStyle w:val="Equation"/>
        <w:jc w:val="center"/>
      </w:pPr>
      <w:r>
        <w:rPr>
          <w:position w:val="-32"/>
        </w:rPr>
        <w:object w:dxaOrig="6860" w:dyaOrig="760">
          <v:shape id="_x0000_i1033" type="#_x0000_t75" style="width:343pt;height:38pt" o:ole="">
            <v:imagedata r:id="rId18" o:title=""/>
          </v:shape>
          <o:OLEObject Type="Embed" ProgID="Equation.3" ShapeID="_x0000_i1033" DrawAspect="Content" ObjectID="_1478092227" r:id="rId19"/>
        </w:object>
      </w:r>
    </w:p>
    <w:p w:rsidR="00053DCB" w:rsidRDefault="009A534E">
      <w:pPr>
        <w:jc w:val="center"/>
      </w:pPr>
      <w:r>
        <w:rPr>
          <w:position w:val="-58"/>
        </w:rPr>
        <w:object w:dxaOrig="5660" w:dyaOrig="960">
          <v:shape id="_x0000_i1034" type="#_x0000_t75" style="width:283pt;height:48pt" o:ole="">
            <v:imagedata r:id="rId20" o:title=""/>
          </v:shape>
          <o:OLEObject Type="Embed" ProgID="Equation.3" ShapeID="_x0000_i1034" DrawAspect="Content" ObjectID="_1478092228" r:id="rId21"/>
        </w:object>
      </w:r>
    </w:p>
    <w:p w:rsidR="00053DCB" w:rsidRDefault="009A534E">
      <w:r>
        <w:t>Ces valeurs correspondent à un taux AR de 99,985% (indisponibilité de 78 min/an), à un nombre annuel d'OI de 53 et à une durée moyenne entre événements consécutifs d'indisponibilité, Mo, de 9</w:t>
      </w:r>
      <w:r>
        <w:rPr>
          <w:rFonts w:ascii="Tms Rmn" w:hAnsi="Tms Rmn"/>
          <w:sz w:val="12"/>
        </w:rPr>
        <w:t> </w:t>
      </w:r>
      <w:r>
        <w:t>922 min ou de 6,9 jours.</w:t>
      </w:r>
    </w:p>
    <w:p w:rsidR="00053DCB" w:rsidRDefault="009A534E">
      <w:pPr>
        <w:pStyle w:val="Headingb"/>
      </w:pPr>
      <w:r>
        <w:t>Cas 2: longueur 80 km</w:t>
      </w:r>
    </w:p>
    <w:p w:rsidR="00053DCB" w:rsidRDefault="009A534E">
      <w:r>
        <w:t>La longueur est comprise dans la fourchette 50 km-250 km, de sorte que:</w:t>
      </w:r>
    </w:p>
    <w:p w:rsidR="00053DCB" w:rsidRDefault="009A534E">
      <w:pPr>
        <w:pStyle w:val="Equation"/>
        <w:jc w:val="center"/>
      </w:pPr>
      <w:r>
        <w:rPr>
          <w:position w:val="-32"/>
        </w:rPr>
        <w:object w:dxaOrig="6840" w:dyaOrig="760">
          <v:shape id="_x0000_i1035" type="#_x0000_t75" style="width:342pt;height:38pt" o:ole="">
            <v:imagedata r:id="rId22" o:title=""/>
          </v:shape>
          <o:OLEObject Type="Embed" ProgID="Equation.3" ShapeID="_x0000_i1035" DrawAspect="Content" ObjectID="_1478092229" r:id="rId23"/>
        </w:object>
      </w:r>
    </w:p>
    <w:p w:rsidR="00053DCB" w:rsidRDefault="009A534E">
      <w:pPr>
        <w:jc w:val="center"/>
      </w:pPr>
      <w:r>
        <w:rPr>
          <w:position w:val="-58"/>
        </w:rPr>
        <w:object w:dxaOrig="5840" w:dyaOrig="960">
          <v:shape id="_x0000_i1036" type="#_x0000_t75" style="width:292pt;height:48pt" o:ole="">
            <v:imagedata r:id="rId24" o:title=""/>
          </v:shape>
          <o:OLEObject Type="Embed" ProgID="Equation.3" ShapeID="_x0000_i1036" DrawAspect="Content" ObjectID="_1478092230" r:id="rId25"/>
        </w:object>
      </w:r>
    </w:p>
    <w:p w:rsidR="00053DCB" w:rsidRDefault="009A534E">
      <w:r>
        <w:t>Ces valeurs correspondent à un taux AR de 99,983% (indisponibilité de 90 min/an), à un nombre annuel d'OI de 55 et à une durée moyenne entre événements consécutifs d'indisponibilité, Mo, de 9</w:t>
      </w:r>
      <w:r>
        <w:rPr>
          <w:rFonts w:ascii="Tms Rmn" w:hAnsi="Tms Rmn"/>
          <w:sz w:val="12"/>
        </w:rPr>
        <w:t> </w:t>
      </w:r>
      <w:r>
        <w:t>596 min ou de 6,7 jours.</w:t>
      </w:r>
    </w:p>
    <w:p w:rsidR="00053DCB" w:rsidRDefault="009A534E">
      <w:pPr>
        <w:pStyle w:val="Headingb"/>
      </w:pPr>
      <w:r>
        <w:t>Cas 3: longueur 1</w:t>
      </w:r>
      <w:r>
        <w:rPr>
          <w:rFonts w:ascii="Tms Rmn" w:hAnsi="Tms Rmn"/>
          <w:sz w:val="12"/>
        </w:rPr>
        <w:t> </w:t>
      </w:r>
      <w:r>
        <w:t>056 km</w:t>
      </w:r>
    </w:p>
    <w:p w:rsidR="00053DCB" w:rsidRDefault="009A534E">
      <w:r>
        <w:t>La longueur est comprise dans la fourchette 250 km-2</w:t>
      </w:r>
      <w:r>
        <w:rPr>
          <w:rFonts w:ascii="Tms Rmn" w:hAnsi="Tms Rmn"/>
          <w:sz w:val="12"/>
        </w:rPr>
        <w:t> </w:t>
      </w:r>
      <w:r>
        <w:t>500 km, de sorte que:</w:t>
      </w:r>
    </w:p>
    <w:p w:rsidR="00053DCB" w:rsidRDefault="009A534E">
      <w:pPr>
        <w:pStyle w:val="Equation"/>
        <w:jc w:val="center"/>
      </w:pPr>
      <w:r>
        <w:rPr>
          <w:position w:val="-32"/>
        </w:rPr>
        <w:object w:dxaOrig="7640" w:dyaOrig="760">
          <v:shape id="_x0000_i1037" type="#_x0000_t75" style="width:382pt;height:38pt" o:ole="">
            <v:imagedata r:id="rId26" o:title=""/>
          </v:shape>
          <o:OLEObject Type="Embed" ProgID="Equation.3" ShapeID="_x0000_i1037" DrawAspect="Content" ObjectID="_1478092231" r:id="rId27"/>
        </w:object>
      </w:r>
    </w:p>
    <w:p w:rsidR="00053DCB" w:rsidRDefault="009A534E">
      <w:pPr>
        <w:pStyle w:val="Equation"/>
        <w:jc w:val="center"/>
      </w:pPr>
      <w:r>
        <w:rPr>
          <w:position w:val="-58"/>
        </w:rPr>
        <w:object w:dxaOrig="6020" w:dyaOrig="960">
          <v:shape id="_x0000_i1038" type="#_x0000_t75" style="width:301pt;height:48pt" o:ole="">
            <v:imagedata r:id="rId28" o:title=""/>
          </v:shape>
          <o:OLEObject Type="Embed" ProgID="Equation.3" ShapeID="_x0000_i1038" DrawAspect="Content" ObjectID="_1478092232" r:id="rId29"/>
        </w:object>
      </w:r>
    </w:p>
    <w:p w:rsidR="00053DCB" w:rsidRDefault="009A534E">
      <w:r>
        <w:t>Les valeurs précédentes correspondent à un taux AR de 99,873% (indisponibilité de 667 min/an), à un nombre annuel d'OI de 97 et à une durée moyenne entre événements consécutifs d'indisponibilité, Mo, de 5</w:t>
      </w:r>
      <w:r>
        <w:rPr>
          <w:rFonts w:ascii="Tms Rmn" w:hAnsi="Tms Rmn"/>
          <w:sz w:val="12"/>
        </w:rPr>
        <w:t> </w:t>
      </w:r>
      <w:r>
        <w:t>402 min ou de 3,7 jours.</w:t>
      </w:r>
    </w:p>
    <w:p w:rsidR="00053DCB" w:rsidRDefault="009A534E">
      <w:pPr>
        <w:pStyle w:val="Heading2"/>
        <w:rPr>
          <w:lang w:val="fr-CH"/>
        </w:rPr>
      </w:pPr>
      <w:r>
        <w:rPr>
          <w:lang w:val="fr-CH"/>
        </w:rPr>
        <w:br w:type="page"/>
      </w:r>
      <w:r>
        <w:rPr>
          <w:lang w:val="fr-CH"/>
        </w:rPr>
        <w:lastRenderedPageBreak/>
        <w:t>3.2</w:t>
      </w:r>
      <w:r>
        <w:rPr>
          <w:lang w:val="fr-CH"/>
        </w:rPr>
        <w:tab/>
        <w:t>Tronçon national</w:t>
      </w:r>
    </w:p>
    <w:p w:rsidR="00053DCB" w:rsidRDefault="009A534E">
      <w:pPr>
        <w:pStyle w:val="Headingb"/>
        <w:rPr>
          <w:lang w:val="fr-CH"/>
        </w:rPr>
      </w:pPr>
      <w:r>
        <w:rPr>
          <w:lang w:val="fr-CH"/>
        </w:rPr>
        <w:t>Cas 1: longueur de la section accès: 30 km</w:t>
      </w:r>
    </w:p>
    <w:p w:rsidR="00053DCB" w:rsidRDefault="009A534E">
      <w:pPr>
        <w:rPr>
          <w:lang w:val="fr-CH"/>
        </w:rPr>
      </w:pPr>
      <w:r>
        <w:rPr>
          <w:lang w:val="fr-CH"/>
        </w:rPr>
        <w:t xml:space="preserve">Cette longueur est inférieure à </w:t>
      </w:r>
      <w:r>
        <w:rPr>
          <w:i/>
          <w:iCs/>
          <w:lang w:val="fr-CH"/>
        </w:rPr>
        <w:t>L</w:t>
      </w:r>
      <w:r>
        <w:rPr>
          <w:i/>
          <w:iCs/>
          <w:vertAlign w:val="subscript"/>
          <w:lang w:val="fr-CH"/>
        </w:rPr>
        <w:t>min</w:t>
      </w:r>
      <w:r>
        <w:rPr>
          <w:lang w:val="fr-CH"/>
        </w:rPr>
        <w:t> </w:t>
      </w:r>
      <w:r>
        <w:rPr>
          <w:rFonts w:ascii="Symbol" w:hAnsi="Symbol"/>
          <w:lang w:val="fr-CH"/>
        </w:rPr>
        <w:t></w:t>
      </w:r>
      <w:r>
        <w:rPr>
          <w:lang w:val="fr-CH"/>
        </w:rPr>
        <w:t xml:space="preserve"> 50 km, de sorte que l'on a utilisé la valeur </w:t>
      </w:r>
      <w:r>
        <w:rPr>
          <w:i/>
          <w:iCs/>
          <w:lang w:val="fr-CH"/>
        </w:rPr>
        <w:t>L</w:t>
      </w:r>
      <w:r>
        <w:rPr>
          <w:i/>
          <w:iCs/>
          <w:vertAlign w:val="subscript"/>
          <w:lang w:val="fr-CH"/>
        </w:rPr>
        <w:t>link</w:t>
      </w:r>
      <w:r>
        <w:rPr>
          <w:lang w:val="fr-CH"/>
        </w:rPr>
        <w:t> </w:t>
      </w:r>
      <w:r>
        <w:rPr>
          <w:rFonts w:ascii="Symbol" w:hAnsi="Symbol"/>
          <w:lang w:val="fr-CH"/>
        </w:rPr>
        <w:t></w:t>
      </w:r>
      <w:r>
        <w:rPr>
          <w:lang w:val="fr-CH"/>
        </w:rPr>
        <w:t> 50 km.</w:t>
      </w:r>
    </w:p>
    <w:p w:rsidR="00053DCB" w:rsidRDefault="009A534E">
      <w:pPr>
        <w:pStyle w:val="Equation"/>
        <w:spacing w:before="240"/>
      </w:pPr>
      <w:r>
        <w:rPr>
          <w:lang w:val="fr-CH"/>
        </w:rPr>
        <w:tab/>
      </w:r>
      <w:r>
        <w:rPr>
          <w:lang w:val="fr-CH"/>
        </w:rPr>
        <w:tab/>
      </w:r>
      <w:r>
        <w:rPr>
          <w:position w:val="-32"/>
          <w:sz w:val="20"/>
        </w:rPr>
        <w:object w:dxaOrig="6700" w:dyaOrig="760">
          <v:shape id="_x0000_i1039" type="#_x0000_t75" style="width:335pt;height:38pt" o:ole="">
            <v:imagedata r:id="rId30" o:title=""/>
          </v:shape>
          <o:OLEObject Type="Embed" ProgID="Equation.3" ShapeID="_x0000_i1039" DrawAspect="Content" ObjectID="_1478092233" r:id="rId31"/>
        </w:object>
      </w:r>
    </w:p>
    <w:p w:rsidR="00053DCB" w:rsidRDefault="009A534E">
      <w:pPr>
        <w:pStyle w:val="Equation"/>
        <w:spacing w:before="240"/>
      </w:pPr>
      <w:r>
        <w:tab/>
      </w:r>
      <w:r>
        <w:tab/>
      </w:r>
      <w:r>
        <w:rPr>
          <w:position w:val="-58"/>
        </w:rPr>
        <w:object w:dxaOrig="5380" w:dyaOrig="960">
          <v:shape id="_x0000_i1040" type="#_x0000_t75" style="width:269pt;height:48pt" o:ole="">
            <v:imagedata r:id="rId32" o:title=""/>
          </v:shape>
          <o:OLEObject Type="Embed" ProgID="Equation.3" ShapeID="_x0000_i1040" DrawAspect="Content" ObjectID="_1478092234" r:id="rId33"/>
        </w:object>
      </w:r>
    </w:p>
    <w:p w:rsidR="00053DCB" w:rsidRDefault="009A534E">
      <w:pPr>
        <w:rPr>
          <w:lang w:val="fr-CH"/>
        </w:rPr>
      </w:pPr>
      <w:r>
        <w:rPr>
          <w:lang w:val="fr-CH"/>
        </w:rPr>
        <w:t xml:space="preserve">Ces valeurs correspondent à un taux AR de 99,95% (indisponibilité de 263 min/an), à un nombre annuel d'événements de OI </w:t>
      </w:r>
      <w:r>
        <w:rPr>
          <w:rFonts w:ascii="Symbol" w:hAnsi="Symbol"/>
          <w:lang w:val="fr-CH"/>
        </w:rPr>
        <w:t></w:t>
      </w:r>
      <w:r>
        <w:rPr>
          <w:lang w:val="fr-CH"/>
        </w:rPr>
        <w:t xml:space="preserve"> 100 et à une durée moyenne entre événements consécutifs d'indisponibilité, Mo </w:t>
      </w:r>
      <w:r>
        <w:rPr>
          <w:rFonts w:ascii="Symbol" w:hAnsi="Symbol"/>
          <w:lang w:val="fr-CH"/>
        </w:rPr>
        <w:t></w:t>
      </w:r>
      <w:r>
        <w:rPr>
          <w:lang w:val="fr-CH"/>
        </w:rPr>
        <w:t xml:space="preserve"> 5</w:t>
      </w:r>
      <w:r>
        <w:rPr>
          <w:rFonts w:ascii="Tms Rmn" w:hAnsi="Tms Rmn"/>
          <w:sz w:val="12"/>
          <w:lang w:val="fr-CH"/>
        </w:rPr>
        <w:t> </w:t>
      </w:r>
      <w:r>
        <w:rPr>
          <w:lang w:val="fr-CH"/>
        </w:rPr>
        <w:t>257 min.</w:t>
      </w:r>
    </w:p>
    <w:p w:rsidR="00053DCB" w:rsidRDefault="009A534E">
      <w:pPr>
        <w:pStyle w:val="Headingb"/>
        <w:rPr>
          <w:lang w:val="fr-CH"/>
        </w:rPr>
      </w:pPr>
      <w:r>
        <w:rPr>
          <w:lang w:val="fr-CH"/>
        </w:rPr>
        <w:t>Cas 2: longueur de la section courte distance: 105 km</w:t>
      </w:r>
    </w:p>
    <w:p w:rsidR="00053DCB" w:rsidRDefault="009A534E">
      <w:pPr>
        <w:rPr>
          <w:lang w:val="fr-CH"/>
        </w:rPr>
      </w:pPr>
      <w:r>
        <w:rPr>
          <w:lang w:val="fr-CH"/>
        </w:rPr>
        <w:t>Cette longueur est comprise dans la fourchette 50-250 km, de sorte que:</w:t>
      </w:r>
    </w:p>
    <w:p w:rsidR="00053DCB" w:rsidRDefault="009A534E">
      <w:pPr>
        <w:pStyle w:val="Equation"/>
        <w:spacing w:before="240"/>
      </w:pPr>
      <w:r>
        <w:rPr>
          <w:lang w:val="fr-CH"/>
        </w:rPr>
        <w:tab/>
      </w:r>
      <w:r>
        <w:rPr>
          <w:lang w:val="fr-CH"/>
        </w:rPr>
        <w:tab/>
      </w:r>
      <w:r>
        <w:rPr>
          <w:position w:val="-32"/>
          <w:sz w:val="20"/>
        </w:rPr>
        <w:object w:dxaOrig="6740" w:dyaOrig="760">
          <v:shape id="_x0000_i1041" type="#_x0000_t75" style="width:337pt;height:38pt" o:ole="">
            <v:imagedata r:id="rId34" o:title=""/>
          </v:shape>
          <o:OLEObject Type="Embed" ProgID="Equation.3" ShapeID="_x0000_i1041" DrawAspect="Content" ObjectID="_1478092235" r:id="rId35"/>
        </w:object>
      </w:r>
    </w:p>
    <w:p w:rsidR="00053DCB" w:rsidRDefault="009A534E">
      <w:pPr>
        <w:pStyle w:val="Equation"/>
        <w:spacing w:before="240"/>
      </w:pPr>
      <w:r>
        <w:tab/>
      </w:r>
      <w:r>
        <w:tab/>
      </w:r>
      <w:r>
        <w:rPr>
          <w:position w:val="-58"/>
        </w:rPr>
        <w:object w:dxaOrig="5700" w:dyaOrig="960">
          <v:shape id="_x0000_i1042" type="#_x0000_t75" style="width:285pt;height:48pt" o:ole="">
            <v:imagedata r:id="rId36" o:title=""/>
          </v:shape>
          <o:OLEObject Type="Embed" ProgID="Equation.3" ShapeID="_x0000_i1042" DrawAspect="Content" ObjectID="_1478092236" r:id="rId37"/>
        </w:object>
      </w:r>
    </w:p>
    <w:p w:rsidR="00053DCB" w:rsidRDefault="009A534E">
      <w:pPr>
        <w:rPr>
          <w:lang w:val="fr-CH"/>
        </w:rPr>
      </w:pPr>
      <w:r>
        <w:rPr>
          <w:lang w:val="fr-CH"/>
        </w:rPr>
        <w:t>Ces valeurs correspondent à un taux AR de 99,96% (indisponibilité de 210 min/an), à un nombre annuel de OI </w:t>
      </w:r>
      <w:r>
        <w:rPr>
          <w:rFonts w:ascii="Symbol" w:hAnsi="Symbol"/>
          <w:lang w:val="fr-CH"/>
        </w:rPr>
        <w:t></w:t>
      </w:r>
      <w:r>
        <w:rPr>
          <w:lang w:val="fr-CH"/>
        </w:rPr>
        <w:t> 120 et à une durée moyenne entre événements consécutifs d'indisponibilité Mo </w:t>
      </w:r>
      <w:r>
        <w:rPr>
          <w:rFonts w:ascii="Symbol" w:hAnsi="Symbol"/>
          <w:lang w:val="fr-CH"/>
        </w:rPr>
        <w:t></w:t>
      </w:r>
      <w:r>
        <w:rPr>
          <w:lang w:val="fr-CH"/>
        </w:rPr>
        <w:t> 4</w:t>
      </w:r>
      <w:r>
        <w:rPr>
          <w:rFonts w:ascii="Tms Rmn" w:hAnsi="Tms Rmn"/>
          <w:sz w:val="12"/>
          <w:lang w:val="fr-CH"/>
        </w:rPr>
        <w:t> </w:t>
      </w:r>
      <w:r>
        <w:rPr>
          <w:lang w:val="fr-CH"/>
        </w:rPr>
        <w:t>381 min.</w:t>
      </w:r>
    </w:p>
    <w:p w:rsidR="00053DCB" w:rsidRDefault="009A534E">
      <w:pPr>
        <w:pStyle w:val="Headingb"/>
        <w:rPr>
          <w:lang w:val="fr-CH"/>
        </w:rPr>
      </w:pPr>
      <w:r>
        <w:rPr>
          <w:lang w:val="fr-CH"/>
        </w:rPr>
        <w:t>Cas 3: longueur de la section grande distance: 960 km</w:t>
      </w:r>
    </w:p>
    <w:p w:rsidR="00053DCB" w:rsidRDefault="009A534E">
      <w:pPr>
        <w:rPr>
          <w:lang w:val="fr-CH"/>
        </w:rPr>
      </w:pPr>
      <w:r>
        <w:rPr>
          <w:lang w:val="fr-CH"/>
        </w:rPr>
        <w:t>La longueur est comprise dans la fourchette 250-2</w:t>
      </w:r>
      <w:r>
        <w:rPr>
          <w:rFonts w:ascii="Tms Rmn" w:hAnsi="Tms Rmn"/>
          <w:sz w:val="12"/>
          <w:lang w:val="fr-CH"/>
        </w:rPr>
        <w:t> </w:t>
      </w:r>
      <w:r>
        <w:rPr>
          <w:lang w:val="fr-CH"/>
        </w:rPr>
        <w:t>500 km, de sorte que:</w:t>
      </w:r>
    </w:p>
    <w:p w:rsidR="00053DCB" w:rsidRDefault="009A534E">
      <w:pPr>
        <w:pStyle w:val="Equation"/>
        <w:spacing w:before="240"/>
      </w:pPr>
      <w:r>
        <w:rPr>
          <w:lang w:val="fr-CH"/>
        </w:rPr>
        <w:tab/>
      </w:r>
      <w:r>
        <w:rPr>
          <w:lang w:val="fr-CH"/>
        </w:rPr>
        <w:tab/>
      </w:r>
      <w:r>
        <w:rPr>
          <w:position w:val="-32"/>
          <w:sz w:val="20"/>
        </w:rPr>
        <w:object w:dxaOrig="7000" w:dyaOrig="760">
          <v:shape id="_x0000_i1043" type="#_x0000_t75" style="width:350pt;height:38pt" o:ole="">
            <v:imagedata r:id="rId38" o:title=""/>
          </v:shape>
          <o:OLEObject Type="Embed" ProgID="Equation.3" ShapeID="_x0000_i1043" DrawAspect="Content" ObjectID="_1478092237" r:id="rId39"/>
        </w:object>
      </w:r>
    </w:p>
    <w:p w:rsidR="00053DCB" w:rsidRDefault="009A534E">
      <w:pPr>
        <w:pStyle w:val="Equation"/>
        <w:spacing w:before="240"/>
      </w:pPr>
      <w:r>
        <w:tab/>
      </w:r>
      <w:r>
        <w:tab/>
      </w:r>
      <w:r>
        <w:rPr>
          <w:position w:val="-58"/>
        </w:rPr>
        <w:object w:dxaOrig="5899" w:dyaOrig="960">
          <v:shape id="_x0000_i1044" type="#_x0000_t75" style="width:295pt;height:48pt" o:ole="">
            <v:imagedata r:id="rId40" o:title=""/>
          </v:shape>
          <o:OLEObject Type="Embed" ProgID="Equation.3" ShapeID="_x0000_i1044" DrawAspect="Content" ObjectID="_1478092238" r:id="rId41"/>
        </w:object>
      </w:r>
    </w:p>
    <w:p w:rsidR="00053DCB" w:rsidRDefault="009A534E">
      <w:pPr>
        <w:rPr>
          <w:lang w:val="fr-CH"/>
        </w:rPr>
      </w:pPr>
      <w:r>
        <w:rPr>
          <w:lang w:val="fr-CH"/>
        </w:rPr>
        <w:t xml:space="preserve">Ces valeurs correspondent à un taux AR de 99,88% (indisponibilité de 606 min/an), à un nombre annuel d'événements d'indisponibilité OI </w:t>
      </w:r>
      <w:r>
        <w:rPr>
          <w:rFonts w:ascii="Symbol" w:hAnsi="Symbol"/>
          <w:lang w:val="fr-CH"/>
        </w:rPr>
        <w:t></w:t>
      </w:r>
      <w:r>
        <w:rPr>
          <w:lang w:val="fr-CH"/>
        </w:rPr>
        <w:t xml:space="preserve"> 93 et à une durée moyenne entre événements consécutifs d'indisponibilité Mo </w:t>
      </w:r>
      <w:r>
        <w:rPr>
          <w:rFonts w:ascii="Symbol" w:hAnsi="Symbol"/>
          <w:lang w:val="fr-CH"/>
        </w:rPr>
        <w:t></w:t>
      </w:r>
      <w:r>
        <w:rPr>
          <w:lang w:val="fr-CH"/>
        </w:rPr>
        <w:t xml:space="preserve"> 5</w:t>
      </w:r>
      <w:r>
        <w:rPr>
          <w:rFonts w:ascii="Tms Rmn" w:hAnsi="Tms Rmn"/>
          <w:sz w:val="12"/>
          <w:lang w:val="fr-CH"/>
        </w:rPr>
        <w:t> </w:t>
      </w:r>
      <w:r>
        <w:rPr>
          <w:lang w:val="fr-CH"/>
        </w:rPr>
        <w:t>627 min.</w:t>
      </w:r>
    </w:p>
    <w:p w:rsidR="00053DCB" w:rsidRDefault="009A534E">
      <w:pPr>
        <w:pStyle w:val="Headingb"/>
        <w:rPr>
          <w:lang w:val="fr-CH"/>
        </w:rPr>
      </w:pPr>
      <w:r>
        <w:rPr>
          <w:lang w:val="fr-CH"/>
        </w:rPr>
        <w:br w:type="page"/>
      </w:r>
      <w:r>
        <w:rPr>
          <w:lang w:val="fr-CH"/>
        </w:rPr>
        <w:lastRenderedPageBreak/>
        <w:t>Cas 4: objectifs globaux pour une liaison de 1</w:t>
      </w:r>
      <w:r>
        <w:rPr>
          <w:rFonts w:ascii="Tms Rmn" w:hAnsi="Tms Rmn"/>
          <w:sz w:val="12"/>
          <w:lang w:val="fr-CH"/>
        </w:rPr>
        <w:t> </w:t>
      </w:r>
      <w:r>
        <w:rPr>
          <w:lang w:val="fr-CH"/>
        </w:rPr>
        <w:t>095 km composée d'une section accès de 30 km, d'une section courte distance de 105 km et d'une section grande distance de 960 km</w:t>
      </w:r>
    </w:p>
    <w:p w:rsidR="00053DCB" w:rsidRDefault="009A534E">
      <w:pPr>
        <w:rPr>
          <w:lang w:val="fr-CH"/>
        </w:rPr>
      </w:pPr>
      <w:r>
        <w:rPr>
          <w:lang w:val="fr-CH"/>
        </w:rPr>
        <w:t>Les objectifs de taux AR de cette liaison sont donnés par la somme des objectifs d'indisponibilité correspondant à la partie de la liaison appartenant à chaque section de réseau:</w:t>
      </w:r>
    </w:p>
    <w:p w:rsidR="00053DCB" w:rsidRDefault="009A534E">
      <w:pPr>
        <w:pStyle w:val="Equation"/>
        <w:spacing w:before="240"/>
        <w:jc w:val="center"/>
      </w:pPr>
      <w:r>
        <w:rPr>
          <w:position w:val="-12"/>
        </w:rPr>
        <w:object w:dxaOrig="9480" w:dyaOrig="420">
          <v:shape id="_x0000_i1045" type="#_x0000_t75" style="width:473pt;height:21pt" o:ole="">
            <v:imagedata r:id="rId42" o:title=""/>
          </v:shape>
          <o:OLEObject Type="Embed" ProgID="Equation.3" ShapeID="_x0000_i1045" DrawAspect="Content" ObjectID="_1478092239" r:id="rId43"/>
        </w:object>
      </w:r>
    </w:p>
    <w:p w:rsidR="00053DCB" w:rsidRDefault="009A534E">
      <w:pPr>
        <w:rPr>
          <w:lang w:val="fr-CH"/>
        </w:rPr>
      </w:pPr>
      <w:r>
        <w:rPr>
          <w:lang w:val="fr-CH"/>
        </w:rPr>
        <w:t>où:</w:t>
      </w:r>
    </w:p>
    <w:p w:rsidR="00053DCB" w:rsidRDefault="009A534E">
      <w:pPr>
        <w:pStyle w:val="Equationlegend"/>
        <w:rPr>
          <w:lang w:val="fr-CH"/>
        </w:rPr>
      </w:pPr>
      <w:r w:rsidRPr="00CD3AE5">
        <w:rPr>
          <w:lang w:val="fr-CH"/>
        </w:rPr>
        <w:tab/>
      </w:r>
      <w:r>
        <w:rPr>
          <w:i/>
          <w:iCs/>
          <w:lang w:val="fr-CH"/>
        </w:rPr>
        <w:t>UR</w:t>
      </w:r>
      <w:r>
        <w:rPr>
          <w:rFonts w:ascii="Tms Rmn" w:hAnsi="Tms Rmn"/>
          <w:sz w:val="12"/>
          <w:lang w:val="fr-CH"/>
        </w:rPr>
        <w:t> </w:t>
      </w:r>
      <w:r>
        <w:rPr>
          <w:lang w:val="fr-CH"/>
        </w:rPr>
        <w:t>:</w:t>
      </w:r>
      <w:r>
        <w:rPr>
          <w:lang w:val="fr-CH"/>
        </w:rPr>
        <w:tab/>
        <w:t>taux d'indisponibilité total</w:t>
      </w:r>
    </w:p>
    <w:p w:rsidR="00053DCB" w:rsidRDefault="009A534E">
      <w:pPr>
        <w:pStyle w:val="Equationlegend"/>
        <w:rPr>
          <w:lang w:val="fr-CH"/>
        </w:rPr>
      </w:pPr>
      <w:r>
        <w:rPr>
          <w:lang w:val="fr-CH"/>
        </w:rPr>
        <w:tab/>
      </w:r>
      <w:r>
        <w:rPr>
          <w:i/>
          <w:iCs/>
          <w:lang w:val="fr-CH"/>
        </w:rPr>
        <w:t>UR</w:t>
      </w:r>
      <w:r>
        <w:rPr>
          <w:i/>
          <w:iCs/>
          <w:vertAlign w:val="subscript"/>
          <w:lang w:val="fr-CH"/>
        </w:rPr>
        <w:t>AN</w:t>
      </w:r>
      <w:r>
        <w:rPr>
          <w:rFonts w:ascii="Tms Rmn" w:hAnsi="Tms Rmn"/>
          <w:sz w:val="12"/>
          <w:lang w:val="fr-CH"/>
        </w:rPr>
        <w:t> </w:t>
      </w:r>
      <w:r>
        <w:rPr>
          <w:lang w:val="fr-CH"/>
        </w:rPr>
        <w:t>:</w:t>
      </w:r>
      <w:r>
        <w:rPr>
          <w:lang w:val="fr-CH"/>
        </w:rPr>
        <w:tab/>
        <w:t>objectif de taux d'indisponibilité pour la section accès</w:t>
      </w:r>
    </w:p>
    <w:p w:rsidR="00053DCB" w:rsidRDefault="009A534E">
      <w:pPr>
        <w:pStyle w:val="Equationlegend"/>
        <w:rPr>
          <w:lang w:val="fr-CH"/>
        </w:rPr>
      </w:pPr>
      <w:r>
        <w:rPr>
          <w:lang w:val="fr-CH"/>
        </w:rPr>
        <w:tab/>
      </w:r>
      <w:r>
        <w:rPr>
          <w:i/>
          <w:iCs/>
          <w:lang w:val="fr-CH"/>
        </w:rPr>
        <w:t>UR</w:t>
      </w:r>
      <w:r>
        <w:rPr>
          <w:i/>
          <w:iCs/>
          <w:vertAlign w:val="subscript"/>
          <w:lang w:val="fr-CH"/>
        </w:rPr>
        <w:t>SH</w:t>
      </w:r>
      <w:r>
        <w:rPr>
          <w:rFonts w:ascii="Tms Rmn" w:hAnsi="Tms Rmn"/>
          <w:sz w:val="12"/>
          <w:lang w:val="fr-CH"/>
        </w:rPr>
        <w:t> </w:t>
      </w:r>
      <w:r>
        <w:rPr>
          <w:lang w:val="fr-CH"/>
        </w:rPr>
        <w:t>:</w:t>
      </w:r>
      <w:r>
        <w:rPr>
          <w:lang w:val="fr-CH"/>
        </w:rPr>
        <w:tab/>
        <w:t>objectif de taux d'indisponibilité pour la section courte distance</w:t>
      </w:r>
    </w:p>
    <w:p w:rsidR="00053DCB" w:rsidRDefault="009A534E">
      <w:pPr>
        <w:pStyle w:val="Equationlegend"/>
        <w:rPr>
          <w:lang w:val="fr-CH"/>
        </w:rPr>
      </w:pPr>
      <w:r>
        <w:rPr>
          <w:lang w:val="fr-CH"/>
        </w:rPr>
        <w:tab/>
      </w:r>
      <w:r>
        <w:rPr>
          <w:i/>
          <w:iCs/>
          <w:lang w:val="fr-CH"/>
        </w:rPr>
        <w:t>UR</w:t>
      </w:r>
      <w:r>
        <w:rPr>
          <w:i/>
          <w:iCs/>
          <w:vertAlign w:val="subscript"/>
          <w:lang w:val="fr-CH"/>
        </w:rPr>
        <w:t>LH</w:t>
      </w:r>
      <w:r>
        <w:rPr>
          <w:rFonts w:ascii="Tms Rmn" w:hAnsi="Tms Rmn"/>
          <w:sz w:val="12"/>
          <w:lang w:val="fr-CH"/>
        </w:rPr>
        <w:t> </w:t>
      </w:r>
      <w:r>
        <w:rPr>
          <w:lang w:val="fr-CH"/>
        </w:rPr>
        <w:t>:</w:t>
      </w:r>
      <w:r>
        <w:rPr>
          <w:lang w:val="fr-CH"/>
        </w:rPr>
        <w:tab/>
        <w:t>objectif de taux d'indisponibilité pour la section grande distance (voir les exemples ci-dessus).</w:t>
      </w:r>
    </w:p>
    <w:p w:rsidR="00053DCB" w:rsidRDefault="009A534E">
      <w:pPr>
        <w:rPr>
          <w:lang w:val="fr-CH"/>
        </w:rPr>
      </w:pPr>
      <w:r>
        <w:rPr>
          <w:lang w:val="fr-CH"/>
        </w:rPr>
        <w:t>L'objectif de Mo est l'inverse de la somme des objectifs de OI correspondant à la partie de la liaison appartenant à chaque section de réseau:</w:t>
      </w:r>
    </w:p>
    <w:p w:rsidR="00053DCB" w:rsidRDefault="009A534E">
      <w:pPr>
        <w:pStyle w:val="Equation"/>
      </w:pPr>
      <w:r>
        <w:rPr>
          <w:lang w:val="fr-CH"/>
        </w:rPr>
        <w:tab/>
      </w:r>
      <w:r>
        <w:rPr>
          <w:lang w:val="fr-CH"/>
        </w:rPr>
        <w:tab/>
      </w:r>
      <w:r>
        <w:rPr>
          <w:position w:val="-30"/>
          <w:sz w:val="20"/>
        </w:rPr>
        <w:object w:dxaOrig="6860" w:dyaOrig="680">
          <v:shape id="_x0000_i1046" type="#_x0000_t75" style="width:343pt;height:34pt" o:ole="">
            <v:imagedata r:id="rId44" o:title=""/>
          </v:shape>
          <o:OLEObject Type="Embed" ProgID="Equation.3" ShapeID="_x0000_i1046" DrawAspect="Content" ObjectID="_1478092240" r:id="rId45"/>
        </w:object>
      </w:r>
    </w:p>
    <w:p w:rsidR="00053DCB" w:rsidRDefault="009A534E">
      <w:pPr>
        <w:rPr>
          <w:lang w:val="fr-CH"/>
        </w:rPr>
      </w:pPr>
      <w:r>
        <w:rPr>
          <w:lang w:val="fr-CH"/>
        </w:rPr>
        <w:t>où:</w:t>
      </w:r>
    </w:p>
    <w:p w:rsidR="00053DCB" w:rsidRDefault="009A534E">
      <w:pPr>
        <w:pStyle w:val="Equationlegend"/>
        <w:rPr>
          <w:lang w:val="fr-CH"/>
        </w:rPr>
      </w:pPr>
      <w:r w:rsidRPr="00CD3AE5">
        <w:rPr>
          <w:i/>
          <w:iCs/>
          <w:lang w:val="fr-CH"/>
        </w:rPr>
        <w:tab/>
      </w:r>
      <w:r>
        <w:rPr>
          <w:i/>
          <w:iCs/>
          <w:lang w:val="fr-CH"/>
        </w:rPr>
        <w:t>Mo</w:t>
      </w:r>
      <w:r>
        <w:rPr>
          <w:rFonts w:ascii="Tms Rmn" w:hAnsi="Tms Rmn"/>
          <w:sz w:val="12"/>
          <w:lang w:val="fr-CH"/>
        </w:rPr>
        <w:t> </w:t>
      </w:r>
      <w:r>
        <w:rPr>
          <w:lang w:val="fr-CH"/>
        </w:rPr>
        <w:t>:</w:t>
      </w:r>
      <w:r>
        <w:rPr>
          <w:lang w:val="fr-CH"/>
        </w:rPr>
        <w:tab/>
        <w:t>durée moyenne entre interruptions pour toute la liaison</w:t>
      </w:r>
    </w:p>
    <w:p w:rsidR="00053DCB" w:rsidRDefault="009A534E">
      <w:pPr>
        <w:pStyle w:val="Equationlegend"/>
        <w:rPr>
          <w:lang w:val="fr-CH"/>
        </w:rPr>
      </w:pPr>
      <w:r>
        <w:rPr>
          <w:i/>
          <w:iCs/>
          <w:lang w:val="fr-CH"/>
        </w:rPr>
        <w:tab/>
        <w:t>OI</w:t>
      </w:r>
      <w:r>
        <w:rPr>
          <w:i/>
          <w:iCs/>
          <w:vertAlign w:val="subscript"/>
          <w:lang w:val="fr-CH"/>
        </w:rPr>
        <w:t>AN</w:t>
      </w:r>
      <w:r>
        <w:rPr>
          <w:rFonts w:ascii="Tms Rmn" w:hAnsi="Tms Rmn"/>
          <w:sz w:val="12"/>
          <w:lang w:val="fr-CH"/>
        </w:rPr>
        <w:t> </w:t>
      </w:r>
      <w:r>
        <w:rPr>
          <w:lang w:val="fr-CH"/>
        </w:rPr>
        <w:t>:</w:t>
      </w:r>
      <w:r>
        <w:rPr>
          <w:lang w:val="fr-CH"/>
        </w:rPr>
        <w:tab/>
        <w:t>objectif de fréquence d'interruption pour la section accès</w:t>
      </w:r>
    </w:p>
    <w:p w:rsidR="00053DCB" w:rsidRDefault="009A534E">
      <w:pPr>
        <w:pStyle w:val="Equationlegend"/>
        <w:rPr>
          <w:lang w:val="fr-CH"/>
        </w:rPr>
      </w:pPr>
      <w:r>
        <w:rPr>
          <w:i/>
          <w:iCs/>
          <w:lang w:val="fr-CH"/>
        </w:rPr>
        <w:tab/>
        <w:t>OI</w:t>
      </w:r>
      <w:r>
        <w:rPr>
          <w:i/>
          <w:iCs/>
          <w:vertAlign w:val="subscript"/>
          <w:lang w:val="fr-CH"/>
        </w:rPr>
        <w:t>SH</w:t>
      </w:r>
      <w:r>
        <w:rPr>
          <w:rFonts w:ascii="Tms Rmn" w:hAnsi="Tms Rmn"/>
          <w:sz w:val="12"/>
          <w:lang w:val="fr-CH"/>
        </w:rPr>
        <w:t> </w:t>
      </w:r>
      <w:r>
        <w:rPr>
          <w:lang w:val="fr-CH"/>
        </w:rPr>
        <w:t>:</w:t>
      </w:r>
      <w:r>
        <w:rPr>
          <w:lang w:val="fr-CH"/>
        </w:rPr>
        <w:tab/>
        <w:t>objectif de fréquence d'interruption pour la section courte distance</w:t>
      </w:r>
    </w:p>
    <w:p w:rsidR="00053DCB" w:rsidRDefault="009A534E">
      <w:pPr>
        <w:pStyle w:val="Equationlegend"/>
        <w:rPr>
          <w:lang w:val="fr-CH"/>
        </w:rPr>
      </w:pPr>
      <w:r>
        <w:rPr>
          <w:i/>
          <w:iCs/>
          <w:lang w:val="fr-CH"/>
        </w:rPr>
        <w:tab/>
        <w:t>OI</w:t>
      </w:r>
      <w:r>
        <w:rPr>
          <w:i/>
          <w:iCs/>
          <w:vertAlign w:val="subscript"/>
          <w:lang w:val="fr-CH"/>
        </w:rPr>
        <w:t>LH</w:t>
      </w:r>
      <w:r>
        <w:rPr>
          <w:rFonts w:ascii="Tms Rmn" w:hAnsi="Tms Rmn"/>
          <w:sz w:val="12"/>
          <w:lang w:val="fr-CH"/>
        </w:rPr>
        <w:t> </w:t>
      </w:r>
      <w:r>
        <w:rPr>
          <w:lang w:val="fr-CH"/>
        </w:rPr>
        <w:t>:</w:t>
      </w:r>
      <w:r>
        <w:rPr>
          <w:lang w:val="fr-CH"/>
        </w:rPr>
        <w:tab/>
        <w:t>objectif de fréquence d'interruption pour la section grande distance (voir les exemples ci-dessus).</w:t>
      </w:r>
    </w:p>
    <w:p w:rsidR="00053DCB" w:rsidRDefault="009A534E" w:rsidP="009A534E">
      <w:pPr>
        <w:rPr>
          <w:lang w:val="fr-CH"/>
        </w:rPr>
      </w:pPr>
      <w:r>
        <w:rPr>
          <w:lang w:val="fr-CH"/>
        </w:rPr>
        <w:t xml:space="preserve">Ces valeurs correspondent à un taux AR de </w:t>
      </w:r>
      <w:r w:rsidRPr="009A534E">
        <w:rPr>
          <w:lang w:val="fr-CH"/>
        </w:rPr>
        <w:t>99,79</w:t>
      </w:r>
      <w:r>
        <w:rPr>
          <w:lang w:val="fr-CH"/>
        </w:rPr>
        <w:t xml:space="preserve">% (indisponibilité de </w:t>
      </w:r>
      <w:r w:rsidRPr="00CD3AE5">
        <w:rPr>
          <w:lang w:val="fr-CH"/>
        </w:rPr>
        <w:t>1 114 </w:t>
      </w:r>
      <w:r>
        <w:rPr>
          <w:lang w:val="fr-CH"/>
        </w:rPr>
        <w:t xml:space="preserve">min/an), à un nombre annuel de OI </w:t>
      </w:r>
      <w:r>
        <w:rPr>
          <w:rFonts w:ascii="Symbol" w:hAnsi="Symbol"/>
          <w:lang w:val="fr-CH"/>
        </w:rPr>
        <w:t></w:t>
      </w:r>
      <w:r>
        <w:rPr>
          <w:lang w:val="fr-CH"/>
        </w:rPr>
        <w:t xml:space="preserve"> 313 et à une durée moyenne entre événements consécutifs d'indisponibilité, Mo </w:t>
      </w:r>
      <w:r>
        <w:rPr>
          <w:rFonts w:ascii="Symbol" w:hAnsi="Symbol"/>
          <w:lang w:val="fr-CH"/>
        </w:rPr>
        <w:t></w:t>
      </w:r>
      <w:r>
        <w:rPr>
          <w:lang w:val="fr-CH"/>
        </w:rPr>
        <w:t> 1</w:t>
      </w:r>
      <w:r>
        <w:rPr>
          <w:rFonts w:ascii="Tms Rmn" w:hAnsi="Tms Rmn"/>
          <w:sz w:val="12"/>
          <w:lang w:val="fr-CH"/>
        </w:rPr>
        <w:t> </w:t>
      </w:r>
      <w:r>
        <w:rPr>
          <w:lang w:val="fr-CH"/>
        </w:rPr>
        <w:t>674 min.</w:t>
      </w:r>
    </w:p>
    <w:p w:rsidR="00053DCB" w:rsidRDefault="009A534E">
      <w:pPr>
        <w:rPr>
          <w:lang w:val="fr-CH"/>
        </w:rPr>
      </w:pPr>
      <w:r>
        <w:rPr>
          <w:lang w:val="fr-CH"/>
        </w:rPr>
        <w:t>Conformément à la Recommandation UIT-T G.827, les objectifs pour un élément NPE de 1</w:t>
      </w:r>
      <w:r>
        <w:rPr>
          <w:rFonts w:ascii="Tms Rmn" w:hAnsi="Tms Rmn"/>
          <w:sz w:val="12"/>
          <w:lang w:val="fr-CH"/>
        </w:rPr>
        <w:t> </w:t>
      </w:r>
      <w:r>
        <w:rPr>
          <w:lang w:val="fr-CH"/>
        </w:rPr>
        <w:t>095 km sont les suivants:</w:t>
      </w:r>
    </w:p>
    <w:p w:rsidR="00053DCB" w:rsidRDefault="009A534E">
      <w:pPr>
        <w:pStyle w:val="enumlev1"/>
        <w:rPr>
          <w:lang w:val="fr-CH"/>
        </w:rPr>
      </w:pPr>
      <w:r>
        <w:rPr>
          <w:lang w:val="fr-CH"/>
        </w:rPr>
        <w:t>–</w:t>
      </w:r>
      <w:r>
        <w:rPr>
          <w:lang w:val="fr-CH"/>
        </w:rPr>
        <w:tab/>
        <w:t xml:space="preserve">AR normal </w:t>
      </w:r>
      <w:r>
        <w:rPr>
          <w:rFonts w:ascii="Symbol" w:hAnsi="Symbol"/>
          <w:lang w:val="fr-CH"/>
        </w:rPr>
        <w:t></w:t>
      </w:r>
      <w:r>
        <w:rPr>
          <w:lang w:val="fr-CH"/>
        </w:rPr>
        <w:t xml:space="preserve"> 0,9945</w:t>
      </w:r>
    </w:p>
    <w:p w:rsidR="00053DCB" w:rsidRDefault="009A534E">
      <w:pPr>
        <w:pStyle w:val="enumlev1"/>
        <w:rPr>
          <w:lang w:val="fr-CH"/>
        </w:rPr>
      </w:pPr>
      <w:r>
        <w:rPr>
          <w:lang w:val="fr-CH"/>
        </w:rPr>
        <w:t>–</w:t>
      </w:r>
      <w:r>
        <w:rPr>
          <w:lang w:val="fr-CH"/>
        </w:rPr>
        <w:tab/>
        <w:t xml:space="preserve">AR élevé </w:t>
      </w:r>
      <w:r>
        <w:rPr>
          <w:rFonts w:ascii="Symbol" w:hAnsi="Symbol"/>
          <w:lang w:val="fr-CH"/>
        </w:rPr>
        <w:t></w:t>
      </w:r>
      <w:r>
        <w:rPr>
          <w:lang w:val="fr-CH"/>
        </w:rPr>
        <w:t xml:space="preserve"> 0,99912</w:t>
      </w:r>
    </w:p>
    <w:p w:rsidR="00053DCB" w:rsidRDefault="009A534E">
      <w:pPr>
        <w:pStyle w:val="enumlev1"/>
        <w:rPr>
          <w:lang w:val="fr-CH"/>
        </w:rPr>
      </w:pPr>
      <w:r>
        <w:rPr>
          <w:lang w:val="fr-CH"/>
        </w:rPr>
        <w:t>–</w:t>
      </w:r>
      <w:r>
        <w:rPr>
          <w:lang w:val="fr-CH"/>
        </w:rPr>
        <w:tab/>
        <w:t xml:space="preserve">OI normal </w:t>
      </w:r>
      <w:r>
        <w:rPr>
          <w:rFonts w:ascii="Symbol" w:hAnsi="Symbol"/>
          <w:lang w:val="fr-CH"/>
        </w:rPr>
        <w:t></w:t>
      </w:r>
      <w:r>
        <w:rPr>
          <w:lang w:val="fr-CH"/>
        </w:rPr>
        <w:t xml:space="preserve"> 12</w:t>
      </w:r>
    </w:p>
    <w:p w:rsidR="00053DCB" w:rsidRDefault="009A534E">
      <w:pPr>
        <w:pStyle w:val="enumlev1"/>
        <w:rPr>
          <w:lang w:val="fr-CH"/>
        </w:rPr>
      </w:pPr>
      <w:r>
        <w:rPr>
          <w:lang w:val="fr-CH"/>
        </w:rPr>
        <w:t>–</w:t>
      </w:r>
      <w:r>
        <w:rPr>
          <w:lang w:val="fr-CH"/>
        </w:rPr>
        <w:tab/>
        <w:t xml:space="preserve">OI élevé </w:t>
      </w:r>
      <w:r>
        <w:rPr>
          <w:rFonts w:ascii="Symbol" w:hAnsi="Symbol"/>
          <w:lang w:val="fr-CH"/>
        </w:rPr>
        <w:t></w:t>
      </w:r>
      <w:r>
        <w:rPr>
          <w:lang w:val="fr-CH"/>
        </w:rPr>
        <w:t xml:space="preserve"> 6.</w:t>
      </w:r>
    </w:p>
    <w:p w:rsidR="00053DCB" w:rsidRDefault="009A534E">
      <w:pPr>
        <w:rPr>
          <w:lang w:val="fr-CH"/>
        </w:rPr>
      </w:pPr>
      <w:r>
        <w:rPr>
          <w:lang w:val="fr-CH"/>
        </w:rPr>
        <w:t>Dans cet exemple, les objectifs globaux sont conformes à ceux de la Recommandation UIT</w:t>
      </w:r>
      <w:r>
        <w:rPr>
          <w:lang w:val="fr-CH"/>
        </w:rPr>
        <w:noBreakHyphen/>
        <w:t>T G.827 pour un niveau de performance normal.</w:t>
      </w:r>
    </w:p>
    <w:p w:rsidR="00053DCB" w:rsidRDefault="009A534E">
      <w:pPr>
        <w:rPr>
          <w:lang w:val="fr-CH"/>
        </w:rPr>
      </w:pPr>
      <w:r>
        <w:rPr>
          <w:lang w:val="fr-CH"/>
        </w:rPr>
        <w:t>Les OI indiqués dans la Recommandation UIT-T G.827 ont été établis pour une valeur MTTR de quatre heures. Il est admis que certains événements dus à des anomalies de fonctionnement, telles que des dégradations de propagation pour des applications de radiocommunication, peuvent donner lieu à des événements d'indisponibilité passagers: de tels événements, généralement très brefs, ne sont pas pris en considération pour ces OI dans la Recommandation UIT-T G.827 mais, en tout état de cause, les valeurs globales de taux AR ne doivent pas être dépassées.</w:t>
      </w:r>
    </w:p>
    <w:p w:rsidR="00053DCB" w:rsidRDefault="009A534E">
      <w:pPr>
        <w:pStyle w:val="AnnexNoTitle"/>
      </w:pPr>
      <w:bookmarkStart w:id="1" w:name="_Toc78019903"/>
      <w:bookmarkStart w:id="2" w:name="_Toc82933152"/>
      <w:bookmarkStart w:id="3" w:name="_Toc82933256"/>
      <w:bookmarkStart w:id="4" w:name="_Toc83022349"/>
      <w:bookmarkStart w:id="5" w:name="_Toc84143349"/>
      <w:bookmarkStart w:id="6" w:name="_Toc85255398"/>
      <w:r>
        <w:br w:type="page"/>
      </w:r>
      <w:r>
        <w:lastRenderedPageBreak/>
        <w:t>Annexe 2</w:t>
      </w:r>
      <w:r>
        <w:br/>
      </w:r>
      <w:r>
        <w:br/>
        <w:t>Définition des paramètres</w:t>
      </w:r>
    </w:p>
    <w:p w:rsidR="00053DCB" w:rsidRDefault="009A534E">
      <w:pPr>
        <w:pStyle w:val="Heading1"/>
      </w:pPr>
      <w:r>
        <w:t>1</w:t>
      </w:r>
      <w:r>
        <w:tab/>
        <w:t>Taux de disponibilité (AR) et taux d'indisponibilité</w:t>
      </w:r>
      <w:bookmarkEnd w:id="1"/>
      <w:bookmarkEnd w:id="2"/>
      <w:bookmarkEnd w:id="3"/>
      <w:bookmarkEnd w:id="4"/>
      <w:bookmarkEnd w:id="5"/>
      <w:bookmarkEnd w:id="6"/>
      <w:r>
        <w:t xml:space="preserve"> (UR)</w:t>
      </w:r>
    </w:p>
    <w:p w:rsidR="00053DCB" w:rsidRDefault="009A534E">
      <w:r>
        <w:t>Le terme «disponibilité» se rapporte au AR qui est le pourcentage de temps pendant lequel un conduit est à l'état de disponibilité pendant une période d'observation. Le calcul de ce taux se fait en divisant le temps de disponibilité total pendant la période d'observation par la durée de la période d'observation.</w:t>
      </w:r>
    </w:p>
    <w:p w:rsidR="00053DCB" w:rsidRDefault="009A534E">
      <w:r>
        <w:t xml:space="preserve">A l'inverse du taux AR, l'UR est le pourcentage de temps pendant lequel un conduit de bout en bout est à l'état d'indisponibilité pendant une période d'observation. Le calcul de ce taux se fait en divisant le temps d'indisponibilité total pendant la période d'observation par la durée de la période d'observation. </w:t>
      </w:r>
    </w:p>
    <w:p w:rsidR="00053DCB" w:rsidRDefault="009A534E">
      <w:pPr>
        <w:pStyle w:val="Equation"/>
      </w:pPr>
      <w:r>
        <w:tab/>
      </w:r>
      <w:r>
        <w:tab/>
      </w:r>
      <w:r>
        <w:rPr>
          <w:i/>
          <w:iCs/>
        </w:rPr>
        <w:t>AR</w:t>
      </w:r>
      <w:r>
        <w:t xml:space="preserve"> + </w:t>
      </w:r>
      <w:r>
        <w:rPr>
          <w:i/>
          <w:iCs/>
        </w:rPr>
        <w:t>UR</w:t>
      </w:r>
      <w:r>
        <w:t xml:space="preserve"> </w:t>
      </w:r>
      <w:r>
        <w:rPr>
          <w:rFonts w:ascii="Symbol" w:hAnsi="Symbol"/>
        </w:rPr>
        <w:t></w:t>
      </w:r>
      <w:r>
        <w:t xml:space="preserve"> 1</w:t>
      </w:r>
    </w:p>
    <w:p w:rsidR="00053DCB" w:rsidRDefault="009A534E">
      <w:r>
        <w:t>La durée recommandée pour la période d'observation est de une année.</w:t>
      </w:r>
    </w:p>
    <w:p w:rsidR="00053DCB" w:rsidRDefault="009A534E">
      <w:r>
        <w:t>L'attribution d'objectifs de disponibilité pour des périodes d'observation d'une durée inférieure à une année ne relève pas de la présente Recommandation.</w:t>
      </w:r>
    </w:p>
    <w:p w:rsidR="00053DCB" w:rsidRDefault="009A534E">
      <w:pPr>
        <w:pStyle w:val="Headingi"/>
      </w:pPr>
      <w:r>
        <w:t>Période de disponibilité prévue</w:t>
      </w:r>
    </w:p>
    <w:p w:rsidR="00053DCB" w:rsidRDefault="009A534E">
      <w:r>
        <w:t>Si la connexion n'est pas prévue pour être une connexion permanente, les périodes durant lesquelles la connexion n'est pas en service ne sont pas prises en compte dans le calcul de sa disponibilité. Cela peut avoir une incidence sur le choix de la période d'observation.</w:t>
      </w:r>
    </w:p>
    <w:p w:rsidR="00053DCB" w:rsidRDefault="009A534E">
      <w:pPr>
        <w:pStyle w:val="Heading1"/>
      </w:pPr>
      <w:bookmarkStart w:id="7" w:name="_Toc78019904"/>
      <w:bookmarkStart w:id="8" w:name="_Toc82933153"/>
      <w:bookmarkStart w:id="9" w:name="_Toc82933257"/>
      <w:bookmarkStart w:id="10" w:name="_Toc83022350"/>
      <w:bookmarkStart w:id="11" w:name="_Toc84143350"/>
      <w:bookmarkStart w:id="12" w:name="_Toc85255399"/>
      <w:r>
        <w:t>2</w:t>
      </w:r>
      <w:r>
        <w:tab/>
        <w:t>Durée moyenne entre interruptions et fréquence d'interruption</w:t>
      </w:r>
      <w:bookmarkEnd w:id="7"/>
      <w:bookmarkEnd w:id="8"/>
      <w:bookmarkEnd w:id="9"/>
      <w:bookmarkEnd w:id="10"/>
      <w:bookmarkEnd w:id="11"/>
      <w:bookmarkEnd w:id="12"/>
    </w:p>
    <w:p w:rsidR="00053DCB" w:rsidRDefault="009A534E">
      <w:r>
        <w:t>Une période d'indisponibilité est également appelée «interruption». La durée moyenne entre interruptions (Mo) est la durée moyenne des intervalles pendant lesquels l'élément de conduit est disponible pendant une période de mesure. Le nombre d'interruptions par période de mesure est appelé «fréquence d'interruption» (OI).</w:t>
      </w:r>
    </w:p>
    <w:p w:rsidR="00053DCB" w:rsidRDefault="009A534E">
      <w:r>
        <w:t>Si la période de mesure est d'une année et si la durée Mo est exprimée en fractions d'une année, la fréquence d'interruption OI est l'inverse de Mo.</w:t>
      </w:r>
    </w:p>
    <w:p w:rsidR="00053DCB" w:rsidRDefault="009A534E">
      <w:pPr>
        <w:pStyle w:val="Note"/>
      </w:pPr>
      <w:r>
        <w:t>NOTE 1 – Cette relation suppose que les périodes d'indisponibilité soient courtes par rapport aux périodes de disponibilité.</w:t>
      </w:r>
    </w:p>
    <w:p w:rsidR="00053DCB" w:rsidRDefault="00053DCB">
      <w:pPr>
        <w:rPr>
          <w:lang w:val="fr-CH"/>
        </w:rPr>
      </w:pPr>
    </w:p>
    <w:p w:rsidR="00053DCB" w:rsidRDefault="00053DCB">
      <w:pPr>
        <w:pStyle w:val="Line"/>
        <w:rPr>
          <w:lang w:val="fr-CH"/>
        </w:rPr>
      </w:pPr>
    </w:p>
    <w:p w:rsidR="00053DCB" w:rsidRDefault="00053DCB">
      <w:pPr>
        <w:rPr>
          <w:lang w:val="fr-CH"/>
        </w:rPr>
      </w:pPr>
    </w:p>
    <w:p w:rsidR="00053DCB" w:rsidRDefault="00053DCB">
      <w:pPr>
        <w:rPr>
          <w:lang w:val="fr-CH"/>
        </w:rPr>
      </w:pPr>
    </w:p>
    <w:p w:rsidR="00053DCB" w:rsidRDefault="00053DCB">
      <w:pPr>
        <w:rPr>
          <w:lang w:val="fr-CH"/>
        </w:rPr>
      </w:pPr>
    </w:p>
    <w:p w:rsidR="00053DCB" w:rsidRDefault="00053DCB">
      <w:pPr>
        <w:rPr>
          <w:lang w:val="fr-CH"/>
        </w:rPr>
      </w:pPr>
    </w:p>
    <w:p w:rsidR="00053DCB" w:rsidRDefault="00053DCB">
      <w:pPr>
        <w:rPr>
          <w:lang w:val="fr-CH"/>
        </w:rPr>
      </w:pPr>
    </w:p>
    <w:p w:rsidR="00053DCB" w:rsidRDefault="00053DCB">
      <w:pPr>
        <w:rPr>
          <w:lang w:val="fr-CH"/>
        </w:rPr>
        <w:sectPr w:rsidR="00053DCB">
          <w:headerReference w:type="even" r:id="rId46"/>
          <w:headerReference w:type="default" r:id="rId47"/>
          <w:pgSz w:w="11907" w:h="16834" w:code="9"/>
          <w:pgMar w:top="1418" w:right="1134" w:bottom="1134" w:left="1134" w:header="720" w:footer="482" w:gutter="0"/>
          <w:paperSrc w:first="15" w:other="15"/>
          <w:cols w:space="720"/>
          <w:vAlign w:val="both"/>
        </w:sectPr>
      </w:pPr>
    </w:p>
    <w:p w:rsidR="00053DCB" w:rsidRDefault="00053DCB">
      <w:pPr>
        <w:rPr>
          <w:lang w:val="fr-CH"/>
        </w:rPr>
      </w:pPr>
    </w:p>
    <w:sectPr w:rsidR="00053DCB">
      <w:headerReference w:type="default" r:id="rId48"/>
      <w:pgSz w:w="11907" w:h="16834" w:code="9"/>
      <w:pgMar w:top="1418" w:right="1134" w:bottom="1134" w:left="1134" w:header="720" w:footer="482" w:gutter="0"/>
      <w:paperSrc w:first="15" w:other="15"/>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DCB" w:rsidRDefault="009A534E">
      <w:pPr>
        <w:spacing w:before="0"/>
      </w:pPr>
      <w:r>
        <w:separator/>
      </w:r>
    </w:p>
  </w:endnote>
  <w:endnote w:type="continuationSeparator" w:id="0">
    <w:p w:rsidR="00053DCB" w:rsidRDefault="009A53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DCB" w:rsidRDefault="009A534E">
      <w:pPr>
        <w:spacing w:before="0"/>
      </w:pPr>
      <w:r>
        <w:separator/>
      </w:r>
    </w:p>
  </w:footnote>
  <w:footnote w:type="continuationSeparator" w:id="0">
    <w:p w:rsidR="00053DCB" w:rsidRDefault="009A534E">
      <w:pPr>
        <w:spacing w:before="0"/>
      </w:pPr>
      <w:r>
        <w:continuationSeparator/>
      </w:r>
    </w:p>
  </w:footnote>
  <w:footnote w:id="1">
    <w:p w:rsidR="00C71A9D" w:rsidRPr="00C71A9D" w:rsidRDefault="00C71A9D" w:rsidP="00C71A9D">
      <w:pPr>
        <w:pStyle w:val="FootnoteText"/>
        <w:rPr>
          <w:lang w:val="fr-CH"/>
        </w:rPr>
      </w:pPr>
      <w:r>
        <w:rPr>
          <w:rStyle w:val="FootnoteReference"/>
        </w:rPr>
        <w:footnoteRef/>
      </w:r>
      <w:r>
        <w:t xml:space="preserve"> </w:t>
      </w:r>
      <w:r>
        <w:rPr>
          <w:lang w:val="fr-CH"/>
        </w:rPr>
        <w:tab/>
      </w:r>
      <w:r w:rsidRPr="008B51CB">
        <w:rPr>
          <w:lang w:val="fr-CH"/>
        </w:rPr>
        <w:t xml:space="preserve">La Commission d'études </w:t>
      </w:r>
      <w:r>
        <w:rPr>
          <w:lang w:val="fr-CH"/>
        </w:rPr>
        <w:t>5</w:t>
      </w:r>
      <w:r w:rsidRPr="008B51CB">
        <w:rPr>
          <w:lang w:val="fr-CH"/>
        </w:rPr>
        <w:t xml:space="preserve"> des radiocommunications a apporté des modifications rédactionnelles à la présente Recommandation en </w:t>
      </w:r>
      <w:r>
        <w:rPr>
          <w:lang w:val="fr-CH"/>
        </w:rPr>
        <w:t>novembre 2014</w:t>
      </w:r>
      <w:r w:rsidRPr="008B51CB">
        <w:rPr>
          <w:lang w:val="fr-CH"/>
        </w:rPr>
        <w:t xml:space="preserve"> conformément aux dispositions de la Résolution UIT</w:t>
      </w:r>
      <w:r w:rsidRPr="008B51CB">
        <w:rPr>
          <w:lang w:val="fr-CH"/>
        </w:rPr>
        <w:noBreakHyphen/>
        <w: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CB" w:rsidRDefault="009A534E">
    <w:pPr>
      <w:pStyle w:val="Header"/>
      <w:jc w:val="left"/>
      <w:rPr>
        <w:lang w:val="fr-CH"/>
      </w:rPr>
    </w:pPr>
    <w:r>
      <w:rPr>
        <w:rStyle w:val="PageNumber"/>
        <w:b/>
        <w:bCs/>
      </w:rPr>
      <w:fldChar w:fldCharType="begin"/>
    </w:r>
    <w:r>
      <w:rPr>
        <w:rStyle w:val="PageNumber"/>
        <w:b/>
        <w:bCs/>
        <w:lang w:val="fr-CH"/>
      </w:rPr>
      <w:instrText xml:space="preserve"> PAGE </w:instrText>
    </w:r>
    <w:r>
      <w:rPr>
        <w:rStyle w:val="PageNumber"/>
        <w:b/>
        <w:bCs/>
      </w:rPr>
      <w:fldChar w:fldCharType="separate"/>
    </w:r>
    <w:r w:rsidR="005E1796">
      <w:rPr>
        <w:rStyle w:val="PageNumber"/>
        <w:b/>
        <w:bCs/>
        <w:noProof/>
        <w:lang w:val="fr-CH"/>
      </w:rPr>
      <w:t>2</w:t>
    </w:r>
    <w:r>
      <w:rPr>
        <w:rStyle w:val="PageNumber"/>
        <w:b/>
        <w:bCs/>
      </w:rPr>
      <w:fldChar w:fldCharType="end"/>
    </w:r>
    <w:r>
      <w:rPr>
        <w:lang w:val="fr-CH"/>
      </w:rPr>
      <w:tab/>
    </w:r>
    <w:r>
      <w:rPr>
        <w:b/>
        <w:bCs/>
      </w:rPr>
      <w:fldChar w:fldCharType="begin"/>
    </w:r>
    <w:r>
      <w:rPr>
        <w:b/>
        <w:bCs/>
        <w:lang w:val="fr-CH"/>
      </w:rPr>
      <w:instrText xml:space="preserve"> DOCPROPERTY "Header" \* MERGEFORMAT </w:instrText>
    </w:r>
    <w:r>
      <w:rPr>
        <w:b/>
        <w:bCs/>
      </w:rPr>
      <w:fldChar w:fldCharType="separate"/>
    </w:r>
    <w:r w:rsidR="005E1796">
      <w:rPr>
        <w:b/>
        <w:bCs/>
        <w:lang w:val="fr-CH"/>
      </w:rPr>
      <w:t xml:space="preserve">Rec. </w:t>
    </w:r>
    <w:r>
      <w:rPr>
        <w:b/>
        <w:bCs/>
      </w:rPr>
      <w:fldChar w:fldCharType="end"/>
    </w:r>
    <w:r>
      <w:rPr>
        <w:b/>
        <w:bCs/>
      </w:rPr>
      <w:t xml:space="preserve"> </w:t>
    </w:r>
    <w:r>
      <w:rPr>
        <w:b/>
        <w:bCs/>
      </w:rPr>
      <w:fldChar w:fldCharType="begin"/>
    </w:r>
    <w:r>
      <w:rPr>
        <w:b/>
        <w:bCs/>
        <w:lang w:val="fr-CH"/>
      </w:rPr>
      <w:instrText>styleref href</w:instrText>
    </w:r>
    <w:r>
      <w:rPr>
        <w:b/>
        <w:bCs/>
      </w:rPr>
      <w:fldChar w:fldCharType="separate"/>
    </w:r>
    <w:r w:rsidR="005E1796">
      <w:rPr>
        <w:b/>
        <w:bCs/>
        <w:noProof/>
      </w:rPr>
      <w:t>UIT-R  F.1703-0</w:t>
    </w:r>
    <w:r>
      <w:rPr>
        <w:b/>
        <w:b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CB" w:rsidRDefault="009A534E">
    <w:pPr>
      <w:pStyle w:val="Header"/>
    </w:pPr>
    <w:r>
      <w:tab/>
    </w:r>
    <w:r>
      <w:rPr>
        <w:b/>
        <w:bCs/>
      </w:rPr>
      <w:fldChar w:fldCharType="begin"/>
    </w:r>
    <w:r>
      <w:rPr>
        <w:b/>
        <w:bCs/>
      </w:rPr>
      <w:instrText xml:space="preserve"> DOCPROPERTY "Header" \* MERGEFORMAT </w:instrText>
    </w:r>
    <w:r>
      <w:rPr>
        <w:b/>
        <w:bCs/>
      </w:rPr>
      <w:fldChar w:fldCharType="separate"/>
    </w:r>
    <w:r w:rsidR="005E1796">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5E1796">
      <w:rPr>
        <w:b/>
        <w:bCs/>
        <w:noProof/>
      </w:rPr>
      <w:t>UIT-R  F.1703-0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5E1796">
      <w:rPr>
        <w:rStyle w:val="PageNumber"/>
        <w:b/>
        <w:bCs/>
        <w:noProof/>
      </w:rPr>
      <w:t>1</w:t>
    </w:r>
    <w:r>
      <w:rPr>
        <w:rStyle w:val="PageNumbe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CB" w:rsidRDefault="00053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D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nsid w:val="09454EB2"/>
    <w:multiLevelType w:val="hybridMultilevel"/>
    <w:tmpl w:val="8EB41EA4"/>
    <w:lvl w:ilvl="0" w:tplc="171607A4">
      <w:start w:val="2"/>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1F4CDF"/>
    <w:multiLevelType w:val="hybridMultilevel"/>
    <w:tmpl w:val="7E38BF42"/>
    <w:lvl w:ilvl="0" w:tplc="D68A14E0">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B34234"/>
    <w:multiLevelType w:val="multilevel"/>
    <w:tmpl w:val="6FD49FE4"/>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9CC5F6B"/>
    <w:multiLevelType w:val="singleLevel"/>
    <w:tmpl w:val="CE5060D8"/>
    <w:lvl w:ilvl="0">
      <w:start w:val="1"/>
      <w:numFmt w:val="decimal"/>
      <w:lvlText w:val="%1"/>
      <w:legacy w:legacy="1" w:legacySpace="0" w:legacyIndent="795"/>
      <w:lvlJc w:val="left"/>
      <w:pPr>
        <w:ind w:left="795" w:hanging="795"/>
      </w:pPr>
    </w:lvl>
  </w:abstractNum>
  <w:abstractNum w:abstractNumId="5">
    <w:nsid w:val="1C726920"/>
    <w:multiLevelType w:val="hybridMultilevel"/>
    <w:tmpl w:val="A0C88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5C03D5"/>
    <w:multiLevelType w:val="multilevel"/>
    <w:tmpl w:val="79EAA374"/>
    <w:lvl w:ilvl="0">
      <w:start w:val="3"/>
      <w:numFmt w:val="decimal"/>
      <w:lvlText w:val="%1"/>
      <w:lvlJc w:val="left"/>
      <w:pPr>
        <w:tabs>
          <w:tab w:val="num" w:pos="795"/>
        </w:tabs>
        <w:ind w:left="795" w:hanging="795"/>
      </w:pPr>
      <w:rPr>
        <w:rFonts w:hint="default"/>
      </w:rPr>
    </w:lvl>
    <w:lvl w:ilvl="1">
      <w:start w:val="3"/>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A96207"/>
    <w:multiLevelType w:val="hybridMultilevel"/>
    <w:tmpl w:val="E2883C26"/>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F3C0763"/>
    <w:multiLevelType w:val="multilevel"/>
    <w:tmpl w:val="2068AFD4"/>
    <w:lvl w:ilvl="0">
      <w:start w:val="3"/>
      <w:numFmt w:val="decimal"/>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792"/>
        </w:tabs>
        <w:ind w:left="792" w:hanging="792"/>
      </w:pPr>
      <w:rPr>
        <w:rFonts w:hint="default"/>
      </w:rPr>
    </w:lvl>
    <w:lvl w:ilvl="3">
      <w:start w:val="1"/>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5405F4"/>
    <w:multiLevelType w:val="hybridMultilevel"/>
    <w:tmpl w:val="480EB58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FCB53DC"/>
    <w:multiLevelType w:val="multilevel"/>
    <w:tmpl w:val="480EB5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08240F8"/>
    <w:multiLevelType w:val="multilevel"/>
    <w:tmpl w:val="480EB5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50E55E2"/>
    <w:multiLevelType w:val="multilevel"/>
    <w:tmpl w:val="480EB5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7202AFC"/>
    <w:multiLevelType w:val="hybridMultilevel"/>
    <w:tmpl w:val="7DDE28BE"/>
    <w:lvl w:ilvl="0" w:tplc="D68A14E0">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ABA5FF9"/>
    <w:multiLevelType w:val="multilevel"/>
    <w:tmpl w:val="414461C8"/>
    <w:lvl w:ilvl="0">
      <w:start w:val="4"/>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C463901"/>
    <w:multiLevelType w:val="multilevel"/>
    <w:tmpl w:val="480EB5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C6B3A71"/>
    <w:multiLevelType w:val="hybridMultilevel"/>
    <w:tmpl w:val="9F786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D5709F"/>
    <w:multiLevelType w:val="hybridMultilevel"/>
    <w:tmpl w:val="22AA38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82E6112"/>
    <w:multiLevelType w:val="hybridMultilevel"/>
    <w:tmpl w:val="545E0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CCD1FBD"/>
    <w:multiLevelType w:val="singleLevel"/>
    <w:tmpl w:val="7CE85C36"/>
    <w:lvl w:ilvl="0">
      <w:start w:val="1"/>
      <w:numFmt w:val="bullet"/>
      <w:lvlText w:val="-"/>
      <w:lvlJc w:val="left"/>
      <w:pPr>
        <w:tabs>
          <w:tab w:val="num" w:pos="360"/>
        </w:tabs>
        <w:ind w:left="360" w:hanging="360"/>
      </w:pPr>
      <w:rPr>
        <w:rFonts w:hint="default"/>
        <w:b/>
      </w:rPr>
    </w:lvl>
  </w:abstractNum>
  <w:abstractNum w:abstractNumId="20">
    <w:nsid w:val="5EEF4333"/>
    <w:multiLevelType w:val="hybridMultilevel"/>
    <w:tmpl w:val="85742186"/>
    <w:lvl w:ilvl="0" w:tplc="D68A14E0">
      <w:start w:val="1"/>
      <w:numFmt w:val="bullet"/>
      <w:lvlText w:val=""/>
      <w:lvlJc w:val="left"/>
      <w:pPr>
        <w:tabs>
          <w:tab w:val="num" w:pos="720"/>
        </w:tabs>
        <w:ind w:left="72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0770253"/>
    <w:multiLevelType w:val="hybridMultilevel"/>
    <w:tmpl w:val="C37E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144295"/>
    <w:multiLevelType w:val="hybridMultilevel"/>
    <w:tmpl w:val="1D2C6EF0"/>
    <w:lvl w:ilvl="0" w:tplc="20DE2EA6">
      <w:start w:val="3"/>
      <w:numFmt w:val="bullet"/>
      <w:lvlText w:val="–"/>
      <w:lvlJc w:val="left"/>
      <w:pPr>
        <w:tabs>
          <w:tab w:val="num" w:pos="1152"/>
        </w:tabs>
        <w:ind w:left="1152" w:hanging="79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A916E0"/>
    <w:multiLevelType w:val="hybridMultilevel"/>
    <w:tmpl w:val="03C88FB0"/>
    <w:lvl w:ilvl="0" w:tplc="DC66F2DA">
      <w:start w:val="1"/>
      <w:numFmt w:val="bullet"/>
      <w:lvlText w:val="-"/>
      <w:lvlJc w:val="left"/>
      <w:pPr>
        <w:tabs>
          <w:tab w:val="num" w:pos="1155"/>
        </w:tabs>
        <w:ind w:left="1155" w:hanging="795"/>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7B010E2"/>
    <w:multiLevelType w:val="multilevel"/>
    <w:tmpl w:val="9E8AAE9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9802D28"/>
    <w:multiLevelType w:val="singleLevel"/>
    <w:tmpl w:val="2E5E2D88"/>
    <w:lvl w:ilvl="0">
      <w:start w:val="2"/>
      <w:numFmt w:val="decimal"/>
      <w:lvlText w:val="%1"/>
      <w:lvlJc w:val="left"/>
      <w:pPr>
        <w:tabs>
          <w:tab w:val="num" w:pos="1305"/>
        </w:tabs>
        <w:ind w:left="1305" w:hanging="1305"/>
      </w:pPr>
      <w:rPr>
        <w:rFonts w:hint="default"/>
      </w:rPr>
    </w:lvl>
  </w:abstractNum>
  <w:abstractNum w:abstractNumId="26">
    <w:nsid w:val="6A713B4D"/>
    <w:multiLevelType w:val="hybridMultilevel"/>
    <w:tmpl w:val="59023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17411F"/>
    <w:multiLevelType w:val="hybridMultilevel"/>
    <w:tmpl w:val="EBFCE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27138C"/>
    <w:multiLevelType w:val="hybridMultilevel"/>
    <w:tmpl w:val="047EC942"/>
    <w:lvl w:ilvl="0" w:tplc="A5ECE85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D306CEB"/>
    <w:multiLevelType w:val="hybridMultilevel"/>
    <w:tmpl w:val="53FAF6D0"/>
    <w:lvl w:ilvl="0" w:tplc="0D142DC0">
      <w:start w:val="3"/>
      <w:numFmt w:val="bullet"/>
      <w:lvlText w:val="-"/>
      <w:lvlJc w:val="left"/>
      <w:pPr>
        <w:tabs>
          <w:tab w:val="num" w:pos="1155"/>
        </w:tabs>
        <w:ind w:left="1155" w:hanging="795"/>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9"/>
  </w:num>
  <w:num w:numId="3">
    <w:abstractNumId w:val="8"/>
  </w:num>
  <w:num w:numId="4">
    <w:abstractNumId w:val="22"/>
  </w:num>
  <w:num w:numId="5">
    <w:abstractNumId w:val="16"/>
  </w:num>
  <w:num w:numId="6">
    <w:abstractNumId w:val="26"/>
  </w:num>
  <w:num w:numId="7">
    <w:abstractNumId w:val="25"/>
  </w:num>
  <w:num w:numId="8">
    <w:abstractNumId w:val="0"/>
  </w:num>
  <w:num w:numId="9">
    <w:abstractNumId w:val="24"/>
  </w:num>
  <w:num w:numId="10">
    <w:abstractNumId w:val="23"/>
  </w:num>
  <w:num w:numId="11">
    <w:abstractNumId w:val="29"/>
  </w:num>
  <w:num w:numId="12">
    <w:abstractNumId w:val="6"/>
  </w:num>
  <w:num w:numId="13">
    <w:abstractNumId w:val="3"/>
  </w:num>
  <w:num w:numId="14">
    <w:abstractNumId w:val="5"/>
  </w:num>
  <w:num w:numId="15">
    <w:abstractNumId w:val="18"/>
  </w:num>
  <w:num w:numId="16">
    <w:abstractNumId w:val="21"/>
  </w:num>
  <w:num w:numId="17">
    <w:abstractNumId w:val="27"/>
  </w:num>
  <w:num w:numId="18">
    <w:abstractNumId w:val="17"/>
  </w:num>
  <w:num w:numId="19">
    <w:abstractNumId w:val="1"/>
  </w:num>
  <w:num w:numId="20">
    <w:abstractNumId w:val="7"/>
  </w:num>
  <w:num w:numId="21">
    <w:abstractNumId w:val="28"/>
  </w:num>
  <w:num w:numId="22">
    <w:abstractNumId w:val="9"/>
  </w:num>
  <w:num w:numId="23">
    <w:abstractNumId w:val="15"/>
  </w:num>
  <w:num w:numId="24">
    <w:abstractNumId w:val="11"/>
  </w:num>
  <w:num w:numId="25">
    <w:abstractNumId w:val="13"/>
  </w:num>
  <w:num w:numId="26">
    <w:abstractNumId w:val="12"/>
  </w:num>
  <w:num w:numId="27">
    <w:abstractNumId w:val="2"/>
  </w:num>
  <w:num w:numId="28">
    <w:abstractNumId w:val="10"/>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hideSpellingErrors/>
  <w:hideGrammaticalErrors/>
  <w:activeWritingStyle w:appName="MSWord" w:lang="en-US" w:vendorID="64" w:dllVersion="131077" w:nlCheck="1" w:checkStyle="0"/>
  <w:attachedTemplate r:id="rId1"/>
  <w:doNotTrackMoves/>
  <w:defaultTabStop w:val="720"/>
  <w:evenAndOddHeaders/>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2F5"/>
    <w:rsid w:val="000062F5"/>
    <w:rsid w:val="00053DCB"/>
    <w:rsid w:val="0040109B"/>
    <w:rsid w:val="00453245"/>
    <w:rsid w:val="005E1796"/>
    <w:rsid w:val="009A534E"/>
    <w:rsid w:val="00C71A9D"/>
    <w:rsid w:val="00CD3A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FE76CB6D-474C-4B11-8FED-89095377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semiHidden/>
    <w:pPr>
      <w:tabs>
        <w:tab w:val="clear" w:pos="794"/>
        <w:tab w:val="clear" w:pos="1191"/>
        <w:tab w:val="clear" w:pos="1588"/>
        <w:tab w:val="clear" w:pos="1985"/>
      </w:tabs>
      <w:spacing w:before="0"/>
    </w:pPr>
    <w:rPr>
      <w:noProof/>
      <w:sz w:val="18"/>
    </w:rPr>
  </w:style>
  <w:style w:type="character" w:styleId="PageNumber">
    <w:name w:val="page number"/>
    <w:basedOn w:val="DefaultParagraphFont"/>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284"/>
    </w:pPr>
    <w:rPr>
      <w:sz w:val="20"/>
      <w:lang w:val="en-GB"/>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semiHidden/>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Normal"/>
    <w:pPr>
      <w:keepLines/>
      <w:spacing w:before="480" w:after="240"/>
      <w:jc w:val="center"/>
    </w:pPr>
    <w:rPr>
      <w:cap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basedOn w:val="DefaultParagraphFont"/>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paragraph" w:customStyle="1" w:styleId="Restitle">
    <w:name w:val="Res_title"/>
    <w:basedOn w:val="Normal"/>
    <w:next w:val="Resref"/>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Normal"/>
    <w:pPr>
      <w:keepNext/>
      <w:spacing w:before="0" w:after="480"/>
      <w:jc w:val="center"/>
    </w:pPr>
    <w:rPr>
      <w:b/>
    </w:rPr>
  </w:style>
  <w:style w:type="paragraph" w:customStyle="1" w:styleId="Tabletitle">
    <w:name w:val="Table_title"/>
    <w:basedOn w:val="Normal"/>
    <w:next w:val="Tablehead"/>
    <w:pPr>
      <w:keepNext/>
      <w:spacing w:before="0" w:after="120"/>
      <w:jc w:val="center"/>
    </w:pPr>
    <w:rPr>
      <w:b/>
    </w:rPr>
  </w:style>
  <w:style w:type="character" w:styleId="Strong">
    <w:name w:val="Strong"/>
    <w:basedOn w:val="DefaultParagraphFont"/>
    <w:qFormat/>
    <w:rPr>
      <w:b/>
      <w:bCs/>
    </w:rPr>
  </w:style>
  <w:style w:type="character" w:styleId="Hyperlink">
    <w:name w:val="Hyperlink"/>
    <w:basedOn w:val="DefaultParagraphFont"/>
    <w:semiHidden/>
    <w:rPr>
      <w:color w:val="000077"/>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0.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_REC_2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BR_REC_2004.dot</Template>
  <TotalTime>7</TotalTime>
  <Pages>13</Pages>
  <Words>3132</Words>
  <Characters>19764</Characters>
  <Application>Microsoft Office Word</Application>
  <DocSecurity>0</DocSecurity>
  <Lines>823</Lines>
  <Paragraphs>124</Paragraphs>
  <ScaleCrop>false</ScaleCrop>
  <HeadingPairs>
    <vt:vector size="2" baseType="variant">
      <vt:variant>
        <vt:lpstr>Title</vt:lpstr>
      </vt:variant>
      <vt:variant>
        <vt:i4>1</vt:i4>
      </vt:variant>
    </vt:vector>
  </HeadingPairs>
  <TitlesOfParts>
    <vt:vector size="1" baseType="lpstr">
      <vt:lpstr>RECOMMANDATION  UIT-R  F.1703 - Objectifs de disponibilité applicables à des liaisons hertziennes  fixes numériques réelles utilisées dans des conduits et  des connexions fictifs de référence de 27  500 km</vt:lpstr>
    </vt:vector>
  </TitlesOfParts>
  <Manager>CP..3346/NM</Manager>
  <Company>ITU</Company>
  <LinksUpToDate>false</LinksUpToDate>
  <CharactersWithSpaces>22772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F.1703 - Objectifs de disponibilité applicables à des liaisons hertziennes  fixes numériques réelles utilisées dans des conduits et  des connexions fictifs de référence de 27  500 km</dc:title>
  <dc:subject>Série F = Service fixe</dc:subject>
  <dc:creator>Bureau des radiocommunications de l'UIT (BR)</dc:creator>
  <cp:keywords>F,1703</cp:keywords>
  <dc:description>Saisie + Recup.: 10.12.2004/NM_x000d_
Corr. BAT: 21.12.2004/NM_x000d_
2ème corr. BAT: 13.04.2005/NM</dc:description>
  <cp:lastModifiedBy>Gachet, Christelle</cp:lastModifiedBy>
  <cp:revision>8</cp:revision>
  <cp:lastPrinted>2014-11-21T15:01:00Z</cp:lastPrinted>
  <dcterms:created xsi:type="dcterms:W3CDTF">2014-11-21T14:54:00Z</dcterms:created>
  <dcterms:modified xsi:type="dcterms:W3CDTF">2014-11-21T15:03:00Z</dcterms:modified>
  <cp:category>Template:  BR_Rec_2002.dot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