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61" w:rsidRPr="00822620" w:rsidRDefault="00FE432E" w:rsidP="00AD5869">
      <w:pPr>
        <w:pStyle w:val="RecNo"/>
        <w:spacing w:before="0"/>
        <w:rPr>
          <w:lang w:val="en-US"/>
        </w:rPr>
      </w:pPr>
      <w:r w:rsidRPr="00822620">
        <w:rPr>
          <w:lang w:val="en-US"/>
        </w:rPr>
        <w:t xml:space="preserve">RECOMMENDATION  </w:t>
      </w:r>
      <w:r w:rsidRPr="00822620">
        <w:rPr>
          <w:rStyle w:val="href"/>
          <w:lang w:val="en-US"/>
        </w:rPr>
        <w:t>ITU</w:t>
      </w:r>
      <w:r w:rsidRPr="00822620">
        <w:rPr>
          <w:rStyle w:val="href"/>
          <w:lang w:val="en-US"/>
        </w:rPr>
        <w:noBreakHyphen/>
        <w:t>R  F.1703</w:t>
      </w:r>
      <w:r w:rsidR="00AD5869">
        <w:rPr>
          <w:rStyle w:val="href"/>
          <w:lang w:val="en-US"/>
        </w:rPr>
        <w:t>-0</w:t>
      </w:r>
      <w:r w:rsidR="00AD5869">
        <w:rPr>
          <w:rStyle w:val="FootnoteReference"/>
          <w:lang w:val="en-US"/>
        </w:rPr>
        <w:footnoteReference w:id="1"/>
      </w:r>
    </w:p>
    <w:p w:rsidR="007A0B61" w:rsidRDefault="00FE432E">
      <w:pPr>
        <w:pStyle w:val="Rectitle"/>
        <w:rPr>
          <w:lang w:val="en-US"/>
        </w:rPr>
      </w:pPr>
      <w:r>
        <w:rPr>
          <w:lang w:val="en-US"/>
        </w:rPr>
        <w:t>Availability objectives for real digital fixed wireless links</w:t>
      </w:r>
      <w:r>
        <w:rPr>
          <w:lang w:val="en-US"/>
        </w:rPr>
        <w:br/>
        <w:t>used in 27</w:t>
      </w:r>
      <w:r>
        <w:rPr>
          <w:rFonts w:ascii="Tms Rmn" w:hAnsi="Tms Rmn"/>
          <w:sz w:val="12"/>
          <w:lang w:val="en-US"/>
        </w:rPr>
        <w:t> </w:t>
      </w:r>
      <w:r>
        <w:rPr>
          <w:lang w:val="en-US"/>
        </w:rPr>
        <w:t xml:space="preserve">500 km hypothetical reference paths and connections </w:t>
      </w:r>
    </w:p>
    <w:p w:rsidR="007A0B61" w:rsidRDefault="00FE432E">
      <w:pPr>
        <w:pStyle w:val="Recdate"/>
        <w:rPr>
          <w:lang w:val="en-US"/>
        </w:rPr>
      </w:pPr>
      <w:r>
        <w:rPr>
          <w:lang w:val="en-US"/>
        </w:rPr>
        <w:t>(2005)</w:t>
      </w:r>
    </w:p>
    <w:p w:rsidR="007A0B61" w:rsidRDefault="007A0B61">
      <w:pPr>
        <w:rPr>
          <w:lang w:val="en-US"/>
        </w:rPr>
      </w:pPr>
    </w:p>
    <w:p w:rsidR="007A0B61" w:rsidRDefault="00FE432E">
      <w:pPr>
        <w:pStyle w:val="Headingb"/>
        <w:rPr>
          <w:sz w:val="22"/>
          <w:lang w:val="en-US"/>
        </w:rPr>
      </w:pPr>
      <w:r>
        <w:rPr>
          <w:sz w:val="22"/>
          <w:lang w:val="en-US"/>
        </w:rPr>
        <w:t>Scope</w:t>
      </w:r>
      <w:bookmarkStart w:id="0" w:name="_GoBack"/>
      <w:bookmarkEnd w:id="0"/>
    </w:p>
    <w:p w:rsidR="007A0B61" w:rsidRDefault="00FE432E">
      <w:pPr>
        <w:rPr>
          <w:sz w:val="22"/>
          <w:lang w:val="en-US"/>
        </w:rPr>
      </w:pPr>
      <w:r>
        <w:rPr>
          <w:sz w:val="22"/>
          <w:lang w:val="en-US"/>
        </w:rPr>
        <w:t>This Recommendation provides updated information on availability objectives for real digital fixed wireless links used in 27</w:t>
      </w:r>
      <w:r>
        <w:rPr>
          <w:rFonts w:ascii="Tms Rmn" w:hAnsi="Tms Rmn"/>
          <w:sz w:val="12"/>
          <w:lang w:val="en-US"/>
        </w:rPr>
        <w:t> </w:t>
      </w:r>
      <w:r>
        <w:rPr>
          <w:sz w:val="22"/>
          <w:lang w:val="en-US"/>
        </w:rPr>
        <w:t>500 km hypothetical reference paths taking into account ITU</w:t>
      </w:r>
      <w:r>
        <w:rPr>
          <w:sz w:val="22"/>
          <w:lang w:val="en-US"/>
        </w:rPr>
        <w:noBreakHyphen/>
        <w:t>T Recommendation G.827 (approved in 2003). It is the only Recommendation defining availability objectives for all real digital fixed wireless links. Recommendations ITU</w:t>
      </w:r>
      <w:r>
        <w:rPr>
          <w:sz w:val="22"/>
          <w:lang w:val="en-US"/>
        </w:rPr>
        <w:noBreakHyphen/>
        <w:t>R F.1492 and ITU</w:t>
      </w:r>
      <w:r>
        <w:rPr>
          <w:sz w:val="22"/>
          <w:lang w:val="en-US"/>
        </w:rPr>
        <w:noBreakHyphen/>
        <w:t>R F.1493 are superseded by this Recommendation. The applicability of Recommendations ITU</w:t>
      </w:r>
      <w:r>
        <w:rPr>
          <w:sz w:val="22"/>
          <w:lang w:val="en-US"/>
        </w:rPr>
        <w:noBreakHyphen/>
        <w:t>R F.557, ITU</w:t>
      </w:r>
      <w:r>
        <w:rPr>
          <w:sz w:val="22"/>
          <w:lang w:val="en-US"/>
        </w:rPr>
        <w:noBreakHyphen/>
        <w:t>R F.695, ITU</w:t>
      </w:r>
      <w:r>
        <w:rPr>
          <w:sz w:val="22"/>
          <w:lang w:val="en-US"/>
        </w:rPr>
        <w:noBreakHyphen/>
        <w:t>R F.696 and ITU</w:t>
      </w:r>
      <w:r>
        <w:rPr>
          <w:sz w:val="22"/>
          <w:lang w:val="en-US"/>
        </w:rPr>
        <w:noBreakHyphen/>
        <w:t>R F.697 is limited to systems designed prior to the approval of this Recommendation. Examples of the application of the Recommendation are given in Annex 1. Definition of the events, derived from ITU</w:t>
      </w:r>
      <w:r>
        <w:rPr>
          <w:sz w:val="22"/>
          <w:lang w:val="en-US"/>
        </w:rPr>
        <w:noBreakHyphen/>
        <w:t>T Recommendation G.827, is given in Annex 2.</w:t>
      </w:r>
    </w:p>
    <w:p w:rsidR="007A0B61" w:rsidRDefault="007A0B61">
      <w:pPr>
        <w:rPr>
          <w:lang w:val="en-US"/>
        </w:rPr>
      </w:pPr>
    </w:p>
    <w:p w:rsidR="007A0B61" w:rsidRDefault="00FE432E">
      <w:pPr>
        <w:pStyle w:val="Normalaftertitle"/>
        <w:rPr>
          <w:lang w:val="en-US"/>
        </w:rPr>
      </w:pPr>
      <w:r>
        <w:rPr>
          <w:lang w:val="en-US"/>
        </w:rPr>
        <w:t>The ITU Radiocommunication Assembly,</w:t>
      </w:r>
    </w:p>
    <w:p w:rsidR="007A0B61" w:rsidRDefault="00FE432E">
      <w:pPr>
        <w:pStyle w:val="Call"/>
        <w:rPr>
          <w:lang w:val="en-US"/>
        </w:rPr>
      </w:pPr>
      <w:r>
        <w:rPr>
          <w:lang w:val="en-US"/>
        </w:rPr>
        <w:t>considering</w:t>
      </w:r>
    </w:p>
    <w:p w:rsidR="007A0B61" w:rsidRDefault="00FE432E">
      <w:pPr>
        <w:rPr>
          <w:lang w:val="en-US"/>
        </w:rPr>
      </w:pPr>
      <w:r>
        <w:rPr>
          <w:lang w:val="en-US"/>
        </w:rPr>
        <w:t>a)</w:t>
      </w:r>
      <w:r>
        <w:rPr>
          <w:lang w:val="en-US"/>
        </w:rPr>
        <w:tab/>
        <w:t>that ITU</w:t>
      </w:r>
      <w:r>
        <w:rPr>
          <w:lang w:val="en-US"/>
        </w:rPr>
        <w:noBreakHyphen/>
        <w:t>R has specified the error performance objectives for real digital fixed wireless links used in 27</w:t>
      </w:r>
      <w:r>
        <w:rPr>
          <w:rFonts w:ascii="Tms Rmn" w:hAnsi="Tms Rmn"/>
          <w:sz w:val="12"/>
          <w:lang w:val="en-US"/>
        </w:rPr>
        <w:t> </w:t>
      </w:r>
      <w:r>
        <w:rPr>
          <w:lang w:val="en-US"/>
        </w:rPr>
        <w:t>500 km hypothetical reference paths (HRPs) and connections (see Recommendation ITU</w:t>
      </w:r>
      <w:r>
        <w:rPr>
          <w:lang w:val="en-US"/>
        </w:rPr>
        <w:noBreakHyphen/>
        <w:t>R F.1668);</w:t>
      </w:r>
    </w:p>
    <w:p w:rsidR="007A0B61" w:rsidRDefault="00FE432E">
      <w:pPr>
        <w:rPr>
          <w:lang w:val="en-US"/>
        </w:rPr>
      </w:pPr>
      <w:r>
        <w:rPr>
          <w:lang w:val="en-US"/>
        </w:rPr>
        <w:t>b)</w:t>
      </w:r>
      <w:r>
        <w:rPr>
          <w:lang w:val="en-US"/>
        </w:rPr>
        <w:tab/>
        <w:t>that ITU</w:t>
      </w:r>
      <w:r>
        <w:rPr>
          <w:lang w:val="en-US"/>
        </w:rPr>
        <w:noBreakHyphen/>
        <w:t>T has specified the availability parameters and objectives for end-to-end and path element of international constant bit-rate digital paths at or above the primary rate (see ITU</w:t>
      </w:r>
      <w:r>
        <w:rPr>
          <w:lang w:val="en-US"/>
        </w:rPr>
        <w:noBreakHyphen/>
        <w:t>T Recommendation G.827);</w:t>
      </w:r>
    </w:p>
    <w:p w:rsidR="007A0B61" w:rsidRDefault="00FE432E">
      <w:pPr>
        <w:rPr>
          <w:lang w:val="en-US"/>
        </w:rPr>
      </w:pPr>
      <w:r>
        <w:rPr>
          <w:lang w:val="en-US"/>
        </w:rPr>
        <w:t>c)</w:t>
      </w:r>
      <w:r>
        <w:rPr>
          <w:lang w:val="en-US"/>
        </w:rPr>
        <w:tab/>
        <w:t>that digital fixed wireless systems play an important role in the international path;</w:t>
      </w:r>
    </w:p>
    <w:p w:rsidR="007A0B61" w:rsidRDefault="00FE432E">
      <w:pPr>
        <w:rPr>
          <w:lang w:val="en-US"/>
        </w:rPr>
      </w:pPr>
      <w:r>
        <w:rPr>
          <w:lang w:val="en-US"/>
        </w:rPr>
        <w:t>d)</w:t>
      </w:r>
      <w:r>
        <w:rPr>
          <w:lang w:val="en-US"/>
        </w:rPr>
        <w:tab/>
        <w:t>that it is necessary for the availability of fixed wireless systems to be compliant with the availability objectives specified in ITU</w:t>
      </w:r>
      <w:r>
        <w:rPr>
          <w:lang w:val="en-US"/>
        </w:rPr>
        <w:noBreakHyphen/>
        <w:t>T Recommendation G.827;</w:t>
      </w:r>
    </w:p>
    <w:p w:rsidR="007A0B61" w:rsidRDefault="00FE432E">
      <w:pPr>
        <w:rPr>
          <w:lang w:val="en-US"/>
        </w:rPr>
      </w:pPr>
      <w:r>
        <w:rPr>
          <w:lang w:val="en-US"/>
        </w:rPr>
        <w:t>e)</w:t>
      </w:r>
      <w:r>
        <w:rPr>
          <w:lang w:val="en-US"/>
        </w:rPr>
        <w:tab/>
        <w:t>that any real path, link or connection for digital data transmission may be realized using a linear and/or redundant topology, depending on the needs of network providers;</w:t>
      </w:r>
    </w:p>
    <w:p w:rsidR="007A0B61" w:rsidRDefault="00FE432E">
      <w:pPr>
        <w:rPr>
          <w:lang w:val="en-US"/>
        </w:rPr>
      </w:pPr>
      <w:r>
        <w:rPr>
          <w:lang w:val="en-US"/>
        </w:rPr>
        <w:t>f)</w:t>
      </w:r>
      <w:r>
        <w:rPr>
          <w:lang w:val="en-US"/>
        </w:rPr>
        <w:tab/>
        <w:t>that digital fixed wireless systems may be used in intermediate and terminating countries of an international path;</w:t>
      </w:r>
    </w:p>
    <w:p w:rsidR="007A0B61" w:rsidRDefault="00FE432E">
      <w:pPr>
        <w:rPr>
          <w:lang w:val="en-US"/>
        </w:rPr>
      </w:pPr>
      <w:r>
        <w:rPr>
          <w:lang w:val="en-US"/>
        </w:rPr>
        <w:t>g)</w:t>
      </w:r>
      <w:r>
        <w:rPr>
          <w:lang w:val="en-US"/>
        </w:rPr>
        <w:tab/>
        <w:t>that for the purposes of this Recommendation, the national portion of the 27</w:t>
      </w:r>
      <w:r>
        <w:rPr>
          <w:rFonts w:ascii="Tms Rmn" w:hAnsi="Tms Rmn"/>
          <w:sz w:val="12"/>
          <w:lang w:val="en-US"/>
        </w:rPr>
        <w:t> </w:t>
      </w:r>
      <w:r>
        <w:rPr>
          <w:lang w:val="en-US"/>
        </w:rPr>
        <w:t>500 km HRP can be subdivided into three basic sections (see Fig. 1);</w:t>
      </w:r>
    </w:p>
    <w:p w:rsidR="007A0B61" w:rsidRDefault="00FE432E">
      <w:pPr>
        <w:pStyle w:val="FigureNo"/>
      </w:pPr>
      <w:r w:rsidRPr="00822620">
        <w:rPr>
          <w:lang w:val="en-US"/>
        </w:rPr>
        <w:br w:type="page"/>
      </w:r>
      <w:r>
        <w:object w:dxaOrig="8329" w:dyaOrig="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5pt;height:338.95pt" o:ole="">
            <v:imagedata r:id="rId8" o:title=""/>
          </v:shape>
          <o:OLEObject Type="Embed" ProgID="Designer.Drawing.7" ShapeID="_x0000_i1025" DrawAspect="Content" ObjectID="_1478090429" r:id="rId9"/>
        </w:object>
      </w:r>
    </w:p>
    <w:p w:rsidR="007A0B61" w:rsidRDefault="007A0B61"/>
    <w:p w:rsidR="007A0B61" w:rsidRDefault="00FE432E">
      <w:pPr>
        <w:rPr>
          <w:lang w:val="en-US"/>
        </w:rPr>
      </w:pPr>
      <w:r>
        <w:rPr>
          <w:lang w:val="en-US"/>
        </w:rPr>
        <w:t>h)</w:t>
      </w:r>
      <w:r>
        <w:rPr>
          <w:lang w:val="en-US"/>
        </w:rPr>
        <w:tab/>
        <w:t>that for the path elements of a constant bit-rate digital path at or above the primary rate, ITU</w:t>
      </w:r>
      <w:r>
        <w:rPr>
          <w:lang w:val="en-US"/>
        </w:rPr>
        <w:noBreakHyphen/>
        <w:t>T Recommendation G.827 specifies fixed-block allocation plus distance-based allocations for the availability objectives;</w:t>
      </w:r>
    </w:p>
    <w:p w:rsidR="007A0B61" w:rsidRDefault="00FE432E">
      <w:pPr>
        <w:rPr>
          <w:lang w:val="en-US"/>
        </w:rPr>
      </w:pPr>
      <w:r>
        <w:rPr>
          <w:lang w:val="en-US"/>
        </w:rPr>
        <w:t>j)</w:t>
      </w:r>
      <w:r>
        <w:rPr>
          <w:lang w:val="en-US"/>
        </w:rPr>
        <w:tab/>
        <w:t>that there is a need to establish the availability objectives for real digital radio links in order to allow the proper engineering of fixed wireless links;</w:t>
      </w:r>
    </w:p>
    <w:p w:rsidR="007A0B61" w:rsidRDefault="00FE432E">
      <w:pPr>
        <w:rPr>
          <w:lang w:val="en-US"/>
        </w:rPr>
      </w:pPr>
      <w:r>
        <w:rPr>
          <w:lang w:val="en-US"/>
        </w:rPr>
        <w:t>k)</w:t>
      </w:r>
      <w:r>
        <w:rPr>
          <w:lang w:val="en-US"/>
        </w:rPr>
        <w:tab/>
        <w:t>that unavailability of fixed wireless systems may be due to propagation effects, equipment failure, human intervention, interference or other causes;</w:t>
      </w:r>
    </w:p>
    <w:p w:rsidR="007A0B61" w:rsidRDefault="00FE432E">
      <w:pPr>
        <w:rPr>
          <w:lang w:val="en-US"/>
        </w:rPr>
      </w:pPr>
      <w:r>
        <w:rPr>
          <w:lang w:val="en-US"/>
        </w:rPr>
        <w:t>l)</w:t>
      </w:r>
      <w:r>
        <w:rPr>
          <w:lang w:val="en-US"/>
        </w:rPr>
        <w:tab/>
        <w:t>that the availability objectives, availability ratio (AR) and mean time between outage (Mo) or its reciprocal, outage intensity (OI) are needed for design purposes,</w:t>
      </w:r>
    </w:p>
    <w:p w:rsidR="007A0B61" w:rsidRDefault="00FE432E">
      <w:pPr>
        <w:pStyle w:val="Call"/>
        <w:rPr>
          <w:lang w:val="en-US"/>
        </w:rPr>
      </w:pPr>
      <w:r>
        <w:rPr>
          <w:lang w:val="en-US"/>
        </w:rPr>
        <w:t>recommends</w:t>
      </w:r>
    </w:p>
    <w:p w:rsidR="007A0B61" w:rsidRDefault="00FE432E">
      <w:pPr>
        <w:rPr>
          <w:lang w:val="en-US"/>
        </w:rPr>
      </w:pPr>
      <w:r>
        <w:rPr>
          <w:b/>
          <w:bCs/>
          <w:lang w:val="en-US"/>
        </w:rPr>
        <w:t>1</w:t>
      </w:r>
      <w:r>
        <w:rPr>
          <w:lang w:val="en-US"/>
        </w:rPr>
        <w:tab/>
        <w:t>that availability objectives applicable to any real digital fixed wireless link forming part of the international portion or belonging to the long-haul network portion of the national portion of an international constant bit-rate digital path and connection should be fixed-block plus distance-based allocated;</w:t>
      </w:r>
    </w:p>
    <w:p w:rsidR="007A0B61" w:rsidRDefault="00FE432E">
      <w:pPr>
        <w:rPr>
          <w:lang w:val="en-US"/>
        </w:rPr>
      </w:pPr>
      <w:r>
        <w:rPr>
          <w:b/>
          <w:bCs/>
          <w:lang w:val="en-US"/>
        </w:rPr>
        <w:t>2</w:t>
      </w:r>
      <w:r>
        <w:rPr>
          <w:lang w:val="en-US"/>
        </w:rPr>
        <w:tab/>
        <w:t>that availability objectives applicable to any real digital radio link belonging to the access and short-haul network portions of the national portion of an international constant bit-rate digital path and connection should be fixed block-based (i.e. length independent);</w:t>
      </w:r>
    </w:p>
    <w:p w:rsidR="007A0B61" w:rsidRDefault="00FE432E">
      <w:pPr>
        <w:rPr>
          <w:lang w:val="en-US"/>
        </w:rPr>
      </w:pPr>
      <w:r>
        <w:rPr>
          <w:b/>
          <w:bCs/>
          <w:lang w:val="en-US"/>
        </w:rPr>
        <w:br w:type="page"/>
      </w:r>
      <w:r>
        <w:rPr>
          <w:b/>
          <w:bCs/>
          <w:lang w:val="en-US"/>
        </w:rPr>
        <w:lastRenderedPageBreak/>
        <w:t>3</w:t>
      </w:r>
      <w:r>
        <w:rPr>
          <w:lang w:val="en-US"/>
        </w:rPr>
        <w:tab/>
        <w:t xml:space="preserve">that the availability objectives applicable to each direction of a fixed wireless link of length, </w:t>
      </w:r>
      <w:r>
        <w:rPr>
          <w:i/>
          <w:iCs/>
          <w:lang w:val="en-US"/>
        </w:rPr>
        <w:t>L</w:t>
      </w:r>
      <w:r>
        <w:rPr>
          <w:i/>
          <w:iCs/>
          <w:position w:val="-4"/>
          <w:sz w:val="16"/>
          <w:lang w:val="en-US"/>
        </w:rPr>
        <w:t>link</w:t>
      </w:r>
      <w:r>
        <w:rPr>
          <w:lang w:val="en-US"/>
        </w:rPr>
        <w:t>, can be derived from the values given in Tables 1, 2, 3 and 4 by means of equations (1) and (2) for the AR and Mo, or the reciprocal of Mo defined as OI objectives, respectively;</w:t>
      </w:r>
    </w:p>
    <w:p w:rsidR="007A0B61" w:rsidRDefault="00FE432E">
      <w:pPr>
        <w:pStyle w:val="Equation"/>
        <w:spacing w:before="240"/>
        <w:rPr>
          <w:lang w:val="en-US"/>
        </w:rPr>
      </w:pPr>
      <w:r>
        <w:rPr>
          <w:lang w:val="en-US"/>
        </w:rPr>
        <w:tab/>
      </w:r>
      <w:r>
        <w:rPr>
          <w:lang w:val="en-US"/>
        </w:rPr>
        <w:tab/>
      </w:r>
      <w:r>
        <w:rPr>
          <w:position w:val="-32"/>
        </w:rPr>
        <w:object w:dxaOrig="2780" w:dyaOrig="760">
          <v:shape id="_x0000_i1026" type="#_x0000_t75" style="width:139.3pt;height:38.35pt" o:ole="">
            <v:imagedata r:id="rId10" o:title=""/>
          </v:shape>
          <o:OLEObject Type="Embed" ProgID="Equation.3" ShapeID="_x0000_i1026" DrawAspect="Content" ObjectID="_1478090430" r:id="rId11"/>
        </w:object>
      </w:r>
      <w:r>
        <w:rPr>
          <w:lang w:val="en-US"/>
        </w:rPr>
        <w:tab/>
        <w:t>(1)</w:t>
      </w:r>
    </w:p>
    <w:p w:rsidR="007A0B61" w:rsidRDefault="00FE432E">
      <w:pPr>
        <w:pStyle w:val="Equation"/>
        <w:spacing w:before="0"/>
        <w:rPr>
          <w:lang w:val="en-US"/>
        </w:rPr>
      </w:pPr>
      <w:r>
        <w:rPr>
          <w:lang w:val="en-US"/>
        </w:rPr>
        <w:tab/>
      </w:r>
      <w:r>
        <w:rPr>
          <w:lang w:val="en-US"/>
        </w:rPr>
        <w:tab/>
      </w:r>
      <w:r>
        <w:rPr>
          <w:position w:val="-58"/>
        </w:rPr>
        <w:object w:dxaOrig="3180" w:dyaOrig="960">
          <v:shape id="_x0000_i1027" type="#_x0000_t75" style="width:158.95pt;height:48.15pt" o:ole="">
            <v:imagedata r:id="rId12" o:title=""/>
          </v:shape>
          <o:OLEObject Type="Embed" ProgID="Equation.3" ShapeID="_x0000_i1027" DrawAspect="Content" ObjectID="_1478090431" r:id="rId13"/>
        </w:object>
      </w:r>
      <w:r>
        <w:rPr>
          <w:lang w:val="en-US"/>
        </w:rPr>
        <w:tab/>
        <w:t>(2)</w:t>
      </w:r>
    </w:p>
    <w:p w:rsidR="007A0B61" w:rsidRDefault="00FE432E">
      <w:pPr>
        <w:rPr>
          <w:lang w:val="en-US"/>
        </w:rPr>
      </w:pPr>
      <w:r>
        <w:rPr>
          <w:lang w:val="en-US"/>
        </w:rPr>
        <w:t>where:</w:t>
      </w:r>
    </w:p>
    <w:p w:rsidR="007A0B61" w:rsidRDefault="00FE432E">
      <w:pPr>
        <w:pStyle w:val="enumlev1"/>
        <w:tabs>
          <w:tab w:val="left" w:pos="2835"/>
          <w:tab w:val="left" w:pos="3686"/>
          <w:tab w:val="left" w:pos="4480"/>
          <w:tab w:val="left" w:pos="4718"/>
          <w:tab w:val="left" w:pos="5222"/>
          <w:tab w:val="left" w:pos="5460"/>
          <w:tab w:val="right" w:pos="9639"/>
        </w:tabs>
        <w:ind w:left="2160" w:hanging="2160"/>
        <w:jc w:val="left"/>
        <w:rPr>
          <w:lang w:val="en-US"/>
        </w:rPr>
      </w:pPr>
      <w:r>
        <w:rPr>
          <w:lang w:val="en-US"/>
        </w:rPr>
        <w:t xml:space="preserve">the value of </w:t>
      </w:r>
      <w:r>
        <w:rPr>
          <w:i/>
          <w:iCs/>
          <w:lang w:val="en-US"/>
        </w:rPr>
        <w:t>j</w:t>
      </w:r>
      <w:r>
        <w:rPr>
          <w:lang w:val="en-US"/>
        </w:rPr>
        <w:t xml:space="preserve"> is: </w:t>
      </w:r>
      <w:r>
        <w:rPr>
          <w:lang w:val="en-US"/>
        </w:rPr>
        <w:tab/>
      </w:r>
      <w:r>
        <w:rPr>
          <w:lang w:val="en-US"/>
        </w:rPr>
        <w:tab/>
        <w:t>for international portion:</w:t>
      </w:r>
    </w:p>
    <w:p w:rsidR="007A0B61" w:rsidRDefault="00FE432E">
      <w:pPr>
        <w:pStyle w:val="enumlev1"/>
        <w:tabs>
          <w:tab w:val="left" w:pos="2954"/>
          <w:tab w:val="left" w:pos="3686"/>
          <w:tab w:val="left" w:pos="4320"/>
          <w:tab w:val="left" w:pos="4578"/>
          <w:tab w:val="left" w:pos="5110"/>
          <w:tab w:val="left" w:pos="5362"/>
          <w:tab w:val="right" w:pos="9639"/>
        </w:tabs>
        <w:ind w:left="2160" w:hanging="2160"/>
        <w:jc w:val="left"/>
        <w:rPr>
          <w:lang w:val="en-US"/>
        </w:rPr>
      </w:pPr>
      <w:r>
        <w:rPr>
          <w:lang w:val="en-US"/>
        </w:rPr>
        <w:tab/>
      </w:r>
      <w:r>
        <w:rPr>
          <w:lang w:val="en-US"/>
        </w:rPr>
        <w:tab/>
      </w:r>
      <w:r>
        <w:rPr>
          <w:lang w:val="en-US"/>
        </w:rPr>
        <w:tab/>
      </w:r>
      <w:r>
        <w:rPr>
          <w:lang w:val="en-US"/>
        </w:rPr>
        <w:tab/>
      </w:r>
      <w:r>
        <w:rPr>
          <w:lang w:val="en-US"/>
        </w:rPr>
        <w:tab/>
        <w:t>1</w:t>
      </w:r>
      <w:r>
        <w:rPr>
          <w:lang w:val="en-US"/>
        </w:rPr>
        <w:tab/>
        <w:t xml:space="preserve">for </w:t>
      </w:r>
      <w:r>
        <w:rPr>
          <w:i/>
          <w:iCs/>
          <w:lang w:val="en-US"/>
        </w:rPr>
        <w:t>L</w:t>
      </w:r>
      <w:r>
        <w:rPr>
          <w:i/>
          <w:iCs/>
          <w:position w:val="-4"/>
          <w:sz w:val="16"/>
          <w:lang w:val="en-US"/>
        </w:rPr>
        <w:t>min</w:t>
      </w:r>
      <w:r>
        <w:rPr>
          <w:lang w:val="en-US"/>
        </w:rPr>
        <w:tab/>
      </w:r>
      <w:r>
        <w:rPr>
          <w:lang w:val="en-US"/>
        </w:rPr>
        <w:tab/>
      </w:r>
      <w:r>
        <w:rPr>
          <w:rFonts w:ascii="Symbol" w:hAnsi="Symbol"/>
        </w:rPr>
        <w:t></w:t>
      </w:r>
      <w:r>
        <w:rPr>
          <w:lang w:val="en-US"/>
        </w:rPr>
        <w:tab/>
      </w:r>
      <w:r>
        <w:rPr>
          <w:i/>
          <w:iCs/>
          <w:lang w:val="en-US"/>
        </w:rPr>
        <w:t>L</w:t>
      </w:r>
      <w:r>
        <w:rPr>
          <w:i/>
          <w:iCs/>
          <w:position w:val="-4"/>
          <w:sz w:val="16"/>
          <w:lang w:val="en-US"/>
        </w:rPr>
        <w:t>link</w:t>
      </w:r>
      <w:r>
        <w:rPr>
          <w:lang w:val="en-US"/>
        </w:rPr>
        <w:tab/>
      </w:r>
      <w:r>
        <w:rPr>
          <w:rFonts w:ascii="Symbol" w:hAnsi="Symbol"/>
        </w:rPr>
        <w:t></w:t>
      </w:r>
      <w:r>
        <w:rPr>
          <w:lang w:val="en-US"/>
        </w:rPr>
        <w:tab/>
        <w:t>250 km</w:t>
      </w:r>
      <w:r>
        <w:rPr>
          <w:lang w:val="en-US"/>
        </w:rPr>
        <w:br/>
        <w:t>2</w:t>
      </w:r>
      <w:r>
        <w:rPr>
          <w:lang w:val="en-US"/>
        </w:rPr>
        <w:tab/>
        <w:t>for 250 km</w:t>
      </w:r>
      <w:r>
        <w:rPr>
          <w:lang w:val="en-US"/>
        </w:rPr>
        <w:tab/>
      </w:r>
      <w:r>
        <w:rPr>
          <w:rFonts w:ascii="Symbol" w:hAnsi="Symbol"/>
        </w:rPr>
        <w:t></w:t>
      </w:r>
      <w:r>
        <w:rPr>
          <w:lang w:val="en-US"/>
        </w:rPr>
        <w:tab/>
      </w:r>
      <w:r>
        <w:rPr>
          <w:i/>
          <w:iCs/>
          <w:lang w:val="en-US"/>
        </w:rPr>
        <w:t>L</w:t>
      </w:r>
      <w:r>
        <w:rPr>
          <w:i/>
          <w:iCs/>
          <w:position w:val="-4"/>
          <w:sz w:val="16"/>
          <w:lang w:val="en-US"/>
        </w:rPr>
        <w:t>link</w:t>
      </w:r>
      <w:r>
        <w:rPr>
          <w:lang w:val="en-US"/>
        </w:rPr>
        <w:tab/>
      </w:r>
      <w:r>
        <w:rPr>
          <w:rFonts w:ascii="Symbol" w:hAnsi="Symbol"/>
        </w:rPr>
        <w:t></w:t>
      </w:r>
      <w:r>
        <w:rPr>
          <w:lang w:val="en-US"/>
        </w:rPr>
        <w:tab/>
        <w:t>2</w:t>
      </w:r>
      <w:r>
        <w:rPr>
          <w:rFonts w:ascii="Tms Rmn" w:hAnsi="Tms Rmn"/>
          <w:lang w:val="en-US"/>
        </w:rPr>
        <w:t> </w:t>
      </w:r>
      <w:r>
        <w:rPr>
          <w:lang w:val="en-US"/>
        </w:rPr>
        <w:t>500 km</w:t>
      </w:r>
      <w:r>
        <w:rPr>
          <w:lang w:val="en-US"/>
        </w:rPr>
        <w:br/>
        <w:t>3</w:t>
      </w:r>
      <w:r>
        <w:rPr>
          <w:lang w:val="en-US"/>
        </w:rPr>
        <w:tab/>
        <w:t>for 2</w:t>
      </w:r>
      <w:r>
        <w:rPr>
          <w:rFonts w:ascii="Tms Rmn" w:hAnsi="Tms Rmn"/>
          <w:lang w:val="en-US"/>
        </w:rPr>
        <w:t> </w:t>
      </w:r>
      <w:r>
        <w:rPr>
          <w:lang w:val="en-US"/>
        </w:rPr>
        <w:t>500 km</w:t>
      </w:r>
      <w:r>
        <w:rPr>
          <w:lang w:val="en-US"/>
        </w:rPr>
        <w:tab/>
      </w:r>
      <w:r>
        <w:rPr>
          <w:rFonts w:ascii="Symbol" w:hAnsi="Symbol"/>
        </w:rPr>
        <w:t></w:t>
      </w:r>
      <w:r>
        <w:rPr>
          <w:lang w:val="en-US"/>
        </w:rPr>
        <w:tab/>
      </w:r>
      <w:r>
        <w:rPr>
          <w:i/>
          <w:iCs/>
          <w:lang w:val="en-US"/>
        </w:rPr>
        <w:t>L</w:t>
      </w:r>
      <w:r>
        <w:rPr>
          <w:i/>
          <w:iCs/>
          <w:position w:val="-4"/>
          <w:sz w:val="16"/>
          <w:lang w:val="en-US"/>
        </w:rPr>
        <w:t>link</w:t>
      </w:r>
      <w:r>
        <w:rPr>
          <w:lang w:val="en-US"/>
        </w:rPr>
        <w:tab/>
      </w:r>
      <w:r>
        <w:rPr>
          <w:rFonts w:ascii="Symbol" w:hAnsi="Symbol"/>
        </w:rPr>
        <w:t></w:t>
      </w:r>
      <w:r>
        <w:rPr>
          <w:lang w:val="en-US"/>
        </w:rPr>
        <w:tab/>
        <w:t>7</w:t>
      </w:r>
      <w:r>
        <w:rPr>
          <w:rFonts w:ascii="Tms Rmn" w:hAnsi="Tms Rmn"/>
          <w:lang w:val="en-US"/>
        </w:rPr>
        <w:t> </w:t>
      </w:r>
      <w:r>
        <w:rPr>
          <w:lang w:val="en-US"/>
        </w:rPr>
        <w:t>500 km</w:t>
      </w:r>
      <w:r>
        <w:rPr>
          <w:lang w:val="en-US"/>
        </w:rPr>
        <w:br/>
        <w:t>4</w:t>
      </w:r>
      <w:r>
        <w:rPr>
          <w:lang w:val="en-US"/>
        </w:rPr>
        <w:tab/>
        <w:t xml:space="preserve">for </w:t>
      </w:r>
      <w:r>
        <w:rPr>
          <w:lang w:val="en-US"/>
        </w:rPr>
        <w:tab/>
      </w:r>
      <w:r>
        <w:rPr>
          <w:lang w:val="en-US"/>
        </w:rPr>
        <w:tab/>
      </w:r>
      <w:r>
        <w:rPr>
          <w:lang w:val="en-US"/>
        </w:rPr>
        <w:tab/>
      </w:r>
      <w:r>
        <w:rPr>
          <w:i/>
          <w:iCs/>
          <w:lang w:val="en-US"/>
        </w:rPr>
        <w:t>L</w:t>
      </w:r>
      <w:r>
        <w:rPr>
          <w:i/>
          <w:iCs/>
          <w:position w:val="-4"/>
          <w:sz w:val="16"/>
          <w:lang w:val="en-US"/>
        </w:rPr>
        <w:t>link</w:t>
      </w:r>
      <w:r>
        <w:rPr>
          <w:lang w:val="en-US"/>
        </w:rPr>
        <w:tab/>
      </w:r>
      <w:r>
        <w:rPr>
          <w:rFonts w:ascii="Symbol" w:hAnsi="Symbol"/>
        </w:rPr>
        <w:t></w:t>
      </w:r>
      <w:r>
        <w:rPr>
          <w:lang w:val="en-US"/>
        </w:rPr>
        <w:tab/>
        <w:t>7</w:t>
      </w:r>
      <w:r>
        <w:rPr>
          <w:rFonts w:ascii="Tms Rmn" w:hAnsi="Tms Rmn"/>
          <w:lang w:val="en-US"/>
        </w:rPr>
        <w:t> </w:t>
      </w:r>
      <w:r>
        <w:rPr>
          <w:lang w:val="en-US"/>
        </w:rPr>
        <w:t>500 km</w:t>
      </w:r>
    </w:p>
    <w:p w:rsidR="007A0B61" w:rsidRDefault="00FE432E">
      <w:pPr>
        <w:rPr>
          <w:lang w:val="en-US"/>
        </w:rPr>
      </w:pPr>
      <w:r>
        <w:rPr>
          <w:lang w:val="en-US"/>
        </w:rPr>
        <w:tab/>
      </w:r>
      <w:r>
        <w:rPr>
          <w:lang w:val="en-US"/>
        </w:rPr>
        <w:tab/>
      </w:r>
      <w:r>
        <w:rPr>
          <w:lang w:val="en-US"/>
        </w:rPr>
        <w:tab/>
      </w:r>
      <w:r>
        <w:rPr>
          <w:lang w:val="en-US"/>
        </w:rPr>
        <w:tab/>
      </w:r>
      <w:r>
        <w:rPr>
          <w:lang w:val="en-US"/>
        </w:rPr>
        <w:tab/>
        <w:t>for section of national portion:</w:t>
      </w:r>
    </w:p>
    <w:p w:rsidR="007A0B61" w:rsidRDefault="00FE432E">
      <w:pPr>
        <w:pStyle w:val="enumlev1"/>
        <w:tabs>
          <w:tab w:val="left" w:pos="2954"/>
          <w:tab w:val="left" w:pos="3686"/>
          <w:tab w:val="left" w:pos="4320"/>
          <w:tab w:val="left" w:pos="4578"/>
          <w:tab w:val="left" w:pos="5110"/>
          <w:tab w:val="left" w:pos="5362"/>
          <w:tab w:val="right" w:pos="9639"/>
        </w:tabs>
        <w:ind w:left="2160" w:hanging="2160"/>
        <w:jc w:val="left"/>
        <w:rPr>
          <w:lang w:val="en-US"/>
        </w:rPr>
      </w:pPr>
      <w:r>
        <w:rPr>
          <w:i/>
          <w:iCs/>
          <w:lang w:val="en-US"/>
        </w:rPr>
        <w:tab/>
      </w:r>
      <w:r>
        <w:rPr>
          <w:i/>
          <w:iCs/>
          <w:lang w:val="en-US"/>
        </w:rPr>
        <w:tab/>
      </w:r>
      <w:r>
        <w:rPr>
          <w:i/>
          <w:iCs/>
          <w:lang w:val="en-US"/>
        </w:rPr>
        <w:tab/>
      </w:r>
      <w:r>
        <w:rPr>
          <w:i/>
          <w:iCs/>
          <w:lang w:val="en-US"/>
        </w:rPr>
        <w:tab/>
      </w:r>
      <w:r>
        <w:rPr>
          <w:i/>
          <w:iCs/>
          <w:lang w:val="en-US"/>
        </w:rPr>
        <w:tab/>
      </w:r>
      <w:r>
        <w:rPr>
          <w:lang w:val="en-US"/>
        </w:rPr>
        <w:t>5</w:t>
      </w:r>
      <w:r>
        <w:rPr>
          <w:lang w:val="en-US"/>
        </w:rPr>
        <w:tab/>
        <w:t>for access network</w:t>
      </w:r>
      <w:r>
        <w:rPr>
          <w:lang w:val="en-US"/>
        </w:rPr>
        <w:br/>
        <w:t>6</w:t>
      </w:r>
      <w:r>
        <w:rPr>
          <w:lang w:val="en-US"/>
        </w:rPr>
        <w:tab/>
        <w:t>for short haul</w:t>
      </w:r>
      <w:r>
        <w:rPr>
          <w:lang w:val="en-US"/>
        </w:rPr>
        <w:br/>
        <w:t>7</w:t>
      </w:r>
      <w:r>
        <w:rPr>
          <w:lang w:val="en-US"/>
        </w:rPr>
        <w:tab/>
        <w:t>for long haul</w:t>
      </w:r>
    </w:p>
    <w:p w:rsidR="007A0B61" w:rsidRDefault="00FE432E">
      <w:pPr>
        <w:pStyle w:val="Equationlegend"/>
      </w:pPr>
      <w:r>
        <w:tab/>
      </w:r>
      <w:r>
        <w:rPr>
          <w:i/>
          <w:iCs/>
        </w:rPr>
        <w:t>L</w:t>
      </w:r>
      <w:r>
        <w:rPr>
          <w:i/>
          <w:iCs/>
          <w:vertAlign w:val="subscript"/>
        </w:rPr>
        <w:t>R</w:t>
      </w:r>
      <w:r>
        <w:rPr>
          <w:rFonts w:ascii="Tms Rmn" w:hAnsi="Tms Rmn"/>
          <w:sz w:val="12"/>
        </w:rPr>
        <w:t> </w:t>
      </w:r>
      <w:r>
        <w:t>:</w:t>
      </w:r>
      <w:r>
        <w:rPr>
          <w:vertAlign w:val="subscript"/>
        </w:rPr>
        <w:tab/>
      </w:r>
      <w:r>
        <w:t xml:space="preserve">reference length </w:t>
      </w:r>
      <w:r>
        <w:rPr>
          <w:i/>
          <w:iCs/>
        </w:rPr>
        <w:t>L</w:t>
      </w:r>
      <w:r>
        <w:rPr>
          <w:i/>
          <w:iCs/>
          <w:position w:val="-4"/>
          <w:sz w:val="16"/>
        </w:rPr>
        <w:t>R</w:t>
      </w:r>
      <w:r>
        <w:t> </w:t>
      </w:r>
      <w:r>
        <w:rPr>
          <w:rFonts w:ascii="Symbol" w:hAnsi="Symbol"/>
        </w:rPr>
        <w:t></w:t>
      </w:r>
      <w:r>
        <w:t> 2</w:t>
      </w:r>
      <w:r>
        <w:rPr>
          <w:rFonts w:ascii="Tms Rmn" w:hAnsi="Tms Rmn"/>
          <w:sz w:val="12"/>
        </w:rPr>
        <w:t> </w:t>
      </w:r>
      <w:r>
        <w:t>500 km.</w:t>
      </w:r>
    </w:p>
    <w:p w:rsidR="007A0B61" w:rsidRDefault="00FE432E">
      <w:pPr>
        <w:rPr>
          <w:lang w:val="en-US"/>
        </w:rPr>
      </w:pPr>
      <w:r>
        <w:rPr>
          <w:lang w:val="en-US"/>
        </w:rPr>
        <w:t xml:space="preserve">The lower limit of </w:t>
      </w:r>
      <w:r>
        <w:rPr>
          <w:i/>
          <w:iCs/>
          <w:lang w:val="en-US"/>
        </w:rPr>
        <w:t>L</w:t>
      </w:r>
      <w:r>
        <w:rPr>
          <w:i/>
          <w:iCs/>
          <w:vertAlign w:val="subscript"/>
          <w:lang w:val="en-US"/>
        </w:rPr>
        <w:t>link</w:t>
      </w:r>
      <w:r>
        <w:rPr>
          <w:lang w:val="en-US"/>
        </w:rPr>
        <w:t xml:space="preserve"> used to scale the objectives is </w:t>
      </w:r>
      <w:r>
        <w:rPr>
          <w:i/>
          <w:iCs/>
          <w:lang w:val="en-US"/>
        </w:rPr>
        <w:t>L</w:t>
      </w:r>
      <w:r>
        <w:rPr>
          <w:i/>
          <w:iCs/>
          <w:vertAlign w:val="subscript"/>
          <w:lang w:val="en-US"/>
        </w:rPr>
        <w:t>min</w:t>
      </w:r>
      <w:r>
        <w:rPr>
          <w:lang w:val="en-US"/>
        </w:rPr>
        <w:t xml:space="preserve"> </w:t>
      </w:r>
      <w:r>
        <w:rPr>
          <w:rFonts w:ascii="Symbol" w:hAnsi="Symbol"/>
          <w:lang w:val="en-US"/>
        </w:rPr>
        <w:t></w:t>
      </w:r>
      <w:r>
        <w:rPr>
          <w:lang w:val="en-US"/>
        </w:rPr>
        <w:t xml:space="preserve"> 50 km.</w:t>
      </w:r>
    </w:p>
    <w:p w:rsidR="007A0B61" w:rsidRDefault="00FE432E">
      <w:pPr>
        <w:rPr>
          <w:lang w:val="en-US"/>
        </w:rPr>
      </w:pPr>
      <w:r>
        <w:rPr>
          <w:lang w:val="en-US"/>
        </w:rPr>
        <w:t xml:space="preserve">The values of </w:t>
      </w:r>
      <w:r>
        <w:rPr>
          <w:i/>
          <w:iCs/>
          <w:lang w:val="en-US"/>
        </w:rPr>
        <w:t>B</w:t>
      </w:r>
      <w:r>
        <w:rPr>
          <w:i/>
          <w:iCs/>
          <w:vertAlign w:val="subscript"/>
          <w:lang w:val="en-US"/>
        </w:rPr>
        <w:t>j</w:t>
      </w:r>
      <w:r>
        <w:rPr>
          <w:lang w:val="en-US"/>
        </w:rPr>
        <w:t xml:space="preserve">, </w:t>
      </w:r>
      <w:r>
        <w:rPr>
          <w:i/>
          <w:iCs/>
          <w:lang w:val="en-US"/>
        </w:rPr>
        <w:t>C</w:t>
      </w:r>
      <w:r>
        <w:rPr>
          <w:i/>
          <w:iCs/>
          <w:vertAlign w:val="subscript"/>
          <w:lang w:val="en-US"/>
        </w:rPr>
        <w:t>j</w:t>
      </w:r>
      <w:r>
        <w:rPr>
          <w:lang w:val="en-US"/>
        </w:rPr>
        <w:t xml:space="preserve">, </w:t>
      </w:r>
      <w:r>
        <w:rPr>
          <w:i/>
          <w:iCs/>
          <w:lang w:val="en-US"/>
        </w:rPr>
        <w:t>D</w:t>
      </w:r>
      <w:r>
        <w:rPr>
          <w:i/>
          <w:iCs/>
          <w:vertAlign w:val="subscript"/>
          <w:lang w:val="en-US"/>
        </w:rPr>
        <w:t>j</w:t>
      </w:r>
      <w:r>
        <w:rPr>
          <w:lang w:val="en-US"/>
        </w:rPr>
        <w:t xml:space="preserve"> and </w:t>
      </w:r>
      <w:r>
        <w:rPr>
          <w:i/>
          <w:iCs/>
          <w:lang w:val="en-US"/>
        </w:rPr>
        <w:t>E</w:t>
      </w:r>
      <w:r>
        <w:rPr>
          <w:i/>
          <w:iCs/>
          <w:vertAlign w:val="subscript"/>
          <w:lang w:val="en-US"/>
        </w:rPr>
        <w:t>j</w:t>
      </w:r>
      <w:r>
        <w:rPr>
          <w:lang w:val="en-US"/>
        </w:rPr>
        <w:t xml:space="preserve"> are given in Tables 1, 2, 3 and 4. The parameter OI refers to the number of unavailability events per year, so its reciprocal Mo has to be multiplied by the number of seconds in a year to represent the effective mean time between the unavailability events that have occurred in a year expressed in seconds;</w:t>
      </w:r>
    </w:p>
    <w:p w:rsidR="007A0B61" w:rsidRDefault="00FE432E">
      <w:pPr>
        <w:rPr>
          <w:lang w:val="en-US"/>
        </w:rPr>
      </w:pPr>
      <w:r>
        <w:rPr>
          <w:b/>
          <w:bCs/>
          <w:lang w:val="en-US"/>
        </w:rPr>
        <w:t>4</w:t>
      </w:r>
      <w:r>
        <w:rPr>
          <w:lang w:val="en-US"/>
        </w:rPr>
        <w:tab/>
        <w:t>that availability objectives should be partitioned in order to take into account unavailability events due to propagation events, equipment failure, human intervention and other causes. The partitioning of objectives for the different unavailability causes is outside the scope of this Recommendation;</w:t>
      </w:r>
    </w:p>
    <w:p w:rsidR="007A0B61" w:rsidRDefault="00FE432E">
      <w:pPr>
        <w:rPr>
          <w:lang w:val="en-US"/>
        </w:rPr>
      </w:pPr>
      <w:r>
        <w:rPr>
          <w:b/>
          <w:bCs/>
          <w:lang w:val="en-US"/>
        </w:rPr>
        <w:t>5</w:t>
      </w:r>
      <w:r>
        <w:rPr>
          <w:lang w:val="en-US"/>
        </w:rPr>
        <w:tab/>
        <w:t>that for the case when the link is composed of more than one hop, the objectives are applicable for the whole link. The scaling of the objectives for each individual hop is under the network operator responsibility (see Annex 1 for more information);</w:t>
      </w:r>
    </w:p>
    <w:p w:rsidR="007A0B61" w:rsidRDefault="00FE432E">
      <w:pPr>
        <w:rPr>
          <w:b/>
          <w:bCs/>
          <w:lang w:val="en-US"/>
        </w:rPr>
      </w:pPr>
      <w:r>
        <w:rPr>
          <w:b/>
          <w:bCs/>
          <w:lang w:val="en-US"/>
        </w:rPr>
        <w:t>6</w:t>
      </w:r>
      <w:r>
        <w:rPr>
          <w:b/>
          <w:bCs/>
          <w:lang w:val="en-US"/>
        </w:rPr>
        <w:tab/>
      </w:r>
      <w:r>
        <w:rPr>
          <w:lang w:val="en-US"/>
        </w:rPr>
        <w:t>that the objectives for radio link forming part of any path element composing the international portion (i.e. inter</w:t>
      </w:r>
      <w:r>
        <w:rPr>
          <w:lang w:val="en-US"/>
        </w:rPr>
        <w:noBreakHyphen/>
        <w:t>country path core element (ICPCE) and international path core element (IPCE)) should in any case not exceed the objectives defined in ITU</w:t>
      </w:r>
      <w:r>
        <w:rPr>
          <w:lang w:val="en-US"/>
        </w:rPr>
        <w:noBreakHyphen/>
        <w:t>T Recommendation G.827 (see Annex 1 to this Recommendation for more information);</w:t>
      </w:r>
    </w:p>
    <w:p w:rsidR="007A0B61" w:rsidRDefault="00FE432E">
      <w:pPr>
        <w:rPr>
          <w:lang w:val="en-US"/>
        </w:rPr>
      </w:pPr>
      <w:r>
        <w:rPr>
          <w:b/>
          <w:bCs/>
          <w:lang w:val="en-US"/>
        </w:rPr>
        <w:t>7</w:t>
      </w:r>
      <w:r>
        <w:rPr>
          <w:lang w:val="en-US"/>
        </w:rPr>
        <w:tab/>
        <w:t>that the overall objectives for the national portion (i.e. obtained by adding the objectives of access network, short haul and long haul) implemented by fixed wireless systems should not exceed in any case the objectives defined in ITU</w:t>
      </w:r>
      <w:r>
        <w:rPr>
          <w:lang w:val="en-US"/>
        </w:rPr>
        <w:noBreakHyphen/>
        <w:t>T Recommendation G.827 for the national portion element (see Note 5).</w:t>
      </w:r>
    </w:p>
    <w:p w:rsidR="007A0B61" w:rsidRDefault="00FE432E">
      <w:pPr>
        <w:rPr>
          <w:lang w:val="en-US"/>
        </w:rPr>
      </w:pPr>
      <w:r>
        <w:rPr>
          <w:lang w:val="en-US"/>
        </w:rPr>
        <w:br w:type="page"/>
      </w:r>
      <w:r>
        <w:rPr>
          <w:lang w:val="en-US"/>
        </w:rPr>
        <w:lastRenderedPageBreak/>
        <w:t>NOTE 1 – The international portion of a constant bit-rate digital path at or above the primary rate is composed of at least one ICPCE and/or one IPCE.</w:t>
      </w:r>
    </w:p>
    <w:p w:rsidR="007A0B61" w:rsidRDefault="00FE432E">
      <w:pPr>
        <w:rPr>
          <w:lang w:val="en-US"/>
        </w:rPr>
      </w:pPr>
      <w:r>
        <w:rPr>
          <w:lang w:val="en-US"/>
        </w:rPr>
        <w:t>NOTE 2 – ICPCE is the path element (PE) carried on the highest order digital path across the border between two countries. The ICPCE is the link between networks in different countries, considered as subnetworks. This PE is limited by the frontier stations (FSs) where the highest order inter</w:t>
      </w:r>
      <w:r>
        <w:rPr>
          <w:lang w:val="en-US"/>
        </w:rPr>
        <w:noBreakHyphen/>
        <w:t>country path may be terminated. When the highest order inter</w:t>
      </w:r>
      <w:r>
        <w:rPr>
          <w:lang w:val="en-US"/>
        </w:rPr>
        <w:noBreakHyphen/>
        <w:t>country path is not terminated in the FS, the ICPCE is limited by the supporting inter</w:t>
      </w:r>
      <w:r>
        <w:rPr>
          <w:lang w:val="en-US"/>
        </w:rPr>
        <w:noBreakHyphen/>
        <w:t>country section access point.</w:t>
      </w:r>
    </w:p>
    <w:p w:rsidR="007A0B61" w:rsidRDefault="00FE432E">
      <w:pPr>
        <w:rPr>
          <w:lang w:val="en-US"/>
        </w:rPr>
      </w:pPr>
      <w:r>
        <w:rPr>
          <w:lang w:val="en-US"/>
        </w:rPr>
        <w:t>NOTE 3 – IPCE is the PE used in a core network. The boundary of this PE depends on its application; for a transit country this PE is limited by the two FSs. For a terminating country, this element is limited by the IG and the FS. In particular this element should be delimited by the international switching centre (ISC) and the FS or by the TIC, which corresponds to the end of the international portion, and the FS.</w:t>
      </w:r>
    </w:p>
    <w:p w:rsidR="007A0B61" w:rsidRDefault="00FE432E">
      <w:pPr>
        <w:rPr>
          <w:i/>
          <w:lang w:val="en-US"/>
        </w:rPr>
      </w:pPr>
      <w:r>
        <w:rPr>
          <w:lang w:val="en-US"/>
        </w:rPr>
        <w:t>NOTE 4 – The international portion of a path is composed by the ICPE and ICPCE, so the boundary of this element corresponds to the IPCE (i.e. FS or TIC or ISC) and by the portion of ICPCE that crosses the border between two countries.</w:t>
      </w:r>
    </w:p>
    <w:p w:rsidR="007A0B61" w:rsidRDefault="00FE432E">
      <w:pPr>
        <w:rPr>
          <w:lang w:val="en-US"/>
        </w:rPr>
      </w:pPr>
      <w:r>
        <w:rPr>
          <w:lang w:val="en-US"/>
        </w:rPr>
        <w:t>NOTE 5 – The national path element (NPE) is a PE used in a terminating country to connect the international portion and the PEP. The NPE includes both the PAE and the NPCE.</w:t>
      </w:r>
    </w:p>
    <w:p w:rsidR="007A0B61" w:rsidRDefault="00FE432E">
      <w:pPr>
        <w:rPr>
          <w:lang w:val="en-US"/>
        </w:rPr>
      </w:pPr>
      <w:r>
        <w:rPr>
          <w:lang w:val="en-US"/>
        </w:rPr>
        <w:t>NOTE 6 – For the scope of this Recommendation the national portion corresponds to the NPE.</w:t>
      </w:r>
    </w:p>
    <w:p w:rsidR="007A0B61" w:rsidRDefault="00FE432E">
      <w:pPr>
        <w:rPr>
          <w:lang w:val="en-US"/>
        </w:rPr>
      </w:pPr>
      <w:r>
        <w:rPr>
          <w:lang w:val="en-US"/>
        </w:rPr>
        <w:t>NOTE 7 – The TIC, the PAE and NPCE are defined in ITU</w:t>
      </w:r>
      <w:r>
        <w:rPr>
          <w:lang w:val="en-US"/>
        </w:rPr>
        <w:noBreakHyphen/>
        <w:t>T Recommendation M.1010. (Note that the ISC and TIC may be in the same location.)</w:t>
      </w:r>
    </w:p>
    <w:p w:rsidR="007A0B61" w:rsidRDefault="00FE432E">
      <w:pPr>
        <w:rPr>
          <w:lang w:val="en-US"/>
        </w:rPr>
      </w:pPr>
      <w:r>
        <w:rPr>
          <w:lang w:val="en-US"/>
        </w:rPr>
        <w:t>NOTE 8 – The criteria for entry to and exit from the unavailable state is defined in Annex A of ITU</w:t>
      </w:r>
      <w:r>
        <w:rPr>
          <w:lang w:val="en-US"/>
        </w:rPr>
        <w:noBreakHyphen/>
        <w:t>T Recommendation G.826.</w:t>
      </w:r>
    </w:p>
    <w:p w:rsidR="007A0B61" w:rsidRDefault="00FE432E">
      <w:pPr>
        <w:rPr>
          <w:lang w:val="en-US"/>
        </w:rPr>
      </w:pPr>
      <w:r>
        <w:rPr>
          <w:lang w:val="en-US"/>
        </w:rPr>
        <w:t>NOTE 9 – The objectives for access portion of the network are assumed length independent, since typically these links are shorter than 50 km.</w:t>
      </w:r>
    </w:p>
    <w:p w:rsidR="007A0B61" w:rsidRDefault="00FE432E">
      <w:pPr>
        <w:rPr>
          <w:lang w:val="en-US"/>
        </w:rPr>
      </w:pPr>
      <w:r>
        <w:rPr>
          <w:lang w:val="en-US"/>
        </w:rPr>
        <w:t xml:space="preserve">NOTE 10 – The objectives for access portion and short-haul portion are defined for a maximum length </w:t>
      </w:r>
      <w:r>
        <w:rPr>
          <w:i/>
          <w:iCs/>
          <w:lang w:val="en-US"/>
        </w:rPr>
        <w:t>L</w:t>
      </w:r>
      <w:r>
        <w:rPr>
          <w:i/>
          <w:iCs/>
          <w:position w:val="-4"/>
          <w:lang w:val="en-US"/>
        </w:rPr>
        <w:t>max</w:t>
      </w:r>
      <w:r>
        <w:rPr>
          <w:lang w:val="en-US"/>
        </w:rPr>
        <w:t> </w:t>
      </w:r>
      <w:r>
        <w:rPr>
          <w:rFonts w:ascii="Symbol" w:hAnsi="Symbol"/>
        </w:rPr>
        <w:t></w:t>
      </w:r>
      <w:r>
        <w:rPr>
          <w:lang w:val="en-US"/>
        </w:rPr>
        <w:t> 250 km.</w:t>
      </w:r>
    </w:p>
    <w:p w:rsidR="007A0B61" w:rsidRDefault="00FE432E">
      <w:pPr>
        <w:rPr>
          <w:lang w:val="en-US"/>
        </w:rPr>
      </w:pPr>
      <w:r>
        <w:rPr>
          <w:lang w:val="en-US"/>
        </w:rPr>
        <w:t>NOTE 11 – The short-haul objectives for lengths greater than 2</w:t>
      </w:r>
      <w:r>
        <w:rPr>
          <w:rFonts w:ascii="Tms Rmn" w:hAnsi="Tms Rmn"/>
          <w:lang w:val="en-US"/>
        </w:rPr>
        <w:t> </w:t>
      </w:r>
      <w:r>
        <w:rPr>
          <w:lang w:val="en-US"/>
        </w:rPr>
        <w:t>500 km are not applicable.</w:t>
      </w:r>
    </w:p>
    <w:p w:rsidR="007A0B61" w:rsidRDefault="00FE432E">
      <w:pPr>
        <w:rPr>
          <w:lang w:val="en-US"/>
        </w:rPr>
      </w:pPr>
      <w:r>
        <w:rPr>
          <w:lang w:val="en-US"/>
        </w:rPr>
        <w:t>NOTE 12 – The availability objectives and apportionment criteria for connections should be the same as for paths.</w:t>
      </w:r>
    </w:p>
    <w:p w:rsidR="007A0B61" w:rsidRDefault="00FE432E">
      <w:pPr>
        <w:rPr>
          <w:lang w:val="en-US"/>
        </w:rPr>
      </w:pPr>
      <w:r>
        <w:rPr>
          <w:lang w:val="en-US"/>
        </w:rPr>
        <w:t>NOTE 13 – The criteria defining the entry to and exit from the unavailable state is defined in § A.1 of Annex A of ITU</w:t>
      </w:r>
      <w:r>
        <w:rPr>
          <w:lang w:val="en-US"/>
        </w:rPr>
        <w:noBreakHyphen/>
        <w:t>T Recommendation G.826.</w:t>
      </w:r>
    </w:p>
    <w:p w:rsidR="007A0B61" w:rsidRDefault="00FE432E">
      <w:pPr>
        <w:rPr>
          <w:lang w:val="en-US"/>
        </w:rPr>
      </w:pPr>
      <w:r>
        <w:rPr>
          <w:lang w:val="en-US"/>
        </w:rPr>
        <w:t>NOTE 14 – Further studies are invited to define what number of events, due to anomalous propagation conditions, can give rise to self-healing unavailability events, due to such events, usually much shorter than four hours mean time to restoration (MTTR) = four hours is defined in ITU</w:t>
      </w:r>
      <w:r>
        <w:rPr>
          <w:lang w:val="en-US"/>
        </w:rPr>
        <w:noBreakHyphen/>
        <w:t>T Recommendation G.827 as a base for OI objectives), are not taken into account for OI objectives in ITU</w:t>
      </w:r>
      <w:r>
        <w:rPr>
          <w:lang w:val="en-US"/>
        </w:rPr>
        <w:noBreakHyphen/>
        <w:t>T Recommendation G.827.</w:t>
      </w:r>
    </w:p>
    <w:p w:rsidR="007A0B61" w:rsidRDefault="00FE432E">
      <w:pPr>
        <w:rPr>
          <w:lang w:val="en-US"/>
        </w:rPr>
      </w:pPr>
      <w:r>
        <w:rPr>
          <w:lang w:val="en-US"/>
        </w:rPr>
        <w:br w:type="page"/>
      </w:r>
      <w:r>
        <w:rPr>
          <w:lang w:val="en-US"/>
        </w:rPr>
        <w:lastRenderedPageBreak/>
        <w:t>NOTE 15 – Further studies are invited to establish whether and to what extent the AR and the OI objectives can be improved.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992"/>
        <w:gridCol w:w="995"/>
        <w:gridCol w:w="992"/>
        <w:gridCol w:w="993"/>
        <w:gridCol w:w="992"/>
        <w:gridCol w:w="993"/>
        <w:gridCol w:w="992"/>
        <w:gridCol w:w="983"/>
        <w:gridCol w:w="13"/>
      </w:tblGrid>
      <w:tr w:rsidR="007A0B61" w:rsidRPr="00AD5869">
        <w:trPr>
          <w:gridAfter w:val="1"/>
          <w:wAfter w:w="13" w:type="dxa"/>
          <w:cantSplit/>
          <w:tblHeader/>
        </w:trPr>
        <w:tc>
          <w:tcPr>
            <w:tcW w:w="9347" w:type="dxa"/>
            <w:gridSpan w:val="9"/>
            <w:tcBorders>
              <w:top w:val="nil"/>
              <w:left w:val="nil"/>
              <w:right w:val="nil"/>
            </w:tcBorders>
          </w:tcPr>
          <w:p w:rsidR="007A0B61" w:rsidRDefault="00FE432E">
            <w:pPr>
              <w:pStyle w:val="TableNo"/>
              <w:framePr w:hSpace="181" w:wrap="notBeside" w:vAnchor="text" w:hAnchor="text" w:xAlign="center" w:y="1"/>
              <w:rPr>
                <w:lang w:val="en-GB"/>
              </w:rPr>
            </w:pPr>
            <w:r>
              <w:rPr>
                <w:lang w:val="en-GB"/>
              </w:rPr>
              <w:t>TABLE  1</w:t>
            </w:r>
          </w:p>
          <w:p w:rsidR="007A0B61" w:rsidRDefault="00FE432E">
            <w:pPr>
              <w:pStyle w:val="Tabletitle"/>
              <w:rPr>
                <w:i/>
                <w:iCs/>
                <w:sz w:val="20"/>
                <w:lang w:val="en-GB"/>
              </w:rPr>
            </w:pPr>
            <w:r>
              <w:rPr>
                <w:lang w:val="en-US"/>
              </w:rPr>
              <w:t>Parameters for AR objectives</w:t>
            </w:r>
            <w:r>
              <w:rPr>
                <w:b w:val="0"/>
                <w:lang w:val="en-US"/>
              </w:rPr>
              <w:t xml:space="preserve"> </w:t>
            </w:r>
            <w:r>
              <w:rPr>
                <w:lang w:val="en-US"/>
              </w:rPr>
              <w:t>for links forming part of an international portion</w:t>
            </w:r>
            <w:r>
              <w:rPr>
                <w:lang w:val="en-US"/>
              </w:rPr>
              <w:br/>
              <w:t>of constant bit-rate digital path</w:t>
            </w:r>
          </w:p>
        </w:tc>
      </w:tr>
      <w:tr w:rsidR="007A0B61">
        <w:tc>
          <w:tcPr>
            <w:tcW w:w="1415" w:type="dxa"/>
          </w:tcPr>
          <w:p w:rsidR="007A0B61" w:rsidRDefault="00FE432E">
            <w:pPr>
              <w:pStyle w:val="Tablehead"/>
              <w:framePr w:hSpace="181" w:wrap="notBeside" w:vAnchor="text" w:hAnchor="text" w:xAlign="center" w:y="1"/>
              <w:jc w:val="left"/>
              <w:rPr>
                <w:b w:val="0"/>
                <w:bCs/>
                <w:sz w:val="18"/>
              </w:rPr>
            </w:pPr>
            <w:r>
              <w:rPr>
                <w:b w:val="0"/>
                <w:bCs/>
                <w:sz w:val="18"/>
              </w:rPr>
              <w:t>Length (km)</w:t>
            </w:r>
          </w:p>
        </w:tc>
        <w:tc>
          <w:tcPr>
            <w:tcW w:w="1987" w:type="dxa"/>
            <w:gridSpan w:val="2"/>
            <w:vAlign w:val="center"/>
          </w:tcPr>
          <w:p w:rsidR="007A0B61" w:rsidRDefault="00FE432E">
            <w:pPr>
              <w:pStyle w:val="Tablehead"/>
              <w:framePr w:hSpace="181" w:wrap="notBeside" w:vAnchor="text" w:hAnchor="text" w:xAlign="center" w:y="1"/>
              <w:rPr>
                <w:b w:val="0"/>
                <w:bCs/>
                <w:sz w:val="18"/>
                <w:lang w:val="fr-CH"/>
              </w:rPr>
            </w:pPr>
            <w:r>
              <w:rPr>
                <w:b w:val="0"/>
                <w:bCs/>
                <w:i/>
                <w:iCs/>
                <w:sz w:val="18"/>
                <w:lang w:val="fr-CH"/>
              </w:rPr>
              <w:t>L</w:t>
            </w:r>
            <w:r>
              <w:rPr>
                <w:b w:val="0"/>
                <w:bCs/>
                <w:i/>
                <w:iCs/>
                <w:sz w:val="18"/>
                <w:vertAlign w:val="subscript"/>
                <w:lang w:val="fr-CH"/>
              </w:rPr>
              <w:t>min</w:t>
            </w:r>
            <w:r>
              <w:rPr>
                <w:b w:val="0"/>
                <w:bCs/>
                <w:sz w:val="18"/>
                <w:lang w:val="fr-CH"/>
              </w:rPr>
              <w:t xml:space="preserve"> </w:t>
            </w:r>
            <w:r>
              <w:rPr>
                <w:rFonts w:ascii="Symbol" w:hAnsi="Symbol"/>
                <w:b w:val="0"/>
                <w:bCs/>
                <w:sz w:val="18"/>
              </w:rPr>
              <w:sym w:font="Symbol" w:char="F0A3"/>
            </w:r>
            <w:r>
              <w:rPr>
                <w:b w:val="0"/>
                <w:bCs/>
                <w:sz w:val="18"/>
                <w:lang w:val="fr-CH"/>
              </w:rPr>
              <w:t xml:space="preserve"> </w:t>
            </w:r>
            <w:r>
              <w:rPr>
                <w:b w:val="0"/>
                <w:bCs/>
                <w:i/>
                <w:iCs/>
                <w:sz w:val="18"/>
                <w:lang w:val="fr-CH"/>
              </w:rPr>
              <w:t>L</w:t>
            </w:r>
            <w:r>
              <w:rPr>
                <w:b w:val="0"/>
                <w:bCs/>
                <w:i/>
                <w:iCs/>
                <w:sz w:val="18"/>
                <w:vertAlign w:val="subscript"/>
                <w:lang w:val="fr-CH"/>
              </w:rPr>
              <w:t>link</w:t>
            </w:r>
            <w:r>
              <w:rPr>
                <w:b w:val="0"/>
                <w:bCs/>
                <w:sz w:val="18"/>
                <w:lang w:val="fr-CH"/>
              </w:rPr>
              <w:t xml:space="preserve"> </w:t>
            </w:r>
            <w:r>
              <w:rPr>
                <w:rFonts w:ascii="Symbol" w:hAnsi="Symbol"/>
                <w:b w:val="0"/>
                <w:bCs/>
                <w:sz w:val="18"/>
              </w:rPr>
              <w:sym w:font="Symbol" w:char="F0A3"/>
            </w:r>
            <w:r>
              <w:rPr>
                <w:b w:val="0"/>
                <w:bCs/>
                <w:sz w:val="18"/>
                <w:lang w:val="fr-CH"/>
              </w:rPr>
              <w:t xml:space="preserve"> 250</w:t>
            </w:r>
          </w:p>
        </w:tc>
        <w:tc>
          <w:tcPr>
            <w:tcW w:w="1985" w:type="dxa"/>
            <w:gridSpan w:val="2"/>
            <w:vAlign w:val="center"/>
          </w:tcPr>
          <w:p w:rsidR="007A0B61" w:rsidRDefault="00FE432E">
            <w:pPr>
              <w:pStyle w:val="Tablehead"/>
              <w:framePr w:hSpace="181" w:wrap="notBeside" w:vAnchor="text" w:hAnchor="text" w:xAlign="center" w:y="1"/>
              <w:rPr>
                <w:b w:val="0"/>
                <w:bCs/>
                <w:sz w:val="18"/>
                <w:lang w:val="en-US"/>
              </w:rPr>
            </w:pPr>
            <w:r>
              <w:rPr>
                <w:b w:val="0"/>
                <w:bCs/>
                <w:sz w:val="18"/>
                <w:lang w:val="en-US"/>
              </w:rPr>
              <w:t xml:space="preserve">250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2</w:t>
            </w:r>
            <w:r>
              <w:rPr>
                <w:rFonts w:ascii="Tms Rmn" w:hAnsi="Tms Rmn"/>
                <w:b w:val="0"/>
                <w:bCs/>
                <w:sz w:val="12"/>
                <w:lang w:val="en-GB"/>
              </w:rPr>
              <w:t> </w:t>
            </w:r>
            <w:r>
              <w:rPr>
                <w:b w:val="0"/>
                <w:bCs/>
                <w:sz w:val="18"/>
                <w:lang w:val="en-US"/>
              </w:rPr>
              <w:t>500</w:t>
            </w:r>
          </w:p>
        </w:tc>
        <w:tc>
          <w:tcPr>
            <w:tcW w:w="1985" w:type="dxa"/>
            <w:gridSpan w:val="2"/>
            <w:vAlign w:val="center"/>
          </w:tcPr>
          <w:p w:rsidR="007A0B61" w:rsidRDefault="00FE432E">
            <w:pPr>
              <w:pStyle w:val="Tablehead"/>
              <w:framePr w:hSpace="181" w:wrap="notBeside" w:vAnchor="text" w:hAnchor="text" w:xAlign="center" w:y="1"/>
              <w:rPr>
                <w:b w:val="0"/>
                <w:bCs/>
                <w:sz w:val="18"/>
                <w:lang w:val="en-US"/>
              </w:rPr>
            </w:pPr>
            <w:r>
              <w:rPr>
                <w:b w:val="0"/>
                <w:bCs/>
                <w:sz w:val="18"/>
                <w:lang w:val="en-US"/>
              </w:rPr>
              <w:t>2</w:t>
            </w:r>
            <w:r>
              <w:rPr>
                <w:rFonts w:ascii="Tms Rmn" w:hAnsi="Tms Rmn"/>
                <w:b w:val="0"/>
                <w:bCs/>
                <w:sz w:val="12"/>
                <w:lang w:val="en-GB"/>
              </w:rPr>
              <w:t> </w:t>
            </w:r>
            <w:r>
              <w:rPr>
                <w:b w:val="0"/>
                <w:bCs/>
                <w:sz w:val="18"/>
                <w:lang w:val="en-US"/>
              </w:rPr>
              <w:t xml:space="preserve">500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7</w:t>
            </w:r>
            <w:r>
              <w:rPr>
                <w:rFonts w:ascii="Tms Rmn" w:hAnsi="Tms Rmn"/>
                <w:b w:val="0"/>
                <w:bCs/>
                <w:sz w:val="12"/>
                <w:lang w:val="en-GB"/>
              </w:rPr>
              <w:t> </w:t>
            </w:r>
            <w:r>
              <w:rPr>
                <w:b w:val="0"/>
                <w:bCs/>
                <w:sz w:val="18"/>
                <w:lang w:val="en-US"/>
              </w:rPr>
              <w:t>500</w:t>
            </w:r>
          </w:p>
        </w:tc>
        <w:tc>
          <w:tcPr>
            <w:tcW w:w="1988" w:type="dxa"/>
            <w:gridSpan w:val="3"/>
            <w:vAlign w:val="center"/>
          </w:tcPr>
          <w:p w:rsidR="007A0B61" w:rsidRDefault="00FE432E">
            <w:pPr>
              <w:pStyle w:val="Tablehead"/>
              <w:framePr w:hSpace="181" w:wrap="notBeside" w:vAnchor="text" w:hAnchor="text" w:xAlign="center" w:y="1"/>
              <w:rPr>
                <w:b w:val="0"/>
                <w:bCs/>
                <w:sz w:val="18"/>
                <w:lang w:val="en-US"/>
              </w:rPr>
            </w:pP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t></w:t>
            </w:r>
            <w:r>
              <w:rPr>
                <w:b w:val="0"/>
                <w:bCs/>
                <w:sz w:val="18"/>
                <w:lang w:val="en-US"/>
              </w:rPr>
              <w:t xml:space="preserve"> 7</w:t>
            </w:r>
            <w:r>
              <w:rPr>
                <w:rFonts w:ascii="Tms Rmn" w:hAnsi="Tms Rmn"/>
                <w:b w:val="0"/>
                <w:bCs/>
                <w:sz w:val="12"/>
                <w:lang w:val="en-GB"/>
              </w:rPr>
              <w:t> </w:t>
            </w:r>
            <w:r>
              <w:rPr>
                <w:b w:val="0"/>
                <w:bCs/>
                <w:sz w:val="18"/>
                <w:lang w:val="en-US"/>
              </w:rPr>
              <w:t>500</w:t>
            </w:r>
          </w:p>
        </w:tc>
      </w:tr>
      <w:tr w:rsidR="007A0B61">
        <w:tc>
          <w:tcPr>
            <w:tcW w:w="1415" w:type="dxa"/>
          </w:tcPr>
          <w:p w:rsidR="007A0B61" w:rsidRDefault="007A0B61">
            <w:pPr>
              <w:pStyle w:val="Tabletext"/>
              <w:framePr w:hSpace="181" w:wrap="notBeside" w:vAnchor="text" w:hAnchor="text" w:xAlign="center" w:y="1"/>
              <w:jc w:val="left"/>
              <w:rPr>
                <w:sz w:val="18"/>
                <w:lang w:val="en-US"/>
              </w:rPr>
            </w:pPr>
          </w:p>
        </w:tc>
        <w:tc>
          <w:tcPr>
            <w:tcW w:w="992" w:type="dxa"/>
          </w:tcPr>
          <w:p w:rsidR="007A0B61" w:rsidRDefault="00FE432E">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1</w:t>
            </w:r>
          </w:p>
        </w:tc>
        <w:tc>
          <w:tcPr>
            <w:tcW w:w="995" w:type="dxa"/>
          </w:tcPr>
          <w:p w:rsidR="007A0B61" w:rsidRDefault="00FE432E">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1</w:t>
            </w:r>
          </w:p>
        </w:tc>
        <w:tc>
          <w:tcPr>
            <w:tcW w:w="992" w:type="dxa"/>
          </w:tcPr>
          <w:p w:rsidR="007A0B61" w:rsidRDefault="00FE432E">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2</w:t>
            </w:r>
          </w:p>
        </w:tc>
        <w:tc>
          <w:tcPr>
            <w:tcW w:w="993" w:type="dxa"/>
          </w:tcPr>
          <w:p w:rsidR="007A0B61" w:rsidRDefault="00FE432E">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2</w:t>
            </w:r>
          </w:p>
        </w:tc>
        <w:tc>
          <w:tcPr>
            <w:tcW w:w="992" w:type="dxa"/>
          </w:tcPr>
          <w:p w:rsidR="007A0B61" w:rsidRDefault="00FE432E">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3</w:t>
            </w:r>
          </w:p>
        </w:tc>
        <w:tc>
          <w:tcPr>
            <w:tcW w:w="993" w:type="dxa"/>
          </w:tcPr>
          <w:p w:rsidR="007A0B61" w:rsidRDefault="00FE432E">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3</w:t>
            </w:r>
          </w:p>
        </w:tc>
        <w:tc>
          <w:tcPr>
            <w:tcW w:w="992" w:type="dxa"/>
          </w:tcPr>
          <w:p w:rsidR="007A0B61" w:rsidRDefault="00FE432E">
            <w:pPr>
              <w:pStyle w:val="Tabletext"/>
              <w:framePr w:hSpace="181" w:wrap="notBeside" w:vAnchor="text" w:hAnchor="text" w:xAlign="center" w:y="1"/>
              <w:jc w:val="center"/>
              <w:rPr>
                <w:sz w:val="18"/>
                <w:lang w:val="fr-CH"/>
              </w:rPr>
            </w:pPr>
            <w:r>
              <w:rPr>
                <w:i/>
                <w:iCs/>
                <w:sz w:val="18"/>
                <w:lang w:val="fr-CH"/>
              </w:rPr>
              <w:t>B</w:t>
            </w:r>
            <w:r>
              <w:rPr>
                <w:sz w:val="18"/>
                <w:vertAlign w:val="subscript"/>
                <w:lang w:val="fr-CH"/>
              </w:rPr>
              <w:t>4</w:t>
            </w:r>
          </w:p>
        </w:tc>
        <w:tc>
          <w:tcPr>
            <w:tcW w:w="992" w:type="dxa"/>
            <w:gridSpan w:val="2"/>
          </w:tcPr>
          <w:p w:rsidR="007A0B61" w:rsidRDefault="00FE432E">
            <w:pPr>
              <w:pStyle w:val="Tabletext"/>
              <w:framePr w:hSpace="181" w:wrap="notBeside" w:vAnchor="text" w:hAnchor="text" w:xAlign="center" w:y="1"/>
              <w:jc w:val="center"/>
              <w:rPr>
                <w:sz w:val="18"/>
                <w:lang w:val="fr-CH"/>
              </w:rPr>
            </w:pPr>
            <w:r>
              <w:rPr>
                <w:i/>
                <w:iCs/>
                <w:sz w:val="18"/>
                <w:lang w:val="fr-CH"/>
              </w:rPr>
              <w:t>C</w:t>
            </w:r>
            <w:r>
              <w:rPr>
                <w:sz w:val="18"/>
                <w:vertAlign w:val="subscript"/>
                <w:lang w:val="fr-CH"/>
              </w:rPr>
              <w:t>4</w:t>
            </w:r>
          </w:p>
        </w:tc>
      </w:tr>
      <w:tr w:rsidR="007A0B61">
        <w:tc>
          <w:tcPr>
            <w:tcW w:w="1415" w:type="dxa"/>
          </w:tcPr>
          <w:p w:rsidR="007A0B61" w:rsidRDefault="00FE432E">
            <w:pPr>
              <w:pStyle w:val="Tabletext"/>
              <w:framePr w:hSpace="181" w:wrap="notBeside" w:vAnchor="text" w:hAnchor="text" w:xAlign="center" w:y="1"/>
              <w:jc w:val="left"/>
              <w:rPr>
                <w:sz w:val="18"/>
              </w:rPr>
            </w:pPr>
            <w:r>
              <w:rPr>
                <w:sz w:val="18"/>
                <w:lang w:val="en-GB"/>
              </w:rPr>
              <w:t>International portion</w:t>
            </w:r>
          </w:p>
        </w:tc>
        <w:tc>
          <w:tcPr>
            <w:tcW w:w="992" w:type="dxa"/>
          </w:tcPr>
          <w:p w:rsidR="007A0B61" w:rsidRDefault="00FE432E">
            <w:pPr>
              <w:pStyle w:val="Tabletext"/>
              <w:framePr w:hSpace="181" w:wrap="notBeside" w:vAnchor="text" w:hAnchor="text" w:xAlign="center" w:y="1"/>
              <w:jc w:val="center"/>
              <w:rPr>
                <w:sz w:val="18"/>
              </w:rPr>
            </w:pPr>
            <w:r>
              <w:rPr>
                <w:sz w:val="18"/>
              </w:rPr>
              <w:t xml:space="preserve">1.9 </w:t>
            </w:r>
            <w:r>
              <w:rPr>
                <w:rFonts w:ascii="Symbol" w:hAnsi="Symbol"/>
                <w:sz w:val="18"/>
              </w:rPr>
              <w:t></w:t>
            </w:r>
            <w:r>
              <w:rPr>
                <w:sz w:val="18"/>
              </w:rPr>
              <w:t xml:space="preserve"> 10</w:t>
            </w:r>
            <w:r>
              <w:rPr>
                <w:sz w:val="18"/>
                <w:vertAlign w:val="superscript"/>
              </w:rPr>
              <w:t>–3</w:t>
            </w:r>
          </w:p>
        </w:tc>
        <w:tc>
          <w:tcPr>
            <w:tcW w:w="995" w:type="dxa"/>
          </w:tcPr>
          <w:p w:rsidR="007A0B61" w:rsidRDefault="00FE432E">
            <w:pPr>
              <w:pStyle w:val="Tabletext"/>
              <w:framePr w:hSpace="181" w:wrap="notBeside" w:vAnchor="text" w:hAnchor="text" w:xAlign="center" w:y="1"/>
              <w:jc w:val="center"/>
              <w:rPr>
                <w:sz w:val="18"/>
              </w:rPr>
            </w:pPr>
            <w:r>
              <w:rPr>
                <w:sz w:val="18"/>
              </w:rPr>
              <w:t xml:space="preserve">1.1 </w:t>
            </w:r>
            <w:r>
              <w:rPr>
                <w:rFonts w:ascii="Symbol" w:hAnsi="Symbol"/>
                <w:sz w:val="18"/>
              </w:rPr>
              <w:t></w:t>
            </w:r>
            <w:r>
              <w:rPr>
                <w:sz w:val="18"/>
              </w:rPr>
              <w:t xml:space="preserve"> 10</w:t>
            </w:r>
            <w:r>
              <w:rPr>
                <w:sz w:val="18"/>
                <w:vertAlign w:val="superscript"/>
              </w:rPr>
              <w:t>–4</w:t>
            </w:r>
          </w:p>
        </w:tc>
        <w:tc>
          <w:tcPr>
            <w:tcW w:w="992" w:type="dxa"/>
          </w:tcPr>
          <w:p w:rsidR="007A0B61" w:rsidRDefault="00FE432E">
            <w:pPr>
              <w:pStyle w:val="Tabletext"/>
              <w:framePr w:hSpace="181" w:wrap="notBeside" w:vAnchor="text" w:hAnchor="text" w:xAlign="center" w:y="1"/>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3" w:type="dxa"/>
          </w:tcPr>
          <w:p w:rsidR="007A0B61" w:rsidRDefault="00FE432E">
            <w:pPr>
              <w:pStyle w:val="Tabletext"/>
              <w:framePr w:hSpace="181" w:wrap="notBeside" w:vAnchor="text" w:hAnchor="text" w:xAlign="center" w:y="1"/>
              <w:jc w:val="center"/>
              <w:rPr>
                <w:sz w:val="18"/>
              </w:rPr>
            </w:pPr>
            <w:r>
              <w:rPr>
                <w:sz w:val="18"/>
              </w:rPr>
              <w:t>0</w:t>
            </w:r>
          </w:p>
        </w:tc>
        <w:tc>
          <w:tcPr>
            <w:tcW w:w="992" w:type="dxa"/>
          </w:tcPr>
          <w:p w:rsidR="007A0B61" w:rsidRDefault="00FE432E">
            <w:pPr>
              <w:pStyle w:val="Tabletext"/>
              <w:framePr w:hSpace="181" w:wrap="notBeside" w:vAnchor="text" w:hAnchor="text" w:xAlign="center" w:y="1"/>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3" w:type="dxa"/>
          </w:tcPr>
          <w:p w:rsidR="007A0B61" w:rsidRDefault="00FE432E">
            <w:pPr>
              <w:pStyle w:val="Tabletext"/>
              <w:framePr w:hSpace="181" w:wrap="notBeside" w:vAnchor="text" w:hAnchor="text" w:xAlign="center" w:y="1"/>
              <w:jc w:val="center"/>
              <w:rPr>
                <w:sz w:val="18"/>
              </w:rPr>
            </w:pPr>
            <w:r>
              <w:rPr>
                <w:sz w:val="18"/>
              </w:rPr>
              <w:t>0</w:t>
            </w:r>
          </w:p>
        </w:tc>
        <w:tc>
          <w:tcPr>
            <w:tcW w:w="992" w:type="dxa"/>
          </w:tcPr>
          <w:p w:rsidR="007A0B61" w:rsidRDefault="00FE432E">
            <w:pPr>
              <w:pStyle w:val="Tabletext"/>
              <w:framePr w:hSpace="181" w:wrap="notBeside" w:vAnchor="text" w:hAnchor="text" w:xAlign="center" w:y="1"/>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2" w:type="dxa"/>
            <w:gridSpan w:val="2"/>
          </w:tcPr>
          <w:p w:rsidR="007A0B61" w:rsidRDefault="00FE432E">
            <w:pPr>
              <w:pStyle w:val="Tabletext"/>
              <w:framePr w:hSpace="181" w:wrap="notBeside" w:vAnchor="text" w:hAnchor="text" w:xAlign="center" w:y="1"/>
              <w:jc w:val="center"/>
              <w:rPr>
                <w:sz w:val="18"/>
              </w:rPr>
            </w:pPr>
            <w:r>
              <w:rPr>
                <w:sz w:val="18"/>
              </w:rPr>
              <w:t>0</w:t>
            </w:r>
          </w:p>
        </w:tc>
      </w:tr>
    </w:tbl>
    <w:p w:rsidR="007A0B61" w:rsidRDefault="007A0B61">
      <w:pPr>
        <w:pStyle w:val="Tablefin"/>
      </w:pPr>
    </w:p>
    <w:tbl>
      <w:tblPr>
        <w:tblW w:w="9889" w:type="dxa"/>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7A0B61" w:rsidRPr="00AD5869">
        <w:trPr>
          <w:cantSplit/>
          <w:trHeight w:val="435"/>
          <w:tblHeader/>
        </w:trPr>
        <w:tc>
          <w:tcPr>
            <w:tcW w:w="9889" w:type="dxa"/>
            <w:gridSpan w:val="6"/>
            <w:tcBorders>
              <w:top w:val="nil"/>
              <w:left w:val="nil"/>
              <w:bottom w:val="single" w:sz="4" w:space="0" w:color="auto"/>
              <w:right w:val="nil"/>
            </w:tcBorders>
            <w:vAlign w:val="center"/>
          </w:tcPr>
          <w:p w:rsidR="007A0B61" w:rsidRDefault="00FE432E">
            <w:pPr>
              <w:pStyle w:val="TableNo"/>
              <w:framePr w:hSpace="181" w:wrap="notBeside" w:vAnchor="text" w:hAnchor="text" w:xAlign="center" w:y="1"/>
              <w:spacing w:before="240"/>
              <w:rPr>
                <w:lang w:val="en-GB"/>
              </w:rPr>
            </w:pPr>
            <w:r>
              <w:rPr>
                <w:lang w:val="en-GB"/>
              </w:rPr>
              <w:t>TABLE  2</w:t>
            </w:r>
          </w:p>
          <w:p w:rsidR="007A0B61" w:rsidRDefault="00FE432E">
            <w:pPr>
              <w:pStyle w:val="Tabletitle"/>
              <w:framePr w:hSpace="181" w:wrap="notBeside" w:vAnchor="text" w:hAnchor="text" w:xAlign="center" w:y="1"/>
              <w:rPr>
                <w:sz w:val="20"/>
                <w:lang w:val="en-GB"/>
              </w:rPr>
            </w:pPr>
            <w:r>
              <w:rPr>
                <w:lang w:val="en-GB"/>
              </w:rPr>
              <w:t xml:space="preserve">Parameters for AR objectives for links forming part of a national portion </w:t>
            </w:r>
            <w:r>
              <w:rPr>
                <w:lang w:val="en-GB"/>
              </w:rPr>
              <w:br/>
              <w:t>of constant bit-rate digital path element</w:t>
            </w:r>
          </w:p>
        </w:tc>
      </w:tr>
      <w:tr w:rsidR="007A0B61">
        <w:trPr>
          <w:trHeight w:val="435"/>
          <w:tblHead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7A0B61" w:rsidRDefault="00FE432E">
            <w:pPr>
              <w:pStyle w:val="Tablehead"/>
              <w:framePr w:hSpace="181" w:wrap="notBeside" w:vAnchor="text" w:hAnchor="text" w:xAlign="center" w:y="1"/>
              <w:rPr>
                <w:i/>
                <w:iCs/>
                <w:sz w:val="18"/>
                <w:lang w:val="en-GB"/>
              </w:rPr>
            </w:pPr>
            <w:r>
              <w:rPr>
                <w:sz w:val="18"/>
                <w:lang w:val="en-GB"/>
              </w:rPr>
              <w:t>Access portion</w:t>
            </w:r>
          </w:p>
        </w:tc>
        <w:tc>
          <w:tcPr>
            <w:tcW w:w="1418" w:type="dxa"/>
            <w:gridSpan w:val="2"/>
            <w:tcBorders>
              <w:top w:val="single" w:sz="4" w:space="0" w:color="auto"/>
              <w:left w:val="nil"/>
              <w:bottom w:val="single" w:sz="4" w:space="0" w:color="auto"/>
              <w:right w:val="single" w:sz="4" w:space="0" w:color="auto"/>
            </w:tcBorders>
          </w:tcPr>
          <w:p w:rsidR="007A0B61" w:rsidRDefault="00FE432E">
            <w:pPr>
              <w:pStyle w:val="Tablehead"/>
              <w:framePr w:hSpace="181" w:wrap="notBeside" w:vAnchor="text" w:hAnchor="text" w:xAlign="center" w:y="1"/>
              <w:rPr>
                <w:i/>
                <w:iCs/>
                <w:sz w:val="18"/>
                <w:lang w:val="en-GB"/>
              </w:rPr>
            </w:pPr>
            <w:r>
              <w:rPr>
                <w:sz w:val="18"/>
                <w:lang w:val="en-GB"/>
              </w:rPr>
              <w:t>Short-haul portion</w:t>
            </w:r>
          </w:p>
        </w:tc>
        <w:tc>
          <w:tcPr>
            <w:tcW w:w="7087" w:type="dxa"/>
            <w:gridSpan w:val="2"/>
            <w:tcBorders>
              <w:top w:val="single" w:sz="4" w:space="0" w:color="auto"/>
              <w:left w:val="nil"/>
              <w:bottom w:val="single" w:sz="4" w:space="0" w:color="auto"/>
              <w:right w:val="single" w:sz="4" w:space="0" w:color="auto"/>
            </w:tcBorders>
            <w:vAlign w:val="center"/>
          </w:tcPr>
          <w:p w:rsidR="007A0B61" w:rsidRDefault="00FE432E">
            <w:pPr>
              <w:pStyle w:val="Tablehead"/>
              <w:framePr w:hSpace="181" w:wrap="notBeside" w:vAnchor="text" w:hAnchor="text" w:xAlign="center" w:y="1"/>
              <w:rPr>
                <w:i/>
                <w:iCs/>
                <w:sz w:val="18"/>
                <w:lang w:val="en-US"/>
              </w:rPr>
            </w:pPr>
            <w:r>
              <w:rPr>
                <w:sz w:val="18"/>
                <w:lang w:val="en-US"/>
              </w:rPr>
              <w:t>Long-haul portion</w:t>
            </w:r>
          </w:p>
        </w:tc>
      </w:tr>
      <w:tr w:rsidR="007A0B61">
        <w:trPr>
          <w:trHeight w:val="435"/>
        </w:trPr>
        <w:tc>
          <w:tcPr>
            <w:tcW w:w="439" w:type="dxa"/>
            <w:tcBorders>
              <w:top w:val="nil"/>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5</w:t>
            </w:r>
          </w:p>
        </w:tc>
        <w:tc>
          <w:tcPr>
            <w:tcW w:w="945" w:type="dxa"/>
            <w:tcBorders>
              <w:top w:val="nil"/>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5</w:t>
            </w:r>
          </w:p>
        </w:tc>
        <w:tc>
          <w:tcPr>
            <w:tcW w:w="439"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6</w:t>
            </w:r>
          </w:p>
        </w:tc>
        <w:tc>
          <w:tcPr>
            <w:tcW w:w="979"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6</w:t>
            </w:r>
          </w:p>
        </w:tc>
        <w:tc>
          <w:tcPr>
            <w:tcW w:w="3548"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7</w:t>
            </w:r>
          </w:p>
        </w:tc>
        <w:tc>
          <w:tcPr>
            <w:tcW w:w="3539"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7</w:t>
            </w:r>
          </w:p>
        </w:tc>
      </w:tr>
      <w:tr w:rsidR="007A0B61" w:rsidRPr="00AD5869">
        <w:trPr>
          <w:trHeight w:val="20"/>
        </w:trPr>
        <w:tc>
          <w:tcPr>
            <w:tcW w:w="439" w:type="dxa"/>
            <w:tcBorders>
              <w:top w:val="single" w:sz="4" w:space="0" w:color="auto"/>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 xml:space="preserve">5 </w:t>
            </w:r>
            <w:r>
              <w:rPr>
                <w:rFonts w:ascii="Symbol" w:hAnsi="Symbol"/>
                <w:sz w:val="18"/>
              </w:rPr>
              <w:t></w:t>
            </w:r>
            <w:r>
              <w:rPr>
                <w:sz w:val="18"/>
                <w:lang w:val="en-US"/>
              </w:rPr>
              <w:t xml:space="preserve"> 10</w:t>
            </w:r>
            <w:r>
              <w:rPr>
                <w:sz w:val="18"/>
                <w:vertAlign w:val="superscript"/>
                <w:lang w:val="en-US"/>
              </w:rPr>
              <w:t>–4</w:t>
            </w:r>
          </w:p>
        </w:tc>
        <w:tc>
          <w:tcPr>
            <w:tcW w:w="439" w:type="dxa"/>
            <w:tcBorders>
              <w:top w:val="single" w:sz="4" w:space="0" w:color="auto"/>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 xml:space="preserve">4 </w:t>
            </w:r>
            <w:r>
              <w:rPr>
                <w:rFonts w:ascii="Symbol" w:hAnsi="Symbol"/>
                <w:sz w:val="18"/>
              </w:rPr>
              <w:t></w:t>
            </w:r>
            <w:r>
              <w:rPr>
                <w:sz w:val="18"/>
                <w:lang w:val="en-US"/>
              </w:rPr>
              <w:t xml:space="preserve"> 10</w:t>
            </w:r>
            <w:r>
              <w:rPr>
                <w:sz w:val="18"/>
                <w:vertAlign w:val="superscript"/>
                <w:lang w:val="en-US"/>
              </w:rPr>
              <w:t>–4</w:t>
            </w:r>
          </w:p>
        </w:tc>
        <w:tc>
          <w:tcPr>
            <w:tcW w:w="3548" w:type="dxa"/>
            <w:tcBorders>
              <w:top w:val="single" w:sz="4" w:space="0" w:color="auto"/>
              <w:left w:val="nil"/>
              <w:bottom w:val="single" w:sz="4" w:space="0" w:color="auto"/>
              <w:right w:val="single" w:sz="4" w:space="0" w:color="auto"/>
            </w:tcBorders>
            <w:tcMar>
              <w:left w:w="85" w:type="dxa"/>
              <w:right w:w="85" w:type="dxa"/>
            </w:tcMar>
          </w:tcPr>
          <w:p w:rsidR="007A0B61" w:rsidRDefault="00FE432E">
            <w:pPr>
              <w:pStyle w:val="Tabletext"/>
              <w:framePr w:hSpace="181" w:wrap="notBeside" w:vAnchor="text" w:hAnchor="text" w:xAlign="center" w:y="1"/>
              <w:tabs>
                <w:tab w:val="clear" w:pos="284"/>
              </w:tabs>
              <w:ind w:left="33"/>
              <w:jc w:val="left"/>
              <w:rPr>
                <w:sz w:val="18"/>
                <w:lang w:val="en-US"/>
              </w:rPr>
            </w:pPr>
            <w:r>
              <w:rPr>
                <w:sz w:val="18"/>
                <w:lang w:val="en-US"/>
              </w:rPr>
              <w:t>3 </w:t>
            </w:r>
            <w:r>
              <w:rPr>
                <w:rFonts w:ascii="Symbol" w:hAnsi="Symbol"/>
                <w:sz w:val="18"/>
              </w:rPr>
              <w:t></w:t>
            </w:r>
            <w:r>
              <w:rPr>
                <w:sz w:val="18"/>
                <w:lang w:val="en-US"/>
              </w:rPr>
              <w:t> 10</w:t>
            </w:r>
            <w:r>
              <w:rPr>
                <w:sz w:val="18"/>
                <w:vertAlign w:val="superscript"/>
                <w:lang w:val="en-US"/>
              </w:rPr>
              <w:t>–3</w:t>
            </w:r>
            <w:r>
              <w:rPr>
                <w:position w:val="6"/>
                <w:sz w:val="18"/>
                <w:lang w:val="en-US"/>
              </w:rPr>
              <w:tab/>
            </w:r>
            <w:r>
              <w:rPr>
                <w:sz w:val="18"/>
                <w:lang w:val="en-US"/>
              </w:rPr>
              <w:t xml:space="preserve">for 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7A0B61" w:rsidRDefault="00FE432E">
            <w:pPr>
              <w:pStyle w:val="Tabletext"/>
              <w:framePr w:hSpace="181" w:wrap="notBeside" w:vAnchor="text" w:hAnchor="text" w:xAlign="center" w:y="1"/>
              <w:tabs>
                <w:tab w:val="clear" w:pos="284"/>
              </w:tabs>
              <w:ind w:left="33"/>
              <w:jc w:val="left"/>
              <w:rPr>
                <w:sz w:val="18"/>
                <w:lang w:val="en-US"/>
              </w:rPr>
            </w:pPr>
            <w:r>
              <w:rPr>
                <w:sz w:val="18"/>
                <w:lang w:val="en-US"/>
              </w:rPr>
              <w:t>1,9 </w:t>
            </w:r>
            <w:r>
              <w:rPr>
                <w:rFonts w:ascii="Symbol" w:hAnsi="Symbol"/>
                <w:sz w:val="18"/>
              </w:rPr>
              <w:t></w:t>
            </w:r>
            <w:r>
              <w:rPr>
                <w:sz w:val="18"/>
                <w:lang w:val="en-US"/>
              </w:rPr>
              <w:t> 10</w:t>
            </w:r>
            <w:r>
              <w:rPr>
                <w:sz w:val="18"/>
                <w:vertAlign w:val="superscript"/>
                <w:lang w:val="en-US"/>
              </w:rPr>
              <w:t>–3</w:t>
            </w:r>
            <w:r>
              <w:rPr>
                <w:sz w:val="18"/>
                <w:lang w:val="en-US"/>
              </w:rPr>
              <w:tab/>
              <w:t xml:space="preserve">for </w:t>
            </w:r>
            <w:r>
              <w:rPr>
                <w:i/>
                <w:iCs/>
                <w:sz w:val="18"/>
                <w:lang w:val="en-US"/>
              </w:rPr>
              <w:t>L</w:t>
            </w:r>
            <w:r>
              <w:rPr>
                <w:i/>
                <w:iCs/>
                <w:sz w:val="18"/>
                <w:vertAlign w:val="subscript"/>
                <w:lang w:val="en-US"/>
              </w:rPr>
              <w:t>min</w:t>
            </w:r>
            <w:r>
              <w:rPr>
                <w:sz w:val="18"/>
                <w:lang w:val="en-US"/>
              </w:rPr>
              <w:t xml:space="preserve">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250 km</w:t>
            </w:r>
          </w:p>
        </w:tc>
        <w:tc>
          <w:tcPr>
            <w:tcW w:w="3539" w:type="dxa"/>
            <w:tcBorders>
              <w:top w:val="single" w:sz="4" w:space="0" w:color="auto"/>
              <w:left w:val="nil"/>
              <w:bottom w:val="single" w:sz="4" w:space="0" w:color="auto"/>
              <w:right w:val="single" w:sz="4" w:space="0" w:color="auto"/>
            </w:tcBorders>
          </w:tcPr>
          <w:p w:rsidR="007A0B61" w:rsidRDefault="00FE432E">
            <w:pPr>
              <w:pStyle w:val="Tabletext"/>
              <w:framePr w:hSpace="181" w:wrap="notBeside" w:vAnchor="text" w:hAnchor="text" w:xAlign="center" w:y="1"/>
              <w:jc w:val="left"/>
              <w:rPr>
                <w:sz w:val="18"/>
                <w:lang w:val="en-US"/>
              </w:rPr>
            </w:pPr>
            <w:r>
              <w:rPr>
                <w:sz w:val="18"/>
                <w:lang w:val="en-US"/>
              </w:rPr>
              <w:t>0</w:t>
            </w:r>
            <w:r>
              <w:rPr>
                <w:sz w:val="18"/>
                <w:lang w:val="en-US"/>
              </w:rPr>
              <w:tab/>
            </w:r>
            <w:r>
              <w:rPr>
                <w:sz w:val="18"/>
                <w:lang w:val="en-US"/>
              </w:rPr>
              <w:tab/>
            </w:r>
            <w:r>
              <w:rPr>
                <w:sz w:val="18"/>
                <w:lang w:val="en-US"/>
              </w:rPr>
              <w:tab/>
              <w:t xml:space="preserve">for 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7A0B61" w:rsidRDefault="00FE432E">
            <w:pPr>
              <w:pStyle w:val="Tabletext"/>
              <w:framePr w:hSpace="181" w:wrap="notBeside" w:vAnchor="text" w:hAnchor="text" w:xAlign="center" w:y="1"/>
              <w:tabs>
                <w:tab w:val="clear" w:pos="1134"/>
                <w:tab w:val="left" w:pos="1021"/>
              </w:tabs>
              <w:jc w:val="left"/>
              <w:rPr>
                <w:sz w:val="18"/>
                <w:lang w:val="en-US"/>
              </w:rPr>
            </w:pPr>
            <w:r>
              <w:rPr>
                <w:sz w:val="18"/>
                <w:lang w:val="en-US"/>
              </w:rPr>
              <w:t xml:space="preserve">1.1 </w:t>
            </w:r>
            <w:r>
              <w:rPr>
                <w:rFonts w:ascii="Symbol" w:hAnsi="Symbol"/>
                <w:sz w:val="18"/>
              </w:rPr>
              <w:t></w:t>
            </w:r>
            <w:r>
              <w:rPr>
                <w:sz w:val="18"/>
                <w:lang w:val="en-US"/>
              </w:rPr>
              <w:t xml:space="preserve"> 10</w:t>
            </w:r>
            <w:r>
              <w:rPr>
                <w:position w:val="6"/>
                <w:sz w:val="18"/>
                <w:lang w:val="en-US"/>
              </w:rPr>
              <w:t>–4</w:t>
            </w:r>
            <w:r>
              <w:rPr>
                <w:sz w:val="18"/>
                <w:lang w:val="en-US"/>
              </w:rPr>
              <w:tab/>
              <w:t xml:space="preserve">for </w:t>
            </w:r>
            <w:r>
              <w:rPr>
                <w:i/>
                <w:iCs/>
                <w:sz w:val="18"/>
                <w:lang w:val="en-US"/>
              </w:rPr>
              <w:t>L</w:t>
            </w:r>
            <w:r>
              <w:rPr>
                <w:i/>
                <w:iCs/>
                <w:sz w:val="18"/>
                <w:vertAlign w:val="subscript"/>
                <w:lang w:val="en-US"/>
              </w:rPr>
              <w:t>min</w:t>
            </w:r>
            <w:r>
              <w:rPr>
                <w:sz w:val="18"/>
                <w:lang w:val="en-US"/>
              </w:rPr>
              <w:t> </w:t>
            </w:r>
            <w:r>
              <w:rPr>
                <w:sz w:val="18"/>
              </w:rPr>
              <w:sym w:font="Symbol" w:char="00A3"/>
            </w:r>
            <w:r>
              <w:rPr>
                <w:sz w:val="18"/>
                <w:lang w:val="en-US"/>
              </w:rPr>
              <w:t> </w:t>
            </w:r>
            <w:r>
              <w:rPr>
                <w:i/>
                <w:iCs/>
                <w:sz w:val="18"/>
                <w:lang w:val="en-US"/>
              </w:rPr>
              <w:t>L</w:t>
            </w:r>
            <w:r>
              <w:rPr>
                <w:i/>
                <w:iCs/>
                <w:sz w:val="18"/>
                <w:vertAlign w:val="subscript"/>
                <w:lang w:val="en-US"/>
              </w:rPr>
              <w:t>link</w:t>
            </w:r>
            <w:r>
              <w:rPr>
                <w:sz w:val="18"/>
                <w:lang w:val="en-US"/>
              </w:rPr>
              <w:t> </w:t>
            </w:r>
            <w:r>
              <w:rPr>
                <w:rFonts w:ascii="Symbol" w:hAnsi="Symbol"/>
                <w:sz w:val="18"/>
              </w:rPr>
              <w:t></w:t>
            </w:r>
            <w:r>
              <w:rPr>
                <w:sz w:val="18"/>
                <w:lang w:val="en-US"/>
              </w:rPr>
              <w:t> 250 km</w:t>
            </w:r>
          </w:p>
        </w:tc>
      </w:tr>
    </w:tbl>
    <w:p w:rsidR="007A0B61" w:rsidRDefault="007A0B61">
      <w:pPr>
        <w:pStyle w:val="Tablefi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992"/>
        <w:gridCol w:w="995"/>
        <w:gridCol w:w="992"/>
        <w:gridCol w:w="993"/>
        <w:gridCol w:w="992"/>
        <w:gridCol w:w="993"/>
        <w:gridCol w:w="992"/>
        <w:gridCol w:w="996"/>
      </w:tblGrid>
      <w:tr w:rsidR="007A0B61" w:rsidRPr="00AD5869">
        <w:trPr>
          <w:cantSplit/>
        </w:trPr>
        <w:tc>
          <w:tcPr>
            <w:tcW w:w="9358" w:type="dxa"/>
            <w:gridSpan w:val="9"/>
            <w:tcBorders>
              <w:top w:val="nil"/>
              <w:left w:val="nil"/>
              <w:right w:val="nil"/>
            </w:tcBorders>
          </w:tcPr>
          <w:p w:rsidR="007A0B61" w:rsidRDefault="00FE432E">
            <w:pPr>
              <w:pStyle w:val="TableNo"/>
              <w:framePr w:hSpace="181" w:wrap="notBeside" w:vAnchor="text" w:hAnchor="text" w:xAlign="center" w:y="1"/>
              <w:rPr>
                <w:lang w:val="en-US"/>
              </w:rPr>
            </w:pPr>
            <w:r>
              <w:rPr>
                <w:lang w:val="en-US"/>
              </w:rPr>
              <w:t>TABLE  3</w:t>
            </w:r>
          </w:p>
          <w:p w:rsidR="007A0B61" w:rsidRDefault="00FE432E">
            <w:pPr>
              <w:pStyle w:val="Tabletitle"/>
              <w:framePr w:hSpace="181" w:wrap="notBeside" w:vAnchor="text" w:hAnchor="text" w:xAlign="center" w:y="1"/>
              <w:rPr>
                <w:i/>
                <w:iCs/>
                <w:sz w:val="20"/>
                <w:lang w:val="en-US"/>
              </w:rPr>
            </w:pPr>
            <w:r>
              <w:rPr>
                <w:lang w:val="en-GB"/>
              </w:rPr>
              <w:t xml:space="preserve">Parameters for OI objectives for links forming part of an international portion </w:t>
            </w:r>
            <w:r>
              <w:rPr>
                <w:lang w:val="en-GB"/>
              </w:rPr>
              <w:br/>
              <w:t>of constant bit-rate digital path</w:t>
            </w:r>
          </w:p>
        </w:tc>
      </w:tr>
      <w:tr w:rsidR="007A0B61">
        <w:tc>
          <w:tcPr>
            <w:tcW w:w="1415" w:type="dxa"/>
          </w:tcPr>
          <w:p w:rsidR="007A0B61" w:rsidRDefault="00FE432E">
            <w:pPr>
              <w:pStyle w:val="Tablehead"/>
              <w:framePr w:hSpace="181" w:wrap="notBeside" w:vAnchor="text" w:hAnchor="text" w:xAlign="center" w:y="1"/>
              <w:jc w:val="left"/>
              <w:rPr>
                <w:b w:val="0"/>
                <w:bCs/>
                <w:sz w:val="18"/>
              </w:rPr>
            </w:pPr>
            <w:r>
              <w:rPr>
                <w:b w:val="0"/>
                <w:bCs/>
                <w:sz w:val="18"/>
              </w:rPr>
              <w:t>Length (km)</w:t>
            </w:r>
          </w:p>
        </w:tc>
        <w:tc>
          <w:tcPr>
            <w:tcW w:w="1987" w:type="dxa"/>
            <w:gridSpan w:val="2"/>
            <w:vAlign w:val="center"/>
          </w:tcPr>
          <w:p w:rsidR="007A0B61" w:rsidRDefault="00FE432E">
            <w:pPr>
              <w:pStyle w:val="Tablehead"/>
              <w:framePr w:hSpace="181" w:wrap="notBeside" w:vAnchor="text" w:hAnchor="text" w:xAlign="center" w:y="1"/>
              <w:rPr>
                <w:b w:val="0"/>
                <w:bCs/>
                <w:sz w:val="18"/>
                <w:lang w:val="fr-CH"/>
              </w:rPr>
            </w:pPr>
            <w:r>
              <w:rPr>
                <w:b w:val="0"/>
                <w:bCs/>
                <w:i/>
                <w:iCs/>
                <w:sz w:val="18"/>
                <w:lang w:val="fr-CH"/>
              </w:rPr>
              <w:t>L</w:t>
            </w:r>
            <w:r>
              <w:rPr>
                <w:b w:val="0"/>
                <w:bCs/>
                <w:i/>
                <w:iCs/>
                <w:sz w:val="18"/>
                <w:vertAlign w:val="subscript"/>
                <w:lang w:val="fr-CH"/>
              </w:rPr>
              <w:t>min</w:t>
            </w:r>
            <w:r>
              <w:rPr>
                <w:b w:val="0"/>
                <w:bCs/>
                <w:sz w:val="18"/>
                <w:lang w:val="fr-CH"/>
              </w:rPr>
              <w:t xml:space="preserve"> </w:t>
            </w:r>
            <w:r>
              <w:rPr>
                <w:rFonts w:ascii="Symbol" w:hAnsi="Symbol"/>
                <w:b w:val="0"/>
                <w:bCs/>
                <w:sz w:val="18"/>
              </w:rPr>
              <w:sym w:font="Symbol" w:char="F0A3"/>
            </w:r>
            <w:r>
              <w:rPr>
                <w:b w:val="0"/>
                <w:bCs/>
                <w:sz w:val="18"/>
                <w:lang w:val="fr-CH"/>
              </w:rPr>
              <w:t xml:space="preserve"> </w:t>
            </w:r>
            <w:r>
              <w:rPr>
                <w:b w:val="0"/>
                <w:bCs/>
                <w:i/>
                <w:iCs/>
                <w:sz w:val="18"/>
                <w:lang w:val="fr-CH"/>
              </w:rPr>
              <w:t>L</w:t>
            </w:r>
            <w:r>
              <w:rPr>
                <w:b w:val="0"/>
                <w:bCs/>
                <w:i/>
                <w:iCs/>
                <w:sz w:val="18"/>
                <w:vertAlign w:val="subscript"/>
                <w:lang w:val="fr-CH"/>
              </w:rPr>
              <w:t>link</w:t>
            </w:r>
            <w:r>
              <w:rPr>
                <w:b w:val="0"/>
                <w:bCs/>
                <w:sz w:val="18"/>
                <w:lang w:val="fr-CH"/>
              </w:rPr>
              <w:t xml:space="preserve"> </w:t>
            </w:r>
            <w:r>
              <w:rPr>
                <w:rFonts w:ascii="Symbol" w:hAnsi="Symbol"/>
                <w:b w:val="0"/>
                <w:bCs/>
                <w:sz w:val="18"/>
              </w:rPr>
              <w:sym w:font="Symbol" w:char="F0A3"/>
            </w:r>
            <w:r>
              <w:rPr>
                <w:b w:val="0"/>
                <w:bCs/>
                <w:sz w:val="18"/>
                <w:lang w:val="fr-CH"/>
              </w:rPr>
              <w:t xml:space="preserve"> 250</w:t>
            </w:r>
          </w:p>
        </w:tc>
        <w:tc>
          <w:tcPr>
            <w:tcW w:w="1983" w:type="dxa"/>
            <w:gridSpan w:val="2"/>
            <w:vAlign w:val="center"/>
          </w:tcPr>
          <w:p w:rsidR="007A0B61" w:rsidRDefault="00FE432E">
            <w:pPr>
              <w:pStyle w:val="Tablehead"/>
              <w:framePr w:hSpace="181" w:wrap="notBeside" w:vAnchor="text" w:hAnchor="text" w:xAlign="center" w:y="1"/>
              <w:rPr>
                <w:b w:val="0"/>
                <w:bCs/>
                <w:sz w:val="18"/>
                <w:lang w:val="en-US"/>
              </w:rPr>
            </w:pPr>
            <w:r>
              <w:rPr>
                <w:b w:val="0"/>
                <w:bCs/>
                <w:sz w:val="18"/>
                <w:lang w:val="en-US"/>
              </w:rPr>
              <w:t xml:space="preserve">250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2</w:t>
            </w:r>
            <w:r>
              <w:rPr>
                <w:rFonts w:ascii="Tms Rmn" w:hAnsi="Tms Rmn"/>
                <w:b w:val="0"/>
                <w:bCs/>
                <w:sz w:val="12"/>
                <w:lang w:val="en-GB"/>
              </w:rPr>
              <w:t> </w:t>
            </w:r>
            <w:r>
              <w:rPr>
                <w:b w:val="0"/>
                <w:bCs/>
                <w:sz w:val="18"/>
                <w:lang w:val="en-US"/>
              </w:rPr>
              <w:t>500</w:t>
            </w:r>
          </w:p>
        </w:tc>
        <w:tc>
          <w:tcPr>
            <w:tcW w:w="1985" w:type="dxa"/>
            <w:gridSpan w:val="2"/>
            <w:vAlign w:val="center"/>
          </w:tcPr>
          <w:p w:rsidR="007A0B61" w:rsidRDefault="00FE432E">
            <w:pPr>
              <w:pStyle w:val="Tablehead"/>
              <w:framePr w:hSpace="181" w:wrap="notBeside" w:vAnchor="text" w:hAnchor="text" w:xAlign="center" w:y="1"/>
              <w:rPr>
                <w:b w:val="0"/>
                <w:bCs/>
                <w:sz w:val="18"/>
                <w:lang w:val="en-US"/>
              </w:rPr>
            </w:pPr>
            <w:r>
              <w:rPr>
                <w:b w:val="0"/>
                <w:bCs/>
                <w:sz w:val="18"/>
                <w:lang w:val="en-US"/>
              </w:rPr>
              <w:t>2</w:t>
            </w:r>
            <w:r>
              <w:rPr>
                <w:rFonts w:ascii="Tms Rmn" w:hAnsi="Tms Rmn"/>
                <w:b w:val="0"/>
                <w:bCs/>
                <w:sz w:val="12"/>
                <w:lang w:val="en-GB"/>
              </w:rPr>
              <w:t> </w:t>
            </w:r>
            <w:r>
              <w:rPr>
                <w:b w:val="0"/>
                <w:bCs/>
                <w:sz w:val="18"/>
                <w:lang w:val="en-US"/>
              </w:rPr>
              <w:t xml:space="preserve">500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sym w:font="Symbol" w:char="F0A3"/>
            </w:r>
            <w:r>
              <w:rPr>
                <w:b w:val="0"/>
                <w:bCs/>
                <w:sz w:val="18"/>
                <w:lang w:val="en-US"/>
              </w:rPr>
              <w:t xml:space="preserve"> 7</w:t>
            </w:r>
            <w:r>
              <w:rPr>
                <w:rFonts w:ascii="Tms Rmn" w:hAnsi="Tms Rmn"/>
                <w:b w:val="0"/>
                <w:bCs/>
                <w:sz w:val="12"/>
                <w:lang w:val="en-GB"/>
              </w:rPr>
              <w:t> </w:t>
            </w:r>
            <w:r>
              <w:rPr>
                <w:b w:val="0"/>
                <w:bCs/>
                <w:sz w:val="18"/>
                <w:lang w:val="en-US"/>
              </w:rPr>
              <w:t>500</w:t>
            </w:r>
          </w:p>
        </w:tc>
        <w:tc>
          <w:tcPr>
            <w:tcW w:w="1988" w:type="dxa"/>
            <w:gridSpan w:val="2"/>
            <w:vAlign w:val="center"/>
          </w:tcPr>
          <w:p w:rsidR="007A0B61" w:rsidRDefault="00FE432E">
            <w:pPr>
              <w:pStyle w:val="Tablehead"/>
              <w:framePr w:hSpace="181" w:wrap="notBeside" w:vAnchor="text" w:hAnchor="text" w:xAlign="center" w:y="1"/>
              <w:rPr>
                <w:b w:val="0"/>
                <w:bCs/>
                <w:sz w:val="18"/>
                <w:lang w:val="en-US"/>
              </w:rPr>
            </w:pPr>
            <w:r>
              <w:rPr>
                <w:b w:val="0"/>
                <w:bCs/>
                <w:i/>
                <w:iCs/>
                <w:sz w:val="18"/>
                <w:lang w:val="en-US"/>
              </w:rPr>
              <w:t>L</w:t>
            </w:r>
            <w:r>
              <w:rPr>
                <w:b w:val="0"/>
                <w:bCs/>
                <w:i/>
                <w:iCs/>
                <w:sz w:val="18"/>
                <w:vertAlign w:val="subscript"/>
                <w:lang w:val="en-US"/>
              </w:rPr>
              <w:t>link</w:t>
            </w:r>
            <w:r>
              <w:rPr>
                <w:b w:val="0"/>
                <w:bCs/>
                <w:sz w:val="18"/>
                <w:lang w:val="en-US"/>
              </w:rPr>
              <w:t xml:space="preserve"> </w:t>
            </w:r>
            <w:r>
              <w:rPr>
                <w:rFonts w:ascii="Symbol" w:hAnsi="Symbol"/>
                <w:b w:val="0"/>
                <w:bCs/>
                <w:sz w:val="18"/>
              </w:rPr>
              <w:t></w:t>
            </w:r>
            <w:r>
              <w:rPr>
                <w:b w:val="0"/>
                <w:bCs/>
                <w:sz w:val="18"/>
                <w:lang w:val="en-US"/>
              </w:rPr>
              <w:t xml:space="preserve"> 7</w:t>
            </w:r>
            <w:r>
              <w:rPr>
                <w:rFonts w:ascii="Tms Rmn" w:hAnsi="Tms Rmn"/>
                <w:b w:val="0"/>
                <w:bCs/>
                <w:sz w:val="12"/>
                <w:lang w:val="en-GB"/>
              </w:rPr>
              <w:t> </w:t>
            </w:r>
            <w:r>
              <w:rPr>
                <w:b w:val="0"/>
                <w:bCs/>
                <w:sz w:val="18"/>
                <w:lang w:val="en-US"/>
              </w:rPr>
              <w:t>500</w:t>
            </w:r>
          </w:p>
        </w:tc>
      </w:tr>
      <w:tr w:rsidR="007A0B61">
        <w:tc>
          <w:tcPr>
            <w:tcW w:w="1415" w:type="dxa"/>
          </w:tcPr>
          <w:p w:rsidR="007A0B61" w:rsidRDefault="007A0B61">
            <w:pPr>
              <w:pStyle w:val="Tabletext"/>
              <w:framePr w:hSpace="181" w:wrap="notBeside" w:vAnchor="text" w:hAnchor="text" w:xAlign="center" w:y="1"/>
              <w:jc w:val="left"/>
              <w:rPr>
                <w:sz w:val="18"/>
                <w:lang w:val="en-US"/>
              </w:rPr>
            </w:pPr>
          </w:p>
        </w:tc>
        <w:tc>
          <w:tcPr>
            <w:tcW w:w="992" w:type="dxa"/>
          </w:tcPr>
          <w:p w:rsidR="007A0B61" w:rsidRDefault="00FE432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1</w:t>
            </w:r>
          </w:p>
        </w:tc>
        <w:tc>
          <w:tcPr>
            <w:tcW w:w="993" w:type="dxa"/>
          </w:tcPr>
          <w:p w:rsidR="007A0B61" w:rsidRDefault="00FE432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1</w:t>
            </w:r>
          </w:p>
        </w:tc>
        <w:tc>
          <w:tcPr>
            <w:tcW w:w="992" w:type="dxa"/>
          </w:tcPr>
          <w:p w:rsidR="007A0B61" w:rsidRDefault="00FE432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2</w:t>
            </w:r>
          </w:p>
        </w:tc>
        <w:tc>
          <w:tcPr>
            <w:tcW w:w="993" w:type="dxa"/>
          </w:tcPr>
          <w:p w:rsidR="007A0B61" w:rsidRDefault="00FE432E" w:rsidP="00FE432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2</w:t>
            </w:r>
          </w:p>
        </w:tc>
        <w:tc>
          <w:tcPr>
            <w:tcW w:w="992" w:type="dxa"/>
          </w:tcPr>
          <w:p w:rsidR="007A0B61" w:rsidRDefault="00FE432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3</w:t>
            </w:r>
          </w:p>
        </w:tc>
        <w:tc>
          <w:tcPr>
            <w:tcW w:w="993" w:type="dxa"/>
          </w:tcPr>
          <w:p w:rsidR="007A0B61" w:rsidRDefault="00FE432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3</w:t>
            </w:r>
          </w:p>
        </w:tc>
        <w:tc>
          <w:tcPr>
            <w:tcW w:w="992" w:type="dxa"/>
          </w:tcPr>
          <w:p w:rsidR="007A0B61" w:rsidRDefault="00FE432E">
            <w:pPr>
              <w:pStyle w:val="Tabletext"/>
              <w:framePr w:hSpace="181" w:wrap="notBeside" w:vAnchor="text" w:hAnchor="text" w:xAlign="center" w:y="1"/>
              <w:jc w:val="center"/>
              <w:rPr>
                <w:sz w:val="18"/>
                <w:lang w:val="fr-CH"/>
              </w:rPr>
            </w:pPr>
            <w:r>
              <w:rPr>
                <w:i/>
                <w:iCs/>
                <w:sz w:val="18"/>
                <w:lang w:val="fr-CH"/>
              </w:rPr>
              <w:t>D</w:t>
            </w:r>
            <w:r>
              <w:rPr>
                <w:sz w:val="18"/>
                <w:vertAlign w:val="subscript"/>
                <w:lang w:val="fr-CH"/>
              </w:rPr>
              <w:t>4</w:t>
            </w:r>
          </w:p>
        </w:tc>
        <w:tc>
          <w:tcPr>
            <w:tcW w:w="992" w:type="dxa"/>
          </w:tcPr>
          <w:p w:rsidR="007A0B61" w:rsidRDefault="00FE432E">
            <w:pPr>
              <w:pStyle w:val="Tabletext"/>
              <w:framePr w:hSpace="181" w:wrap="notBeside" w:vAnchor="text" w:hAnchor="text" w:xAlign="center" w:y="1"/>
              <w:jc w:val="center"/>
              <w:rPr>
                <w:sz w:val="18"/>
                <w:lang w:val="fr-CH"/>
              </w:rPr>
            </w:pPr>
            <w:r>
              <w:rPr>
                <w:i/>
                <w:iCs/>
                <w:sz w:val="18"/>
                <w:lang w:val="fr-CH"/>
              </w:rPr>
              <w:t>E</w:t>
            </w:r>
            <w:r>
              <w:rPr>
                <w:sz w:val="18"/>
                <w:vertAlign w:val="subscript"/>
                <w:lang w:val="fr-CH"/>
              </w:rPr>
              <w:t>4</w:t>
            </w:r>
          </w:p>
        </w:tc>
      </w:tr>
      <w:tr w:rsidR="007A0B61">
        <w:tc>
          <w:tcPr>
            <w:tcW w:w="1415" w:type="dxa"/>
          </w:tcPr>
          <w:p w:rsidR="007A0B61" w:rsidRDefault="00FE432E">
            <w:pPr>
              <w:pStyle w:val="Tabletext"/>
              <w:framePr w:hSpace="181" w:wrap="notBeside" w:vAnchor="text" w:hAnchor="text" w:xAlign="center" w:y="1"/>
              <w:jc w:val="left"/>
              <w:rPr>
                <w:sz w:val="18"/>
              </w:rPr>
            </w:pPr>
            <w:r>
              <w:rPr>
                <w:sz w:val="18"/>
              </w:rPr>
              <w:t>International portion</w:t>
            </w:r>
          </w:p>
        </w:tc>
        <w:tc>
          <w:tcPr>
            <w:tcW w:w="992" w:type="dxa"/>
          </w:tcPr>
          <w:p w:rsidR="007A0B61" w:rsidRDefault="00FE432E">
            <w:pPr>
              <w:pStyle w:val="Tabletext"/>
              <w:framePr w:hSpace="181" w:wrap="notBeside" w:vAnchor="text" w:hAnchor="text" w:xAlign="center" w:y="1"/>
              <w:jc w:val="center"/>
              <w:rPr>
                <w:sz w:val="18"/>
              </w:rPr>
            </w:pPr>
            <w:r>
              <w:rPr>
                <w:sz w:val="18"/>
              </w:rPr>
              <w:t>150</w:t>
            </w:r>
          </w:p>
        </w:tc>
        <w:tc>
          <w:tcPr>
            <w:tcW w:w="993" w:type="dxa"/>
          </w:tcPr>
          <w:p w:rsidR="007A0B61" w:rsidRDefault="00FE432E">
            <w:pPr>
              <w:pStyle w:val="Tabletext"/>
              <w:framePr w:hSpace="181" w:wrap="notBeside" w:vAnchor="text" w:hAnchor="text" w:xAlign="center" w:y="1"/>
              <w:jc w:val="center"/>
              <w:rPr>
                <w:sz w:val="18"/>
              </w:rPr>
            </w:pPr>
            <w:r>
              <w:rPr>
                <w:sz w:val="18"/>
              </w:rPr>
              <w:t>50</w:t>
            </w:r>
          </w:p>
        </w:tc>
        <w:tc>
          <w:tcPr>
            <w:tcW w:w="992" w:type="dxa"/>
          </w:tcPr>
          <w:p w:rsidR="007A0B61" w:rsidRDefault="00FE432E">
            <w:pPr>
              <w:pStyle w:val="Tabletext"/>
              <w:framePr w:hSpace="181" w:wrap="notBeside" w:vAnchor="text" w:hAnchor="text" w:xAlign="center" w:y="1"/>
              <w:jc w:val="center"/>
              <w:rPr>
                <w:sz w:val="18"/>
              </w:rPr>
            </w:pPr>
            <w:r>
              <w:rPr>
                <w:sz w:val="18"/>
              </w:rPr>
              <w:t>100</w:t>
            </w:r>
          </w:p>
        </w:tc>
        <w:tc>
          <w:tcPr>
            <w:tcW w:w="993" w:type="dxa"/>
          </w:tcPr>
          <w:p w:rsidR="007A0B61" w:rsidRDefault="00FE432E">
            <w:pPr>
              <w:pStyle w:val="Tabletext"/>
              <w:framePr w:hSpace="181" w:wrap="notBeside" w:vAnchor="text" w:hAnchor="text" w:xAlign="center" w:y="1"/>
              <w:jc w:val="center"/>
              <w:rPr>
                <w:sz w:val="18"/>
              </w:rPr>
            </w:pPr>
            <w:r>
              <w:rPr>
                <w:sz w:val="18"/>
              </w:rPr>
              <w:t>55</w:t>
            </w:r>
          </w:p>
        </w:tc>
        <w:tc>
          <w:tcPr>
            <w:tcW w:w="992" w:type="dxa"/>
          </w:tcPr>
          <w:p w:rsidR="007A0B61" w:rsidRDefault="00FE432E">
            <w:pPr>
              <w:pStyle w:val="Tabletext"/>
              <w:framePr w:hSpace="181" w:wrap="notBeside" w:vAnchor="text" w:hAnchor="text" w:xAlign="center" w:y="1"/>
              <w:jc w:val="center"/>
              <w:rPr>
                <w:sz w:val="18"/>
              </w:rPr>
            </w:pPr>
            <w:r>
              <w:rPr>
                <w:sz w:val="18"/>
              </w:rPr>
              <w:t>100</w:t>
            </w:r>
          </w:p>
        </w:tc>
        <w:tc>
          <w:tcPr>
            <w:tcW w:w="993" w:type="dxa"/>
          </w:tcPr>
          <w:p w:rsidR="007A0B61" w:rsidRDefault="00FE432E">
            <w:pPr>
              <w:pStyle w:val="Tabletext"/>
              <w:framePr w:hSpace="181" w:wrap="notBeside" w:vAnchor="text" w:hAnchor="text" w:xAlign="center" w:y="1"/>
              <w:jc w:val="center"/>
              <w:rPr>
                <w:sz w:val="18"/>
              </w:rPr>
            </w:pPr>
            <w:r>
              <w:rPr>
                <w:sz w:val="18"/>
              </w:rPr>
              <w:t>55</w:t>
            </w:r>
          </w:p>
        </w:tc>
        <w:tc>
          <w:tcPr>
            <w:tcW w:w="992" w:type="dxa"/>
          </w:tcPr>
          <w:p w:rsidR="007A0B61" w:rsidRDefault="00FE432E">
            <w:pPr>
              <w:pStyle w:val="Tabletext"/>
              <w:framePr w:hSpace="181" w:wrap="notBeside" w:vAnchor="text" w:hAnchor="text" w:xAlign="center" w:y="1"/>
              <w:jc w:val="center"/>
              <w:rPr>
                <w:sz w:val="18"/>
              </w:rPr>
            </w:pPr>
            <w:r>
              <w:rPr>
                <w:sz w:val="18"/>
              </w:rPr>
              <w:t>100</w:t>
            </w:r>
          </w:p>
        </w:tc>
        <w:tc>
          <w:tcPr>
            <w:tcW w:w="992" w:type="dxa"/>
          </w:tcPr>
          <w:p w:rsidR="007A0B61" w:rsidRDefault="00FE432E">
            <w:pPr>
              <w:pStyle w:val="Tabletext"/>
              <w:framePr w:hSpace="181" w:wrap="notBeside" w:vAnchor="text" w:hAnchor="text" w:xAlign="center" w:y="1"/>
              <w:jc w:val="center"/>
              <w:rPr>
                <w:sz w:val="18"/>
              </w:rPr>
            </w:pPr>
            <w:r>
              <w:rPr>
                <w:sz w:val="18"/>
              </w:rPr>
              <w:t>55</w:t>
            </w:r>
          </w:p>
        </w:tc>
      </w:tr>
    </w:tbl>
    <w:p w:rsidR="007A0B61" w:rsidRDefault="007A0B61">
      <w:pPr>
        <w:pStyle w:val="Tablefin"/>
        <w:rPr>
          <w:lang w:val="fr-CH"/>
        </w:rPr>
      </w:pPr>
    </w:p>
    <w:tbl>
      <w:tblPr>
        <w:tblW w:w="9889" w:type="dxa"/>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7A0B61" w:rsidRPr="00AD5869">
        <w:trPr>
          <w:cantSplit/>
          <w:trHeight w:val="435"/>
          <w:tblHeader/>
        </w:trPr>
        <w:tc>
          <w:tcPr>
            <w:tcW w:w="9889" w:type="dxa"/>
            <w:gridSpan w:val="6"/>
            <w:tcBorders>
              <w:top w:val="nil"/>
              <w:left w:val="nil"/>
              <w:bottom w:val="single" w:sz="4" w:space="0" w:color="auto"/>
              <w:right w:val="nil"/>
            </w:tcBorders>
            <w:vAlign w:val="center"/>
          </w:tcPr>
          <w:p w:rsidR="007A0B61" w:rsidRDefault="00FE432E">
            <w:pPr>
              <w:pStyle w:val="TableNo"/>
              <w:framePr w:hSpace="181" w:wrap="notBeside" w:vAnchor="text" w:hAnchor="text" w:xAlign="center" w:y="1"/>
              <w:rPr>
                <w:lang w:val="en-GB"/>
              </w:rPr>
            </w:pPr>
            <w:r>
              <w:rPr>
                <w:lang w:val="en-GB"/>
              </w:rPr>
              <w:t>TABLE  4</w:t>
            </w:r>
          </w:p>
          <w:p w:rsidR="007A0B61" w:rsidRDefault="00FE432E">
            <w:pPr>
              <w:pStyle w:val="Tabletitle"/>
              <w:framePr w:hSpace="181" w:wrap="notBeside" w:vAnchor="text" w:hAnchor="text" w:xAlign="center" w:y="1"/>
              <w:rPr>
                <w:sz w:val="20"/>
                <w:lang w:val="en-GB"/>
              </w:rPr>
            </w:pPr>
            <w:r>
              <w:rPr>
                <w:lang w:val="en-GB"/>
              </w:rPr>
              <w:t xml:space="preserve">Parameters for OI objectives for links forming part of a national portion </w:t>
            </w:r>
            <w:r>
              <w:rPr>
                <w:lang w:val="en-GB"/>
              </w:rPr>
              <w:br/>
              <w:t>of constant bit-rate digital path element</w:t>
            </w:r>
          </w:p>
        </w:tc>
      </w:tr>
      <w:tr w:rsidR="007A0B61">
        <w:trPr>
          <w:trHeight w:val="435"/>
          <w:tblHead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7A0B61" w:rsidRDefault="00FE432E">
            <w:pPr>
              <w:pStyle w:val="Tablehead"/>
              <w:framePr w:hSpace="181" w:wrap="notBeside" w:vAnchor="text" w:hAnchor="text" w:xAlign="center" w:y="1"/>
              <w:rPr>
                <w:i/>
                <w:iCs/>
                <w:sz w:val="18"/>
                <w:lang w:val="en-GB"/>
              </w:rPr>
            </w:pPr>
            <w:r>
              <w:rPr>
                <w:sz w:val="18"/>
                <w:lang w:val="en-GB"/>
              </w:rPr>
              <w:t>Access portion</w:t>
            </w:r>
          </w:p>
        </w:tc>
        <w:tc>
          <w:tcPr>
            <w:tcW w:w="1418" w:type="dxa"/>
            <w:gridSpan w:val="2"/>
            <w:tcBorders>
              <w:top w:val="single" w:sz="4" w:space="0" w:color="auto"/>
              <w:left w:val="nil"/>
              <w:bottom w:val="single" w:sz="4" w:space="0" w:color="auto"/>
              <w:right w:val="single" w:sz="4" w:space="0" w:color="auto"/>
            </w:tcBorders>
          </w:tcPr>
          <w:p w:rsidR="007A0B61" w:rsidRDefault="00FE432E">
            <w:pPr>
              <w:pStyle w:val="Tablehead"/>
              <w:framePr w:hSpace="181" w:wrap="notBeside" w:vAnchor="text" w:hAnchor="text" w:xAlign="center" w:y="1"/>
              <w:rPr>
                <w:i/>
                <w:iCs/>
                <w:sz w:val="18"/>
                <w:lang w:val="en-GB"/>
              </w:rPr>
            </w:pPr>
            <w:r>
              <w:rPr>
                <w:sz w:val="18"/>
                <w:lang w:val="en-GB"/>
              </w:rPr>
              <w:t>Short-haul portion</w:t>
            </w:r>
          </w:p>
        </w:tc>
        <w:tc>
          <w:tcPr>
            <w:tcW w:w="7087" w:type="dxa"/>
            <w:gridSpan w:val="2"/>
            <w:tcBorders>
              <w:top w:val="single" w:sz="4" w:space="0" w:color="auto"/>
              <w:left w:val="nil"/>
              <w:bottom w:val="single" w:sz="4" w:space="0" w:color="auto"/>
              <w:right w:val="single" w:sz="4" w:space="0" w:color="auto"/>
            </w:tcBorders>
            <w:vAlign w:val="center"/>
          </w:tcPr>
          <w:p w:rsidR="007A0B61" w:rsidRDefault="00FE432E">
            <w:pPr>
              <w:pStyle w:val="Tablehead"/>
              <w:framePr w:hSpace="181" w:wrap="notBeside" w:vAnchor="text" w:hAnchor="text" w:xAlign="center" w:y="1"/>
              <w:rPr>
                <w:i/>
                <w:iCs/>
                <w:sz w:val="18"/>
              </w:rPr>
            </w:pPr>
            <w:r>
              <w:rPr>
                <w:sz w:val="18"/>
              </w:rPr>
              <w:t>Long-haul portion</w:t>
            </w:r>
          </w:p>
        </w:tc>
      </w:tr>
      <w:tr w:rsidR="007A0B61">
        <w:trPr>
          <w:trHeight w:val="435"/>
        </w:trPr>
        <w:tc>
          <w:tcPr>
            <w:tcW w:w="439" w:type="dxa"/>
            <w:tcBorders>
              <w:top w:val="nil"/>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5</w:t>
            </w:r>
          </w:p>
        </w:tc>
        <w:tc>
          <w:tcPr>
            <w:tcW w:w="945" w:type="dxa"/>
            <w:tcBorders>
              <w:top w:val="nil"/>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5</w:t>
            </w:r>
          </w:p>
        </w:tc>
        <w:tc>
          <w:tcPr>
            <w:tcW w:w="439"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6</w:t>
            </w:r>
          </w:p>
        </w:tc>
        <w:tc>
          <w:tcPr>
            <w:tcW w:w="979"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6</w:t>
            </w:r>
          </w:p>
        </w:tc>
        <w:tc>
          <w:tcPr>
            <w:tcW w:w="3548"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7</w:t>
            </w:r>
          </w:p>
        </w:tc>
        <w:tc>
          <w:tcPr>
            <w:tcW w:w="3539" w:type="dxa"/>
            <w:tcBorders>
              <w:top w:val="nil"/>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7</w:t>
            </w:r>
          </w:p>
        </w:tc>
      </w:tr>
      <w:tr w:rsidR="007A0B61" w:rsidRPr="00AD5869">
        <w:trPr>
          <w:trHeight w:val="20"/>
        </w:trPr>
        <w:tc>
          <w:tcPr>
            <w:tcW w:w="439" w:type="dxa"/>
            <w:tcBorders>
              <w:top w:val="single" w:sz="4" w:space="0" w:color="auto"/>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100</w:t>
            </w:r>
          </w:p>
        </w:tc>
        <w:tc>
          <w:tcPr>
            <w:tcW w:w="439" w:type="dxa"/>
            <w:tcBorders>
              <w:top w:val="single" w:sz="4" w:space="0" w:color="auto"/>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7A0B61" w:rsidRDefault="00FE432E">
            <w:pPr>
              <w:pStyle w:val="Tabletext"/>
              <w:framePr w:hSpace="181" w:wrap="notBeside" w:vAnchor="text" w:hAnchor="text" w:xAlign="center" w:y="1"/>
              <w:jc w:val="center"/>
              <w:rPr>
                <w:sz w:val="18"/>
                <w:lang w:val="en-US"/>
              </w:rPr>
            </w:pPr>
            <w:r>
              <w:rPr>
                <w:sz w:val="18"/>
                <w:lang w:val="en-US"/>
              </w:rPr>
              <w:t>120</w:t>
            </w:r>
          </w:p>
        </w:tc>
        <w:tc>
          <w:tcPr>
            <w:tcW w:w="3548" w:type="dxa"/>
            <w:tcBorders>
              <w:top w:val="single" w:sz="4" w:space="0" w:color="auto"/>
              <w:left w:val="nil"/>
              <w:bottom w:val="single" w:sz="4" w:space="0" w:color="auto"/>
              <w:right w:val="single" w:sz="4" w:space="0" w:color="auto"/>
            </w:tcBorders>
            <w:tcMar>
              <w:left w:w="85" w:type="dxa"/>
              <w:right w:w="85" w:type="dxa"/>
            </w:tcMar>
          </w:tcPr>
          <w:p w:rsidR="007A0B61" w:rsidRDefault="00FE432E">
            <w:pPr>
              <w:pStyle w:val="Tabletext"/>
              <w:framePr w:hSpace="181" w:wrap="notBeside" w:vAnchor="text" w:hAnchor="text" w:xAlign="center" w:y="1"/>
              <w:tabs>
                <w:tab w:val="clear" w:pos="284"/>
              </w:tabs>
              <w:ind w:left="33"/>
              <w:jc w:val="left"/>
              <w:rPr>
                <w:sz w:val="18"/>
                <w:lang w:val="en-US"/>
              </w:rPr>
            </w:pPr>
            <w:r>
              <w:rPr>
                <w:sz w:val="18"/>
                <w:lang w:val="en-US"/>
              </w:rPr>
              <w:t>100</w:t>
            </w:r>
            <w:r>
              <w:rPr>
                <w:sz w:val="18"/>
                <w:lang w:val="en-US"/>
              </w:rPr>
              <w:tab/>
              <w:t xml:space="preserve">for 250 km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7A0B61" w:rsidRDefault="00FE432E">
            <w:pPr>
              <w:pStyle w:val="Tabletext"/>
              <w:framePr w:hSpace="181" w:wrap="notBeside" w:vAnchor="text" w:hAnchor="text" w:xAlign="center" w:y="1"/>
              <w:tabs>
                <w:tab w:val="clear" w:pos="284"/>
              </w:tabs>
              <w:ind w:left="33"/>
              <w:jc w:val="left"/>
              <w:rPr>
                <w:sz w:val="18"/>
                <w:lang w:val="en-US"/>
              </w:rPr>
            </w:pPr>
            <w:r>
              <w:rPr>
                <w:sz w:val="18"/>
                <w:lang w:val="en-US"/>
              </w:rPr>
              <w:t>150</w:t>
            </w:r>
            <w:r>
              <w:rPr>
                <w:sz w:val="18"/>
                <w:lang w:val="en-US"/>
              </w:rPr>
              <w:tab/>
              <w:t xml:space="preserve">for </w:t>
            </w:r>
            <w:r>
              <w:rPr>
                <w:i/>
                <w:iCs/>
                <w:sz w:val="18"/>
                <w:lang w:val="en-US"/>
              </w:rPr>
              <w:t>L</w:t>
            </w:r>
            <w:r>
              <w:rPr>
                <w:i/>
                <w:iCs/>
                <w:sz w:val="18"/>
                <w:vertAlign w:val="subscript"/>
                <w:lang w:val="en-US"/>
              </w:rPr>
              <w:t>min</w:t>
            </w:r>
            <w:r>
              <w:rPr>
                <w:sz w:val="18"/>
                <w:lang w:val="en-US"/>
              </w:rPr>
              <w:t xml:space="preserve">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250 km</w:t>
            </w:r>
          </w:p>
        </w:tc>
        <w:tc>
          <w:tcPr>
            <w:tcW w:w="3539" w:type="dxa"/>
            <w:tcBorders>
              <w:top w:val="single" w:sz="4" w:space="0" w:color="auto"/>
              <w:left w:val="nil"/>
              <w:bottom w:val="single" w:sz="4" w:space="0" w:color="auto"/>
              <w:right w:val="single" w:sz="4" w:space="0" w:color="auto"/>
            </w:tcBorders>
          </w:tcPr>
          <w:p w:rsidR="007A0B61" w:rsidRDefault="00FE432E">
            <w:pPr>
              <w:pStyle w:val="Tabletext"/>
              <w:framePr w:hSpace="181" w:wrap="notBeside" w:vAnchor="text" w:hAnchor="text" w:xAlign="center" w:y="1"/>
              <w:tabs>
                <w:tab w:val="clear" w:pos="284"/>
                <w:tab w:val="clear" w:pos="567"/>
                <w:tab w:val="left" w:pos="425"/>
              </w:tabs>
              <w:jc w:val="left"/>
              <w:rPr>
                <w:sz w:val="18"/>
                <w:lang w:val="en-US"/>
              </w:rPr>
            </w:pPr>
            <w:r>
              <w:rPr>
                <w:sz w:val="18"/>
                <w:lang w:val="en-US"/>
              </w:rPr>
              <w:t>55</w:t>
            </w:r>
            <w:r>
              <w:rPr>
                <w:sz w:val="18"/>
                <w:lang w:val="en-US"/>
              </w:rPr>
              <w:tab/>
              <w:t xml:space="preserve">for 250 km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7A0B61" w:rsidRDefault="00FE432E">
            <w:pPr>
              <w:pStyle w:val="Tabletext"/>
              <w:framePr w:hSpace="181" w:wrap="notBeside" w:vAnchor="text" w:hAnchor="text" w:xAlign="center" w:y="1"/>
              <w:tabs>
                <w:tab w:val="clear" w:pos="284"/>
                <w:tab w:val="clear" w:pos="567"/>
                <w:tab w:val="clear" w:pos="1134"/>
                <w:tab w:val="left" w:pos="425"/>
                <w:tab w:val="left" w:pos="1021"/>
              </w:tabs>
              <w:jc w:val="left"/>
              <w:rPr>
                <w:sz w:val="18"/>
                <w:lang w:val="en-GB"/>
              </w:rPr>
            </w:pPr>
            <w:r>
              <w:rPr>
                <w:sz w:val="18"/>
                <w:lang w:val="en-GB"/>
              </w:rPr>
              <w:t>50</w:t>
            </w:r>
            <w:r>
              <w:rPr>
                <w:sz w:val="18"/>
                <w:lang w:val="en-GB"/>
              </w:rPr>
              <w:tab/>
              <w:t xml:space="preserve">for </w:t>
            </w:r>
            <w:r>
              <w:rPr>
                <w:i/>
                <w:iCs/>
                <w:sz w:val="18"/>
                <w:lang w:val="en-GB"/>
              </w:rPr>
              <w:t>L</w:t>
            </w:r>
            <w:r>
              <w:rPr>
                <w:i/>
                <w:iCs/>
                <w:position w:val="-4"/>
                <w:sz w:val="18"/>
                <w:lang w:val="en-GB"/>
              </w:rPr>
              <w:t>min</w:t>
            </w:r>
            <w:r>
              <w:rPr>
                <w:sz w:val="18"/>
                <w:lang w:val="en-GB"/>
              </w:rPr>
              <w:t> </w:t>
            </w:r>
            <w:r>
              <w:rPr>
                <w:sz w:val="18"/>
              </w:rPr>
              <w:sym w:font="Symbol" w:char="F0A3"/>
            </w:r>
            <w:r>
              <w:rPr>
                <w:sz w:val="18"/>
                <w:lang w:val="en-GB"/>
              </w:rPr>
              <w:t> </w:t>
            </w:r>
            <w:r>
              <w:rPr>
                <w:i/>
                <w:iCs/>
                <w:sz w:val="18"/>
                <w:lang w:val="en-GB"/>
              </w:rPr>
              <w:t>L</w:t>
            </w:r>
            <w:r>
              <w:rPr>
                <w:i/>
                <w:iCs/>
                <w:sz w:val="18"/>
                <w:vertAlign w:val="subscript"/>
                <w:lang w:val="en-GB"/>
              </w:rPr>
              <w:t>link</w:t>
            </w:r>
            <w:r>
              <w:rPr>
                <w:sz w:val="18"/>
                <w:lang w:val="en-GB"/>
              </w:rPr>
              <w:t> </w:t>
            </w:r>
            <w:r>
              <w:rPr>
                <w:rFonts w:ascii="Symbol" w:hAnsi="Symbol"/>
                <w:sz w:val="18"/>
              </w:rPr>
              <w:t></w:t>
            </w:r>
            <w:r>
              <w:rPr>
                <w:sz w:val="18"/>
                <w:lang w:val="en-GB"/>
              </w:rPr>
              <w:t> 250 km</w:t>
            </w:r>
          </w:p>
        </w:tc>
      </w:tr>
    </w:tbl>
    <w:p w:rsidR="007A0B61" w:rsidRDefault="007A0B61">
      <w:pPr>
        <w:pStyle w:val="Tablefin"/>
      </w:pPr>
    </w:p>
    <w:p w:rsidR="007A0B61" w:rsidRDefault="00FE432E">
      <w:pPr>
        <w:pStyle w:val="AnnexNoTitle"/>
        <w:rPr>
          <w:lang w:val="en-GB"/>
        </w:rPr>
      </w:pPr>
      <w:r>
        <w:rPr>
          <w:lang w:val="en-GB"/>
        </w:rPr>
        <w:br w:type="page"/>
      </w:r>
      <w:r>
        <w:rPr>
          <w:lang w:val="en-GB"/>
        </w:rPr>
        <w:lastRenderedPageBreak/>
        <w:t>Annex 1</w:t>
      </w:r>
      <w:r>
        <w:rPr>
          <w:lang w:val="en-GB"/>
        </w:rPr>
        <w:br/>
      </w:r>
      <w:r>
        <w:rPr>
          <w:lang w:val="en-GB"/>
        </w:rPr>
        <w:br/>
        <w:t>Terminology and examples of evaluation for real link</w:t>
      </w:r>
    </w:p>
    <w:p w:rsidR="007A0B61" w:rsidRDefault="00FE432E">
      <w:pPr>
        <w:pStyle w:val="Heading1"/>
        <w:rPr>
          <w:lang w:val="en-GB"/>
        </w:rPr>
      </w:pPr>
      <w:r>
        <w:rPr>
          <w:lang w:val="en-GB"/>
        </w:rPr>
        <w:t>1</w:t>
      </w:r>
      <w:r>
        <w:rPr>
          <w:lang w:val="en-GB"/>
        </w:rPr>
        <w:tab/>
        <w:t>Introduction</w:t>
      </w:r>
    </w:p>
    <w:p w:rsidR="007A0B61" w:rsidRDefault="00FE432E">
      <w:pPr>
        <w:rPr>
          <w:lang w:val="en-GB"/>
        </w:rPr>
      </w:pPr>
      <w:r>
        <w:rPr>
          <w:lang w:val="en-GB"/>
        </w:rPr>
        <w:t>This Annex gives further information on the meaning of terms related to the connection, on the relationship between the objectives given by ITU</w:t>
      </w:r>
      <w:r>
        <w:rPr>
          <w:lang w:val="en-GB"/>
        </w:rPr>
        <w:noBreakHyphen/>
        <w:t>T Recommendation G.827 and the objectives defined in this Recommendation and some examples of the evaluation of the objectives for a real radio link.</w:t>
      </w:r>
    </w:p>
    <w:p w:rsidR="007A0B61" w:rsidRDefault="00FE432E">
      <w:pPr>
        <w:pStyle w:val="Heading1"/>
        <w:rPr>
          <w:lang w:val="en-GB"/>
        </w:rPr>
      </w:pPr>
      <w:r>
        <w:rPr>
          <w:lang w:val="en-GB"/>
        </w:rPr>
        <w:t>2</w:t>
      </w:r>
      <w:r>
        <w:rPr>
          <w:lang w:val="en-GB"/>
        </w:rPr>
        <w:tab/>
        <w:t>Definition and terminology</w:t>
      </w:r>
    </w:p>
    <w:p w:rsidR="007A0B61" w:rsidRDefault="00FE432E">
      <w:pPr>
        <w:rPr>
          <w:lang w:val="en-GB"/>
        </w:rPr>
      </w:pPr>
      <w:r>
        <w:rPr>
          <w:lang w:val="en-GB"/>
        </w:rPr>
        <w:t>The scope of this Recommendation is to define the availability objectives for a real radio link, but since in a telecommunication network the term “link” is quite general the clarification of the meaning of this term within the context of the current Recommendation is given below.</w:t>
      </w:r>
    </w:p>
    <w:p w:rsidR="007A0B61" w:rsidRDefault="00FE432E">
      <w:pPr>
        <w:rPr>
          <w:lang w:val="en-GB"/>
        </w:rPr>
      </w:pPr>
      <w:r>
        <w:rPr>
          <w:lang w:val="en-GB"/>
        </w:rPr>
        <w:t>The definition of PE is given in ITU</w:t>
      </w:r>
      <w:r>
        <w:rPr>
          <w:lang w:val="en-GB"/>
        </w:rPr>
        <w:noBreakHyphen/>
        <w:t>T Recommendation G.827. An example of a path composed by several PEs is shown in Fig. 2. A radio link can be identified with a portion of the path and it can implement an IPCE (or a portion of it) and/or an ICPCE, as shown in Fig. 3, or can belong to any portion of the network, as shown in Fig. 4. Moreover a link can be formed by several hops.</w:t>
      </w:r>
    </w:p>
    <w:p w:rsidR="007A0B61" w:rsidRDefault="007A0B61">
      <w:pPr>
        <w:spacing w:before="0"/>
        <w:rPr>
          <w:lang w:val="en-GB"/>
        </w:rPr>
      </w:pPr>
    </w:p>
    <w:p w:rsidR="007A0B61" w:rsidRDefault="00822620">
      <w:pPr>
        <w:pStyle w:val="FigureNo"/>
      </w:pPr>
      <w:r>
        <w:rPr>
          <w:noProof/>
          <w:lang w:val="en-US" w:eastAsia="zh-CN"/>
        </w:rPr>
        <w:drawing>
          <wp:inline distT="0" distB="0" distL="0" distR="0">
            <wp:extent cx="6029325" cy="401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4010025"/>
                    </a:xfrm>
                    <a:prstGeom prst="rect">
                      <a:avLst/>
                    </a:prstGeom>
                    <a:noFill/>
                    <a:ln>
                      <a:noFill/>
                    </a:ln>
                  </pic:spPr>
                </pic:pic>
              </a:graphicData>
            </a:graphic>
          </wp:inline>
        </w:drawing>
      </w:r>
    </w:p>
    <w:p w:rsidR="007A0B61" w:rsidRDefault="007A0B61"/>
    <w:p w:rsidR="007A0B61" w:rsidRDefault="00FE432E">
      <w:pPr>
        <w:pStyle w:val="FigureNo"/>
        <w:rPr>
          <w:lang w:val="en-GB"/>
        </w:rPr>
      </w:pPr>
      <w:r>
        <w:rPr>
          <w:lang w:val="en-GB"/>
        </w:rPr>
        <w:br w:type="page"/>
      </w:r>
      <w:r w:rsidR="00822620">
        <w:rPr>
          <w:noProof/>
          <w:lang w:val="en-US" w:eastAsia="zh-CN"/>
        </w:rPr>
        <w:lastRenderedPageBreak/>
        <w:drawing>
          <wp:inline distT="0" distB="0" distL="0" distR="0">
            <wp:extent cx="5762625" cy="2057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057400"/>
                    </a:xfrm>
                    <a:prstGeom prst="rect">
                      <a:avLst/>
                    </a:prstGeom>
                    <a:noFill/>
                    <a:ln>
                      <a:noFill/>
                    </a:ln>
                  </pic:spPr>
                </pic:pic>
              </a:graphicData>
            </a:graphic>
          </wp:inline>
        </w:drawing>
      </w:r>
    </w:p>
    <w:p w:rsidR="007A0B61" w:rsidRDefault="007A0B61"/>
    <w:p w:rsidR="007A0B61" w:rsidRDefault="00822620">
      <w:pPr>
        <w:pStyle w:val="FigureNo"/>
        <w:rPr>
          <w:lang w:val="en-GB"/>
        </w:rPr>
      </w:pPr>
      <w:r>
        <w:rPr>
          <w:noProof/>
          <w:lang w:val="en-US" w:eastAsia="zh-CN"/>
        </w:rPr>
        <w:drawing>
          <wp:inline distT="0" distB="0" distL="0" distR="0">
            <wp:extent cx="6029325" cy="2590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2590800"/>
                    </a:xfrm>
                    <a:prstGeom prst="rect">
                      <a:avLst/>
                    </a:prstGeom>
                    <a:noFill/>
                    <a:ln>
                      <a:noFill/>
                    </a:ln>
                  </pic:spPr>
                </pic:pic>
              </a:graphicData>
            </a:graphic>
          </wp:inline>
        </w:drawing>
      </w:r>
    </w:p>
    <w:p w:rsidR="007A0B61" w:rsidRDefault="007A0B61">
      <w:pPr>
        <w:spacing w:before="0"/>
        <w:rPr>
          <w:lang w:val="en-GB"/>
        </w:rPr>
      </w:pPr>
    </w:p>
    <w:p w:rsidR="007A0B61" w:rsidRDefault="007A0B61">
      <w:pPr>
        <w:rPr>
          <w:lang w:val="en-GB"/>
        </w:rPr>
      </w:pPr>
    </w:p>
    <w:p w:rsidR="007A0B61" w:rsidRDefault="00FE432E">
      <w:pPr>
        <w:spacing w:before="240"/>
        <w:rPr>
          <w:lang w:val="en-GB"/>
        </w:rPr>
      </w:pPr>
      <w:r>
        <w:rPr>
          <w:lang w:val="en-GB"/>
        </w:rPr>
        <w:t>Historically the terminology used in ITU</w:t>
      </w:r>
      <w:r>
        <w:rPr>
          <w:lang w:val="en-GB"/>
        </w:rPr>
        <w:noBreakHyphen/>
        <w:t xml:space="preserve">T Recommendation G.827 is derived from maintenance requirements for international paths, since availability is one of the main factors influencing the behaviour of radio path. In fact, in the past, error performance requirements were a negligible factor, so they were not considered. Nowadays, from the point of view of maintenance, error performance has the same importance as availability. Furthermore, performance and availability requirements are the fundamental requisites for the design of links. </w:t>
      </w:r>
    </w:p>
    <w:p w:rsidR="007A0B61" w:rsidRDefault="00FE432E">
      <w:pPr>
        <w:rPr>
          <w:lang w:val="en-GB"/>
        </w:rPr>
      </w:pPr>
      <w:r>
        <w:rPr>
          <w:lang w:val="en-GB"/>
        </w:rPr>
        <w:t>Moreover, the error performance objectives defined in Recommendations ITU</w:t>
      </w:r>
      <w:r>
        <w:rPr>
          <w:lang w:val="en-GB"/>
        </w:rPr>
        <w:noBreakHyphen/>
        <w:t>R F.1668 and in ITU</w:t>
      </w:r>
      <w:r>
        <w:rPr>
          <w:lang w:val="en-GB"/>
        </w:rPr>
        <w:noBreakHyphen/>
        <w:t>T Recommendations G.826, G.828 and G.829 for plesiochronous digital hierarchy (PDH), synchronous digital hierarchy (SDH) and cell-based paths, are based on different elements of a path. In particular the elements composing an SDH are the multiplex section (MS) and the regenerator section (RS), which are the basis for performance definitions. In order to clarify the relationship between error performance and availability objectives, the relationship between the SDH sections and PEs should be explained.</w:t>
      </w:r>
    </w:p>
    <w:p w:rsidR="007A0B61" w:rsidRDefault="00FE432E">
      <w:pPr>
        <w:rPr>
          <w:lang w:val="en-GB"/>
        </w:rPr>
      </w:pPr>
      <w:r>
        <w:rPr>
          <w:lang w:val="en-GB"/>
        </w:rPr>
        <w:t>Figures 5 and 6 show examples of a radio link implementing a portion of an IPCE and a part of a short-haul portion NPE and composed of SDH MS and RS. The objectives of this Recommendation are applicable to the radio link, while the objectives of Recommendation ITU</w:t>
      </w:r>
      <w:r>
        <w:rPr>
          <w:lang w:val="en-GB"/>
        </w:rPr>
        <w:noBreakHyphen/>
        <w:t xml:space="preserve">R F.1668 are </w:t>
      </w:r>
      <w:r>
        <w:rPr>
          <w:lang w:val="en-GB"/>
        </w:rPr>
        <w:br w:type="page"/>
      </w:r>
      <w:r>
        <w:rPr>
          <w:lang w:val="en-GB"/>
        </w:rPr>
        <w:lastRenderedPageBreak/>
        <w:t>applicable to the single SDH MS and RS implemented by radio. The subdivision of availability and performance objectives to each hop is outside the scope of this Recommendation and of Recommendation ITU</w:t>
      </w:r>
      <w:r>
        <w:rPr>
          <w:lang w:val="en-GB"/>
        </w:rPr>
        <w:noBreakHyphen/>
        <w:t>R F.1668.</w:t>
      </w:r>
    </w:p>
    <w:p w:rsidR="007A0B61" w:rsidRDefault="00822620">
      <w:pPr>
        <w:pStyle w:val="FigureNo"/>
      </w:pPr>
      <w:r>
        <w:rPr>
          <w:noProof/>
          <w:lang w:val="en-US" w:eastAsia="zh-CN"/>
        </w:rPr>
        <w:drawing>
          <wp:inline distT="0" distB="0" distL="0" distR="0">
            <wp:extent cx="5905500" cy="2724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2724150"/>
                    </a:xfrm>
                    <a:prstGeom prst="rect">
                      <a:avLst/>
                    </a:prstGeom>
                    <a:noFill/>
                    <a:ln>
                      <a:noFill/>
                    </a:ln>
                  </pic:spPr>
                </pic:pic>
              </a:graphicData>
            </a:graphic>
          </wp:inline>
        </w:drawing>
      </w:r>
    </w:p>
    <w:p w:rsidR="007A0B61" w:rsidRDefault="00822620">
      <w:pPr>
        <w:pStyle w:val="FigureNo"/>
        <w:rPr>
          <w:lang w:val="en-GB"/>
        </w:rPr>
      </w:pPr>
      <w:r>
        <w:rPr>
          <w:noProof/>
          <w:lang w:val="en-US" w:eastAsia="zh-CN"/>
        </w:rPr>
        <w:drawing>
          <wp:inline distT="0" distB="0" distL="0" distR="0">
            <wp:extent cx="5810250" cy="2800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0" cy="2800350"/>
                    </a:xfrm>
                    <a:prstGeom prst="rect">
                      <a:avLst/>
                    </a:prstGeom>
                    <a:noFill/>
                    <a:ln>
                      <a:noFill/>
                    </a:ln>
                  </pic:spPr>
                </pic:pic>
              </a:graphicData>
            </a:graphic>
          </wp:inline>
        </w:drawing>
      </w:r>
    </w:p>
    <w:p w:rsidR="007A0B61" w:rsidRDefault="00FE432E">
      <w:pPr>
        <w:rPr>
          <w:lang w:val="en-GB"/>
        </w:rPr>
      </w:pPr>
      <w:r>
        <w:rPr>
          <w:lang w:val="en-GB"/>
        </w:rPr>
        <w:t xml:space="preserve">For the design of a radio link, besides the objectives, propagation effects should be considered carefully, since the relation between availability and performance is defined by propagation phenomena. In fact generally speaking a propagation phenomena may have a greater influence on performance, but lesser on availability, or vice versa. </w:t>
      </w:r>
    </w:p>
    <w:p w:rsidR="007A0B61" w:rsidRDefault="00FE432E">
      <w:pPr>
        <w:rPr>
          <w:lang w:val="en-GB"/>
        </w:rPr>
      </w:pPr>
      <w:r>
        <w:rPr>
          <w:lang w:val="en-GB"/>
        </w:rPr>
        <w:t>The availability objective of a radio link as defined in this Recommendation should be compliant with the NPE objectives defined by ITU</w:t>
      </w:r>
      <w:r>
        <w:rPr>
          <w:lang w:val="en-GB"/>
        </w:rPr>
        <w:noBreakHyphen/>
        <w:t>T Recommendation G.827.</w:t>
      </w:r>
    </w:p>
    <w:p w:rsidR="007A0B61" w:rsidRDefault="00FE432E">
      <w:pPr>
        <w:pStyle w:val="Heading1"/>
        <w:rPr>
          <w:lang w:val="en-GB"/>
        </w:rPr>
      </w:pPr>
      <w:r>
        <w:rPr>
          <w:lang w:val="en-GB"/>
        </w:rPr>
        <w:br w:type="page"/>
      </w:r>
      <w:r>
        <w:rPr>
          <w:lang w:val="en-GB"/>
        </w:rPr>
        <w:lastRenderedPageBreak/>
        <w:t>3</w:t>
      </w:r>
      <w:r>
        <w:rPr>
          <w:lang w:val="en-GB"/>
        </w:rPr>
        <w:tab/>
        <w:t>Calculation of availability objectives</w:t>
      </w:r>
    </w:p>
    <w:p w:rsidR="007A0B61" w:rsidRDefault="00FE432E">
      <w:pPr>
        <w:rPr>
          <w:lang w:val="en-GB"/>
        </w:rPr>
      </w:pPr>
      <w:r>
        <w:rPr>
          <w:lang w:val="en-GB"/>
        </w:rPr>
        <w:t>This section shows some examples of the application of this Recommendation to real links, in order to derive the objectives.</w:t>
      </w:r>
    </w:p>
    <w:p w:rsidR="007A0B61" w:rsidRDefault="00FE432E">
      <w:pPr>
        <w:rPr>
          <w:lang w:val="en-GB"/>
        </w:rPr>
      </w:pPr>
      <w:r>
        <w:rPr>
          <w:lang w:val="en-GB"/>
        </w:rPr>
        <w:t>In the following calculations, it is assumed that one year corresponds to 525</w:t>
      </w:r>
      <w:r>
        <w:rPr>
          <w:rFonts w:ascii="Tms Rmn" w:hAnsi="Tms Rmn"/>
          <w:sz w:val="12"/>
          <w:lang w:val="en-GB"/>
        </w:rPr>
        <w:t> </w:t>
      </w:r>
      <w:r>
        <w:rPr>
          <w:lang w:val="en-GB"/>
        </w:rPr>
        <w:t>960 min.</w:t>
      </w:r>
    </w:p>
    <w:p w:rsidR="007A0B61" w:rsidRDefault="00FE432E">
      <w:pPr>
        <w:pStyle w:val="Heading2"/>
        <w:rPr>
          <w:lang w:val="en-GB"/>
        </w:rPr>
      </w:pPr>
      <w:r>
        <w:rPr>
          <w:lang w:val="en-GB"/>
        </w:rPr>
        <w:t>3.1</w:t>
      </w:r>
      <w:r>
        <w:rPr>
          <w:lang w:val="en-GB"/>
        </w:rPr>
        <w:tab/>
        <w:t>International portion</w:t>
      </w:r>
    </w:p>
    <w:p w:rsidR="007A0B61" w:rsidRDefault="00FE432E">
      <w:pPr>
        <w:pStyle w:val="Headingb"/>
        <w:rPr>
          <w:lang w:val="en-GB"/>
        </w:rPr>
      </w:pPr>
      <w:r>
        <w:rPr>
          <w:lang w:val="en-GB"/>
        </w:rPr>
        <w:t>Case 1: length 30 km</w:t>
      </w:r>
    </w:p>
    <w:p w:rsidR="007A0B61" w:rsidRDefault="00FE432E">
      <w:pPr>
        <w:rPr>
          <w:lang w:val="en-GB"/>
        </w:rPr>
      </w:pPr>
      <w:r>
        <w:rPr>
          <w:lang w:val="en-GB"/>
        </w:rPr>
        <w:t xml:space="preserve">The length is shorter than </w:t>
      </w:r>
      <w:r>
        <w:rPr>
          <w:i/>
          <w:iCs/>
          <w:lang w:val="en-GB"/>
        </w:rPr>
        <w:t>L</w:t>
      </w:r>
      <w:r>
        <w:rPr>
          <w:i/>
          <w:iCs/>
          <w:vertAlign w:val="subscript"/>
          <w:lang w:val="en-GB"/>
        </w:rPr>
        <w:t>min</w:t>
      </w:r>
      <w:r>
        <w:rPr>
          <w:lang w:val="en-GB"/>
        </w:rPr>
        <w:t xml:space="preserve"> </w:t>
      </w:r>
      <w:r>
        <w:rPr>
          <w:rFonts w:ascii="Symbol" w:hAnsi="Symbol"/>
        </w:rPr>
        <w:t></w:t>
      </w:r>
      <w:r>
        <w:rPr>
          <w:lang w:val="en-GB"/>
        </w:rPr>
        <w:t xml:space="preserve"> 50 km, so the value of </w:t>
      </w:r>
      <w:r>
        <w:rPr>
          <w:i/>
          <w:iCs/>
          <w:lang w:val="en-GB"/>
        </w:rPr>
        <w:t>L</w:t>
      </w:r>
      <w:r>
        <w:rPr>
          <w:i/>
          <w:iCs/>
          <w:vertAlign w:val="subscript"/>
          <w:lang w:val="en-GB"/>
        </w:rPr>
        <w:t>link</w:t>
      </w:r>
      <w:r>
        <w:rPr>
          <w:lang w:val="en-GB"/>
        </w:rPr>
        <w:t xml:space="preserve"> </w:t>
      </w:r>
      <w:r>
        <w:rPr>
          <w:rFonts w:ascii="Symbol" w:hAnsi="Symbol"/>
        </w:rPr>
        <w:t></w:t>
      </w:r>
      <w:r>
        <w:rPr>
          <w:lang w:val="en-GB"/>
        </w:rPr>
        <w:t xml:space="preserve"> 50 has been used.</w:t>
      </w:r>
    </w:p>
    <w:p w:rsidR="007A0B61" w:rsidRDefault="00FE432E">
      <w:pPr>
        <w:pStyle w:val="Equation"/>
        <w:jc w:val="center"/>
      </w:pPr>
      <w:r>
        <w:rPr>
          <w:position w:val="-32"/>
        </w:rPr>
        <w:object w:dxaOrig="6940" w:dyaOrig="760">
          <v:shape id="_x0000_i1028" type="#_x0000_t75" style="width:347.4pt;height:38.35pt" o:ole="">
            <v:imagedata r:id="rId19" o:title=""/>
          </v:shape>
          <o:OLEObject Type="Embed" ProgID="Equation.3" ShapeID="_x0000_i1028" DrawAspect="Content" ObjectID="_1478090432" r:id="rId20"/>
        </w:object>
      </w:r>
    </w:p>
    <w:p w:rsidR="007A0B61" w:rsidRDefault="00FE432E">
      <w:pPr>
        <w:jc w:val="center"/>
      </w:pPr>
      <w:r>
        <w:rPr>
          <w:position w:val="-58"/>
        </w:rPr>
        <w:object w:dxaOrig="5679" w:dyaOrig="960">
          <v:shape id="_x0000_i1029" type="#_x0000_t75" style="width:283.3pt;height:48.15pt" o:ole="">
            <v:imagedata r:id="rId21" o:title=""/>
          </v:shape>
          <o:OLEObject Type="Embed" ProgID="Equation.3" ShapeID="_x0000_i1029" DrawAspect="Content" ObjectID="_1478090433" r:id="rId22"/>
        </w:object>
      </w:r>
    </w:p>
    <w:p w:rsidR="007A0B61" w:rsidRDefault="00FE432E">
      <w:pPr>
        <w:rPr>
          <w:lang w:val="en-GB"/>
        </w:rPr>
      </w:pPr>
      <w:r>
        <w:rPr>
          <w:lang w:val="en-GB"/>
        </w:rPr>
        <w:t>These values correspond to an AR of 99.985% (unavailability of 78 min/year), number of events per year of OI </w:t>
      </w:r>
      <w:r>
        <w:rPr>
          <w:rFonts w:ascii="Symbol" w:hAnsi="Symbol"/>
        </w:rPr>
        <w:t></w:t>
      </w:r>
      <w:r>
        <w:rPr>
          <w:lang w:val="en-GB"/>
        </w:rPr>
        <w:t> 53 and the mean time between unavailability events Mo </w:t>
      </w:r>
      <w:r>
        <w:rPr>
          <w:rFonts w:ascii="Symbol" w:hAnsi="Symbol"/>
        </w:rPr>
        <w:t></w:t>
      </w:r>
      <w:r>
        <w:rPr>
          <w:lang w:val="en-GB"/>
        </w:rPr>
        <w:t> 9 922 min or 6.9 days.</w:t>
      </w:r>
    </w:p>
    <w:p w:rsidR="007A0B61" w:rsidRDefault="00FE432E">
      <w:pPr>
        <w:pStyle w:val="Headingb"/>
        <w:rPr>
          <w:lang w:val="en-GB"/>
        </w:rPr>
      </w:pPr>
      <w:r>
        <w:rPr>
          <w:lang w:val="en-GB"/>
        </w:rPr>
        <w:t>Case 2: length 80 km</w:t>
      </w:r>
    </w:p>
    <w:p w:rsidR="007A0B61" w:rsidRDefault="00FE432E">
      <w:pPr>
        <w:rPr>
          <w:lang w:val="en-GB"/>
        </w:rPr>
      </w:pPr>
      <w:r>
        <w:rPr>
          <w:lang w:val="en-GB"/>
        </w:rPr>
        <w:t>The length is in the range 50-250 km, so:</w:t>
      </w:r>
    </w:p>
    <w:p w:rsidR="007A0B61" w:rsidRDefault="00FE432E">
      <w:pPr>
        <w:pStyle w:val="Equation"/>
        <w:jc w:val="center"/>
      </w:pPr>
      <w:r>
        <w:rPr>
          <w:position w:val="-32"/>
        </w:rPr>
        <w:object w:dxaOrig="6920" w:dyaOrig="760">
          <v:shape id="_x0000_i1030" type="#_x0000_t75" style="width:345.5pt;height:38.35pt" o:ole="">
            <v:imagedata r:id="rId23" o:title=""/>
          </v:shape>
          <o:OLEObject Type="Embed" ProgID="Equation.3" ShapeID="_x0000_i1030" DrawAspect="Content" ObjectID="_1478090434" r:id="rId24"/>
        </w:object>
      </w:r>
    </w:p>
    <w:p w:rsidR="007A0B61" w:rsidRDefault="00FE432E">
      <w:pPr>
        <w:jc w:val="center"/>
      </w:pPr>
      <w:r>
        <w:rPr>
          <w:position w:val="-58"/>
        </w:rPr>
        <w:object w:dxaOrig="5860" w:dyaOrig="960">
          <v:shape id="_x0000_i1031" type="#_x0000_t75" style="width:292.2pt;height:48.15pt" o:ole="">
            <v:imagedata r:id="rId25" o:title=""/>
          </v:shape>
          <o:OLEObject Type="Embed" ProgID="Equation.3" ShapeID="_x0000_i1031" DrawAspect="Content" ObjectID="_1478090435" r:id="rId26"/>
        </w:object>
      </w:r>
    </w:p>
    <w:p w:rsidR="007A0B61" w:rsidRDefault="00FE432E">
      <w:pPr>
        <w:rPr>
          <w:lang w:val="en-GB"/>
        </w:rPr>
      </w:pPr>
      <w:r>
        <w:rPr>
          <w:lang w:val="en-GB"/>
        </w:rPr>
        <w:t>These values correspond to an AR of 99.983% (unavailability of 90 min/year), number of events per year of OI </w:t>
      </w:r>
      <w:r>
        <w:rPr>
          <w:rFonts w:ascii="Symbol" w:hAnsi="Symbol"/>
        </w:rPr>
        <w:t></w:t>
      </w:r>
      <w:r>
        <w:rPr>
          <w:lang w:val="en-GB"/>
        </w:rPr>
        <w:t> 55 and the mean time between unavailability events Mo </w:t>
      </w:r>
      <w:r>
        <w:rPr>
          <w:rFonts w:ascii="Symbol" w:hAnsi="Symbol"/>
        </w:rPr>
        <w:t></w:t>
      </w:r>
      <w:r>
        <w:rPr>
          <w:lang w:val="en-GB"/>
        </w:rPr>
        <w:t> 9</w:t>
      </w:r>
      <w:r>
        <w:rPr>
          <w:rFonts w:ascii="Tms Rmn" w:hAnsi="Tms Rmn"/>
          <w:sz w:val="12"/>
          <w:lang w:val="en-GB"/>
        </w:rPr>
        <w:t> </w:t>
      </w:r>
      <w:r>
        <w:rPr>
          <w:lang w:val="en-GB"/>
        </w:rPr>
        <w:t>596 min or 6.7 days.</w:t>
      </w:r>
    </w:p>
    <w:p w:rsidR="007A0B61" w:rsidRDefault="00FE432E">
      <w:pPr>
        <w:pStyle w:val="Headingb"/>
        <w:rPr>
          <w:lang w:val="en-GB"/>
        </w:rPr>
      </w:pPr>
      <w:r>
        <w:rPr>
          <w:lang w:val="en-GB"/>
        </w:rPr>
        <w:t>Case 3: length 1</w:t>
      </w:r>
      <w:r>
        <w:rPr>
          <w:rFonts w:ascii="Tms Rmn" w:hAnsi="Tms Rmn"/>
          <w:sz w:val="12"/>
          <w:lang w:val="en-GB"/>
        </w:rPr>
        <w:t> </w:t>
      </w:r>
      <w:r>
        <w:rPr>
          <w:lang w:val="en-GB"/>
        </w:rPr>
        <w:t>056 km</w:t>
      </w:r>
    </w:p>
    <w:p w:rsidR="007A0B61" w:rsidRDefault="00FE432E">
      <w:pPr>
        <w:rPr>
          <w:lang w:val="en-GB"/>
        </w:rPr>
      </w:pPr>
      <w:r>
        <w:rPr>
          <w:lang w:val="en-GB"/>
        </w:rPr>
        <w:t>The length is in the range 250 km-2</w:t>
      </w:r>
      <w:r>
        <w:rPr>
          <w:rFonts w:ascii="Tms Rmn" w:hAnsi="Tms Rmn"/>
          <w:sz w:val="12"/>
          <w:lang w:val="en-GB"/>
        </w:rPr>
        <w:t> </w:t>
      </w:r>
      <w:r>
        <w:rPr>
          <w:lang w:val="en-GB"/>
        </w:rPr>
        <w:t>500 km, so:</w:t>
      </w:r>
    </w:p>
    <w:p w:rsidR="007A0B61" w:rsidRDefault="00FE432E">
      <w:pPr>
        <w:pStyle w:val="Equation"/>
        <w:jc w:val="center"/>
      </w:pPr>
      <w:r>
        <w:rPr>
          <w:position w:val="-32"/>
        </w:rPr>
        <w:object w:dxaOrig="7660" w:dyaOrig="760">
          <v:shape id="_x0000_i1032" type="#_x0000_t75" style="width:383.4pt;height:38.35pt" o:ole="">
            <v:imagedata r:id="rId27" o:title=""/>
          </v:shape>
          <o:OLEObject Type="Embed" ProgID="Equation.3" ShapeID="_x0000_i1032" DrawAspect="Content" ObjectID="_1478090436" r:id="rId28"/>
        </w:object>
      </w:r>
    </w:p>
    <w:p w:rsidR="007A0B61" w:rsidRDefault="00FE432E">
      <w:pPr>
        <w:pStyle w:val="Equation"/>
        <w:jc w:val="center"/>
      </w:pPr>
      <w:r>
        <w:rPr>
          <w:position w:val="-58"/>
        </w:rPr>
        <w:object w:dxaOrig="6020" w:dyaOrig="960">
          <v:shape id="_x0000_i1033" type="#_x0000_t75" style="width:300.6pt;height:48.15pt" o:ole="">
            <v:imagedata r:id="rId29" o:title=""/>
          </v:shape>
          <o:OLEObject Type="Embed" ProgID="Equation.3" ShapeID="_x0000_i1033" DrawAspect="Content" ObjectID="_1478090437" r:id="rId30"/>
        </w:object>
      </w:r>
    </w:p>
    <w:p w:rsidR="007A0B61" w:rsidRDefault="00FE432E">
      <w:pPr>
        <w:rPr>
          <w:lang w:val="en-GB"/>
        </w:rPr>
      </w:pPr>
      <w:r>
        <w:rPr>
          <w:lang w:val="en-GB"/>
        </w:rPr>
        <w:t>The previous values correspond to an AR of 99.873% (unavailability of 667 min/year), number of events per year of OI </w:t>
      </w:r>
      <w:r>
        <w:rPr>
          <w:rFonts w:ascii="Symbol" w:hAnsi="Symbol"/>
        </w:rPr>
        <w:t></w:t>
      </w:r>
      <w:r>
        <w:rPr>
          <w:lang w:val="en-GB"/>
        </w:rPr>
        <w:t> 97 and the mean time between unavailability events Mo </w:t>
      </w:r>
      <w:r>
        <w:rPr>
          <w:rFonts w:ascii="Symbol" w:hAnsi="Symbol"/>
        </w:rPr>
        <w:t></w:t>
      </w:r>
      <w:r>
        <w:rPr>
          <w:lang w:val="en-GB"/>
        </w:rPr>
        <w:t> 5</w:t>
      </w:r>
      <w:r>
        <w:rPr>
          <w:rFonts w:ascii="Tms Rmn" w:hAnsi="Tms Rmn"/>
          <w:sz w:val="12"/>
          <w:lang w:val="en-GB"/>
        </w:rPr>
        <w:t> </w:t>
      </w:r>
      <w:r>
        <w:rPr>
          <w:lang w:val="en-GB"/>
        </w:rPr>
        <w:t>402 min or 3.7 days.</w:t>
      </w:r>
    </w:p>
    <w:p w:rsidR="007A0B61" w:rsidRDefault="00FE432E">
      <w:pPr>
        <w:pStyle w:val="Heading2"/>
        <w:rPr>
          <w:lang w:val="en-GB"/>
        </w:rPr>
      </w:pPr>
      <w:r>
        <w:rPr>
          <w:lang w:val="en-GB"/>
        </w:rPr>
        <w:br w:type="page"/>
      </w:r>
      <w:r>
        <w:rPr>
          <w:lang w:val="en-GB"/>
        </w:rPr>
        <w:lastRenderedPageBreak/>
        <w:t>3.2</w:t>
      </w:r>
      <w:r>
        <w:rPr>
          <w:lang w:val="en-GB"/>
        </w:rPr>
        <w:tab/>
        <w:t>National portion</w:t>
      </w:r>
    </w:p>
    <w:p w:rsidR="007A0B61" w:rsidRDefault="00FE432E">
      <w:pPr>
        <w:pStyle w:val="Headingb"/>
        <w:rPr>
          <w:lang w:val="en-GB"/>
        </w:rPr>
      </w:pPr>
      <w:r>
        <w:rPr>
          <w:lang w:val="en-GB"/>
        </w:rPr>
        <w:t>Case 1: length 30 km in access portion</w:t>
      </w:r>
    </w:p>
    <w:p w:rsidR="007A0B61" w:rsidRDefault="00FE432E">
      <w:pPr>
        <w:rPr>
          <w:lang w:val="en-GB"/>
        </w:rPr>
      </w:pPr>
      <w:r>
        <w:rPr>
          <w:lang w:val="en-GB"/>
        </w:rPr>
        <w:t xml:space="preserve">The length is shorter than </w:t>
      </w:r>
      <w:r>
        <w:rPr>
          <w:i/>
          <w:iCs/>
          <w:lang w:val="en-GB"/>
        </w:rPr>
        <w:t>L</w:t>
      </w:r>
      <w:r>
        <w:rPr>
          <w:i/>
          <w:iCs/>
          <w:vertAlign w:val="subscript"/>
          <w:lang w:val="en-GB"/>
        </w:rPr>
        <w:t>min</w:t>
      </w:r>
      <w:r>
        <w:rPr>
          <w:lang w:val="en-GB"/>
        </w:rPr>
        <w:t> </w:t>
      </w:r>
      <w:r>
        <w:rPr>
          <w:rFonts w:ascii="Symbol" w:hAnsi="Symbol"/>
        </w:rPr>
        <w:t></w:t>
      </w:r>
      <w:r>
        <w:rPr>
          <w:lang w:val="en-GB"/>
        </w:rPr>
        <w:t xml:space="preserve"> 50 km, so the value of </w:t>
      </w:r>
      <w:r>
        <w:rPr>
          <w:i/>
          <w:iCs/>
          <w:lang w:val="en-GB"/>
        </w:rPr>
        <w:t>L</w:t>
      </w:r>
      <w:r>
        <w:rPr>
          <w:i/>
          <w:iCs/>
          <w:vertAlign w:val="subscript"/>
          <w:lang w:val="en-GB"/>
        </w:rPr>
        <w:t>link</w:t>
      </w:r>
      <w:r>
        <w:rPr>
          <w:lang w:val="en-GB"/>
        </w:rPr>
        <w:t> </w:t>
      </w:r>
      <w:r>
        <w:rPr>
          <w:rFonts w:ascii="Symbol" w:hAnsi="Symbol"/>
        </w:rPr>
        <w:t></w:t>
      </w:r>
      <w:r>
        <w:rPr>
          <w:lang w:val="en-GB"/>
        </w:rPr>
        <w:t> 50 km has been used.</w:t>
      </w:r>
    </w:p>
    <w:p w:rsidR="007A0B61" w:rsidRDefault="00FE432E">
      <w:pPr>
        <w:pStyle w:val="Equation"/>
        <w:spacing w:before="240"/>
      </w:pPr>
      <w:r>
        <w:rPr>
          <w:lang w:val="en-GB"/>
        </w:rPr>
        <w:tab/>
      </w:r>
      <w:r>
        <w:rPr>
          <w:lang w:val="en-GB"/>
        </w:rPr>
        <w:tab/>
      </w:r>
      <w:r>
        <w:rPr>
          <w:position w:val="-32"/>
          <w:sz w:val="20"/>
        </w:rPr>
        <w:object w:dxaOrig="6720" w:dyaOrig="760">
          <v:shape id="_x0000_i1034" type="#_x0000_t75" style="width:336.15pt;height:38.35pt" o:ole="">
            <v:imagedata r:id="rId31" o:title=""/>
          </v:shape>
          <o:OLEObject Type="Embed" ProgID="Equation.3" ShapeID="_x0000_i1034" DrawAspect="Content" ObjectID="_1478090438" r:id="rId32"/>
        </w:object>
      </w:r>
    </w:p>
    <w:p w:rsidR="007A0B61" w:rsidRDefault="00FE432E">
      <w:pPr>
        <w:pStyle w:val="Equation"/>
        <w:spacing w:before="240"/>
      </w:pPr>
      <w:r>
        <w:tab/>
      </w:r>
      <w:r>
        <w:tab/>
      </w:r>
      <w:r>
        <w:rPr>
          <w:position w:val="-58"/>
        </w:rPr>
        <w:object w:dxaOrig="5380" w:dyaOrig="960">
          <v:shape id="_x0000_i1035" type="#_x0000_t75" style="width:269.75pt;height:48.15pt" o:ole="">
            <v:imagedata r:id="rId33" o:title=""/>
          </v:shape>
          <o:OLEObject Type="Embed" ProgID="Equation.3" ShapeID="_x0000_i1035" DrawAspect="Content" ObjectID="_1478090439" r:id="rId34"/>
        </w:object>
      </w:r>
    </w:p>
    <w:p w:rsidR="007A0B61" w:rsidRDefault="00FE432E">
      <w:pPr>
        <w:spacing w:before="240"/>
        <w:rPr>
          <w:lang w:val="en-GB"/>
        </w:rPr>
      </w:pPr>
      <w:r>
        <w:rPr>
          <w:lang w:val="en-GB"/>
        </w:rPr>
        <w:t>These values correspond to an AR of 99.95% (unavailability of 263 min/year), number of events per year of OI </w:t>
      </w:r>
      <w:r>
        <w:rPr>
          <w:rFonts w:ascii="Symbol" w:hAnsi="Symbol"/>
        </w:rPr>
        <w:t></w:t>
      </w:r>
      <w:r>
        <w:rPr>
          <w:lang w:val="en-GB"/>
        </w:rPr>
        <w:t> 100 and the mean time between unavailability events Mo </w:t>
      </w:r>
      <w:r>
        <w:rPr>
          <w:rFonts w:ascii="Symbol" w:hAnsi="Symbol"/>
        </w:rPr>
        <w:t></w:t>
      </w:r>
      <w:r>
        <w:rPr>
          <w:lang w:val="en-GB"/>
        </w:rPr>
        <w:t> 5</w:t>
      </w:r>
      <w:r>
        <w:rPr>
          <w:rFonts w:ascii="Tms Rmn" w:hAnsi="Tms Rmn"/>
          <w:sz w:val="12"/>
          <w:lang w:val="en-GB"/>
        </w:rPr>
        <w:t> </w:t>
      </w:r>
      <w:r>
        <w:rPr>
          <w:lang w:val="en-GB"/>
        </w:rPr>
        <w:t>257 min.</w:t>
      </w:r>
    </w:p>
    <w:p w:rsidR="007A0B61" w:rsidRDefault="00FE432E">
      <w:pPr>
        <w:pStyle w:val="Headingb"/>
        <w:rPr>
          <w:lang w:val="en-GB"/>
        </w:rPr>
      </w:pPr>
      <w:r>
        <w:rPr>
          <w:lang w:val="en-GB"/>
        </w:rPr>
        <w:t>Case 2: length 105 km in short-haul portion</w:t>
      </w:r>
    </w:p>
    <w:p w:rsidR="007A0B61" w:rsidRDefault="00FE432E">
      <w:pPr>
        <w:rPr>
          <w:lang w:val="en-GB"/>
        </w:rPr>
      </w:pPr>
      <w:r>
        <w:rPr>
          <w:lang w:val="en-GB"/>
        </w:rPr>
        <w:t>The length is in the range 50-250 km, so:</w:t>
      </w:r>
    </w:p>
    <w:p w:rsidR="007A0B61" w:rsidRDefault="00FE432E">
      <w:pPr>
        <w:pStyle w:val="Equation"/>
        <w:spacing w:before="240"/>
      </w:pPr>
      <w:r>
        <w:rPr>
          <w:lang w:val="en-GB"/>
        </w:rPr>
        <w:tab/>
      </w:r>
      <w:r>
        <w:rPr>
          <w:lang w:val="en-GB"/>
        </w:rPr>
        <w:tab/>
      </w:r>
      <w:r>
        <w:rPr>
          <w:position w:val="-32"/>
          <w:sz w:val="20"/>
        </w:rPr>
        <w:object w:dxaOrig="6740" w:dyaOrig="760">
          <v:shape id="_x0000_i1036" type="#_x0000_t75" style="width:336.6pt;height:38.35pt" o:ole="">
            <v:imagedata r:id="rId35" o:title=""/>
          </v:shape>
          <o:OLEObject Type="Embed" ProgID="Equation.3" ShapeID="_x0000_i1036" DrawAspect="Content" ObjectID="_1478090440" r:id="rId36"/>
        </w:object>
      </w:r>
    </w:p>
    <w:p w:rsidR="007A0B61" w:rsidRDefault="00FE432E">
      <w:pPr>
        <w:pStyle w:val="Equation"/>
        <w:spacing w:before="240"/>
      </w:pPr>
      <w:r>
        <w:tab/>
      </w:r>
      <w:r>
        <w:tab/>
      </w:r>
      <w:r>
        <w:rPr>
          <w:position w:val="-58"/>
        </w:rPr>
        <w:object w:dxaOrig="5700" w:dyaOrig="960">
          <v:shape id="_x0000_i1037" type="#_x0000_t75" style="width:285.2pt;height:48.15pt" o:ole="">
            <v:imagedata r:id="rId37" o:title=""/>
          </v:shape>
          <o:OLEObject Type="Embed" ProgID="Equation.3" ShapeID="_x0000_i1037" DrawAspect="Content" ObjectID="_1478090441" r:id="rId38"/>
        </w:object>
      </w:r>
    </w:p>
    <w:p w:rsidR="007A0B61" w:rsidRDefault="00FE432E">
      <w:pPr>
        <w:spacing w:before="240"/>
        <w:rPr>
          <w:lang w:val="en-GB"/>
        </w:rPr>
      </w:pPr>
      <w:r>
        <w:rPr>
          <w:lang w:val="en-GB"/>
        </w:rPr>
        <w:t>These values correspond to an AR of 99.96% (unavailability of 210 min/year), number of events per year of OI </w:t>
      </w:r>
      <w:r>
        <w:rPr>
          <w:rFonts w:ascii="Symbol" w:hAnsi="Symbol"/>
        </w:rPr>
        <w:t></w:t>
      </w:r>
      <w:r>
        <w:rPr>
          <w:lang w:val="en-GB"/>
        </w:rPr>
        <w:t> 120 and the mean time between unavailability events Mo </w:t>
      </w:r>
      <w:r>
        <w:rPr>
          <w:rFonts w:ascii="Symbol" w:hAnsi="Symbol"/>
        </w:rPr>
        <w:t></w:t>
      </w:r>
      <w:r>
        <w:rPr>
          <w:lang w:val="en-GB"/>
        </w:rPr>
        <w:t> 4</w:t>
      </w:r>
      <w:r>
        <w:rPr>
          <w:rFonts w:ascii="Tms Rmn" w:hAnsi="Tms Rmn"/>
          <w:sz w:val="12"/>
          <w:lang w:val="en-GB"/>
        </w:rPr>
        <w:t> </w:t>
      </w:r>
      <w:r>
        <w:rPr>
          <w:lang w:val="en-GB"/>
        </w:rPr>
        <w:t>381 min.</w:t>
      </w:r>
    </w:p>
    <w:p w:rsidR="007A0B61" w:rsidRDefault="00FE432E">
      <w:pPr>
        <w:pStyle w:val="Headingb"/>
        <w:rPr>
          <w:lang w:val="en-GB"/>
        </w:rPr>
      </w:pPr>
      <w:r>
        <w:rPr>
          <w:lang w:val="en-GB"/>
        </w:rPr>
        <w:t>Case 3: length 960 km in long-haul portion</w:t>
      </w:r>
    </w:p>
    <w:p w:rsidR="007A0B61" w:rsidRDefault="00FE432E">
      <w:pPr>
        <w:rPr>
          <w:lang w:val="en-GB"/>
        </w:rPr>
      </w:pPr>
      <w:r>
        <w:rPr>
          <w:lang w:val="en-GB"/>
        </w:rPr>
        <w:t>The length is in the range 250-2</w:t>
      </w:r>
      <w:r>
        <w:rPr>
          <w:rFonts w:ascii="Tms Rmn" w:hAnsi="Tms Rmn"/>
          <w:sz w:val="12"/>
          <w:lang w:val="en-GB"/>
        </w:rPr>
        <w:t> </w:t>
      </w:r>
      <w:r>
        <w:rPr>
          <w:lang w:val="en-GB"/>
        </w:rPr>
        <w:t>500 km, so:</w:t>
      </w:r>
    </w:p>
    <w:p w:rsidR="007A0B61" w:rsidRDefault="00FE432E">
      <w:pPr>
        <w:pStyle w:val="Equation"/>
        <w:spacing w:before="240"/>
      </w:pPr>
      <w:r>
        <w:rPr>
          <w:lang w:val="en-GB"/>
        </w:rPr>
        <w:tab/>
      </w:r>
      <w:r>
        <w:rPr>
          <w:lang w:val="en-GB"/>
        </w:rPr>
        <w:tab/>
      </w:r>
      <w:r>
        <w:rPr>
          <w:position w:val="-32"/>
          <w:sz w:val="20"/>
        </w:rPr>
        <w:object w:dxaOrig="7020" w:dyaOrig="760">
          <v:shape id="_x0000_i1038" type="#_x0000_t75" style="width:351.1pt;height:38.35pt" o:ole="">
            <v:imagedata r:id="rId39" o:title=""/>
          </v:shape>
          <o:OLEObject Type="Embed" ProgID="Equation.3" ShapeID="_x0000_i1038" DrawAspect="Content" ObjectID="_1478090442" r:id="rId40"/>
        </w:object>
      </w:r>
    </w:p>
    <w:p w:rsidR="007A0B61" w:rsidRDefault="00FE432E">
      <w:pPr>
        <w:pStyle w:val="Equation"/>
        <w:spacing w:before="240"/>
      </w:pPr>
      <w:r>
        <w:tab/>
      </w:r>
      <w:r>
        <w:tab/>
      </w:r>
      <w:r>
        <w:rPr>
          <w:position w:val="-58"/>
        </w:rPr>
        <w:object w:dxaOrig="5920" w:dyaOrig="960">
          <v:shape id="_x0000_i1039" type="#_x0000_t75" style="width:296.4pt;height:48.15pt" o:ole="">
            <v:imagedata r:id="rId41" o:title=""/>
          </v:shape>
          <o:OLEObject Type="Embed" ProgID="Equation.3" ShapeID="_x0000_i1039" DrawAspect="Content" ObjectID="_1478090443" r:id="rId42"/>
        </w:object>
      </w:r>
    </w:p>
    <w:p w:rsidR="007A0B61" w:rsidRDefault="00FE432E">
      <w:pPr>
        <w:spacing w:before="80"/>
        <w:rPr>
          <w:lang w:val="en-GB"/>
        </w:rPr>
      </w:pPr>
      <w:r>
        <w:rPr>
          <w:lang w:val="en-GB"/>
        </w:rPr>
        <w:t>These values correspond to an AR of 99.88% (unavailability of 606 min/year), number of events per year of OI </w:t>
      </w:r>
      <w:r>
        <w:rPr>
          <w:rFonts w:ascii="Symbol" w:hAnsi="Symbol"/>
        </w:rPr>
        <w:t></w:t>
      </w:r>
      <w:r>
        <w:rPr>
          <w:lang w:val="en-GB"/>
        </w:rPr>
        <w:t> 93 and the mean time between unavailability events Mo </w:t>
      </w:r>
      <w:r>
        <w:rPr>
          <w:rFonts w:ascii="Symbol" w:hAnsi="Symbol"/>
        </w:rPr>
        <w:t></w:t>
      </w:r>
      <w:r>
        <w:rPr>
          <w:lang w:val="en-GB"/>
        </w:rPr>
        <w:t> 5</w:t>
      </w:r>
      <w:r>
        <w:rPr>
          <w:rFonts w:ascii="Tms Rmn" w:hAnsi="Tms Rmn"/>
          <w:sz w:val="12"/>
          <w:lang w:val="en-GB"/>
        </w:rPr>
        <w:t> </w:t>
      </w:r>
      <w:r>
        <w:rPr>
          <w:lang w:val="en-GB"/>
        </w:rPr>
        <w:t>627 min.</w:t>
      </w:r>
    </w:p>
    <w:p w:rsidR="007A0B61" w:rsidRDefault="00FE432E">
      <w:pPr>
        <w:pStyle w:val="Headingb"/>
        <w:rPr>
          <w:lang w:val="en-GB"/>
        </w:rPr>
      </w:pPr>
      <w:r>
        <w:rPr>
          <w:lang w:val="en-GB"/>
        </w:rPr>
        <w:br w:type="page"/>
      </w:r>
      <w:r>
        <w:rPr>
          <w:lang w:val="en-GB"/>
        </w:rPr>
        <w:lastRenderedPageBreak/>
        <w:t>Case 4: overall objectives for a link of 1</w:t>
      </w:r>
      <w:r>
        <w:rPr>
          <w:rFonts w:ascii="Tms Rmn" w:hAnsi="Tms Rmn"/>
          <w:sz w:val="12"/>
          <w:lang w:val="en-GB"/>
        </w:rPr>
        <w:t> </w:t>
      </w:r>
      <w:r>
        <w:rPr>
          <w:lang w:val="en-GB"/>
        </w:rPr>
        <w:t>095 km length composed by 30 km in access portion, 105 km in short-haul portion and 960 km in long-haul portion</w:t>
      </w:r>
    </w:p>
    <w:p w:rsidR="007A0B61" w:rsidRDefault="00FE432E">
      <w:pPr>
        <w:rPr>
          <w:lang w:val="en-GB"/>
        </w:rPr>
      </w:pPr>
      <w:r>
        <w:rPr>
          <w:lang w:val="en-GB"/>
        </w:rPr>
        <w:t>The AR objectives of this link are given by the sum of the unavailability objectives referred to the portion of the link belonging to each network portion:</w:t>
      </w:r>
    </w:p>
    <w:p w:rsidR="007A0B61" w:rsidRDefault="00822620">
      <w:pPr>
        <w:rPr>
          <w:lang w:val="en-GB"/>
        </w:rPr>
      </w:pPr>
      <w:r>
        <w:rPr>
          <w:position w:val="-12"/>
        </w:rPr>
        <w:object w:dxaOrig="9560" w:dyaOrig="380">
          <v:shape id="_x0000_i1040" type="#_x0000_t75" style="width:476.9pt;height:19.15pt" o:ole="">
            <v:imagedata r:id="rId43" o:title=""/>
          </v:shape>
          <o:OLEObject Type="Embed" ProgID="Equation.3" ShapeID="_x0000_i1040" DrawAspect="Content" ObjectID="_1478090444" r:id="rId44"/>
        </w:object>
      </w:r>
      <w:r w:rsidR="00FE432E">
        <w:rPr>
          <w:lang w:val="en-GB"/>
        </w:rPr>
        <w:t>where:</w:t>
      </w:r>
    </w:p>
    <w:p w:rsidR="007A0B61" w:rsidRDefault="00FE432E">
      <w:pPr>
        <w:pStyle w:val="Equationlegend"/>
      </w:pPr>
      <w:r>
        <w:tab/>
      </w:r>
      <w:r>
        <w:rPr>
          <w:i/>
          <w:iCs/>
        </w:rPr>
        <w:t>UR</w:t>
      </w:r>
      <w:r>
        <w:rPr>
          <w:rFonts w:ascii="Tms Rmn" w:hAnsi="Tms Rmn"/>
          <w:sz w:val="12"/>
        </w:rPr>
        <w:t> </w:t>
      </w:r>
      <w:r>
        <w:t>:</w:t>
      </w:r>
      <w:r>
        <w:tab/>
        <w:t>total unavailability ratio</w:t>
      </w:r>
    </w:p>
    <w:p w:rsidR="007A0B61" w:rsidRDefault="00FE432E">
      <w:pPr>
        <w:pStyle w:val="Equationlegend"/>
      </w:pPr>
      <w:r>
        <w:tab/>
      </w:r>
      <w:r>
        <w:rPr>
          <w:i/>
          <w:iCs/>
        </w:rPr>
        <w:t>UR</w:t>
      </w:r>
      <w:r>
        <w:rPr>
          <w:i/>
          <w:iCs/>
          <w:vertAlign w:val="subscript"/>
        </w:rPr>
        <w:t>AN</w:t>
      </w:r>
      <w:r>
        <w:rPr>
          <w:rFonts w:ascii="Tms Rmn" w:hAnsi="Tms Rmn"/>
          <w:sz w:val="12"/>
        </w:rPr>
        <w:t> </w:t>
      </w:r>
      <w:r>
        <w:t>:</w:t>
      </w:r>
      <w:r>
        <w:tab/>
        <w:t>unavailability ratio objective of the access portion</w:t>
      </w:r>
    </w:p>
    <w:p w:rsidR="007A0B61" w:rsidRDefault="00FE432E">
      <w:pPr>
        <w:pStyle w:val="Equationlegend"/>
      </w:pPr>
      <w:r>
        <w:tab/>
      </w:r>
      <w:r>
        <w:rPr>
          <w:i/>
          <w:iCs/>
        </w:rPr>
        <w:t>UR</w:t>
      </w:r>
      <w:r>
        <w:rPr>
          <w:i/>
          <w:iCs/>
          <w:vertAlign w:val="subscript"/>
        </w:rPr>
        <w:t>SH</w:t>
      </w:r>
      <w:r>
        <w:rPr>
          <w:rFonts w:ascii="Tms Rmn" w:hAnsi="Tms Rmn"/>
          <w:sz w:val="12"/>
        </w:rPr>
        <w:t> </w:t>
      </w:r>
      <w:r>
        <w:t>:</w:t>
      </w:r>
      <w:r>
        <w:tab/>
        <w:t>unavailability ratio objective for short-haul portion</w:t>
      </w:r>
    </w:p>
    <w:p w:rsidR="007A0B61" w:rsidRDefault="00FE432E">
      <w:pPr>
        <w:pStyle w:val="Equationlegend"/>
      </w:pPr>
      <w:r>
        <w:tab/>
      </w:r>
      <w:r>
        <w:rPr>
          <w:i/>
          <w:iCs/>
        </w:rPr>
        <w:t>UR</w:t>
      </w:r>
      <w:r>
        <w:rPr>
          <w:i/>
          <w:iCs/>
          <w:vertAlign w:val="subscript"/>
        </w:rPr>
        <w:t>LH</w:t>
      </w:r>
      <w:r>
        <w:rPr>
          <w:rFonts w:ascii="Tms Rmn" w:hAnsi="Tms Rmn"/>
          <w:sz w:val="12"/>
        </w:rPr>
        <w:t> </w:t>
      </w:r>
      <w:r>
        <w:t>:</w:t>
      </w:r>
      <w:r>
        <w:tab/>
        <w:t>unavailability ratio objective for long-haul portion (see above reported examples).</w:t>
      </w:r>
    </w:p>
    <w:p w:rsidR="007A0B61" w:rsidRDefault="00FE432E">
      <w:pPr>
        <w:rPr>
          <w:lang w:val="en-GB"/>
        </w:rPr>
      </w:pPr>
      <w:r>
        <w:rPr>
          <w:lang w:val="en-GB"/>
        </w:rPr>
        <w:t>The Mo objective is given by the reciprocal of the sum of OI objectives referred to the part of link belonging to each network portion:</w:t>
      </w:r>
    </w:p>
    <w:p w:rsidR="007A0B61" w:rsidRDefault="00FE432E">
      <w:pPr>
        <w:pStyle w:val="Equation"/>
      </w:pPr>
      <w:r>
        <w:rPr>
          <w:lang w:val="en-GB"/>
        </w:rPr>
        <w:tab/>
      </w:r>
      <w:r>
        <w:rPr>
          <w:lang w:val="en-GB"/>
        </w:rPr>
        <w:tab/>
      </w:r>
      <w:r>
        <w:rPr>
          <w:position w:val="-30"/>
          <w:sz w:val="20"/>
        </w:rPr>
        <w:object w:dxaOrig="6900" w:dyaOrig="680">
          <v:shape id="_x0000_i1041" type="#_x0000_t75" style="width:345.05pt;height:34.15pt" o:ole="">
            <v:imagedata r:id="rId45" o:title=""/>
          </v:shape>
          <o:OLEObject Type="Embed" ProgID="Equation.3" ShapeID="_x0000_i1041" DrawAspect="Content" ObjectID="_1478090445" r:id="rId46"/>
        </w:object>
      </w:r>
    </w:p>
    <w:p w:rsidR="007A0B61" w:rsidRDefault="00FE432E">
      <w:pPr>
        <w:rPr>
          <w:lang w:val="en-GB"/>
        </w:rPr>
      </w:pPr>
      <w:r>
        <w:rPr>
          <w:lang w:val="en-GB"/>
        </w:rPr>
        <w:t>where:</w:t>
      </w:r>
    </w:p>
    <w:p w:rsidR="007A0B61" w:rsidRDefault="00FE432E">
      <w:pPr>
        <w:pStyle w:val="Equationlegend"/>
      </w:pPr>
      <w:r>
        <w:rPr>
          <w:i/>
          <w:iCs/>
        </w:rPr>
        <w:tab/>
        <w:t>Mo</w:t>
      </w:r>
      <w:r>
        <w:rPr>
          <w:rFonts w:ascii="Tms Rmn" w:hAnsi="Tms Rmn"/>
          <w:sz w:val="12"/>
        </w:rPr>
        <w:t> </w:t>
      </w:r>
      <w:r>
        <w:t>:</w:t>
      </w:r>
      <w:r>
        <w:tab/>
        <w:t>total mean time between outage</w:t>
      </w:r>
    </w:p>
    <w:p w:rsidR="007A0B61" w:rsidRDefault="00FE432E">
      <w:pPr>
        <w:pStyle w:val="Equationlegend"/>
      </w:pPr>
      <w:r>
        <w:rPr>
          <w:i/>
          <w:iCs/>
        </w:rPr>
        <w:tab/>
        <w:t>OI</w:t>
      </w:r>
      <w:r>
        <w:rPr>
          <w:i/>
          <w:iCs/>
          <w:vertAlign w:val="subscript"/>
        </w:rPr>
        <w:t>AN</w:t>
      </w:r>
      <w:r>
        <w:rPr>
          <w:rFonts w:ascii="Tms Rmn" w:hAnsi="Tms Rmn"/>
          <w:sz w:val="12"/>
        </w:rPr>
        <w:t> </w:t>
      </w:r>
      <w:r>
        <w:t>:</w:t>
      </w:r>
      <w:r>
        <w:tab/>
        <w:t>outage intensity objective of the access portion</w:t>
      </w:r>
    </w:p>
    <w:p w:rsidR="007A0B61" w:rsidRDefault="00FE432E">
      <w:pPr>
        <w:pStyle w:val="Equationlegend"/>
      </w:pPr>
      <w:r>
        <w:rPr>
          <w:i/>
          <w:iCs/>
        </w:rPr>
        <w:tab/>
        <w:t>OI</w:t>
      </w:r>
      <w:r>
        <w:rPr>
          <w:i/>
          <w:iCs/>
          <w:vertAlign w:val="subscript"/>
        </w:rPr>
        <w:t>SH</w:t>
      </w:r>
      <w:r>
        <w:rPr>
          <w:rFonts w:ascii="Tms Rmn" w:hAnsi="Tms Rmn"/>
          <w:sz w:val="12"/>
        </w:rPr>
        <w:t> </w:t>
      </w:r>
      <w:r>
        <w:t>:</w:t>
      </w:r>
      <w:r>
        <w:tab/>
        <w:t>outage intensity objective for short-haul portion</w:t>
      </w:r>
    </w:p>
    <w:p w:rsidR="007A0B61" w:rsidRDefault="00FE432E">
      <w:pPr>
        <w:pStyle w:val="Equationlegend"/>
      </w:pPr>
      <w:r>
        <w:rPr>
          <w:i/>
          <w:iCs/>
        </w:rPr>
        <w:tab/>
        <w:t>OI</w:t>
      </w:r>
      <w:r>
        <w:rPr>
          <w:i/>
          <w:iCs/>
          <w:vertAlign w:val="subscript"/>
        </w:rPr>
        <w:t>LH</w:t>
      </w:r>
      <w:r>
        <w:rPr>
          <w:rFonts w:ascii="Tms Rmn" w:hAnsi="Tms Rmn"/>
          <w:sz w:val="12"/>
        </w:rPr>
        <w:t> </w:t>
      </w:r>
      <w:r>
        <w:t>:</w:t>
      </w:r>
      <w:r>
        <w:tab/>
        <w:t>outage intensity objective for long-haul portion (see above reported examples).</w:t>
      </w:r>
    </w:p>
    <w:p w:rsidR="007A0B61" w:rsidRDefault="00FE432E">
      <w:pPr>
        <w:spacing w:before="240"/>
        <w:rPr>
          <w:lang w:val="en-GB"/>
        </w:rPr>
      </w:pPr>
      <w:r>
        <w:rPr>
          <w:lang w:val="en-GB"/>
        </w:rPr>
        <w:t>These values correspond to an AR of 99.</w:t>
      </w:r>
      <w:r w:rsidR="00822620">
        <w:rPr>
          <w:lang w:val="en-GB"/>
        </w:rPr>
        <w:t>7</w:t>
      </w:r>
      <w:r>
        <w:rPr>
          <w:lang w:val="en-GB"/>
        </w:rPr>
        <w:t xml:space="preserve">9% (unavailability of </w:t>
      </w:r>
      <w:r w:rsidR="00822620">
        <w:rPr>
          <w:lang w:val="en-GB"/>
        </w:rPr>
        <w:t>1 114 </w:t>
      </w:r>
      <w:r>
        <w:rPr>
          <w:lang w:val="en-GB"/>
        </w:rPr>
        <w:t>min/year), number of events per year OI </w:t>
      </w:r>
      <w:r>
        <w:rPr>
          <w:rFonts w:ascii="Symbol" w:hAnsi="Symbol"/>
        </w:rPr>
        <w:t></w:t>
      </w:r>
      <w:r>
        <w:rPr>
          <w:lang w:val="en-GB"/>
        </w:rPr>
        <w:t> 313 and the mean time between unavailability events Mo </w:t>
      </w:r>
      <w:r>
        <w:rPr>
          <w:rFonts w:ascii="Symbol" w:hAnsi="Symbol"/>
        </w:rPr>
        <w:t></w:t>
      </w:r>
      <w:r>
        <w:rPr>
          <w:lang w:val="en-GB"/>
        </w:rPr>
        <w:t> 1</w:t>
      </w:r>
      <w:r>
        <w:rPr>
          <w:rFonts w:ascii="Tms Rmn" w:hAnsi="Tms Rmn"/>
          <w:sz w:val="12"/>
          <w:lang w:val="en-GB"/>
        </w:rPr>
        <w:t> </w:t>
      </w:r>
      <w:r>
        <w:rPr>
          <w:lang w:val="en-GB"/>
        </w:rPr>
        <w:t>674 min.</w:t>
      </w:r>
    </w:p>
    <w:p w:rsidR="007A0B61" w:rsidRDefault="00FE432E">
      <w:pPr>
        <w:rPr>
          <w:lang w:val="en-GB"/>
        </w:rPr>
      </w:pPr>
      <w:r>
        <w:rPr>
          <w:lang w:val="en-GB"/>
        </w:rPr>
        <w:t>According to ITU</w:t>
      </w:r>
      <w:r>
        <w:rPr>
          <w:lang w:val="en-GB"/>
        </w:rPr>
        <w:noBreakHyphen/>
        <w:t>T Recommendation G.827 the objectives for a 1</w:t>
      </w:r>
      <w:r>
        <w:rPr>
          <w:rFonts w:ascii="Tms Rmn" w:hAnsi="Tms Rmn"/>
          <w:sz w:val="12"/>
          <w:lang w:val="en-GB"/>
        </w:rPr>
        <w:t> </w:t>
      </w:r>
      <w:r>
        <w:rPr>
          <w:lang w:val="en-GB"/>
        </w:rPr>
        <w:t>095 km NPE are:</w:t>
      </w:r>
    </w:p>
    <w:p w:rsidR="007A0B61" w:rsidRDefault="00FE432E">
      <w:pPr>
        <w:pStyle w:val="enumlev1"/>
        <w:rPr>
          <w:color w:val="000000"/>
          <w:lang w:val="en-GB"/>
        </w:rPr>
      </w:pPr>
      <w:r>
        <w:rPr>
          <w:lang w:val="en-GB"/>
        </w:rPr>
        <w:t>–</w:t>
      </w:r>
      <w:r>
        <w:rPr>
          <w:lang w:val="en-GB"/>
        </w:rPr>
        <w:tab/>
        <w:t>AR standard </w:t>
      </w:r>
      <w:r>
        <w:rPr>
          <w:rFonts w:ascii="Symbol" w:hAnsi="Symbol"/>
        </w:rPr>
        <w:t></w:t>
      </w:r>
      <w:r>
        <w:rPr>
          <w:lang w:val="en-GB"/>
        </w:rPr>
        <w:t> 0.</w:t>
      </w:r>
      <w:r>
        <w:rPr>
          <w:color w:val="000000"/>
          <w:lang w:val="en-GB"/>
        </w:rPr>
        <w:t>9945</w:t>
      </w:r>
    </w:p>
    <w:p w:rsidR="007A0B61" w:rsidRDefault="00FE432E">
      <w:pPr>
        <w:pStyle w:val="enumlev1"/>
        <w:rPr>
          <w:color w:val="000000"/>
          <w:lang w:val="en-GB"/>
        </w:rPr>
      </w:pPr>
      <w:r>
        <w:rPr>
          <w:lang w:val="en-GB"/>
        </w:rPr>
        <w:t>–</w:t>
      </w:r>
      <w:r>
        <w:rPr>
          <w:lang w:val="en-GB"/>
        </w:rPr>
        <w:tab/>
      </w:r>
      <w:r>
        <w:rPr>
          <w:color w:val="000000"/>
          <w:lang w:val="en-GB"/>
        </w:rPr>
        <w:t>AR high </w:t>
      </w:r>
      <w:r>
        <w:rPr>
          <w:rFonts w:ascii="Symbol" w:hAnsi="Symbol"/>
          <w:color w:val="000000"/>
        </w:rPr>
        <w:t></w:t>
      </w:r>
      <w:r>
        <w:rPr>
          <w:color w:val="000000"/>
          <w:lang w:val="en-GB"/>
        </w:rPr>
        <w:t> 0.99912</w:t>
      </w:r>
    </w:p>
    <w:p w:rsidR="007A0B61" w:rsidRDefault="00FE432E">
      <w:pPr>
        <w:pStyle w:val="enumlev1"/>
        <w:rPr>
          <w:color w:val="000000"/>
          <w:lang w:val="en-GB"/>
        </w:rPr>
      </w:pPr>
      <w:r>
        <w:rPr>
          <w:lang w:val="en-GB"/>
        </w:rPr>
        <w:t>–</w:t>
      </w:r>
      <w:r>
        <w:rPr>
          <w:lang w:val="en-GB"/>
        </w:rPr>
        <w:tab/>
      </w:r>
      <w:r>
        <w:rPr>
          <w:color w:val="000000"/>
          <w:lang w:val="en-GB"/>
        </w:rPr>
        <w:t xml:space="preserve">OI </w:t>
      </w:r>
      <w:r>
        <w:rPr>
          <w:lang w:val="en-GB"/>
        </w:rPr>
        <w:t>standard</w:t>
      </w:r>
      <w:r>
        <w:rPr>
          <w:color w:val="000000"/>
          <w:lang w:val="en-GB"/>
        </w:rPr>
        <w:t> </w:t>
      </w:r>
      <w:r>
        <w:rPr>
          <w:rFonts w:ascii="Symbol" w:hAnsi="Symbol"/>
          <w:color w:val="000000"/>
        </w:rPr>
        <w:t></w:t>
      </w:r>
      <w:r>
        <w:rPr>
          <w:color w:val="000000"/>
          <w:lang w:val="en-GB"/>
        </w:rPr>
        <w:t> 12</w:t>
      </w:r>
    </w:p>
    <w:p w:rsidR="007A0B61" w:rsidRDefault="00FE432E">
      <w:pPr>
        <w:pStyle w:val="enumlev1"/>
        <w:rPr>
          <w:lang w:val="en-GB"/>
        </w:rPr>
      </w:pPr>
      <w:r>
        <w:rPr>
          <w:lang w:val="en-GB"/>
        </w:rPr>
        <w:t>–</w:t>
      </w:r>
      <w:r>
        <w:rPr>
          <w:lang w:val="en-GB"/>
        </w:rPr>
        <w:tab/>
      </w:r>
      <w:r>
        <w:rPr>
          <w:color w:val="000000"/>
          <w:lang w:val="en-GB"/>
        </w:rPr>
        <w:t>OI high </w:t>
      </w:r>
      <w:r>
        <w:rPr>
          <w:rFonts w:ascii="Symbol" w:hAnsi="Symbol"/>
          <w:color w:val="000000"/>
        </w:rPr>
        <w:t></w:t>
      </w:r>
      <w:r>
        <w:rPr>
          <w:color w:val="000000"/>
          <w:lang w:val="en-GB"/>
        </w:rPr>
        <w:t> 6.</w:t>
      </w:r>
    </w:p>
    <w:p w:rsidR="007A0B61" w:rsidRDefault="00FE432E">
      <w:pPr>
        <w:rPr>
          <w:lang w:val="en-GB"/>
        </w:rPr>
      </w:pPr>
      <w:r>
        <w:rPr>
          <w:lang w:val="en-GB"/>
        </w:rPr>
        <w:t>In this example the AR objectives are compliant with ITU</w:t>
      </w:r>
      <w:r>
        <w:rPr>
          <w:lang w:val="en-GB"/>
        </w:rPr>
        <w:noBreakHyphen/>
        <w:t>T Recommendation G.827 for standard performance level.</w:t>
      </w:r>
    </w:p>
    <w:p w:rsidR="007A0B61" w:rsidRDefault="00FE432E">
      <w:pPr>
        <w:rPr>
          <w:lang w:val="en-GB"/>
        </w:rPr>
      </w:pPr>
      <w:r>
        <w:rPr>
          <w:lang w:val="en-GB"/>
        </w:rPr>
        <w:t>OI objectives in ITU</w:t>
      </w:r>
      <w:r>
        <w:rPr>
          <w:lang w:val="en-GB"/>
        </w:rPr>
        <w:noBreakHyphen/>
        <w:t>T Recommendation G.827 are based on an MTTR value of four hours. It is recognized that some events, due to anomalous working conditions, such as propagation impairments for radio applications, can give rise to self-healing unavailability events, such events, usually much shorter, are not taken into account for OI objectives in ITU</w:t>
      </w:r>
      <w:r>
        <w:rPr>
          <w:lang w:val="en-GB"/>
        </w:rPr>
        <w:noBreakHyphen/>
        <w:t>T Recommendation G.827, but in any case, the overall AR objectives have not to be exceeded.</w:t>
      </w:r>
    </w:p>
    <w:p w:rsidR="007A0B61" w:rsidRDefault="00FE432E">
      <w:pPr>
        <w:pStyle w:val="AnnexNoTitle"/>
        <w:rPr>
          <w:lang w:val="en-GB"/>
        </w:rPr>
      </w:pPr>
      <w:r>
        <w:rPr>
          <w:lang w:val="en-GB"/>
        </w:rPr>
        <w:br w:type="page"/>
      </w:r>
      <w:r>
        <w:rPr>
          <w:lang w:val="en-GB"/>
        </w:rPr>
        <w:lastRenderedPageBreak/>
        <w:t>Annex 2</w:t>
      </w:r>
      <w:r>
        <w:rPr>
          <w:lang w:val="en-GB"/>
        </w:rPr>
        <w:br/>
      </w:r>
      <w:r>
        <w:rPr>
          <w:lang w:val="en-GB"/>
        </w:rPr>
        <w:br/>
        <w:t>Parameter definition</w:t>
      </w:r>
    </w:p>
    <w:p w:rsidR="007A0B61" w:rsidRDefault="00FE432E">
      <w:pPr>
        <w:pStyle w:val="Heading1"/>
        <w:rPr>
          <w:lang w:val="en-GB"/>
        </w:rPr>
      </w:pPr>
      <w:bookmarkStart w:id="1" w:name="_Toc53905541"/>
      <w:bookmarkStart w:id="2" w:name="_Toc66778581"/>
      <w:bookmarkStart w:id="3" w:name="_Toc67109850"/>
      <w:r>
        <w:rPr>
          <w:lang w:val="en-GB"/>
        </w:rPr>
        <w:t>1</w:t>
      </w:r>
      <w:r>
        <w:rPr>
          <w:lang w:val="en-GB"/>
        </w:rPr>
        <w:tab/>
        <w:t>Availability ratio (AR) and unavailability ratio</w:t>
      </w:r>
      <w:bookmarkEnd w:id="1"/>
      <w:bookmarkEnd w:id="2"/>
      <w:bookmarkEnd w:id="3"/>
      <w:r>
        <w:rPr>
          <w:lang w:val="en-GB"/>
        </w:rPr>
        <w:t xml:space="preserve"> (UR)</w:t>
      </w:r>
    </w:p>
    <w:p w:rsidR="007A0B61" w:rsidRDefault="00FE432E">
      <w:pPr>
        <w:rPr>
          <w:lang w:val="en-GB"/>
        </w:rPr>
      </w:pPr>
      <w:r>
        <w:rPr>
          <w:lang w:val="en-GB"/>
        </w:rPr>
        <w:t>The term “availability” refers to the AR, which is the proportion of time that a path is in the available state during an observation period. AR is calculated by dividing the total available time during the observation period by the duration of the observation period.</w:t>
      </w:r>
    </w:p>
    <w:p w:rsidR="007A0B61" w:rsidRDefault="00FE432E">
      <w:pPr>
        <w:rPr>
          <w:lang w:val="en-GB"/>
        </w:rPr>
      </w:pPr>
      <w:r>
        <w:rPr>
          <w:lang w:val="en-GB"/>
        </w:rPr>
        <w:t>The converse of AR, the UR, is the proportion of time that an end-to-end path is in the unavailable state during an observation period. UR is calculated by dividing the total unavailable time during the observation period by the duration of the observation period.</w:t>
      </w:r>
    </w:p>
    <w:p w:rsidR="007A0B61" w:rsidRDefault="00FE432E">
      <w:pPr>
        <w:pStyle w:val="Equation"/>
        <w:rPr>
          <w:lang w:val="en-GB"/>
        </w:rPr>
      </w:pPr>
      <w:r>
        <w:rPr>
          <w:lang w:val="en-GB"/>
        </w:rPr>
        <w:tab/>
      </w:r>
      <w:r>
        <w:rPr>
          <w:lang w:val="en-GB"/>
        </w:rPr>
        <w:tab/>
      </w:r>
      <w:r>
        <w:rPr>
          <w:i/>
          <w:iCs/>
          <w:lang w:val="en-GB"/>
        </w:rPr>
        <w:t>AR</w:t>
      </w:r>
      <w:r>
        <w:rPr>
          <w:lang w:val="en-GB"/>
        </w:rPr>
        <w:t xml:space="preserve"> + </w:t>
      </w:r>
      <w:r>
        <w:rPr>
          <w:i/>
          <w:iCs/>
          <w:lang w:val="en-GB"/>
        </w:rPr>
        <w:t>UR</w:t>
      </w:r>
      <w:r>
        <w:rPr>
          <w:lang w:val="en-GB"/>
        </w:rPr>
        <w:t xml:space="preserve"> </w:t>
      </w:r>
      <w:r>
        <w:rPr>
          <w:rFonts w:ascii="Symbol" w:hAnsi="Symbol"/>
          <w:lang w:val="en-GB"/>
        </w:rPr>
        <w:t></w:t>
      </w:r>
      <w:r>
        <w:rPr>
          <w:lang w:val="en-GB"/>
        </w:rPr>
        <w:t xml:space="preserve"> 1</w:t>
      </w:r>
    </w:p>
    <w:p w:rsidR="007A0B61" w:rsidRDefault="00FE432E">
      <w:pPr>
        <w:rPr>
          <w:lang w:val="en-GB"/>
        </w:rPr>
      </w:pPr>
      <w:r>
        <w:rPr>
          <w:lang w:val="en-GB"/>
        </w:rPr>
        <w:t>The observation period is recommended to be one year.</w:t>
      </w:r>
    </w:p>
    <w:p w:rsidR="007A0B61" w:rsidRDefault="00FE432E">
      <w:pPr>
        <w:rPr>
          <w:lang w:val="en-GB"/>
        </w:rPr>
      </w:pPr>
      <w:r>
        <w:rPr>
          <w:lang w:val="en-GB"/>
        </w:rPr>
        <w:t>The allocation of availability objectives to observation periods shorter than one year is outside the scope of this Recommendation.</w:t>
      </w:r>
    </w:p>
    <w:p w:rsidR="007A0B61" w:rsidRDefault="00FE432E">
      <w:pPr>
        <w:pStyle w:val="Headingi"/>
        <w:rPr>
          <w:lang w:val="en-GB"/>
        </w:rPr>
      </w:pPr>
      <w:r>
        <w:rPr>
          <w:lang w:val="en-GB"/>
        </w:rPr>
        <w:t>Planned available time</w:t>
      </w:r>
    </w:p>
    <w:p w:rsidR="007A0B61" w:rsidRDefault="00FE432E">
      <w:pPr>
        <w:rPr>
          <w:lang w:val="en-GB"/>
        </w:rPr>
      </w:pPr>
      <w:r>
        <w:rPr>
          <w:lang w:val="en-GB"/>
        </w:rPr>
        <w:t>If the connection is not planned to be a permanent connection, then the periods when the connection is not in service do not count in the calculation of its availability. This may impact on the choice of the observation period.</w:t>
      </w:r>
    </w:p>
    <w:p w:rsidR="007A0B61" w:rsidRDefault="00FE432E">
      <w:pPr>
        <w:pStyle w:val="Heading1"/>
        <w:spacing w:before="240"/>
        <w:rPr>
          <w:lang w:val="en-GB"/>
        </w:rPr>
      </w:pPr>
      <w:bookmarkStart w:id="4" w:name="_Toc53905542"/>
      <w:bookmarkStart w:id="5" w:name="_Toc66778582"/>
      <w:bookmarkStart w:id="6" w:name="_Toc67109851"/>
      <w:r>
        <w:rPr>
          <w:lang w:val="en-GB"/>
        </w:rPr>
        <w:t>2</w:t>
      </w:r>
      <w:r>
        <w:rPr>
          <w:lang w:val="en-GB"/>
        </w:rPr>
        <w:tab/>
        <w:t>Mean time between outages and outage intensity</w:t>
      </w:r>
      <w:bookmarkEnd w:id="4"/>
      <w:bookmarkEnd w:id="5"/>
      <w:bookmarkEnd w:id="6"/>
    </w:p>
    <w:p w:rsidR="007A0B61" w:rsidRDefault="00FE432E">
      <w:pPr>
        <w:rPr>
          <w:lang w:val="en-US"/>
        </w:rPr>
      </w:pPr>
      <w:r>
        <w:rPr>
          <w:lang w:val="en-GB"/>
        </w:rPr>
        <w:t xml:space="preserve">A period of unavailability is also known as an “outage”. The mean time between outages (Mo) is the average duration of intervals when the PE is available during a measurement period. The number of outages per measurement period is called the “outage intensity” (OI). </w:t>
      </w:r>
      <w:r>
        <w:rPr>
          <w:lang w:val="en-US"/>
        </w:rPr>
        <w:t>(See Note 1.)</w:t>
      </w:r>
    </w:p>
    <w:p w:rsidR="007A0B61" w:rsidRDefault="00FE432E">
      <w:pPr>
        <w:rPr>
          <w:lang w:val="en-US"/>
        </w:rPr>
      </w:pPr>
      <w:r>
        <w:rPr>
          <w:lang w:val="en-US"/>
        </w:rPr>
        <w:t>If the measurement period is one year and the Mo is expressed in fractions of a year, then the OI is the reciprocal of the Mo.</w:t>
      </w:r>
    </w:p>
    <w:p w:rsidR="007A0B61" w:rsidRDefault="00FE432E">
      <w:pPr>
        <w:pStyle w:val="Note"/>
        <w:rPr>
          <w:lang w:val="en-US"/>
        </w:rPr>
      </w:pPr>
      <w:r>
        <w:rPr>
          <w:lang w:val="en-US"/>
        </w:rPr>
        <w:t>NOTE 1 – This relation assumes that the periods of unavailability are small compared to the periods of availability.</w:t>
      </w:r>
    </w:p>
    <w:p w:rsidR="007A0B61" w:rsidRDefault="007A0B61">
      <w:pPr>
        <w:rPr>
          <w:lang w:val="en-US"/>
        </w:rPr>
      </w:pPr>
    </w:p>
    <w:p w:rsidR="007A0B61" w:rsidRDefault="007A0B61">
      <w:pPr>
        <w:pStyle w:val="Line"/>
      </w:pPr>
    </w:p>
    <w:p w:rsidR="007A0B61" w:rsidRDefault="007A0B61">
      <w:pPr>
        <w:rPr>
          <w:lang w:val="en-GB"/>
        </w:rPr>
      </w:pPr>
    </w:p>
    <w:p w:rsidR="007A0B61" w:rsidRDefault="007A0B61">
      <w:pPr>
        <w:rPr>
          <w:lang w:val="en-GB"/>
        </w:rPr>
      </w:pPr>
    </w:p>
    <w:p w:rsidR="007A0B61" w:rsidRDefault="007A0B61">
      <w:pPr>
        <w:rPr>
          <w:lang w:val="en-GB"/>
        </w:rPr>
      </w:pPr>
    </w:p>
    <w:p w:rsidR="007A0B61" w:rsidRDefault="007A0B61">
      <w:pPr>
        <w:rPr>
          <w:lang w:val="en-GB"/>
        </w:rPr>
      </w:pPr>
    </w:p>
    <w:p w:rsidR="007A0B61" w:rsidRDefault="007A0B61">
      <w:pPr>
        <w:rPr>
          <w:lang w:val="en-GB"/>
        </w:rPr>
      </w:pPr>
    </w:p>
    <w:p w:rsidR="007A0B61" w:rsidRDefault="007A0B61">
      <w:pPr>
        <w:rPr>
          <w:lang w:val="en-GB"/>
        </w:rPr>
      </w:pPr>
    </w:p>
    <w:p w:rsidR="007A0B61" w:rsidRDefault="007A0B61">
      <w:pPr>
        <w:rPr>
          <w:lang w:val="en-GB"/>
        </w:rPr>
      </w:pPr>
    </w:p>
    <w:p w:rsidR="007A0B61" w:rsidRDefault="007A0B61">
      <w:pPr>
        <w:rPr>
          <w:lang w:val="en-GB"/>
        </w:rPr>
      </w:pPr>
    </w:p>
    <w:p w:rsidR="007A0B61" w:rsidRDefault="007A0B61">
      <w:pPr>
        <w:rPr>
          <w:lang w:val="en-GB"/>
        </w:rPr>
        <w:sectPr w:rsidR="007A0B61">
          <w:headerReference w:type="even" r:id="rId47"/>
          <w:headerReference w:type="default" r:id="rId48"/>
          <w:pgSz w:w="11907" w:h="16834" w:code="9"/>
          <w:pgMar w:top="1418" w:right="1134" w:bottom="1134" w:left="1134" w:header="720" w:footer="482" w:gutter="0"/>
          <w:paperSrc w:first="15" w:other="15"/>
          <w:cols w:space="720"/>
          <w:vAlign w:val="both"/>
        </w:sectPr>
      </w:pPr>
    </w:p>
    <w:p w:rsidR="007A0B61" w:rsidRDefault="007A0B61">
      <w:pPr>
        <w:rPr>
          <w:lang w:val="en-GB"/>
        </w:rPr>
      </w:pPr>
    </w:p>
    <w:sectPr w:rsidR="007A0B61">
      <w:headerReference w:type="default" r:id="rId49"/>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61" w:rsidRDefault="00FE432E">
      <w:pPr>
        <w:spacing w:before="0"/>
      </w:pPr>
      <w:r>
        <w:separator/>
      </w:r>
    </w:p>
  </w:endnote>
  <w:endnote w:type="continuationSeparator" w:id="0">
    <w:p w:rsidR="007A0B61" w:rsidRDefault="00FE43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61" w:rsidRDefault="00FE432E">
      <w:pPr>
        <w:spacing w:before="0"/>
      </w:pPr>
      <w:r>
        <w:separator/>
      </w:r>
    </w:p>
  </w:footnote>
  <w:footnote w:type="continuationSeparator" w:id="0">
    <w:p w:rsidR="007A0B61" w:rsidRDefault="00FE432E">
      <w:pPr>
        <w:spacing w:before="0"/>
      </w:pPr>
      <w:r>
        <w:continuationSeparator/>
      </w:r>
    </w:p>
  </w:footnote>
  <w:footnote w:id="1">
    <w:p w:rsidR="00AD5869" w:rsidRPr="00AD5869" w:rsidRDefault="00AD5869">
      <w:pPr>
        <w:pStyle w:val="FootnoteText"/>
        <w:rPr>
          <w:lang w:val="en-US"/>
        </w:rPr>
      </w:pPr>
      <w:r>
        <w:rPr>
          <w:rStyle w:val="FootnoteReference"/>
        </w:rPr>
        <w:footnoteRef/>
      </w:r>
      <w:r w:rsidRPr="00AD5869">
        <w:rPr>
          <w:lang w:val="en-US"/>
        </w:rPr>
        <w:t xml:space="preserve"> </w:t>
      </w:r>
      <w:r w:rsidRPr="00AD5869">
        <w:rPr>
          <w:lang w:val="en-US"/>
        </w:rPr>
        <w:tab/>
      </w:r>
      <w:r w:rsidRPr="0020577B">
        <w:rPr>
          <w:rFonts w:ascii="TimesNewRoman" w:hAnsi="TimesNewRoman"/>
          <w:sz w:val="24"/>
          <w:szCs w:val="24"/>
          <w:lang w:val="en-US" w:eastAsia="ja-JP"/>
        </w:rPr>
        <w:t>Radiocommunication Study Group 5 made editorial amendments to this Recommendation in November 2014 in accordance with Resolution ITU-R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61" w:rsidRDefault="00FE432E">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6D77FC">
      <w:rPr>
        <w:rStyle w:val="PageNumber"/>
        <w:b/>
        <w:bCs/>
        <w:noProof/>
      </w:rPr>
      <w:t>12</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sidR="006D77FC">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6D77FC">
      <w:rPr>
        <w:b/>
        <w:bCs/>
        <w:noProof/>
      </w:rPr>
      <w:t>ITU-R  F.1703-0</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61" w:rsidRDefault="00FE432E">
    <w:pPr>
      <w:pStyle w:val="Header"/>
    </w:pPr>
    <w:r>
      <w:tab/>
    </w:r>
    <w:r>
      <w:rPr>
        <w:b/>
        <w:bCs/>
      </w:rPr>
      <w:fldChar w:fldCharType="begin"/>
    </w:r>
    <w:r>
      <w:rPr>
        <w:b/>
        <w:bCs/>
      </w:rPr>
      <w:instrText xml:space="preserve"> DOCPROPERTY "Header" \* MERGEFORMAT </w:instrText>
    </w:r>
    <w:r>
      <w:rPr>
        <w:b/>
        <w:bCs/>
      </w:rPr>
      <w:fldChar w:fldCharType="separate"/>
    </w:r>
    <w:r w:rsidR="006D77FC">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6D77FC">
      <w:rPr>
        <w:b/>
        <w:bCs/>
        <w:noProof/>
      </w:rPr>
      <w:t>ITU-R  F.1703-0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6D77FC">
      <w:rPr>
        <w:rStyle w:val="PageNumber"/>
        <w:b/>
        <w:bCs/>
        <w:noProof/>
      </w:rPr>
      <w:t>11</w:t>
    </w:r>
    <w:r>
      <w:rPr>
        <w:rStyle w:val="PageNumbe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61" w:rsidRDefault="007A0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D3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nsid w:val="09454EB2"/>
    <w:multiLevelType w:val="hybridMultilevel"/>
    <w:tmpl w:val="8EB41EA4"/>
    <w:lvl w:ilvl="0" w:tplc="171607A4">
      <w:start w:val="2"/>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1F4CDF"/>
    <w:multiLevelType w:val="hybridMultilevel"/>
    <w:tmpl w:val="7E38BF42"/>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B34234"/>
    <w:multiLevelType w:val="multilevel"/>
    <w:tmpl w:val="6FD49FE4"/>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CC5F6B"/>
    <w:multiLevelType w:val="singleLevel"/>
    <w:tmpl w:val="CE5060D8"/>
    <w:lvl w:ilvl="0">
      <w:start w:val="1"/>
      <w:numFmt w:val="decimal"/>
      <w:lvlText w:val="%1"/>
      <w:legacy w:legacy="1" w:legacySpace="0" w:legacyIndent="795"/>
      <w:lvlJc w:val="left"/>
      <w:pPr>
        <w:ind w:left="795" w:hanging="795"/>
      </w:pPr>
    </w:lvl>
  </w:abstractNum>
  <w:abstractNum w:abstractNumId="5">
    <w:nsid w:val="1C726920"/>
    <w:multiLevelType w:val="hybridMultilevel"/>
    <w:tmpl w:val="A0C88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5C03D5"/>
    <w:multiLevelType w:val="multilevel"/>
    <w:tmpl w:val="79EAA374"/>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A96207"/>
    <w:multiLevelType w:val="hybridMultilevel"/>
    <w:tmpl w:val="E2883C26"/>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F3C0763"/>
    <w:multiLevelType w:val="multilevel"/>
    <w:tmpl w:val="2068AFD4"/>
    <w:lvl w:ilvl="0">
      <w:start w:val="3"/>
      <w:numFmt w:val="decimal"/>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5405F4"/>
    <w:multiLevelType w:val="hybridMultilevel"/>
    <w:tmpl w:val="480EB5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B53DC"/>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8240F8"/>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0E55E2"/>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7202AFC"/>
    <w:multiLevelType w:val="hybridMultilevel"/>
    <w:tmpl w:val="7DDE28BE"/>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BA5FF9"/>
    <w:multiLevelType w:val="multilevel"/>
    <w:tmpl w:val="414461C8"/>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C463901"/>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C6B3A71"/>
    <w:multiLevelType w:val="hybridMultilevel"/>
    <w:tmpl w:val="9F7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D5709F"/>
    <w:multiLevelType w:val="hybridMultilevel"/>
    <w:tmpl w:val="22AA38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2E6112"/>
    <w:multiLevelType w:val="hybridMultilevel"/>
    <w:tmpl w:val="545E0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CD1FBD"/>
    <w:multiLevelType w:val="singleLevel"/>
    <w:tmpl w:val="7CE85C36"/>
    <w:lvl w:ilvl="0">
      <w:start w:val="1"/>
      <w:numFmt w:val="bullet"/>
      <w:lvlText w:val="-"/>
      <w:lvlJc w:val="left"/>
      <w:pPr>
        <w:tabs>
          <w:tab w:val="num" w:pos="360"/>
        </w:tabs>
        <w:ind w:left="360" w:hanging="360"/>
      </w:pPr>
      <w:rPr>
        <w:rFonts w:hint="default"/>
        <w:b/>
      </w:rPr>
    </w:lvl>
  </w:abstractNum>
  <w:abstractNum w:abstractNumId="20">
    <w:nsid w:val="5EEF4333"/>
    <w:multiLevelType w:val="hybridMultilevel"/>
    <w:tmpl w:val="85742186"/>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0770253"/>
    <w:multiLevelType w:val="hybridMultilevel"/>
    <w:tmpl w:val="C37E7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144295"/>
    <w:multiLevelType w:val="hybridMultilevel"/>
    <w:tmpl w:val="1D2C6EF0"/>
    <w:lvl w:ilvl="0" w:tplc="20DE2EA6">
      <w:start w:val="3"/>
      <w:numFmt w:val="bullet"/>
      <w:lvlText w:val="–"/>
      <w:lvlJc w:val="left"/>
      <w:pPr>
        <w:tabs>
          <w:tab w:val="num" w:pos="1152"/>
        </w:tabs>
        <w:ind w:left="1152" w:hanging="7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A916E0"/>
    <w:multiLevelType w:val="hybridMultilevel"/>
    <w:tmpl w:val="03C88FB0"/>
    <w:lvl w:ilvl="0" w:tplc="DC66F2DA">
      <w:start w:val="1"/>
      <w:numFmt w:val="bullet"/>
      <w:lvlText w:val="-"/>
      <w:lvlJc w:val="left"/>
      <w:pPr>
        <w:tabs>
          <w:tab w:val="num" w:pos="1155"/>
        </w:tabs>
        <w:ind w:left="1155" w:hanging="79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7B010E2"/>
    <w:multiLevelType w:val="multilevel"/>
    <w:tmpl w:val="9E8AAE9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802D28"/>
    <w:multiLevelType w:val="singleLevel"/>
    <w:tmpl w:val="2E5E2D88"/>
    <w:lvl w:ilvl="0">
      <w:start w:val="2"/>
      <w:numFmt w:val="decimal"/>
      <w:lvlText w:val="%1"/>
      <w:lvlJc w:val="left"/>
      <w:pPr>
        <w:tabs>
          <w:tab w:val="num" w:pos="1305"/>
        </w:tabs>
        <w:ind w:left="1305" w:hanging="1305"/>
      </w:pPr>
      <w:rPr>
        <w:rFonts w:hint="default"/>
      </w:rPr>
    </w:lvl>
  </w:abstractNum>
  <w:abstractNum w:abstractNumId="26">
    <w:nsid w:val="6A713B4D"/>
    <w:multiLevelType w:val="hybridMultilevel"/>
    <w:tmpl w:val="59023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17411F"/>
    <w:multiLevelType w:val="hybridMultilevel"/>
    <w:tmpl w:val="EBFCE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27138C"/>
    <w:multiLevelType w:val="hybridMultilevel"/>
    <w:tmpl w:val="047EC942"/>
    <w:lvl w:ilvl="0" w:tplc="A5ECE85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D306CEB"/>
    <w:multiLevelType w:val="hybridMultilevel"/>
    <w:tmpl w:val="53FAF6D0"/>
    <w:lvl w:ilvl="0" w:tplc="0D142DC0">
      <w:start w:val="3"/>
      <w:numFmt w:val="bullet"/>
      <w:lvlText w:val="-"/>
      <w:lvlJc w:val="left"/>
      <w:pPr>
        <w:tabs>
          <w:tab w:val="num" w:pos="1155"/>
        </w:tabs>
        <w:ind w:left="1155" w:hanging="795"/>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8"/>
  </w:num>
  <w:num w:numId="4">
    <w:abstractNumId w:val="22"/>
  </w:num>
  <w:num w:numId="5">
    <w:abstractNumId w:val="16"/>
  </w:num>
  <w:num w:numId="6">
    <w:abstractNumId w:val="26"/>
  </w:num>
  <w:num w:numId="7">
    <w:abstractNumId w:val="25"/>
  </w:num>
  <w:num w:numId="8">
    <w:abstractNumId w:val="0"/>
  </w:num>
  <w:num w:numId="9">
    <w:abstractNumId w:val="24"/>
  </w:num>
  <w:num w:numId="10">
    <w:abstractNumId w:val="23"/>
  </w:num>
  <w:num w:numId="11">
    <w:abstractNumId w:val="29"/>
  </w:num>
  <w:num w:numId="12">
    <w:abstractNumId w:val="6"/>
  </w:num>
  <w:num w:numId="13">
    <w:abstractNumId w:val="3"/>
  </w:num>
  <w:num w:numId="14">
    <w:abstractNumId w:val="5"/>
  </w:num>
  <w:num w:numId="15">
    <w:abstractNumId w:val="18"/>
  </w:num>
  <w:num w:numId="16">
    <w:abstractNumId w:val="21"/>
  </w:num>
  <w:num w:numId="17">
    <w:abstractNumId w:val="27"/>
  </w:num>
  <w:num w:numId="18">
    <w:abstractNumId w:val="17"/>
  </w:num>
  <w:num w:numId="19">
    <w:abstractNumId w:val="1"/>
  </w:num>
  <w:num w:numId="20">
    <w:abstractNumId w:val="7"/>
  </w:num>
  <w:num w:numId="21">
    <w:abstractNumId w:val="28"/>
  </w:num>
  <w:num w:numId="22">
    <w:abstractNumId w:val="9"/>
  </w:num>
  <w:num w:numId="23">
    <w:abstractNumId w:val="15"/>
  </w:num>
  <w:num w:numId="24">
    <w:abstractNumId w:val="11"/>
  </w:num>
  <w:num w:numId="25">
    <w:abstractNumId w:val="13"/>
  </w:num>
  <w:num w:numId="26">
    <w:abstractNumId w:val="12"/>
  </w:num>
  <w:num w:numId="27">
    <w:abstractNumId w:val="2"/>
  </w:num>
  <w:num w:numId="28">
    <w:abstractNumId w:val="10"/>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mirrorMargins/>
  <w:hideSpellingErrors/>
  <w:hideGrammaticalErrors/>
  <w:activeWritingStyle w:appName="MSWord" w:lang="en-US" w:vendorID="64" w:dllVersion="131077"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ttachedTemplate r:id="rId1"/>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DC"/>
    <w:rsid w:val="000A0641"/>
    <w:rsid w:val="0020577B"/>
    <w:rsid w:val="003E33E6"/>
    <w:rsid w:val="005A54AB"/>
    <w:rsid w:val="006D77FC"/>
    <w:rsid w:val="007A0B61"/>
    <w:rsid w:val="00822620"/>
    <w:rsid w:val="009414DC"/>
    <w:rsid w:val="00AD5869"/>
    <w:rsid w:val="00C200D1"/>
    <w:rsid w:val="00E83760"/>
    <w:rsid w:val="00E87FFE"/>
    <w:rsid w:val="00FE43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27260C34-800F-4670-AAE0-FC693B16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character" w:customStyle="1" w:styleId="FootnoteTextChar">
    <w:name w:val="Footnote Text Char"/>
    <w:link w:val="FootnoteText"/>
    <w:rsid w:val="00822620"/>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3151-46B9-4175-8A40-CE416FE6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BR_REC_2004.dot</Template>
  <TotalTime>2</TotalTime>
  <Pages>1</Pages>
  <Words>3146</Words>
  <Characters>15811</Characters>
  <Application>Microsoft Office Word</Application>
  <DocSecurity>0</DocSecurity>
  <Lines>790</Lines>
  <Paragraphs>122</Paragraphs>
  <ScaleCrop>false</ScaleCrop>
  <HeadingPairs>
    <vt:vector size="2" baseType="variant">
      <vt:variant>
        <vt:lpstr>Title</vt:lpstr>
      </vt:variant>
      <vt:variant>
        <vt:i4>1</vt:i4>
      </vt:variant>
    </vt:vector>
  </HeadingPairs>
  <TitlesOfParts>
    <vt:vector size="1" baseType="lpstr">
      <vt:lpstr>RECOMMENDATION  ITU-R  F.1703 - Availability objectives for real digital fixed wireless links used in 27 500 km hypothetical reference paths and connections</vt:lpstr>
    </vt:vector>
  </TitlesOfParts>
  <Manager>CP..3346/NM</Manager>
  <Company>ITU</Company>
  <LinksUpToDate>false</LinksUpToDate>
  <CharactersWithSpaces>18835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F.1703 - Availability objectives for real digital fixed wireless links used in 27 500 km hypothetical reference paths and connections</dc:title>
  <dc:subject>F Series = Fixed service</dc:subject>
  <dc:creator>ITU Radiocommunication Bureau (BR)</dc:creator>
  <cp:keywords>F,1703</cp:keywords>
  <dc:description>Saisie + Recup.: 10.12.2004/NM_x000d_
Corr. BAT: 13.04.2005</dc:description>
  <cp:lastModifiedBy>Gachet, Christelle</cp:lastModifiedBy>
  <cp:revision>6</cp:revision>
  <cp:lastPrinted>2014-11-21T14:35:00Z</cp:lastPrinted>
  <dcterms:created xsi:type="dcterms:W3CDTF">2014-11-21T14:32:00Z</dcterms:created>
  <dcterms:modified xsi:type="dcterms:W3CDTF">2014-11-21T14:35:00Z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