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8A0B5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8A0B50">
              <w:rPr>
                <w:rFonts w:ascii="Tahoma" w:hAnsi="Tahoma" w:cs="Tahoma"/>
                <w:b/>
                <w:bCs/>
                <w:iCs/>
                <w:color w:val="243285"/>
                <w:sz w:val="36"/>
                <w:szCs w:val="36"/>
                <w:lang w:val="es-ES_tradnl"/>
              </w:rPr>
              <w:t>1606</w:t>
            </w:r>
          </w:p>
          <w:p w:rsidR="00B1717A" w:rsidRPr="0010336F" w:rsidRDefault="00B1717A" w:rsidP="008A0B5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A0B50">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8A0B50">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B1717A" w:rsidRPr="00A366D8"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8A0B50" w:rsidP="00A366D8">
            <w:pPr>
              <w:spacing w:before="80" w:line="500" w:lineRule="exact"/>
              <w:jc w:val="right"/>
              <w:rPr>
                <w:rFonts w:ascii="Tahoma" w:hAnsi="Tahoma" w:cs="Tahoma"/>
                <w:b/>
                <w:bCs/>
                <w:color w:val="243285"/>
                <w:sz w:val="44"/>
                <w:szCs w:val="44"/>
                <w:lang w:val="es-ES_tradnl"/>
              </w:rPr>
            </w:pPr>
            <w:r w:rsidRPr="00A22112">
              <w:rPr>
                <w:rFonts w:ascii="Tahoma" w:hAnsi="Tahoma" w:cs="Tahoma"/>
                <w:b/>
                <w:bCs/>
                <w:iCs/>
                <w:color w:val="243285"/>
                <w:sz w:val="44"/>
                <w:szCs w:val="44"/>
                <w:lang w:val="es-ES_tradnl"/>
              </w:rPr>
              <w:t>Criterios de interferencia para la protección</w:t>
            </w:r>
            <w:r w:rsidR="00A366D8">
              <w:rPr>
                <w:rFonts w:ascii="Tahoma" w:hAnsi="Tahoma" w:cs="Tahoma"/>
                <w:b/>
                <w:bCs/>
                <w:iCs/>
                <w:color w:val="243285"/>
                <w:sz w:val="44"/>
                <w:szCs w:val="44"/>
                <w:lang w:val="es-ES_tradnl"/>
              </w:rPr>
              <w:br/>
            </w:r>
            <w:r w:rsidRPr="00A22112">
              <w:rPr>
                <w:rFonts w:ascii="Tahoma" w:hAnsi="Tahoma" w:cs="Tahoma"/>
                <w:b/>
                <w:bCs/>
                <w:iCs/>
                <w:color w:val="243285"/>
                <w:sz w:val="44"/>
                <w:szCs w:val="44"/>
                <w:lang w:val="es-ES_tradnl"/>
              </w:rPr>
              <w:t>de sistemas inalámbricos fijos contra</w:t>
            </w:r>
            <w:r w:rsidR="00A366D8">
              <w:rPr>
                <w:rFonts w:ascii="Tahoma" w:hAnsi="Tahoma" w:cs="Tahoma"/>
                <w:b/>
                <w:bCs/>
                <w:iCs/>
                <w:color w:val="243285"/>
                <w:sz w:val="44"/>
                <w:szCs w:val="44"/>
                <w:lang w:val="es-ES_tradnl"/>
              </w:rPr>
              <w:br/>
            </w:r>
            <w:r w:rsidRPr="00A22112">
              <w:rPr>
                <w:rFonts w:ascii="Tahoma" w:hAnsi="Tahoma" w:cs="Tahoma"/>
                <w:b/>
                <w:bCs/>
                <w:iCs/>
                <w:color w:val="243285"/>
                <w:sz w:val="44"/>
                <w:szCs w:val="44"/>
                <w:lang w:val="es-ES_tradnl"/>
              </w:rPr>
              <w:t>la</w:t>
            </w:r>
            <w:r w:rsidR="00A366D8">
              <w:rPr>
                <w:rFonts w:ascii="Tahoma" w:hAnsi="Tahoma" w:cs="Tahoma"/>
                <w:b/>
                <w:bCs/>
                <w:iCs/>
                <w:color w:val="243285"/>
                <w:sz w:val="44"/>
                <w:szCs w:val="44"/>
                <w:lang w:val="es-ES_tradnl"/>
              </w:rPr>
              <w:t xml:space="preserve"> </w:t>
            </w:r>
            <w:r w:rsidRPr="00A22112">
              <w:rPr>
                <w:rFonts w:ascii="Tahoma" w:hAnsi="Tahoma" w:cs="Tahoma"/>
                <w:b/>
                <w:bCs/>
                <w:iCs/>
                <w:color w:val="243285"/>
                <w:sz w:val="44"/>
                <w:szCs w:val="44"/>
                <w:lang w:val="es-ES_tradnl"/>
              </w:rPr>
              <w:t>interferencia combinada variable en</w:t>
            </w:r>
            <w:r w:rsidR="00A366D8">
              <w:rPr>
                <w:rFonts w:ascii="Tahoma" w:hAnsi="Tahoma" w:cs="Tahoma"/>
                <w:b/>
                <w:bCs/>
                <w:iCs/>
                <w:color w:val="243285"/>
                <w:sz w:val="44"/>
                <w:szCs w:val="44"/>
                <w:lang w:val="es-ES_tradnl"/>
              </w:rPr>
              <w:br/>
            </w:r>
            <w:r w:rsidRPr="00A22112">
              <w:rPr>
                <w:rFonts w:ascii="Tahoma" w:hAnsi="Tahoma" w:cs="Tahoma"/>
                <w:b/>
                <w:bCs/>
                <w:iCs/>
                <w:color w:val="243285"/>
                <w:sz w:val="44"/>
                <w:szCs w:val="44"/>
                <w:lang w:val="es-ES_tradnl"/>
              </w:rPr>
              <w:t>el tiempo ocasionada por satélites no geoestacionarios que funcionan en otros servic</w:t>
            </w:r>
            <w:r>
              <w:rPr>
                <w:rFonts w:ascii="Tahoma" w:hAnsi="Tahoma" w:cs="Tahoma"/>
                <w:b/>
                <w:bCs/>
                <w:iCs/>
                <w:color w:val="243285"/>
                <w:sz w:val="44"/>
                <w:szCs w:val="44"/>
                <w:lang w:val="es-ES_tradnl"/>
              </w:rPr>
              <w:t>ios que comparten las bandas 37</w:t>
            </w:r>
            <w:r>
              <w:rPr>
                <w:rFonts w:ascii="Tahoma" w:hAnsi="Tahoma" w:cs="Tahoma"/>
                <w:b/>
                <w:bCs/>
                <w:iCs/>
                <w:color w:val="243285"/>
                <w:sz w:val="44"/>
                <w:szCs w:val="44"/>
                <w:lang w:val="es-ES_tradnl"/>
              </w:rPr>
              <w:noBreakHyphen/>
            </w:r>
            <w:r w:rsidRPr="00A22112">
              <w:rPr>
                <w:rFonts w:ascii="Tahoma" w:hAnsi="Tahoma" w:cs="Tahoma"/>
                <w:b/>
                <w:bCs/>
                <w:iCs/>
                <w:color w:val="243285"/>
                <w:sz w:val="44"/>
                <w:szCs w:val="44"/>
                <w:lang w:val="es-ES_tradnl"/>
              </w:rPr>
              <w:t>40 GHz y 40,5-42,5 GHz</w:t>
            </w:r>
            <w:r w:rsidRPr="00A22112">
              <w:rPr>
                <w:rFonts w:ascii="Tahoma" w:hAnsi="Tahoma" w:cs="Tahoma"/>
                <w:b/>
                <w:bCs/>
                <w:iCs/>
                <w:color w:val="243285"/>
                <w:sz w:val="44"/>
                <w:szCs w:val="44"/>
                <w:lang w:val="es-ES_tradnl"/>
              </w:rPr>
              <w:br/>
              <w:t>también a título primario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A366D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A366D8"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A366D8"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366D8"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A366D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A366D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A366D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A366D8"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Default="008A0B50" w:rsidP="008A0B5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.16</w:t>
      </w:r>
      <w:r>
        <w:rPr>
          <w:rStyle w:val="href"/>
          <w:lang w:val="es-ES_tradnl"/>
        </w:rPr>
        <w:t>06</w:t>
      </w:r>
      <w:r>
        <w:rPr>
          <w:rStyle w:val="FootnoteReference"/>
          <w:lang w:val="es-ES"/>
        </w:rPr>
        <w:footnoteReference w:customMarkFollows="1" w:id="1"/>
        <w:t>*</w:t>
      </w:r>
    </w:p>
    <w:p w:rsidR="008A0B50" w:rsidRDefault="008A0B50" w:rsidP="00A366D8">
      <w:pPr>
        <w:pStyle w:val="Rectitle"/>
        <w:rPr>
          <w:lang w:val="es-ES"/>
        </w:rPr>
      </w:pPr>
      <w:bookmarkStart w:id="4" w:name="Revision_history"/>
      <w:r>
        <w:rPr>
          <w:lang w:val="es-ES"/>
        </w:rPr>
        <w:t>Criterios de interferencia para la protección de sistemas inalámbricos fijos contra la interferencia combinada variable en el tiempo ocasionada</w:t>
      </w:r>
      <w:r w:rsidR="00A366D8">
        <w:rPr>
          <w:lang w:val="es-ES"/>
        </w:rPr>
        <w:br/>
      </w:r>
      <w:r>
        <w:rPr>
          <w:lang w:val="es-ES"/>
        </w:rPr>
        <w:t>por satélites no geoestacionarios que funcionan en otros servicios</w:t>
      </w:r>
      <w:r w:rsidR="00A366D8">
        <w:rPr>
          <w:lang w:val="es-ES"/>
        </w:rPr>
        <w:br/>
      </w:r>
      <w:r>
        <w:rPr>
          <w:lang w:val="es-ES"/>
        </w:rPr>
        <w:t>que comparten las bandas 37-40 GHz y 40,5-42,5 GHz</w:t>
      </w:r>
      <w:r>
        <w:rPr>
          <w:lang w:val="es-ES"/>
        </w:rPr>
        <w:br/>
        <w:t>también a título primario</w:t>
      </w:r>
    </w:p>
    <w:p w:rsidR="00094B36" w:rsidRDefault="00094B36" w:rsidP="008A0B50">
      <w:pPr>
        <w:pStyle w:val="Recdate"/>
        <w:rPr>
          <w:lang w:val="es-ES_tradnl"/>
        </w:rPr>
      </w:pPr>
    </w:p>
    <w:p w:rsidR="008A0B50" w:rsidRPr="0021687F" w:rsidRDefault="008A0B50" w:rsidP="008A0B50">
      <w:pPr>
        <w:pStyle w:val="Recdate"/>
        <w:rPr>
          <w:lang w:val="es-ES_tradnl"/>
        </w:rPr>
      </w:pPr>
      <w:r>
        <w:rPr>
          <w:lang w:val="es-ES_tradnl"/>
        </w:rPr>
        <w:t>(2003</w:t>
      </w:r>
      <w:r w:rsidRPr="0021687F">
        <w:rPr>
          <w:lang w:val="es-ES_tradnl"/>
        </w:rPr>
        <w:t>)</w:t>
      </w:r>
      <w:bookmarkEnd w:id="4"/>
    </w:p>
    <w:p w:rsidR="00094B36" w:rsidRPr="00A366D8" w:rsidRDefault="00094B36" w:rsidP="00094B36">
      <w:pPr>
        <w:rPr>
          <w:lang w:val="es-ES_tradnl"/>
        </w:rPr>
      </w:pPr>
    </w:p>
    <w:p w:rsidR="008A0B50" w:rsidRDefault="008A0B50" w:rsidP="008A0B50">
      <w:pPr>
        <w:pStyle w:val="HeadingSum"/>
      </w:pPr>
      <w:r>
        <w:t>Cometido</w:t>
      </w:r>
    </w:p>
    <w:p w:rsidR="008A0B50" w:rsidRPr="00FB6482" w:rsidRDefault="008A0B50" w:rsidP="00286C0A">
      <w:pPr>
        <w:pStyle w:val="Summary"/>
      </w:pPr>
      <w:r>
        <w:t>Esta Recomendación especifica los criterios de interferencia para la protección de los sistemas inalámbricos fijos contra la interferencia combinada variable en el tiempo procedente de satélites no geoestacionarios que funcionan en otros servicios que comparten las bandas 37-40 GHz y 40,5</w:t>
      </w:r>
      <w:r>
        <w:noBreakHyphen/>
        <w:t xml:space="preserve">42,5 GHz a título primario en igualdad de condiciones. Los criterios se definen en términos de la relación </w:t>
      </w:r>
      <w:r w:rsidRPr="00B34419">
        <w:rPr>
          <w:i/>
          <w:iCs/>
        </w:rPr>
        <w:t>I/N</w:t>
      </w:r>
      <w:r>
        <w:rPr>
          <w:i/>
          <w:iCs/>
        </w:rPr>
        <w:t xml:space="preserve"> </w:t>
      </w:r>
      <w:r>
        <w:t>a la entrada del receptor del SF para la interferencia tanto a largo plazo como a corto plazo. En el Anexo 1 se ofrecen orientaciones sobre la utilización de la presente Recomendación.</w:t>
      </w:r>
    </w:p>
    <w:p w:rsidR="008A0B50" w:rsidRDefault="008A0B50" w:rsidP="008A0B50">
      <w:pPr>
        <w:pStyle w:val="Normalaftertitle"/>
        <w:rPr>
          <w:lang w:val="es-ES"/>
        </w:rPr>
      </w:pPr>
      <w:r>
        <w:rPr>
          <w:lang w:val="es-ES"/>
        </w:rPr>
        <w:t>La Asamblea de Radiocomunicaciones de la UIT,</w:t>
      </w:r>
    </w:p>
    <w:p w:rsidR="008A0B50" w:rsidRDefault="008A0B50" w:rsidP="008A0B50">
      <w:pPr>
        <w:pStyle w:val="Call"/>
        <w:rPr>
          <w:lang w:val="es-ES"/>
        </w:rPr>
      </w:pPr>
      <w:r>
        <w:rPr>
          <w:lang w:val="es-ES"/>
        </w:rPr>
        <w:t>considerando</w:t>
      </w:r>
    </w:p>
    <w:p w:rsidR="008A0B50" w:rsidRDefault="008A0B50" w:rsidP="008A0B50">
      <w:pPr>
        <w:rPr>
          <w:lang w:val="es-ES"/>
        </w:rPr>
      </w:pPr>
      <w:r>
        <w:rPr>
          <w:lang w:val="es-ES"/>
        </w:rPr>
        <w:t>a)</w:t>
      </w:r>
      <w:r>
        <w:rPr>
          <w:lang w:val="es-ES"/>
        </w:rPr>
        <w:tab/>
        <w:t>que es conveniente determinar los criterios de protección de los sistemas inalámbricos fijos (FWS) que funcionan en las bandas de 38 GHz (37-40 GHz) y 40 GHz (40,5-42,5 GHz) con respecto a la interferencia combinada ocasionada por los sistemas de otros servicios que funcionan también a título primario, especialmente las interferencias de corta duración;</w:t>
      </w:r>
    </w:p>
    <w:p w:rsidR="008A0B50" w:rsidRDefault="008A0B50" w:rsidP="008A0B50">
      <w:pPr>
        <w:rPr>
          <w:lang w:val="es-ES"/>
        </w:rPr>
      </w:pPr>
      <w:r>
        <w:rPr>
          <w:lang w:val="es-ES"/>
        </w:rPr>
        <w:t>b)</w:t>
      </w:r>
      <w:r>
        <w:rPr>
          <w:lang w:val="es-ES"/>
        </w:rPr>
        <w:tab/>
        <w:t>que en situaciones de interferencia en las que haya implicadas estaciones espaciales no OSG, los FWS se ven potencialmente expuestos a altos niveles de interferencia durante periodos de tiempo breves que podrían afectar al funcionamiento y la disponibilidad de estos sistemas;</w:t>
      </w:r>
    </w:p>
    <w:p w:rsidR="008A0B50" w:rsidRDefault="008A0B50" w:rsidP="008A0B50">
      <w:pPr>
        <w:rPr>
          <w:lang w:val="es-ES"/>
        </w:rPr>
      </w:pPr>
      <w:r>
        <w:rPr>
          <w:lang w:val="es-ES"/>
        </w:rPr>
        <w:t>c)</w:t>
      </w:r>
      <w:r>
        <w:rPr>
          <w:lang w:val="es-ES"/>
        </w:rPr>
        <w:tab/>
        <w:t>que en el diseño de enlaces del servicio fijo que funcionan en las bandas de 38 GHz y 40 GHz se tiene en cuenta la atenuación debida a la lluvia, cuyo modelo puede establecerse utilizando la Recomendación UIT-R P.530;</w:t>
      </w:r>
    </w:p>
    <w:p w:rsidR="008A0B50" w:rsidRDefault="008A0B50" w:rsidP="008A0B50">
      <w:pPr>
        <w:rPr>
          <w:lang w:val="es-ES"/>
        </w:rPr>
      </w:pPr>
      <w:r>
        <w:rPr>
          <w:lang w:val="es-ES"/>
        </w:rPr>
        <w:t>d)</w:t>
      </w:r>
      <w:r>
        <w:rPr>
          <w:lang w:val="es-ES"/>
        </w:rPr>
        <w:tab/>
        <w:t>que en las bandas de 38 GHz y 40 GHz algunas administraciones utilizan control automático de potencia de transmisión (CAPT) para los enlaces del servicio fijo, y que dicho uso aumenta la susceptibilidad de estos enlaces a la interferencia, especialmente la de corta duración;</w:t>
      </w:r>
    </w:p>
    <w:p w:rsidR="008A0B50" w:rsidRDefault="008A0B50" w:rsidP="008A0B50">
      <w:pPr>
        <w:rPr>
          <w:lang w:val="es-ES"/>
        </w:rPr>
      </w:pPr>
      <w:r>
        <w:rPr>
          <w:lang w:val="es-ES"/>
        </w:rPr>
        <w:t>e)</w:t>
      </w:r>
      <w:r>
        <w:rPr>
          <w:lang w:val="es-ES"/>
        </w:rPr>
        <w:tab/>
        <w:t>que algunos enlaces del servicio fijo con márgenes de desvanecimiento neto pequeños no pueden protegerse completamente contra la interferencia ocasionada por sistemas de satélites no OSG sin limitar excesivamente esos servicios;</w:t>
      </w:r>
    </w:p>
    <w:p w:rsidR="008A0B50" w:rsidRDefault="008A0B50" w:rsidP="00101AFB">
      <w:pPr>
        <w:keepNext/>
        <w:keepLines/>
        <w:rPr>
          <w:lang w:val="es-ES"/>
        </w:rPr>
      </w:pPr>
      <w:r>
        <w:rPr>
          <w:lang w:val="es-ES"/>
        </w:rPr>
        <w:lastRenderedPageBreak/>
        <w:t>f)</w:t>
      </w:r>
      <w:r>
        <w:rPr>
          <w:lang w:val="es-ES"/>
        </w:rPr>
        <w:tab/>
        <w:t>que los enlaces del servicio fijo característicos con CAPT necesitan criterios de protección más estrictos que los enlaces del servicio fijo con amplio margen de desvanecimiento que no utilizan CAPT;</w:t>
      </w:r>
    </w:p>
    <w:p w:rsidR="008A0B50" w:rsidRDefault="008A0B50" w:rsidP="008A0B50">
      <w:pPr>
        <w:rPr>
          <w:lang w:val="es-ES"/>
        </w:rPr>
      </w:pPr>
      <w:r>
        <w:rPr>
          <w:lang w:val="es-ES"/>
        </w:rPr>
        <w:t>g)</w:t>
      </w:r>
      <w:r>
        <w:rPr>
          <w:lang w:val="es-ES"/>
        </w:rPr>
        <w:tab/>
        <w:t xml:space="preserve">que es conveniente deducir los criterios de protección del servicio fijo combinados sobre la base del cálculo de la degradación admisible del objetivo de característica de error (EPO, </w:t>
      </w:r>
      <w:r>
        <w:rPr>
          <w:i/>
          <w:iCs/>
          <w:lang w:val="es-ES"/>
        </w:rPr>
        <w:t>error performance objective</w:t>
      </w:r>
      <w:r>
        <w:rPr>
          <w:lang w:val="es-ES"/>
        </w:rPr>
        <w:t>) debida a la interferencia, teniendo en cuenta enlaces del servicio fijo típicos que utilizan CAPT,</w:t>
      </w:r>
    </w:p>
    <w:p w:rsidR="008A0B50" w:rsidRDefault="008A0B50" w:rsidP="008A0B50">
      <w:pPr>
        <w:pStyle w:val="Call"/>
        <w:rPr>
          <w:lang w:val="es-ES"/>
        </w:rPr>
      </w:pPr>
      <w:r>
        <w:rPr>
          <w:lang w:val="es-ES"/>
        </w:rPr>
        <w:t>reconociendo</w:t>
      </w:r>
    </w:p>
    <w:p w:rsidR="008A0B50" w:rsidRDefault="008A0B50" w:rsidP="008A0B50">
      <w:pPr>
        <w:rPr>
          <w:lang w:val="es-ES"/>
        </w:rPr>
      </w:pPr>
      <w:r>
        <w:rPr>
          <w:lang w:val="es-ES"/>
        </w:rPr>
        <w:t>a)</w:t>
      </w:r>
      <w:r>
        <w:rPr>
          <w:lang w:val="es-ES"/>
        </w:rPr>
        <w:tab/>
        <w:t>que las bandas 37,5-40 GHz y 40,5-42,5 GHz se comparten a título primario con el servicio fijo por satélite (SFS),</w:t>
      </w:r>
    </w:p>
    <w:p w:rsidR="008A0B50" w:rsidRDefault="008A0B50" w:rsidP="008A0B50">
      <w:pPr>
        <w:pStyle w:val="Call"/>
        <w:rPr>
          <w:lang w:val="es-ES"/>
        </w:rPr>
      </w:pPr>
      <w:r>
        <w:rPr>
          <w:lang w:val="es-ES"/>
        </w:rPr>
        <w:t>observando</w:t>
      </w:r>
    </w:p>
    <w:p w:rsidR="008A0B50" w:rsidRDefault="008A0B50" w:rsidP="008A0B50">
      <w:pPr>
        <w:rPr>
          <w:lang w:val="es-ES"/>
        </w:rPr>
      </w:pPr>
      <w:r>
        <w:rPr>
          <w:lang w:val="es-ES"/>
        </w:rPr>
        <w:t>a)</w:t>
      </w:r>
      <w:r>
        <w:rPr>
          <w:lang w:val="es-ES"/>
        </w:rPr>
        <w:tab/>
        <w:t>que en la Recomendación UIT-R F.1094 se define la máxima degradación admisible de los objetivos de característica de error debida a la interferencia procedente de otros servicios que comporten la misma banda de frecuencias a título primario en igualdad de condiciones;</w:t>
      </w:r>
    </w:p>
    <w:p w:rsidR="008A0B50" w:rsidRPr="004C3697" w:rsidRDefault="008A0B50" w:rsidP="008A0B50">
      <w:pPr>
        <w:rPr>
          <w:lang w:val="es-ES"/>
        </w:rPr>
      </w:pPr>
      <w:r>
        <w:rPr>
          <w:lang w:val="es-ES"/>
        </w:rPr>
        <w:t>b)</w:t>
      </w:r>
      <w:r>
        <w:rPr>
          <w:lang w:val="es-ES"/>
        </w:rPr>
        <w:tab/>
        <w:t>que se define en la Recomendación UIT-R F.1565 la degradación admisible de la calidad de funcionamiento de los sistemas inalámbricos fijos debido a la interferencia causada por otros servicios que comparten las mismas bandas de frecuencias a título primario en igualdad de condiciones, expresada como fracción admisible de los objetivos de característica de error totales,</w:t>
      </w:r>
    </w:p>
    <w:p w:rsidR="008A0B50" w:rsidRDefault="008A0B50" w:rsidP="008A0B50">
      <w:pPr>
        <w:pStyle w:val="Call"/>
        <w:rPr>
          <w:lang w:val="es-ES"/>
        </w:rPr>
      </w:pPr>
      <w:r>
        <w:rPr>
          <w:lang w:val="es-ES"/>
        </w:rPr>
        <w:t>recomienda</w:t>
      </w:r>
    </w:p>
    <w:p w:rsidR="008A0B50" w:rsidRDefault="008A0B50" w:rsidP="008A0B50">
      <w:pPr>
        <w:rPr>
          <w:lang w:val="es-ES"/>
        </w:rPr>
      </w:pPr>
      <w:r>
        <w:rPr>
          <w:b/>
          <w:bCs/>
          <w:lang w:val="es-ES"/>
        </w:rPr>
        <w:t>1</w:t>
      </w:r>
      <w:r>
        <w:rPr>
          <w:lang w:val="es-ES"/>
        </w:rPr>
        <w:tab/>
        <w:t>que se utilicen los criterios de interferencia siguientes para proteger los sistemas del servicio fijo contra la interferencia combinada variable ocasionada por sistemas de otros servicios que funcionan en las bandas 37-40 GHz y 40,5-42,5 GHz, también a título primario;</w:t>
      </w:r>
    </w:p>
    <w:p w:rsidR="008A0B50" w:rsidRDefault="008A0B50" w:rsidP="008A0B50">
      <w:pPr>
        <w:rPr>
          <w:lang w:val="es-ES"/>
        </w:rPr>
      </w:pPr>
      <w:r>
        <w:rPr>
          <w:b/>
          <w:bCs/>
          <w:lang w:val="es-ES"/>
        </w:rPr>
        <w:t>1.1</w:t>
      </w:r>
      <w:r>
        <w:rPr>
          <w:lang w:val="es-ES"/>
        </w:rPr>
        <w:tab/>
        <w:t>que para la interferencia de larga duración, la relación interferencia/ruido (</w:t>
      </w:r>
      <w:r>
        <w:rPr>
          <w:i/>
          <w:iCs/>
          <w:lang w:val="es-ES"/>
        </w:rPr>
        <w:t>I</w:t>
      </w:r>
      <w:r>
        <w:rPr>
          <w:lang w:val="es-ES"/>
        </w:rPr>
        <w:t>/</w:t>
      </w:r>
      <w:r>
        <w:rPr>
          <w:i/>
          <w:iCs/>
          <w:lang w:val="es-ES"/>
        </w:rPr>
        <w:t>N</w:t>
      </w:r>
      <w:r>
        <w:rPr>
          <w:lang w:val="es-ES"/>
        </w:rPr>
        <w:t>) a la entrada del receptor del servicio fijo no supere el valor de –10 dB durante más del 20% del tiempo (véase la Nota 1);</w:t>
      </w:r>
    </w:p>
    <w:p w:rsidR="008A0B50" w:rsidRDefault="008A0B50" w:rsidP="00094B36">
      <w:pPr>
        <w:spacing w:line="270" w:lineRule="exact"/>
        <w:rPr>
          <w:lang w:val="es-ES"/>
        </w:rPr>
      </w:pPr>
      <w:r>
        <w:rPr>
          <w:b/>
          <w:bCs/>
          <w:lang w:val="es-ES"/>
        </w:rPr>
        <w:t>1.2</w:t>
      </w:r>
      <w:r>
        <w:rPr>
          <w:lang w:val="es-ES"/>
        </w:rPr>
        <w:tab/>
        <w:t xml:space="preserve">que para la interferencia de corta duración, la relación </w:t>
      </w:r>
      <w:r>
        <w:rPr>
          <w:i/>
          <w:iCs/>
          <w:lang w:val="es-ES"/>
        </w:rPr>
        <w:t>I</w:t>
      </w:r>
      <w:r>
        <w:rPr>
          <w:lang w:val="es-ES"/>
        </w:rPr>
        <w:t>/</w:t>
      </w:r>
      <w:r>
        <w:rPr>
          <w:i/>
          <w:iCs/>
          <w:lang w:val="es-ES"/>
        </w:rPr>
        <w:t>N</w:t>
      </w:r>
      <w:r>
        <w:rPr>
          <w:lang w:val="es-ES"/>
        </w:rPr>
        <w:t xml:space="preserve"> a la entrada del receptor del servicio fijo no supere el valor de </w:t>
      </w:r>
      <w:r w:rsidR="00094B36">
        <w:rPr>
          <w:lang w:val="es-ES"/>
        </w:rPr>
        <w:sym w:font="Symbol" w:char="F02B"/>
      </w:r>
      <w:r>
        <w:rPr>
          <w:lang w:val="es-ES"/>
        </w:rPr>
        <w:t>10 dB durante más del 0,013% del tiempo para los sistemas que son conformes con la Recomendación UIT-T G.828, o del 0,05% del tiempo para los demás sistemas (véase la Nota 1);</w:t>
      </w:r>
    </w:p>
    <w:p w:rsidR="008A0B50" w:rsidRDefault="008A0B50" w:rsidP="00094B36">
      <w:pPr>
        <w:spacing w:line="270" w:lineRule="exact"/>
        <w:rPr>
          <w:lang w:val="es-ES"/>
        </w:rPr>
      </w:pPr>
      <w:r>
        <w:rPr>
          <w:b/>
          <w:bCs/>
          <w:lang w:val="es-ES"/>
        </w:rPr>
        <w:t>1.3</w:t>
      </w:r>
      <w:r>
        <w:rPr>
          <w:lang w:val="es-ES"/>
        </w:rPr>
        <w:tab/>
        <w:t xml:space="preserve">que para la interferencia de corta duración, en algunos enlaces de ciertas aplicaciones de acceso inalámbrico de banda ancha (BWA), la relación </w:t>
      </w:r>
      <w:r>
        <w:rPr>
          <w:i/>
          <w:iCs/>
          <w:lang w:val="es-ES"/>
        </w:rPr>
        <w:t>I</w:t>
      </w:r>
      <w:r>
        <w:rPr>
          <w:lang w:val="es-ES"/>
        </w:rPr>
        <w:t>/</w:t>
      </w:r>
      <w:r>
        <w:rPr>
          <w:i/>
          <w:iCs/>
          <w:lang w:val="es-ES"/>
        </w:rPr>
        <w:t>N</w:t>
      </w:r>
      <w:r>
        <w:rPr>
          <w:lang w:val="es-ES"/>
        </w:rPr>
        <w:t xml:space="preserve"> a la entrada del receptor del servicio fijo no supere el valor de </w:t>
      </w:r>
      <w:r w:rsidR="00094B36">
        <w:rPr>
          <w:lang w:val="es-ES"/>
        </w:rPr>
        <w:sym w:font="Symbol" w:char="F02B"/>
      </w:r>
      <w:r>
        <w:rPr>
          <w:lang w:val="es-ES"/>
        </w:rPr>
        <w:t>5 dB durante más del 0,013% del tiempo para los sistemas que son conformes con la Recomendación UIT-T G.828, o del 0,05% del tiempo para los demás sistemas (véase la Nota 1);</w:t>
      </w:r>
    </w:p>
    <w:p w:rsidR="008A0B50" w:rsidRDefault="008A0B50" w:rsidP="008A0B50">
      <w:pPr>
        <w:rPr>
          <w:lang w:val="es-ES"/>
        </w:rPr>
      </w:pPr>
      <w:r>
        <w:rPr>
          <w:b/>
          <w:bCs/>
          <w:lang w:val="es-ES"/>
        </w:rPr>
        <w:t>2</w:t>
      </w:r>
      <w:r>
        <w:rPr>
          <w:lang w:val="es-ES"/>
        </w:rPr>
        <w:tab/>
        <w:t>que se utilice la información que figura en el Anexo 1 para aplicar esta Recomendación.</w:t>
      </w:r>
    </w:p>
    <w:p w:rsidR="008A0B50" w:rsidRDefault="008A0B50" w:rsidP="008A0B50">
      <w:pPr>
        <w:rPr>
          <w:lang w:val="es-ES"/>
        </w:rPr>
      </w:pPr>
      <w:r>
        <w:rPr>
          <w:lang w:val="es-ES"/>
        </w:rPr>
        <w:t xml:space="preserve">NOTA 1 – Estos niveles de </w:t>
      </w:r>
      <w:r>
        <w:rPr>
          <w:i/>
          <w:iCs/>
          <w:lang w:val="es-ES"/>
        </w:rPr>
        <w:t>I</w:t>
      </w:r>
      <w:r>
        <w:rPr>
          <w:lang w:val="es-ES"/>
        </w:rPr>
        <w:t>/</w:t>
      </w:r>
      <w:r>
        <w:rPr>
          <w:i/>
          <w:iCs/>
          <w:lang w:val="es-ES"/>
        </w:rPr>
        <w:t>N</w:t>
      </w:r>
      <w:r>
        <w:rPr>
          <w:lang w:val="es-ES"/>
        </w:rPr>
        <w:t xml:space="preserve"> se refieren al ruido total a la entrada del receptor, incluido el nivel de ruido del sistema (</w:t>
      </w:r>
      <w:r>
        <w:rPr>
          <w:i/>
          <w:iCs/>
          <w:lang w:val="es-ES"/>
        </w:rPr>
        <w:t>k T BF</w:t>
      </w:r>
      <w:r>
        <w:rPr>
          <w:lang w:val="es-ES"/>
        </w:rPr>
        <w:t>) más 1 dB para tener en cuenta la interferencia dentro del servicio (véase el § 5 del Anexo 1).</w:t>
      </w:r>
    </w:p>
    <w:p w:rsidR="008A0B50" w:rsidRDefault="008A0B50" w:rsidP="00286C0A">
      <w:pPr>
        <w:pStyle w:val="AnnexNoTitle"/>
        <w:rPr>
          <w:lang w:val="es-ES"/>
        </w:rPr>
      </w:pPr>
      <w:r>
        <w:rPr>
          <w:lang w:val="es-ES"/>
        </w:rPr>
        <w:lastRenderedPageBreak/>
        <w:t>Anexo 1</w:t>
      </w:r>
      <w:r>
        <w:rPr>
          <w:lang w:val="es-ES"/>
        </w:rPr>
        <w:br/>
      </w:r>
      <w:r>
        <w:rPr>
          <w:lang w:val="es-ES"/>
        </w:rPr>
        <w:br/>
        <w:t>Deducción de los criterios de protección del servicio fijo contra</w:t>
      </w:r>
      <w:r w:rsidR="00286C0A">
        <w:rPr>
          <w:lang w:val="es-ES"/>
        </w:rPr>
        <w:t xml:space="preserve"> </w:t>
      </w:r>
      <w:r>
        <w:rPr>
          <w:lang w:val="es-ES"/>
        </w:rPr>
        <w:t>la interferencia</w:t>
      </w:r>
      <w:r w:rsidR="00286C0A">
        <w:rPr>
          <w:lang w:val="es-ES"/>
        </w:rPr>
        <w:br/>
      </w:r>
      <w:r>
        <w:rPr>
          <w:lang w:val="es-ES"/>
        </w:rPr>
        <w:t>combinada en las bandas 37-40 GHz y 40,5-42,5 GHz</w:t>
      </w:r>
    </w:p>
    <w:p w:rsidR="008A0B50" w:rsidRDefault="008A0B50" w:rsidP="008A0B50">
      <w:pPr>
        <w:pStyle w:val="Heading1"/>
        <w:rPr>
          <w:lang w:val="es-ES"/>
        </w:rPr>
      </w:pPr>
      <w:r>
        <w:rPr>
          <w:lang w:val="es-ES"/>
        </w:rPr>
        <w:t>1</w:t>
      </w:r>
      <w:r>
        <w:rPr>
          <w:lang w:val="es-ES"/>
        </w:rPr>
        <w:tab/>
        <w:t>Introducción</w:t>
      </w:r>
    </w:p>
    <w:p w:rsidR="008A0B50" w:rsidRDefault="008A0B50" w:rsidP="008A0B50">
      <w:pPr>
        <w:rPr>
          <w:lang w:val="es-ES"/>
        </w:rPr>
      </w:pPr>
      <w:r>
        <w:rPr>
          <w:lang w:val="es-ES"/>
        </w:rPr>
        <w:t>La metodología presentada en este Anexo se basa en la suposición de que el desvanecimiento en las bandas de 38 GHz y 40 GHz es debido principalmente a la lluvia y que, por tanto, aun cuando la interferencia de larga duración tenga efectos sobre la calidad de funcionamiento del enlace, la principal causa de interrupción del enlace del servicio fijo es que el nivel de interferencia es superior al margen de desvanecimiento del enlace, cualesquiera que sean las condiciones de propagación.</w:t>
      </w:r>
    </w:p>
    <w:p w:rsidR="008A0B50" w:rsidRDefault="008A0B50" w:rsidP="008A0B50">
      <w:pPr>
        <w:rPr>
          <w:lang w:val="es-ES"/>
        </w:rPr>
      </w:pPr>
      <w:r>
        <w:rPr>
          <w:lang w:val="es-ES"/>
        </w:rPr>
        <w:t>De acuerdo con lo anterior, se realiza la siguiente distribución de los efectos de la interferencia sobre la degradación del enlace (y sobre los EPO):</w:t>
      </w:r>
    </w:p>
    <w:p w:rsidR="008A0B50" w:rsidRDefault="008A0B50" w:rsidP="008A0B50">
      <w:pPr>
        <w:pStyle w:val="enumlev1"/>
        <w:rPr>
          <w:lang w:val="es-ES"/>
        </w:rPr>
      </w:pPr>
      <w:r>
        <w:rPr>
          <w:lang w:val="es-ES"/>
        </w:rPr>
        <w:t>–</w:t>
      </w:r>
      <w:r>
        <w:rPr>
          <w:lang w:val="es-ES"/>
        </w:rPr>
        <w:tab/>
        <w:t>el 20% de la degradación de enlace del servicio fijo se debe a la interferencia de larga duración;</w:t>
      </w:r>
    </w:p>
    <w:p w:rsidR="008A0B50" w:rsidRDefault="008A0B50" w:rsidP="008A0B50">
      <w:pPr>
        <w:pStyle w:val="enumlev1"/>
        <w:rPr>
          <w:lang w:val="es-ES"/>
        </w:rPr>
      </w:pPr>
      <w:r>
        <w:rPr>
          <w:lang w:val="es-ES"/>
        </w:rPr>
        <w:t>–</w:t>
      </w:r>
      <w:r>
        <w:rPr>
          <w:lang w:val="es-ES"/>
        </w:rPr>
        <w:tab/>
        <w:t>el 80% de la degradación de enlace del servicio fijo se debe a la interferencia de corta duración.</w:t>
      </w:r>
    </w:p>
    <w:p w:rsidR="008A0B50" w:rsidRDefault="008A0B50" w:rsidP="008A0B50">
      <w:pPr>
        <w:pStyle w:val="Heading1"/>
        <w:rPr>
          <w:lang w:val="es-ES"/>
        </w:rPr>
      </w:pPr>
      <w:r>
        <w:rPr>
          <w:lang w:val="es-ES"/>
        </w:rPr>
        <w:t>2</w:t>
      </w:r>
      <w:r>
        <w:rPr>
          <w:lang w:val="es-ES"/>
        </w:rPr>
        <w:tab/>
        <w:t>EPO</w:t>
      </w:r>
    </w:p>
    <w:p w:rsidR="008A0B50" w:rsidRDefault="008A0B50" w:rsidP="008A0B50">
      <w:pPr>
        <w:rPr>
          <w:lang w:val="es-ES"/>
        </w:rPr>
      </w:pPr>
      <w:r>
        <w:rPr>
          <w:lang w:val="es-ES"/>
        </w:rPr>
        <w:t>En la Recomendación UIT-R F.1565 se define la degradación admisible en la calidad de funcionamiento de los FWS reales debida a la interferencia ocasionada por otros servicios que comparten la mismas bandas de frecuencia también a título primario, expresada como una fracción aceptable (10%) de los EPO.</w:t>
      </w:r>
    </w:p>
    <w:p w:rsidR="008A0B50" w:rsidRDefault="008A0B50" w:rsidP="008A0B50">
      <w:pPr>
        <w:rPr>
          <w:lang w:val="es-ES"/>
        </w:rPr>
      </w:pPr>
      <w:r>
        <w:rPr>
          <w:lang w:val="es-ES"/>
        </w:rPr>
        <w:t>Actualmente los sistemas del servicio fijo se utilizan en la banda de 38 GHz para las redes de acceso o las redes de infraestructura de telefonía móvil en aplicaciones punto a punto y punto a multipunto. Como ya se han previsto estas mismas aplicaciones en la banda de 40 GHz, en los estudios actuales se han utilizado los mismos EPO de referencia en ambas bandas sobre la base de la sección de red de acceso o de la sección de red intercentrales de corta distancia, que en la Recomendación UIT</w:t>
      </w:r>
      <w:r>
        <w:rPr>
          <w:lang w:val="es-ES"/>
        </w:rPr>
        <w:noBreakHyphen/>
        <w:t xml:space="preserve">R F.1565 se consideran similares. </w:t>
      </w:r>
    </w:p>
    <w:p w:rsidR="008A0B50" w:rsidRDefault="008A0B50" w:rsidP="008A0B50">
      <w:pPr>
        <w:rPr>
          <w:lang w:val="es-ES"/>
        </w:rPr>
      </w:pPr>
      <w:r>
        <w:rPr>
          <w:lang w:val="es-ES"/>
        </w:rPr>
        <w:t>Los correspondientes valores de los EPO se muestran en el Cuadro 1 y para su obtención se han hecho las siguientes suposiciones:</w:t>
      </w:r>
    </w:p>
    <w:p w:rsidR="008A0B50" w:rsidRDefault="008A0B50" w:rsidP="008A0B50">
      <w:pPr>
        <w:pStyle w:val="enumlev1"/>
        <w:rPr>
          <w:lang w:val="es-ES"/>
        </w:rPr>
      </w:pPr>
      <w:r>
        <w:rPr>
          <w:lang w:val="es-ES"/>
        </w:rPr>
        <w:t>–</w:t>
      </w:r>
      <w:r>
        <w:rPr>
          <w:lang w:val="es-ES"/>
        </w:rPr>
        <w:tab/>
        <w:t>sección de red de acceso o de red intercentrales de corta distancia (Cuadros 4a y 4b, o 5a y 5b de la Recomendación UIT-R F.1565;</w:t>
      </w:r>
    </w:p>
    <w:p w:rsidR="008A0B50" w:rsidRDefault="008A0B50" w:rsidP="008A0B50">
      <w:pPr>
        <w:pStyle w:val="enumlev1"/>
        <w:rPr>
          <w:lang w:val="es-ES"/>
        </w:rPr>
      </w:pPr>
      <w:r>
        <w:rPr>
          <w:lang w:val="es-ES"/>
        </w:rPr>
        <w:t>–</w:t>
      </w:r>
      <w:r>
        <w:rPr>
          <w:lang w:val="es-ES"/>
        </w:rPr>
        <w:tab/>
        <w:t>velocidad VC-3 en los Cuadros 4a y 5a, y velocidad entre 15 y 55 Mbit/s en los Cuadros 4b y 5b;</w:t>
      </w:r>
    </w:p>
    <w:p w:rsidR="008A0B50" w:rsidRDefault="008A0B50" w:rsidP="00094B36">
      <w:pPr>
        <w:pStyle w:val="enumlev1"/>
        <w:spacing w:line="270" w:lineRule="exact"/>
        <w:rPr>
          <w:lang w:val="es-ES"/>
        </w:rPr>
      </w:pPr>
      <w:r>
        <w:rPr>
          <w:lang w:val="es-ES"/>
        </w:rPr>
        <w:t>–</w:t>
      </w:r>
      <w:r>
        <w:rPr>
          <w:lang w:val="es-ES"/>
        </w:rPr>
        <w:tab/>
      </w:r>
      <w:r>
        <w:rPr>
          <w:i/>
          <w:iCs/>
          <w:lang w:val="es-ES"/>
        </w:rPr>
        <w:t>B</w:t>
      </w:r>
      <w:r>
        <w:rPr>
          <w:lang w:val="es-ES"/>
        </w:rPr>
        <w:t xml:space="preserve"> </w:t>
      </w:r>
      <w:r w:rsidR="00094B36">
        <w:rPr>
          <w:lang w:val="es-ES"/>
        </w:rPr>
        <w:sym w:font="Symbol" w:char="F03D"/>
      </w:r>
      <w:r>
        <w:rPr>
          <w:lang w:val="es-ES"/>
        </w:rPr>
        <w:t xml:space="preserve"> </w:t>
      </w:r>
      <w:r>
        <w:rPr>
          <w:i/>
          <w:iCs/>
          <w:lang w:val="es-ES"/>
        </w:rPr>
        <w:t>C</w:t>
      </w:r>
      <w:r>
        <w:rPr>
          <w:lang w:val="es-ES"/>
        </w:rPr>
        <w:t xml:space="preserve"> </w:t>
      </w:r>
      <w:r w:rsidR="00094B36">
        <w:rPr>
          <w:lang w:val="es-ES"/>
        </w:rPr>
        <w:sym w:font="Symbol" w:char="F03D"/>
      </w:r>
      <w:r>
        <w:rPr>
          <w:lang w:val="es-ES"/>
        </w:rPr>
        <w:t xml:space="preserve"> 8%.</w:t>
      </w:r>
    </w:p>
    <w:p w:rsidR="008A0B50" w:rsidRDefault="008A0B50" w:rsidP="008A0B50">
      <w:pPr>
        <w:pStyle w:val="TableNo"/>
        <w:rPr>
          <w:lang w:val="es-ES"/>
        </w:rPr>
      </w:pPr>
      <w:r>
        <w:rPr>
          <w:lang w:val="es-ES"/>
        </w:rPr>
        <w:lastRenderedPageBreak/>
        <w:t>CUADRO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86"/>
        <w:gridCol w:w="1985"/>
        <w:gridCol w:w="1985"/>
        <w:gridCol w:w="1985"/>
      </w:tblGrid>
      <w:tr w:rsidR="008A0B50" w:rsidRPr="00A366D8" w:rsidTr="00286C0A">
        <w:trPr>
          <w:cantSplit/>
          <w:jc w:val="center"/>
        </w:trPr>
        <w:tc>
          <w:tcPr>
            <w:tcW w:w="3686" w:type="dxa"/>
            <w:tcBorders>
              <w:top w:val="nil"/>
              <w:left w:val="nil"/>
              <w:bottom w:val="nil"/>
            </w:tcBorders>
          </w:tcPr>
          <w:p w:rsidR="008A0B50" w:rsidRDefault="008A0B50" w:rsidP="00094B36">
            <w:pPr>
              <w:pStyle w:val="Tabletext"/>
              <w:keepNext/>
              <w:spacing w:before="80" w:after="80"/>
              <w:jc w:val="left"/>
              <w:rPr>
                <w:lang w:val="es-ES"/>
              </w:rPr>
            </w:pPr>
          </w:p>
        </w:tc>
        <w:tc>
          <w:tcPr>
            <w:tcW w:w="1985" w:type="dxa"/>
            <w:gridSpan w:val="3"/>
          </w:tcPr>
          <w:p w:rsidR="008A0B50" w:rsidRDefault="008A0B50" w:rsidP="00BA3D3E">
            <w:pPr>
              <w:pStyle w:val="Tablehead"/>
              <w:rPr>
                <w:lang w:val="es-ES"/>
              </w:rPr>
            </w:pPr>
            <w:r>
              <w:rPr>
                <w:lang w:val="es-ES"/>
              </w:rPr>
              <w:t>EPO (fracción de cualquier mes) basados en la aplicación</w:t>
            </w:r>
            <w:r w:rsidR="00BA3D3E">
              <w:rPr>
                <w:lang w:val="es-ES"/>
              </w:rPr>
              <w:br/>
            </w:r>
            <w:r>
              <w:rPr>
                <w:lang w:val="es-ES"/>
              </w:rPr>
              <w:t>de la Recomendación UIT</w:t>
            </w:r>
            <w:r>
              <w:rPr>
                <w:lang w:val="es-ES"/>
              </w:rPr>
              <w:noBreakHyphen/>
              <w:t>R F.1565</w:t>
            </w:r>
          </w:p>
        </w:tc>
      </w:tr>
      <w:tr w:rsidR="008A0B50" w:rsidTr="00286C0A">
        <w:trPr>
          <w:cantSplit/>
          <w:jc w:val="center"/>
        </w:trPr>
        <w:tc>
          <w:tcPr>
            <w:tcW w:w="3686" w:type="dxa"/>
            <w:tcBorders>
              <w:top w:val="nil"/>
              <w:left w:val="nil"/>
              <w:bottom w:val="nil"/>
            </w:tcBorders>
          </w:tcPr>
          <w:p w:rsidR="008A0B50" w:rsidRDefault="008A0B50" w:rsidP="00094B36">
            <w:pPr>
              <w:pStyle w:val="Tabletext"/>
              <w:keepNext/>
              <w:spacing w:before="80" w:after="80"/>
              <w:jc w:val="left"/>
              <w:rPr>
                <w:lang w:val="es-ES"/>
              </w:rPr>
            </w:pPr>
          </w:p>
        </w:tc>
        <w:tc>
          <w:tcPr>
            <w:tcW w:w="1985" w:type="dxa"/>
            <w:vAlign w:val="center"/>
          </w:tcPr>
          <w:p w:rsidR="008A0B50" w:rsidRDefault="008A0B50" w:rsidP="00094B36">
            <w:pPr>
              <w:pStyle w:val="Tablehead"/>
              <w:rPr>
                <w:lang w:val="es-ES"/>
              </w:rPr>
            </w:pPr>
            <w:r>
              <w:rPr>
                <w:lang w:val="es-ES"/>
              </w:rPr>
              <w:t>Interferencia total admisible</w:t>
            </w:r>
          </w:p>
        </w:tc>
        <w:tc>
          <w:tcPr>
            <w:tcW w:w="1985" w:type="dxa"/>
            <w:vAlign w:val="center"/>
          </w:tcPr>
          <w:p w:rsidR="008A0B50" w:rsidRDefault="008A0B50" w:rsidP="00094B36">
            <w:pPr>
              <w:pStyle w:val="Tablehead"/>
              <w:rPr>
                <w:lang w:val="es-ES"/>
              </w:rPr>
            </w:pPr>
            <w:r>
              <w:rPr>
                <w:lang w:val="es-ES"/>
              </w:rPr>
              <w:t>Interferencia de larga duración</w:t>
            </w:r>
            <w:r>
              <w:rPr>
                <w:lang w:val="es-ES"/>
              </w:rPr>
              <w:br/>
              <w:t>(20%)</w:t>
            </w:r>
          </w:p>
        </w:tc>
        <w:tc>
          <w:tcPr>
            <w:tcW w:w="1985" w:type="dxa"/>
            <w:vAlign w:val="center"/>
          </w:tcPr>
          <w:p w:rsidR="008A0B50" w:rsidRDefault="008A0B50" w:rsidP="00094B36">
            <w:pPr>
              <w:pStyle w:val="Tablehead"/>
              <w:rPr>
                <w:lang w:val="es-ES"/>
              </w:rPr>
            </w:pPr>
            <w:r>
              <w:rPr>
                <w:lang w:val="es-ES"/>
              </w:rPr>
              <w:t>Interferencia de corta duración</w:t>
            </w:r>
            <w:r>
              <w:rPr>
                <w:lang w:val="es-ES"/>
              </w:rPr>
              <w:br/>
              <w:t>(80%)</w:t>
            </w:r>
          </w:p>
        </w:tc>
      </w:tr>
      <w:tr w:rsidR="008A0B50" w:rsidTr="00286C0A">
        <w:trPr>
          <w:cantSplit/>
          <w:jc w:val="center"/>
        </w:trPr>
        <w:tc>
          <w:tcPr>
            <w:tcW w:w="3686" w:type="dxa"/>
          </w:tcPr>
          <w:p w:rsidR="008A0B50" w:rsidRDefault="008A0B50" w:rsidP="00286C0A">
            <w:pPr>
              <w:pStyle w:val="Tabletext"/>
              <w:jc w:val="left"/>
              <w:rPr>
                <w:lang w:val="fr-CH"/>
              </w:rPr>
            </w:pPr>
            <w:r>
              <w:rPr>
                <w:lang w:val="es-ES"/>
              </w:rPr>
              <w:t>Tasa de segundos con errores (Rec. </w:t>
            </w:r>
            <w:r>
              <w:rPr>
                <w:lang w:val="fr-CH"/>
              </w:rPr>
              <w:t>UIT-T G.826)</w:t>
            </w:r>
          </w:p>
        </w:tc>
        <w:tc>
          <w:tcPr>
            <w:tcW w:w="1985" w:type="dxa"/>
            <w:tcBorders>
              <w:left w:val="nil"/>
            </w:tcBorders>
          </w:tcPr>
          <w:p w:rsidR="008A0B50" w:rsidRDefault="008A0B50" w:rsidP="00286C0A">
            <w:pPr>
              <w:pStyle w:val="Tabletext"/>
              <w:jc w:val="center"/>
              <w:rPr>
                <w:lang w:val="es-ES"/>
              </w:rPr>
            </w:pPr>
            <w:r>
              <w:rPr>
                <w:lang w:val="es-ES"/>
              </w:rPr>
              <w:t xml:space="preserve">6 </w:t>
            </w:r>
            <w:r w:rsidR="00094B36">
              <w:rPr>
                <w:lang w:val="es-ES"/>
              </w:rPr>
              <w:sym w:font="Symbol" w:char="F0B4"/>
            </w:r>
            <w:r>
              <w:rPr>
                <w:lang w:val="es-ES"/>
              </w:rPr>
              <w:t xml:space="preserve"> 10</w:t>
            </w:r>
            <w:r>
              <w:rPr>
                <w:vertAlign w:val="superscript"/>
                <w:lang w:val="es-ES"/>
              </w:rPr>
              <w:t>–4</w:t>
            </w:r>
          </w:p>
        </w:tc>
        <w:tc>
          <w:tcPr>
            <w:tcW w:w="1985" w:type="dxa"/>
          </w:tcPr>
          <w:p w:rsidR="008A0B50" w:rsidRDefault="008A0B50" w:rsidP="00286C0A">
            <w:pPr>
              <w:pStyle w:val="Tabletext"/>
              <w:jc w:val="center"/>
              <w:rPr>
                <w:lang w:val="es-ES"/>
              </w:rPr>
            </w:pPr>
            <w:r>
              <w:rPr>
                <w:lang w:val="es-ES"/>
              </w:rPr>
              <w:t xml:space="preserve">1,2 </w:t>
            </w:r>
            <w:r w:rsidR="00094B36">
              <w:rPr>
                <w:lang w:val="es-ES"/>
              </w:rPr>
              <w:sym w:font="Symbol" w:char="F0B4"/>
            </w:r>
            <w:r>
              <w:rPr>
                <w:lang w:val="es-ES"/>
              </w:rPr>
              <w:t xml:space="preserve"> 10</w:t>
            </w:r>
            <w:r>
              <w:rPr>
                <w:vertAlign w:val="superscript"/>
              </w:rPr>
              <w:sym w:font="Symbol" w:char="F02D"/>
            </w:r>
            <w:r>
              <w:rPr>
                <w:vertAlign w:val="superscript"/>
                <w:lang w:val="es-ES"/>
              </w:rPr>
              <w:t>4</w:t>
            </w:r>
          </w:p>
        </w:tc>
        <w:tc>
          <w:tcPr>
            <w:tcW w:w="1985" w:type="dxa"/>
          </w:tcPr>
          <w:p w:rsidR="008A0B50" w:rsidRDefault="008A0B50" w:rsidP="00286C0A">
            <w:pPr>
              <w:pStyle w:val="Tabletext"/>
              <w:jc w:val="center"/>
              <w:rPr>
                <w:lang w:val="es-ES"/>
              </w:rPr>
            </w:pPr>
            <w:r>
              <w:rPr>
                <w:lang w:val="es-ES"/>
              </w:rPr>
              <w:t xml:space="preserve">4,8 </w:t>
            </w:r>
            <w:r w:rsidR="00094B36">
              <w:rPr>
                <w:lang w:val="es-ES"/>
              </w:rPr>
              <w:sym w:font="Symbol" w:char="F0B4"/>
            </w:r>
            <w:r>
              <w:rPr>
                <w:lang w:val="es-ES"/>
              </w:rPr>
              <w:t xml:space="preserve"> 10</w:t>
            </w:r>
            <w:r>
              <w:rPr>
                <w:vertAlign w:val="superscript"/>
              </w:rPr>
              <w:sym w:font="Symbol" w:char="F02D"/>
            </w:r>
            <w:r>
              <w:rPr>
                <w:vertAlign w:val="superscript"/>
                <w:lang w:val="es-ES"/>
              </w:rPr>
              <w:t>4</w:t>
            </w:r>
          </w:p>
        </w:tc>
      </w:tr>
      <w:tr w:rsidR="008A0B50" w:rsidTr="00286C0A">
        <w:trPr>
          <w:cantSplit/>
          <w:jc w:val="center"/>
        </w:trPr>
        <w:tc>
          <w:tcPr>
            <w:tcW w:w="3686" w:type="dxa"/>
          </w:tcPr>
          <w:p w:rsidR="008A0B50" w:rsidRDefault="008A0B50" w:rsidP="00286C0A">
            <w:pPr>
              <w:pStyle w:val="Tabletext"/>
              <w:jc w:val="left"/>
              <w:rPr>
                <w:lang w:val="fr-CH"/>
              </w:rPr>
            </w:pPr>
            <w:r>
              <w:rPr>
                <w:lang w:val="es-ES"/>
              </w:rPr>
              <w:t>Tasa de segundos con errores (Rec. </w:t>
            </w:r>
            <w:r>
              <w:rPr>
                <w:lang w:val="fr-CH"/>
              </w:rPr>
              <w:t>UIT-T G.828)</w:t>
            </w:r>
          </w:p>
        </w:tc>
        <w:tc>
          <w:tcPr>
            <w:tcW w:w="1985" w:type="dxa"/>
            <w:tcBorders>
              <w:left w:val="nil"/>
            </w:tcBorders>
          </w:tcPr>
          <w:p w:rsidR="008A0B50" w:rsidRDefault="008A0B50" w:rsidP="00286C0A">
            <w:pPr>
              <w:pStyle w:val="Tabletext"/>
              <w:jc w:val="center"/>
              <w:rPr>
                <w:lang w:val="es-PE"/>
              </w:rPr>
            </w:pPr>
            <w:r>
              <w:rPr>
                <w:lang w:val="es-PE"/>
              </w:rPr>
              <w:t xml:space="preserve">1,6 </w:t>
            </w:r>
            <w:r w:rsidR="00094B36">
              <w:rPr>
                <w:lang w:val="es-PE"/>
              </w:rPr>
              <w:sym w:font="Symbol" w:char="F0B4"/>
            </w:r>
            <w:r>
              <w:rPr>
                <w:lang w:val="es-PE"/>
              </w:rPr>
              <w:t xml:space="preserve"> 10</w:t>
            </w:r>
            <w:r>
              <w:rPr>
                <w:vertAlign w:val="superscript"/>
                <w:lang w:val="es-PE"/>
              </w:rPr>
              <w:t>–4</w:t>
            </w:r>
          </w:p>
        </w:tc>
        <w:tc>
          <w:tcPr>
            <w:tcW w:w="1985" w:type="dxa"/>
          </w:tcPr>
          <w:p w:rsidR="008A0B50" w:rsidRDefault="008A0B50" w:rsidP="00286C0A">
            <w:pPr>
              <w:pStyle w:val="Tabletext"/>
              <w:jc w:val="center"/>
              <w:rPr>
                <w:lang w:val="es-PE"/>
              </w:rPr>
            </w:pPr>
            <w:r>
              <w:rPr>
                <w:lang w:val="es-PE"/>
              </w:rPr>
              <w:t xml:space="preserve">3,2 </w:t>
            </w:r>
            <w:r w:rsidR="00094B36">
              <w:rPr>
                <w:lang w:val="es-PE"/>
              </w:rPr>
              <w:sym w:font="Symbol" w:char="F0B4"/>
            </w:r>
            <w:r>
              <w:rPr>
                <w:lang w:val="es-PE"/>
              </w:rPr>
              <w:t xml:space="preserve"> 10</w:t>
            </w:r>
            <w:r>
              <w:rPr>
                <w:vertAlign w:val="superscript"/>
              </w:rPr>
              <w:sym w:font="Symbol" w:char="F02D"/>
            </w:r>
            <w:r>
              <w:rPr>
                <w:vertAlign w:val="superscript"/>
                <w:lang w:val="es-PE"/>
              </w:rPr>
              <w:t>5</w:t>
            </w:r>
          </w:p>
        </w:tc>
        <w:tc>
          <w:tcPr>
            <w:tcW w:w="1985" w:type="dxa"/>
          </w:tcPr>
          <w:p w:rsidR="008A0B50" w:rsidRDefault="008A0B50" w:rsidP="00286C0A">
            <w:pPr>
              <w:pStyle w:val="Tabletext"/>
              <w:jc w:val="center"/>
              <w:rPr>
                <w:lang w:val="es-PE"/>
              </w:rPr>
            </w:pPr>
            <w:r>
              <w:rPr>
                <w:lang w:val="es-PE"/>
              </w:rPr>
              <w:t xml:space="preserve">1,3 </w:t>
            </w:r>
            <w:r w:rsidR="00094B36">
              <w:rPr>
                <w:lang w:val="es-PE"/>
              </w:rPr>
              <w:sym w:font="Symbol" w:char="F0B4"/>
            </w:r>
            <w:r>
              <w:rPr>
                <w:lang w:val="es-PE"/>
              </w:rPr>
              <w:t xml:space="preserve"> 10</w:t>
            </w:r>
            <w:r>
              <w:rPr>
                <w:vertAlign w:val="superscript"/>
              </w:rPr>
              <w:sym w:font="Symbol" w:char="F02D"/>
            </w:r>
            <w:r>
              <w:rPr>
                <w:vertAlign w:val="superscript"/>
                <w:lang w:val="es-PE"/>
              </w:rPr>
              <w:t>4</w:t>
            </w:r>
          </w:p>
        </w:tc>
      </w:tr>
      <w:tr w:rsidR="008A0B50" w:rsidTr="00286C0A">
        <w:trPr>
          <w:cantSplit/>
          <w:jc w:val="center"/>
        </w:trPr>
        <w:tc>
          <w:tcPr>
            <w:tcW w:w="3686" w:type="dxa"/>
          </w:tcPr>
          <w:p w:rsidR="008A0B50" w:rsidRDefault="008A0B50" w:rsidP="00286C0A">
            <w:pPr>
              <w:pStyle w:val="Tabletext"/>
              <w:jc w:val="left"/>
              <w:rPr>
                <w:lang w:val="es-PE"/>
              </w:rPr>
            </w:pPr>
            <w:r>
              <w:rPr>
                <w:lang w:val="es-ES"/>
              </w:rPr>
              <w:t>Tasa de segundos con muchos errores</w:t>
            </w:r>
          </w:p>
        </w:tc>
        <w:tc>
          <w:tcPr>
            <w:tcW w:w="1985" w:type="dxa"/>
            <w:tcBorders>
              <w:left w:val="nil"/>
            </w:tcBorders>
          </w:tcPr>
          <w:p w:rsidR="008A0B50" w:rsidRDefault="008A0B50" w:rsidP="00286C0A">
            <w:pPr>
              <w:pStyle w:val="Tabletext"/>
              <w:jc w:val="center"/>
              <w:rPr>
                <w:lang w:val="es-PE"/>
              </w:rPr>
            </w:pPr>
            <w:r>
              <w:rPr>
                <w:lang w:val="es-PE"/>
              </w:rPr>
              <w:t xml:space="preserve">1,6 </w:t>
            </w:r>
            <w:r w:rsidR="00094B36">
              <w:rPr>
                <w:lang w:val="es-PE"/>
              </w:rPr>
              <w:sym w:font="Symbol" w:char="F0B4"/>
            </w:r>
            <w:r>
              <w:rPr>
                <w:lang w:val="es-PE"/>
              </w:rPr>
              <w:t xml:space="preserve"> 10</w:t>
            </w:r>
            <w:r>
              <w:rPr>
                <w:vertAlign w:val="superscript"/>
                <w:lang w:val="es-PE"/>
              </w:rPr>
              <w:t>–5</w:t>
            </w:r>
          </w:p>
        </w:tc>
        <w:tc>
          <w:tcPr>
            <w:tcW w:w="1985" w:type="dxa"/>
          </w:tcPr>
          <w:p w:rsidR="008A0B50" w:rsidRDefault="008A0B50" w:rsidP="00286C0A">
            <w:pPr>
              <w:pStyle w:val="Tabletext"/>
              <w:jc w:val="center"/>
              <w:rPr>
                <w:lang w:val="es-PE"/>
              </w:rPr>
            </w:pPr>
            <w:r>
              <w:rPr>
                <w:lang w:val="es-PE"/>
              </w:rPr>
              <w:t xml:space="preserve">3,2 </w:t>
            </w:r>
            <w:r w:rsidR="00094B36">
              <w:rPr>
                <w:lang w:val="es-PE"/>
              </w:rPr>
              <w:sym w:font="Symbol" w:char="F0B4"/>
            </w:r>
            <w:r>
              <w:rPr>
                <w:lang w:val="es-PE"/>
              </w:rPr>
              <w:t xml:space="preserve"> 10</w:t>
            </w:r>
            <w:r>
              <w:rPr>
                <w:vertAlign w:val="superscript"/>
                <w:lang w:val="es-PE"/>
              </w:rPr>
              <w:t>–6</w:t>
            </w:r>
          </w:p>
        </w:tc>
        <w:tc>
          <w:tcPr>
            <w:tcW w:w="1985" w:type="dxa"/>
          </w:tcPr>
          <w:p w:rsidR="008A0B50" w:rsidRDefault="008A0B50" w:rsidP="00094B36">
            <w:pPr>
              <w:pStyle w:val="Tabletext"/>
              <w:jc w:val="center"/>
              <w:rPr>
                <w:lang w:val="es-PE"/>
              </w:rPr>
            </w:pPr>
            <w:r>
              <w:rPr>
                <w:lang w:val="es-PE"/>
              </w:rPr>
              <w:t xml:space="preserve">1,3 </w:t>
            </w:r>
            <w:r w:rsidR="00094B36">
              <w:rPr>
                <w:lang w:val="es-PE"/>
              </w:rPr>
              <w:sym w:font="Symbol" w:char="F0B4"/>
            </w:r>
            <w:r>
              <w:rPr>
                <w:lang w:val="es-PE"/>
              </w:rPr>
              <w:t xml:space="preserve"> 10</w:t>
            </w:r>
            <w:r>
              <w:rPr>
                <w:vertAlign w:val="superscript"/>
                <w:lang w:val="es-PE"/>
              </w:rPr>
              <w:t>–5</w:t>
            </w:r>
          </w:p>
        </w:tc>
      </w:tr>
    </w:tbl>
    <w:p w:rsidR="008A0B50" w:rsidRDefault="008A0B50" w:rsidP="008A0B50">
      <w:pPr>
        <w:pStyle w:val="Tablefin"/>
        <w:rPr>
          <w:lang w:val="es-PE"/>
        </w:rPr>
      </w:pPr>
    </w:p>
    <w:p w:rsidR="008A0B50" w:rsidRDefault="008A0B50" w:rsidP="008A0B50">
      <w:pPr>
        <w:pStyle w:val="Heading1"/>
        <w:rPr>
          <w:lang w:val="es-ES"/>
        </w:rPr>
      </w:pPr>
      <w:r>
        <w:rPr>
          <w:lang w:val="es-ES"/>
        </w:rPr>
        <w:t>3</w:t>
      </w:r>
      <w:r>
        <w:rPr>
          <w:lang w:val="es-ES"/>
        </w:rPr>
        <w:tab/>
        <w:t>Criterios para la interferencia de corta duración</w:t>
      </w:r>
    </w:p>
    <w:p w:rsidR="008A0B50" w:rsidRDefault="008A0B50" w:rsidP="008A0B50">
      <w:pPr>
        <w:pStyle w:val="Heading2"/>
        <w:rPr>
          <w:lang w:val="es-ES"/>
        </w:rPr>
      </w:pPr>
      <w:r>
        <w:rPr>
          <w:lang w:val="es-ES"/>
        </w:rPr>
        <w:t>3.1</w:t>
      </w:r>
      <w:r>
        <w:rPr>
          <w:lang w:val="es-ES"/>
        </w:rPr>
        <w:tab/>
        <w:t>Metodología</w:t>
      </w:r>
    </w:p>
    <w:p w:rsidR="008A0B50" w:rsidRDefault="008A0B50" w:rsidP="008A0B50">
      <w:pPr>
        <w:rPr>
          <w:lang w:val="es-ES"/>
        </w:rPr>
      </w:pPr>
      <w:r>
        <w:rPr>
          <w:lang w:val="es-ES"/>
        </w:rPr>
        <w:t>Según se explicó en el § 1, la principal causa de interrupción del enlace del servicio fijo, en la interferencia de corta duración, es la aparición de un nivel de interferencia superior al margen de desvanecimiento del enlace, cualesquiera que sean las condiciones de propagación.</w:t>
      </w:r>
    </w:p>
    <w:p w:rsidR="008A0B50" w:rsidRDefault="008A0B50" w:rsidP="008A0B50">
      <w:pPr>
        <w:rPr>
          <w:lang w:val="es-ES"/>
        </w:rPr>
      </w:pPr>
      <w:r>
        <w:rPr>
          <w:lang w:val="es-ES"/>
        </w:rPr>
        <w:t>La definición de criterios de corta duración está, por consiguiente, ligada a los valores del margen de desvanecimiento (o del margen de desvanecimiento neto cuando haya CAPT</w:t>
      </w:r>
      <w:r>
        <w:rPr>
          <w:rStyle w:val="FootnoteReference"/>
          <w:lang w:val="es-ES"/>
        </w:rPr>
        <w:footnoteReference w:customMarkFollows="1" w:id="2"/>
        <w:t>1</w:t>
      </w:r>
      <w:r>
        <w:rPr>
          <w:lang w:val="es-ES"/>
        </w:rPr>
        <w:t>) y del EPO atribuido a la interferencia de corta duración, según se define en el Cuadro 1, suponiendo que el margen de desvanecimiento está atribuido a los criterios de corta duración.</w:t>
      </w:r>
    </w:p>
    <w:p w:rsidR="008A0B50" w:rsidRDefault="008A0B50" w:rsidP="008A0B50">
      <w:pPr>
        <w:pStyle w:val="Heading2"/>
        <w:rPr>
          <w:lang w:val="es-ES"/>
        </w:rPr>
      </w:pPr>
      <w:r>
        <w:rPr>
          <w:lang w:val="es-ES"/>
        </w:rPr>
        <w:t>3.2</w:t>
      </w:r>
      <w:r>
        <w:rPr>
          <w:lang w:val="es-ES"/>
        </w:rPr>
        <w:tab/>
        <w:t>Márgenes de desvanecimiento del servicio fijo</w:t>
      </w:r>
    </w:p>
    <w:p w:rsidR="008A0B50" w:rsidRDefault="008A0B50" w:rsidP="008D3D67">
      <w:pPr>
        <w:spacing w:line="270" w:lineRule="exact"/>
        <w:rPr>
          <w:lang w:val="es-ES"/>
        </w:rPr>
      </w:pPr>
      <w:r>
        <w:rPr>
          <w:lang w:val="es-ES"/>
        </w:rPr>
        <w:t>Dado que las longitudes del enlace son probablemente cortas, en las bandas de 38 GHz y 40 GHz un margen de 14 dB se considera representativo de los enlaces convencionales puesto que se supone que la mayoría de tales enlaces tienen un margen de desvanecimiento (o un margen de desvanecimiento neto</w:t>
      </w:r>
      <w:r>
        <w:rPr>
          <w:rStyle w:val="FootnoteReference"/>
          <w:lang w:val="es-ES"/>
        </w:rPr>
        <w:t>1</w:t>
      </w:r>
      <w:r>
        <w:rPr>
          <w:lang w:val="es-ES"/>
        </w:rPr>
        <w:t>) mayor que este valor. Cabe observar que este margen de desvanecimiento de 14</w:t>
      </w:r>
      <w:r w:rsidR="008D3D67">
        <w:rPr>
          <w:lang w:val="es-ES"/>
        </w:rPr>
        <w:t> </w:t>
      </w:r>
      <w:r>
        <w:rPr>
          <w:lang w:val="es-ES"/>
        </w:rPr>
        <w:t xml:space="preserve">dB, cuando se trate de sistemas que utilicen CAPT, corresponde a un enlace con margen más elevado (por ejemplo, 14 dB de margen de desvanecimiento neto </w:t>
      </w:r>
      <w:r w:rsidR="00094B36">
        <w:rPr>
          <w:lang w:val="es-ES"/>
        </w:rPr>
        <w:sym w:font="Symbol" w:char="F02B"/>
      </w:r>
      <w:r>
        <w:rPr>
          <w:lang w:val="es-ES"/>
        </w:rPr>
        <w:t>10 dB de gama de CAPT).</w:t>
      </w:r>
    </w:p>
    <w:p w:rsidR="008A0B50" w:rsidRDefault="008A0B50" w:rsidP="008A0B50">
      <w:pPr>
        <w:rPr>
          <w:lang w:val="es-ES"/>
        </w:rPr>
      </w:pPr>
      <w:r>
        <w:rPr>
          <w:lang w:val="es-ES"/>
        </w:rPr>
        <w:t xml:space="preserve">Por otro lado, cabe asimismo observar que en ciertas aplicaciones BWA se utiliza un margen de desvanecimiento de 10 dB para algunos enlaces cortos y que, por consiguiente, esos enlaces podrían requerir un valor </w:t>
      </w:r>
      <w:r>
        <w:rPr>
          <w:i/>
          <w:iCs/>
          <w:lang w:val="es-ES"/>
        </w:rPr>
        <w:t>I</w:t>
      </w:r>
      <w:r>
        <w:rPr>
          <w:lang w:val="es-ES"/>
        </w:rPr>
        <w:t>/</w:t>
      </w:r>
      <w:r>
        <w:rPr>
          <w:i/>
          <w:iCs/>
          <w:lang w:val="es-ES"/>
        </w:rPr>
        <w:t>N</w:t>
      </w:r>
      <w:r>
        <w:rPr>
          <w:lang w:val="es-ES"/>
        </w:rPr>
        <w:t xml:space="preserve"> menor.</w:t>
      </w:r>
    </w:p>
    <w:p w:rsidR="008A0B50" w:rsidRDefault="008A0B50" w:rsidP="008A0B50">
      <w:pPr>
        <w:rPr>
          <w:lang w:val="es-ES"/>
        </w:rPr>
      </w:pPr>
      <w:r>
        <w:rPr>
          <w:lang w:val="es-ES"/>
        </w:rPr>
        <w:t>Para ayudar a tener en cuenta estos márgenes, en el Cuadro que figura en el Apéndice 1 al Anexo 1, basado en la Recomendación UIT-R P.530, se facilita el margen debido a la lluvia necesario para tener una disponibilidad del 99,999% en longitudes de enlace mayores de 1,6 km y para cinco diferentes intensidades de lluvia, tanto con polarización vertical como horizontal.</w:t>
      </w:r>
    </w:p>
    <w:p w:rsidR="008A0B50" w:rsidRDefault="008A0B50" w:rsidP="00094B36">
      <w:pPr>
        <w:rPr>
          <w:lang w:val="es-ES"/>
        </w:rPr>
      </w:pPr>
      <w:r>
        <w:rPr>
          <w:lang w:val="es-ES"/>
        </w:rPr>
        <w:t xml:space="preserve">Ahora bien, cabe observar que el margen de desvanecimiento debido a la lluvia de 14 dB o de 10 dB en estas bandas de 37 GHz y 40 GHz se justifican mediante los cálculos que se describen en la Recomendación UIT-R P.530, en la cual no se facilitan valores del margen de desvanecimiento </w:t>
      </w:r>
      <w:r>
        <w:rPr>
          <w:lang w:val="es-ES"/>
        </w:rPr>
        <w:lastRenderedPageBreak/>
        <w:t>con respecto a una unidad de características de error, sino que se proporcionan valores absolutos de la atenuación (desvanecimiento debido a la lluvia) para un determinado porcentaje de tiempo.</w:t>
      </w:r>
    </w:p>
    <w:p w:rsidR="008A0B50" w:rsidRDefault="008A0B50" w:rsidP="008A0B50">
      <w:pPr>
        <w:rPr>
          <w:lang w:val="es-ES"/>
        </w:rPr>
      </w:pPr>
      <w:r>
        <w:rPr>
          <w:lang w:val="es-ES"/>
        </w:rPr>
        <w:t>Además, según la Recomendación UIT-R F.1498, en los enlaces diseñados para tener una disponibilidad del 99,999%, y en especial los sistemas BWA los cuales se supone que pueden competir con la fibra óptica, el margen de desvanecimiento puede referirse a una proporción de bits erróneos (BER) de 10</w:t>
      </w:r>
      <w:r>
        <w:rPr>
          <w:vertAlign w:val="superscript"/>
          <w:lang w:val="es-ES"/>
        </w:rPr>
        <w:t>–6</w:t>
      </w:r>
      <w:r>
        <w:rPr>
          <w:lang w:val="es-ES"/>
        </w:rPr>
        <w:t xml:space="preserve"> o un nivel de segundo con muchos errores (SES). Se acordó que el nivel SES sea el de referencia para el margen de desvanecimiento. Asimismo se acordó que en el diseño de enlaces del servicio fijo deben tenerse en cuenta 1,0 dB adicionales debido a la interferencia causada por el servicio fijo, razón por la cual la potencia de ruido de referencia es 1,0 dB mayor que la potencia de ruido del sistema.</w:t>
      </w:r>
    </w:p>
    <w:p w:rsidR="008A0B50" w:rsidRDefault="008A0B50" w:rsidP="008A0B50">
      <w:pPr>
        <w:rPr>
          <w:lang w:val="es-ES"/>
        </w:rPr>
      </w:pPr>
      <w:r>
        <w:rPr>
          <w:lang w:val="es-ES"/>
        </w:rPr>
        <w:t>Además, también se tuvo en cuenta que, por razones técnicas (mínima potencia factible, tamaños de antena disponibles, potencia de transmisión fija para estaciones centrales, ...) los enlaces del servicio fijo en las bandas de 38 GHz y 40 GHz, y en especial los sistemas punto a multipunto, pueden presentar un «margen de diseño suplementario» comparado con el margen debido a la lluvia. En los enlaces punto a punto, el valor mínimo de este «margen de diseño suplementario» depende del nivel de granularidad de la configuración de potencia, de los posibles atenuadores y de la ganancia de la antena que permitiría al diseñador del servicio fijo ajustar el nivel del receptor lo más posible al nivel teórico. Aunque no se ha tenido en cuenta en la definición del margen total de referencia del enlace del servicio fijo, se ha decidido considerarlo como un factor de seguridad en la deducción de los criterios de protección.</w:t>
      </w:r>
    </w:p>
    <w:p w:rsidR="008A0B50" w:rsidRDefault="008A0B50" w:rsidP="008A0B50">
      <w:pPr>
        <w:rPr>
          <w:lang w:val="es-ES"/>
        </w:rPr>
      </w:pPr>
      <w:r>
        <w:rPr>
          <w:lang w:val="es-ES"/>
        </w:rPr>
        <w:t>Como se hace referencia a los EPO en las definiciones que figuran en las Recomendaciones UIT</w:t>
      </w:r>
      <w:r>
        <w:rPr>
          <w:lang w:val="es-ES"/>
        </w:rPr>
        <w:noBreakHyphen/>
        <w:t>T G.826 y UIT-T G.828, es necesario extrapolar el margen de desvanecimiento correspon</w:t>
      </w:r>
      <w:r>
        <w:rPr>
          <w:lang w:val="es-ES"/>
        </w:rPr>
        <w:softHyphen/>
        <w:t>diente a los niveles de segundo con errores (ES) y SES. Basándose en las suposiciones acordadas, los márgenes de desvanecimiento para ES y SES son, respectivamente, 3 dB menor y 1 dB mayor que el margen de desvanecimiento que toma un nivel de BER de 10</w:t>
      </w:r>
      <w:r>
        <w:rPr>
          <w:vertAlign w:val="superscript"/>
          <w:lang w:val="es-ES"/>
        </w:rPr>
        <w:t>–6</w:t>
      </w:r>
      <w:r>
        <w:rPr>
          <w:lang w:val="es-ES"/>
        </w:rPr>
        <w:t xml:space="preserve"> como referencia, el cual es 2 dB menor que el margen de desvanecimiento referido al nivel de BER de 10</w:t>
      </w:r>
      <w:r>
        <w:rPr>
          <w:vertAlign w:val="superscript"/>
          <w:lang w:val="es-ES"/>
        </w:rPr>
        <w:t>–3</w:t>
      </w:r>
      <w:r>
        <w:rPr>
          <w:lang w:val="es-ES"/>
        </w:rPr>
        <w:t>. En el Cuadro 2 se muestran los diferentes valores de los márgenes de desvanecimiento, los cuales junto con los correspondientes valores de EPO permiten definir dos criterios de corta duración para el servicio fijo en las bandas.</w:t>
      </w:r>
    </w:p>
    <w:p w:rsidR="008A0B50" w:rsidRDefault="008A0B50" w:rsidP="008A0B50">
      <w:pPr>
        <w:pStyle w:val="TableNo"/>
        <w:rPr>
          <w:lang w:val="es-ES"/>
        </w:rPr>
      </w:pPr>
      <w:r>
        <w:rPr>
          <w:lang w:val="es-ES"/>
        </w:rPr>
        <w:t>CUADRO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18"/>
        <w:gridCol w:w="2268"/>
        <w:gridCol w:w="2268"/>
        <w:gridCol w:w="1985"/>
      </w:tblGrid>
      <w:tr w:rsidR="008A0B50" w:rsidTr="002E4C8D">
        <w:trPr>
          <w:cantSplit/>
          <w:jc w:val="center"/>
        </w:trPr>
        <w:tc>
          <w:tcPr>
            <w:tcW w:w="3118" w:type="dxa"/>
            <w:tcBorders>
              <w:top w:val="nil"/>
              <w:left w:val="nil"/>
              <w:bottom w:val="single" w:sz="6" w:space="0" w:color="auto"/>
            </w:tcBorders>
            <w:vAlign w:val="center"/>
          </w:tcPr>
          <w:p w:rsidR="008A0B50" w:rsidRDefault="008A0B50" w:rsidP="008D3D67">
            <w:pPr>
              <w:jc w:val="center"/>
              <w:rPr>
                <w:lang w:val="es-ES"/>
              </w:rPr>
            </w:pPr>
          </w:p>
        </w:tc>
        <w:tc>
          <w:tcPr>
            <w:tcW w:w="2268" w:type="dxa"/>
            <w:tcBorders>
              <w:bottom w:val="single" w:sz="6" w:space="0" w:color="auto"/>
            </w:tcBorders>
            <w:vAlign w:val="center"/>
          </w:tcPr>
          <w:p w:rsidR="008A0B50" w:rsidRDefault="008A0B50" w:rsidP="008D3D67">
            <w:pPr>
              <w:pStyle w:val="Tablehead"/>
              <w:rPr>
                <w:lang w:val="es-ES"/>
              </w:rPr>
            </w:pPr>
            <w:r>
              <w:rPr>
                <w:lang w:val="es-ES"/>
              </w:rPr>
              <w:t>Margen debido a la lluvia de 14 dB</w:t>
            </w:r>
            <w:r>
              <w:rPr>
                <w:lang w:val="es-ES"/>
              </w:rPr>
              <w:br/>
              <w:t>(dB)</w:t>
            </w:r>
          </w:p>
        </w:tc>
        <w:tc>
          <w:tcPr>
            <w:tcW w:w="2268" w:type="dxa"/>
            <w:tcBorders>
              <w:bottom w:val="single" w:sz="6" w:space="0" w:color="auto"/>
            </w:tcBorders>
            <w:vAlign w:val="center"/>
          </w:tcPr>
          <w:p w:rsidR="008A0B50" w:rsidRDefault="008A0B50" w:rsidP="008D3D67">
            <w:pPr>
              <w:pStyle w:val="Tablehead"/>
              <w:rPr>
                <w:lang w:val="es-ES"/>
              </w:rPr>
            </w:pPr>
            <w:r>
              <w:rPr>
                <w:lang w:val="es-ES"/>
              </w:rPr>
              <w:t>Margen debido a la lluvia de 10 dB</w:t>
            </w:r>
            <w:r>
              <w:rPr>
                <w:lang w:val="es-ES"/>
              </w:rPr>
              <w:br/>
              <w:t>(dB)</w:t>
            </w:r>
          </w:p>
        </w:tc>
        <w:tc>
          <w:tcPr>
            <w:tcW w:w="1985" w:type="dxa"/>
            <w:tcBorders>
              <w:bottom w:val="single" w:sz="6" w:space="0" w:color="auto"/>
            </w:tcBorders>
            <w:vAlign w:val="center"/>
          </w:tcPr>
          <w:p w:rsidR="008A0B50" w:rsidRDefault="008A0B50" w:rsidP="008D3D67">
            <w:pPr>
              <w:pStyle w:val="Tablehead"/>
              <w:rPr>
                <w:lang w:val="es-ES"/>
              </w:rPr>
            </w:pPr>
            <w:r>
              <w:rPr>
                <w:lang w:val="es-ES"/>
              </w:rPr>
              <w:t>EPO asociado</w:t>
            </w:r>
          </w:p>
        </w:tc>
      </w:tr>
      <w:tr w:rsidR="008A0B50" w:rsidTr="002E4C8D">
        <w:trPr>
          <w:cantSplit/>
          <w:jc w:val="center"/>
        </w:trPr>
        <w:tc>
          <w:tcPr>
            <w:tcW w:w="311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left"/>
              <w:rPr>
                <w:lang w:val="fr-CH"/>
              </w:rPr>
            </w:pPr>
            <w:r w:rsidRPr="005164AC">
              <w:rPr>
                <w:lang w:val="fr-CH"/>
              </w:rPr>
              <w:t xml:space="preserve">ES (Rec. </w:t>
            </w:r>
            <w:r>
              <w:rPr>
                <w:lang w:val="fr-CH"/>
              </w:rPr>
              <w:t>UIT-T G.826)</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center"/>
              <w:rPr>
                <w:lang w:val="fr-CH"/>
              </w:rPr>
            </w:pPr>
            <w:r>
              <w:rPr>
                <w:lang w:val="fr-CH"/>
              </w:rPr>
              <w:t>10</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6</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spacing w:line="240" w:lineRule="exact"/>
              <w:jc w:val="center"/>
              <w:rPr>
                <w:lang w:val="fr-CH"/>
              </w:rPr>
            </w:pPr>
            <w:r>
              <w:rPr>
                <w:lang w:val="fr-CH"/>
              </w:rPr>
              <w:t xml:space="preserve">4,8 </w:t>
            </w:r>
            <w:r w:rsidR="00094B36">
              <w:rPr>
                <w:lang w:val="fr-CH"/>
              </w:rPr>
              <w:sym w:font="Symbol" w:char="F0B4"/>
            </w:r>
            <w:r>
              <w:rPr>
                <w:lang w:val="fr-CH"/>
              </w:rPr>
              <w:t xml:space="preserve"> 10</w:t>
            </w:r>
            <w:r>
              <w:rPr>
                <w:vertAlign w:val="superscript"/>
                <w:lang w:val="fr-CH"/>
              </w:rPr>
              <w:t>–4</w:t>
            </w:r>
          </w:p>
        </w:tc>
      </w:tr>
      <w:tr w:rsidR="008A0B50" w:rsidTr="002E4C8D">
        <w:trPr>
          <w:cantSplit/>
          <w:jc w:val="center"/>
        </w:trPr>
        <w:tc>
          <w:tcPr>
            <w:tcW w:w="311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left"/>
              <w:rPr>
                <w:lang w:val="fr-CH"/>
              </w:rPr>
            </w:pPr>
            <w:r w:rsidRPr="005164AC">
              <w:rPr>
                <w:lang w:val="fr-CH"/>
              </w:rPr>
              <w:t>ES</w:t>
            </w:r>
            <w:r>
              <w:rPr>
                <w:lang w:val="fr-CH"/>
              </w:rPr>
              <w:t xml:space="preserve"> (Rec. UIT-T G.828)</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center"/>
              <w:rPr>
                <w:lang w:val="fr-CH"/>
              </w:rPr>
            </w:pPr>
            <w:r>
              <w:rPr>
                <w:lang w:val="fr-CH"/>
              </w:rPr>
              <w:t>10</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6</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spacing w:line="240" w:lineRule="exact"/>
              <w:jc w:val="center"/>
              <w:rPr>
                <w:lang w:val="fr-CH"/>
              </w:rPr>
            </w:pPr>
            <w:r>
              <w:rPr>
                <w:lang w:val="fr-CH"/>
              </w:rPr>
              <w:t xml:space="preserve">1,3 </w:t>
            </w:r>
            <w:r w:rsidR="00094B36">
              <w:rPr>
                <w:lang w:val="fr-CH"/>
              </w:rPr>
              <w:sym w:font="Symbol" w:char="F0B4"/>
            </w:r>
            <w:r>
              <w:rPr>
                <w:lang w:val="fr-CH"/>
              </w:rPr>
              <w:t xml:space="preserve"> 10</w:t>
            </w:r>
            <w:r>
              <w:rPr>
                <w:vertAlign w:val="superscript"/>
                <w:lang w:val="fr-CH"/>
              </w:rPr>
              <w:t>–4</w:t>
            </w:r>
          </w:p>
        </w:tc>
      </w:tr>
      <w:tr w:rsidR="008A0B50" w:rsidTr="002E4C8D">
        <w:trPr>
          <w:cantSplit/>
          <w:jc w:val="center"/>
        </w:trPr>
        <w:tc>
          <w:tcPr>
            <w:tcW w:w="311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left"/>
              <w:rPr>
                <w:lang w:val="fr-CH"/>
              </w:rPr>
            </w:pPr>
            <w:r>
              <w:rPr>
                <w:lang w:val="fr-CH"/>
              </w:rPr>
              <w:t>BER de 10</w:t>
            </w:r>
            <w:r>
              <w:rPr>
                <w:vertAlign w:val="superscript"/>
                <w:lang w:val="fr-CH"/>
              </w:rPr>
              <w:t>–6</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center"/>
              <w:rPr>
                <w:lang w:val="fr-CH"/>
              </w:rPr>
            </w:pPr>
            <w:r>
              <w:rPr>
                <w:lang w:val="fr-CH"/>
              </w:rPr>
              <w:t>13</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9</w:t>
            </w:r>
          </w:p>
        </w:tc>
        <w:tc>
          <w:tcPr>
            <w:tcW w:w="1985"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8A0B50" w:rsidRDefault="008A0B50" w:rsidP="00286C0A">
            <w:pPr>
              <w:pStyle w:val="Tabletext"/>
              <w:jc w:val="center"/>
              <w:rPr>
                <w:lang w:val="fr-CH"/>
              </w:rPr>
            </w:pPr>
          </w:p>
        </w:tc>
      </w:tr>
      <w:tr w:rsidR="008A0B50" w:rsidTr="002E4C8D">
        <w:trPr>
          <w:cantSplit/>
          <w:jc w:val="center"/>
        </w:trPr>
        <w:tc>
          <w:tcPr>
            <w:tcW w:w="311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spacing w:line="240" w:lineRule="exact"/>
              <w:rPr>
                <w:lang w:val="fr-CH"/>
              </w:rPr>
            </w:pPr>
            <w:r>
              <w:rPr>
                <w:lang w:val="fr-CH"/>
              </w:rPr>
              <w:t>SES</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center"/>
              <w:rPr>
                <w:lang w:val="es-ES"/>
              </w:rPr>
            </w:pPr>
            <w:r>
              <w:rPr>
                <w:lang w:val="es-ES"/>
              </w:rPr>
              <w:t>14</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lang w:val="es-ES"/>
              </w:rPr>
            </w:pPr>
            <w:r>
              <w:rPr>
                <w:lang w:val="es-ES"/>
              </w:rPr>
              <w:t>10</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094B36">
            <w:pPr>
              <w:pStyle w:val="Tabletext"/>
              <w:spacing w:line="240" w:lineRule="exact"/>
              <w:jc w:val="center"/>
              <w:rPr>
                <w:lang w:val="es-ES"/>
              </w:rPr>
            </w:pPr>
            <w:r>
              <w:rPr>
                <w:lang w:val="es-ES"/>
              </w:rPr>
              <w:t xml:space="preserve">1,3 </w:t>
            </w:r>
            <w:r w:rsidR="00094B36">
              <w:rPr>
                <w:lang w:val="es-ES"/>
              </w:rPr>
              <w:sym w:font="Symbol" w:char="F0B4"/>
            </w:r>
            <w:r>
              <w:rPr>
                <w:lang w:val="es-ES"/>
              </w:rPr>
              <w:t xml:space="preserve"> 10</w:t>
            </w:r>
            <w:r>
              <w:rPr>
                <w:vertAlign w:val="superscript"/>
                <w:lang w:val="es-ES"/>
              </w:rPr>
              <w:t>–5</w:t>
            </w:r>
          </w:p>
        </w:tc>
      </w:tr>
      <w:tr w:rsidR="008A0B50" w:rsidTr="002E4C8D">
        <w:trPr>
          <w:cantSplit/>
          <w:jc w:val="center"/>
        </w:trPr>
        <w:tc>
          <w:tcPr>
            <w:tcW w:w="311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left"/>
              <w:rPr>
                <w:lang w:val="es-ES"/>
              </w:rPr>
            </w:pPr>
            <w:r>
              <w:rPr>
                <w:lang w:val="es-ES"/>
              </w:rPr>
              <w:t>BER de 10</w:t>
            </w:r>
            <w:r>
              <w:rPr>
                <w:vertAlign w:val="superscript"/>
                <w:lang w:val="es-ES"/>
              </w:rPr>
              <w:t>–3</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jc w:val="center"/>
              <w:rPr>
                <w:lang w:val="es-ES"/>
              </w:rPr>
            </w:pPr>
            <w:r>
              <w:rPr>
                <w:lang w:val="es-ES"/>
              </w:rPr>
              <w:t>15</w:t>
            </w:r>
          </w:p>
        </w:tc>
        <w:tc>
          <w:tcPr>
            <w:tcW w:w="2268" w:type="dxa"/>
            <w:tcBorders>
              <w:top w:val="single" w:sz="6" w:space="0" w:color="auto"/>
              <w:left w:val="single" w:sz="6" w:space="0" w:color="auto"/>
              <w:bottom w:val="single" w:sz="6" w:space="0" w:color="auto"/>
              <w:right w:val="single" w:sz="6" w:space="0" w:color="auto"/>
            </w:tcBorders>
            <w:tcMar>
              <w:left w:w="108" w:type="dxa"/>
              <w:right w:w="108" w:type="dxa"/>
            </w:tcMar>
          </w:tcPr>
          <w:p w:rsidR="008A0B50" w:rsidRDefault="008A0B50" w:rsidP="00286C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11</w:t>
            </w:r>
          </w:p>
        </w:tc>
        <w:tc>
          <w:tcPr>
            <w:tcW w:w="1985"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8A0B50" w:rsidRDefault="008A0B50" w:rsidP="00286C0A">
            <w:pPr>
              <w:pStyle w:val="Tabletext"/>
              <w:jc w:val="center"/>
              <w:rPr>
                <w:lang w:val="es-ES"/>
              </w:rPr>
            </w:pPr>
          </w:p>
        </w:tc>
      </w:tr>
    </w:tbl>
    <w:p w:rsidR="008A0B50" w:rsidRPr="00286C0A" w:rsidRDefault="008A0B50" w:rsidP="00286C0A">
      <w:pPr>
        <w:pStyle w:val="Tablefin"/>
      </w:pPr>
    </w:p>
    <w:p w:rsidR="008A0B50" w:rsidRDefault="008A0B50" w:rsidP="008A0B50">
      <w:pPr>
        <w:rPr>
          <w:lang w:val="es-ES"/>
        </w:rPr>
      </w:pPr>
      <w:r>
        <w:rPr>
          <w:lang w:val="es-ES"/>
        </w:rPr>
        <w:t>Como generalmente la forma de las distribuciones de interferencia calculadas muestran que cuando se satisfacen los criterios para ES, también se satisfacen para SES, se ha decidido conservar únicamente los criterios basados en ES en aras de la simplificación.</w:t>
      </w:r>
    </w:p>
    <w:p w:rsidR="008A0B50" w:rsidRDefault="008A0B50" w:rsidP="00094B36">
      <w:pPr>
        <w:spacing w:line="270" w:lineRule="exact"/>
        <w:rPr>
          <w:lang w:val="es-ES"/>
        </w:rPr>
      </w:pPr>
      <w:r>
        <w:rPr>
          <w:lang w:val="es-ES"/>
        </w:rPr>
        <w:t xml:space="preserve">Supóngase que </w:t>
      </w:r>
      <w:r>
        <w:rPr>
          <w:i/>
          <w:iCs/>
          <w:lang w:val="es-ES"/>
        </w:rPr>
        <w:t>M</w:t>
      </w:r>
      <w:r>
        <w:rPr>
          <w:i/>
          <w:iCs/>
          <w:vertAlign w:val="subscript"/>
          <w:lang w:val="es-ES"/>
        </w:rPr>
        <w:t>SES</w:t>
      </w:r>
      <w:r>
        <w:rPr>
          <w:lang w:val="es-ES"/>
        </w:rPr>
        <w:t xml:space="preserve"> es el margen de desvanecimiento para el cual la relación </w:t>
      </w:r>
      <w:r>
        <w:rPr>
          <w:i/>
          <w:iCs/>
          <w:lang w:val="es-ES"/>
        </w:rPr>
        <w:t>C</w:t>
      </w:r>
      <w:r>
        <w:rPr>
          <w:lang w:val="es-ES"/>
        </w:rPr>
        <w:t>/</w:t>
      </w:r>
      <w:r>
        <w:rPr>
          <w:i/>
          <w:iCs/>
          <w:lang w:val="es-ES"/>
        </w:rPr>
        <w:t xml:space="preserve">N </w:t>
      </w:r>
      <w:r w:rsidR="00094B36">
        <w:rPr>
          <w:lang w:val="es-ES"/>
        </w:rPr>
        <w:sym w:font="Symbol" w:char="F02B"/>
      </w:r>
      <w:r>
        <w:rPr>
          <w:lang w:val="es-ES"/>
        </w:rPr>
        <w:t xml:space="preserve"> </w:t>
      </w:r>
      <w:r>
        <w:rPr>
          <w:i/>
          <w:iCs/>
          <w:lang w:val="es-ES"/>
        </w:rPr>
        <w:t>I</w:t>
      </w:r>
      <w:r>
        <w:rPr>
          <w:lang w:val="es-ES"/>
        </w:rPr>
        <w:t xml:space="preserve"> es igual al umbral de calidad </w:t>
      </w:r>
      <w:r>
        <w:rPr>
          <w:i/>
          <w:iCs/>
          <w:lang w:val="es-ES"/>
        </w:rPr>
        <w:t>T</w:t>
      </w:r>
      <w:r>
        <w:rPr>
          <w:i/>
          <w:iCs/>
          <w:vertAlign w:val="subscript"/>
          <w:lang w:val="es-ES"/>
        </w:rPr>
        <w:t>SES</w:t>
      </w:r>
      <w:r>
        <w:rPr>
          <w:lang w:val="es-ES"/>
        </w:rPr>
        <w:t xml:space="preserve"> para SES. Cuando se diseña un enlace para que satisfaga un umbral de calidad durante un determinado porcentaje de tiempo, se utiliza la Recomendación UIT-R P.530 a fin de determinar el margen de desvanecimiento requerido de la misma manera que se hizo para </w:t>
      </w:r>
      <w:r>
        <w:rPr>
          <w:lang w:val="es-ES"/>
        </w:rPr>
        <w:lastRenderedPageBreak/>
        <w:t xml:space="preserve">calcular los márgenes del Cuadro 2. Con objeto de tener en cuenta la parte que corresponde a la interferencia, el enlace se diseña para una potencia de señal sin desvanecimiento, </w:t>
      </w:r>
      <w:r>
        <w:rPr>
          <w:i/>
          <w:iCs/>
          <w:lang w:val="es-ES"/>
        </w:rPr>
        <w:t>C</w:t>
      </w:r>
      <w:r>
        <w:rPr>
          <w:vertAlign w:val="subscript"/>
          <w:lang w:val="es-ES"/>
        </w:rPr>
        <w:t>0</w:t>
      </w:r>
      <w:r>
        <w:rPr>
          <w:lang w:val="es-ES"/>
        </w:rPr>
        <w:t>, de manera que</w:t>
      </w:r>
    </w:p>
    <w:p w:rsidR="008A0B50" w:rsidRDefault="008A0B50" w:rsidP="008A0B50">
      <w:pPr>
        <w:pStyle w:val="Equation"/>
        <w:rPr>
          <w:lang w:val="es-ES"/>
        </w:rPr>
      </w:pPr>
      <w:r>
        <w:rPr>
          <w:lang w:val="es-ES"/>
        </w:rPr>
        <w:tab/>
      </w:r>
      <w:r>
        <w:rPr>
          <w:lang w:val="es-ES"/>
        </w:rPr>
        <w:tab/>
      </w:r>
      <w:r w:rsidR="00286C0A" w:rsidRPr="00617395">
        <w:rPr>
          <w:position w:val="-12"/>
          <w:lang w:val="en-US"/>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pt;height:18pt" o:ole="">
            <v:imagedata r:id="rId12" o:title=""/>
          </v:shape>
          <o:OLEObject Type="Embed" ProgID="Equation.3" ShapeID="_x0000_i1025" DrawAspect="Content" ObjectID="_1353479039" r:id="rId13"/>
        </w:object>
      </w:r>
      <w:r>
        <w:rPr>
          <w:lang w:val="es-ES"/>
        </w:rPr>
        <w:tab/>
        <w:t>(1)</w:t>
      </w:r>
    </w:p>
    <w:p w:rsidR="008A0B50" w:rsidRDefault="008A0B50" w:rsidP="00094B36">
      <w:pPr>
        <w:rPr>
          <w:lang w:val="es-ES"/>
        </w:rPr>
      </w:pPr>
      <w:r>
        <w:rPr>
          <w:lang w:val="es-ES"/>
        </w:rPr>
        <w:t xml:space="preserve">donde </w:t>
      </w:r>
      <w:r>
        <w:rPr>
          <w:i/>
          <w:iCs/>
          <w:lang w:val="es-ES"/>
        </w:rPr>
        <w:t>N</w:t>
      </w:r>
      <w:r>
        <w:rPr>
          <w:lang w:val="es-ES"/>
        </w:rPr>
        <w:t xml:space="preserve"> es la suma en el receptor del ruido del sistema del servicio fijo y el aumento correspondiente a la parte de interferencia dentro del servicio fijo. Llamando </w:t>
      </w:r>
      <w:r>
        <w:rPr>
          <w:i/>
          <w:iCs/>
          <w:lang w:val="es-ES"/>
        </w:rPr>
        <w:t>N</w:t>
      </w:r>
      <w:r>
        <w:rPr>
          <w:vertAlign w:val="subscript"/>
          <w:lang w:val="es-ES"/>
        </w:rPr>
        <w:t>0</w:t>
      </w:r>
      <w:r>
        <w:rPr>
          <w:lang w:val="es-ES"/>
        </w:rPr>
        <w:t xml:space="preserve"> al ruido total del sistema (</w:t>
      </w:r>
      <w:r>
        <w:rPr>
          <w:i/>
          <w:iCs/>
          <w:lang w:val="es-ES"/>
        </w:rPr>
        <w:t>k T BF</w:t>
      </w:r>
      <w:r>
        <w:rPr>
          <w:lang w:val="es-ES"/>
        </w:rPr>
        <w:t xml:space="preserve">), </w:t>
      </w:r>
      <w:r>
        <w:rPr>
          <w:i/>
          <w:iCs/>
          <w:lang w:val="es-ES"/>
        </w:rPr>
        <w:t>N</w:t>
      </w:r>
      <w:r>
        <w:rPr>
          <w:lang w:val="es-ES"/>
        </w:rPr>
        <w:t xml:space="preserve"> </w:t>
      </w:r>
      <w:r w:rsidR="00094B36">
        <w:rPr>
          <w:lang w:val="es-ES"/>
        </w:rPr>
        <w:sym w:font="Symbol" w:char="F03D"/>
      </w:r>
      <w:r>
        <w:rPr>
          <w:lang w:val="es-ES"/>
        </w:rPr>
        <w:t xml:space="preserve"> </w:t>
      </w:r>
      <w:r>
        <w:rPr>
          <w:i/>
          <w:iCs/>
          <w:lang w:val="es-ES"/>
        </w:rPr>
        <w:t>N</w:t>
      </w:r>
      <w:r>
        <w:rPr>
          <w:vertAlign w:val="subscript"/>
          <w:lang w:val="es-ES"/>
        </w:rPr>
        <w:t>0</w:t>
      </w:r>
      <w:r>
        <w:rPr>
          <w:lang w:val="es-ES"/>
        </w:rPr>
        <w:t xml:space="preserve"> </w:t>
      </w:r>
      <w:r w:rsidR="00094B36">
        <w:rPr>
          <w:lang w:val="es-ES"/>
        </w:rPr>
        <w:sym w:font="Symbol" w:char="F02B"/>
      </w:r>
      <w:r>
        <w:rPr>
          <w:lang w:val="es-ES"/>
        </w:rPr>
        <w:t xml:space="preserve"> 1 dB.</w:t>
      </w:r>
    </w:p>
    <w:p w:rsidR="008A0B50" w:rsidRDefault="008A0B50" w:rsidP="008A0B50">
      <w:pPr>
        <w:rPr>
          <w:lang w:val="es-ES"/>
        </w:rPr>
      </w:pPr>
      <w:r>
        <w:rPr>
          <w:lang w:val="es-ES"/>
        </w:rPr>
        <w:t>De manera más general, el ruido total incluida la interferencia causada por otros servicios también a título primario se puede expresar del siguiente modo</w:t>
      </w:r>
    </w:p>
    <w:p w:rsidR="008A0B50" w:rsidRDefault="008A0B50" w:rsidP="008A0B50">
      <w:pPr>
        <w:pStyle w:val="Equation"/>
        <w:rPr>
          <w:lang w:val="es-ES"/>
        </w:rPr>
      </w:pPr>
      <w:r w:rsidRPr="005164AC">
        <w:rPr>
          <w:lang w:val="es-ES_tradnl"/>
        </w:rPr>
        <w:tab/>
      </w:r>
      <w:r w:rsidRPr="005164AC">
        <w:rPr>
          <w:lang w:val="es-ES_tradnl"/>
        </w:rPr>
        <w:tab/>
      </w:r>
      <w:r w:rsidR="00286C0A" w:rsidRPr="00617395">
        <w:rPr>
          <w:position w:val="-12"/>
        </w:rPr>
        <w:object w:dxaOrig="3260" w:dyaOrig="420">
          <v:shape id="_x0000_i1026" type="#_x0000_t75" style="width:163.2pt;height:21pt" o:ole="">
            <v:imagedata r:id="rId14" o:title=""/>
          </v:shape>
          <o:OLEObject Type="Embed" ProgID="Equation.3" ShapeID="_x0000_i1026" DrawAspect="Content" ObjectID="_1353479040" r:id="rId15"/>
        </w:object>
      </w:r>
      <w:r>
        <w:rPr>
          <w:lang w:val="es-ES"/>
        </w:rPr>
        <w:t>                   dB</w:t>
      </w:r>
      <w:r>
        <w:rPr>
          <w:lang w:val="es-ES"/>
        </w:rPr>
        <w:tab/>
        <w:t>(2)</w:t>
      </w:r>
    </w:p>
    <w:p w:rsidR="008A0B50" w:rsidRDefault="008A0B50" w:rsidP="00094B36">
      <w:pPr>
        <w:spacing w:line="270" w:lineRule="exact"/>
        <w:rPr>
          <w:lang w:val="es-ES"/>
        </w:rPr>
      </w:pPr>
      <w:r>
        <w:rPr>
          <w:lang w:val="es-ES"/>
        </w:rPr>
        <w:t xml:space="preserve">La relación interferencia admisible de corta duración/ruido es el valor más elevado que no genera ES en ausencia de desvanecimiento. De conformidad con el Cuadro 1, la relación </w:t>
      </w:r>
      <w:r>
        <w:rPr>
          <w:i/>
          <w:iCs/>
          <w:lang w:val="es-ES"/>
        </w:rPr>
        <w:t>C</w:t>
      </w:r>
      <w:r>
        <w:rPr>
          <w:lang w:val="es-ES"/>
        </w:rPr>
        <w:t>/</w:t>
      </w:r>
      <w:r>
        <w:rPr>
          <w:i/>
          <w:iCs/>
          <w:lang w:val="es-ES"/>
        </w:rPr>
        <w:t xml:space="preserve">N </w:t>
      </w:r>
      <w:r w:rsidR="00094B36">
        <w:rPr>
          <w:lang w:val="es-ES"/>
        </w:rPr>
        <w:sym w:font="Symbol" w:char="F02B"/>
      </w:r>
      <w:r>
        <w:rPr>
          <w:lang w:val="es-ES"/>
        </w:rPr>
        <w:t xml:space="preserve"> </w:t>
      </w:r>
      <w:r>
        <w:rPr>
          <w:i/>
          <w:iCs/>
          <w:lang w:val="es-ES"/>
        </w:rPr>
        <w:t>I</w:t>
      </w:r>
      <w:r>
        <w:rPr>
          <w:lang w:val="es-ES"/>
        </w:rPr>
        <w:t xml:space="preserve"> para ES, </w:t>
      </w:r>
      <w:r>
        <w:rPr>
          <w:i/>
          <w:iCs/>
          <w:lang w:val="es-ES"/>
        </w:rPr>
        <w:t>T</w:t>
      </w:r>
      <w:r>
        <w:rPr>
          <w:i/>
          <w:iCs/>
          <w:vertAlign w:val="subscript"/>
          <w:lang w:val="es-ES"/>
        </w:rPr>
        <w:t>ES</w:t>
      </w:r>
      <w:r>
        <w:rPr>
          <w:lang w:val="es-ES"/>
        </w:rPr>
        <w:t xml:space="preserve">, es 4 dB mayor que para SES. Así pues, </w:t>
      </w:r>
      <w:r>
        <w:rPr>
          <w:i/>
          <w:iCs/>
          <w:lang w:val="es-ES"/>
        </w:rPr>
        <w:t>T</w:t>
      </w:r>
      <w:r>
        <w:rPr>
          <w:i/>
          <w:iCs/>
          <w:vertAlign w:val="subscript"/>
          <w:lang w:val="es-ES"/>
        </w:rPr>
        <w:t>ES</w:t>
      </w:r>
      <w:r>
        <w:rPr>
          <w:lang w:val="es-ES"/>
        </w:rPr>
        <w:t xml:space="preserve"> </w:t>
      </w:r>
      <w:r w:rsidR="00094B36">
        <w:rPr>
          <w:lang w:val="es-ES"/>
        </w:rPr>
        <w:sym w:font="Symbol" w:char="F03D"/>
      </w:r>
      <w:r>
        <w:rPr>
          <w:lang w:val="es-ES"/>
        </w:rPr>
        <w:t xml:space="preserve"> </w:t>
      </w:r>
      <w:r>
        <w:rPr>
          <w:i/>
          <w:iCs/>
          <w:lang w:val="es-ES"/>
        </w:rPr>
        <w:t>T</w:t>
      </w:r>
      <w:r>
        <w:rPr>
          <w:i/>
          <w:iCs/>
          <w:vertAlign w:val="subscript"/>
          <w:lang w:val="es-ES"/>
        </w:rPr>
        <w:t>SES</w:t>
      </w:r>
      <w:r>
        <w:rPr>
          <w:lang w:val="es-ES"/>
        </w:rPr>
        <w:t xml:space="preserve"> </w:t>
      </w:r>
      <w:r w:rsidR="00094B36">
        <w:rPr>
          <w:lang w:val="es-ES"/>
        </w:rPr>
        <w:sym w:font="Symbol" w:char="F02B"/>
      </w:r>
      <w:r>
        <w:rPr>
          <w:lang w:val="es-ES"/>
        </w:rPr>
        <w:t xml:space="preserve"> 4 </w:t>
      </w:r>
      <w:r w:rsidR="00094B36">
        <w:rPr>
          <w:lang w:val="es-ES"/>
        </w:rPr>
        <w:sym w:font="Symbol" w:char="F03D"/>
      </w:r>
      <w:r>
        <w:rPr>
          <w:lang w:val="es-ES"/>
        </w:rPr>
        <w:t xml:space="preserve"> </w:t>
      </w:r>
      <w:r>
        <w:rPr>
          <w:i/>
          <w:iCs/>
          <w:lang w:val="es-ES"/>
        </w:rPr>
        <w:t>C</w:t>
      </w:r>
      <w:r>
        <w:rPr>
          <w:vertAlign w:val="subscript"/>
          <w:lang w:val="es-ES"/>
        </w:rPr>
        <w:t>0</w:t>
      </w:r>
      <w:r>
        <w:rPr>
          <w:lang w:val="es-ES"/>
        </w:rPr>
        <w:t xml:space="preserve"> – </w:t>
      </w:r>
      <w:r>
        <w:rPr>
          <w:i/>
          <w:iCs/>
          <w:lang w:val="es-ES"/>
        </w:rPr>
        <w:t>N</w:t>
      </w:r>
      <w:r>
        <w:rPr>
          <w:lang w:val="es-ES"/>
        </w:rPr>
        <w:t xml:space="preserve">. Sustituyendo las ecuaciones (1) y (2) en esta expresión y sabiendo que </w:t>
      </w:r>
      <w:r>
        <w:rPr>
          <w:i/>
          <w:iCs/>
          <w:lang w:val="es-ES"/>
        </w:rPr>
        <w:t>M</w:t>
      </w:r>
      <w:r>
        <w:rPr>
          <w:i/>
          <w:iCs/>
          <w:vertAlign w:val="subscript"/>
          <w:lang w:val="es-ES"/>
        </w:rPr>
        <w:t>SES</w:t>
      </w:r>
      <w:r>
        <w:rPr>
          <w:lang w:val="es-ES"/>
        </w:rPr>
        <w:t xml:space="preserve"> – 4 es el margen de desvanecimiento para ES se llega a la siguiente expresión para la relación </w:t>
      </w:r>
      <w:r>
        <w:rPr>
          <w:i/>
          <w:iCs/>
          <w:lang w:val="es-ES"/>
        </w:rPr>
        <w:t>I</w:t>
      </w:r>
      <w:r>
        <w:rPr>
          <w:lang w:val="es-ES"/>
        </w:rPr>
        <w:t>/</w:t>
      </w:r>
      <w:r>
        <w:rPr>
          <w:i/>
          <w:iCs/>
          <w:lang w:val="es-ES"/>
        </w:rPr>
        <w:t>N</w:t>
      </w:r>
      <w:r>
        <w:rPr>
          <w:lang w:val="es-ES"/>
        </w:rPr>
        <w:t xml:space="preserve"> (dB):</w:t>
      </w:r>
    </w:p>
    <w:p w:rsidR="008A0B50" w:rsidRDefault="008A0B50" w:rsidP="008A0B50">
      <w:pPr>
        <w:pStyle w:val="Equation"/>
        <w:rPr>
          <w:lang w:val="es-ES"/>
        </w:rPr>
      </w:pPr>
      <w:r w:rsidRPr="005164AC">
        <w:rPr>
          <w:lang w:val="es-ES_tradnl"/>
        </w:rPr>
        <w:tab/>
      </w:r>
      <w:r w:rsidRPr="005164AC">
        <w:rPr>
          <w:lang w:val="es-ES_tradnl"/>
        </w:rPr>
        <w:tab/>
      </w:r>
      <w:r w:rsidR="00286C0A" w:rsidRPr="00617395">
        <w:rPr>
          <w:position w:val="-10"/>
        </w:rPr>
        <w:object w:dxaOrig="2720" w:dyaOrig="400">
          <v:shape id="_x0000_i1027" type="#_x0000_t75" style="width:135.6pt;height:20.4pt" o:ole="">
            <v:imagedata r:id="rId16" o:title=""/>
          </v:shape>
          <o:OLEObject Type="Embed" ProgID="Equation.3" ShapeID="_x0000_i1027" DrawAspect="Content" ObjectID="_1353479041" r:id="rId17"/>
        </w:object>
      </w:r>
      <w:r w:rsidRPr="005164AC">
        <w:rPr>
          <w:lang w:val="es-ES_tradnl"/>
        </w:rPr>
        <w:tab/>
      </w:r>
      <w:r>
        <w:rPr>
          <w:lang w:val="es-ES"/>
        </w:rPr>
        <w:t>(3)</w:t>
      </w:r>
    </w:p>
    <w:p w:rsidR="008A0B50" w:rsidRDefault="008A0B50" w:rsidP="008A0B50">
      <w:pPr>
        <w:rPr>
          <w:lang w:val="es-ES"/>
        </w:rPr>
      </w:pPr>
      <w:r>
        <w:rPr>
          <w:lang w:val="es-ES"/>
        </w:rPr>
        <w:t xml:space="preserve">Sustituyendo en la ecuación (3) los márgenes de desvanecimiento considerados del Cuadro 2 para ES, 10 dB y 6 dB, los valores de </w:t>
      </w:r>
      <w:r>
        <w:rPr>
          <w:i/>
          <w:iCs/>
          <w:lang w:val="es-ES"/>
        </w:rPr>
        <w:t>I</w:t>
      </w:r>
      <w:r>
        <w:rPr>
          <w:lang w:val="es-ES"/>
        </w:rPr>
        <w:t>/</w:t>
      </w:r>
      <w:r>
        <w:rPr>
          <w:i/>
          <w:iCs/>
          <w:lang w:val="es-ES"/>
        </w:rPr>
        <w:t>N</w:t>
      </w:r>
      <w:r>
        <w:rPr>
          <w:lang w:val="es-ES"/>
        </w:rPr>
        <w:t xml:space="preserve"> son, respectivamente, 9,54 dB y 4,74 dB.</w:t>
      </w:r>
      <w:r>
        <w:rPr>
          <w:lang w:val="es-PE"/>
        </w:rPr>
        <w:t xml:space="preserve"> </w:t>
      </w:r>
      <w:r>
        <w:rPr>
          <w:lang w:val="es-ES"/>
        </w:rPr>
        <w:t xml:space="preserve">En el Cuadro 3 se muestran estos valores con el EPO asociado del Cuadro 2. Los valores de </w:t>
      </w:r>
      <w:r>
        <w:rPr>
          <w:i/>
          <w:iCs/>
          <w:lang w:val="es-ES"/>
        </w:rPr>
        <w:t>I</w:t>
      </w:r>
      <w:r>
        <w:rPr>
          <w:lang w:val="es-ES"/>
        </w:rPr>
        <w:t>/</w:t>
      </w:r>
      <w:r>
        <w:rPr>
          <w:i/>
          <w:iCs/>
          <w:lang w:val="es-ES"/>
        </w:rPr>
        <w:t>N</w:t>
      </w:r>
      <w:r>
        <w:rPr>
          <w:lang w:val="es-ES"/>
        </w:rPr>
        <w:t xml:space="preserve"> se han redondeado por exceso a un valor entero de dB.</w:t>
      </w:r>
    </w:p>
    <w:p w:rsidR="008A0B50" w:rsidRDefault="008A0B50" w:rsidP="00243019">
      <w:pPr>
        <w:rPr>
          <w:lang w:val="es-ES"/>
        </w:rPr>
      </w:pPr>
      <w:r>
        <w:rPr>
          <w:lang w:val="es-ES"/>
        </w:rPr>
        <w:t>De acuerdo con esto, los criterios de corta duración propuestos que se habrán de utilizar en las bandas de 38</w:t>
      </w:r>
      <w:r w:rsidR="00243019">
        <w:rPr>
          <w:lang w:val="es-ES"/>
        </w:rPr>
        <w:t> </w:t>
      </w:r>
      <w:r>
        <w:rPr>
          <w:lang w:val="es-ES"/>
        </w:rPr>
        <w:t>GHz y 40</w:t>
      </w:r>
      <w:r w:rsidR="00243019">
        <w:rPr>
          <w:lang w:val="es-ES"/>
        </w:rPr>
        <w:t> </w:t>
      </w:r>
      <w:r>
        <w:rPr>
          <w:lang w:val="es-ES"/>
        </w:rPr>
        <w:t>GHz se muestran en el Cuadro 3 y se han definido asociando el EPO de ES (véase el Cuadro 1) y el valor correspondiente del margen de desvanecimiento según se define en el Cuadro</w:t>
      </w:r>
      <w:r w:rsidR="00243019">
        <w:rPr>
          <w:lang w:val="es-ES"/>
        </w:rPr>
        <w:t> </w:t>
      </w:r>
      <w:r>
        <w:rPr>
          <w:lang w:val="es-ES"/>
        </w:rPr>
        <w:t>2.</w:t>
      </w:r>
    </w:p>
    <w:p w:rsidR="008A0B50" w:rsidRDefault="008A0B50" w:rsidP="008A0B50">
      <w:pPr>
        <w:pStyle w:val="TableNo"/>
        <w:rPr>
          <w:lang w:val="es-ES"/>
        </w:rPr>
      </w:pPr>
      <w:r>
        <w:rPr>
          <w:lang w:val="es-ES"/>
        </w:rPr>
        <w:t>CUADRO  3</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19"/>
        <w:gridCol w:w="1984"/>
        <w:gridCol w:w="2835"/>
      </w:tblGrid>
      <w:tr w:rsidR="008A0B50" w:rsidRPr="00A366D8" w:rsidTr="00243019">
        <w:trPr>
          <w:cantSplit/>
          <w:jc w:val="center"/>
        </w:trPr>
        <w:tc>
          <w:tcPr>
            <w:tcW w:w="4819" w:type="dxa"/>
            <w:tcBorders>
              <w:top w:val="nil"/>
              <w:left w:val="nil"/>
              <w:bottom w:val="nil"/>
              <w:right w:val="nil"/>
            </w:tcBorders>
          </w:tcPr>
          <w:p w:rsidR="008A0B50" w:rsidRDefault="008A0B50" w:rsidP="00286C0A">
            <w:pPr>
              <w:rPr>
                <w:lang w:val="es-ES"/>
              </w:rPr>
            </w:pPr>
          </w:p>
        </w:tc>
        <w:tc>
          <w:tcPr>
            <w:tcW w:w="1984" w:type="dxa"/>
            <w:tcBorders>
              <w:bottom w:val="nil"/>
            </w:tcBorders>
          </w:tcPr>
          <w:p w:rsidR="008A0B50" w:rsidRDefault="008A0B50" w:rsidP="00286C0A">
            <w:pPr>
              <w:pStyle w:val="Tablehead"/>
              <w:rPr>
                <w:lang w:val="es-ES"/>
              </w:rPr>
            </w:pPr>
            <w:r>
              <w:rPr>
                <w:i/>
                <w:iCs/>
                <w:lang w:val="es-ES"/>
              </w:rPr>
              <w:t>I</w:t>
            </w:r>
            <w:r>
              <w:rPr>
                <w:lang w:val="es-ES"/>
              </w:rPr>
              <w:t>/</w:t>
            </w:r>
            <w:r>
              <w:rPr>
                <w:i/>
                <w:iCs/>
                <w:lang w:val="es-ES"/>
              </w:rPr>
              <w:t>N</w:t>
            </w:r>
            <w:r>
              <w:rPr>
                <w:i/>
                <w:iCs/>
                <w:lang w:val="es-ES"/>
              </w:rPr>
              <w:br/>
            </w:r>
            <w:r>
              <w:rPr>
                <w:lang w:val="es-ES"/>
              </w:rPr>
              <w:t>(dB)</w:t>
            </w:r>
          </w:p>
        </w:tc>
        <w:tc>
          <w:tcPr>
            <w:tcW w:w="2835" w:type="dxa"/>
            <w:tcBorders>
              <w:left w:val="nil"/>
            </w:tcBorders>
          </w:tcPr>
          <w:p w:rsidR="008A0B50" w:rsidRDefault="008A0B50" w:rsidP="00286C0A">
            <w:pPr>
              <w:pStyle w:val="Tablehead"/>
              <w:rPr>
                <w:lang w:val="es-ES"/>
              </w:rPr>
            </w:pPr>
            <w:r>
              <w:rPr>
                <w:lang w:val="es-ES"/>
              </w:rPr>
              <w:t>Porcentaje de tiempo que no se ha de superar</w:t>
            </w:r>
          </w:p>
        </w:tc>
      </w:tr>
      <w:tr w:rsidR="008A0B50" w:rsidTr="00243019">
        <w:trPr>
          <w:cantSplit/>
          <w:jc w:val="center"/>
        </w:trPr>
        <w:tc>
          <w:tcPr>
            <w:tcW w:w="4819" w:type="dxa"/>
            <w:tcBorders>
              <w:right w:val="nil"/>
            </w:tcBorders>
          </w:tcPr>
          <w:p w:rsidR="008A0B50" w:rsidRDefault="008A0B50" w:rsidP="00286C0A">
            <w:pPr>
              <w:pStyle w:val="Tabletext"/>
              <w:jc w:val="left"/>
              <w:rPr>
                <w:lang w:val="es-ES"/>
              </w:rPr>
            </w:pPr>
            <w:r>
              <w:rPr>
                <w:lang w:val="es-ES"/>
              </w:rPr>
              <w:t>Criterio 1</w:t>
            </w:r>
          </w:p>
        </w:tc>
        <w:tc>
          <w:tcPr>
            <w:tcW w:w="1984" w:type="dxa"/>
            <w:tcBorders>
              <w:top w:val="single" w:sz="4" w:space="0" w:color="auto"/>
              <w:left w:val="single" w:sz="4" w:space="0" w:color="auto"/>
              <w:bottom w:val="single" w:sz="4" w:space="0" w:color="auto"/>
              <w:right w:val="single" w:sz="4" w:space="0" w:color="auto"/>
            </w:tcBorders>
          </w:tcPr>
          <w:p w:rsidR="008A0B50" w:rsidRDefault="008A0B50" w:rsidP="00286C0A">
            <w:pPr>
              <w:pStyle w:val="Tabletext"/>
              <w:jc w:val="center"/>
              <w:rPr>
                <w:lang w:val="es-ES"/>
              </w:rPr>
            </w:pPr>
            <w:r>
              <w:rPr>
                <w:lang w:val="es-ES"/>
              </w:rPr>
              <w:t>10</w:t>
            </w:r>
          </w:p>
        </w:tc>
        <w:tc>
          <w:tcPr>
            <w:tcW w:w="2835" w:type="dxa"/>
            <w:tcBorders>
              <w:left w:val="nil"/>
              <w:bottom w:val="nil"/>
            </w:tcBorders>
          </w:tcPr>
          <w:p w:rsidR="008A0B50" w:rsidRDefault="008A0B50" w:rsidP="00286C0A">
            <w:pPr>
              <w:pStyle w:val="Tabletext"/>
              <w:jc w:val="center"/>
              <w:rPr>
                <w:lang w:val="es-ES"/>
              </w:rPr>
            </w:pPr>
            <w:r>
              <w:rPr>
                <w:lang w:val="es-ES"/>
              </w:rPr>
              <w:t>0,05%</w:t>
            </w:r>
          </w:p>
        </w:tc>
      </w:tr>
      <w:tr w:rsidR="008A0B50" w:rsidTr="00243019">
        <w:trPr>
          <w:cantSplit/>
          <w:jc w:val="center"/>
        </w:trPr>
        <w:tc>
          <w:tcPr>
            <w:tcW w:w="4819" w:type="dxa"/>
          </w:tcPr>
          <w:p w:rsidR="008A0B50" w:rsidRDefault="008A0B50" w:rsidP="00286C0A">
            <w:pPr>
              <w:pStyle w:val="Tabletext"/>
              <w:jc w:val="left"/>
              <w:rPr>
                <w:lang w:val="es-ES"/>
              </w:rPr>
            </w:pPr>
            <w:r>
              <w:rPr>
                <w:lang w:val="es-ES"/>
              </w:rPr>
              <w:t>Criterio 2</w:t>
            </w:r>
            <w:r>
              <w:rPr>
                <w:vertAlign w:val="superscript"/>
                <w:lang w:val="es-ES"/>
              </w:rPr>
              <w:t>(1)</w:t>
            </w:r>
          </w:p>
        </w:tc>
        <w:tc>
          <w:tcPr>
            <w:tcW w:w="1984" w:type="dxa"/>
            <w:tcBorders>
              <w:top w:val="nil"/>
              <w:left w:val="nil"/>
              <w:bottom w:val="nil"/>
            </w:tcBorders>
          </w:tcPr>
          <w:p w:rsidR="008A0B50" w:rsidRDefault="008A0B50" w:rsidP="00286C0A">
            <w:pPr>
              <w:pStyle w:val="Tabletext"/>
              <w:jc w:val="center"/>
              <w:rPr>
                <w:lang w:val="es-ES"/>
              </w:rPr>
            </w:pPr>
            <w:r>
              <w:rPr>
                <w:lang w:val="es-ES"/>
              </w:rPr>
              <w:t>10</w:t>
            </w:r>
          </w:p>
        </w:tc>
        <w:tc>
          <w:tcPr>
            <w:tcW w:w="2835" w:type="dxa"/>
            <w:tcBorders>
              <w:bottom w:val="nil"/>
            </w:tcBorders>
          </w:tcPr>
          <w:p w:rsidR="008A0B50" w:rsidRDefault="008A0B50" w:rsidP="00286C0A">
            <w:pPr>
              <w:pStyle w:val="Tabletext"/>
              <w:jc w:val="center"/>
              <w:rPr>
                <w:lang w:val="es-ES"/>
              </w:rPr>
            </w:pPr>
            <w:r>
              <w:rPr>
                <w:lang w:val="es-ES"/>
              </w:rPr>
              <w:t>0,013%</w:t>
            </w:r>
          </w:p>
        </w:tc>
      </w:tr>
      <w:tr w:rsidR="008A0B50" w:rsidTr="00243019">
        <w:trPr>
          <w:cantSplit/>
          <w:jc w:val="center"/>
        </w:trPr>
        <w:tc>
          <w:tcPr>
            <w:tcW w:w="4819" w:type="dxa"/>
            <w:tcBorders>
              <w:right w:val="nil"/>
            </w:tcBorders>
          </w:tcPr>
          <w:p w:rsidR="008A0B50" w:rsidRDefault="008A0B50" w:rsidP="00286C0A">
            <w:pPr>
              <w:pStyle w:val="Tabletext"/>
              <w:jc w:val="left"/>
              <w:rPr>
                <w:lang w:val="es-ES"/>
              </w:rPr>
            </w:pPr>
            <w:r>
              <w:rPr>
                <w:lang w:val="es-ES"/>
              </w:rPr>
              <w:t>Criterio 1 para sistemas con pequeño margen de desvanecimiento neto</w:t>
            </w:r>
          </w:p>
        </w:tc>
        <w:tc>
          <w:tcPr>
            <w:tcW w:w="1984" w:type="dxa"/>
            <w:tcBorders>
              <w:top w:val="single" w:sz="4" w:space="0" w:color="auto"/>
              <w:left w:val="single" w:sz="4" w:space="0" w:color="auto"/>
              <w:bottom w:val="single" w:sz="4" w:space="0" w:color="auto"/>
              <w:right w:val="single" w:sz="4" w:space="0" w:color="auto"/>
            </w:tcBorders>
          </w:tcPr>
          <w:p w:rsidR="008A0B50" w:rsidRDefault="008A0B50" w:rsidP="00286C0A">
            <w:pPr>
              <w:pStyle w:val="Tabletext"/>
              <w:jc w:val="center"/>
              <w:rPr>
                <w:lang w:val="es-ES"/>
              </w:rPr>
            </w:pPr>
            <w:r>
              <w:rPr>
                <w:lang w:val="es-ES"/>
              </w:rPr>
              <w:t>5</w:t>
            </w:r>
          </w:p>
        </w:tc>
        <w:tc>
          <w:tcPr>
            <w:tcW w:w="2835" w:type="dxa"/>
            <w:tcBorders>
              <w:left w:val="nil"/>
              <w:bottom w:val="nil"/>
            </w:tcBorders>
          </w:tcPr>
          <w:p w:rsidR="008A0B50" w:rsidRDefault="008A0B50" w:rsidP="00286C0A">
            <w:pPr>
              <w:pStyle w:val="Tabletext"/>
              <w:jc w:val="center"/>
              <w:rPr>
                <w:lang w:val="es-ES"/>
              </w:rPr>
            </w:pPr>
            <w:r>
              <w:rPr>
                <w:lang w:val="es-ES"/>
              </w:rPr>
              <w:t>0,05%</w:t>
            </w:r>
          </w:p>
        </w:tc>
      </w:tr>
      <w:tr w:rsidR="008A0B50" w:rsidTr="00243019">
        <w:trPr>
          <w:cantSplit/>
          <w:jc w:val="center"/>
        </w:trPr>
        <w:tc>
          <w:tcPr>
            <w:tcW w:w="4819" w:type="dxa"/>
            <w:tcBorders>
              <w:bottom w:val="single" w:sz="6" w:space="0" w:color="auto"/>
            </w:tcBorders>
          </w:tcPr>
          <w:p w:rsidR="008A0B50" w:rsidRDefault="008A0B50" w:rsidP="00286C0A">
            <w:pPr>
              <w:pStyle w:val="Tabletext"/>
              <w:jc w:val="left"/>
              <w:rPr>
                <w:lang w:val="es-ES"/>
              </w:rPr>
            </w:pPr>
            <w:r>
              <w:rPr>
                <w:lang w:val="es-ES"/>
              </w:rPr>
              <w:t>Criterio 2</w:t>
            </w:r>
            <w:r>
              <w:rPr>
                <w:vertAlign w:val="superscript"/>
                <w:lang w:val="es-ES"/>
              </w:rPr>
              <w:t>(1)</w:t>
            </w:r>
            <w:r>
              <w:rPr>
                <w:lang w:val="es-ES"/>
              </w:rPr>
              <w:t xml:space="preserve"> para sistemas con pequeño margen de desvanecimiento neto</w:t>
            </w:r>
          </w:p>
        </w:tc>
        <w:tc>
          <w:tcPr>
            <w:tcW w:w="1984" w:type="dxa"/>
            <w:tcBorders>
              <w:top w:val="nil"/>
              <w:left w:val="nil"/>
              <w:bottom w:val="single" w:sz="6" w:space="0" w:color="auto"/>
            </w:tcBorders>
          </w:tcPr>
          <w:p w:rsidR="008A0B50" w:rsidRDefault="008A0B50" w:rsidP="00286C0A">
            <w:pPr>
              <w:pStyle w:val="Tabletext"/>
              <w:jc w:val="center"/>
              <w:rPr>
                <w:lang w:val="es-ES"/>
              </w:rPr>
            </w:pPr>
            <w:r>
              <w:rPr>
                <w:lang w:val="es-ES"/>
              </w:rPr>
              <w:t>5</w:t>
            </w:r>
          </w:p>
        </w:tc>
        <w:tc>
          <w:tcPr>
            <w:tcW w:w="2835" w:type="dxa"/>
            <w:tcBorders>
              <w:bottom w:val="single" w:sz="6" w:space="0" w:color="auto"/>
            </w:tcBorders>
          </w:tcPr>
          <w:p w:rsidR="008A0B50" w:rsidRDefault="008A0B50" w:rsidP="00286C0A">
            <w:pPr>
              <w:pStyle w:val="Tabletext"/>
              <w:jc w:val="center"/>
              <w:rPr>
                <w:lang w:val="es-ES"/>
              </w:rPr>
            </w:pPr>
            <w:r>
              <w:rPr>
                <w:lang w:val="es-ES"/>
              </w:rPr>
              <w:t>0,013%</w:t>
            </w:r>
          </w:p>
        </w:tc>
      </w:tr>
      <w:tr w:rsidR="008A0B50" w:rsidRPr="00A366D8" w:rsidTr="00243019">
        <w:trPr>
          <w:cantSplit/>
          <w:jc w:val="center"/>
        </w:trPr>
        <w:tc>
          <w:tcPr>
            <w:tcW w:w="9638" w:type="dxa"/>
            <w:gridSpan w:val="3"/>
            <w:tcBorders>
              <w:left w:val="nil"/>
              <w:bottom w:val="nil"/>
              <w:right w:val="nil"/>
            </w:tcBorders>
          </w:tcPr>
          <w:p w:rsidR="008A0B50" w:rsidRDefault="008A0B50" w:rsidP="008B58CF">
            <w:pPr>
              <w:pStyle w:val="Tablelegend"/>
              <w:ind w:right="-33" w:hanging="350"/>
              <w:rPr>
                <w:lang w:val="es-ES"/>
              </w:rPr>
            </w:pPr>
            <w:r>
              <w:rPr>
                <w:vertAlign w:val="superscript"/>
                <w:lang w:val="es-ES" w:eastAsia="fr-FR"/>
              </w:rPr>
              <w:t>(1)</w:t>
            </w:r>
            <w:r>
              <w:rPr>
                <w:lang w:val="es-ES" w:eastAsia="fr-FR"/>
              </w:rPr>
              <w:tab/>
            </w:r>
            <w:r>
              <w:rPr>
                <w:lang w:val="es-ES"/>
              </w:rPr>
              <w:t>El criterio 2 se aplica a los enlaces diseñados para ser conformes con la Recomendación</w:t>
            </w:r>
            <w:r w:rsidR="008B58CF">
              <w:rPr>
                <w:lang w:val="es-ES"/>
              </w:rPr>
              <w:t xml:space="preserve"> </w:t>
            </w:r>
            <w:r>
              <w:rPr>
                <w:lang w:val="es-ES"/>
              </w:rPr>
              <w:t>UIT-T G.828.</w:t>
            </w:r>
          </w:p>
        </w:tc>
      </w:tr>
    </w:tbl>
    <w:p w:rsidR="008A0B50" w:rsidRPr="00243019" w:rsidRDefault="008A0B50" w:rsidP="00243019">
      <w:pPr>
        <w:pStyle w:val="Tablefin"/>
      </w:pPr>
    </w:p>
    <w:p w:rsidR="008A0B50" w:rsidRDefault="008A0B50" w:rsidP="008A0B50">
      <w:pPr>
        <w:pStyle w:val="Heading1"/>
        <w:spacing w:before="360"/>
        <w:rPr>
          <w:lang w:val="es-ES"/>
        </w:rPr>
      </w:pPr>
      <w:r>
        <w:rPr>
          <w:lang w:val="es-ES"/>
        </w:rPr>
        <w:t>4</w:t>
      </w:r>
      <w:r>
        <w:rPr>
          <w:lang w:val="es-ES"/>
        </w:rPr>
        <w:tab/>
        <w:t xml:space="preserve">Criterios para interferencia de larga duración </w:t>
      </w:r>
    </w:p>
    <w:p w:rsidR="008A0B50" w:rsidRDefault="008A0B50" w:rsidP="00094B36">
      <w:pPr>
        <w:spacing w:line="270" w:lineRule="exact"/>
        <w:rPr>
          <w:lang w:val="es-ES"/>
        </w:rPr>
      </w:pPr>
      <w:r>
        <w:rPr>
          <w:lang w:val="es-ES"/>
        </w:rPr>
        <w:t xml:space="preserve">El criterio de larga duración especificado en la Recomendación UIT-R F.758 que se utilizará para la banda de 38 GHz es </w:t>
      </w:r>
      <w:r>
        <w:rPr>
          <w:i/>
          <w:iCs/>
          <w:lang w:val="es-ES"/>
        </w:rPr>
        <w:t>I</w:t>
      </w:r>
      <w:r>
        <w:rPr>
          <w:lang w:val="es-ES"/>
        </w:rPr>
        <w:t>/</w:t>
      </w:r>
      <w:r>
        <w:rPr>
          <w:i/>
          <w:iCs/>
          <w:lang w:val="es-ES"/>
        </w:rPr>
        <w:t>N</w:t>
      </w:r>
      <w:r>
        <w:rPr>
          <w:lang w:val="es-ES"/>
        </w:rPr>
        <w:t xml:space="preserve"> </w:t>
      </w:r>
      <w:r w:rsidR="00094B36">
        <w:rPr>
          <w:lang w:val="es-ES"/>
        </w:rPr>
        <w:sym w:font="Symbol" w:char="F03D"/>
      </w:r>
      <w:r>
        <w:rPr>
          <w:lang w:val="es-ES"/>
        </w:rPr>
        <w:t xml:space="preserve"> –10 dB, el cual no deberá superarse durante más del 20% del tiempo.</w:t>
      </w:r>
    </w:p>
    <w:p w:rsidR="008A0B50" w:rsidRDefault="008A0B50" w:rsidP="008A0B50">
      <w:pPr>
        <w:rPr>
          <w:lang w:val="es-ES"/>
        </w:rPr>
      </w:pPr>
      <w:r>
        <w:rPr>
          <w:lang w:val="es-ES"/>
        </w:rPr>
        <w:t>Como se supone que se utilizarán aplicaciones del servicio fijo similares en la banda de 40 GHz, en ella se aplicarán los mismos criterios de larga duración.</w:t>
      </w:r>
    </w:p>
    <w:p w:rsidR="008A0B50" w:rsidRDefault="008A0B50" w:rsidP="008A0B50">
      <w:pPr>
        <w:pStyle w:val="Heading1"/>
        <w:spacing w:before="360"/>
        <w:rPr>
          <w:lang w:val="es-ES"/>
        </w:rPr>
      </w:pPr>
      <w:r>
        <w:rPr>
          <w:lang w:val="es-ES"/>
        </w:rPr>
        <w:lastRenderedPageBreak/>
        <w:t>5</w:t>
      </w:r>
      <w:r>
        <w:rPr>
          <w:lang w:val="es-ES"/>
        </w:rPr>
        <w:tab/>
        <w:t>Nivel de ruido de referencia</w:t>
      </w:r>
    </w:p>
    <w:p w:rsidR="008A0B50" w:rsidRDefault="008A0B50" w:rsidP="00094B36">
      <w:pPr>
        <w:spacing w:line="270" w:lineRule="exact"/>
        <w:rPr>
          <w:lang w:val="es-ES"/>
        </w:rPr>
      </w:pPr>
      <w:r>
        <w:rPr>
          <w:lang w:val="es-ES"/>
        </w:rPr>
        <w:t xml:space="preserve">En los criterios de corta y larga duración especificados en los § 3 y 4, para los niveles </w:t>
      </w:r>
      <w:r>
        <w:rPr>
          <w:i/>
          <w:iCs/>
          <w:lang w:val="es-ES"/>
        </w:rPr>
        <w:t>I</w:t>
      </w:r>
      <w:r>
        <w:rPr>
          <w:lang w:val="es-ES"/>
        </w:rPr>
        <w:t>/</w:t>
      </w:r>
      <w:r>
        <w:rPr>
          <w:i/>
          <w:iCs/>
          <w:lang w:val="es-ES"/>
        </w:rPr>
        <w:t>N</w:t>
      </w:r>
      <w:r>
        <w:rPr>
          <w:lang w:val="es-ES"/>
        </w:rPr>
        <w:t xml:space="preserve"> se toma como referencia el nivel de ruido total del servicio fijo, que incluye el ruido del sistema del servicio fijo y 1 dB adicional que se añade para tener en cuenta la interferencia dentro del servicio. Es decir, </w:t>
      </w:r>
      <w:r>
        <w:rPr>
          <w:i/>
          <w:iCs/>
          <w:lang w:val="es-ES"/>
        </w:rPr>
        <w:t>N</w:t>
      </w:r>
      <w:r>
        <w:rPr>
          <w:lang w:val="es-ES"/>
        </w:rPr>
        <w:t xml:space="preserve"> </w:t>
      </w:r>
      <w:r w:rsidR="00094B36">
        <w:rPr>
          <w:lang w:val="es-ES"/>
        </w:rPr>
        <w:sym w:font="Symbol" w:char="F03D"/>
      </w:r>
      <w:r>
        <w:rPr>
          <w:lang w:val="es-ES"/>
        </w:rPr>
        <w:t xml:space="preserve"> 10 log (</w:t>
      </w:r>
      <w:r>
        <w:rPr>
          <w:i/>
          <w:iCs/>
          <w:lang w:val="es-ES"/>
        </w:rPr>
        <w:t>k T BF</w:t>
      </w:r>
      <w:r>
        <w:rPr>
          <w:lang w:val="es-ES"/>
        </w:rPr>
        <w:t xml:space="preserve">) </w:t>
      </w:r>
      <w:r w:rsidR="00094B36">
        <w:rPr>
          <w:lang w:val="es-ES"/>
        </w:rPr>
        <w:sym w:font="Symbol" w:char="F02B"/>
      </w:r>
      <w:r>
        <w:rPr>
          <w:lang w:val="es-ES"/>
        </w:rPr>
        <w:t xml:space="preserve"> 1 dB.</w:t>
      </w:r>
    </w:p>
    <w:p w:rsidR="00094B36" w:rsidRDefault="00094B36" w:rsidP="00094B36">
      <w:pPr>
        <w:spacing w:line="270" w:lineRule="exact"/>
        <w:rPr>
          <w:lang w:val="es-ES"/>
        </w:rPr>
      </w:pPr>
    </w:p>
    <w:p w:rsidR="00094B36" w:rsidRDefault="00094B36" w:rsidP="00094B36">
      <w:pPr>
        <w:spacing w:line="270" w:lineRule="exact"/>
        <w:rPr>
          <w:lang w:val="es-ES"/>
        </w:rPr>
      </w:pPr>
    </w:p>
    <w:p w:rsidR="008A0B50" w:rsidRDefault="008A0B50" w:rsidP="008A0B50">
      <w:pPr>
        <w:pStyle w:val="AppendixNoTitle"/>
        <w:rPr>
          <w:lang w:val="es-ES"/>
        </w:rPr>
      </w:pPr>
      <w:r>
        <w:rPr>
          <w:lang w:val="es-ES"/>
        </w:rPr>
        <w:t>Apéndice 1</w:t>
      </w:r>
      <w:r>
        <w:rPr>
          <w:lang w:val="es-ES"/>
        </w:rPr>
        <w:br/>
        <w:t>al Anexo 1</w:t>
      </w:r>
      <w:r>
        <w:rPr>
          <w:lang w:val="es-ES"/>
        </w:rPr>
        <w:br/>
      </w:r>
      <w:r>
        <w:rPr>
          <w:lang w:val="es-ES"/>
        </w:rPr>
        <w:br/>
        <w:t xml:space="preserve">Márgenes de desvanecimiento debido a la lluvia </w:t>
      </w:r>
      <w:r>
        <w:rPr>
          <w:lang w:val="es-ES"/>
        </w:rPr>
        <w:br/>
        <w:t>para una disponibilidad del 99,999%</w:t>
      </w:r>
    </w:p>
    <w:p w:rsidR="008A0B50" w:rsidRDefault="008A0B50" w:rsidP="008A0B50">
      <w:pPr>
        <w:pStyle w:val="Blanc"/>
        <w:keepNext w:val="0"/>
        <w:keepLines w:val="0"/>
        <w:tabs>
          <w:tab w:val="left" w:pos="794"/>
          <w:tab w:val="left" w:pos="1191"/>
          <w:tab w:val="left" w:pos="1588"/>
          <w:tab w:val="left" w:pos="1985"/>
        </w:tabs>
        <w:rPr>
          <w:lang w:val="es-ES"/>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70"/>
        <w:gridCol w:w="837"/>
        <w:gridCol w:w="837"/>
        <w:gridCol w:w="837"/>
        <w:gridCol w:w="837"/>
        <w:gridCol w:w="837"/>
        <w:gridCol w:w="836"/>
        <w:gridCol w:w="837"/>
        <w:gridCol w:w="837"/>
        <w:gridCol w:w="837"/>
        <w:gridCol w:w="837"/>
      </w:tblGrid>
      <w:tr w:rsidR="008A0B50" w:rsidRPr="00A366D8" w:rsidTr="008B58CF">
        <w:trPr>
          <w:cantSplit/>
          <w:trHeight w:val="262"/>
          <w:jc w:val="center"/>
        </w:trPr>
        <w:tc>
          <w:tcPr>
            <w:tcW w:w="1203" w:type="dxa"/>
            <w:vMerge w:val="restart"/>
            <w:tcBorders>
              <w:top w:val="single" w:sz="6" w:space="0" w:color="auto"/>
              <w:left w:val="single" w:sz="6" w:space="0" w:color="auto"/>
              <w:bottom w:val="single" w:sz="6" w:space="0" w:color="auto"/>
              <w:right w:val="single" w:sz="6" w:space="0" w:color="auto"/>
            </w:tcBorders>
            <w:vAlign w:val="center"/>
          </w:tcPr>
          <w:p w:rsidR="008A0B50" w:rsidRDefault="008A0B50" w:rsidP="008B58CF">
            <w:pPr>
              <w:pStyle w:val="Tablehead"/>
              <w:rPr>
                <w:snapToGrid w:val="0"/>
                <w:lang w:val="es-ES"/>
              </w:rPr>
            </w:pPr>
            <w:r>
              <w:rPr>
                <w:lang w:val="es-ES"/>
              </w:rPr>
              <w:t>Longitud del enlace (km)</w:t>
            </w:r>
          </w:p>
        </w:tc>
        <w:tc>
          <w:tcPr>
            <w:tcW w:w="3969" w:type="dxa"/>
            <w:gridSpan w:val="5"/>
            <w:tcBorders>
              <w:top w:val="single" w:sz="6" w:space="0" w:color="auto"/>
              <w:left w:val="single" w:sz="6" w:space="0" w:color="auto"/>
              <w:bottom w:val="single" w:sz="6" w:space="0" w:color="auto"/>
              <w:right w:val="single" w:sz="6" w:space="0" w:color="auto"/>
            </w:tcBorders>
          </w:tcPr>
          <w:p w:rsidR="008A0B50" w:rsidRDefault="008A0B50" w:rsidP="008B58CF">
            <w:pPr>
              <w:pStyle w:val="Tablehead"/>
              <w:rPr>
                <w:snapToGrid w:val="0"/>
                <w:lang w:val="es-ES"/>
              </w:rPr>
            </w:pPr>
            <w:r>
              <w:rPr>
                <w:lang w:val="es-ES"/>
              </w:rPr>
              <w:t>Margen de desvanecimiento en 39,3 GHz, Polarización horizontal</w:t>
            </w:r>
            <w:r>
              <w:rPr>
                <w:snapToGrid w:val="0"/>
                <w:lang w:val="es-ES"/>
              </w:rPr>
              <w:br/>
              <w:t>(dB)</w:t>
            </w:r>
          </w:p>
        </w:tc>
        <w:tc>
          <w:tcPr>
            <w:tcW w:w="3969" w:type="dxa"/>
            <w:gridSpan w:val="5"/>
            <w:tcBorders>
              <w:top w:val="single" w:sz="6" w:space="0" w:color="auto"/>
              <w:left w:val="single" w:sz="6" w:space="0" w:color="auto"/>
              <w:bottom w:val="single" w:sz="6" w:space="0" w:color="auto"/>
              <w:right w:val="single" w:sz="6" w:space="0" w:color="auto"/>
            </w:tcBorders>
          </w:tcPr>
          <w:p w:rsidR="008A0B50" w:rsidRDefault="008A0B50" w:rsidP="008B58CF">
            <w:pPr>
              <w:pStyle w:val="Tablehead"/>
              <w:rPr>
                <w:snapToGrid w:val="0"/>
                <w:lang w:val="es-ES"/>
              </w:rPr>
            </w:pPr>
            <w:r>
              <w:rPr>
                <w:lang w:val="es-ES"/>
              </w:rPr>
              <w:t>Margen de desvanecimiento en 39,3 GHz, Polarización vertical</w:t>
            </w:r>
            <w:r>
              <w:rPr>
                <w:snapToGrid w:val="0"/>
                <w:lang w:val="es-ES"/>
              </w:rPr>
              <w:br/>
              <w:t>(dB)</w:t>
            </w:r>
          </w:p>
        </w:tc>
      </w:tr>
      <w:tr w:rsidR="008A0B50" w:rsidRPr="00A366D8" w:rsidTr="008B58CF">
        <w:trPr>
          <w:cantSplit/>
          <w:trHeight w:val="262"/>
          <w:jc w:val="center"/>
        </w:trPr>
        <w:tc>
          <w:tcPr>
            <w:tcW w:w="1203" w:type="dxa"/>
            <w:vMerge/>
            <w:tcBorders>
              <w:top w:val="single" w:sz="6" w:space="0" w:color="auto"/>
              <w:left w:val="single" w:sz="6" w:space="0" w:color="auto"/>
              <w:bottom w:val="single" w:sz="6" w:space="0" w:color="auto"/>
              <w:right w:val="single" w:sz="6" w:space="0" w:color="auto"/>
            </w:tcBorders>
          </w:tcPr>
          <w:p w:rsidR="008A0B50" w:rsidRDefault="008A0B50" w:rsidP="008B58CF">
            <w:pPr>
              <w:pStyle w:val="Tabletext"/>
              <w:rPr>
                <w:b/>
                <w:snapToGrid w:val="0"/>
                <w:color w:val="000000"/>
                <w:lang w:val="es-ES"/>
              </w:rPr>
            </w:pPr>
          </w:p>
        </w:tc>
        <w:tc>
          <w:tcPr>
            <w:tcW w:w="3969" w:type="dxa"/>
            <w:gridSpan w:val="5"/>
            <w:tcBorders>
              <w:top w:val="single" w:sz="6" w:space="0" w:color="auto"/>
              <w:left w:val="single" w:sz="6" w:space="0" w:color="auto"/>
              <w:bottom w:val="single" w:sz="6" w:space="0" w:color="auto"/>
              <w:right w:val="single" w:sz="6" w:space="0" w:color="auto"/>
            </w:tcBorders>
          </w:tcPr>
          <w:p w:rsidR="008A0B50" w:rsidRDefault="008A0B50" w:rsidP="008B58CF">
            <w:pPr>
              <w:pStyle w:val="Tablehead"/>
              <w:rPr>
                <w:snapToGrid w:val="0"/>
                <w:color w:val="000000"/>
                <w:lang w:val="es-ES"/>
              </w:rPr>
            </w:pPr>
            <w:r>
              <w:rPr>
                <w:lang w:val="es-ES"/>
              </w:rPr>
              <w:t>Intensidad de la lluvia (mm/h) (Zona)</w:t>
            </w:r>
          </w:p>
        </w:tc>
        <w:tc>
          <w:tcPr>
            <w:tcW w:w="3969" w:type="dxa"/>
            <w:gridSpan w:val="5"/>
            <w:tcBorders>
              <w:top w:val="single" w:sz="6" w:space="0" w:color="auto"/>
              <w:left w:val="single" w:sz="6" w:space="0" w:color="auto"/>
              <w:bottom w:val="single" w:sz="6" w:space="0" w:color="auto"/>
              <w:right w:val="single" w:sz="6" w:space="0" w:color="auto"/>
            </w:tcBorders>
          </w:tcPr>
          <w:p w:rsidR="008A0B50" w:rsidRDefault="008A0B50" w:rsidP="008B58CF">
            <w:pPr>
              <w:pStyle w:val="Tablehead"/>
              <w:rPr>
                <w:snapToGrid w:val="0"/>
                <w:color w:val="000000"/>
                <w:lang w:val="es-ES"/>
              </w:rPr>
            </w:pPr>
            <w:r>
              <w:rPr>
                <w:lang w:val="es-ES"/>
              </w:rPr>
              <w:t>Intensidad de la lluvia (mm/h) (Zona)</w:t>
            </w:r>
          </w:p>
        </w:tc>
      </w:tr>
      <w:tr w:rsidR="008A0B50" w:rsidTr="008B58CF">
        <w:trPr>
          <w:cantSplit/>
          <w:trHeight w:val="262"/>
          <w:jc w:val="center"/>
        </w:trPr>
        <w:tc>
          <w:tcPr>
            <w:tcW w:w="1203" w:type="dxa"/>
            <w:vMerge/>
            <w:tcBorders>
              <w:top w:val="single" w:sz="6" w:space="0" w:color="auto"/>
              <w:left w:val="single" w:sz="6" w:space="0" w:color="auto"/>
              <w:bottom w:val="single" w:sz="6" w:space="0" w:color="auto"/>
              <w:right w:val="single" w:sz="6" w:space="0" w:color="auto"/>
            </w:tcBorders>
          </w:tcPr>
          <w:p w:rsidR="008A0B50" w:rsidRDefault="008A0B50" w:rsidP="008B58CF">
            <w:pPr>
              <w:pStyle w:val="Tabletext"/>
              <w:rPr>
                <w:b/>
                <w:snapToGrid w:val="0"/>
                <w:color w:val="000000"/>
                <w:lang w:val="es-ES"/>
              </w:rPr>
            </w:pP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12 (B)</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22 (E)</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42 (K)</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63 (M)</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95 (N)</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12 (B)</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s-PE"/>
              </w:rPr>
            </w:pPr>
            <w:r>
              <w:rPr>
                <w:snapToGrid w:val="0"/>
                <w:color w:val="000000"/>
                <w:lang w:val="es-PE"/>
              </w:rPr>
              <w:t>22 (E)</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n-US"/>
              </w:rPr>
            </w:pPr>
            <w:r>
              <w:rPr>
                <w:snapToGrid w:val="0"/>
                <w:color w:val="000000"/>
                <w:lang w:val="en-US"/>
              </w:rPr>
              <w:t>42 (K)</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left"/>
              <w:rPr>
                <w:snapToGrid w:val="0"/>
                <w:color w:val="000000"/>
                <w:lang w:val="en-US"/>
              </w:rPr>
            </w:pPr>
            <w:r>
              <w:rPr>
                <w:snapToGrid w:val="0"/>
                <w:color w:val="000000"/>
                <w:lang w:val="en-US"/>
              </w:rPr>
              <w:t>63 (M)</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85"/>
              <w:jc w:val="left"/>
              <w:rPr>
                <w:snapToGrid w:val="0"/>
                <w:color w:val="000000"/>
                <w:lang w:val="en-US"/>
              </w:rPr>
            </w:pPr>
            <w:r>
              <w:rPr>
                <w:snapToGrid w:val="0"/>
                <w:color w:val="000000"/>
                <w:lang w:val="en-US"/>
              </w:rPr>
              <w:t>95</w:t>
            </w:r>
            <w:r>
              <w:rPr>
                <w:snapToGrid w:val="0"/>
                <w:color w:val="000000"/>
                <w:vertAlign w:val="superscript"/>
                <w:lang w:val="en-US"/>
              </w:rPr>
              <w:t>(1)</w:t>
            </w:r>
            <w:r w:rsidR="008B58CF">
              <w:rPr>
                <w:snapToGrid w:val="0"/>
                <w:color w:val="000000"/>
                <w:vertAlign w:val="superscript"/>
                <w:lang w:val="en-US"/>
              </w:rPr>
              <w:t xml:space="preserve"> </w:t>
            </w:r>
            <w:r>
              <w:rPr>
                <w:snapToGrid w:val="0"/>
                <w:color w:val="000000"/>
                <w:lang w:val="en-US"/>
              </w:rPr>
              <w:t>(N)</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0,1</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0,8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5,2</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0,6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3,0</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0,2</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16,4</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5,9</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0,3</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15,4</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8,8</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0,4</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20,3</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11,6</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0,5</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17,4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25,1</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14,3</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0,6</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20,7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29,8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12,2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17,6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17,0</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0,7</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16,6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34,3</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20,3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19,6</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18,9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27,2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38,8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16,1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22,2</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0,9</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30,4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43,2</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10,0</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18,0</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25,8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24,7</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1,0</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12,8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23,3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33,6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47,5</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11,0</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19,9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28,5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27,1</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1,1</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25,5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36,7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51,7</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12,1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21,8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29,5</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1,2</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15,3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27,7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39,8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55,8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13,1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23,7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33,7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31,9</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1,3</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16,5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29,9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42,8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59,8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14,2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25,5</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36,2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34,1</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1,4</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17,7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45,8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63,8</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8,7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15,2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27,3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38,8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36,4</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1,5</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10,8</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18,9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34,1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48,7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67,6</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16,2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29,1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41,3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38,6</w:t>
            </w:r>
          </w:p>
        </w:tc>
      </w:tr>
      <w:tr w:rsidR="008A0B50" w:rsidTr="008B58CF">
        <w:trPr>
          <w:cantSplit/>
          <w:trHeight w:val="262"/>
          <w:jc w:val="center"/>
        </w:trPr>
        <w:tc>
          <w:tcPr>
            <w:tcW w:w="120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jc w:val="center"/>
              <w:rPr>
                <w:snapToGrid w:val="0"/>
                <w:color w:val="000000"/>
                <w:lang w:val="es-ES"/>
              </w:rPr>
            </w:pPr>
            <w:r>
              <w:rPr>
                <w:snapToGrid w:val="0"/>
                <w:color w:val="000000"/>
                <w:lang w:val="es-ES"/>
              </w:rPr>
              <w:t>1,6</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11,4</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20,1</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36,2</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51,6</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71,4</w:t>
            </w:r>
          </w:p>
        </w:tc>
        <w:tc>
          <w:tcPr>
            <w:tcW w:w="793"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9,9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17,3</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30,9</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43,7</w:t>
            </w:r>
          </w:p>
        </w:tc>
        <w:tc>
          <w:tcPr>
            <w:tcW w:w="794" w:type="dxa"/>
            <w:tcBorders>
              <w:top w:val="single" w:sz="6" w:space="0" w:color="auto"/>
              <w:left w:val="single" w:sz="6" w:space="0" w:color="auto"/>
              <w:bottom w:val="single" w:sz="6" w:space="0" w:color="auto"/>
              <w:right w:val="single" w:sz="6" w:space="0" w:color="auto"/>
            </w:tcBorders>
          </w:tcPr>
          <w:p w:rsidR="008A0B50" w:rsidRDefault="008A0B50" w:rsidP="008B58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snapToGrid w:val="0"/>
                <w:color w:val="000000"/>
                <w:lang w:val="es-ES"/>
              </w:rPr>
            </w:pPr>
            <w:r>
              <w:rPr>
                <w:snapToGrid w:val="0"/>
                <w:color w:val="000000"/>
                <w:lang w:val="es-ES"/>
              </w:rPr>
              <w:t>40,8</w:t>
            </w:r>
          </w:p>
        </w:tc>
      </w:tr>
      <w:tr w:rsidR="008A0B50" w:rsidRPr="00A366D8" w:rsidTr="008B58CF">
        <w:trPr>
          <w:cantSplit/>
          <w:trHeight w:val="262"/>
          <w:jc w:val="center"/>
        </w:trPr>
        <w:tc>
          <w:tcPr>
            <w:tcW w:w="9141" w:type="dxa"/>
            <w:gridSpan w:val="11"/>
            <w:tcBorders>
              <w:top w:val="single" w:sz="6" w:space="0" w:color="auto"/>
              <w:left w:val="nil"/>
              <w:bottom w:val="nil"/>
              <w:right w:val="nil"/>
            </w:tcBorders>
          </w:tcPr>
          <w:p w:rsidR="008A0B50" w:rsidRDefault="008A0B50" w:rsidP="008B58CF">
            <w:pPr>
              <w:pStyle w:val="Tablelegend"/>
              <w:rPr>
                <w:snapToGrid w:val="0"/>
                <w:color w:val="000000"/>
                <w:lang w:val="es-ES"/>
              </w:rPr>
            </w:pPr>
            <w:r>
              <w:rPr>
                <w:vertAlign w:val="superscript"/>
                <w:lang w:val="es-ES"/>
              </w:rPr>
              <w:t>(1)</w:t>
            </w:r>
            <w:r>
              <w:rPr>
                <w:lang w:val="es-ES"/>
              </w:rPr>
              <w:tab/>
              <w:t>Los márgenes de desvanecimiento en el caso de una intensidad de la lluvia de 95 mm/h con polarización vertical se han calculado suponiendo que la latitud es inferior a 30° (lo cual repercute en el cálculo según la Recomendación UIT-R P.530).</w:t>
            </w:r>
          </w:p>
        </w:tc>
      </w:tr>
    </w:tbl>
    <w:p w:rsidR="008A0B50" w:rsidRDefault="008A0B50" w:rsidP="008A0B50">
      <w:pPr>
        <w:pStyle w:val="Tablefin"/>
        <w:rPr>
          <w:lang w:val="es-ES"/>
        </w:rPr>
      </w:pPr>
    </w:p>
    <w:p w:rsidR="008A0B50" w:rsidRDefault="008A0B50" w:rsidP="008A0B50">
      <w:pPr>
        <w:rPr>
          <w:lang w:val="es-ES_tradnl"/>
        </w:rPr>
      </w:pPr>
    </w:p>
    <w:p w:rsidR="008A0B50" w:rsidRPr="00A366D8" w:rsidRDefault="008A0B50" w:rsidP="008A0B50">
      <w:pPr>
        <w:pStyle w:val="Line"/>
        <w:rPr>
          <w:lang w:val="es-ES_tradnl"/>
        </w:rPr>
      </w:pPr>
    </w:p>
    <w:sectPr w:rsidR="008A0B50" w:rsidRPr="00A366D8" w:rsidSect="00B1717A">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AFB" w:rsidRDefault="00101AFB">
      <w:r>
        <w:separator/>
      </w:r>
    </w:p>
  </w:endnote>
  <w:endnote w:type="continuationSeparator" w:id="0">
    <w:p w:rsidR="00101AFB" w:rsidRDefault="00101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AFB" w:rsidRDefault="00101AFB">
      <w:r>
        <w:separator/>
      </w:r>
    </w:p>
  </w:footnote>
  <w:footnote w:type="continuationSeparator" w:id="0">
    <w:p w:rsidR="00101AFB" w:rsidRDefault="00101AFB">
      <w:r>
        <w:continuationSeparator/>
      </w:r>
    </w:p>
  </w:footnote>
  <w:footnote w:id="1">
    <w:p w:rsidR="00101AFB" w:rsidRPr="003604BE" w:rsidRDefault="00101AFB" w:rsidP="008A0B50">
      <w:pPr>
        <w:pStyle w:val="FootnoteText"/>
        <w:rPr>
          <w:lang w:val="es-ES_tradnl"/>
        </w:rPr>
      </w:pPr>
      <w:r w:rsidRPr="005164AC">
        <w:rPr>
          <w:rStyle w:val="FootnoteReference"/>
          <w:lang w:val="es-ES_tradnl"/>
        </w:rPr>
        <w:t>*</w:t>
      </w:r>
      <w:r w:rsidRPr="005164AC">
        <w:rPr>
          <w:lang w:val="es-ES_tradnl"/>
        </w:rPr>
        <w:tab/>
        <w:t>La Comisión de Estudio 5 de Radiocomunicaciones introdujo modificaciones redaccionales en esta Recomendación en diciembre de 2009, de conformidad con la Resolución U</w:t>
      </w:r>
      <w:r>
        <w:rPr>
          <w:lang w:val="es-ES_tradnl"/>
        </w:rPr>
        <w:t>I</w:t>
      </w:r>
      <w:r w:rsidRPr="005164AC">
        <w:rPr>
          <w:lang w:val="es-ES_tradnl"/>
        </w:rPr>
        <w:t>T-R 1.</w:t>
      </w:r>
    </w:p>
  </w:footnote>
  <w:footnote w:id="2">
    <w:p w:rsidR="00101AFB" w:rsidRDefault="00101AFB" w:rsidP="00094B36">
      <w:pPr>
        <w:pStyle w:val="FootnoteText"/>
        <w:rPr>
          <w:lang w:val="es-PE"/>
        </w:rPr>
      </w:pPr>
      <w:r>
        <w:rPr>
          <w:rStyle w:val="FootnoteReference"/>
          <w:lang w:val="es-PE"/>
        </w:rPr>
        <w:t>1</w:t>
      </w:r>
      <w:r>
        <w:rPr>
          <w:lang w:val="es-PE"/>
        </w:rPr>
        <w:t xml:space="preserve"> </w:t>
      </w:r>
      <w:r>
        <w:rPr>
          <w:lang w:val="es-PE"/>
        </w:rPr>
        <w:tab/>
      </w:r>
      <w:r>
        <w:rPr>
          <w:noProof/>
          <w:lang w:val="es-PE"/>
        </w:rPr>
        <w:t xml:space="preserve">Para los enlaces del servicio fijo que utilizan CAPT, margen de desvanecimiento neto </w:t>
      </w:r>
      <w:r>
        <w:rPr>
          <w:noProof/>
          <w:lang w:val="es-PE"/>
        </w:rPr>
        <w:sym w:font="Symbol" w:char="F03D"/>
      </w:r>
      <w:r>
        <w:rPr>
          <w:noProof/>
          <w:lang w:val="es-PE"/>
        </w:rPr>
        <w:t xml:space="preserve"> margen de desvanecimiento total – gama de CAPT.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101AF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101AFB"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FD552E" w:rsidP="00B1717A">
    <w:pPr>
      <w:pStyle w:val="Header"/>
      <w:jc w:val="left"/>
    </w:pPr>
    <w:r>
      <w:rPr>
        <w:rStyle w:val="PageNumber"/>
        <w:b/>
        <w:bCs/>
      </w:rPr>
      <w:fldChar w:fldCharType="begin"/>
    </w:r>
    <w:r w:rsidR="00101AFB">
      <w:rPr>
        <w:rStyle w:val="PageNumber"/>
        <w:b/>
        <w:bCs/>
      </w:rPr>
      <w:instrText xml:space="preserve"> PAGE </w:instrText>
    </w:r>
    <w:r>
      <w:rPr>
        <w:rStyle w:val="PageNumber"/>
        <w:b/>
        <w:bCs/>
      </w:rPr>
      <w:fldChar w:fldCharType="separate"/>
    </w:r>
    <w:r w:rsidR="00BA3D3E">
      <w:rPr>
        <w:rStyle w:val="PageNumber"/>
        <w:b/>
        <w:bCs/>
        <w:noProof/>
      </w:rPr>
      <w:t>ii</w:t>
    </w:r>
    <w:r>
      <w:rPr>
        <w:rStyle w:val="PageNumber"/>
        <w:b/>
        <w:bCs/>
      </w:rPr>
      <w:fldChar w:fldCharType="end"/>
    </w:r>
    <w:r w:rsidR="00101AFB">
      <w:tab/>
    </w:r>
    <w:fldSimple w:instr=" DOCPROPERTY &quot;Header&quot; \* MERGEFORMAT ">
      <w:r w:rsidR="00BA3D3E" w:rsidRPr="00BA3D3E">
        <w:rPr>
          <w:b/>
          <w:bCs/>
          <w:lang w:val="en-US"/>
        </w:rPr>
        <w:t xml:space="preserve">Rec. </w:t>
      </w:r>
    </w:fldSimple>
    <w:r w:rsidR="00101AFB">
      <w:rPr>
        <w:b/>
        <w:bCs/>
      </w:rPr>
      <w:t xml:space="preserve"> </w:t>
    </w:r>
    <w:r>
      <w:rPr>
        <w:b/>
        <w:bCs/>
      </w:rPr>
      <w:fldChar w:fldCharType="begin"/>
    </w:r>
    <w:r w:rsidR="00101AFB">
      <w:rPr>
        <w:b/>
        <w:bCs/>
      </w:rPr>
      <w:instrText>styleref href</w:instrText>
    </w:r>
    <w:r>
      <w:rPr>
        <w:b/>
        <w:bCs/>
      </w:rPr>
      <w:fldChar w:fldCharType="separate"/>
    </w:r>
    <w:r w:rsidR="00BA3D3E">
      <w:rPr>
        <w:b/>
        <w:bCs/>
        <w:noProof/>
      </w:rPr>
      <w:t>UIT-R  F.1606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101AFB">
    <w:pPr>
      <w:pStyle w:val="Header"/>
    </w:pPr>
    <w:r>
      <w:tab/>
    </w:r>
    <w:fldSimple w:instr=" DOCPROPERTY &quot;Header&quot; \* MERGEFORMAT ">
      <w:r w:rsidR="00BA3D3E" w:rsidRPr="00BA3D3E">
        <w:rPr>
          <w:lang w:val="en-US"/>
        </w:rPr>
        <w:t xml:space="preserve">Rec. </w:t>
      </w:r>
    </w:fldSimple>
    <w:r>
      <w:rPr>
        <w:b/>
        <w:bCs/>
      </w:rPr>
      <w:t xml:space="preserve">  </w:t>
    </w:r>
    <w:r w:rsidR="00FD552E">
      <w:rPr>
        <w:b/>
        <w:bCs/>
      </w:rPr>
      <w:fldChar w:fldCharType="begin"/>
    </w:r>
    <w:r>
      <w:rPr>
        <w:b/>
        <w:bCs/>
      </w:rPr>
      <w:instrText>styleref href</w:instrText>
    </w:r>
    <w:r w:rsidR="00FD552E">
      <w:rPr>
        <w:b/>
        <w:bCs/>
      </w:rPr>
      <w:fldChar w:fldCharType="separate"/>
    </w:r>
    <w:r w:rsidR="00BA3D3E">
      <w:rPr>
        <w:b/>
        <w:bCs/>
        <w:noProof/>
      </w:rPr>
      <w:t>UIT-R  F.1606</w:t>
    </w:r>
    <w:r w:rsidR="00FD552E">
      <w:rPr>
        <w:b/>
        <w:bCs/>
      </w:rPr>
      <w:fldChar w:fldCharType="end"/>
    </w:r>
    <w:r>
      <w:tab/>
    </w:r>
    <w:r w:rsidR="00FD552E">
      <w:rPr>
        <w:rStyle w:val="PageNumber"/>
        <w:b/>
        <w:bCs/>
      </w:rPr>
      <w:fldChar w:fldCharType="begin"/>
    </w:r>
    <w:r>
      <w:rPr>
        <w:rStyle w:val="PageNumber"/>
        <w:b/>
        <w:bCs/>
      </w:rPr>
      <w:instrText xml:space="preserve"> PAGE </w:instrText>
    </w:r>
    <w:r w:rsidR="00FD552E">
      <w:rPr>
        <w:rStyle w:val="PageNumber"/>
        <w:b/>
        <w:bCs/>
      </w:rPr>
      <w:fldChar w:fldCharType="separate"/>
    </w:r>
    <w:r>
      <w:rPr>
        <w:rStyle w:val="PageNumber"/>
        <w:b/>
        <w:bCs/>
        <w:noProof/>
      </w:rPr>
      <w:t>1</w:t>
    </w:r>
    <w:r w:rsidR="00FD552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FD552E">
    <w:pPr>
      <w:pStyle w:val="Header"/>
      <w:jc w:val="left"/>
      <w:rPr>
        <w:lang w:val="en-US"/>
      </w:rPr>
    </w:pPr>
    <w:r>
      <w:rPr>
        <w:rStyle w:val="PageNumber"/>
        <w:b/>
        <w:bCs/>
      </w:rPr>
      <w:fldChar w:fldCharType="begin"/>
    </w:r>
    <w:r w:rsidR="00101AFB">
      <w:rPr>
        <w:rStyle w:val="PageNumber"/>
        <w:b/>
        <w:bCs/>
        <w:lang w:val="en-US"/>
      </w:rPr>
      <w:instrText xml:space="preserve"> PAGE </w:instrText>
    </w:r>
    <w:r>
      <w:rPr>
        <w:rStyle w:val="PageNumber"/>
        <w:b/>
        <w:bCs/>
      </w:rPr>
      <w:fldChar w:fldCharType="separate"/>
    </w:r>
    <w:r w:rsidR="00243019">
      <w:rPr>
        <w:rStyle w:val="PageNumber"/>
        <w:b/>
        <w:bCs/>
        <w:noProof/>
        <w:lang w:val="en-US"/>
      </w:rPr>
      <w:t>6</w:t>
    </w:r>
    <w:r>
      <w:rPr>
        <w:rStyle w:val="PageNumber"/>
        <w:b/>
        <w:bCs/>
      </w:rPr>
      <w:fldChar w:fldCharType="end"/>
    </w:r>
    <w:r w:rsidR="00101AFB">
      <w:rPr>
        <w:lang w:val="en-US"/>
      </w:rPr>
      <w:tab/>
    </w:r>
    <w:fldSimple w:instr=" DOCPROPERTY &quot;Header&quot; \* MERGEFORMAT ">
      <w:r w:rsidR="00BA3D3E" w:rsidRPr="00BA3D3E">
        <w:rPr>
          <w:b/>
          <w:bCs/>
          <w:lang w:val="en-US"/>
        </w:rPr>
        <w:t xml:space="preserve">Rec. </w:t>
      </w:r>
    </w:fldSimple>
    <w:r w:rsidR="00101AFB">
      <w:rPr>
        <w:b/>
        <w:bCs/>
      </w:rPr>
      <w:t xml:space="preserve"> </w:t>
    </w:r>
    <w:r>
      <w:rPr>
        <w:b/>
        <w:bCs/>
      </w:rPr>
      <w:fldChar w:fldCharType="begin"/>
    </w:r>
    <w:r w:rsidR="00101AFB">
      <w:rPr>
        <w:b/>
        <w:bCs/>
        <w:lang w:val="en-US"/>
      </w:rPr>
      <w:instrText>styleref href</w:instrText>
    </w:r>
    <w:r>
      <w:rPr>
        <w:b/>
        <w:bCs/>
      </w:rPr>
      <w:fldChar w:fldCharType="separate"/>
    </w:r>
    <w:r w:rsidR="00243019">
      <w:rPr>
        <w:b/>
        <w:bCs/>
        <w:noProof/>
      </w:rPr>
      <w:t>UIT-R  F.1606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AFB" w:rsidRDefault="00101AFB">
    <w:pPr>
      <w:pStyle w:val="Header"/>
    </w:pPr>
    <w:r>
      <w:tab/>
    </w:r>
    <w:fldSimple w:instr=" DOCPROPERTY &quot;Header&quot; \* MERGEFORMAT ">
      <w:r w:rsidR="00BA3D3E" w:rsidRPr="00BA3D3E">
        <w:rPr>
          <w:b/>
          <w:bCs/>
        </w:rPr>
        <w:t xml:space="preserve">Rec. </w:t>
      </w:r>
    </w:fldSimple>
    <w:r>
      <w:rPr>
        <w:b/>
        <w:bCs/>
      </w:rPr>
      <w:t xml:space="preserve"> </w:t>
    </w:r>
    <w:r w:rsidR="00FD552E">
      <w:rPr>
        <w:b/>
        <w:bCs/>
      </w:rPr>
      <w:fldChar w:fldCharType="begin"/>
    </w:r>
    <w:r>
      <w:rPr>
        <w:b/>
        <w:bCs/>
      </w:rPr>
      <w:instrText>styleref href</w:instrText>
    </w:r>
    <w:r w:rsidR="00FD552E">
      <w:rPr>
        <w:b/>
        <w:bCs/>
      </w:rPr>
      <w:fldChar w:fldCharType="separate"/>
    </w:r>
    <w:r w:rsidR="00243019">
      <w:rPr>
        <w:b/>
        <w:bCs/>
        <w:noProof/>
      </w:rPr>
      <w:t>UIT-R  F.1606</w:t>
    </w:r>
    <w:r w:rsidR="00FD552E">
      <w:rPr>
        <w:b/>
        <w:bCs/>
      </w:rPr>
      <w:fldChar w:fldCharType="end"/>
    </w:r>
    <w:r>
      <w:tab/>
    </w:r>
    <w:r w:rsidR="00FD552E">
      <w:rPr>
        <w:rStyle w:val="PageNumber"/>
        <w:b/>
        <w:bCs/>
      </w:rPr>
      <w:fldChar w:fldCharType="begin"/>
    </w:r>
    <w:r>
      <w:rPr>
        <w:rStyle w:val="PageNumber"/>
        <w:b/>
        <w:bCs/>
      </w:rPr>
      <w:instrText xml:space="preserve"> PAGE </w:instrText>
    </w:r>
    <w:r w:rsidR="00FD552E">
      <w:rPr>
        <w:rStyle w:val="PageNumber"/>
        <w:b/>
        <w:bCs/>
      </w:rPr>
      <w:fldChar w:fldCharType="separate"/>
    </w:r>
    <w:r w:rsidR="00243019">
      <w:rPr>
        <w:rStyle w:val="PageNumber"/>
        <w:b/>
        <w:bCs/>
        <w:noProof/>
      </w:rPr>
      <w:t>7</w:t>
    </w:r>
    <w:r w:rsidR="00FD552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rsids>
    <w:rsidRoot w:val="00B1717A"/>
    <w:rsid w:val="00094B36"/>
    <w:rsid w:val="00101AFB"/>
    <w:rsid w:val="00243019"/>
    <w:rsid w:val="00286C0A"/>
    <w:rsid w:val="002D76C4"/>
    <w:rsid w:val="002E4C8D"/>
    <w:rsid w:val="00363835"/>
    <w:rsid w:val="004532F7"/>
    <w:rsid w:val="005779FC"/>
    <w:rsid w:val="00593832"/>
    <w:rsid w:val="005A6102"/>
    <w:rsid w:val="00607D68"/>
    <w:rsid w:val="00643006"/>
    <w:rsid w:val="006B22C3"/>
    <w:rsid w:val="0072152F"/>
    <w:rsid w:val="00834A65"/>
    <w:rsid w:val="00847DD5"/>
    <w:rsid w:val="008A0B50"/>
    <w:rsid w:val="008B517D"/>
    <w:rsid w:val="008B58CF"/>
    <w:rsid w:val="008D3D67"/>
    <w:rsid w:val="00A366D8"/>
    <w:rsid w:val="00A6617B"/>
    <w:rsid w:val="00AB0DC8"/>
    <w:rsid w:val="00B1717A"/>
    <w:rsid w:val="00B44E24"/>
    <w:rsid w:val="00B900D5"/>
    <w:rsid w:val="00BA3D3E"/>
    <w:rsid w:val="00BF7841"/>
    <w:rsid w:val="00D50E83"/>
    <w:rsid w:val="00D62884"/>
    <w:rsid w:val="00D91F01"/>
    <w:rsid w:val="00DF4176"/>
    <w:rsid w:val="00F91760"/>
    <w:rsid w:val="00FB56BF"/>
    <w:rsid w:val="00FD552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0E83"/>
    <w:pPr>
      <w:keepNext/>
      <w:keepLines/>
      <w:spacing w:before="480"/>
      <w:ind w:left="794" w:hanging="794"/>
      <w:outlineLvl w:val="0"/>
    </w:pPr>
    <w:rPr>
      <w:b/>
    </w:rPr>
  </w:style>
  <w:style w:type="paragraph" w:styleId="Heading2">
    <w:name w:val="heading 2"/>
    <w:basedOn w:val="Heading1"/>
    <w:next w:val="Normal"/>
    <w:link w:val="Heading2Char"/>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link w:val="FootnoteTextChar"/>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 w:type="character" w:customStyle="1" w:styleId="FootnoteTextChar">
    <w:name w:val="Footnote Text Char"/>
    <w:basedOn w:val="DefaultParagraphFont"/>
    <w:link w:val="FootnoteText"/>
    <w:semiHidden/>
    <w:rsid w:val="008A0B50"/>
    <w:rPr>
      <w:sz w:val="22"/>
      <w:lang w:val="fr-FR" w:eastAsia="en-US"/>
    </w:rPr>
  </w:style>
  <w:style w:type="character" w:customStyle="1" w:styleId="Heading1Char">
    <w:name w:val="Heading 1 Char"/>
    <w:basedOn w:val="DefaultParagraphFont"/>
    <w:link w:val="Heading1"/>
    <w:rsid w:val="008A0B50"/>
    <w:rPr>
      <w:b/>
      <w:sz w:val="24"/>
      <w:lang w:val="fr-FR" w:eastAsia="en-US"/>
    </w:rPr>
  </w:style>
  <w:style w:type="character" w:customStyle="1" w:styleId="Heading2Char">
    <w:name w:val="Heading 2 Char"/>
    <w:basedOn w:val="DefaultParagraphFont"/>
    <w:link w:val="Heading2"/>
    <w:rsid w:val="008A0B50"/>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144</TotalTime>
  <Pages>9</Pages>
  <Words>3453</Words>
  <Characters>17352</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20764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10</cp:revision>
  <cp:lastPrinted>2005-02-10T14:54:00Z</cp:lastPrinted>
  <dcterms:created xsi:type="dcterms:W3CDTF">2010-12-01T12:25:00Z</dcterms:created>
  <dcterms:modified xsi:type="dcterms:W3CDTF">2010-12-10T08:36:00Z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