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A43D0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A43D0D">
              <w:rPr>
                <w:rFonts w:ascii="Tahoma" w:hAnsi="Tahoma" w:cs="Tahoma"/>
                <w:b/>
                <w:bCs/>
                <w:iCs/>
                <w:color w:val="243285"/>
                <w:sz w:val="36"/>
                <w:szCs w:val="36"/>
              </w:rPr>
              <w:t>1606</w:t>
            </w:r>
          </w:p>
          <w:p w:rsidR="00FE79FE" w:rsidRPr="004F65E4" w:rsidRDefault="00FE79FE" w:rsidP="00A43D0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43D0D">
              <w:rPr>
                <w:rFonts w:ascii="Tahoma" w:hAnsi="Tahoma" w:cs="Tahoma"/>
                <w:b/>
                <w:bCs/>
                <w:iCs/>
                <w:color w:val="243285"/>
                <w:szCs w:val="24"/>
              </w:rPr>
              <w:t>02</w:t>
            </w:r>
            <w:r w:rsidRPr="004F65E4">
              <w:rPr>
                <w:rFonts w:ascii="Tahoma" w:hAnsi="Tahoma" w:cs="Tahoma"/>
                <w:b/>
                <w:bCs/>
                <w:iCs/>
                <w:color w:val="243285"/>
                <w:szCs w:val="24"/>
              </w:rPr>
              <w:t>/</w:t>
            </w:r>
            <w:r w:rsidR="00A43D0D">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A43D0D" w:rsidP="00A43D0D">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Interference criteria to protect fixed wireless systems from time varying aggregate interference produced by non</w:t>
            </w:r>
            <w:r>
              <w:rPr>
                <w:rFonts w:ascii="Tahoma" w:hAnsi="Tahoma" w:cs="Tahoma"/>
                <w:b/>
                <w:bCs/>
                <w:iCs/>
                <w:color w:val="243285"/>
                <w:sz w:val="44"/>
                <w:szCs w:val="44"/>
                <w:lang w:val="en-US"/>
              </w:rPr>
              <w:noBreakHyphen/>
              <w:t>geostationary satellites operating</w:t>
            </w:r>
            <w:r>
              <w:rPr>
                <w:rFonts w:ascii="Tahoma" w:hAnsi="Tahoma" w:cs="Tahoma"/>
                <w:b/>
                <w:bCs/>
                <w:iCs/>
                <w:color w:val="243285"/>
                <w:sz w:val="44"/>
                <w:szCs w:val="44"/>
                <w:lang w:val="en-US"/>
              </w:rPr>
              <w:br/>
              <w:t>in other services sharing the 37-40 GHz</w:t>
            </w:r>
            <w:r>
              <w:rPr>
                <w:rFonts w:ascii="Tahoma" w:hAnsi="Tahoma" w:cs="Tahoma"/>
                <w:b/>
                <w:bCs/>
                <w:iCs/>
                <w:color w:val="243285"/>
                <w:sz w:val="44"/>
                <w:szCs w:val="44"/>
                <w:lang w:val="en-US"/>
              </w:rPr>
              <w:br/>
              <w:t>and 40.5-42.5 GHz bands on</w:t>
            </w:r>
            <w:r>
              <w:rPr>
                <w:rFonts w:ascii="Tahoma" w:hAnsi="Tahoma" w:cs="Tahoma"/>
                <w:b/>
                <w:bCs/>
                <w:iCs/>
                <w:color w:val="243285"/>
                <w:sz w:val="44"/>
                <w:szCs w:val="44"/>
                <w:lang w:val="en-US"/>
              </w:rPr>
              <w:br/>
              <w:t>a co-primary basis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43D0D" w:rsidRDefault="00A43D0D" w:rsidP="00A43D0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1606</w:t>
      </w:r>
      <w:r>
        <w:rPr>
          <w:rStyle w:val="FootnoteReference"/>
          <w:lang w:val="en-US"/>
        </w:rPr>
        <w:footnoteReference w:customMarkFollows="1" w:id="1"/>
        <w:t>*</w:t>
      </w:r>
    </w:p>
    <w:p w:rsidR="00C71B3A" w:rsidRDefault="00C71B3A" w:rsidP="00C71B3A">
      <w:pPr>
        <w:pStyle w:val="Rectitle"/>
        <w:rPr>
          <w:lang w:val="en-US"/>
        </w:rPr>
      </w:pPr>
      <w:bookmarkStart w:id="3" w:name="Pre_title"/>
      <w:r>
        <w:rPr>
          <w:lang w:val="en-US"/>
        </w:rPr>
        <w:t>Interference criteria to protect fixed wireless systems from time varying aggregate interference produced by non-geostationary satellites</w:t>
      </w:r>
      <w:r>
        <w:rPr>
          <w:lang w:val="en-US"/>
        </w:rPr>
        <w:br/>
        <w:t>operating in other services sharing the 37-40 GHz and</w:t>
      </w:r>
      <w:r>
        <w:rPr>
          <w:lang w:val="en-US"/>
        </w:rPr>
        <w:br/>
        <w:t>40.5-42.5 GHz bands on a co-primary basis</w:t>
      </w:r>
      <w:bookmarkEnd w:id="3"/>
    </w:p>
    <w:p w:rsidR="00C71B3A" w:rsidRDefault="00C71B3A" w:rsidP="00C71B3A">
      <w:pPr>
        <w:pStyle w:val="Recdate"/>
        <w:rPr>
          <w:lang w:val="en-US"/>
        </w:rPr>
      </w:pPr>
      <w:bookmarkStart w:id="4" w:name="Revision_history"/>
    </w:p>
    <w:p w:rsidR="00C71B3A" w:rsidRDefault="00C71B3A" w:rsidP="00C71B3A">
      <w:pPr>
        <w:pStyle w:val="Recdate"/>
        <w:rPr>
          <w:lang w:val="en-US"/>
        </w:rPr>
      </w:pPr>
      <w:r>
        <w:rPr>
          <w:lang w:val="en-US"/>
        </w:rPr>
        <w:t>(2003)</w:t>
      </w:r>
      <w:bookmarkEnd w:id="4"/>
    </w:p>
    <w:p w:rsidR="00C71B3A" w:rsidRDefault="00C71B3A" w:rsidP="00C71B3A"/>
    <w:p w:rsidR="00C71B3A" w:rsidRDefault="00C71B3A" w:rsidP="00C71B3A">
      <w:pPr>
        <w:pStyle w:val="HeadingSum"/>
      </w:pPr>
      <w:r>
        <w:t>Scope</w:t>
      </w:r>
    </w:p>
    <w:p w:rsidR="00C71B3A" w:rsidRPr="00C71B3A" w:rsidRDefault="00C71B3A" w:rsidP="00C71B3A">
      <w:pPr>
        <w:pStyle w:val="Summary"/>
      </w:pPr>
      <w:r w:rsidRPr="00C71B3A">
        <w:rPr>
          <w:lang w:val="en-GB"/>
        </w:rPr>
        <w:t>This Recommendation specifies the interference criteria to protect fixed wireless systems from time varying aggregate interference produced by non-geostationary satellites operating in other services sharing the 37</w:t>
      </w:r>
      <w:r w:rsidRPr="00C71B3A">
        <w:rPr>
          <w:lang w:val="en-GB"/>
        </w:rPr>
        <w:noBreakHyphen/>
        <w:t xml:space="preserve">40 GHz and 40.5-42.5 GHz bands on a co-primary basis. The criteria are defined in terms of the </w:t>
      </w:r>
      <w:r w:rsidRPr="00C71B3A">
        <w:rPr>
          <w:i/>
          <w:iCs/>
          <w:lang w:val="en-GB"/>
        </w:rPr>
        <w:t>I</w:t>
      </w:r>
      <w:r w:rsidRPr="00C71B3A">
        <w:rPr>
          <w:lang w:val="en-GB"/>
        </w:rPr>
        <w:t>/</w:t>
      </w:r>
      <w:r w:rsidRPr="00C71B3A">
        <w:rPr>
          <w:i/>
          <w:iCs/>
          <w:lang w:val="en-GB"/>
        </w:rPr>
        <w:t>N</w:t>
      </w:r>
      <w:r w:rsidRPr="00C71B3A">
        <w:rPr>
          <w:lang w:val="en-GB"/>
        </w:rPr>
        <w:t xml:space="preserve"> at the input of the FS receiver for both long-term and short-term interferences. Annex 1 provides guidance material for the use of this Recommendation.</w:t>
      </w:r>
    </w:p>
    <w:p w:rsidR="00C71B3A" w:rsidRDefault="00C71B3A" w:rsidP="00C71B3A"/>
    <w:p w:rsidR="00C71B3A" w:rsidRDefault="00C71B3A" w:rsidP="00C71B3A">
      <w:pPr>
        <w:pStyle w:val="Normalaftertitle"/>
        <w:rPr>
          <w:lang w:val="en-US"/>
        </w:rPr>
      </w:pPr>
      <w:r>
        <w:rPr>
          <w:lang w:val="en-US"/>
        </w:rPr>
        <w:t>The ITU Radiocommunication Assembly,</w:t>
      </w:r>
    </w:p>
    <w:p w:rsidR="00C71B3A" w:rsidRDefault="00C71B3A" w:rsidP="00C71B3A">
      <w:pPr>
        <w:pStyle w:val="Call"/>
        <w:rPr>
          <w:lang w:val="en-US"/>
        </w:rPr>
      </w:pPr>
      <w:r>
        <w:rPr>
          <w:lang w:val="en-US"/>
        </w:rPr>
        <w:t>considering</w:t>
      </w:r>
    </w:p>
    <w:p w:rsidR="00C71B3A" w:rsidRDefault="00C71B3A" w:rsidP="00C71B3A">
      <w:pPr>
        <w:rPr>
          <w:lang w:val="en-US"/>
        </w:rPr>
      </w:pPr>
      <w:r>
        <w:rPr>
          <w:lang w:val="en-US"/>
        </w:rPr>
        <w:t>a)</w:t>
      </w:r>
      <w:r>
        <w:rPr>
          <w:lang w:val="en-US"/>
        </w:rPr>
        <w:tab/>
        <w:t>that it is desirable to determine the protection criteria of fixed wireless systems (FWS) operating in the 38 GHz (37-40 GHz) and 40 GHz (40.5-42.5 GHz) bands with respect to aggregate interference from systems of other services operating co-primary, especially short-term inter</w:t>
      </w:r>
      <w:r>
        <w:rPr>
          <w:lang w:val="en-US"/>
        </w:rPr>
        <w:softHyphen/>
        <w:t>ference;</w:t>
      </w:r>
    </w:p>
    <w:p w:rsidR="00C71B3A" w:rsidRDefault="00C71B3A" w:rsidP="00C71B3A">
      <w:pPr>
        <w:rPr>
          <w:lang w:val="en-US"/>
        </w:rPr>
      </w:pPr>
      <w:r>
        <w:rPr>
          <w:lang w:val="en-US"/>
        </w:rPr>
        <w:t>b)</w:t>
      </w:r>
      <w:r>
        <w:rPr>
          <w:lang w:val="en-US"/>
        </w:rPr>
        <w:tab/>
        <w:t>that in interference situations involving non-geostationary (non-GSO) space stations, FWS are potentially exposed to high levels of interference for short periods of time which could affect the performance or availability of these systems;</w:t>
      </w:r>
    </w:p>
    <w:p w:rsidR="00C71B3A" w:rsidRDefault="00C71B3A" w:rsidP="00C71B3A">
      <w:pPr>
        <w:rPr>
          <w:lang w:val="en-US"/>
        </w:rPr>
      </w:pPr>
      <w:r>
        <w:rPr>
          <w:lang w:val="en-US"/>
        </w:rPr>
        <w:t>c)</w:t>
      </w:r>
      <w:r>
        <w:rPr>
          <w:lang w:val="en-US"/>
        </w:rPr>
        <w:tab/>
        <w:t>that the FS link design in the 38 and 40 GHz bands is controlled by rain attenuation, which can be modelled using Recommendation ITU-R P.530;</w:t>
      </w:r>
    </w:p>
    <w:p w:rsidR="00C71B3A" w:rsidRDefault="00C71B3A" w:rsidP="00C71B3A">
      <w:pPr>
        <w:rPr>
          <w:lang w:val="en-US"/>
        </w:rPr>
      </w:pPr>
      <w:r>
        <w:rPr>
          <w:lang w:val="en-US"/>
        </w:rPr>
        <w:t>d)</w:t>
      </w:r>
      <w:r>
        <w:rPr>
          <w:lang w:val="en-US"/>
        </w:rPr>
        <w:tab/>
        <w:t>that in the 38 and 40 GHz bands, some administrations employ automatic transmitter power control (ATPC) on some FS links and that such use will increase the susceptibility of these links especially with regard to short-term interference;</w:t>
      </w:r>
    </w:p>
    <w:p w:rsidR="00C71B3A" w:rsidRDefault="00C71B3A" w:rsidP="00C71B3A">
      <w:pPr>
        <w:rPr>
          <w:lang w:val="en-US"/>
        </w:rPr>
      </w:pPr>
      <w:r>
        <w:rPr>
          <w:lang w:val="en-US"/>
        </w:rPr>
        <w:t>e)</w:t>
      </w:r>
      <w:r>
        <w:rPr>
          <w:lang w:val="en-US"/>
        </w:rPr>
        <w:tab/>
        <w:t>that some FS links employing small net fade margins may not be fully protected from interference from non-GSO satellite systems without unduly constraining those services;</w:t>
      </w:r>
    </w:p>
    <w:p w:rsidR="00C71B3A" w:rsidRDefault="00C71B3A" w:rsidP="00C71B3A">
      <w:pPr>
        <w:rPr>
          <w:lang w:val="en-US"/>
        </w:rPr>
      </w:pPr>
      <w:r>
        <w:rPr>
          <w:lang w:val="en-US"/>
        </w:rPr>
        <w:t>f)</w:t>
      </w:r>
      <w:r>
        <w:rPr>
          <w:lang w:val="en-US"/>
        </w:rPr>
        <w:tab/>
        <w:t>that typical FS links using ATPC will require tighter protection criteria than those needed for FS links with large fade margin that do not use ATPC;</w:t>
      </w:r>
    </w:p>
    <w:p w:rsidR="00C71B3A" w:rsidRDefault="00C71B3A" w:rsidP="00ED0001">
      <w:pPr>
        <w:rPr>
          <w:lang w:val="en-US"/>
        </w:rPr>
      </w:pPr>
      <w:r>
        <w:rPr>
          <w:lang w:val="en-US"/>
        </w:rPr>
        <w:t>g)</w:t>
      </w:r>
      <w:r>
        <w:rPr>
          <w:lang w:val="en-US"/>
        </w:rPr>
        <w:tab/>
        <w:t>that it is desirable to derive the aggregate FS protection criteria based on the calculation of the allowable degradation of error performance objective (EPO) due to interference, considering typical FS links using ATPC features</w:t>
      </w:r>
      <w:r w:rsidR="00ED0001">
        <w:rPr>
          <w:lang w:val="en-US"/>
        </w:rPr>
        <w:t>,</w:t>
      </w:r>
    </w:p>
    <w:p w:rsidR="00C71B3A" w:rsidRDefault="00C71B3A" w:rsidP="00C71B3A">
      <w:pPr>
        <w:rPr>
          <w:lang w:val="en-US"/>
        </w:rPr>
      </w:pPr>
      <w:r>
        <w:rPr>
          <w:lang w:val="en-US"/>
        </w:rPr>
        <w:br w:type="page"/>
      </w:r>
    </w:p>
    <w:p w:rsidR="00C71B3A" w:rsidRDefault="00C71B3A" w:rsidP="00C71B3A">
      <w:pPr>
        <w:pStyle w:val="Call"/>
        <w:rPr>
          <w:lang w:val="en-US"/>
        </w:rPr>
      </w:pPr>
      <w:r>
        <w:rPr>
          <w:lang w:val="en-US"/>
        </w:rPr>
        <w:lastRenderedPageBreak/>
        <w:t>recognizing</w:t>
      </w:r>
    </w:p>
    <w:p w:rsidR="00C71B3A" w:rsidRDefault="00C71B3A" w:rsidP="00C71B3A">
      <w:pPr>
        <w:rPr>
          <w:lang w:val="en-US"/>
        </w:rPr>
      </w:pPr>
      <w:r>
        <w:rPr>
          <w:lang w:val="en-US"/>
        </w:rPr>
        <w:t>a)</w:t>
      </w:r>
      <w:r>
        <w:rPr>
          <w:lang w:val="en-US"/>
        </w:rPr>
        <w:tab/>
        <w:t>that the bands 37.5-40 GHz and 40.5-42.5 GHz are shared on a co-primary basis with the FSS,</w:t>
      </w:r>
    </w:p>
    <w:p w:rsidR="00C71B3A" w:rsidRDefault="00C71B3A" w:rsidP="00C71B3A">
      <w:pPr>
        <w:pStyle w:val="Call"/>
        <w:rPr>
          <w:lang w:val="en-GB"/>
        </w:rPr>
      </w:pPr>
      <w:r w:rsidRPr="00C71B3A">
        <w:rPr>
          <w:lang w:val="en-GB"/>
        </w:rPr>
        <w:t>noting</w:t>
      </w:r>
    </w:p>
    <w:p w:rsidR="00C71B3A" w:rsidRDefault="00C71B3A" w:rsidP="00C71B3A">
      <w:pPr>
        <w:rPr>
          <w:lang w:val="en-GB"/>
        </w:rPr>
      </w:pPr>
      <w:r w:rsidRPr="00C71B3A">
        <w:rPr>
          <w:lang w:val="en-GB"/>
        </w:rPr>
        <w:t>a)</w:t>
      </w:r>
      <w:r w:rsidRPr="00C71B3A">
        <w:rPr>
          <w:lang w:val="en-GB"/>
        </w:rPr>
        <w:tab/>
        <w:t>that the determination of the maximum degradation of EPO allowable to interference from other services sharing the same frequency band on a co-primary basis is given in Recommendation ITU-R F.1094;</w:t>
      </w:r>
    </w:p>
    <w:p w:rsidR="00C71B3A" w:rsidRPr="00C71B3A" w:rsidRDefault="00C71B3A" w:rsidP="00C71B3A">
      <w:pPr>
        <w:rPr>
          <w:lang w:val="en-GB"/>
        </w:rPr>
      </w:pPr>
      <w:r w:rsidRPr="00C71B3A">
        <w:rPr>
          <w:lang w:val="en-GB"/>
        </w:rPr>
        <w:t>b)</w:t>
      </w:r>
      <w:r w:rsidRPr="00C71B3A">
        <w:rPr>
          <w:lang w:val="en-GB"/>
        </w:rPr>
        <w:tab/>
        <w:t>that the allowable degradation in performance of FWS due to interference from other services sharing the same frequency bands on a primary basis, expressed as a permissible fraction of the total EPO is defined in Recommendation ITU-R F.1565,</w:t>
      </w:r>
    </w:p>
    <w:p w:rsidR="00C71B3A" w:rsidRDefault="00C71B3A" w:rsidP="00C71B3A">
      <w:pPr>
        <w:pStyle w:val="Call"/>
        <w:rPr>
          <w:lang w:val="en-US"/>
        </w:rPr>
      </w:pPr>
      <w:r>
        <w:rPr>
          <w:lang w:val="en-US"/>
        </w:rPr>
        <w:t>recommends</w:t>
      </w:r>
    </w:p>
    <w:p w:rsidR="00C71B3A" w:rsidRDefault="00C71B3A" w:rsidP="00C71B3A">
      <w:pPr>
        <w:rPr>
          <w:lang w:val="en-US"/>
        </w:rPr>
      </w:pPr>
      <w:r>
        <w:rPr>
          <w:b/>
          <w:lang w:val="en-US"/>
        </w:rPr>
        <w:t>1</w:t>
      </w:r>
      <w:r>
        <w:rPr>
          <w:lang w:val="en-US"/>
        </w:rPr>
        <w:tab/>
        <w:t>that the following interference criteria should be used to protect the FS systems from varying aggregate interference from systems of other services operating in the 37-40 GHz and the 40.5-42.5 GHz bands on a co-primary basis;</w:t>
      </w:r>
    </w:p>
    <w:p w:rsidR="00C71B3A" w:rsidRDefault="00C71B3A" w:rsidP="00C71B3A">
      <w:pPr>
        <w:rPr>
          <w:lang w:val="en-US"/>
        </w:rPr>
      </w:pPr>
      <w:r>
        <w:rPr>
          <w:b/>
          <w:lang w:val="en-US"/>
        </w:rPr>
        <w:t>1.1</w:t>
      </w:r>
      <w:r>
        <w:rPr>
          <w:lang w:val="en-US"/>
        </w:rPr>
        <w:tab/>
        <w:t xml:space="preserve">for the long term, the </w:t>
      </w:r>
      <w:r>
        <w:rPr>
          <w:i/>
          <w:iCs/>
          <w:lang w:val="en-US"/>
        </w:rPr>
        <w:t>I</w:t>
      </w:r>
      <w:r>
        <w:rPr>
          <w:lang w:val="en-US"/>
        </w:rPr>
        <w:t>/</w:t>
      </w:r>
      <w:r>
        <w:rPr>
          <w:i/>
          <w:iCs/>
          <w:lang w:val="en-US"/>
        </w:rPr>
        <w:t>N</w:t>
      </w:r>
      <w:r>
        <w:rPr>
          <w:lang w:val="en-US"/>
        </w:rPr>
        <w:t xml:space="preserve"> at the input of the FS receiver should not exceed –10 dB for more than 20% of the time (see Note 1);</w:t>
      </w:r>
    </w:p>
    <w:p w:rsidR="00C71B3A" w:rsidRDefault="00C71B3A" w:rsidP="00C71B3A">
      <w:pPr>
        <w:spacing w:line="270" w:lineRule="exact"/>
        <w:rPr>
          <w:lang w:val="en-US"/>
        </w:rPr>
      </w:pPr>
      <w:r>
        <w:rPr>
          <w:b/>
          <w:lang w:val="en-US"/>
        </w:rPr>
        <w:t>1.2</w:t>
      </w:r>
      <w:r>
        <w:rPr>
          <w:lang w:val="en-US"/>
        </w:rPr>
        <w:tab/>
        <w:t xml:space="preserve">for the short term, the </w:t>
      </w:r>
      <w:r>
        <w:rPr>
          <w:i/>
          <w:iCs/>
          <w:lang w:val="en-US"/>
        </w:rPr>
        <w:t>I</w:t>
      </w:r>
      <w:r>
        <w:rPr>
          <w:lang w:val="en-US"/>
        </w:rPr>
        <w:t>/</w:t>
      </w:r>
      <w:r>
        <w:rPr>
          <w:i/>
          <w:iCs/>
          <w:lang w:val="en-US"/>
        </w:rPr>
        <w:t>N</w:t>
      </w:r>
      <w:r>
        <w:rPr>
          <w:lang w:val="en-US"/>
        </w:rPr>
        <w:t xml:space="preserve"> at the input of the FS receiver should not exceed </w:t>
      </w:r>
      <w:r>
        <w:rPr>
          <w:rFonts w:ascii="Symbol" w:hAnsi="Symbol"/>
          <w:lang w:val="en-US"/>
        </w:rPr>
        <w:t></w:t>
      </w:r>
      <w:r>
        <w:rPr>
          <w:lang w:val="en-US"/>
        </w:rPr>
        <w:t>10 dB for more than 0.013% of the time, for systems designed in compliance with ITU</w:t>
      </w:r>
      <w:r>
        <w:rPr>
          <w:lang w:val="en-US"/>
        </w:rPr>
        <w:noBreakHyphen/>
        <w:t>T Recommendation G.828, and 0.05% of the time for other systems (see Note 1);</w:t>
      </w:r>
    </w:p>
    <w:p w:rsidR="00C71B3A" w:rsidRDefault="00C71B3A" w:rsidP="00C71B3A">
      <w:pPr>
        <w:spacing w:line="270" w:lineRule="exact"/>
        <w:rPr>
          <w:lang w:val="en-US"/>
        </w:rPr>
      </w:pPr>
      <w:r>
        <w:rPr>
          <w:b/>
          <w:lang w:val="en-US"/>
        </w:rPr>
        <w:t>1.3</w:t>
      </w:r>
      <w:r>
        <w:rPr>
          <w:lang w:val="en-US"/>
        </w:rPr>
        <w:tab/>
        <w:t xml:space="preserve">for the short term, for some links in certain broadband wireless access (BWA) applications, the </w:t>
      </w:r>
      <w:r>
        <w:rPr>
          <w:i/>
          <w:iCs/>
          <w:lang w:val="en-US"/>
        </w:rPr>
        <w:t>I</w:t>
      </w:r>
      <w:r>
        <w:rPr>
          <w:lang w:val="en-US"/>
        </w:rPr>
        <w:t>/</w:t>
      </w:r>
      <w:r>
        <w:rPr>
          <w:i/>
          <w:iCs/>
          <w:lang w:val="en-US"/>
        </w:rPr>
        <w:t>N</w:t>
      </w:r>
      <w:r>
        <w:rPr>
          <w:lang w:val="en-US"/>
        </w:rPr>
        <w:t xml:space="preserve"> at the input of the FS receiver should not exceed </w:t>
      </w:r>
      <w:r>
        <w:rPr>
          <w:rFonts w:ascii="Symbol" w:hAnsi="Symbol"/>
          <w:lang w:val="en-US"/>
        </w:rPr>
        <w:t></w:t>
      </w:r>
      <w:r>
        <w:rPr>
          <w:lang w:val="en-US"/>
        </w:rPr>
        <w:t>5 dB for more than 0.013% of the time, for systems designed in compliance with ITU-T Recommendation G.828 and 0.05% of the time for other systems (see Note 1);</w:t>
      </w:r>
    </w:p>
    <w:p w:rsidR="00C71B3A" w:rsidRDefault="00C71B3A" w:rsidP="00C71B3A">
      <w:pPr>
        <w:rPr>
          <w:lang w:val="en-US"/>
        </w:rPr>
      </w:pPr>
      <w:r>
        <w:rPr>
          <w:b/>
          <w:lang w:val="en-US"/>
        </w:rPr>
        <w:t>2</w:t>
      </w:r>
      <w:r>
        <w:rPr>
          <w:lang w:val="en-US"/>
        </w:rPr>
        <w:tab/>
        <w:t>that the information contained in Annex 1 should be used as guidance for the use of this Recommendation.</w:t>
      </w:r>
    </w:p>
    <w:p w:rsidR="00C71B3A" w:rsidRDefault="00C71B3A" w:rsidP="00C71B3A">
      <w:pPr>
        <w:rPr>
          <w:lang w:val="en-US"/>
        </w:rPr>
      </w:pPr>
      <w:r>
        <w:rPr>
          <w:lang w:val="en-US"/>
        </w:rPr>
        <w:t xml:space="preserve">NOTE 1 – These </w:t>
      </w:r>
      <w:r>
        <w:rPr>
          <w:i/>
          <w:iCs/>
          <w:lang w:val="en-US"/>
        </w:rPr>
        <w:t>I</w:t>
      </w:r>
      <w:r>
        <w:rPr>
          <w:lang w:val="en-US"/>
        </w:rPr>
        <w:t>/</w:t>
      </w:r>
      <w:r>
        <w:rPr>
          <w:i/>
          <w:iCs/>
          <w:lang w:val="en-US"/>
        </w:rPr>
        <w:t>N</w:t>
      </w:r>
      <w:r>
        <w:rPr>
          <w:lang w:val="en-US"/>
        </w:rPr>
        <w:t xml:space="preserve"> levels are referenced to the total noise at the receiver input including system noise level (</w:t>
      </w:r>
      <w:r>
        <w:rPr>
          <w:i/>
          <w:iCs/>
          <w:lang w:val="en-US"/>
        </w:rPr>
        <w:t>k T BF</w:t>
      </w:r>
      <w:r>
        <w:rPr>
          <w:lang w:val="en-US"/>
        </w:rPr>
        <w:t>) and 1 dB for intra</w:t>
      </w:r>
      <w:r>
        <w:rPr>
          <w:lang w:val="en-US"/>
        </w:rPr>
        <w:noBreakHyphen/>
        <w:t>service interference (see § 5 in Annex 1).</w:t>
      </w:r>
    </w:p>
    <w:p w:rsidR="00C71B3A" w:rsidRDefault="00C71B3A" w:rsidP="00C71B3A">
      <w:pPr>
        <w:rPr>
          <w:lang w:val="en-US"/>
        </w:rPr>
      </w:pPr>
    </w:p>
    <w:p w:rsidR="00C71B3A" w:rsidRDefault="00C71B3A" w:rsidP="00C71B3A">
      <w:pPr>
        <w:pStyle w:val="AnnexNoTitle"/>
        <w:rPr>
          <w:lang w:val="en-US"/>
        </w:rPr>
      </w:pPr>
      <w:r>
        <w:rPr>
          <w:lang w:val="en-US"/>
        </w:rPr>
        <w:t>Annex 1</w:t>
      </w:r>
      <w:r>
        <w:rPr>
          <w:lang w:val="en-US"/>
        </w:rPr>
        <w:br/>
      </w:r>
      <w:r>
        <w:rPr>
          <w:lang w:val="en-US"/>
        </w:rPr>
        <w:br/>
        <w:t xml:space="preserve">Derivation of FS aggregate protection criteria in </w:t>
      </w:r>
      <w:r>
        <w:rPr>
          <w:lang w:val="en-US"/>
        </w:rPr>
        <w:br/>
        <w:t>the 37-40 GHz and 40.5-42.5 GHz bands</w:t>
      </w:r>
    </w:p>
    <w:p w:rsidR="00C71B3A" w:rsidRDefault="00C71B3A" w:rsidP="00C71B3A">
      <w:pPr>
        <w:pStyle w:val="Heading1"/>
        <w:rPr>
          <w:lang w:val="en-US"/>
        </w:rPr>
      </w:pPr>
      <w:r>
        <w:rPr>
          <w:lang w:val="en-US"/>
        </w:rPr>
        <w:t>1</w:t>
      </w:r>
      <w:r>
        <w:rPr>
          <w:lang w:val="en-US"/>
        </w:rPr>
        <w:tab/>
        <w:t>Introduction</w:t>
      </w:r>
    </w:p>
    <w:p w:rsidR="00C71B3A" w:rsidRDefault="00C71B3A" w:rsidP="00C71B3A">
      <w:pPr>
        <w:rPr>
          <w:lang w:val="en-US"/>
        </w:rPr>
      </w:pPr>
      <w:r>
        <w:rPr>
          <w:lang w:val="en-US"/>
        </w:rPr>
        <w:t>The methodology presented in this Annex is based on the assumption that fading in the 38 GHz and 40 GHz bands is dominated by rain and that, therefore, even if long-term interference has an effect on the performance of the link, the main way to have an outage of the FS link is to have an interference level higher than the fade margin of the link, whatever the propagation conditions may be.</w:t>
      </w:r>
    </w:p>
    <w:p w:rsidR="00C71B3A" w:rsidRDefault="00C71B3A" w:rsidP="00C71B3A">
      <w:pPr>
        <w:rPr>
          <w:lang w:val="en-US"/>
        </w:rPr>
      </w:pPr>
      <w:r>
        <w:rPr>
          <w:lang w:val="en-US"/>
        </w:rPr>
        <w:br w:type="page"/>
      </w:r>
      <w:r>
        <w:rPr>
          <w:lang w:val="en-US"/>
        </w:rPr>
        <w:lastRenderedPageBreak/>
        <w:t>On this basis, the following apportionment of the effect of interference on the degradation of the link (and on the EPOs) has been assumed:</w:t>
      </w:r>
    </w:p>
    <w:p w:rsidR="00C71B3A" w:rsidRDefault="00C71B3A" w:rsidP="00C71B3A">
      <w:pPr>
        <w:pStyle w:val="enumlev1"/>
        <w:rPr>
          <w:lang w:val="en-US"/>
        </w:rPr>
      </w:pPr>
      <w:r>
        <w:rPr>
          <w:lang w:val="en-US"/>
        </w:rPr>
        <w:t>–</w:t>
      </w:r>
      <w:r>
        <w:rPr>
          <w:lang w:val="en-US"/>
        </w:rPr>
        <w:tab/>
        <w:t>20% of FS link degradation due to long-term interference;</w:t>
      </w:r>
    </w:p>
    <w:p w:rsidR="00C71B3A" w:rsidRDefault="00C71B3A" w:rsidP="00C71B3A">
      <w:pPr>
        <w:pStyle w:val="enumlev1"/>
        <w:rPr>
          <w:lang w:val="en-US"/>
        </w:rPr>
      </w:pPr>
      <w:r>
        <w:rPr>
          <w:lang w:val="en-US"/>
        </w:rPr>
        <w:t>–</w:t>
      </w:r>
      <w:r>
        <w:rPr>
          <w:lang w:val="en-US"/>
        </w:rPr>
        <w:tab/>
        <w:t>80% of FS link degradation due to short-term interference.</w:t>
      </w:r>
    </w:p>
    <w:p w:rsidR="00C71B3A" w:rsidRDefault="00C71B3A" w:rsidP="00C71B3A">
      <w:pPr>
        <w:pStyle w:val="Heading1"/>
        <w:rPr>
          <w:lang w:val="en-US"/>
        </w:rPr>
      </w:pPr>
      <w:r>
        <w:rPr>
          <w:lang w:val="en-US"/>
        </w:rPr>
        <w:t>2</w:t>
      </w:r>
      <w:r>
        <w:rPr>
          <w:lang w:val="en-US"/>
        </w:rPr>
        <w:tab/>
        <w:t>EPOs</w:t>
      </w:r>
    </w:p>
    <w:p w:rsidR="00C71B3A" w:rsidRDefault="00C71B3A" w:rsidP="00C71B3A">
      <w:pPr>
        <w:rPr>
          <w:lang w:val="en-US"/>
        </w:rPr>
      </w:pPr>
      <w:r>
        <w:rPr>
          <w:lang w:val="en-US"/>
        </w:rPr>
        <w:t>The allowable degradation in performance of real FWS due to interference from other services sharing the same frequency bands on a primary basis are expressed as a permissible fraction (10%) of the total EPOs and are defined in Recommendation ITU-R F.1565.</w:t>
      </w:r>
    </w:p>
    <w:p w:rsidR="00C71B3A" w:rsidRDefault="00C71B3A" w:rsidP="00C71B3A">
      <w:pPr>
        <w:rPr>
          <w:lang w:val="en-US"/>
        </w:rPr>
      </w:pPr>
      <w:r>
        <w:rPr>
          <w:lang w:val="en-US"/>
        </w:rPr>
        <w:t>FS systems are currently used in the 38 GHz band for the access networks or mobile telephone infrastructure networks for both point-to-point (P-P) and point</w:t>
      </w:r>
      <w:r>
        <w:rPr>
          <w:lang w:val="en-US"/>
        </w:rPr>
        <w:noBreakHyphen/>
        <w:t>to</w:t>
      </w:r>
      <w:r>
        <w:rPr>
          <w:lang w:val="en-US"/>
        </w:rPr>
        <w:noBreakHyphen/>
        <w:t>multipoint (P-MP) applications. Since the same applications are already foreseen in the 40 GHz band the same reference EPOs have been used for the present studies in both bands based on either the access network section or short-haul inter-exchange network section, which are given as similar in Recommendation ITU</w:t>
      </w:r>
      <w:r>
        <w:rPr>
          <w:lang w:val="en-US"/>
        </w:rPr>
        <w:noBreakHyphen/>
        <w:t xml:space="preserve">R F.1565. </w:t>
      </w:r>
    </w:p>
    <w:p w:rsidR="00C71B3A" w:rsidRDefault="00C71B3A" w:rsidP="00C71B3A">
      <w:pPr>
        <w:rPr>
          <w:lang w:val="en-US"/>
        </w:rPr>
      </w:pPr>
      <w:r>
        <w:rPr>
          <w:lang w:val="en-US"/>
        </w:rPr>
        <w:t>The corresponding EPO values are given in Table 1, and correspond to the following assumptions:</w:t>
      </w:r>
    </w:p>
    <w:p w:rsidR="00C71B3A" w:rsidRDefault="00C71B3A" w:rsidP="00C71B3A">
      <w:pPr>
        <w:pStyle w:val="enumlev1"/>
        <w:rPr>
          <w:lang w:val="en-US"/>
        </w:rPr>
      </w:pPr>
      <w:r>
        <w:rPr>
          <w:lang w:val="en-US"/>
        </w:rPr>
        <w:t>–</w:t>
      </w:r>
      <w:r>
        <w:rPr>
          <w:lang w:val="en-US"/>
        </w:rPr>
        <w:tab/>
        <w:t>Short-haul inter-exchange or access network section (Tables 4a and 4b, or 5a and 5b of Recommendation ITU-R F.1565);</w:t>
      </w:r>
    </w:p>
    <w:p w:rsidR="00C71B3A" w:rsidRDefault="00C71B3A" w:rsidP="00C71B3A">
      <w:pPr>
        <w:pStyle w:val="enumlev1"/>
        <w:rPr>
          <w:lang w:val="en-US"/>
        </w:rPr>
      </w:pPr>
      <w:r>
        <w:rPr>
          <w:lang w:val="en-US"/>
        </w:rPr>
        <w:t>–</w:t>
      </w:r>
      <w:r>
        <w:rPr>
          <w:lang w:val="en-US"/>
        </w:rPr>
        <w:tab/>
        <w:t>Rate VC-3 in Tables 4a and 5a, and rate from 15 to 55 Mbit/s in Tables 4b and 5b;</w:t>
      </w:r>
    </w:p>
    <w:p w:rsidR="00C71B3A" w:rsidRDefault="00C71B3A" w:rsidP="00C71B3A">
      <w:pPr>
        <w:pStyle w:val="enumlev1"/>
        <w:spacing w:line="270" w:lineRule="exact"/>
        <w:rPr>
          <w:lang w:val="en-US"/>
        </w:rPr>
      </w:pPr>
      <w:r>
        <w:rPr>
          <w:lang w:val="en-US"/>
        </w:rPr>
        <w:t>–</w:t>
      </w:r>
      <w:r>
        <w:rPr>
          <w:lang w:val="en-US"/>
        </w:rPr>
        <w:tab/>
      </w:r>
      <w:r>
        <w:rPr>
          <w:i/>
          <w:iCs/>
          <w:lang w:val="en-US"/>
        </w:rPr>
        <w:t>B</w:t>
      </w:r>
      <w:r>
        <w:rPr>
          <w:lang w:val="en-US"/>
        </w:rPr>
        <w:t xml:space="preserve"> </w:t>
      </w:r>
      <w:r>
        <w:rPr>
          <w:rFonts w:ascii="Symbol" w:hAnsi="Symbol"/>
          <w:lang w:val="en-US"/>
        </w:rPr>
        <w:t></w:t>
      </w:r>
      <w:r>
        <w:rPr>
          <w:lang w:val="en-US"/>
        </w:rPr>
        <w:t xml:space="preserve"> </w:t>
      </w:r>
      <w:r>
        <w:rPr>
          <w:i/>
          <w:iCs/>
          <w:lang w:val="en-US"/>
        </w:rPr>
        <w:t>C</w:t>
      </w:r>
      <w:r>
        <w:rPr>
          <w:lang w:val="en-US"/>
        </w:rPr>
        <w:t xml:space="preserve"> </w:t>
      </w:r>
      <w:r>
        <w:rPr>
          <w:rFonts w:ascii="Symbol" w:hAnsi="Symbol"/>
          <w:lang w:val="en-US"/>
        </w:rPr>
        <w:t></w:t>
      </w:r>
      <w:r>
        <w:rPr>
          <w:lang w:val="en-US"/>
        </w:rPr>
        <w:t xml:space="preserve"> 8%.</w:t>
      </w:r>
    </w:p>
    <w:p w:rsidR="00C71B3A" w:rsidRDefault="00C71B3A" w:rsidP="00C71B3A">
      <w:pPr>
        <w:pStyle w:val="TableNo"/>
        <w:rPr>
          <w:lang w:val="en-US"/>
        </w:rPr>
      </w:pPr>
      <w:r>
        <w:rPr>
          <w:lang w:val="en-US"/>
        </w:rPr>
        <w:t>TABLE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72"/>
        <w:gridCol w:w="1985"/>
        <w:gridCol w:w="1843"/>
        <w:gridCol w:w="1736"/>
      </w:tblGrid>
      <w:tr w:rsidR="00C71B3A" w:rsidTr="002A3A65">
        <w:trPr>
          <w:cantSplit/>
          <w:jc w:val="center"/>
        </w:trPr>
        <w:tc>
          <w:tcPr>
            <w:tcW w:w="3572" w:type="dxa"/>
            <w:tcBorders>
              <w:top w:val="nil"/>
              <w:left w:val="nil"/>
              <w:bottom w:val="nil"/>
            </w:tcBorders>
          </w:tcPr>
          <w:p w:rsidR="00C71B3A" w:rsidRDefault="00C71B3A" w:rsidP="002A3A65">
            <w:pPr>
              <w:pStyle w:val="Tabletext"/>
              <w:framePr w:hSpace="181" w:wrap="notBeside" w:vAnchor="text" w:hAnchor="text" w:xAlign="center" w:y="1"/>
              <w:jc w:val="left"/>
              <w:rPr>
                <w:lang w:val="en-US"/>
              </w:rPr>
            </w:pPr>
          </w:p>
        </w:tc>
        <w:tc>
          <w:tcPr>
            <w:tcW w:w="5564" w:type="dxa"/>
            <w:gridSpan w:val="3"/>
          </w:tcPr>
          <w:p w:rsidR="00C71B3A" w:rsidRDefault="00C71B3A" w:rsidP="002A3A65">
            <w:pPr>
              <w:pStyle w:val="Tablehead"/>
              <w:framePr w:hSpace="181" w:wrap="notBeside" w:vAnchor="text" w:hAnchor="text" w:xAlign="center" w:y="1"/>
              <w:rPr>
                <w:lang w:val="en-US"/>
              </w:rPr>
            </w:pPr>
            <w:r>
              <w:rPr>
                <w:lang w:val="en-US"/>
              </w:rPr>
              <w:t>EPO (fraction of any month) based on the application of Recommendation ITU-R F.1565</w:t>
            </w:r>
          </w:p>
        </w:tc>
      </w:tr>
      <w:tr w:rsidR="00C71B3A" w:rsidTr="002A3A65">
        <w:trPr>
          <w:cantSplit/>
          <w:jc w:val="center"/>
        </w:trPr>
        <w:tc>
          <w:tcPr>
            <w:tcW w:w="3572" w:type="dxa"/>
            <w:tcBorders>
              <w:top w:val="nil"/>
              <w:left w:val="nil"/>
              <w:bottom w:val="nil"/>
            </w:tcBorders>
          </w:tcPr>
          <w:p w:rsidR="00C71B3A" w:rsidRDefault="00C71B3A" w:rsidP="002A3A65">
            <w:pPr>
              <w:pStyle w:val="Tabletext"/>
              <w:framePr w:hSpace="181" w:wrap="notBeside" w:vAnchor="text" w:hAnchor="text" w:xAlign="center" w:y="1"/>
              <w:jc w:val="left"/>
              <w:rPr>
                <w:lang w:val="en-US"/>
              </w:rPr>
            </w:pPr>
          </w:p>
        </w:tc>
        <w:tc>
          <w:tcPr>
            <w:tcW w:w="1985" w:type="dxa"/>
            <w:vAlign w:val="center"/>
          </w:tcPr>
          <w:p w:rsidR="00C71B3A" w:rsidRDefault="00C71B3A" w:rsidP="002A3A65">
            <w:pPr>
              <w:pStyle w:val="Tablehead"/>
              <w:framePr w:hSpace="181" w:wrap="notBeside" w:vAnchor="text" w:hAnchor="text" w:xAlign="center" w:y="1"/>
              <w:rPr>
                <w:lang w:val="en-US"/>
              </w:rPr>
            </w:pPr>
            <w:r>
              <w:rPr>
                <w:lang w:val="en-US"/>
              </w:rPr>
              <w:t>Total allowable to interference</w:t>
            </w:r>
          </w:p>
        </w:tc>
        <w:tc>
          <w:tcPr>
            <w:tcW w:w="1843" w:type="dxa"/>
            <w:vAlign w:val="center"/>
          </w:tcPr>
          <w:p w:rsidR="00C71B3A" w:rsidRDefault="00C71B3A" w:rsidP="002A3A65">
            <w:pPr>
              <w:pStyle w:val="Tablehead"/>
              <w:framePr w:hSpace="181" w:wrap="notBeside" w:vAnchor="text" w:hAnchor="text" w:xAlign="center" w:y="1"/>
              <w:rPr>
                <w:lang w:val="en-US"/>
              </w:rPr>
            </w:pPr>
            <w:r>
              <w:rPr>
                <w:lang w:val="en-US"/>
              </w:rPr>
              <w:t>Long-term interference (20%)</w:t>
            </w:r>
          </w:p>
        </w:tc>
        <w:tc>
          <w:tcPr>
            <w:tcW w:w="1736" w:type="dxa"/>
            <w:vAlign w:val="center"/>
          </w:tcPr>
          <w:p w:rsidR="00C71B3A" w:rsidRDefault="00C71B3A" w:rsidP="002A3A65">
            <w:pPr>
              <w:pStyle w:val="Tablehead"/>
              <w:framePr w:hSpace="181" w:wrap="notBeside" w:vAnchor="text" w:hAnchor="text" w:xAlign="center" w:y="1"/>
              <w:rPr>
                <w:lang w:val="en-US"/>
              </w:rPr>
            </w:pPr>
            <w:r>
              <w:rPr>
                <w:lang w:val="en-US"/>
              </w:rPr>
              <w:t>Short-term interference (80%)</w:t>
            </w:r>
          </w:p>
        </w:tc>
      </w:tr>
      <w:tr w:rsidR="00C71B3A" w:rsidTr="002A3A65">
        <w:trPr>
          <w:cantSplit/>
          <w:jc w:val="center"/>
        </w:trPr>
        <w:tc>
          <w:tcPr>
            <w:tcW w:w="3572" w:type="dxa"/>
          </w:tcPr>
          <w:p w:rsidR="00C71B3A" w:rsidRDefault="00C71B3A" w:rsidP="002A3A65">
            <w:pPr>
              <w:pStyle w:val="Tabletext"/>
              <w:framePr w:hSpace="181" w:wrap="notBeside" w:vAnchor="text" w:hAnchor="text" w:xAlign="center" w:y="1"/>
              <w:jc w:val="left"/>
              <w:rPr>
                <w:lang w:val="en-US"/>
              </w:rPr>
            </w:pPr>
            <w:r>
              <w:rPr>
                <w:lang w:val="en-US"/>
              </w:rPr>
              <w:t>Errored second ratio</w:t>
            </w:r>
            <w:r>
              <w:rPr>
                <w:lang w:val="en-US"/>
              </w:rPr>
              <w:br/>
              <w:t>(ITU-T Rec. G.826)</w:t>
            </w:r>
          </w:p>
        </w:tc>
        <w:tc>
          <w:tcPr>
            <w:tcW w:w="1985" w:type="dxa"/>
            <w:tcBorders>
              <w:left w:val="nil"/>
            </w:tcBorders>
          </w:tcPr>
          <w:p w:rsidR="00C71B3A" w:rsidRDefault="00C71B3A" w:rsidP="002A3A65">
            <w:pPr>
              <w:pStyle w:val="Tabletext"/>
              <w:framePr w:hSpace="181" w:wrap="notBeside" w:vAnchor="text" w:hAnchor="text" w:xAlign="center" w:y="1"/>
              <w:jc w:val="center"/>
              <w:rPr>
                <w:lang w:val="en-US"/>
              </w:rPr>
            </w:pPr>
            <w:r>
              <w:rPr>
                <w:lang w:val="en-US"/>
              </w:rPr>
              <w:t xml:space="preserve">6 </w:t>
            </w:r>
            <w:r>
              <w:rPr>
                <w:rFonts w:ascii="Symbol" w:hAnsi="Symbol"/>
                <w:lang w:val="es-PE"/>
              </w:rPr>
              <w:t></w:t>
            </w:r>
            <w:r>
              <w:rPr>
                <w:lang w:val="en-US"/>
              </w:rPr>
              <w:t xml:space="preserve"> 10</w:t>
            </w:r>
            <w:r>
              <w:rPr>
                <w:vertAlign w:val="superscript"/>
                <w:lang w:val="en-US"/>
              </w:rPr>
              <w:t>–4</w:t>
            </w:r>
          </w:p>
        </w:tc>
        <w:tc>
          <w:tcPr>
            <w:tcW w:w="1843" w:type="dxa"/>
          </w:tcPr>
          <w:p w:rsidR="00C71B3A" w:rsidRDefault="00C71B3A" w:rsidP="002A3A65">
            <w:pPr>
              <w:pStyle w:val="Tabletext"/>
              <w:framePr w:hSpace="181" w:wrap="notBeside" w:vAnchor="text" w:hAnchor="text" w:xAlign="center" w:y="1"/>
              <w:jc w:val="center"/>
              <w:rPr>
                <w:lang w:val="en-US"/>
              </w:rPr>
            </w:pPr>
            <w:r>
              <w:rPr>
                <w:lang w:val="en-US"/>
              </w:rPr>
              <w:t xml:space="preserve">1.2 </w:t>
            </w:r>
            <w:r>
              <w:rPr>
                <w:rFonts w:ascii="Symbol" w:hAnsi="Symbol"/>
                <w:lang w:val="es-PE"/>
              </w:rPr>
              <w:t></w:t>
            </w:r>
            <w:r>
              <w:rPr>
                <w:lang w:val="en-US"/>
              </w:rPr>
              <w:t xml:space="preserve"> 10</w:t>
            </w:r>
            <w:r>
              <w:rPr>
                <w:vertAlign w:val="superscript"/>
              </w:rPr>
              <w:sym w:font="Symbol" w:char="F02D"/>
            </w:r>
            <w:r>
              <w:rPr>
                <w:vertAlign w:val="superscript"/>
                <w:lang w:val="en-US"/>
              </w:rPr>
              <w:t>4</w:t>
            </w:r>
          </w:p>
        </w:tc>
        <w:tc>
          <w:tcPr>
            <w:tcW w:w="1736" w:type="dxa"/>
          </w:tcPr>
          <w:p w:rsidR="00C71B3A" w:rsidRDefault="00C71B3A" w:rsidP="002A3A65">
            <w:pPr>
              <w:pStyle w:val="Tabletext"/>
              <w:framePr w:hSpace="181" w:wrap="notBeside" w:vAnchor="text" w:hAnchor="text" w:xAlign="center" w:y="1"/>
              <w:jc w:val="center"/>
              <w:rPr>
                <w:lang w:val="en-US"/>
              </w:rPr>
            </w:pPr>
            <w:r>
              <w:rPr>
                <w:lang w:val="en-US"/>
              </w:rPr>
              <w:t xml:space="preserve">4.8 </w:t>
            </w:r>
            <w:r>
              <w:rPr>
                <w:rFonts w:ascii="Symbol" w:hAnsi="Symbol"/>
                <w:lang w:val="es-PE"/>
              </w:rPr>
              <w:t></w:t>
            </w:r>
            <w:r>
              <w:rPr>
                <w:lang w:val="en-US"/>
              </w:rPr>
              <w:t xml:space="preserve"> 10</w:t>
            </w:r>
            <w:r>
              <w:rPr>
                <w:vertAlign w:val="superscript"/>
              </w:rPr>
              <w:sym w:font="Symbol" w:char="F02D"/>
            </w:r>
            <w:r>
              <w:rPr>
                <w:vertAlign w:val="superscript"/>
                <w:lang w:val="en-US"/>
              </w:rPr>
              <w:t>4</w:t>
            </w:r>
          </w:p>
        </w:tc>
      </w:tr>
      <w:tr w:rsidR="00C71B3A" w:rsidTr="002A3A65">
        <w:trPr>
          <w:cantSplit/>
          <w:jc w:val="center"/>
        </w:trPr>
        <w:tc>
          <w:tcPr>
            <w:tcW w:w="3572" w:type="dxa"/>
          </w:tcPr>
          <w:p w:rsidR="00C71B3A" w:rsidRDefault="00C71B3A" w:rsidP="002A3A65">
            <w:pPr>
              <w:pStyle w:val="Tabletext"/>
              <w:framePr w:hSpace="181" w:wrap="notBeside" w:vAnchor="text" w:hAnchor="text" w:xAlign="center" w:y="1"/>
              <w:jc w:val="left"/>
              <w:rPr>
                <w:lang w:val="en-US"/>
              </w:rPr>
            </w:pPr>
            <w:r>
              <w:rPr>
                <w:lang w:val="en-US"/>
              </w:rPr>
              <w:t>Errored second ratio</w:t>
            </w:r>
            <w:r>
              <w:rPr>
                <w:lang w:val="en-US"/>
              </w:rPr>
              <w:br/>
              <w:t>(ITU-T Rec. G.828)</w:t>
            </w:r>
          </w:p>
        </w:tc>
        <w:tc>
          <w:tcPr>
            <w:tcW w:w="1985" w:type="dxa"/>
            <w:tcBorders>
              <w:left w:val="nil"/>
            </w:tcBorders>
          </w:tcPr>
          <w:p w:rsidR="00C71B3A" w:rsidRDefault="00C71B3A" w:rsidP="002A3A65">
            <w:pPr>
              <w:pStyle w:val="Tabletext"/>
              <w:framePr w:hSpace="181" w:wrap="notBeside" w:vAnchor="text" w:hAnchor="text" w:xAlign="center" w:y="1"/>
              <w:jc w:val="center"/>
              <w:rPr>
                <w:lang w:val="en-US"/>
              </w:rPr>
            </w:pPr>
            <w:r>
              <w:rPr>
                <w:lang w:val="en-US"/>
              </w:rPr>
              <w:t xml:space="preserve">1.6 </w:t>
            </w:r>
            <w:r>
              <w:rPr>
                <w:rFonts w:ascii="Symbol" w:hAnsi="Symbol"/>
                <w:lang w:val="es-PE"/>
              </w:rPr>
              <w:t></w:t>
            </w:r>
            <w:r>
              <w:rPr>
                <w:lang w:val="en-US"/>
              </w:rPr>
              <w:t xml:space="preserve"> 10</w:t>
            </w:r>
            <w:r>
              <w:rPr>
                <w:vertAlign w:val="superscript"/>
                <w:lang w:val="en-US"/>
              </w:rPr>
              <w:t>–4</w:t>
            </w:r>
          </w:p>
        </w:tc>
        <w:tc>
          <w:tcPr>
            <w:tcW w:w="1843" w:type="dxa"/>
          </w:tcPr>
          <w:p w:rsidR="00C71B3A" w:rsidRDefault="00C71B3A" w:rsidP="002A3A65">
            <w:pPr>
              <w:pStyle w:val="Tabletext"/>
              <w:framePr w:hSpace="181" w:wrap="notBeside" w:vAnchor="text" w:hAnchor="text" w:xAlign="center" w:y="1"/>
              <w:jc w:val="center"/>
              <w:rPr>
                <w:lang w:val="en-US"/>
              </w:rPr>
            </w:pPr>
            <w:r>
              <w:rPr>
                <w:lang w:val="en-US"/>
              </w:rPr>
              <w:t xml:space="preserve">3.2 </w:t>
            </w:r>
            <w:r>
              <w:rPr>
                <w:rFonts w:ascii="Symbol" w:hAnsi="Symbol"/>
                <w:lang w:val="es-PE"/>
              </w:rPr>
              <w:t></w:t>
            </w:r>
            <w:r>
              <w:rPr>
                <w:lang w:val="en-US"/>
              </w:rPr>
              <w:t xml:space="preserve"> 10</w:t>
            </w:r>
            <w:r>
              <w:rPr>
                <w:vertAlign w:val="superscript"/>
              </w:rPr>
              <w:sym w:font="Symbol" w:char="F02D"/>
            </w:r>
            <w:r>
              <w:rPr>
                <w:vertAlign w:val="superscript"/>
                <w:lang w:val="en-US"/>
              </w:rPr>
              <w:t>5</w:t>
            </w:r>
          </w:p>
        </w:tc>
        <w:tc>
          <w:tcPr>
            <w:tcW w:w="1736" w:type="dxa"/>
          </w:tcPr>
          <w:p w:rsidR="00C71B3A" w:rsidRDefault="00C71B3A" w:rsidP="002A3A65">
            <w:pPr>
              <w:pStyle w:val="Tabletext"/>
              <w:framePr w:hSpace="181" w:wrap="notBeside" w:vAnchor="text" w:hAnchor="text" w:xAlign="center" w:y="1"/>
              <w:jc w:val="center"/>
              <w:rPr>
                <w:lang w:val="en-US"/>
              </w:rPr>
            </w:pPr>
            <w:r>
              <w:rPr>
                <w:lang w:val="en-US"/>
              </w:rPr>
              <w:t xml:space="preserve">1.3 </w:t>
            </w:r>
            <w:r>
              <w:rPr>
                <w:rFonts w:ascii="Symbol" w:hAnsi="Symbol"/>
                <w:lang w:val="es-PE"/>
              </w:rPr>
              <w:t></w:t>
            </w:r>
            <w:r>
              <w:rPr>
                <w:lang w:val="en-US"/>
              </w:rPr>
              <w:t xml:space="preserve"> 10</w:t>
            </w:r>
            <w:r>
              <w:rPr>
                <w:vertAlign w:val="superscript"/>
              </w:rPr>
              <w:sym w:font="Symbol" w:char="F02D"/>
            </w:r>
            <w:r>
              <w:rPr>
                <w:vertAlign w:val="superscript"/>
                <w:lang w:val="en-US"/>
              </w:rPr>
              <w:t>4</w:t>
            </w:r>
          </w:p>
        </w:tc>
      </w:tr>
      <w:tr w:rsidR="00C71B3A" w:rsidTr="002A3A65">
        <w:trPr>
          <w:cantSplit/>
          <w:jc w:val="center"/>
        </w:trPr>
        <w:tc>
          <w:tcPr>
            <w:tcW w:w="3572" w:type="dxa"/>
          </w:tcPr>
          <w:p w:rsidR="00C71B3A" w:rsidRDefault="00C71B3A" w:rsidP="002A3A65">
            <w:pPr>
              <w:pStyle w:val="Tabletext"/>
              <w:framePr w:hSpace="181" w:wrap="notBeside" w:vAnchor="text" w:hAnchor="text" w:xAlign="center" w:y="1"/>
              <w:jc w:val="left"/>
              <w:rPr>
                <w:lang w:val="en-US"/>
              </w:rPr>
            </w:pPr>
            <w:r>
              <w:rPr>
                <w:lang w:val="en-US"/>
              </w:rPr>
              <w:t>Severely errored second ratio</w:t>
            </w:r>
          </w:p>
        </w:tc>
        <w:tc>
          <w:tcPr>
            <w:tcW w:w="1985" w:type="dxa"/>
            <w:tcBorders>
              <w:left w:val="nil"/>
            </w:tcBorders>
          </w:tcPr>
          <w:p w:rsidR="00C71B3A" w:rsidRDefault="00C71B3A" w:rsidP="002A3A65">
            <w:pPr>
              <w:pStyle w:val="Tabletext"/>
              <w:framePr w:hSpace="181" w:wrap="notBeside" w:vAnchor="text" w:hAnchor="text" w:xAlign="center" w:y="1"/>
              <w:jc w:val="center"/>
              <w:rPr>
                <w:lang w:val="en-US"/>
              </w:rPr>
            </w:pPr>
            <w:r>
              <w:rPr>
                <w:lang w:val="en-US"/>
              </w:rPr>
              <w:t xml:space="preserve">1.6 </w:t>
            </w:r>
            <w:r>
              <w:rPr>
                <w:rFonts w:ascii="Symbol" w:hAnsi="Symbol"/>
                <w:lang w:val="es-PE"/>
              </w:rPr>
              <w:t></w:t>
            </w:r>
            <w:r>
              <w:rPr>
                <w:lang w:val="en-US"/>
              </w:rPr>
              <w:t xml:space="preserve"> 10</w:t>
            </w:r>
            <w:r>
              <w:rPr>
                <w:vertAlign w:val="superscript"/>
                <w:lang w:val="en-US"/>
              </w:rPr>
              <w:t>–5</w:t>
            </w:r>
          </w:p>
        </w:tc>
        <w:tc>
          <w:tcPr>
            <w:tcW w:w="1843" w:type="dxa"/>
          </w:tcPr>
          <w:p w:rsidR="00C71B3A" w:rsidRDefault="00C71B3A" w:rsidP="002A3A65">
            <w:pPr>
              <w:pStyle w:val="Tabletext"/>
              <w:framePr w:hSpace="181" w:wrap="notBeside" w:vAnchor="text" w:hAnchor="text" w:xAlign="center" w:y="1"/>
              <w:jc w:val="center"/>
              <w:rPr>
                <w:lang w:val="en-US"/>
              </w:rPr>
            </w:pPr>
            <w:r>
              <w:rPr>
                <w:lang w:val="en-US"/>
              </w:rPr>
              <w:t xml:space="preserve">3.2 </w:t>
            </w:r>
            <w:r>
              <w:rPr>
                <w:rFonts w:ascii="Symbol" w:hAnsi="Symbol"/>
                <w:lang w:val="es-PE"/>
              </w:rPr>
              <w:t></w:t>
            </w:r>
            <w:r>
              <w:rPr>
                <w:lang w:val="en-US"/>
              </w:rPr>
              <w:t xml:space="preserve"> 10</w:t>
            </w:r>
            <w:r>
              <w:rPr>
                <w:vertAlign w:val="superscript"/>
                <w:lang w:val="en-US"/>
              </w:rPr>
              <w:t>–6</w:t>
            </w:r>
          </w:p>
        </w:tc>
        <w:tc>
          <w:tcPr>
            <w:tcW w:w="1736" w:type="dxa"/>
          </w:tcPr>
          <w:p w:rsidR="00C71B3A" w:rsidRDefault="00C71B3A" w:rsidP="002A3A65">
            <w:pPr>
              <w:pStyle w:val="Tabletext"/>
              <w:framePr w:hSpace="181" w:wrap="notBeside" w:vAnchor="text" w:hAnchor="text" w:xAlign="center" w:y="1"/>
              <w:jc w:val="center"/>
              <w:rPr>
                <w:lang w:val="en-US"/>
              </w:rPr>
            </w:pPr>
            <w:r>
              <w:rPr>
                <w:lang w:val="en-US"/>
              </w:rPr>
              <w:t xml:space="preserve">1.3 </w:t>
            </w:r>
            <w:r>
              <w:rPr>
                <w:rFonts w:ascii="Symbol" w:hAnsi="Symbol"/>
                <w:lang w:val="es-PE"/>
              </w:rPr>
              <w:t></w:t>
            </w:r>
            <w:r>
              <w:rPr>
                <w:lang w:val="en-US"/>
              </w:rPr>
              <w:t xml:space="preserve"> 10</w:t>
            </w:r>
            <w:r>
              <w:rPr>
                <w:vertAlign w:val="superscript"/>
                <w:lang w:val="en-US"/>
              </w:rPr>
              <w:t>–5</w:t>
            </w:r>
          </w:p>
        </w:tc>
      </w:tr>
    </w:tbl>
    <w:p w:rsidR="00C71B3A" w:rsidRDefault="00C71B3A" w:rsidP="00C71B3A">
      <w:pPr>
        <w:pStyle w:val="Tablefin"/>
      </w:pPr>
    </w:p>
    <w:p w:rsidR="00C71B3A" w:rsidRDefault="00C71B3A" w:rsidP="00C71B3A">
      <w:pPr>
        <w:pStyle w:val="Heading1"/>
        <w:rPr>
          <w:lang w:val="en-US"/>
        </w:rPr>
      </w:pPr>
      <w:r>
        <w:rPr>
          <w:lang w:val="en-US"/>
        </w:rPr>
        <w:br w:type="page"/>
      </w:r>
      <w:r>
        <w:rPr>
          <w:lang w:val="en-US"/>
        </w:rPr>
        <w:lastRenderedPageBreak/>
        <w:t>3</w:t>
      </w:r>
      <w:r>
        <w:rPr>
          <w:lang w:val="en-US"/>
        </w:rPr>
        <w:tab/>
        <w:t>Short-term criteria</w:t>
      </w:r>
    </w:p>
    <w:p w:rsidR="00C71B3A" w:rsidRDefault="00C71B3A" w:rsidP="00C71B3A">
      <w:pPr>
        <w:pStyle w:val="Heading2"/>
        <w:ind w:left="0" w:firstLine="0"/>
        <w:rPr>
          <w:lang w:val="en-US"/>
        </w:rPr>
      </w:pPr>
      <w:r>
        <w:rPr>
          <w:lang w:val="en-US"/>
        </w:rPr>
        <w:t>3.1</w:t>
      </w:r>
      <w:r>
        <w:rPr>
          <w:lang w:val="en-US"/>
        </w:rPr>
        <w:tab/>
        <w:t>Methodology</w:t>
      </w:r>
    </w:p>
    <w:p w:rsidR="00C71B3A" w:rsidRDefault="00C71B3A" w:rsidP="00C71B3A">
      <w:pPr>
        <w:rPr>
          <w:lang w:val="en-US"/>
        </w:rPr>
      </w:pPr>
      <w:r>
        <w:rPr>
          <w:lang w:val="en-US"/>
        </w:rPr>
        <w:t>As explained in § 1, the main way to have an outage of the FS link, considering short-term interference, is to have an interference level higher than the fade margin of the link, whatever the propagation conditions may be.</w:t>
      </w:r>
    </w:p>
    <w:p w:rsidR="00C71B3A" w:rsidRDefault="00C71B3A" w:rsidP="00C71B3A">
      <w:pPr>
        <w:rPr>
          <w:lang w:val="en-US"/>
        </w:rPr>
      </w:pPr>
      <w:r>
        <w:rPr>
          <w:lang w:val="en-US"/>
        </w:rPr>
        <w:t>The definition of short-term criteria is then linked to both values of fade margin (or net fade margin considering ATPC</w:t>
      </w:r>
      <w:r>
        <w:rPr>
          <w:rStyle w:val="FootnoteReference"/>
          <w:lang w:val="en-US"/>
        </w:rPr>
        <w:footnoteReference w:customMarkFollows="1" w:id="2"/>
        <w:t>1</w:t>
      </w:r>
      <w:r>
        <w:rPr>
          <w:lang w:val="en-US"/>
        </w:rPr>
        <w:t>) and EPO allocated to short-term interference as defined in Table 1, considering that the fade margin is allocated to the short-term criteria.</w:t>
      </w:r>
    </w:p>
    <w:p w:rsidR="00C71B3A" w:rsidRDefault="00C71B3A" w:rsidP="00C71B3A">
      <w:pPr>
        <w:pStyle w:val="Heading2"/>
        <w:rPr>
          <w:lang w:val="en-US"/>
        </w:rPr>
      </w:pPr>
      <w:r>
        <w:rPr>
          <w:lang w:val="en-US"/>
        </w:rPr>
        <w:t>3.2</w:t>
      </w:r>
      <w:r>
        <w:rPr>
          <w:lang w:val="en-US"/>
        </w:rPr>
        <w:tab/>
        <w:t>FS fade margins</w:t>
      </w:r>
    </w:p>
    <w:p w:rsidR="00C71B3A" w:rsidRDefault="00C71B3A" w:rsidP="00C71B3A">
      <w:pPr>
        <w:spacing w:line="270" w:lineRule="exact"/>
        <w:rPr>
          <w:lang w:val="en-US"/>
        </w:rPr>
      </w:pPr>
      <w:r>
        <w:rPr>
          <w:lang w:val="en-US"/>
        </w:rPr>
        <w:t>In the 38 GHz and 40 GHz bands, and since link lengths are likely to be short, an FS fade margin of 14 dB was considered representative of conventional links since it was assumed that a majority of such links have a fade margin (or net fade margin</w:t>
      </w:r>
      <w:r>
        <w:rPr>
          <w:rStyle w:val="FootnoteReference"/>
          <w:lang w:val="en-US"/>
        </w:rPr>
        <w:t>1</w:t>
      </w:r>
      <w:r>
        <w:rPr>
          <w:lang w:val="en-US"/>
        </w:rPr>
        <w:t xml:space="preserve">) higher than this value. It has to be noted that this 14 dB fade margin, when considering systems using ATPC, corresponds to a link with higher margin (e.g. </w:t>
      </w:r>
      <w:r>
        <w:rPr>
          <w:rFonts w:ascii="Symbol" w:hAnsi="Symbol"/>
          <w:lang w:val="en-US"/>
        </w:rPr>
        <w:t></w:t>
      </w:r>
      <w:r>
        <w:rPr>
          <w:lang w:val="en-US"/>
        </w:rPr>
        <w:t xml:space="preserve"> 14 dB net fade margin </w:t>
      </w:r>
      <w:r>
        <w:rPr>
          <w:rFonts w:ascii="Symbol" w:hAnsi="Symbol"/>
        </w:rPr>
        <w:sym w:font="Symbol" w:char="F02B"/>
      </w:r>
      <w:r>
        <w:rPr>
          <w:lang w:val="en-US"/>
        </w:rPr>
        <w:t>10 dB ATPC range).</w:t>
      </w:r>
    </w:p>
    <w:p w:rsidR="00C71B3A" w:rsidRDefault="00C71B3A" w:rsidP="00C71B3A">
      <w:pPr>
        <w:rPr>
          <w:lang w:val="en-US"/>
        </w:rPr>
      </w:pPr>
      <w:r>
        <w:rPr>
          <w:lang w:val="en-US"/>
        </w:rPr>
        <w:t xml:space="preserve">On the other hand, it was also noted that in certain BWA applications, a fade margin of 10 dB is used for some short links and that these links would consequently require a lower </w:t>
      </w:r>
      <w:r>
        <w:rPr>
          <w:i/>
          <w:iCs/>
          <w:lang w:val="en-US"/>
        </w:rPr>
        <w:t>I</w:t>
      </w:r>
      <w:r>
        <w:rPr>
          <w:lang w:val="en-US"/>
        </w:rPr>
        <w:t>/</w:t>
      </w:r>
      <w:r>
        <w:rPr>
          <w:i/>
          <w:iCs/>
          <w:lang w:val="en-US"/>
        </w:rPr>
        <w:t>N</w:t>
      </w:r>
      <w:r>
        <w:rPr>
          <w:lang w:val="en-US"/>
        </w:rPr>
        <w:t xml:space="preserve"> value.</w:t>
      </w:r>
    </w:p>
    <w:p w:rsidR="00C71B3A" w:rsidRDefault="00C71B3A" w:rsidP="00C71B3A">
      <w:pPr>
        <w:rPr>
          <w:lang w:val="en-US"/>
        </w:rPr>
      </w:pPr>
      <w:r>
        <w:rPr>
          <w:lang w:val="en-US"/>
        </w:rPr>
        <w:t>In support of the consideration of these margins, the Table in Appendix 1 to Annex 1, which is based on Recommendation ITU</w:t>
      </w:r>
      <w:r>
        <w:rPr>
          <w:lang w:val="en-US"/>
        </w:rPr>
        <w:noBreakHyphen/>
        <w:t>R P.530, gives the required rain margin for 99.999% availability for link lengths up to 1.6 km at five different rain rates for both vertical and horizontal polarization.</w:t>
      </w:r>
    </w:p>
    <w:p w:rsidR="00C71B3A" w:rsidRDefault="00C71B3A" w:rsidP="00C71B3A">
      <w:pPr>
        <w:rPr>
          <w:lang w:val="en-US"/>
        </w:rPr>
      </w:pPr>
      <w:r>
        <w:rPr>
          <w:lang w:val="en-US"/>
        </w:rPr>
        <w:t>However, it has to be noted that the 14 dB or the 10 dB rain fade margin in these 37 GHz and 40 GHz bands are justified on calculations using Recommendation ITU-R P.530 which does not provide values of fade margin referenced to an error performance measure, but gives absolute attenuation values (rain fading) for a given percentage of time.</w:t>
      </w:r>
    </w:p>
    <w:p w:rsidR="00C71B3A" w:rsidRDefault="00C71B3A" w:rsidP="00C71B3A">
      <w:pPr>
        <w:rPr>
          <w:lang w:val="en-US"/>
        </w:rPr>
      </w:pPr>
      <w:r>
        <w:rPr>
          <w:lang w:val="en-US"/>
        </w:rPr>
        <w:t>In addition, according to Recommendation ITU-R F.1498, for a link designed for a 99.999% availability and in particular BWA systems which are assumed to compete with fibre, the fade margin may refer to the BER 10</w:t>
      </w:r>
      <w:r>
        <w:rPr>
          <w:vertAlign w:val="superscript"/>
          <w:lang w:val="en-US"/>
        </w:rPr>
        <w:t>–6</w:t>
      </w:r>
      <w:r>
        <w:rPr>
          <w:lang w:val="en-US"/>
        </w:rPr>
        <w:t xml:space="preserve"> or severely errored second (SES) level. It was agreed to retain the SES level as the reference level for the fade margin. It was also agreed that the design of the FS link should take into account a 1 dB allowance for interference from the FS, which hence increases the reference noise power to 1 dB above the system noise power.</w:t>
      </w:r>
    </w:p>
    <w:p w:rsidR="00C71B3A" w:rsidRDefault="00C71B3A" w:rsidP="00C71B3A">
      <w:pPr>
        <w:rPr>
          <w:lang w:val="en-US"/>
        </w:rPr>
      </w:pPr>
      <w:r>
        <w:rPr>
          <w:lang w:val="en-US"/>
        </w:rPr>
        <w:t xml:space="preserve">In addition, it was also considered that, due to technical reasons (minimum practicable power, available antenna sizes, fixed transmit power for hub stations, …), the FS links in the 38 GHz and 40 GHz bands, and in particular P-MP systems, may present an extra design margin compared to the rain margin. At the minimum, for P-P links, the value of this extra design margin depends on the level of granularity of the power setting, the possible attenuators as well as the antenna gain that </w:t>
      </w:r>
      <w:r>
        <w:rPr>
          <w:lang w:val="en-US"/>
        </w:rPr>
        <w:br w:type="page"/>
      </w:r>
      <w:r>
        <w:rPr>
          <w:lang w:val="en-US"/>
        </w:rPr>
        <w:lastRenderedPageBreak/>
        <w:t>would allow the FS designer to adjust the receiver level as close as possible to the theoretical level. Even though it has not been taken into account in the definition of the reference total margin of the FS link, it was agreed to consider it as an additional confidence factor in the derivation of the protection criteria.</w:t>
      </w:r>
    </w:p>
    <w:p w:rsidR="00C71B3A" w:rsidRDefault="00C71B3A" w:rsidP="00C71B3A">
      <w:pPr>
        <w:rPr>
          <w:lang w:val="en-US"/>
        </w:rPr>
      </w:pPr>
      <w:r>
        <w:rPr>
          <w:lang w:val="en-US"/>
        </w:rPr>
        <w:t>As the EPO are referenced to ITU-T Recommendations G.826 and G.828 definitions, it is necessary to extrapolate the fade margin corresponding to errored seconds (ES) and SES levels. On the basis of agreed assumptions, the fade margins (FMs) for ES and SES are respectively 3 dB lower and 1 dB higher than the FM referenced to the BER 10</w:t>
      </w:r>
      <w:r>
        <w:rPr>
          <w:vertAlign w:val="superscript"/>
          <w:lang w:val="en-US"/>
        </w:rPr>
        <w:t>–6</w:t>
      </w:r>
      <w:r>
        <w:rPr>
          <w:lang w:val="en-US"/>
        </w:rPr>
        <w:t xml:space="preserve"> level, which is 2 dB lower than the FM referenced to the BER 10</w:t>
      </w:r>
      <w:r>
        <w:rPr>
          <w:vertAlign w:val="superscript"/>
          <w:lang w:val="en-US"/>
        </w:rPr>
        <w:t>–3</w:t>
      </w:r>
      <w:r>
        <w:rPr>
          <w:lang w:val="en-US"/>
        </w:rPr>
        <w:t xml:space="preserve"> level. Table 2 summarizes these different values of FMs and, associated with the correspondent EPO ratios, allows two short-term criteria for the FS in the bands to be defined.</w:t>
      </w:r>
    </w:p>
    <w:p w:rsidR="00C71B3A" w:rsidRDefault="00C71B3A" w:rsidP="00C71B3A">
      <w:pPr>
        <w:pStyle w:val="TableNo"/>
        <w:rPr>
          <w:lang w:val="en-US"/>
        </w:rPr>
      </w:pPr>
      <w:r>
        <w:rPr>
          <w:lang w:val="en-US"/>
        </w:rPr>
        <w:t>TABLE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44"/>
        <w:gridCol w:w="2462"/>
        <w:gridCol w:w="2091"/>
        <w:gridCol w:w="1524"/>
      </w:tblGrid>
      <w:tr w:rsidR="00C71B3A" w:rsidTr="002A3A65">
        <w:trPr>
          <w:cantSplit/>
          <w:jc w:val="center"/>
        </w:trPr>
        <w:tc>
          <w:tcPr>
            <w:tcW w:w="3544" w:type="dxa"/>
            <w:tcBorders>
              <w:top w:val="nil"/>
              <w:left w:val="nil"/>
              <w:bottom w:val="single" w:sz="6" w:space="0" w:color="auto"/>
            </w:tcBorders>
          </w:tcPr>
          <w:p w:rsidR="00C71B3A" w:rsidRDefault="00C71B3A" w:rsidP="002A3A65">
            <w:pPr>
              <w:framePr w:hSpace="181" w:wrap="notBeside" w:vAnchor="text" w:hAnchor="text" w:xAlign="center" w:y="1"/>
              <w:jc w:val="left"/>
              <w:rPr>
                <w:lang w:val="en-US"/>
              </w:rPr>
            </w:pPr>
          </w:p>
        </w:tc>
        <w:tc>
          <w:tcPr>
            <w:tcW w:w="2462" w:type="dxa"/>
            <w:tcBorders>
              <w:bottom w:val="single" w:sz="6" w:space="0" w:color="auto"/>
            </w:tcBorders>
          </w:tcPr>
          <w:p w:rsidR="00C71B3A" w:rsidRDefault="00C71B3A" w:rsidP="002A3A65">
            <w:pPr>
              <w:pStyle w:val="Tablehead"/>
              <w:framePr w:hSpace="181" w:wrap="notBeside" w:vAnchor="text" w:hAnchor="text" w:xAlign="center" w:y="1"/>
              <w:rPr>
                <w:lang w:val="en-US"/>
              </w:rPr>
            </w:pPr>
            <w:r>
              <w:rPr>
                <w:lang w:val="en-US"/>
              </w:rPr>
              <w:t>14 dB rain margin</w:t>
            </w:r>
            <w:r>
              <w:rPr>
                <w:lang w:val="en-US"/>
              </w:rPr>
              <w:br/>
              <w:t>(dB)</w:t>
            </w:r>
          </w:p>
        </w:tc>
        <w:tc>
          <w:tcPr>
            <w:tcW w:w="2091" w:type="dxa"/>
            <w:tcBorders>
              <w:bottom w:val="single" w:sz="6" w:space="0" w:color="auto"/>
            </w:tcBorders>
          </w:tcPr>
          <w:p w:rsidR="00C71B3A" w:rsidRDefault="00C71B3A" w:rsidP="002A3A65">
            <w:pPr>
              <w:pStyle w:val="Tablehead"/>
              <w:framePr w:hSpace="181" w:wrap="notBeside" w:vAnchor="text" w:hAnchor="text" w:xAlign="center" w:y="1"/>
              <w:rPr>
                <w:lang w:val="en-US"/>
              </w:rPr>
            </w:pPr>
            <w:r>
              <w:rPr>
                <w:lang w:val="en-US"/>
              </w:rPr>
              <w:t>10 dB rain margin</w:t>
            </w:r>
            <w:r>
              <w:rPr>
                <w:lang w:val="en-US"/>
              </w:rPr>
              <w:br/>
              <w:t>(dB)</w:t>
            </w:r>
          </w:p>
        </w:tc>
        <w:tc>
          <w:tcPr>
            <w:tcW w:w="1524" w:type="dxa"/>
            <w:tcBorders>
              <w:bottom w:val="single" w:sz="6" w:space="0" w:color="auto"/>
            </w:tcBorders>
          </w:tcPr>
          <w:p w:rsidR="00C71B3A" w:rsidRDefault="00C71B3A" w:rsidP="002A3A65">
            <w:pPr>
              <w:pStyle w:val="Tablehead"/>
              <w:framePr w:hSpace="181" w:wrap="notBeside" w:vAnchor="text" w:hAnchor="text" w:xAlign="center" w:y="1"/>
              <w:rPr>
                <w:lang w:val="en-US"/>
              </w:rPr>
            </w:pPr>
            <w:r>
              <w:rPr>
                <w:lang w:val="en-US"/>
              </w:rPr>
              <w:t>Associated EPO ratio</w:t>
            </w:r>
          </w:p>
        </w:tc>
      </w:tr>
      <w:tr w:rsidR="00C71B3A" w:rsidTr="002A3A65">
        <w:trPr>
          <w:cantSplit/>
          <w:jc w:val="center"/>
        </w:trPr>
        <w:tc>
          <w:tcPr>
            <w:tcW w:w="354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left"/>
              <w:rPr>
                <w:lang w:val="fr-CH"/>
              </w:rPr>
            </w:pPr>
            <w:r>
              <w:rPr>
                <w:lang w:val="fr-CH"/>
              </w:rPr>
              <w:t>ES (ITU-T Rec. G.826)</w:t>
            </w:r>
          </w:p>
        </w:tc>
        <w:tc>
          <w:tcPr>
            <w:tcW w:w="2462"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center"/>
              <w:rPr>
                <w:lang w:val="fr-CH"/>
              </w:rPr>
            </w:pPr>
            <w:r>
              <w:rPr>
                <w:lang w:val="fr-CH"/>
              </w:rPr>
              <w:t>10</w:t>
            </w:r>
          </w:p>
        </w:tc>
        <w:tc>
          <w:tcPr>
            <w:tcW w:w="2091"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6</w:t>
            </w:r>
          </w:p>
        </w:tc>
        <w:tc>
          <w:tcPr>
            <w:tcW w:w="152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spacing w:line="240" w:lineRule="exact"/>
              <w:jc w:val="center"/>
              <w:rPr>
                <w:lang w:val="fr-CH"/>
              </w:rPr>
            </w:pPr>
            <w:r>
              <w:rPr>
                <w:lang w:val="fr-CH"/>
              </w:rPr>
              <w:t xml:space="preserve">4.8 </w:t>
            </w:r>
            <w:r>
              <w:rPr>
                <w:rFonts w:ascii="Symbol" w:hAnsi="Symbol"/>
                <w:lang w:val="es-PE"/>
              </w:rPr>
              <w:t></w:t>
            </w:r>
            <w:r>
              <w:rPr>
                <w:lang w:val="fr-CH"/>
              </w:rPr>
              <w:t xml:space="preserve"> 10</w:t>
            </w:r>
            <w:r>
              <w:rPr>
                <w:vertAlign w:val="superscript"/>
                <w:lang w:val="fr-CH"/>
              </w:rPr>
              <w:t>–4</w:t>
            </w:r>
          </w:p>
        </w:tc>
      </w:tr>
      <w:tr w:rsidR="00C71B3A" w:rsidTr="002A3A65">
        <w:trPr>
          <w:cantSplit/>
          <w:jc w:val="center"/>
        </w:trPr>
        <w:tc>
          <w:tcPr>
            <w:tcW w:w="354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left"/>
              <w:rPr>
                <w:lang w:val="fr-CH"/>
              </w:rPr>
            </w:pPr>
            <w:r>
              <w:rPr>
                <w:lang w:val="fr-CH"/>
              </w:rPr>
              <w:t>ES (ITU-T Rec. G.828)</w:t>
            </w:r>
          </w:p>
        </w:tc>
        <w:tc>
          <w:tcPr>
            <w:tcW w:w="2462"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center"/>
              <w:rPr>
                <w:lang w:val="fr-CH"/>
              </w:rPr>
            </w:pPr>
            <w:r>
              <w:rPr>
                <w:lang w:val="fr-CH"/>
              </w:rPr>
              <w:t>10</w:t>
            </w:r>
          </w:p>
        </w:tc>
        <w:tc>
          <w:tcPr>
            <w:tcW w:w="2091"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6</w:t>
            </w:r>
          </w:p>
        </w:tc>
        <w:tc>
          <w:tcPr>
            <w:tcW w:w="152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spacing w:line="240" w:lineRule="exact"/>
              <w:jc w:val="center"/>
              <w:rPr>
                <w:lang w:val="fr-CH"/>
              </w:rPr>
            </w:pPr>
            <w:r>
              <w:rPr>
                <w:lang w:val="fr-CH"/>
              </w:rPr>
              <w:t xml:space="preserve">1.3 </w:t>
            </w:r>
            <w:r>
              <w:rPr>
                <w:rFonts w:ascii="Symbol" w:hAnsi="Symbol"/>
                <w:lang w:val="es-PE"/>
              </w:rPr>
              <w:t></w:t>
            </w:r>
            <w:r>
              <w:rPr>
                <w:lang w:val="fr-CH"/>
              </w:rPr>
              <w:t xml:space="preserve"> 10</w:t>
            </w:r>
            <w:r>
              <w:rPr>
                <w:vertAlign w:val="superscript"/>
                <w:lang w:val="fr-CH"/>
              </w:rPr>
              <w:t>–4</w:t>
            </w:r>
          </w:p>
        </w:tc>
      </w:tr>
      <w:tr w:rsidR="00C71B3A" w:rsidTr="002A3A65">
        <w:trPr>
          <w:cantSplit/>
          <w:jc w:val="center"/>
        </w:trPr>
        <w:tc>
          <w:tcPr>
            <w:tcW w:w="354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left"/>
              <w:rPr>
                <w:lang w:val="fr-CH"/>
              </w:rPr>
            </w:pPr>
            <w:r>
              <w:rPr>
                <w:lang w:val="fr-CH"/>
              </w:rPr>
              <w:t>BER 10</w:t>
            </w:r>
            <w:r>
              <w:rPr>
                <w:vertAlign w:val="superscript"/>
                <w:lang w:val="fr-CH"/>
              </w:rPr>
              <w:t>–6</w:t>
            </w:r>
          </w:p>
        </w:tc>
        <w:tc>
          <w:tcPr>
            <w:tcW w:w="2462"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center"/>
              <w:rPr>
                <w:lang w:val="fr-CH"/>
              </w:rPr>
            </w:pPr>
            <w:r>
              <w:rPr>
                <w:lang w:val="fr-CH"/>
              </w:rPr>
              <w:t>13</w:t>
            </w:r>
          </w:p>
        </w:tc>
        <w:tc>
          <w:tcPr>
            <w:tcW w:w="2091"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9</w:t>
            </w:r>
          </w:p>
        </w:tc>
        <w:tc>
          <w:tcPr>
            <w:tcW w:w="1524" w:type="dxa"/>
            <w:tcBorders>
              <w:top w:val="single" w:sz="6" w:space="0" w:color="auto"/>
              <w:left w:val="single" w:sz="6" w:space="0" w:color="auto"/>
              <w:bottom w:val="single" w:sz="6" w:space="0" w:color="auto"/>
              <w:right w:val="single" w:sz="6" w:space="0" w:color="auto"/>
            </w:tcBorders>
            <w:shd w:val="diagStripe" w:color="auto" w:fill="auto"/>
            <w:tcMar>
              <w:left w:w="108" w:type="dxa"/>
              <w:right w:w="108" w:type="dxa"/>
            </w:tcMar>
          </w:tcPr>
          <w:p w:rsidR="00C71B3A" w:rsidRDefault="00C71B3A" w:rsidP="002A3A65">
            <w:pPr>
              <w:pStyle w:val="Tabletext"/>
              <w:framePr w:hSpace="181" w:wrap="notBeside" w:vAnchor="text" w:hAnchor="text" w:xAlign="center" w:y="1"/>
              <w:jc w:val="center"/>
              <w:rPr>
                <w:lang w:val="fr-CH"/>
              </w:rPr>
            </w:pPr>
          </w:p>
        </w:tc>
      </w:tr>
      <w:tr w:rsidR="00C71B3A" w:rsidTr="002A3A65">
        <w:trPr>
          <w:cantSplit/>
          <w:jc w:val="center"/>
        </w:trPr>
        <w:tc>
          <w:tcPr>
            <w:tcW w:w="354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spacing w:line="240" w:lineRule="exact"/>
            </w:pPr>
            <w:r>
              <w:t>SES</w:t>
            </w:r>
          </w:p>
        </w:tc>
        <w:tc>
          <w:tcPr>
            <w:tcW w:w="2462"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center"/>
              <w:rPr>
                <w:lang w:val="fr-CH"/>
              </w:rPr>
            </w:pPr>
            <w:r>
              <w:rPr>
                <w:lang w:val="fr-CH"/>
              </w:rPr>
              <w:t>14</w:t>
            </w:r>
          </w:p>
        </w:tc>
        <w:tc>
          <w:tcPr>
            <w:tcW w:w="2091"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lang w:val="fr-CH"/>
              </w:rPr>
            </w:pPr>
            <w:r>
              <w:rPr>
                <w:lang w:val="fr-CH"/>
              </w:rPr>
              <w:t>10</w:t>
            </w:r>
          </w:p>
        </w:tc>
        <w:tc>
          <w:tcPr>
            <w:tcW w:w="152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spacing w:line="240" w:lineRule="exact"/>
              <w:jc w:val="center"/>
              <w:rPr>
                <w:lang w:val="fr-CH"/>
              </w:rPr>
            </w:pPr>
            <w:r>
              <w:rPr>
                <w:lang w:val="fr-CH"/>
              </w:rPr>
              <w:t xml:space="preserve">1.3 </w:t>
            </w:r>
            <w:r>
              <w:rPr>
                <w:rFonts w:ascii="Symbol" w:hAnsi="Symbol"/>
                <w:lang w:val="es-PE"/>
              </w:rPr>
              <w:t></w:t>
            </w:r>
            <w:r>
              <w:rPr>
                <w:lang w:val="fr-CH"/>
              </w:rPr>
              <w:t xml:space="preserve"> 10</w:t>
            </w:r>
            <w:r>
              <w:rPr>
                <w:vertAlign w:val="superscript"/>
                <w:lang w:val="fr-CH"/>
              </w:rPr>
              <w:t>–5</w:t>
            </w:r>
          </w:p>
        </w:tc>
      </w:tr>
      <w:tr w:rsidR="00C71B3A" w:rsidTr="002A3A65">
        <w:trPr>
          <w:cantSplit/>
          <w:jc w:val="center"/>
        </w:trPr>
        <w:tc>
          <w:tcPr>
            <w:tcW w:w="3544"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left"/>
              <w:rPr>
                <w:lang w:val="fr-CH"/>
              </w:rPr>
            </w:pPr>
            <w:r>
              <w:rPr>
                <w:lang w:val="fr-CH"/>
              </w:rPr>
              <w:t>BER 10</w:t>
            </w:r>
            <w:r>
              <w:rPr>
                <w:vertAlign w:val="superscript"/>
                <w:lang w:val="fr-CH"/>
              </w:rPr>
              <w:t>–3</w:t>
            </w:r>
          </w:p>
        </w:tc>
        <w:tc>
          <w:tcPr>
            <w:tcW w:w="2462"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jc w:val="center"/>
              <w:rPr>
                <w:lang w:val="en-US"/>
              </w:rPr>
            </w:pPr>
            <w:r>
              <w:rPr>
                <w:lang w:val="en-US"/>
              </w:rPr>
              <w:t>15</w:t>
            </w:r>
          </w:p>
        </w:tc>
        <w:tc>
          <w:tcPr>
            <w:tcW w:w="2091" w:type="dxa"/>
            <w:tcBorders>
              <w:top w:val="single" w:sz="6" w:space="0" w:color="auto"/>
              <w:left w:val="single" w:sz="6" w:space="0" w:color="auto"/>
              <w:bottom w:val="single" w:sz="6" w:space="0" w:color="auto"/>
              <w:right w:val="single" w:sz="6" w:space="0" w:color="auto"/>
            </w:tcBorders>
            <w:tcMar>
              <w:left w:w="108" w:type="dxa"/>
              <w:right w:w="108" w:type="dxa"/>
            </w:tcMar>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11</w:t>
            </w:r>
          </w:p>
        </w:tc>
        <w:tc>
          <w:tcPr>
            <w:tcW w:w="1524" w:type="dxa"/>
            <w:tcBorders>
              <w:top w:val="single" w:sz="6" w:space="0" w:color="auto"/>
              <w:left w:val="single" w:sz="6" w:space="0" w:color="auto"/>
              <w:bottom w:val="single" w:sz="6" w:space="0" w:color="auto"/>
              <w:right w:val="single" w:sz="6" w:space="0" w:color="auto"/>
            </w:tcBorders>
            <w:shd w:val="diagStripe" w:color="auto" w:fill="auto"/>
            <w:tcMar>
              <w:left w:w="108" w:type="dxa"/>
              <w:right w:w="108" w:type="dxa"/>
            </w:tcMar>
          </w:tcPr>
          <w:p w:rsidR="00C71B3A" w:rsidRDefault="00C71B3A" w:rsidP="002A3A65">
            <w:pPr>
              <w:pStyle w:val="Tabletext"/>
              <w:framePr w:hSpace="181" w:wrap="notBeside" w:vAnchor="text" w:hAnchor="text" w:xAlign="center" w:y="1"/>
              <w:jc w:val="center"/>
              <w:rPr>
                <w:lang w:val="en-US"/>
              </w:rPr>
            </w:pPr>
          </w:p>
        </w:tc>
      </w:tr>
    </w:tbl>
    <w:p w:rsidR="00C71B3A" w:rsidRDefault="00C71B3A" w:rsidP="00C71B3A">
      <w:pPr>
        <w:pStyle w:val="Tablefin"/>
        <w:spacing w:before="240"/>
      </w:pPr>
    </w:p>
    <w:p w:rsidR="00C71B3A" w:rsidRDefault="00C71B3A" w:rsidP="00C71B3A">
      <w:pPr>
        <w:rPr>
          <w:lang w:val="en-US"/>
        </w:rPr>
      </w:pPr>
      <w:r>
        <w:rPr>
          <w:lang w:val="en-US"/>
        </w:rPr>
        <w:t>Due to the shape of the calculated interference distributions which in general shows that when the criterion for ES is met, the one for SES is also met, it was decided for simplification to only retain the ES based criteria.</w:t>
      </w:r>
    </w:p>
    <w:p w:rsidR="00C71B3A" w:rsidRDefault="00C71B3A" w:rsidP="00C71B3A">
      <w:pPr>
        <w:spacing w:line="270" w:lineRule="exact"/>
        <w:rPr>
          <w:lang w:val="en-US"/>
        </w:rPr>
      </w:pPr>
      <w:r>
        <w:rPr>
          <w:lang w:val="en-US"/>
        </w:rPr>
        <w:t xml:space="preserve">Assume that </w:t>
      </w:r>
      <w:r>
        <w:rPr>
          <w:i/>
          <w:lang w:val="en-US"/>
        </w:rPr>
        <w:t>M</w:t>
      </w:r>
      <w:r>
        <w:rPr>
          <w:i/>
          <w:vertAlign w:val="subscript"/>
          <w:lang w:val="en-US"/>
        </w:rPr>
        <w:t>SES</w:t>
      </w:r>
      <w:r>
        <w:rPr>
          <w:lang w:val="en-US"/>
        </w:rPr>
        <w:t xml:space="preserve"> is the fade margin that brings the </w:t>
      </w:r>
      <w:r>
        <w:rPr>
          <w:i/>
          <w:iCs/>
          <w:lang w:val="en-US"/>
        </w:rPr>
        <w:t>C</w:t>
      </w:r>
      <w:r>
        <w:rPr>
          <w:lang w:val="en-US"/>
        </w:rPr>
        <w:t>/</w:t>
      </w:r>
      <w:r>
        <w:rPr>
          <w:i/>
          <w:iCs/>
          <w:lang w:val="en-US"/>
        </w:rPr>
        <w:t>N</w:t>
      </w:r>
      <w:r>
        <w:rPr>
          <w:lang w:val="en-US"/>
        </w:rPr>
        <w:t xml:space="preserve"> </w:t>
      </w:r>
      <w:r>
        <w:rPr>
          <w:rFonts w:ascii="Symbol" w:hAnsi="Symbol"/>
          <w:lang w:val="en-US"/>
        </w:rPr>
        <w:t></w:t>
      </w:r>
      <w:r>
        <w:rPr>
          <w:lang w:val="en-US"/>
        </w:rPr>
        <w:t xml:space="preserve"> </w:t>
      </w:r>
      <w:r>
        <w:rPr>
          <w:i/>
          <w:iCs/>
          <w:lang w:val="en-US"/>
        </w:rPr>
        <w:t>I</w:t>
      </w:r>
      <w:r>
        <w:rPr>
          <w:lang w:val="en-US"/>
        </w:rPr>
        <w:t xml:space="preserve"> to the performance threshold </w:t>
      </w:r>
      <w:r>
        <w:rPr>
          <w:i/>
          <w:lang w:val="en-US"/>
        </w:rPr>
        <w:t>T</w:t>
      </w:r>
      <w:r>
        <w:rPr>
          <w:i/>
          <w:vertAlign w:val="subscript"/>
          <w:lang w:val="en-US"/>
        </w:rPr>
        <w:t>SES</w:t>
      </w:r>
      <w:r>
        <w:rPr>
          <w:lang w:val="en-US"/>
        </w:rPr>
        <w:t xml:space="preserve"> for SES. In the design of a link for a performance threshold to be met for a specified percentage of time, Recommendation ITU-R P.530 is used to determine the required fade margin as was done in developing the margins in Table 2. To accommodate for the allocation of interference the link is designed for an unfaded signal power, </w:t>
      </w:r>
      <w:r>
        <w:rPr>
          <w:i/>
          <w:lang w:val="en-US"/>
        </w:rPr>
        <w:t>C</w:t>
      </w:r>
      <w:r>
        <w:rPr>
          <w:iCs/>
          <w:vertAlign w:val="subscript"/>
          <w:lang w:val="en-US"/>
        </w:rPr>
        <w:t>0</w:t>
      </w:r>
      <w:r>
        <w:rPr>
          <w:lang w:val="en-US"/>
        </w:rPr>
        <w:t>, so that</w:t>
      </w:r>
    </w:p>
    <w:p w:rsidR="00C71B3A" w:rsidRDefault="00C71B3A" w:rsidP="00C71B3A">
      <w:pPr>
        <w:pStyle w:val="Equation"/>
        <w:rPr>
          <w:lang w:val="en-US"/>
        </w:rPr>
      </w:pPr>
      <w:r>
        <w:rPr>
          <w:lang w:val="en-US"/>
        </w:rPr>
        <w:tab/>
      </w:r>
      <w:r>
        <w:rPr>
          <w:lang w:val="en-US"/>
        </w:rPr>
        <w:tab/>
      </w:r>
      <w:r w:rsidRPr="00C63ABE">
        <w:rPr>
          <w:position w:val="-12"/>
          <w:lang w:val="en-US"/>
        </w:rPr>
        <w:object w:dxaOrig="2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8pt" o:ole="">
            <v:imagedata r:id="rId14" o:title=""/>
          </v:shape>
          <o:OLEObject Type="Embed" ProgID="Equation.3" ShapeID="_x0000_i1025" DrawAspect="Content" ObjectID="_1334406960" r:id="rId15"/>
        </w:object>
      </w:r>
      <w:r>
        <w:rPr>
          <w:lang w:val="en-US"/>
        </w:rPr>
        <w:tab/>
        <w:t>(1)</w:t>
      </w:r>
    </w:p>
    <w:p w:rsidR="00C71B3A" w:rsidRDefault="00C71B3A" w:rsidP="00C71B3A">
      <w:pPr>
        <w:rPr>
          <w:lang w:val="en-US"/>
        </w:rPr>
      </w:pPr>
      <w:r>
        <w:rPr>
          <w:lang w:val="en-US"/>
        </w:rPr>
        <w:t xml:space="preserve">where </w:t>
      </w:r>
      <w:r>
        <w:rPr>
          <w:i/>
          <w:lang w:val="en-US"/>
        </w:rPr>
        <w:t>N</w:t>
      </w:r>
      <w:r>
        <w:rPr>
          <w:lang w:val="en-US"/>
        </w:rPr>
        <w:t xml:space="preserve"> is the sum at the receiver of the FS system noise and the allocated increment for interference from within the fixed service. Denoting </w:t>
      </w:r>
      <w:r>
        <w:rPr>
          <w:i/>
          <w:lang w:val="en-US"/>
        </w:rPr>
        <w:t>N</w:t>
      </w:r>
      <w:r>
        <w:rPr>
          <w:iCs/>
          <w:vertAlign w:val="subscript"/>
          <w:lang w:val="en-US"/>
        </w:rPr>
        <w:t>0</w:t>
      </w:r>
      <w:r>
        <w:rPr>
          <w:lang w:val="en-US"/>
        </w:rPr>
        <w:t xml:space="preserve"> as the total system noise (</w:t>
      </w:r>
      <w:r>
        <w:rPr>
          <w:i/>
          <w:iCs/>
          <w:lang w:val="en-US"/>
        </w:rPr>
        <w:t>k T BF</w:t>
      </w:r>
      <w:r>
        <w:rPr>
          <w:lang w:val="en-US"/>
        </w:rPr>
        <w:t xml:space="preserve">), </w:t>
      </w:r>
      <w:r>
        <w:rPr>
          <w:i/>
          <w:iCs/>
          <w:lang w:val="en-US"/>
        </w:rPr>
        <w:t>N</w:t>
      </w:r>
      <w:r>
        <w:rPr>
          <w:lang w:val="en-US"/>
        </w:rPr>
        <w:t> </w:t>
      </w:r>
      <w:r>
        <w:rPr>
          <w:rFonts w:ascii="Symbol" w:hAnsi="Symbol"/>
        </w:rPr>
        <w:t></w:t>
      </w:r>
      <w:r>
        <w:rPr>
          <w:lang w:val="en-US"/>
        </w:rPr>
        <w:t> </w:t>
      </w:r>
      <w:r>
        <w:rPr>
          <w:i/>
          <w:iCs/>
          <w:lang w:val="en-US"/>
        </w:rPr>
        <w:t>N</w:t>
      </w:r>
      <w:r>
        <w:rPr>
          <w:vertAlign w:val="subscript"/>
          <w:lang w:val="en-US"/>
        </w:rPr>
        <w:t>0</w:t>
      </w:r>
      <w:r>
        <w:rPr>
          <w:lang w:val="en-US"/>
        </w:rPr>
        <w:t> </w:t>
      </w:r>
      <w:r>
        <w:rPr>
          <w:rFonts w:ascii="Symbol" w:hAnsi="Symbol"/>
        </w:rPr>
        <w:t></w:t>
      </w:r>
      <w:r>
        <w:rPr>
          <w:lang w:val="en-US"/>
        </w:rPr>
        <w:t> 1 dB.</w:t>
      </w:r>
    </w:p>
    <w:p w:rsidR="00C71B3A" w:rsidRDefault="00C71B3A" w:rsidP="00C71B3A">
      <w:pPr>
        <w:rPr>
          <w:lang w:val="en-US"/>
        </w:rPr>
      </w:pPr>
      <w:r>
        <w:rPr>
          <w:lang w:val="en-US"/>
        </w:rPr>
        <w:br w:type="page"/>
      </w:r>
      <w:r>
        <w:rPr>
          <w:lang w:val="en-US"/>
        </w:rPr>
        <w:lastRenderedPageBreak/>
        <w:t>More generally, the total noise including the interference from other co-primary services may be expressed as:</w:t>
      </w:r>
    </w:p>
    <w:p w:rsidR="00C71B3A" w:rsidRDefault="00C71B3A" w:rsidP="00C71B3A">
      <w:pPr>
        <w:pStyle w:val="Equation"/>
        <w:rPr>
          <w:lang w:val="en-US"/>
        </w:rPr>
      </w:pPr>
      <w:r>
        <w:rPr>
          <w:lang w:val="en-US"/>
        </w:rPr>
        <w:tab/>
      </w:r>
      <w:r>
        <w:rPr>
          <w:lang w:val="en-US"/>
        </w:rPr>
        <w:tab/>
      </w:r>
      <w:r w:rsidRPr="00C63ABE">
        <w:rPr>
          <w:position w:val="-12"/>
        </w:rPr>
        <w:object w:dxaOrig="3500" w:dyaOrig="440">
          <v:shape id="_x0000_i1026" type="#_x0000_t75" style="width:175.2pt;height:22.2pt" o:ole="">
            <v:imagedata r:id="rId16" o:title=""/>
          </v:shape>
          <o:OLEObject Type="Embed" ProgID="Equation.3" ShapeID="_x0000_i1026" DrawAspect="Content" ObjectID="_1334406961" r:id="rId17"/>
        </w:object>
      </w:r>
      <w:r>
        <w:rPr>
          <w:lang w:val="en-US"/>
        </w:rPr>
        <w:t>                   dB</w:t>
      </w:r>
      <w:r>
        <w:rPr>
          <w:lang w:val="en-US"/>
        </w:rPr>
        <w:tab/>
        <w:t>(2)</w:t>
      </w:r>
    </w:p>
    <w:p w:rsidR="00C71B3A" w:rsidRDefault="00C71B3A" w:rsidP="00C71B3A">
      <w:pPr>
        <w:spacing w:line="270" w:lineRule="exact"/>
        <w:rPr>
          <w:lang w:val="en-US"/>
        </w:rPr>
      </w:pPr>
      <w:r>
        <w:rPr>
          <w:lang w:val="en-US"/>
        </w:rPr>
        <w:t xml:space="preserve">The permissible short-term </w:t>
      </w:r>
      <w:r>
        <w:rPr>
          <w:i/>
          <w:iCs/>
          <w:lang w:val="en-US"/>
        </w:rPr>
        <w:t>I</w:t>
      </w:r>
      <w:r>
        <w:rPr>
          <w:lang w:val="en-US"/>
        </w:rPr>
        <w:t>/</w:t>
      </w:r>
      <w:r>
        <w:rPr>
          <w:i/>
          <w:iCs/>
          <w:lang w:val="en-US"/>
        </w:rPr>
        <w:t>N</w:t>
      </w:r>
      <w:r>
        <w:rPr>
          <w:lang w:val="en-US"/>
        </w:rPr>
        <w:t xml:space="preserve"> is the largest value that will not cause ES in the absence of fading. In accordance with Table 1, the </w:t>
      </w:r>
      <w:r>
        <w:rPr>
          <w:i/>
          <w:iCs/>
          <w:lang w:val="en-US"/>
        </w:rPr>
        <w:t>C</w:t>
      </w:r>
      <w:r>
        <w:rPr>
          <w:lang w:val="en-US"/>
        </w:rPr>
        <w:t>/</w:t>
      </w:r>
      <w:r>
        <w:rPr>
          <w:i/>
          <w:iCs/>
          <w:lang w:val="en-US"/>
        </w:rPr>
        <w:t xml:space="preserve">N </w:t>
      </w:r>
      <w:r>
        <w:rPr>
          <w:rFonts w:ascii="Symbol" w:hAnsi="Symbol"/>
          <w:lang w:val="en-US"/>
        </w:rPr>
        <w:t></w:t>
      </w:r>
      <w:r>
        <w:rPr>
          <w:lang w:val="en-US"/>
        </w:rPr>
        <w:t xml:space="preserve"> </w:t>
      </w:r>
      <w:r>
        <w:rPr>
          <w:i/>
          <w:iCs/>
          <w:lang w:val="en-US"/>
        </w:rPr>
        <w:t>I</w:t>
      </w:r>
      <w:r>
        <w:rPr>
          <w:lang w:val="en-US"/>
        </w:rPr>
        <w:t xml:space="preserve"> for ES, </w:t>
      </w:r>
      <w:r>
        <w:rPr>
          <w:i/>
          <w:lang w:val="en-US"/>
        </w:rPr>
        <w:t>T</w:t>
      </w:r>
      <w:r>
        <w:rPr>
          <w:i/>
          <w:vertAlign w:val="subscript"/>
          <w:lang w:val="en-US"/>
        </w:rPr>
        <w:t>ES</w:t>
      </w:r>
      <w:r>
        <w:rPr>
          <w:lang w:val="en-US"/>
        </w:rPr>
        <w:t xml:space="preserve">, is 4 dB higher than that for SES. Hence, </w:t>
      </w:r>
      <w:r>
        <w:rPr>
          <w:i/>
          <w:iCs/>
          <w:lang w:val="en-US"/>
        </w:rPr>
        <w:t>T</w:t>
      </w:r>
      <w:r>
        <w:rPr>
          <w:i/>
          <w:iCs/>
          <w:vertAlign w:val="subscript"/>
          <w:lang w:val="en-US"/>
        </w:rPr>
        <w:t>ES</w:t>
      </w:r>
      <w:r>
        <w:rPr>
          <w:lang w:val="en-US"/>
        </w:rPr>
        <w:t> </w:t>
      </w:r>
      <w:r>
        <w:rPr>
          <w:rFonts w:ascii="Symbol" w:hAnsi="Symbol"/>
        </w:rPr>
        <w:t></w:t>
      </w:r>
      <w:r>
        <w:rPr>
          <w:lang w:val="en-US"/>
        </w:rPr>
        <w:t> </w:t>
      </w:r>
      <w:r>
        <w:rPr>
          <w:i/>
          <w:iCs/>
          <w:lang w:val="en-US"/>
        </w:rPr>
        <w:t>T</w:t>
      </w:r>
      <w:r>
        <w:rPr>
          <w:i/>
          <w:iCs/>
          <w:vertAlign w:val="subscript"/>
          <w:lang w:val="en-US"/>
        </w:rPr>
        <w:t>SES</w:t>
      </w:r>
      <w:r>
        <w:rPr>
          <w:lang w:val="en-US"/>
        </w:rPr>
        <w:t> </w:t>
      </w:r>
      <w:r>
        <w:rPr>
          <w:rFonts w:ascii="Symbol" w:hAnsi="Symbol"/>
        </w:rPr>
        <w:t></w:t>
      </w:r>
      <w:r>
        <w:rPr>
          <w:lang w:val="en-US"/>
        </w:rPr>
        <w:t> 4 </w:t>
      </w:r>
      <w:r>
        <w:rPr>
          <w:rFonts w:ascii="Symbol" w:hAnsi="Symbol"/>
        </w:rPr>
        <w:t></w:t>
      </w:r>
      <w:r>
        <w:rPr>
          <w:lang w:val="en-US"/>
        </w:rPr>
        <w:t> </w:t>
      </w:r>
      <w:r>
        <w:rPr>
          <w:i/>
          <w:iCs/>
          <w:lang w:val="en-US"/>
        </w:rPr>
        <w:t>C</w:t>
      </w:r>
      <w:r>
        <w:rPr>
          <w:vertAlign w:val="subscript"/>
          <w:lang w:val="en-US"/>
        </w:rPr>
        <w:t>0</w:t>
      </w:r>
      <w:r>
        <w:rPr>
          <w:lang w:val="en-US"/>
        </w:rPr>
        <w:t> – </w:t>
      </w:r>
      <w:r>
        <w:rPr>
          <w:i/>
          <w:iCs/>
          <w:lang w:val="en-US"/>
        </w:rPr>
        <w:t>N</w:t>
      </w:r>
      <w:r>
        <w:rPr>
          <w:lang w:val="en-US"/>
        </w:rPr>
        <w:t xml:space="preserve">. Using equations (1) and (2) in this expression and recognizing </w:t>
      </w:r>
      <w:r>
        <w:rPr>
          <w:i/>
          <w:iCs/>
          <w:lang w:val="en-US"/>
        </w:rPr>
        <w:t>M</w:t>
      </w:r>
      <w:r>
        <w:rPr>
          <w:i/>
          <w:iCs/>
          <w:vertAlign w:val="subscript"/>
          <w:lang w:val="en-US"/>
        </w:rPr>
        <w:t>SES</w:t>
      </w:r>
      <w:r>
        <w:rPr>
          <w:lang w:val="en-US"/>
        </w:rPr>
        <w:t xml:space="preserve"> – 4 as the fade margin for ES gives the following expression for the </w:t>
      </w:r>
      <w:r>
        <w:rPr>
          <w:i/>
          <w:iCs/>
          <w:lang w:val="en-US"/>
        </w:rPr>
        <w:t>I</w:t>
      </w:r>
      <w:r>
        <w:rPr>
          <w:lang w:val="en-US"/>
        </w:rPr>
        <w:t>/</w:t>
      </w:r>
      <w:r>
        <w:rPr>
          <w:i/>
          <w:iCs/>
          <w:lang w:val="en-US"/>
        </w:rPr>
        <w:t>N</w:t>
      </w:r>
      <w:r>
        <w:rPr>
          <w:lang w:val="en-US"/>
        </w:rPr>
        <w:t xml:space="preserve"> (dB):</w:t>
      </w:r>
    </w:p>
    <w:p w:rsidR="00C71B3A" w:rsidRDefault="00C71B3A" w:rsidP="00C71B3A">
      <w:pPr>
        <w:pStyle w:val="Equation"/>
        <w:rPr>
          <w:lang w:val="en-US"/>
        </w:rPr>
      </w:pPr>
      <w:r>
        <w:rPr>
          <w:lang w:val="en-US"/>
        </w:rPr>
        <w:tab/>
      </w:r>
      <w:r>
        <w:rPr>
          <w:lang w:val="en-US"/>
        </w:rPr>
        <w:tab/>
      </w:r>
      <w:r w:rsidRPr="00C63ABE">
        <w:rPr>
          <w:position w:val="-10"/>
        </w:rPr>
        <w:object w:dxaOrig="2740" w:dyaOrig="420">
          <v:shape id="_x0000_i1027" type="#_x0000_t75" style="width:136.8pt;height:21pt" o:ole="">
            <v:imagedata r:id="rId18" o:title=""/>
          </v:shape>
          <o:OLEObject Type="Embed" ProgID="Equation.3" ShapeID="_x0000_i1027" DrawAspect="Content" ObjectID="_1334406962" r:id="rId19"/>
        </w:object>
      </w:r>
      <w:r>
        <w:rPr>
          <w:lang w:val="en-US"/>
        </w:rPr>
        <w:tab/>
        <w:t>(3)</w:t>
      </w:r>
    </w:p>
    <w:p w:rsidR="00C71B3A" w:rsidRDefault="00C71B3A" w:rsidP="00C71B3A">
      <w:pPr>
        <w:rPr>
          <w:lang w:val="en-US"/>
        </w:rPr>
      </w:pPr>
      <w:r>
        <w:rPr>
          <w:lang w:val="en-US"/>
        </w:rPr>
        <w:t xml:space="preserve">Using the considered fade margins from Table 2 for ES, 10 dB and 6 dB, in equation (3), leads to values of </w:t>
      </w:r>
      <w:r>
        <w:rPr>
          <w:i/>
          <w:iCs/>
          <w:lang w:val="en-US"/>
        </w:rPr>
        <w:t>I</w:t>
      </w:r>
      <w:r>
        <w:rPr>
          <w:lang w:val="en-US"/>
        </w:rPr>
        <w:t>/</w:t>
      </w:r>
      <w:r>
        <w:rPr>
          <w:i/>
          <w:iCs/>
          <w:lang w:val="en-US"/>
        </w:rPr>
        <w:t>N</w:t>
      </w:r>
      <w:r>
        <w:rPr>
          <w:lang w:val="en-US"/>
        </w:rPr>
        <w:t xml:space="preserve"> of 9.54 dB and 4.74 dB, respectively. These values are presented in Table 3 with the associated EPO from Table 2. The </w:t>
      </w:r>
      <w:r>
        <w:rPr>
          <w:i/>
          <w:iCs/>
          <w:lang w:val="en-US"/>
        </w:rPr>
        <w:t>I</w:t>
      </w:r>
      <w:r>
        <w:rPr>
          <w:lang w:val="en-US"/>
        </w:rPr>
        <w:t>/</w:t>
      </w:r>
      <w:r>
        <w:rPr>
          <w:i/>
          <w:iCs/>
          <w:lang w:val="en-US"/>
        </w:rPr>
        <w:t>N</w:t>
      </w:r>
      <w:r>
        <w:rPr>
          <w:lang w:val="en-US"/>
        </w:rPr>
        <w:t xml:space="preserve"> values have been rounded to the next higher whole number of decibels.</w:t>
      </w:r>
    </w:p>
    <w:p w:rsidR="00C71B3A" w:rsidRDefault="00C71B3A" w:rsidP="00C71B3A">
      <w:pPr>
        <w:rPr>
          <w:lang w:val="en-US"/>
        </w:rPr>
      </w:pPr>
      <w:r>
        <w:rPr>
          <w:lang w:val="en-US"/>
        </w:rPr>
        <w:t>On this basis, the short-term criteria proposed to be used in the 38 GHz and 40 GHz bands are given in Table 3 and have been defined associating the ES EPO (see Table 1) and the corresponding FM value as defined in Table 2.</w:t>
      </w:r>
    </w:p>
    <w:p w:rsidR="00C71B3A" w:rsidRDefault="00C71B3A" w:rsidP="00C71B3A">
      <w:pPr>
        <w:pStyle w:val="TableNo"/>
        <w:rPr>
          <w:lang w:val="en-US"/>
        </w:rPr>
      </w:pPr>
      <w:r>
        <w:rPr>
          <w:lang w:val="en-US"/>
        </w:rPr>
        <w:t>TABLE  3</w:t>
      </w:r>
    </w:p>
    <w:p w:rsidR="00C71B3A" w:rsidRDefault="00C71B3A" w:rsidP="00C71B3A">
      <w:pPr>
        <w:pStyle w:val="Blanc"/>
        <w:keepNext w:val="0"/>
        <w:keepLines w:val="0"/>
        <w:tabs>
          <w:tab w:val="left" w:pos="794"/>
          <w:tab w:val="left" w:pos="1191"/>
          <w:tab w:val="left" w:pos="1588"/>
          <w:tab w:val="left" w:pos="1985"/>
        </w:tabs>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6"/>
        <w:gridCol w:w="2494"/>
        <w:gridCol w:w="2827"/>
      </w:tblGrid>
      <w:tr w:rsidR="00C71B3A" w:rsidTr="002A3A65">
        <w:trPr>
          <w:cantSplit/>
          <w:jc w:val="center"/>
        </w:trPr>
        <w:tc>
          <w:tcPr>
            <w:tcW w:w="2886" w:type="dxa"/>
            <w:tcBorders>
              <w:top w:val="nil"/>
              <w:left w:val="nil"/>
              <w:bottom w:val="nil"/>
              <w:right w:val="nil"/>
            </w:tcBorders>
          </w:tcPr>
          <w:p w:rsidR="00C71B3A" w:rsidRDefault="00C71B3A" w:rsidP="002A3A65">
            <w:pPr>
              <w:framePr w:hSpace="181" w:wrap="notBeside" w:vAnchor="text" w:hAnchor="text" w:xAlign="center" w:y="1"/>
            </w:pPr>
          </w:p>
        </w:tc>
        <w:tc>
          <w:tcPr>
            <w:tcW w:w="2494" w:type="dxa"/>
            <w:tcBorders>
              <w:bottom w:val="nil"/>
            </w:tcBorders>
          </w:tcPr>
          <w:p w:rsidR="00C71B3A" w:rsidRDefault="00C71B3A" w:rsidP="002A3A65">
            <w:pPr>
              <w:pStyle w:val="Tablehead"/>
              <w:framePr w:hSpace="181" w:wrap="notBeside" w:vAnchor="text" w:hAnchor="text" w:xAlign="center" w:y="1"/>
              <w:rPr>
                <w:lang w:val="en-US"/>
              </w:rPr>
            </w:pPr>
            <w:r>
              <w:rPr>
                <w:i/>
                <w:iCs/>
                <w:lang w:val="en-US"/>
              </w:rPr>
              <w:t>I</w:t>
            </w:r>
            <w:r>
              <w:rPr>
                <w:lang w:val="en-US"/>
              </w:rPr>
              <w:t>/</w:t>
            </w:r>
            <w:r>
              <w:rPr>
                <w:i/>
                <w:iCs/>
                <w:lang w:val="en-US"/>
              </w:rPr>
              <w:t>N</w:t>
            </w:r>
            <w:r>
              <w:rPr>
                <w:i/>
                <w:iCs/>
                <w:lang w:val="en-US"/>
              </w:rPr>
              <w:br/>
            </w:r>
            <w:r>
              <w:rPr>
                <w:lang w:val="en-US"/>
              </w:rPr>
              <w:t>(dB)</w:t>
            </w:r>
          </w:p>
        </w:tc>
        <w:tc>
          <w:tcPr>
            <w:tcW w:w="2827" w:type="dxa"/>
            <w:tcBorders>
              <w:left w:val="nil"/>
            </w:tcBorders>
          </w:tcPr>
          <w:p w:rsidR="00C71B3A" w:rsidRDefault="00C71B3A" w:rsidP="002A3A65">
            <w:pPr>
              <w:pStyle w:val="Tablehead"/>
              <w:framePr w:hSpace="181" w:wrap="notBeside" w:vAnchor="text" w:hAnchor="text" w:xAlign="center" w:y="1"/>
              <w:rPr>
                <w:lang w:val="en-US"/>
              </w:rPr>
            </w:pPr>
            <w:r>
              <w:rPr>
                <w:lang w:val="en-US"/>
              </w:rPr>
              <w:t>Percentage of time not</w:t>
            </w:r>
            <w:r>
              <w:rPr>
                <w:lang w:val="en-US"/>
              </w:rPr>
              <w:br/>
              <w:t>to be exceeded</w:t>
            </w:r>
          </w:p>
        </w:tc>
      </w:tr>
      <w:tr w:rsidR="00C71B3A" w:rsidTr="002A3A65">
        <w:trPr>
          <w:cantSplit/>
          <w:jc w:val="center"/>
        </w:trPr>
        <w:tc>
          <w:tcPr>
            <w:tcW w:w="2886" w:type="dxa"/>
            <w:tcBorders>
              <w:right w:val="nil"/>
            </w:tcBorders>
          </w:tcPr>
          <w:p w:rsidR="00C71B3A" w:rsidRDefault="00C71B3A" w:rsidP="002A3A65">
            <w:pPr>
              <w:pStyle w:val="Tabletext"/>
              <w:framePr w:hSpace="181" w:wrap="notBeside" w:vAnchor="text" w:hAnchor="text" w:xAlign="center" w:y="1"/>
              <w:jc w:val="left"/>
              <w:rPr>
                <w:lang w:val="en-US"/>
              </w:rPr>
            </w:pPr>
            <w:r>
              <w:rPr>
                <w:lang w:val="en-US"/>
              </w:rPr>
              <w:t>Criterion 1</w:t>
            </w:r>
          </w:p>
        </w:tc>
        <w:tc>
          <w:tcPr>
            <w:tcW w:w="2494" w:type="dxa"/>
            <w:tcBorders>
              <w:top w:val="single" w:sz="4" w:space="0" w:color="auto"/>
              <w:left w:val="single" w:sz="4" w:space="0" w:color="auto"/>
              <w:bottom w:val="single" w:sz="4" w:space="0" w:color="auto"/>
              <w:right w:val="single" w:sz="4" w:space="0" w:color="auto"/>
            </w:tcBorders>
          </w:tcPr>
          <w:p w:rsidR="00C71B3A" w:rsidRDefault="00C71B3A" w:rsidP="002A3A65">
            <w:pPr>
              <w:pStyle w:val="Tabletext"/>
              <w:framePr w:hSpace="181" w:wrap="notBeside" w:vAnchor="text" w:hAnchor="text" w:xAlign="center" w:y="1"/>
              <w:jc w:val="center"/>
              <w:rPr>
                <w:lang w:val="en-US"/>
              </w:rPr>
            </w:pPr>
            <w:r>
              <w:rPr>
                <w:lang w:val="en-US"/>
              </w:rPr>
              <w:t>10</w:t>
            </w:r>
          </w:p>
        </w:tc>
        <w:tc>
          <w:tcPr>
            <w:tcW w:w="2827" w:type="dxa"/>
            <w:tcBorders>
              <w:left w:val="nil"/>
              <w:bottom w:val="nil"/>
            </w:tcBorders>
          </w:tcPr>
          <w:p w:rsidR="00C71B3A" w:rsidRDefault="00C71B3A" w:rsidP="002A3A65">
            <w:pPr>
              <w:pStyle w:val="Tabletext"/>
              <w:framePr w:hSpace="181" w:wrap="notBeside" w:vAnchor="text" w:hAnchor="text" w:xAlign="center" w:y="1"/>
              <w:jc w:val="center"/>
              <w:rPr>
                <w:lang w:val="en-US"/>
              </w:rPr>
            </w:pPr>
            <w:r>
              <w:rPr>
                <w:lang w:val="en-US"/>
              </w:rPr>
              <w:t>0.05%</w:t>
            </w:r>
          </w:p>
        </w:tc>
      </w:tr>
      <w:tr w:rsidR="00C71B3A" w:rsidTr="002A3A65">
        <w:trPr>
          <w:cantSplit/>
          <w:jc w:val="center"/>
        </w:trPr>
        <w:tc>
          <w:tcPr>
            <w:tcW w:w="2886" w:type="dxa"/>
          </w:tcPr>
          <w:p w:rsidR="00C71B3A" w:rsidRDefault="00C71B3A" w:rsidP="002A3A65">
            <w:pPr>
              <w:pStyle w:val="Tabletext"/>
              <w:framePr w:hSpace="181" w:wrap="notBeside" w:vAnchor="text" w:hAnchor="text" w:xAlign="center" w:y="1"/>
              <w:jc w:val="left"/>
              <w:rPr>
                <w:lang w:val="en-US"/>
              </w:rPr>
            </w:pPr>
            <w:r>
              <w:rPr>
                <w:lang w:val="en-US"/>
              </w:rPr>
              <w:t>Criterion 2</w:t>
            </w:r>
            <w:r>
              <w:rPr>
                <w:vertAlign w:val="superscript"/>
              </w:rPr>
              <w:t>(1)</w:t>
            </w:r>
          </w:p>
        </w:tc>
        <w:tc>
          <w:tcPr>
            <w:tcW w:w="2494" w:type="dxa"/>
            <w:tcBorders>
              <w:top w:val="nil"/>
              <w:left w:val="nil"/>
              <w:bottom w:val="nil"/>
            </w:tcBorders>
          </w:tcPr>
          <w:p w:rsidR="00C71B3A" w:rsidRDefault="00C71B3A" w:rsidP="002A3A65">
            <w:pPr>
              <w:pStyle w:val="Tabletext"/>
              <w:framePr w:hSpace="181" w:wrap="notBeside" w:vAnchor="text" w:hAnchor="text" w:xAlign="center" w:y="1"/>
              <w:jc w:val="center"/>
              <w:rPr>
                <w:lang w:val="en-US"/>
              </w:rPr>
            </w:pPr>
            <w:r>
              <w:rPr>
                <w:lang w:val="en-US"/>
              </w:rPr>
              <w:t>10</w:t>
            </w:r>
          </w:p>
        </w:tc>
        <w:tc>
          <w:tcPr>
            <w:tcW w:w="2827" w:type="dxa"/>
            <w:tcBorders>
              <w:bottom w:val="nil"/>
            </w:tcBorders>
          </w:tcPr>
          <w:p w:rsidR="00C71B3A" w:rsidRDefault="00C71B3A" w:rsidP="002A3A65">
            <w:pPr>
              <w:pStyle w:val="Tabletext"/>
              <w:framePr w:hSpace="181" w:wrap="notBeside" w:vAnchor="text" w:hAnchor="text" w:xAlign="center" w:y="1"/>
              <w:jc w:val="center"/>
              <w:rPr>
                <w:lang w:val="en-US"/>
              </w:rPr>
            </w:pPr>
            <w:r>
              <w:rPr>
                <w:lang w:val="en-US"/>
              </w:rPr>
              <w:t>0.013%</w:t>
            </w:r>
          </w:p>
        </w:tc>
      </w:tr>
      <w:tr w:rsidR="00C71B3A" w:rsidTr="002A3A65">
        <w:trPr>
          <w:cantSplit/>
          <w:jc w:val="center"/>
        </w:trPr>
        <w:tc>
          <w:tcPr>
            <w:tcW w:w="2886" w:type="dxa"/>
            <w:tcBorders>
              <w:right w:val="nil"/>
            </w:tcBorders>
          </w:tcPr>
          <w:p w:rsidR="00C71B3A" w:rsidRDefault="00C71B3A" w:rsidP="002A3A65">
            <w:pPr>
              <w:pStyle w:val="Tabletext"/>
              <w:framePr w:hSpace="181" w:wrap="notBeside" w:vAnchor="text" w:hAnchor="text" w:xAlign="center" w:y="1"/>
              <w:jc w:val="left"/>
              <w:rPr>
                <w:lang w:val="en-US"/>
              </w:rPr>
            </w:pPr>
            <w:r>
              <w:rPr>
                <w:lang w:val="en-US"/>
              </w:rPr>
              <w:t>Criterion 1 for low net fade margin systems</w:t>
            </w:r>
          </w:p>
        </w:tc>
        <w:tc>
          <w:tcPr>
            <w:tcW w:w="2494" w:type="dxa"/>
            <w:tcBorders>
              <w:top w:val="single" w:sz="4" w:space="0" w:color="auto"/>
              <w:left w:val="single" w:sz="4" w:space="0" w:color="auto"/>
              <w:bottom w:val="single" w:sz="4" w:space="0" w:color="auto"/>
              <w:right w:val="single" w:sz="4" w:space="0" w:color="auto"/>
            </w:tcBorders>
          </w:tcPr>
          <w:p w:rsidR="00C71B3A" w:rsidRDefault="00C71B3A" w:rsidP="002A3A65">
            <w:pPr>
              <w:pStyle w:val="Tabletext"/>
              <w:framePr w:hSpace="181" w:wrap="notBeside" w:vAnchor="text" w:hAnchor="text" w:xAlign="center" w:y="1"/>
              <w:jc w:val="center"/>
              <w:rPr>
                <w:lang w:val="en-US"/>
              </w:rPr>
            </w:pPr>
            <w:r>
              <w:rPr>
                <w:lang w:val="en-US"/>
              </w:rPr>
              <w:t>5</w:t>
            </w:r>
          </w:p>
        </w:tc>
        <w:tc>
          <w:tcPr>
            <w:tcW w:w="2827" w:type="dxa"/>
            <w:tcBorders>
              <w:left w:val="nil"/>
              <w:bottom w:val="nil"/>
            </w:tcBorders>
          </w:tcPr>
          <w:p w:rsidR="00C71B3A" w:rsidRDefault="00C71B3A" w:rsidP="002A3A65">
            <w:pPr>
              <w:pStyle w:val="Tabletext"/>
              <w:framePr w:hSpace="181" w:wrap="notBeside" w:vAnchor="text" w:hAnchor="text" w:xAlign="center" w:y="1"/>
              <w:jc w:val="center"/>
              <w:rPr>
                <w:lang w:val="en-US"/>
              </w:rPr>
            </w:pPr>
            <w:r>
              <w:rPr>
                <w:lang w:val="en-US"/>
              </w:rPr>
              <w:t>0.05%</w:t>
            </w:r>
          </w:p>
        </w:tc>
      </w:tr>
      <w:tr w:rsidR="00C71B3A" w:rsidTr="002A3A65">
        <w:trPr>
          <w:cantSplit/>
          <w:jc w:val="center"/>
        </w:trPr>
        <w:tc>
          <w:tcPr>
            <w:tcW w:w="2886" w:type="dxa"/>
            <w:tcBorders>
              <w:bottom w:val="single" w:sz="6" w:space="0" w:color="auto"/>
            </w:tcBorders>
          </w:tcPr>
          <w:p w:rsidR="00C71B3A" w:rsidRDefault="00C71B3A" w:rsidP="002A3A65">
            <w:pPr>
              <w:pStyle w:val="Tabletext"/>
              <w:framePr w:hSpace="181" w:wrap="notBeside" w:vAnchor="text" w:hAnchor="text" w:xAlign="center" w:y="1"/>
              <w:jc w:val="left"/>
              <w:rPr>
                <w:lang w:val="en-US"/>
              </w:rPr>
            </w:pPr>
            <w:r>
              <w:rPr>
                <w:lang w:val="en-US"/>
              </w:rPr>
              <w:t>Criterion 2</w:t>
            </w:r>
            <w:r>
              <w:rPr>
                <w:vertAlign w:val="superscript"/>
                <w:lang w:val="en-US"/>
              </w:rPr>
              <w:t>(1)</w:t>
            </w:r>
            <w:r>
              <w:rPr>
                <w:lang w:val="en-US"/>
              </w:rPr>
              <w:t xml:space="preserve"> for low net fade margin systems</w:t>
            </w:r>
          </w:p>
        </w:tc>
        <w:tc>
          <w:tcPr>
            <w:tcW w:w="2494" w:type="dxa"/>
            <w:tcBorders>
              <w:top w:val="nil"/>
              <w:left w:val="nil"/>
              <w:bottom w:val="single" w:sz="6" w:space="0" w:color="auto"/>
            </w:tcBorders>
          </w:tcPr>
          <w:p w:rsidR="00C71B3A" w:rsidRDefault="00C71B3A" w:rsidP="002A3A65">
            <w:pPr>
              <w:pStyle w:val="Tabletext"/>
              <w:framePr w:hSpace="181" w:wrap="notBeside" w:vAnchor="text" w:hAnchor="text" w:xAlign="center" w:y="1"/>
              <w:jc w:val="center"/>
              <w:rPr>
                <w:lang w:val="en-US"/>
              </w:rPr>
            </w:pPr>
            <w:r>
              <w:rPr>
                <w:lang w:val="en-US"/>
              </w:rPr>
              <w:t>5</w:t>
            </w:r>
          </w:p>
        </w:tc>
        <w:tc>
          <w:tcPr>
            <w:tcW w:w="2827" w:type="dxa"/>
            <w:tcBorders>
              <w:bottom w:val="single" w:sz="6" w:space="0" w:color="auto"/>
            </w:tcBorders>
          </w:tcPr>
          <w:p w:rsidR="00C71B3A" w:rsidRDefault="00C71B3A" w:rsidP="002A3A65">
            <w:pPr>
              <w:pStyle w:val="Tabletext"/>
              <w:framePr w:hSpace="181" w:wrap="notBeside" w:vAnchor="text" w:hAnchor="text" w:xAlign="center" w:y="1"/>
              <w:jc w:val="center"/>
              <w:rPr>
                <w:lang w:val="en-US"/>
              </w:rPr>
            </w:pPr>
            <w:r>
              <w:rPr>
                <w:lang w:val="en-US"/>
              </w:rPr>
              <w:t>0.013%</w:t>
            </w:r>
          </w:p>
        </w:tc>
      </w:tr>
      <w:tr w:rsidR="00C71B3A" w:rsidTr="002A3A65">
        <w:trPr>
          <w:cantSplit/>
          <w:jc w:val="center"/>
        </w:trPr>
        <w:tc>
          <w:tcPr>
            <w:tcW w:w="8207" w:type="dxa"/>
            <w:gridSpan w:val="3"/>
            <w:tcBorders>
              <w:left w:val="nil"/>
              <w:bottom w:val="nil"/>
              <w:right w:val="nil"/>
            </w:tcBorders>
          </w:tcPr>
          <w:p w:rsidR="00C71B3A" w:rsidRDefault="00C71B3A" w:rsidP="002A3A65">
            <w:pPr>
              <w:pStyle w:val="Tablelegend"/>
              <w:framePr w:hSpace="181" w:wrap="notBeside" w:vAnchor="text" w:hAnchor="text" w:xAlign="center" w:y="1"/>
              <w:ind w:hanging="350"/>
              <w:rPr>
                <w:lang w:val="en-US"/>
              </w:rPr>
            </w:pPr>
            <w:r>
              <w:rPr>
                <w:vertAlign w:val="superscript"/>
                <w:lang w:val="en-US" w:eastAsia="fr-FR"/>
              </w:rPr>
              <w:t>(1)</w:t>
            </w:r>
            <w:r>
              <w:rPr>
                <w:lang w:val="en-US" w:eastAsia="fr-FR"/>
              </w:rPr>
              <w:tab/>
              <w:t>Criterion 2 applies to links designed in compliance with ITU-T Recommendation G.828.</w:t>
            </w:r>
          </w:p>
        </w:tc>
      </w:tr>
    </w:tbl>
    <w:p w:rsidR="00C71B3A" w:rsidRDefault="00C71B3A" w:rsidP="00C71B3A">
      <w:pPr>
        <w:pStyle w:val="Tablefin"/>
      </w:pPr>
    </w:p>
    <w:p w:rsidR="00C71B3A" w:rsidRDefault="00C71B3A" w:rsidP="00C71B3A">
      <w:pPr>
        <w:pStyle w:val="Heading1"/>
        <w:rPr>
          <w:lang w:val="en-US"/>
        </w:rPr>
      </w:pPr>
      <w:r>
        <w:rPr>
          <w:lang w:val="en-US"/>
        </w:rPr>
        <w:t>4</w:t>
      </w:r>
      <w:r>
        <w:rPr>
          <w:lang w:val="en-US"/>
        </w:rPr>
        <w:tab/>
        <w:t>Long-term criteria</w:t>
      </w:r>
    </w:p>
    <w:p w:rsidR="00C71B3A" w:rsidRDefault="00C71B3A" w:rsidP="00C71B3A">
      <w:pPr>
        <w:spacing w:line="270" w:lineRule="exact"/>
        <w:rPr>
          <w:lang w:val="en-US"/>
        </w:rPr>
      </w:pPr>
      <w:r>
        <w:rPr>
          <w:lang w:val="en-US"/>
        </w:rPr>
        <w:t xml:space="preserve">The long-term criterion specified in Recommendation ITU-R F.758 to be used for the 38 GHz band is </w:t>
      </w:r>
      <w:r>
        <w:rPr>
          <w:i/>
          <w:iCs/>
          <w:lang w:val="en-US"/>
        </w:rPr>
        <w:t>I</w:t>
      </w:r>
      <w:r>
        <w:rPr>
          <w:lang w:val="en-US"/>
        </w:rPr>
        <w:t>/</w:t>
      </w:r>
      <w:r>
        <w:rPr>
          <w:i/>
          <w:iCs/>
          <w:lang w:val="en-US"/>
        </w:rPr>
        <w:t>N</w:t>
      </w:r>
      <w:r>
        <w:rPr>
          <w:lang w:val="en-US"/>
        </w:rPr>
        <w:t xml:space="preserve"> </w:t>
      </w:r>
      <w:r>
        <w:rPr>
          <w:rFonts w:ascii="Symbol" w:hAnsi="Symbol"/>
          <w:lang w:val="en-US"/>
        </w:rPr>
        <w:t></w:t>
      </w:r>
      <w:r>
        <w:rPr>
          <w:lang w:val="en-US"/>
        </w:rPr>
        <w:t xml:space="preserve"> –10 dB, not to be exceeded for more than 20% of the time.</w:t>
      </w:r>
    </w:p>
    <w:p w:rsidR="00C71B3A" w:rsidRDefault="00C71B3A" w:rsidP="00C71B3A">
      <w:pPr>
        <w:rPr>
          <w:lang w:val="en-US"/>
        </w:rPr>
      </w:pPr>
      <w:r>
        <w:rPr>
          <w:lang w:val="en-US"/>
        </w:rPr>
        <w:t>Since similar FS applications are assumed to be used in the 40 GHz band, the same long-term criteria would apply</w:t>
      </w:r>
      <w:r>
        <w:rPr>
          <w:color w:val="0000FF"/>
          <w:lang w:val="en-US"/>
        </w:rPr>
        <w:t xml:space="preserve"> </w:t>
      </w:r>
      <w:r>
        <w:rPr>
          <w:lang w:val="en-US"/>
        </w:rPr>
        <w:t>in this band.</w:t>
      </w:r>
    </w:p>
    <w:p w:rsidR="00C71B3A" w:rsidRDefault="00C71B3A" w:rsidP="00C71B3A">
      <w:pPr>
        <w:pStyle w:val="Heading1"/>
        <w:rPr>
          <w:lang w:val="en-US"/>
        </w:rPr>
      </w:pPr>
      <w:r>
        <w:rPr>
          <w:lang w:val="en-US"/>
        </w:rPr>
        <w:t>5</w:t>
      </w:r>
      <w:r>
        <w:rPr>
          <w:lang w:val="en-US"/>
        </w:rPr>
        <w:tab/>
        <w:t>Noise level reference</w:t>
      </w:r>
    </w:p>
    <w:p w:rsidR="00C71B3A" w:rsidRDefault="00C71B3A" w:rsidP="00C71B3A">
      <w:pPr>
        <w:spacing w:line="270" w:lineRule="exact"/>
        <w:rPr>
          <w:lang w:val="en-US"/>
        </w:rPr>
      </w:pPr>
      <w:r>
        <w:rPr>
          <w:lang w:val="en-US"/>
        </w:rPr>
        <w:t xml:space="preserve">For both short-term and long-term criteria as given in § 3 and 4, the </w:t>
      </w:r>
      <w:r>
        <w:rPr>
          <w:i/>
          <w:iCs/>
          <w:lang w:val="en-US"/>
        </w:rPr>
        <w:t>I</w:t>
      </w:r>
      <w:r>
        <w:rPr>
          <w:lang w:val="en-US"/>
        </w:rPr>
        <w:t>/</w:t>
      </w:r>
      <w:r>
        <w:rPr>
          <w:i/>
          <w:iCs/>
          <w:lang w:val="en-US"/>
        </w:rPr>
        <w:t>N</w:t>
      </w:r>
      <w:r>
        <w:rPr>
          <w:lang w:val="en-US"/>
        </w:rPr>
        <w:t xml:space="preserve"> levels refer to the total FS noise level, which includes the FS system noise and an agreed 1 dB allowance for intra</w:t>
      </w:r>
      <w:r>
        <w:rPr>
          <w:lang w:val="en-US"/>
        </w:rPr>
        <w:noBreakHyphen/>
        <w:t xml:space="preserve">service interference. This means that </w:t>
      </w:r>
      <w:r>
        <w:rPr>
          <w:i/>
          <w:iCs/>
          <w:lang w:val="en-US"/>
        </w:rPr>
        <w:t>N</w:t>
      </w:r>
      <w:r>
        <w:rPr>
          <w:lang w:val="en-US"/>
        </w:rPr>
        <w:t xml:space="preserve"> </w:t>
      </w:r>
      <w:r>
        <w:rPr>
          <w:rFonts w:ascii="Symbol" w:hAnsi="Symbol"/>
          <w:lang w:val="en-US"/>
        </w:rPr>
        <w:t></w:t>
      </w:r>
      <w:r>
        <w:rPr>
          <w:lang w:val="en-US"/>
        </w:rPr>
        <w:t xml:space="preserve"> 10 log (</w:t>
      </w:r>
      <w:r>
        <w:rPr>
          <w:i/>
          <w:iCs/>
          <w:lang w:val="en-US"/>
        </w:rPr>
        <w:t>k T BF</w:t>
      </w:r>
      <w:r>
        <w:rPr>
          <w:lang w:val="en-US"/>
        </w:rPr>
        <w:t xml:space="preserve">) </w:t>
      </w:r>
      <w:r>
        <w:rPr>
          <w:rFonts w:ascii="Symbol" w:hAnsi="Symbol"/>
          <w:lang w:val="en-US"/>
        </w:rPr>
        <w:t></w:t>
      </w:r>
      <w:r>
        <w:rPr>
          <w:lang w:val="en-US"/>
        </w:rPr>
        <w:t xml:space="preserve"> 1 dB.</w:t>
      </w:r>
    </w:p>
    <w:p w:rsidR="00C71B3A" w:rsidRDefault="00C71B3A" w:rsidP="00C71B3A">
      <w:pPr>
        <w:pStyle w:val="AppendixNoTitle"/>
        <w:rPr>
          <w:lang w:val="en-US"/>
        </w:rPr>
      </w:pPr>
      <w:r>
        <w:rPr>
          <w:lang w:val="en-US"/>
        </w:rPr>
        <w:br w:type="page"/>
      </w:r>
      <w:r>
        <w:rPr>
          <w:lang w:val="en-US"/>
        </w:rPr>
        <w:lastRenderedPageBreak/>
        <w:t>Appendix 1</w:t>
      </w:r>
      <w:r>
        <w:rPr>
          <w:lang w:val="en-US"/>
        </w:rPr>
        <w:br/>
        <w:t>to Annex 1</w:t>
      </w:r>
      <w:r>
        <w:rPr>
          <w:lang w:val="en-US"/>
        </w:rPr>
        <w:br/>
      </w:r>
      <w:r>
        <w:rPr>
          <w:lang w:val="en-US"/>
        </w:rPr>
        <w:br/>
        <w:t>Rain fade margins for 99.999% availability</w:t>
      </w:r>
    </w:p>
    <w:p w:rsidR="00C71B3A" w:rsidRDefault="00C71B3A" w:rsidP="00C71B3A">
      <w:pPr>
        <w:pStyle w:val="Blanc"/>
        <w:keepNext w:val="0"/>
        <w:keepLines w:val="0"/>
        <w:tabs>
          <w:tab w:val="left" w:pos="794"/>
          <w:tab w:val="left" w:pos="1191"/>
          <w:tab w:val="left" w:pos="1588"/>
          <w:tab w:val="left" w:pos="1985"/>
        </w:tabs>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203"/>
        <w:gridCol w:w="793"/>
        <w:gridCol w:w="794"/>
        <w:gridCol w:w="794"/>
        <w:gridCol w:w="794"/>
        <w:gridCol w:w="794"/>
        <w:gridCol w:w="793"/>
        <w:gridCol w:w="794"/>
        <w:gridCol w:w="794"/>
        <w:gridCol w:w="794"/>
        <w:gridCol w:w="794"/>
      </w:tblGrid>
      <w:tr w:rsidR="00C71B3A" w:rsidTr="002A3A65">
        <w:trPr>
          <w:cantSplit/>
          <w:trHeight w:val="262"/>
          <w:jc w:val="center"/>
        </w:trPr>
        <w:tc>
          <w:tcPr>
            <w:tcW w:w="1203" w:type="dxa"/>
            <w:vMerge w:val="restart"/>
            <w:tcBorders>
              <w:top w:val="single" w:sz="6" w:space="0" w:color="auto"/>
              <w:left w:val="single" w:sz="6" w:space="0" w:color="auto"/>
              <w:bottom w:val="single" w:sz="6" w:space="0" w:color="auto"/>
              <w:right w:val="single" w:sz="6" w:space="0" w:color="auto"/>
            </w:tcBorders>
            <w:vAlign w:val="center"/>
          </w:tcPr>
          <w:p w:rsidR="00C71B3A" w:rsidRDefault="00C71B3A" w:rsidP="002A3A65">
            <w:pPr>
              <w:pStyle w:val="Tablehead"/>
              <w:framePr w:hSpace="181" w:wrap="notBeside" w:vAnchor="text" w:hAnchor="text" w:xAlign="center" w:y="1"/>
              <w:rPr>
                <w:snapToGrid w:val="0"/>
                <w:lang w:val="en-US"/>
              </w:rPr>
            </w:pPr>
            <w:r>
              <w:rPr>
                <w:snapToGrid w:val="0"/>
                <w:lang w:val="en-US"/>
              </w:rPr>
              <w:t>Link distance (km)</w:t>
            </w:r>
          </w:p>
        </w:tc>
        <w:tc>
          <w:tcPr>
            <w:tcW w:w="3969" w:type="dxa"/>
            <w:gridSpan w:val="5"/>
            <w:tcBorders>
              <w:top w:val="single" w:sz="6" w:space="0" w:color="auto"/>
              <w:left w:val="single" w:sz="6" w:space="0" w:color="auto"/>
              <w:bottom w:val="single" w:sz="6" w:space="0" w:color="auto"/>
              <w:right w:val="single" w:sz="6" w:space="0" w:color="auto"/>
            </w:tcBorders>
          </w:tcPr>
          <w:p w:rsidR="00C71B3A" w:rsidRDefault="00C71B3A" w:rsidP="002A3A65">
            <w:pPr>
              <w:pStyle w:val="Tablehead"/>
              <w:framePr w:hSpace="181" w:wrap="notBeside" w:vAnchor="text" w:hAnchor="text" w:xAlign="center" w:y="1"/>
              <w:rPr>
                <w:snapToGrid w:val="0"/>
                <w:lang w:val="en-US"/>
              </w:rPr>
            </w:pPr>
            <w:r>
              <w:rPr>
                <w:snapToGrid w:val="0"/>
                <w:lang w:val="en-US"/>
              </w:rPr>
              <w:t>Fade margin at 39.3 GHz, horizontal polarization</w:t>
            </w:r>
            <w:r>
              <w:rPr>
                <w:snapToGrid w:val="0"/>
                <w:lang w:val="en-US"/>
              </w:rPr>
              <w:br/>
              <w:t>(dB)</w:t>
            </w:r>
          </w:p>
        </w:tc>
        <w:tc>
          <w:tcPr>
            <w:tcW w:w="3969" w:type="dxa"/>
            <w:gridSpan w:val="5"/>
            <w:tcBorders>
              <w:top w:val="single" w:sz="6" w:space="0" w:color="auto"/>
              <w:left w:val="single" w:sz="6" w:space="0" w:color="auto"/>
              <w:bottom w:val="single" w:sz="6" w:space="0" w:color="auto"/>
              <w:right w:val="single" w:sz="6" w:space="0" w:color="auto"/>
            </w:tcBorders>
          </w:tcPr>
          <w:p w:rsidR="00C71B3A" w:rsidRDefault="00C71B3A" w:rsidP="002A3A65">
            <w:pPr>
              <w:pStyle w:val="Tablehead"/>
              <w:framePr w:hSpace="181" w:wrap="notBeside" w:vAnchor="text" w:hAnchor="text" w:xAlign="center" w:y="1"/>
              <w:rPr>
                <w:snapToGrid w:val="0"/>
                <w:lang w:val="en-US"/>
              </w:rPr>
            </w:pPr>
            <w:r>
              <w:rPr>
                <w:snapToGrid w:val="0"/>
                <w:lang w:val="en-US"/>
              </w:rPr>
              <w:t>Fade margin at 39.3 GHz, vertical polarization</w:t>
            </w:r>
            <w:r>
              <w:rPr>
                <w:snapToGrid w:val="0"/>
                <w:lang w:val="en-US"/>
              </w:rPr>
              <w:br/>
              <w:t>(dB)</w:t>
            </w:r>
          </w:p>
        </w:tc>
      </w:tr>
      <w:tr w:rsidR="00C71B3A" w:rsidTr="002A3A65">
        <w:trPr>
          <w:cantSplit/>
          <w:trHeight w:val="262"/>
          <w:jc w:val="center"/>
        </w:trPr>
        <w:tc>
          <w:tcPr>
            <w:tcW w:w="1203" w:type="dxa"/>
            <w:vMerge/>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rPr>
                <w:b/>
                <w:snapToGrid w:val="0"/>
                <w:color w:val="000000"/>
                <w:lang w:val="en-US"/>
              </w:rPr>
            </w:pPr>
          </w:p>
        </w:tc>
        <w:tc>
          <w:tcPr>
            <w:tcW w:w="3969" w:type="dxa"/>
            <w:gridSpan w:val="5"/>
            <w:tcBorders>
              <w:top w:val="single" w:sz="6" w:space="0" w:color="auto"/>
              <w:left w:val="single" w:sz="6" w:space="0" w:color="auto"/>
              <w:bottom w:val="single" w:sz="6" w:space="0" w:color="auto"/>
              <w:right w:val="single" w:sz="6" w:space="0" w:color="auto"/>
            </w:tcBorders>
          </w:tcPr>
          <w:p w:rsidR="00C71B3A" w:rsidRDefault="00C71B3A" w:rsidP="002A3A65">
            <w:pPr>
              <w:pStyle w:val="Tablehead"/>
              <w:framePr w:hSpace="181" w:wrap="notBeside" w:vAnchor="text" w:hAnchor="text" w:xAlign="center" w:y="1"/>
              <w:rPr>
                <w:snapToGrid w:val="0"/>
                <w:color w:val="000000"/>
                <w:lang w:val="en-US"/>
              </w:rPr>
            </w:pPr>
            <w:r>
              <w:rPr>
                <w:snapToGrid w:val="0"/>
                <w:color w:val="000000"/>
                <w:lang w:val="en-US"/>
              </w:rPr>
              <w:t>Rain rate (mm/h) (zone)</w:t>
            </w:r>
          </w:p>
        </w:tc>
        <w:tc>
          <w:tcPr>
            <w:tcW w:w="3969" w:type="dxa"/>
            <w:gridSpan w:val="5"/>
            <w:tcBorders>
              <w:top w:val="single" w:sz="6" w:space="0" w:color="auto"/>
              <w:left w:val="single" w:sz="6" w:space="0" w:color="auto"/>
              <w:bottom w:val="single" w:sz="6" w:space="0" w:color="auto"/>
              <w:right w:val="single" w:sz="6" w:space="0" w:color="auto"/>
            </w:tcBorders>
          </w:tcPr>
          <w:p w:rsidR="00C71B3A" w:rsidRDefault="00C71B3A" w:rsidP="002A3A65">
            <w:pPr>
              <w:pStyle w:val="Tablehead"/>
              <w:framePr w:hSpace="181" w:wrap="notBeside" w:vAnchor="text" w:hAnchor="text" w:xAlign="center" w:y="1"/>
              <w:rPr>
                <w:snapToGrid w:val="0"/>
                <w:color w:val="000000"/>
                <w:lang w:val="en-US"/>
              </w:rPr>
            </w:pPr>
            <w:r>
              <w:rPr>
                <w:snapToGrid w:val="0"/>
                <w:color w:val="000000"/>
                <w:lang w:val="en-US"/>
              </w:rPr>
              <w:t>Rain rate (mm/h) (zone)</w:t>
            </w:r>
          </w:p>
        </w:tc>
      </w:tr>
      <w:tr w:rsidR="00C71B3A" w:rsidTr="002A3A65">
        <w:trPr>
          <w:cantSplit/>
          <w:trHeight w:val="262"/>
          <w:jc w:val="center"/>
        </w:trPr>
        <w:tc>
          <w:tcPr>
            <w:tcW w:w="1203" w:type="dxa"/>
            <w:vMerge/>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rPr>
                <w:b/>
                <w:snapToGrid w:val="0"/>
                <w:color w:val="000000"/>
                <w:lang w:val="en-US"/>
              </w:rPr>
            </w:pP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12 (B)</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22 (E)</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42 (K)</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63 (M)</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95 (N)</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12 (B)</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22 (E)</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42 (K)</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63 (M)</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ind w:left="-57" w:right="-57"/>
              <w:jc w:val="center"/>
              <w:rPr>
                <w:snapToGrid w:val="0"/>
                <w:color w:val="000000"/>
                <w:lang w:val="en-US"/>
              </w:rPr>
            </w:pPr>
            <w:r>
              <w:rPr>
                <w:snapToGrid w:val="0"/>
                <w:color w:val="000000"/>
                <w:lang w:val="en-US"/>
              </w:rPr>
              <w:t>95</w:t>
            </w:r>
            <w:r>
              <w:rPr>
                <w:snapToGrid w:val="0"/>
                <w:color w:val="000000"/>
                <w:vertAlign w:val="superscript"/>
                <w:lang w:val="en-US"/>
              </w:rPr>
              <w:t>(1)</w:t>
            </w:r>
            <w:r>
              <w:rPr>
                <w:snapToGrid w:val="0"/>
                <w:color w:val="000000"/>
                <w:lang w:val="en-US"/>
              </w:rPr>
              <w:t xml:space="preserve"> (N)</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0.1</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0.8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5.2</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0.6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3.0</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0.2</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16.4</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5.9</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0.3</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10.6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15.4</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8.8</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0.4</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9.6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20.3</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11.9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11.6</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0.5</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17.4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25.1</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10.2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14.3</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0.6</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20.7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29.8</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12.2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17.6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17.0</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0.7</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9.1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16.6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34.3</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20.3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19.6</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0.8</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10.4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18.9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27.2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38.8</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16.1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22.2</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0.9</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11.6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30.4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43.2</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10.0</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18.0</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25.8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24.7</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1.0</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12.8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23.3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33.6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47.5</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11.0</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19.9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28.5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27.1</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1.1</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25.5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36.7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51.7</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12.1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21.8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29.5</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1.2</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15.3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27.7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39.8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55.8</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13.1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23.7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33.7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31.9</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1.3</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9.4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16.5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29.9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42.8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59.8</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14.2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25.5</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36.2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34.1</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1.4</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10.1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17.7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45.8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63.8</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8.7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15.2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27.3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38.8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36.4</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1.5</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10.8</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18.9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34.1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48.7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67.6</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9.3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16.2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29.1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41.3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38.6</w:t>
            </w:r>
          </w:p>
        </w:tc>
      </w:tr>
      <w:tr w:rsidR="00C71B3A" w:rsidTr="002A3A65">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jc w:val="center"/>
              <w:rPr>
                <w:snapToGrid w:val="0"/>
                <w:color w:val="000000"/>
                <w:lang w:val="en-US"/>
              </w:rPr>
            </w:pPr>
            <w:r>
              <w:rPr>
                <w:snapToGrid w:val="0"/>
                <w:color w:val="000000"/>
                <w:lang w:val="en-US"/>
              </w:rPr>
              <w:t>1.6</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11.4</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20.1</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36.2</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51.6</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71.4</w:t>
            </w:r>
          </w:p>
        </w:tc>
        <w:tc>
          <w:tcPr>
            <w:tcW w:w="793"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9.9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17.3</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30.9</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43.7</w:t>
            </w:r>
          </w:p>
        </w:tc>
        <w:tc>
          <w:tcPr>
            <w:tcW w:w="794" w:type="dxa"/>
            <w:tcBorders>
              <w:top w:val="single" w:sz="6" w:space="0" w:color="auto"/>
              <w:left w:val="single" w:sz="6" w:space="0" w:color="auto"/>
              <w:bottom w:val="single" w:sz="6" w:space="0" w:color="auto"/>
              <w:right w:val="single" w:sz="6" w:space="0" w:color="auto"/>
            </w:tcBorders>
          </w:tcPr>
          <w:p w:rsidR="00C71B3A" w:rsidRDefault="00C71B3A"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en-US"/>
              </w:rPr>
            </w:pPr>
            <w:r>
              <w:rPr>
                <w:snapToGrid w:val="0"/>
                <w:color w:val="000000"/>
                <w:lang w:val="en-US"/>
              </w:rPr>
              <w:t>40.8</w:t>
            </w:r>
          </w:p>
        </w:tc>
      </w:tr>
      <w:tr w:rsidR="00C71B3A" w:rsidTr="002A3A65">
        <w:trPr>
          <w:cantSplit/>
          <w:trHeight w:val="262"/>
          <w:jc w:val="center"/>
        </w:trPr>
        <w:tc>
          <w:tcPr>
            <w:tcW w:w="9141" w:type="dxa"/>
            <w:gridSpan w:val="11"/>
            <w:tcBorders>
              <w:top w:val="single" w:sz="6" w:space="0" w:color="auto"/>
              <w:left w:val="nil"/>
              <w:bottom w:val="nil"/>
              <w:right w:val="nil"/>
            </w:tcBorders>
          </w:tcPr>
          <w:p w:rsidR="00C71B3A" w:rsidRDefault="00C71B3A" w:rsidP="002A3A65">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9" w:right="0"/>
              <w:rPr>
                <w:snapToGrid w:val="0"/>
                <w:color w:val="000000"/>
                <w:lang w:val="en-US"/>
              </w:rPr>
            </w:pPr>
            <w:r>
              <w:rPr>
                <w:vertAlign w:val="superscript"/>
                <w:lang w:val="en-US"/>
              </w:rPr>
              <w:t>(1)</w:t>
            </w:r>
            <w:r>
              <w:rPr>
                <w:lang w:val="en-US"/>
              </w:rPr>
              <w:tab/>
              <w:t>Fade margins for the case of 95 mm/h rain rate for vertical polarization were calculated under the assumption that the latitude is less than 30° (which impacts the calculation in accordance with Recommendation ITU-R P.530).</w:t>
            </w:r>
          </w:p>
        </w:tc>
      </w:tr>
    </w:tbl>
    <w:p w:rsidR="00C71B3A" w:rsidRDefault="00C71B3A" w:rsidP="00C71B3A">
      <w:pPr>
        <w:pStyle w:val="Tablefin"/>
        <w:rPr>
          <w:lang w:val="en-US"/>
        </w:rPr>
      </w:pPr>
    </w:p>
    <w:p w:rsidR="00C71B3A" w:rsidRDefault="00C71B3A" w:rsidP="00C71B3A">
      <w:pPr>
        <w:rPr>
          <w:lang w:val="en-US"/>
        </w:rPr>
      </w:pPr>
    </w:p>
    <w:p w:rsidR="00C71B3A" w:rsidRDefault="00C71B3A" w:rsidP="00C71B3A">
      <w:pPr>
        <w:pStyle w:val="Line"/>
        <w:rPr>
          <w:lang w:val="en-US"/>
        </w:rPr>
      </w:pPr>
    </w:p>
    <w:p w:rsidR="00C71B3A" w:rsidRDefault="00C71B3A" w:rsidP="00C71B3A">
      <w:pPr>
        <w:rPr>
          <w:lang w:val="en-US"/>
        </w:rPr>
      </w:pPr>
    </w:p>
    <w:p w:rsidR="00C71B3A" w:rsidRDefault="00C71B3A" w:rsidP="00C71B3A">
      <w:pPr>
        <w:rPr>
          <w:lang w:val="en-US"/>
        </w:rPr>
      </w:pPr>
    </w:p>
    <w:p w:rsidR="00C71B3A" w:rsidRDefault="00C71B3A" w:rsidP="00C71B3A">
      <w:pPr>
        <w:rPr>
          <w:lang w:val="en-US"/>
        </w:rPr>
      </w:pPr>
    </w:p>
    <w:p w:rsidR="00C71B3A" w:rsidRDefault="00C71B3A" w:rsidP="00C71B3A">
      <w:pPr>
        <w:rPr>
          <w:lang w:val="en-US"/>
        </w:rPr>
      </w:pPr>
    </w:p>
    <w:p w:rsidR="00C71B3A" w:rsidRDefault="00C71B3A" w:rsidP="00C71B3A">
      <w:pPr>
        <w:rPr>
          <w:lang w:val="en-US"/>
        </w:rPr>
      </w:pPr>
    </w:p>
    <w:p w:rsidR="00934ED7" w:rsidRDefault="00934ED7" w:rsidP="00A43D0D">
      <w:pPr>
        <w:rPr>
          <w:lang w:val="en-US"/>
        </w:rPr>
      </w:pPr>
    </w:p>
    <w:p w:rsidR="00A43D0D" w:rsidRDefault="00A43D0D" w:rsidP="00A43D0D">
      <w:pPr>
        <w:rPr>
          <w:lang w:val="en-US"/>
        </w:rPr>
      </w:pPr>
    </w:p>
    <w:sectPr w:rsidR="00A43D0D" w:rsidSect="00C71B3A">
      <w:pgSz w:w="11907" w:h="16834" w:code="9"/>
      <w:pgMar w:top="1418" w:right="1134" w:bottom="1134" w:left="1134" w:header="720" w:footer="482" w:gutter="0"/>
      <w:pgNumType w:start="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A43D0D" w:rsidRPr="00A43D0D" w:rsidRDefault="00A43D0D" w:rsidP="007A3DFD">
      <w:pPr>
        <w:pStyle w:val="FootnoteText"/>
        <w:rPr>
          <w:lang w:val="en-US"/>
        </w:rPr>
      </w:pPr>
      <w:r>
        <w:rPr>
          <w:rStyle w:val="FootnoteReference"/>
        </w:rPr>
        <w:t>*</w:t>
      </w:r>
      <w:r>
        <w:tab/>
      </w:r>
      <w:r w:rsidR="007A3DFD">
        <w:t xml:space="preserve">Radiocommunication </w:t>
      </w:r>
      <w:r>
        <w:t xml:space="preserve">Study Group 5 made editorial amendments to this Recommendation </w:t>
      </w:r>
      <w:r w:rsidR="007A3DFD">
        <w:t>in</w:t>
      </w:r>
      <w:r>
        <w:t xml:space="preserve"> December</w:t>
      </w:r>
      <w:r w:rsidR="007A3DFD">
        <w:t> </w:t>
      </w:r>
      <w:r>
        <w:t>2009 in accordance with Resolution ITU-R 1.</w:t>
      </w:r>
    </w:p>
  </w:footnote>
  <w:footnote w:id="2">
    <w:p w:rsidR="00C71B3A" w:rsidRDefault="00C71B3A" w:rsidP="00C71B3A">
      <w:pPr>
        <w:pStyle w:val="FootnoteText"/>
        <w:rPr>
          <w:lang w:val="en-US"/>
        </w:rPr>
      </w:pPr>
      <w:r>
        <w:rPr>
          <w:rStyle w:val="FootnoteReference"/>
          <w:lang w:val="en-US"/>
        </w:rPr>
        <w:t>1</w:t>
      </w:r>
      <w:r>
        <w:rPr>
          <w:lang w:val="en-US"/>
        </w:rPr>
        <w:t xml:space="preserve"> </w:t>
      </w:r>
      <w:r>
        <w:rPr>
          <w:lang w:val="en-US"/>
        </w:rPr>
        <w:tab/>
        <w:t xml:space="preserve">For an FS link using ATPC, the net fade margin </w:t>
      </w:r>
      <w:r>
        <w:rPr>
          <w:rFonts w:ascii="Symbol" w:hAnsi="Symbol"/>
          <w:lang w:val="en-US"/>
        </w:rPr>
        <w:t></w:t>
      </w:r>
      <w:r>
        <w:rPr>
          <w:lang w:val="en-US"/>
        </w:rPr>
        <w:t xml:space="preserve"> total fade margin – ATPC range.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A43D0D"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5D09EF">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7A3DFD">
      <w:rPr>
        <w:rStyle w:val="PageNumber"/>
        <w:b/>
        <w:bCs/>
        <w:noProof/>
      </w:rPr>
      <w:t>2</w:t>
    </w:r>
    <w:r>
      <w:rPr>
        <w:rStyle w:val="PageNumber"/>
        <w:b/>
        <w:bCs/>
      </w:rPr>
      <w:fldChar w:fldCharType="end"/>
    </w:r>
    <w:r w:rsidR="007D224F" w:rsidRPr="00FC42AF">
      <w:tab/>
    </w:r>
    <w:fldSimple w:instr=" DOCPROPERTY &quot;Header&quot; \* MERGEFORMAT ">
      <w:r w:rsidR="00C71B3A">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7A3DFD">
      <w:rPr>
        <w:b/>
        <w:bCs/>
        <w:noProof/>
      </w:rPr>
      <w:t>ITU-R  F.1606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C71B3A">
        <w:rPr>
          <w:b/>
          <w:bCs/>
        </w:rPr>
        <w:t xml:space="preserve">Rec. </w:t>
      </w:r>
    </w:fldSimple>
    <w:r>
      <w:rPr>
        <w:b/>
        <w:bCs/>
      </w:rPr>
      <w:t xml:space="preserve"> </w:t>
    </w:r>
    <w:r w:rsidR="005D09EF">
      <w:rPr>
        <w:b/>
        <w:bCs/>
      </w:rPr>
      <w:fldChar w:fldCharType="begin"/>
    </w:r>
    <w:r>
      <w:rPr>
        <w:b/>
        <w:bCs/>
      </w:rPr>
      <w:instrText>styleref href</w:instrText>
    </w:r>
    <w:r w:rsidR="005D09EF">
      <w:rPr>
        <w:b/>
        <w:bCs/>
      </w:rPr>
      <w:fldChar w:fldCharType="separate"/>
    </w:r>
    <w:r w:rsidR="007A3DFD">
      <w:rPr>
        <w:b/>
        <w:bCs/>
        <w:noProof/>
      </w:rPr>
      <w:t>ITU-R  F.1606</w:t>
    </w:r>
    <w:r w:rsidR="005D09EF">
      <w:rPr>
        <w:b/>
        <w:bCs/>
      </w:rPr>
      <w:fldChar w:fldCharType="end"/>
    </w:r>
    <w:r>
      <w:tab/>
    </w:r>
    <w:r w:rsidR="005D09EF">
      <w:rPr>
        <w:rStyle w:val="PageNumber"/>
        <w:b/>
        <w:bCs/>
      </w:rPr>
      <w:fldChar w:fldCharType="begin"/>
    </w:r>
    <w:r>
      <w:rPr>
        <w:rStyle w:val="PageNumber"/>
        <w:b/>
        <w:bCs/>
      </w:rPr>
      <w:instrText xml:space="preserve"> PAGE </w:instrText>
    </w:r>
    <w:r w:rsidR="005D09EF">
      <w:rPr>
        <w:rStyle w:val="PageNumber"/>
        <w:b/>
        <w:bCs/>
      </w:rPr>
      <w:fldChar w:fldCharType="separate"/>
    </w:r>
    <w:r w:rsidR="007A3DFD">
      <w:rPr>
        <w:rStyle w:val="PageNumber"/>
        <w:b/>
        <w:bCs/>
        <w:noProof/>
      </w:rPr>
      <w:t>1</w:t>
    </w:r>
    <w:r w:rsidR="005D09E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420DFD"/>
    <w:rsid w:val="00437A76"/>
    <w:rsid w:val="00470E28"/>
    <w:rsid w:val="004934C5"/>
    <w:rsid w:val="004F65E4"/>
    <w:rsid w:val="00556548"/>
    <w:rsid w:val="00586EF8"/>
    <w:rsid w:val="005B49AB"/>
    <w:rsid w:val="005B50E7"/>
    <w:rsid w:val="005D09EF"/>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3DFD"/>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43D0D"/>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63ABE"/>
    <w:rsid w:val="00C71B3A"/>
    <w:rsid w:val="00C73560"/>
    <w:rsid w:val="00CB0F14"/>
    <w:rsid w:val="00CD659B"/>
    <w:rsid w:val="00CE0A43"/>
    <w:rsid w:val="00CE7A98"/>
    <w:rsid w:val="00D83556"/>
    <w:rsid w:val="00DF4176"/>
    <w:rsid w:val="00E17240"/>
    <w:rsid w:val="00E406BD"/>
    <w:rsid w:val="00E74595"/>
    <w:rsid w:val="00EB7C57"/>
    <w:rsid w:val="00ED0001"/>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23703"/>
    <w:pPr>
      <w:keepNext/>
      <w:keepLines/>
      <w:spacing w:before="480"/>
      <w:ind w:left="794" w:hanging="794"/>
      <w:outlineLvl w:val="0"/>
    </w:pPr>
    <w:rPr>
      <w:b/>
    </w:rPr>
  </w:style>
  <w:style w:type="paragraph" w:styleId="Heading2">
    <w:name w:val="heading 2"/>
    <w:basedOn w:val="Heading1"/>
    <w:next w:val="Normal"/>
    <w:link w:val="Heading2Char"/>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link w:val="FootnoteTextChar"/>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C71B3A"/>
    <w:rPr>
      <w:b/>
      <w:sz w:val="24"/>
      <w:lang w:val="fr-FR" w:eastAsia="en-US"/>
    </w:rPr>
  </w:style>
  <w:style w:type="character" w:customStyle="1" w:styleId="Heading2Char">
    <w:name w:val="Heading 2 Char"/>
    <w:basedOn w:val="DefaultParagraphFont"/>
    <w:link w:val="Heading2"/>
    <w:rsid w:val="00C71B3A"/>
    <w:rPr>
      <w:b/>
      <w:sz w:val="24"/>
      <w:lang w:val="fr-FR" w:eastAsia="en-US"/>
    </w:rPr>
  </w:style>
  <w:style w:type="character" w:customStyle="1" w:styleId="FootnoteTextChar">
    <w:name w:val="Footnote Text Char"/>
    <w:basedOn w:val="DefaultParagraphFont"/>
    <w:link w:val="FootnoteText"/>
    <w:semiHidden/>
    <w:rsid w:val="00C71B3A"/>
    <w:rPr>
      <w:sz w:val="22"/>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4C8B0-B0E2-470C-9067-D093A66A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9</Pages>
  <Words>2849</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16907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5</cp:revision>
  <cp:lastPrinted>2009-06-26T14:19:00Z</cp:lastPrinted>
  <dcterms:created xsi:type="dcterms:W3CDTF">2010-03-09T13:34:00Z</dcterms:created>
  <dcterms:modified xsi:type="dcterms:W3CDTF">2010-05-03T13:48:00Z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