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B33D5">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3B33D5">
              <w:rPr>
                <w:rFonts w:ascii="Tahoma" w:hAnsi="Tahoma" w:cs="Tahoma"/>
                <w:b/>
                <w:bCs/>
                <w:iCs/>
                <w:color w:val="243285"/>
                <w:sz w:val="36"/>
                <w:szCs w:val="36"/>
              </w:rPr>
              <w:t>1570-2</w:t>
            </w:r>
          </w:p>
          <w:p w:rsidR="00FE79FE" w:rsidRPr="004F65E4" w:rsidRDefault="00FE79FE" w:rsidP="00746B3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746B3C">
              <w:rPr>
                <w:rFonts w:ascii="Tahoma" w:hAnsi="Tahoma" w:cs="Tahoma"/>
                <w:b/>
                <w:bCs/>
                <w:iCs/>
                <w:color w:val="243285"/>
                <w:szCs w:val="24"/>
              </w:rPr>
              <w:t>04</w:t>
            </w:r>
            <w:r w:rsidRPr="004F65E4">
              <w:rPr>
                <w:rFonts w:ascii="Tahoma" w:hAnsi="Tahoma" w:cs="Tahoma"/>
                <w:b/>
                <w:bCs/>
                <w:iCs/>
                <w:color w:val="243285"/>
                <w:szCs w:val="24"/>
              </w:rPr>
              <w:t>/</w:t>
            </w:r>
            <w:r w:rsidR="003B33D5">
              <w:rPr>
                <w:rFonts w:ascii="Tahoma" w:hAnsi="Tahoma" w:cs="Tahoma"/>
                <w:b/>
                <w:bCs/>
                <w:iCs/>
                <w:color w:val="243285"/>
                <w:szCs w:val="24"/>
              </w:rPr>
              <w:t>2010</w:t>
            </w:r>
            <w:r w:rsidRPr="004F65E4">
              <w:rPr>
                <w:rFonts w:ascii="Tahoma" w:hAnsi="Tahoma" w:cs="Tahoma"/>
                <w:b/>
                <w:bCs/>
                <w:iCs/>
                <w:color w:val="243285"/>
                <w:szCs w:val="24"/>
              </w:rPr>
              <w:t>)</w:t>
            </w:r>
          </w:p>
        </w:tc>
      </w:tr>
      <w:tr w:rsidR="00FE79FE" w:rsidRPr="000D20AB">
        <w:tc>
          <w:tcPr>
            <w:tcW w:w="10089" w:type="dxa"/>
          </w:tcPr>
          <w:p w:rsidR="00013002" w:rsidRPr="000D20AB"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3B33D5" w:rsidP="000D20AB">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Impact of uplink transmission in the fixed service usi</w:t>
            </w:r>
            <w:r w:rsidR="000D20AB">
              <w:rPr>
                <w:rFonts w:ascii="Tahoma" w:hAnsi="Tahoma" w:cs="Tahoma"/>
                <w:b/>
                <w:bCs/>
                <w:iCs/>
                <w:color w:val="243285"/>
                <w:sz w:val="44"/>
                <w:szCs w:val="44"/>
                <w:lang w:val="en-US"/>
              </w:rPr>
              <w:t>ng</w:t>
            </w:r>
            <w:bookmarkStart w:id="0" w:name="_GoBack"/>
            <w:bookmarkEnd w:id="0"/>
            <w:r>
              <w:rPr>
                <w:rFonts w:ascii="Tahoma" w:hAnsi="Tahoma" w:cs="Tahoma"/>
                <w:b/>
                <w:bCs/>
                <w:iCs/>
                <w:color w:val="243285"/>
                <w:sz w:val="44"/>
                <w:szCs w:val="44"/>
                <w:lang w:val="en-US"/>
              </w:rPr>
              <w:t xml:space="preserve"> high altitude platform stations on the Earth exploration-satellite service (passive) in the 31.3-31.8 GHz band</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0D20AB" w:rsidRDefault="00677965" w:rsidP="00677965">
            <w:pPr>
              <w:spacing w:before="80" w:line="280" w:lineRule="exact"/>
              <w:ind w:right="640"/>
              <w:rPr>
                <w:rFonts w:ascii="Tahoma" w:hAnsi="Tahoma" w:cs="Tahoma"/>
                <w:b/>
                <w:bCs/>
                <w:iCs/>
                <w:color w:val="243285"/>
                <w:sz w:val="32"/>
                <w:szCs w:val="32"/>
                <w:lang w:val="en-US"/>
              </w:rPr>
            </w:pPr>
          </w:p>
          <w:p w:rsidR="00677965" w:rsidRPr="000D20AB" w:rsidRDefault="00677965" w:rsidP="00677965">
            <w:pPr>
              <w:spacing w:before="80" w:line="280" w:lineRule="exact"/>
              <w:ind w:right="640"/>
              <w:rPr>
                <w:rFonts w:ascii="Tahoma" w:hAnsi="Tahoma" w:cs="Tahoma"/>
                <w:b/>
                <w:bCs/>
                <w:iCs/>
                <w:color w:val="243285"/>
                <w:sz w:val="32"/>
                <w:szCs w:val="32"/>
                <w:lang w:val="en-US"/>
              </w:rPr>
            </w:pPr>
          </w:p>
          <w:p w:rsidR="00677965" w:rsidRPr="000D20AB" w:rsidRDefault="00677965" w:rsidP="00677965">
            <w:pPr>
              <w:spacing w:before="80" w:after="180" w:line="360" w:lineRule="exact"/>
              <w:ind w:right="720"/>
              <w:rPr>
                <w:rFonts w:ascii="Tahoma" w:hAnsi="Tahoma" w:cs="Tahoma"/>
                <w:b/>
                <w:bCs/>
                <w:iCs/>
                <w:color w:val="243285"/>
                <w:sz w:val="36"/>
                <w:szCs w:val="36"/>
                <w:lang w:val="en-US"/>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0D20AB">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D20AB"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D20AB"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D20AB">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0D20AB">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906589">
      <w:pPr>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B33D5" w:rsidRDefault="003B33D5" w:rsidP="003B33D5">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1570-2</w:t>
      </w:r>
      <w:r w:rsidR="001660E0" w:rsidRPr="000D20AB">
        <w:rPr>
          <w:rStyle w:val="FootnoteReference"/>
          <w:lang w:val="en-US"/>
        </w:rPr>
        <w:footnoteReference w:customMarkFollows="1" w:id="1"/>
        <w:t>*</w:t>
      </w:r>
    </w:p>
    <w:p w:rsidR="00934ED7" w:rsidRDefault="003B33D5" w:rsidP="003B33D5">
      <w:pPr>
        <w:pStyle w:val="Rectitle"/>
        <w:rPr>
          <w:lang w:val="en-GB"/>
        </w:rPr>
      </w:pPr>
      <w:r w:rsidRPr="003B33D5">
        <w:rPr>
          <w:rFonts w:hint="eastAsia"/>
          <w:lang w:val="en-GB"/>
        </w:rPr>
        <w:t>Impact of uplink transmission in the fixed service using high altitude</w:t>
      </w:r>
      <w:r w:rsidRPr="003B33D5">
        <w:rPr>
          <w:lang w:val="en-GB"/>
        </w:rPr>
        <w:br/>
      </w:r>
      <w:r w:rsidRPr="003B33D5">
        <w:rPr>
          <w:rFonts w:hint="eastAsia"/>
          <w:lang w:val="en-GB"/>
        </w:rPr>
        <w:t xml:space="preserve">platform stations </w:t>
      </w:r>
      <w:r w:rsidRPr="003B33D5">
        <w:rPr>
          <w:lang w:val="en-GB"/>
        </w:rPr>
        <w:t>o</w:t>
      </w:r>
      <w:r w:rsidRPr="003B33D5">
        <w:rPr>
          <w:rFonts w:hint="eastAsia"/>
          <w:lang w:val="en-GB"/>
        </w:rPr>
        <w:t>n the Earth exploration-satellite service</w:t>
      </w:r>
      <w:r w:rsidRPr="003B33D5">
        <w:rPr>
          <w:lang w:val="en-GB"/>
        </w:rPr>
        <w:br/>
      </w:r>
      <w:r w:rsidRPr="003B33D5">
        <w:rPr>
          <w:rFonts w:hint="eastAsia"/>
          <w:lang w:val="en-GB"/>
        </w:rPr>
        <w:t>(passive) in the 31.3-31.8</w:t>
      </w:r>
      <w:r w:rsidRPr="003B33D5">
        <w:rPr>
          <w:lang w:val="en-GB"/>
        </w:rPr>
        <w:t xml:space="preserve"> </w:t>
      </w:r>
      <w:r w:rsidRPr="003B33D5">
        <w:rPr>
          <w:rFonts w:hint="eastAsia"/>
          <w:lang w:val="en-GB"/>
        </w:rPr>
        <w:t>GHz band</w:t>
      </w:r>
    </w:p>
    <w:p w:rsidR="00CC5822" w:rsidRDefault="00CC5822" w:rsidP="003B33D5">
      <w:pPr>
        <w:pStyle w:val="Recdate"/>
        <w:rPr>
          <w:lang w:val="en-US"/>
        </w:rPr>
      </w:pPr>
    </w:p>
    <w:p w:rsidR="00CC5822" w:rsidRDefault="00CC5822" w:rsidP="003B33D5">
      <w:pPr>
        <w:pStyle w:val="Recdate"/>
        <w:rPr>
          <w:lang w:val="en-US"/>
        </w:rPr>
      </w:pPr>
    </w:p>
    <w:p w:rsidR="003B33D5" w:rsidRPr="000C300C" w:rsidRDefault="003B33D5" w:rsidP="003B33D5">
      <w:pPr>
        <w:pStyle w:val="Recdate"/>
        <w:rPr>
          <w:lang w:val="en-US"/>
        </w:rPr>
      </w:pPr>
      <w:r w:rsidRPr="000C300C">
        <w:rPr>
          <w:lang w:val="en-US"/>
        </w:rPr>
        <w:t>(2002-2003</w:t>
      </w:r>
      <w:r w:rsidR="00CC5822">
        <w:rPr>
          <w:lang w:val="en-US"/>
        </w:rPr>
        <w:t>-2010</w:t>
      </w:r>
      <w:r w:rsidRPr="000C300C">
        <w:rPr>
          <w:lang w:val="en-US"/>
        </w:rPr>
        <w:t>)</w:t>
      </w:r>
    </w:p>
    <w:p w:rsidR="00CC5822" w:rsidRPr="000D20AB" w:rsidRDefault="00CC5822" w:rsidP="00CC5822">
      <w:pPr>
        <w:rPr>
          <w:lang w:val="en-US"/>
        </w:rPr>
      </w:pPr>
    </w:p>
    <w:p w:rsidR="003B33D5" w:rsidRPr="000D20AB" w:rsidRDefault="003B33D5" w:rsidP="00CC5822">
      <w:pPr>
        <w:pStyle w:val="HeadingSum"/>
        <w:rPr>
          <w:lang w:val="en-US"/>
        </w:rPr>
      </w:pPr>
      <w:r w:rsidRPr="000D20AB">
        <w:rPr>
          <w:lang w:val="en-US"/>
        </w:rPr>
        <w:t>Scope</w:t>
      </w:r>
    </w:p>
    <w:p w:rsidR="003B33D5" w:rsidRPr="000D20AB" w:rsidRDefault="003B33D5" w:rsidP="00EE0F93">
      <w:pPr>
        <w:pStyle w:val="Summary"/>
        <w:rPr>
          <w:lang w:val="en-US" w:eastAsia="ja-JP"/>
        </w:rPr>
      </w:pPr>
      <w:r w:rsidRPr="000D20AB">
        <w:rPr>
          <w:lang w:val="en-US"/>
        </w:rPr>
        <w:t xml:space="preserve">This Recommendation provides guidance on the </w:t>
      </w:r>
      <w:r w:rsidRPr="000D20AB">
        <w:rPr>
          <w:rFonts w:hint="eastAsia"/>
          <w:lang w:val="en-US" w:eastAsia="ja-JP"/>
        </w:rPr>
        <w:t>interference</w:t>
      </w:r>
      <w:r w:rsidRPr="000D20AB">
        <w:rPr>
          <w:rFonts w:hint="eastAsia"/>
          <w:lang w:val="en-US"/>
        </w:rPr>
        <w:t xml:space="preserve"> evaluation </w:t>
      </w:r>
      <w:r w:rsidRPr="000D20AB">
        <w:rPr>
          <w:rFonts w:hint="eastAsia"/>
          <w:lang w:val="en-US" w:eastAsia="ja-JP"/>
        </w:rPr>
        <w:t xml:space="preserve">method </w:t>
      </w:r>
      <w:r w:rsidRPr="000D20AB">
        <w:rPr>
          <w:rFonts w:hint="eastAsia"/>
          <w:lang w:val="en-US"/>
        </w:rPr>
        <w:t xml:space="preserve">of </w:t>
      </w:r>
      <w:r w:rsidR="00CC5822" w:rsidRPr="000D20AB">
        <w:rPr>
          <w:lang w:val="en-US"/>
        </w:rPr>
        <w:t>high altitude platform stations (</w:t>
      </w:r>
      <w:r w:rsidRPr="000D20AB">
        <w:rPr>
          <w:rFonts w:hint="eastAsia"/>
          <w:lang w:val="en-US"/>
        </w:rPr>
        <w:t>HAPS</w:t>
      </w:r>
      <w:r w:rsidR="00CC5822" w:rsidRPr="000D20AB">
        <w:rPr>
          <w:lang w:val="en-US"/>
        </w:rPr>
        <w:t>)</w:t>
      </w:r>
      <w:r w:rsidRPr="000D20AB">
        <w:rPr>
          <w:rFonts w:hint="eastAsia"/>
          <w:lang w:val="en-US"/>
        </w:rPr>
        <w:t xml:space="preserve"> uplink on the EESS (passive) in the</w:t>
      </w:r>
      <w:r w:rsidRPr="000D20AB">
        <w:rPr>
          <w:rFonts w:hint="eastAsia"/>
          <w:lang w:val="en-US" w:eastAsia="ja-JP"/>
        </w:rPr>
        <w:t xml:space="preserve"> 31.3-31.8 GHz</w:t>
      </w:r>
      <w:r w:rsidRPr="000D20AB">
        <w:rPr>
          <w:lang w:val="en-US" w:eastAsia="ja-JP"/>
        </w:rPr>
        <w:t xml:space="preserve"> </w:t>
      </w:r>
      <w:r w:rsidRPr="000D20AB">
        <w:rPr>
          <w:rFonts w:hint="eastAsia"/>
          <w:lang w:val="en-US" w:eastAsia="ja-JP"/>
        </w:rPr>
        <w:t>band</w:t>
      </w:r>
      <w:r w:rsidRPr="000D20AB">
        <w:rPr>
          <w:lang w:val="en-US" w:eastAsia="ja-JP"/>
        </w:rPr>
        <w:t xml:space="preserve">. </w:t>
      </w:r>
      <w:r w:rsidRPr="000D20AB">
        <w:rPr>
          <w:rFonts w:hint="eastAsia"/>
          <w:lang w:val="en-US" w:eastAsia="ja-JP"/>
        </w:rPr>
        <w:t>Annex 1</w:t>
      </w:r>
      <w:r w:rsidRPr="000D20AB">
        <w:rPr>
          <w:lang w:val="en-US" w:eastAsia="ja-JP"/>
        </w:rPr>
        <w:t xml:space="preserve"> provides </w:t>
      </w:r>
      <w:r w:rsidRPr="000D20AB">
        <w:rPr>
          <w:rFonts w:hint="eastAsia"/>
          <w:lang w:val="en-US" w:eastAsia="ja-JP"/>
        </w:rPr>
        <w:t xml:space="preserve">considerations on </w:t>
      </w:r>
      <w:r w:rsidRPr="000D20AB">
        <w:rPr>
          <w:lang w:val="en-US" w:eastAsia="ja-JP"/>
        </w:rPr>
        <w:t xml:space="preserve">a limit for </w:t>
      </w:r>
      <w:r w:rsidRPr="000D20AB">
        <w:rPr>
          <w:lang w:val="en-US"/>
        </w:rPr>
        <w:t>the</w:t>
      </w:r>
      <w:r w:rsidRPr="000D20AB">
        <w:rPr>
          <w:rFonts w:hint="eastAsia"/>
          <w:lang w:val="en-US" w:eastAsia="ja-JP"/>
        </w:rPr>
        <w:t xml:space="preserve"> </w:t>
      </w:r>
      <w:r w:rsidRPr="000D20AB">
        <w:rPr>
          <w:lang w:val="en-US" w:eastAsia="ja-JP"/>
        </w:rPr>
        <w:t xml:space="preserve">level of </w:t>
      </w:r>
      <w:r w:rsidRPr="000D20AB">
        <w:rPr>
          <w:rFonts w:hint="eastAsia"/>
          <w:lang w:val="en-US" w:eastAsia="ja-JP"/>
        </w:rPr>
        <w:t>unwanted emission</w:t>
      </w:r>
      <w:r w:rsidRPr="000D20AB">
        <w:rPr>
          <w:lang w:val="en-US" w:eastAsia="ja-JP"/>
        </w:rPr>
        <w:t>s</w:t>
      </w:r>
      <w:r w:rsidRPr="000D20AB">
        <w:rPr>
          <w:lang w:val="en-US"/>
        </w:rPr>
        <w:t xml:space="preserve"> of a </w:t>
      </w:r>
      <w:r w:rsidRPr="000D20AB">
        <w:rPr>
          <w:rFonts w:hint="eastAsia"/>
          <w:lang w:val="en-US" w:eastAsia="ja-JP"/>
        </w:rPr>
        <w:t xml:space="preserve">transmitter </w:t>
      </w:r>
      <w:r w:rsidRPr="000D20AB">
        <w:rPr>
          <w:lang w:val="en-US" w:eastAsia="ja-JP"/>
        </w:rPr>
        <w:t xml:space="preserve">at the input of a </w:t>
      </w:r>
      <w:r w:rsidRPr="000D20AB">
        <w:rPr>
          <w:lang w:val="en-US"/>
        </w:rPr>
        <w:t xml:space="preserve">HAPS </w:t>
      </w:r>
      <w:r w:rsidRPr="000D20AB">
        <w:rPr>
          <w:rFonts w:hint="eastAsia"/>
          <w:lang w:val="en-US" w:eastAsia="ja-JP"/>
        </w:rPr>
        <w:t xml:space="preserve">ground station </w:t>
      </w:r>
      <w:r w:rsidRPr="000D20AB">
        <w:rPr>
          <w:lang w:val="en-US"/>
        </w:rPr>
        <w:t>antenna</w:t>
      </w:r>
      <w:r w:rsidRPr="000D20AB">
        <w:rPr>
          <w:rFonts w:hint="eastAsia"/>
          <w:lang w:val="en-US" w:eastAsia="ja-JP"/>
        </w:rPr>
        <w:t xml:space="preserve"> using the typical parameters for the HAPS system in the band 31-31.3 GHz given in Recommendation ITU</w:t>
      </w:r>
      <w:r w:rsidR="00EE0F93" w:rsidRPr="000D20AB">
        <w:rPr>
          <w:lang w:val="en-US" w:eastAsia="ja-JP"/>
        </w:rPr>
        <w:noBreakHyphen/>
      </w:r>
      <w:r w:rsidRPr="000D20AB">
        <w:rPr>
          <w:rFonts w:hint="eastAsia"/>
          <w:lang w:val="en-US" w:eastAsia="ja-JP"/>
        </w:rPr>
        <w:t xml:space="preserve">R F.1569. </w:t>
      </w:r>
    </w:p>
    <w:p w:rsidR="003B33D5" w:rsidRDefault="003B33D5" w:rsidP="003B33D5">
      <w:pPr>
        <w:pStyle w:val="Normalaftertitle"/>
        <w:rPr>
          <w:lang w:val="en-US" w:eastAsia="ja-JP"/>
        </w:rPr>
      </w:pPr>
      <w:r>
        <w:rPr>
          <w:rFonts w:hint="eastAsia"/>
          <w:lang w:val="en-US"/>
        </w:rPr>
        <w:t>The ITU Radiocommunication Assembly,</w:t>
      </w:r>
    </w:p>
    <w:p w:rsidR="003B33D5" w:rsidRPr="00EB0B3D" w:rsidRDefault="003B33D5" w:rsidP="003B33D5">
      <w:pPr>
        <w:pStyle w:val="Call"/>
        <w:rPr>
          <w:lang w:val="en-US" w:eastAsia="ja-JP"/>
        </w:rPr>
      </w:pPr>
      <w:r w:rsidRPr="00EB0B3D">
        <w:rPr>
          <w:rFonts w:hint="eastAsia"/>
          <w:lang w:val="en-US"/>
        </w:rPr>
        <w:t>considering</w:t>
      </w:r>
    </w:p>
    <w:p w:rsidR="003B33D5" w:rsidRDefault="003B33D5" w:rsidP="003B33D5">
      <w:pPr>
        <w:rPr>
          <w:lang w:val="en-US"/>
        </w:rPr>
      </w:pPr>
      <w:r>
        <w:rPr>
          <w:lang w:val="en-US"/>
        </w:rPr>
        <w:t>a)</w:t>
      </w:r>
      <w:r>
        <w:rPr>
          <w:lang w:val="en-US"/>
        </w:rPr>
        <w:tab/>
      </w:r>
      <w:r>
        <w:rPr>
          <w:rFonts w:hint="eastAsia"/>
          <w:lang w:val="en-US"/>
        </w:rPr>
        <w:t>that new technology utilizing high altitude platform station</w:t>
      </w:r>
      <w:r>
        <w:rPr>
          <w:lang w:val="en-US"/>
        </w:rPr>
        <w:t>s</w:t>
      </w:r>
      <w:r>
        <w:rPr>
          <w:rFonts w:hint="eastAsia"/>
          <w:lang w:val="en-US"/>
        </w:rPr>
        <w:t xml:space="preserve"> (HAPS) in </w:t>
      </w:r>
      <w:r>
        <w:rPr>
          <w:lang w:val="en-US"/>
        </w:rPr>
        <w:t>the</w:t>
      </w:r>
      <w:r>
        <w:rPr>
          <w:rFonts w:hint="eastAsia"/>
          <w:lang w:val="en-US"/>
        </w:rPr>
        <w:t xml:space="preserve"> stratosphere is being developed;</w:t>
      </w:r>
    </w:p>
    <w:p w:rsidR="003B33D5" w:rsidRDefault="003B33D5" w:rsidP="003B33D5">
      <w:pPr>
        <w:rPr>
          <w:lang w:val="en-US" w:eastAsia="ja-JP"/>
        </w:rPr>
      </w:pPr>
      <w:r>
        <w:rPr>
          <w:rFonts w:hint="eastAsia"/>
          <w:lang w:val="en-US" w:eastAsia="ja-JP"/>
        </w:rPr>
        <w:t>b</w:t>
      </w:r>
      <w:r>
        <w:rPr>
          <w:lang w:val="en-US"/>
        </w:rPr>
        <w:t>)</w:t>
      </w:r>
      <w:r>
        <w:rPr>
          <w:lang w:val="en-US"/>
        </w:rPr>
        <w:tab/>
      </w:r>
      <w:r>
        <w:rPr>
          <w:rFonts w:hint="eastAsia"/>
          <w:lang w:val="en-US"/>
        </w:rPr>
        <w:t xml:space="preserve">that the 31.3-31.8 GHz band is allocated to the radio astronomy, </w:t>
      </w:r>
      <w:r>
        <w:rPr>
          <w:lang w:val="en-US"/>
        </w:rPr>
        <w:t>Earth exploration-satellite service (</w:t>
      </w:r>
      <w:r>
        <w:rPr>
          <w:rFonts w:hint="eastAsia"/>
          <w:lang w:val="en-US"/>
        </w:rPr>
        <w:t>EESS</w:t>
      </w:r>
      <w:r>
        <w:rPr>
          <w:lang w:val="en-US"/>
        </w:rPr>
        <w:t>)</w:t>
      </w:r>
      <w:r>
        <w:rPr>
          <w:rFonts w:hint="eastAsia"/>
          <w:lang w:val="en-US"/>
        </w:rPr>
        <w:t xml:space="preserve"> (passive) and space research service (passive), and it is necessary to </w:t>
      </w:r>
      <w:r>
        <w:rPr>
          <w:lang w:val="en-US"/>
        </w:rPr>
        <w:t>appropriately</w:t>
      </w:r>
      <w:r>
        <w:rPr>
          <w:rFonts w:hint="eastAsia"/>
          <w:lang w:val="en-US"/>
        </w:rPr>
        <w:t xml:space="preserve"> protect these services from unwanted emissions from HAPS ground stations operated in the 31</w:t>
      </w:r>
      <w:r>
        <w:rPr>
          <w:lang w:val="en-US"/>
        </w:rPr>
        <w:noBreakHyphen/>
      </w:r>
      <w:r>
        <w:rPr>
          <w:rFonts w:hint="eastAsia"/>
          <w:lang w:val="en-US"/>
        </w:rPr>
        <w:t>31.3</w:t>
      </w:r>
      <w:r>
        <w:rPr>
          <w:lang w:val="en-US"/>
        </w:rPr>
        <w:t> </w:t>
      </w:r>
      <w:r>
        <w:rPr>
          <w:rFonts w:hint="eastAsia"/>
          <w:lang w:val="en-US"/>
        </w:rPr>
        <w:t>GHz</w:t>
      </w:r>
      <w:r>
        <w:rPr>
          <w:lang w:val="en-US"/>
        </w:rPr>
        <w:t xml:space="preserve"> </w:t>
      </w:r>
      <w:r>
        <w:rPr>
          <w:rFonts w:hint="eastAsia"/>
          <w:lang w:val="en-US"/>
        </w:rPr>
        <w:t>band, taking into account</w:t>
      </w:r>
      <w:r>
        <w:rPr>
          <w:lang w:val="en-US"/>
        </w:rPr>
        <w:t xml:space="preserve"> the</w:t>
      </w:r>
      <w:r>
        <w:rPr>
          <w:rFonts w:hint="eastAsia"/>
          <w:lang w:val="en-US"/>
        </w:rPr>
        <w:t xml:space="preserve"> interference criteria given in </w:t>
      </w:r>
      <w:r>
        <w:rPr>
          <w:rFonts w:hint="eastAsia"/>
          <w:lang w:val="en-US" w:eastAsia="ja-JP"/>
        </w:rPr>
        <w:t xml:space="preserve">the relevant ITU-R </w:t>
      </w:r>
      <w:r>
        <w:rPr>
          <w:rFonts w:hint="eastAsia"/>
          <w:lang w:val="en-US"/>
        </w:rPr>
        <w:t>Recommendations,</w:t>
      </w:r>
    </w:p>
    <w:p w:rsidR="003B33D5" w:rsidRPr="008015C1" w:rsidRDefault="003B33D5" w:rsidP="003B33D5">
      <w:pPr>
        <w:pStyle w:val="Call"/>
        <w:rPr>
          <w:lang w:val="en-US" w:eastAsia="ja-JP"/>
        </w:rPr>
      </w:pPr>
      <w:r w:rsidRPr="008015C1">
        <w:rPr>
          <w:rFonts w:hint="eastAsia"/>
          <w:lang w:val="en-US" w:eastAsia="ja-JP"/>
        </w:rPr>
        <w:t>recognizing</w:t>
      </w:r>
    </w:p>
    <w:p w:rsidR="003B33D5" w:rsidRDefault="003B33D5" w:rsidP="003B33D5">
      <w:pPr>
        <w:rPr>
          <w:lang w:val="en-US" w:eastAsia="ja-JP"/>
        </w:rPr>
      </w:pPr>
      <w:r>
        <w:rPr>
          <w:rFonts w:hint="eastAsia"/>
          <w:lang w:val="en-US" w:eastAsia="ja-JP"/>
        </w:rPr>
        <w:t>a)</w:t>
      </w:r>
      <w:r>
        <w:rPr>
          <w:lang w:val="en-US" w:eastAsia="ja-JP"/>
        </w:rPr>
        <w:tab/>
      </w:r>
      <w:r>
        <w:rPr>
          <w:rFonts w:hint="eastAsia"/>
          <w:lang w:val="en-US" w:eastAsia="ja-JP"/>
        </w:rPr>
        <w:t xml:space="preserve">that </w:t>
      </w:r>
      <w:r>
        <w:rPr>
          <w:rFonts w:hint="eastAsia"/>
          <w:lang w:val="en-US"/>
        </w:rPr>
        <w:t>the 27.</w:t>
      </w:r>
      <w:r>
        <w:rPr>
          <w:rFonts w:hint="eastAsia"/>
          <w:lang w:val="en-US" w:eastAsia="ja-JP"/>
        </w:rPr>
        <w:t>9</w:t>
      </w:r>
      <w:r>
        <w:rPr>
          <w:lang w:val="en-US"/>
        </w:rPr>
        <w:noBreakHyphen/>
      </w:r>
      <w:r>
        <w:rPr>
          <w:rFonts w:hint="eastAsia"/>
          <w:lang w:val="en-US"/>
        </w:rPr>
        <w:t>28.</w:t>
      </w:r>
      <w:r>
        <w:rPr>
          <w:rFonts w:hint="eastAsia"/>
          <w:lang w:val="en-US" w:eastAsia="ja-JP"/>
        </w:rPr>
        <w:t>2</w:t>
      </w:r>
      <w:r>
        <w:rPr>
          <w:lang w:val="en-US"/>
        </w:rPr>
        <w:t> </w:t>
      </w:r>
      <w:r>
        <w:rPr>
          <w:rFonts w:hint="eastAsia"/>
          <w:lang w:val="en-US"/>
        </w:rPr>
        <w:t xml:space="preserve">GHz and 31-31.3 GHz bands </w:t>
      </w:r>
      <w:r>
        <w:rPr>
          <w:rFonts w:hint="eastAsia"/>
          <w:color w:val="000000"/>
          <w:lang w:val="en-US" w:eastAsia="ja-JP"/>
        </w:rPr>
        <w:t>may also be used for HAPS</w:t>
      </w:r>
      <w:r w:rsidRPr="00824A2B">
        <w:rPr>
          <w:rFonts w:hint="eastAsia"/>
          <w:lang w:val="en-US" w:eastAsia="ja-JP"/>
        </w:rPr>
        <w:t xml:space="preserve"> </w:t>
      </w:r>
      <w:r>
        <w:rPr>
          <w:rFonts w:hint="eastAsia"/>
          <w:lang w:val="en-US" w:eastAsia="ja-JP"/>
        </w:rPr>
        <w:t>in the fixed service</w:t>
      </w:r>
      <w:r>
        <w:rPr>
          <w:rFonts w:hint="eastAsia"/>
          <w:color w:val="000000"/>
          <w:lang w:val="en-US" w:eastAsia="ja-JP"/>
        </w:rPr>
        <w:t xml:space="preserve"> </w:t>
      </w:r>
      <w:r>
        <w:rPr>
          <w:lang w:val="en-US"/>
        </w:rPr>
        <w:t>in certain countries on a non-interference, non-protection basis</w:t>
      </w:r>
      <w:r>
        <w:rPr>
          <w:rFonts w:hint="eastAsia"/>
          <w:lang w:val="en-US" w:eastAsia="ja-JP"/>
        </w:rPr>
        <w:t>,</w:t>
      </w:r>
    </w:p>
    <w:p w:rsidR="003B33D5" w:rsidRDefault="003B33D5" w:rsidP="003B33D5">
      <w:pPr>
        <w:pStyle w:val="Call"/>
        <w:rPr>
          <w:lang w:val="en-US"/>
        </w:rPr>
      </w:pPr>
      <w:r>
        <w:rPr>
          <w:rFonts w:hint="eastAsia"/>
          <w:lang w:val="en-US"/>
        </w:rPr>
        <w:t>recommends</w:t>
      </w:r>
    </w:p>
    <w:p w:rsidR="003B33D5" w:rsidRDefault="003B33D5" w:rsidP="003B33D5">
      <w:pPr>
        <w:rPr>
          <w:lang w:val="en-US" w:eastAsia="ja-JP"/>
        </w:rPr>
      </w:pPr>
      <w:r>
        <w:rPr>
          <w:b/>
          <w:bCs/>
          <w:lang w:val="en-US"/>
        </w:rPr>
        <w:t>1</w:t>
      </w:r>
      <w:r>
        <w:rPr>
          <w:lang w:val="en-US"/>
        </w:rPr>
        <w:tab/>
      </w:r>
      <w:r>
        <w:rPr>
          <w:rFonts w:hint="eastAsia"/>
          <w:lang w:val="en-US"/>
        </w:rPr>
        <w:t xml:space="preserve">that </w:t>
      </w:r>
      <w:r>
        <w:rPr>
          <w:lang w:val="en-US"/>
        </w:rPr>
        <w:t>§</w:t>
      </w:r>
      <w:r>
        <w:rPr>
          <w:rFonts w:hint="eastAsia"/>
          <w:lang w:val="en-US"/>
        </w:rPr>
        <w:t xml:space="preserve"> 1 in Annex</w:t>
      </w:r>
      <w:r>
        <w:rPr>
          <w:rFonts w:hint="eastAsia"/>
          <w:lang w:val="en-US" w:eastAsia="ja-JP"/>
        </w:rPr>
        <w:t xml:space="preserve"> 1</w:t>
      </w:r>
      <w:r>
        <w:rPr>
          <w:rFonts w:hint="eastAsia"/>
          <w:lang w:val="en-US"/>
        </w:rPr>
        <w:t xml:space="preserve"> </w:t>
      </w:r>
      <w:r>
        <w:rPr>
          <w:rFonts w:hint="eastAsia"/>
          <w:lang w:val="en-US" w:eastAsia="ja-JP"/>
        </w:rPr>
        <w:t xml:space="preserve">should </w:t>
      </w:r>
      <w:r>
        <w:rPr>
          <w:rFonts w:hint="eastAsia"/>
          <w:lang w:val="en-US"/>
        </w:rPr>
        <w:t xml:space="preserve">be </w:t>
      </w:r>
      <w:r>
        <w:rPr>
          <w:rFonts w:hint="eastAsia"/>
          <w:lang w:val="en-US" w:eastAsia="ja-JP"/>
        </w:rPr>
        <w:t xml:space="preserve">used </w:t>
      </w:r>
      <w:r>
        <w:rPr>
          <w:rFonts w:hint="eastAsia"/>
          <w:lang w:val="en-US"/>
        </w:rPr>
        <w:t xml:space="preserve">for the parameters regarding EESS (passive) for the </w:t>
      </w:r>
      <w:r>
        <w:rPr>
          <w:rFonts w:hint="eastAsia"/>
          <w:lang w:val="en-US" w:eastAsia="ja-JP"/>
        </w:rPr>
        <w:t>interference</w:t>
      </w:r>
      <w:r>
        <w:rPr>
          <w:rFonts w:hint="eastAsia"/>
          <w:lang w:val="en-US"/>
        </w:rPr>
        <w:t xml:space="preserve"> evaluation of HAPS uplink (ground-to-airship direction) on the EESS (passive) in the</w:t>
      </w:r>
      <w:r>
        <w:rPr>
          <w:rFonts w:hint="eastAsia"/>
          <w:lang w:val="en-US" w:eastAsia="ja-JP"/>
        </w:rPr>
        <w:t xml:space="preserve"> 31.3-31.8 GHz</w:t>
      </w:r>
      <w:r>
        <w:rPr>
          <w:lang w:val="en-US" w:eastAsia="ja-JP"/>
        </w:rPr>
        <w:t xml:space="preserve"> </w:t>
      </w:r>
      <w:r>
        <w:rPr>
          <w:rFonts w:hint="eastAsia"/>
          <w:lang w:val="en-US" w:eastAsia="ja-JP"/>
        </w:rPr>
        <w:t>band</w:t>
      </w:r>
      <w:r>
        <w:rPr>
          <w:rFonts w:hint="eastAsia"/>
          <w:lang w:val="en-US"/>
        </w:rPr>
        <w:t>;</w:t>
      </w:r>
    </w:p>
    <w:p w:rsidR="003B33D5" w:rsidRDefault="003B33D5" w:rsidP="003B33D5">
      <w:pPr>
        <w:rPr>
          <w:lang w:val="en-US" w:eastAsia="ja-JP"/>
        </w:rPr>
      </w:pPr>
      <w:r w:rsidRPr="00671859">
        <w:rPr>
          <w:rFonts w:hint="eastAsia"/>
          <w:b/>
          <w:lang w:val="en-US" w:eastAsia="ja-JP"/>
        </w:rPr>
        <w:t>2</w:t>
      </w:r>
      <w:r>
        <w:rPr>
          <w:b/>
          <w:lang w:val="en-US" w:eastAsia="ja-JP"/>
        </w:rPr>
        <w:tab/>
      </w:r>
      <w:r>
        <w:rPr>
          <w:rFonts w:hint="eastAsia"/>
          <w:lang w:val="en-US" w:eastAsia="ja-JP"/>
        </w:rPr>
        <w:t xml:space="preserve">that </w:t>
      </w:r>
      <w:r>
        <w:rPr>
          <w:lang w:val="en-US"/>
        </w:rPr>
        <w:t>Recommendation ITU-R F.1569</w:t>
      </w:r>
      <w:r>
        <w:rPr>
          <w:rFonts w:hint="eastAsia"/>
          <w:lang w:val="en-US"/>
        </w:rPr>
        <w:t xml:space="preserve"> should be </w:t>
      </w:r>
      <w:r>
        <w:rPr>
          <w:rFonts w:hint="eastAsia"/>
          <w:lang w:val="en-US" w:eastAsia="ja-JP"/>
        </w:rPr>
        <w:t xml:space="preserve">used </w:t>
      </w:r>
      <w:r>
        <w:rPr>
          <w:rFonts w:hint="eastAsia"/>
          <w:lang w:val="en-US"/>
        </w:rPr>
        <w:t>for the typical parameters regarding HAPS system for the impact evaluation of HAPS system on the EESS</w:t>
      </w:r>
      <w:r>
        <w:rPr>
          <w:rFonts w:hint="eastAsia"/>
          <w:lang w:val="en-US" w:eastAsia="ja-JP"/>
        </w:rPr>
        <w:t xml:space="preserve"> (passive)</w:t>
      </w:r>
      <w:r>
        <w:rPr>
          <w:rFonts w:hint="eastAsia"/>
          <w:lang w:val="en-US"/>
        </w:rPr>
        <w:t xml:space="preserve"> in the </w:t>
      </w:r>
      <w:r>
        <w:rPr>
          <w:rFonts w:hint="eastAsia"/>
          <w:lang w:val="en-US" w:eastAsia="ja-JP"/>
        </w:rPr>
        <w:t>31 GHz band</w:t>
      </w:r>
      <w:r>
        <w:rPr>
          <w:lang w:val="en-US" w:eastAsia="ja-JP"/>
        </w:rPr>
        <w:t>;</w:t>
      </w:r>
    </w:p>
    <w:p w:rsidR="003B33D5" w:rsidRDefault="003B33D5" w:rsidP="003B33D5">
      <w:pPr>
        <w:rPr>
          <w:lang w:val="en-US" w:eastAsia="ja-JP"/>
        </w:rPr>
      </w:pPr>
      <w:r>
        <w:rPr>
          <w:rFonts w:hint="eastAsia"/>
          <w:b/>
          <w:bCs/>
          <w:lang w:val="en-US" w:eastAsia="ja-JP"/>
        </w:rPr>
        <w:t>3</w:t>
      </w:r>
      <w:r>
        <w:rPr>
          <w:lang w:val="en-US"/>
        </w:rPr>
        <w:tab/>
      </w:r>
      <w:r>
        <w:rPr>
          <w:rFonts w:hint="eastAsia"/>
          <w:lang w:val="en-US"/>
        </w:rPr>
        <w:t xml:space="preserve">that </w:t>
      </w:r>
      <w:r>
        <w:rPr>
          <w:lang w:val="en-US"/>
        </w:rPr>
        <w:t>§</w:t>
      </w:r>
      <w:r>
        <w:rPr>
          <w:rFonts w:hint="eastAsia"/>
          <w:lang w:val="en-US"/>
        </w:rPr>
        <w:t xml:space="preserve"> </w:t>
      </w:r>
      <w:r>
        <w:rPr>
          <w:rFonts w:hint="eastAsia"/>
          <w:lang w:val="en-US" w:eastAsia="ja-JP"/>
        </w:rPr>
        <w:t>2</w:t>
      </w:r>
      <w:r>
        <w:rPr>
          <w:rFonts w:hint="eastAsia"/>
          <w:lang w:val="en-US"/>
        </w:rPr>
        <w:t xml:space="preserve"> in Annex</w:t>
      </w:r>
      <w:r>
        <w:rPr>
          <w:rFonts w:hint="eastAsia"/>
          <w:lang w:val="en-US" w:eastAsia="ja-JP"/>
        </w:rPr>
        <w:t xml:space="preserve"> 1</w:t>
      </w:r>
      <w:r>
        <w:rPr>
          <w:rFonts w:hint="eastAsia"/>
          <w:lang w:val="en-US"/>
        </w:rPr>
        <w:t xml:space="preserve"> </w:t>
      </w:r>
      <w:r>
        <w:rPr>
          <w:rFonts w:hint="eastAsia"/>
          <w:lang w:val="en-US" w:eastAsia="ja-JP"/>
        </w:rPr>
        <w:t xml:space="preserve">should </w:t>
      </w:r>
      <w:r>
        <w:rPr>
          <w:rFonts w:hint="eastAsia"/>
          <w:lang w:val="en-US"/>
        </w:rPr>
        <w:t xml:space="preserve">be </w:t>
      </w:r>
      <w:r>
        <w:rPr>
          <w:rFonts w:hint="eastAsia"/>
          <w:lang w:val="en-US" w:eastAsia="ja-JP"/>
        </w:rPr>
        <w:t xml:space="preserve">used </w:t>
      </w:r>
      <w:r>
        <w:rPr>
          <w:rFonts w:hint="eastAsia"/>
          <w:lang w:val="en-US"/>
        </w:rPr>
        <w:t xml:space="preserve">for </w:t>
      </w:r>
      <w:r>
        <w:rPr>
          <w:lang w:val="en-US"/>
        </w:rPr>
        <w:t>the</w:t>
      </w:r>
      <w:r>
        <w:rPr>
          <w:rFonts w:hint="eastAsia"/>
          <w:lang w:val="en-US"/>
        </w:rPr>
        <w:t xml:space="preserve"> </w:t>
      </w:r>
      <w:r>
        <w:rPr>
          <w:rFonts w:hint="eastAsia"/>
          <w:lang w:val="en-US" w:eastAsia="ja-JP"/>
        </w:rPr>
        <w:t>interference</w:t>
      </w:r>
      <w:r>
        <w:rPr>
          <w:rFonts w:hint="eastAsia"/>
          <w:lang w:val="en-US"/>
        </w:rPr>
        <w:t xml:space="preserve"> evaluation </w:t>
      </w:r>
      <w:r>
        <w:rPr>
          <w:rFonts w:hint="eastAsia"/>
          <w:lang w:val="en-US" w:eastAsia="ja-JP"/>
        </w:rPr>
        <w:t xml:space="preserve">method </w:t>
      </w:r>
      <w:r>
        <w:rPr>
          <w:rFonts w:hint="eastAsia"/>
          <w:lang w:val="en-US"/>
        </w:rPr>
        <w:t>of HAPS uplink on the EESS (passive) in the</w:t>
      </w:r>
      <w:r>
        <w:rPr>
          <w:rFonts w:hint="eastAsia"/>
          <w:lang w:val="en-US" w:eastAsia="ja-JP"/>
        </w:rPr>
        <w:t xml:space="preserve"> 31.3-31.8 GHz</w:t>
      </w:r>
      <w:r>
        <w:rPr>
          <w:lang w:val="en-US" w:eastAsia="ja-JP"/>
        </w:rPr>
        <w:t xml:space="preserve"> </w:t>
      </w:r>
      <w:r>
        <w:rPr>
          <w:rFonts w:hint="eastAsia"/>
          <w:lang w:val="en-US" w:eastAsia="ja-JP"/>
        </w:rPr>
        <w:t>band</w:t>
      </w:r>
      <w:r>
        <w:rPr>
          <w:lang w:val="en-US" w:eastAsia="ja-JP"/>
        </w:rPr>
        <w:t>.</w:t>
      </w:r>
    </w:p>
    <w:p w:rsidR="003B33D5" w:rsidRDefault="003B33D5" w:rsidP="003B33D5">
      <w:pPr>
        <w:rPr>
          <w:lang w:val="en-US"/>
        </w:rPr>
      </w:pPr>
    </w:p>
    <w:p w:rsidR="003B33D5" w:rsidRPr="00EB0B3D" w:rsidRDefault="003B33D5" w:rsidP="003B33D5">
      <w:pPr>
        <w:pStyle w:val="AnnexNoTitle"/>
        <w:rPr>
          <w:lang w:val="en-US"/>
        </w:rPr>
      </w:pPr>
      <w:r w:rsidRPr="00EB0B3D">
        <w:rPr>
          <w:rFonts w:hint="eastAsia"/>
          <w:lang w:val="en-US"/>
        </w:rPr>
        <w:lastRenderedPageBreak/>
        <w:t>Annex</w:t>
      </w:r>
      <w:r>
        <w:rPr>
          <w:rFonts w:hint="eastAsia"/>
          <w:lang w:val="en-US" w:eastAsia="ja-JP"/>
        </w:rPr>
        <w:t xml:space="preserve"> 1</w:t>
      </w:r>
      <w:r>
        <w:rPr>
          <w:lang w:val="en-US" w:eastAsia="ja-JP"/>
        </w:rPr>
        <w:br/>
      </w:r>
      <w:r>
        <w:rPr>
          <w:lang w:val="en-US" w:eastAsia="ja-JP"/>
        </w:rPr>
        <w:br/>
      </w:r>
      <w:r w:rsidRPr="00EB0B3D">
        <w:rPr>
          <w:rFonts w:hint="eastAsia"/>
          <w:lang w:val="en-US"/>
        </w:rPr>
        <w:t xml:space="preserve">Impact of uplink transmission in the </w:t>
      </w:r>
      <w:r w:rsidRPr="00EB0B3D">
        <w:rPr>
          <w:lang w:val="en-US"/>
        </w:rPr>
        <w:t>FS</w:t>
      </w:r>
      <w:r>
        <w:rPr>
          <w:rFonts w:hint="eastAsia"/>
          <w:lang w:val="en-US"/>
        </w:rPr>
        <w:t xml:space="preserve"> using HAPS</w:t>
      </w:r>
      <w:r>
        <w:rPr>
          <w:lang w:val="en-US"/>
        </w:rPr>
        <w:br/>
        <w:t>on</w:t>
      </w:r>
      <w:r w:rsidRPr="00EB0B3D">
        <w:rPr>
          <w:rFonts w:hint="eastAsia"/>
          <w:lang w:val="en-US" w:eastAsia="ja-JP"/>
        </w:rPr>
        <w:t xml:space="preserve"> </w:t>
      </w:r>
      <w:r w:rsidRPr="00EB0B3D">
        <w:rPr>
          <w:rFonts w:hint="eastAsia"/>
          <w:lang w:val="en-US"/>
        </w:rPr>
        <w:t xml:space="preserve">the </w:t>
      </w:r>
      <w:r w:rsidRPr="00EB0B3D">
        <w:rPr>
          <w:lang w:val="en-US"/>
        </w:rPr>
        <w:t xml:space="preserve">EESS </w:t>
      </w:r>
      <w:r>
        <w:rPr>
          <w:rFonts w:hint="eastAsia"/>
          <w:lang w:val="en-US"/>
        </w:rPr>
        <w:t>(passive)</w:t>
      </w:r>
      <w:r>
        <w:rPr>
          <w:lang w:val="en-US"/>
        </w:rPr>
        <w:t xml:space="preserve"> </w:t>
      </w:r>
      <w:r w:rsidRPr="00EB0B3D">
        <w:rPr>
          <w:rFonts w:hint="eastAsia"/>
          <w:lang w:val="en-US"/>
        </w:rPr>
        <w:t>in the 31</w:t>
      </w:r>
      <w:r w:rsidRPr="00EB0B3D">
        <w:rPr>
          <w:rFonts w:hint="eastAsia"/>
          <w:lang w:val="en-US" w:eastAsia="ja-JP"/>
        </w:rPr>
        <w:t>.3-31.8</w:t>
      </w:r>
      <w:r w:rsidRPr="00EB0B3D">
        <w:rPr>
          <w:lang w:val="en-US"/>
        </w:rPr>
        <w:t xml:space="preserve"> </w:t>
      </w:r>
      <w:r w:rsidRPr="00EB0B3D">
        <w:rPr>
          <w:rFonts w:hint="eastAsia"/>
          <w:lang w:val="en-US"/>
        </w:rPr>
        <w:t>GHz band</w:t>
      </w:r>
    </w:p>
    <w:p w:rsidR="00CC5822" w:rsidRDefault="00CC5822" w:rsidP="00CC5822">
      <w:pPr>
        <w:rPr>
          <w:lang w:val="en-US"/>
        </w:rPr>
      </w:pPr>
    </w:p>
    <w:p w:rsidR="009215A4" w:rsidRDefault="009215A4" w:rsidP="009215A4">
      <w:pPr>
        <w:pStyle w:val="Heading1"/>
        <w:rPr>
          <w:lang w:val="en-US"/>
        </w:rPr>
      </w:pPr>
      <w:r>
        <w:rPr>
          <w:rFonts w:hint="eastAsia"/>
          <w:lang w:val="en-US"/>
        </w:rPr>
        <w:t>1</w:t>
      </w:r>
      <w:r>
        <w:rPr>
          <w:rFonts w:hint="eastAsia"/>
          <w:lang w:val="en-US"/>
        </w:rPr>
        <w:tab/>
        <w:t>Parameters of the EESS (passive) and HAPS system</w:t>
      </w:r>
    </w:p>
    <w:p w:rsidR="009215A4" w:rsidRDefault="009215A4" w:rsidP="009215A4">
      <w:pPr>
        <w:rPr>
          <w:lang w:val="en-US"/>
        </w:rPr>
      </w:pPr>
      <w:r>
        <w:rPr>
          <w:rFonts w:hint="eastAsia"/>
          <w:lang w:val="en-US"/>
        </w:rPr>
        <w:t>Table 1 shows the parameters used for the interference evaluation in this study. The parameters regarding the EESS (passive) correspond to a pessimistic case</w:t>
      </w:r>
      <w:r>
        <w:rPr>
          <w:rFonts w:hint="eastAsia"/>
          <w:kern w:val="16"/>
          <w:lang w:val="en-US"/>
        </w:rPr>
        <w:t xml:space="preserve">, which might be operated as the worst case in the future. </w:t>
      </w:r>
      <w:r>
        <w:rPr>
          <w:rFonts w:hint="eastAsia"/>
          <w:lang w:val="en-US"/>
        </w:rPr>
        <w:t xml:space="preserve">The parameters regarding HAPS system are based on </w:t>
      </w:r>
      <w:r>
        <w:rPr>
          <w:lang w:val="en-US"/>
        </w:rPr>
        <w:t>Recommendation ITU</w:t>
      </w:r>
      <w:r>
        <w:rPr>
          <w:lang w:val="en-US"/>
        </w:rPr>
        <w:noBreakHyphen/>
        <w:t>R F.1569</w:t>
      </w:r>
      <w:r>
        <w:rPr>
          <w:rFonts w:hint="eastAsia"/>
          <w:lang w:val="en-US"/>
        </w:rPr>
        <w:t xml:space="preserve"> in which the typical HAPS operation is assumed taking into account the sharing with other services.</w:t>
      </w:r>
    </w:p>
    <w:p w:rsidR="00CC5822" w:rsidRDefault="00CC5822" w:rsidP="009215A4">
      <w:pPr>
        <w:rPr>
          <w:lang w:val="en-US"/>
        </w:rPr>
      </w:pPr>
    </w:p>
    <w:p w:rsidR="00CC5822" w:rsidRDefault="00CC5822" w:rsidP="009215A4">
      <w:pPr>
        <w:rPr>
          <w:lang w:val="en-US"/>
        </w:rPr>
      </w:pPr>
    </w:p>
    <w:p w:rsidR="009215A4" w:rsidRPr="000D20AB" w:rsidRDefault="009215A4" w:rsidP="009215A4">
      <w:pPr>
        <w:pStyle w:val="TableNo"/>
        <w:rPr>
          <w:lang w:val="en-US" w:eastAsia="ja-JP"/>
        </w:rPr>
      </w:pPr>
      <w:r w:rsidRPr="000D20AB">
        <w:rPr>
          <w:rFonts w:hint="eastAsia"/>
          <w:lang w:val="en-US"/>
        </w:rPr>
        <w:t>TABLE</w:t>
      </w:r>
      <w:r w:rsidRPr="000D20AB">
        <w:rPr>
          <w:lang w:val="en-US"/>
        </w:rPr>
        <w:t xml:space="preserve"> </w:t>
      </w:r>
      <w:r w:rsidRPr="000D20AB">
        <w:rPr>
          <w:rFonts w:hint="eastAsia"/>
          <w:lang w:val="en-US"/>
        </w:rPr>
        <w:t xml:space="preserve"> 1</w:t>
      </w:r>
    </w:p>
    <w:p w:rsidR="009215A4" w:rsidRPr="000D20AB" w:rsidRDefault="009215A4" w:rsidP="009215A4">
      <w:pPr>
        <w:pStyle w:val="Tabletitle"/>
        <w:rPr>
          <w:lang w:val="en-US"/>
        </w:rPr>
      </w:pPr>
      <w:r w:rsidRPr="000D20AB">
        <w:rPr>
          <w:rFonts w:hint="eastAsia"/>
          <w:lang w:val="en-US"/>
        </w:rPr>
        <w:t>Parameters of EESS (passive) and HAPS system used in this study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119"/>
      </w:tblGrid>
      <w:tr w:rsidR="009215A4" w:rsidTr="00CC5822">
        <w:trPr>
          <w:cantSplit/>
          <w:jc w:val="center"/>
        </w:trPr>
        <w:tc>
          <w:tcPr>
            <w:tcW w:w="8789" w:type="dxa"/>
            <w:gridSpan w:val="2"/>
          </w:tcPr>
          <w:p w:rsidR="009215A4" w:rsidRDefault="009215A4" w:rsidP="00CC5822">
            <w:pPr>
              <w:pStyle w:val="Tablehead"/>
              <w:rPr>
                <w:lang w:val="en-US"/>
              </w:rPr>
            </w:pPr>
            <w:r>
              <w:rPr>
                <w:rFonts w:hint="eastAsia"/>
                <w:lang w:val="en-US"/>
              </w:rPr>
              <w:t>EESS (passive)</w:t>
            </w:r>
          </w:p>
        </w:tc>
      </w:tr>
      <w:tr w:rsidR="009215A4" w:rsidTr="00CC5822">
        <w:trPr>
          <w:jc w:val="center"/>
        </w:trPr>
        <w:tc>
          <w:tcPr>
            <w:tcW w:w="5670" w:type="dxa"/>
          </w:tcPr>
          <w:p w:rsidR="009215A4" w:rsidRDefault="009215A4" w:rsidP="00CC5822">
            <w:pPr>
              <w:pStyle w:val="Tabletext"/>
              <w:jc w:val="left"/>
              <w:rPr>
                <w:lang w:val="en-US"/>
              </w:rPr>
            </w:pPr>
            <w:r>
              <w:rPr>
                <w:lang w:val="en-US"/>
              </w:rPr>
              <w:t xml:space="preserve">Earth exploration satellite </w:t>
            </w:r>
            <w:r>
              <w:rPr>
                <w:rFonts w:hint="eastAsia"/>
                <w:lang w:val="en-US"/>
              </w:rPr>
              <w:t>EES altitude</w:t>
            </w:r>
          </w:p>
        </w:tc>
        <w:tc>
          <w:tcPr>
            <w:tcW w:w="3119" w:type="dxa"/>
            <w:vAlign w:val="center"/>
          </w:tcPr>
          <w:p w:rsidR="009215A4" w:rsidRDefault="009215A4" w:rsidP="00CC5822">
            <w:pPr>
              <w:pStyle w:val="Tabletext"/>
              <w:jc w:val="center"/>
            </w:pPr>
            <w:r>
              <w:t>300 km</w:t>
            </w:r>
          </w:p>
        </w:tc>
      </w:tr>
      <w:tr w:rsidR="009215A4" w:rsidTr="00CC5822">
        <w:trPr>
          <w:jc w:val="center"/>
        </w:trPr>
        <w:tc>
          <w:tcPr>
            <w:tcW w:w="5670" w:type="dxa"/>
          </w:tcPr>
          <w:p w:rsidR="009215A4" w:rsidRDefault="009215A4" w:rsidP="00CC5822">
            <w:pPr>
              <w:pStyle w:val="Tabletext"/>
              <w:jc w:val="left"/>
              <w:rPr>
                <w:lang w:val="en-US"/>
              </w:rPr>
            </w:pPr>
            <w:r>
              <w:rPr>
                <w:rFonts w:hint="eastAsia"/>
                <w:lang w:val="en-US"/>
              </w:rPr>
              <w:t>Sensor antenna gain</w:t>
            </w:r>
          </w:p>
        </w:tc>
        <w:tc>
          <w:tcPr>
            <w:tcW w:w="3119" w:type="dxa"/>
            <w:vAlign w:val="center"/>
          </w:tcPr>
          <w:p w:rsidR="009215A4" w:rsidRDefault="009215A4" w:rsidP="00CC5822">
            <w:pPr>
              <w:pStyle w:val="Tabletext"/>
              <w:jc w:val="center"/>
            </w:pPr>
            <w:r>
              <w:t>50 dBi</w:t>
            </w:r>
          </w:p>
        </w:tc>
      </w:tr>
      <w:tr w:rsidR="009215A4" w:rsidTr="00CC5822">
        <w:trPr>
          <w:jc w:val="center"/>
        </w:trPr>
        <w:tc>
          <w:tcPr>
            <w:tcW w:w="5670" w:type="dxa"/>
          </w:tcPr>
          <w:p w:rsidR="009215A4" w:rsidRDefault="009215A4" w:rsidP="00CC5822">
            <w:pPr>
              <w:pStyle w:val="Tabletext"/>
              <w:jc w:val="left"/>
              <w:rPr>
                <w:lang w:val="en-US"/>
              </w:rPr>
            </w:pPr>
            <w:r>
              <w:rPr>
                <w:rFonts w:hint="eastAsia"/>
                <w:lang w:val="en-US"/>
              </w:rPr>
              <w:t>Sensor antenna pattern</w:t>
            </w:r>
          </w:p>
        </w:tc>
        <w:tc>
          <w:tcPr>
            <w:tcW w:w="3119" w:type="dxa"/>
            <w:vAlign w:val="center"/>
          </w:tcPr>
          <w:p w:rsidR="009215A4" w:rsidRDefault="009215A4" w:rsidP="00CC5822">
            <w:pPr>
              <w:pStyle w:val="Tabletext"/>
              <w:jc w:val="center"/>
            </w:pPr>
            <w:r>
              <w:rPr>
                <w:rFonts w:hint="eastAsia"/>
              </w:rPr>
              <w:t>Rec</w:t>
            </w:r>
            <w:r>
              <w:t>ommendation</w:t>
            </w:r>
            <w:r>
              <w:rPr>
                <w:rFonts w:hint="eastAsia"/>
              </w:rPr>
              <w:t xml:space="preserve"> ITU-R S.672</w:t>
            </w:r>
          </w:p>
        </w:tc>
      </w:tr>
      <w:tr w:rsidR="009215A4" w:rsidTr="00CC5822">
        <w:trPr>
          <w:jc w:val="center"/>
        </w:trPr>
        <w:tc>
          <w:tcPr>
            <w:tcW w:w="5670" w:type="dxa"/>
          </w:tcPr>
          <w:p w:rsidR="009215A4" w:rsidRDefault="009215A4" w:rsidP="00746B3C">
            <w:pPr>
              <w:pStyle w:val="Tabletext"/>
              <w:jc w:val="left"/>
            </w:pPr>
            <w:r>
              <w:rPr>
                <w:rFonts w:hint="eastAsia"/>
                <w:lang w:val="en-US"/>
              </w:rPr>
              <w:t>Sensor protection requirement</w:t>
            </w:r>
            <w:r>
              <w:rPr>
                <w:lang w:val="en-US"/>
              </w:rPr>
              <w:t xml:space="preserve"> (from Recommendation </w:t>
            </w:r>
            <w:r>
              <w:t>ITU</w:t>
            </w:r>
            <w:r>
              <w:noBreakHyphen/>
              <w:t xml:space="preserve">R </w:t>
            </w:r>
            <w:r w:rsidR="00E9731C">
              <w:t>RS</w:t>
            </w:r>
            <w:r>
              <w:t>.1029)</w:t>
            </w:r>
          </w:p>
        </w:tc>
        <w:tc>
          <w:tcPr>
            <w:tcW w:w="3119" w:type="dxa"/>
            <w:vAlign w:val="center"/>
          </w:tcPr>
          <w:p w:rsidR="009215A4" w:rsidRDefault="009215A4" w:rsidP="00CC5822">
            <w:pPr>
              <w:pStyle w:val="Tabletext"/>
              <w:jc w:val="center"/>
              <w:rPr>
                <w:lang w:val="en-GB"/>
              </w:rPr>
            </w:pPr>
            <w:r>
              <w:sym w:font="Symbol" w:char="F02D"/>
            </w:r>
            <w:r>
              <w:rPr>
                <w:lang w:val="en-GB"/>
              </w:rPr>
              <w:t>183 dB(W/MHz)</w:t>
            </w:r>
          </w:p>
        </w:tc>
      </w:tr>
      <w:tr w:rsidR="009215A4" w:rsidTr="00CC5822">
        <w:trPr>
          <w:jc w:val="center"/>
        </w:trPr>
        <w:tc>
          <w:tcPr>
            <w:tcW w:w="5670" w:type="dxa"/>
          </w:tcPr>
          <w:p w:rsidR="009215A4" w:rsidRDefault="009215A4" w:rsidP="00CC5822">
            <w:pPr>
              <w:pStyle w:val="Tabletext"/>
              <w:jc w:val="left"/>
              <w:rPr>
                <w:lang w:val="en-US"/>
              </w:rPr>
            </w:pPr>
            <w:r>
              <w:rPr>
                <w:rFonts w:hint="eastAsia"/>
                <w:lang w:val="en-US"/>
              </w:rPr>
              <w:t>Sensor antenna tilt angle</w:t>
            </w:r>
          </w:p>
        </w:tc>
        <w:tc>
          <w:tcPr>
            <w:tcW w:w="3119" w:type="dxa"/>
            <w:vAlign w:val="center"/>
          </w:tcPr>
          <w:p w:rsidR="009215A4" w:rsidRDefault="009215A4" w:rsidP="00CC5822">
            <w:pPr>
              <w:pStyle w:val="Tabletext"/>
              <w:jc w:val="center"/>
            </w:pPr>
            <w:r>
              <w:t>0°</w:t>
            </w:r>
          </w:p>
        </w:tc>
      </w:tr>
      <w:tr w:rsidR="009215A4" w:rsidTr="00CC5822">
        <w:trPr>
          <w:cantSplit/>
          <w:jc w:val="center"/>
        </w:trPr>
        <w:tc>
          <w:tcPr>
            <w:tcW w:w="8789" w:type="dxa"/>
            <w:gridSpan w:val="2"/>
          </w:tcPr>
          <w:p w:rsidR="009215A4" w:rsidRDefault="009215A4" w:rsidP="00CC5822">
            <w:pPr>
              <w:pStyle w:val="Tablehead"/>
              <w:rPr>
                <w:lang w:val="en-US"/>
              </w:rPr>
            </w:pPr>
            <w:r>
              <w:rPr>
                <w:rFonts w:hint="eastAsia"/>
                <w:lang w:val="en-US"/>
              </w:rPr>
              <w:t>HAPS system</w:t>
            </w:r>
          </w:p>
        </w:tc>
      </w:tr>
      <w:tr w:rsidR="009215A4" w:rsidTr="00CC5822">
        <w:trPr>
          <w:jc w:val="center"/>
        </w:trPr>
        <w:tc>
          <w:tcPr>
            <w:tcW w:w="5670" w:type="dxa"/>
          </w:tcPr>
          <w:p w:rsidR="009215A4" w:rsidRDefault="009215A4" w:rsidP="00CC5822">
            <w:pPr>
              <w:pStyle w:val="Tabletext"/>
              <w:jc w:val="left"/>
              <w:rPr>
                <w:lang w:val="en-US"/>
              </w:rPr>
            </w:pPr>
            <w:r>
              <w:rPr>
                <w:rFonts w:hint="eastAsia"/>
                <w:lang w:val="en-US"/>
              </w:rPr>
              <w:t>HAPS airship altitude</w:t>
            </w:r>
          </w:p>
        </w:tc>
        <w:tc>
          <w:tcPr>
            <w:tcW w:w="3119" w:type="dxa"/>
            <w:vAlign w:val="center"/>
          </w:tcPr>
          <w:p w:rsidR="009215A4" w:rsidRDefault="009215A4" w:rsidP="00CC5822">
            <w:pPr>
              <w:pStyle w:val="Tabletext"/>
              <w:jc w:val="center"/>
            </w:pPr>
            <w:r>
              <w:t>20 km</w:t>
            </w:r>
            <w:r>
              <w:rPr>
                <w:vertAlign w:val="superscript"/>
              </w:rPr>
              <w:t>(1)</w:t>
            </w:r>
          </w:p>
        </w:tc>
      </w:tr>
      <w:tr w:rsidR="009215A4" w:rsidTr="00CC5822">
        <w:trPr>
          <w:jc w:val="center"/>
        </w:trPr>
        <w:tc>
          <w:tcPr>
            <w:tcW w:w="5670" w:type="dxa"/>
          </w:tcPr>
          <w:p w:rsidR="009215A4" w:rsidRDefault="009215A4" w:rsidP="00CC5822">
            <w:pPr>
              <w:pStyle w:val="Tabletext"/>
              <w:jc w:val="left"/>
              <w:rPr>
                <w:lang w:val="en-US"/>
              </w:rPr>
            </w:pPr>
            <w:r>
              <w:rPr>
                <w:rFonts w:hint="eastAsia"/>
                <w:lang w:val="en-US"/>
              </w:rPr>
              <w:t>HAPS ground station antenna gain</w:t>
            </w:r>
          </w:p>
        </w:tc>
        <w:tc>
          <w:tcPr>
            <w:tcW w:w="3119" w:type="dxa"/>
            <w:vAlign w:val="center"/>
          </w:tcPr>
          <w:p w:rsidR="009215A4" w:rsidRDefault="009215A4" w:rsidP="00CC5822">
            <w:pPr>
              <w:pStyle w:val="Tabletext"/>
              <w:jc w:val="center"/>
            </w:pPr>
            <w:r>
              <w:t>35 dBi</w:t>
            </w:r>
          </w:p>
        </w:tc>
      </w:tr>
      <w:tr w:rsidR="009215A4" w:rsidTr="00CC5822">
        <w:trPr>
          <w:jc w:val="center"/>
        </w:trPr>
        <w:tc>
          <w:tcPr>
            <w:tcW w:w="5670" w:type="dxa"/>
          </w:tcPr>
          <w:p w:rsidR="009215A4" w:rsidRDefault="009215A4" w:rsidP="00CC5822">
            <w:pPr>
              <w:pStyle w:val="Tabletext"/>
              <w:jc w:val="left"/>
              <w:rPr>
                <w:lang w:val="en-US"/>
              </w:rPr>
            </w:pPr>
            <w:r>
              <w:rPr>
                <w:rFonts w:hint="eastAsia"/>
                <w:lang w:val="en-US"/>
              </w:rPr>
              <w:t>HAPS system availability</w:t>
            </w:r>
          </w:p>
        </w:tc>
        <w:tc>
          <w:tcPr>
            <w:tcW w:w="3119" w:type="dxa"/>
            <w:vAlign w:val="center"/>
          </w:tcPr>
          <w:p w:rsidR="009215A4" w:rsidRDefault="009215A4" w:rsidP="00CC5822">
            <w:pPr>
              <w:pStyle w:val="Tabletext"/>
              <w:jc w:val="center"/>
            </w:pPr>
            <w:r>
              <w:t>99.4%</w:t>
            </w:r>
            <w:r>
              <w:rPr>
                <w:vertAlign w:val="superscript"/>
              </w:rPr>
              <w:t>(2)</w:t>
            </w:r>
          </w:p>
        </w:tc>
      </w:tr>
      <w:tr w:rsidR="009215A4" w:rsidTr="00CC5822">
        <w:trPr>
          <w:jc w:val="center"/>
        </w:trPr>
        <w:tc>
          <w:tcPr>
            <w:tcW w:w="5670" w:type="dxa"/>
          </w:tcPr>
          <w:p w:rsidR="009215A4" w:rsidRDefault="009215A4" w:rsidP="00CC5822">
            <w:pPr>
              <w:pStyle w:val="Tabletext"/>
              <w:jc w:val="left"/>
              <w:rPr>
                <w:lang w:val="en-US"/>
              </w:rPr>
            </w:pPr>
            <w:r>
              <w:rPr>
                <w:rFonts w:hint="eastAsia"/>
                <w:lang w:val="en-US"/>
              </w:rPr>
              <w:t>Minimum HAPS ground station elevation angle</w:t>
            </w:r>
          </w:p>
        </w:tc>
        <w:tc>
          <w:tcPr>
            <w:tcW w:w="3119" w:type="dxa"/>
            <w:vAlign w:val="center"/>
          </w:tcPr>
          <w:p w:rsidR="009215A4" w:rsidRDefault="009215A4" w:rsidP="00CC5822">
            <w:pPr>
              <w:pStyle w:val="Tabletext"/>
              <w:jc w:val="center"/>
            </w:pPr>
            <w:r>
              <w:t>20°</w:t>
            </w:r>
            <w:r>
              <w:rPr>
                <w:vertAlign w:val="superscript"/>
              </w:rPr>
              <w:t>(3)</w:t>
            </w:r>
          </w:p>
        </w:tc>
      </w:tr>
      <w:tr w:rsidR="009215A4" w:rsidTr="00CC5822">
        <w:trPr>
          <w:jc w:val="center"/>
        </w:trPr>
        <w:tc>
          <w:tcPr>
            <w:tcW w:w="5670" w:type="dxa"/>
          </w:tcPr>
          <w:p w:rsidR="009215A4" w:rsidRDefault="009215A4" w:rsidP="00CC5822">
            <w:pPr>
              <w:pStyle w:val="Tabletext"/>
              <w:jc w:val="left"/>
              <w:rPr>
                <w:lang w:val="en-US"/>
              </w:rPr>
            </w:pPr>
            <w:r>
              <w:rPr>
                <w:rFonts w:hint="eastAsia"/>
                <w:lang w:val="en-US"/>
              </w:rPr>
              <w:t>Number of simultaneously transmitting HAPS earth stations</w:t>
            </w:r>
          </w:p>
        </w:tc>
        <w:tc>
          <w:tcPr>
            <w:tcW w:w="3119" w:type="dxa"/>
            <w:vAlign w:val="center"/>
          </w:tcPr>
          <w:p w:rsidR="009215A4" w:rsidRDefault="009215A4" w:rsidP="00CC5822">
            <w:pPr>
              <w:pStyle w:val="Tabletext"/>
              <w:jc w:val="center"/>
            </w:pPr>
            <w:r>
              <w:t>1</w:t>
            </w:r>
            <w:r>
              <w:rPr>
                <w:rFonts w:ascii="Tms Rmn" w:hAnsi="Tms Rmn"/>
                <w:sz w:val="12"/>
              </w:rPr>
              <w:t> </w:t>
            </w:r>
            <w:r>
              <w:t>468</w:t>
            </w:r>
            <w:r>
              <w:rPr>
                <w:vertAlign w:val="superscript"/>
              </w:rPr>
              <w:t>(4)</w:t>
            </w:r>
          </w:p>
        </w:tc>
      </w:tr>
      <w:tr w:rsidR="009215A4" w:rsidTr="00CC5822">
        <w:trPr>
          <w:jc w:val="center"/>
        </w:trPr>
        <w:tc>
          <w:tcPr>
            <w:tcW w:w="5670" w:type="dxa"/>
          </w:tcPr>
          <w:p w:rsidR="009215A4" w:rsidRDefault="009215A4" w:rsidP="00CC5822">
            <w:pPr>
              <w:pStyle w:val="Tabletext"/>
              <w:jc w:val="left"/>
              <w:rPr>
                <w:lang w:val="en-US"/>
              </w:rPr>
            </w:pPr>
            <w:r>
              <w:rPr>
                <w:rFonts w:hint="eastAsia"/>
                <w:lang w:val="en-US"/>
              </w:rPr>
              <w:t>Estimated number of HAPS</w:t>
            </w:r>
          </w:p>
        </w:tc>
        <w:tc>
          <w:tcPr>
            <w:tcW w:w="3119" w:type="dxa"/>
            <w:vAlign w:val="center"/>
          </w:tcPr>
          <w:p w:rsidR="009215A4" w:rsidRDefault="009215A4" w:rsidP="00CC5822">
            <w:pPr>
              <w:pStyle w:val="Tabletext"/>
              <w:jc w:val="center"/>
            </w:pPr>
            <w:r>
              <w:t>1</w:t>
            </w:r>
            <w:r>
              <w:rPr>
                <w:vertAlign w:val="superscript"/>
              </w:rPr>
              <w:t>(5)</w:t>
            </w:r>
          </w:p>
        </w:tc>
      </w:tr>
      <w:tr w:rsidR="009215A4" w:rsidTr="00CC5822">
        <w:trPr>
          <w:jc w:val="center"/>
        </w:trPr>
        <w:tc>
          <w:tcPr>
            <w:tcW w:w="5670" w:type="dxa"/>
            <w:tcBorders>
              <w:bottom w:val="single" w:sz="4" w:space="0" w:color="auto"/>
            </w:tcBorders>
          </w:tcPr>
          <w:p w:rsidR="009215A4" w:rsidRDefault="009215A4" w:rsidP="00CC5822">
            <w:pPr>
              <w:pStyle w:val="Tabletext"/>
              <w:jc w:val="left"/>
              <w:rPr>
                <w:lang w:val="en-US"/>
              </w:rPr>
            </w:pPr>
            <w:r>
              <w:rPr>
                <w:rFonts w:hint="eastAsia"/>
                <w:lang w:val="en-US"/>
              </w:rPr>
              <w:t>HAPS ground station antenna pattern</w:t>
            </w:r>
          </w:p>
        </w:tc>
        <w:tc>
          <w:tcPr>
            <w:tcW w:w="3119" w:type="dxa"/>
            <w:tcBorders>
              <w:bottom w:val="single" w:sz="4" w:space="0" w:color="auto"/>
            </w:tcBorders>
            <w:vAlign w:val="center"/>
          </w:tcPr>
          <w:p w:rsidR="009215A4" w:rsidRDefault="009215A4" w:rsidP="00CC5822">
            <w:pPr>
              <w:pStyle w:val="Tabletext"/>
              <w:jc w:val="center"/>
            </w:pPr>
            <w:r>
              <w:t>Recommendation ITU</w:t>
            </w:r>
            <w:r>
              <w:noBreakHyphen/>
              <w:t>R F.1245</w:t>
            </w:r>
          </w:p>
        </w:tc>
      </w:tr>
      <w:tr w:rsidR="009215A4" w:rsidTr="00CC5822">
        <w:trPr>
          <w:jc w:val="center"/>
        </w:trPr>
        <w:tc>
          <w:tcPr>
            <w:tcW w:w="5670" w:type="dxa"/>
          </w:tcPr>
          <w:p w:rsidR="009215A4" w:rsidRDefault="009215A4" w:rsidP="00CC5822">
            <w:pPr>
              <w:pStyle w:val="Tabletext"/>
              <w:jc w:val="left"/>
              <w:rPr>
                <w:lang w:val="en-US"/>
              </w:rPr>
            </w:pPr>
            <w:r>
              <w:rPr>
                <w:rFonts w:hint="eastAsia"/>
                <w:lang w:val="en-US"/>
              </w:rPr>
              <w:t>Rain rate for system availability</w:t>
            </w:r>
          </w:p>
        </w:tc>
        <w:tc>
          <w:tcPr>
            <w:tcW w:w="3119" w:type="dxa"/>
            <w:vAlign w:val="center"/>
          </w:tcPr>
          <w:p w:rsidR="009215A4" w:rsidRDefault="009215A4" w:rsidP="00CC5822">
            <w:pPr>
              <w:pStyle w:val="Tabletext"/>
              <w:jc w:val="center"/>
              <w:rPr>
                <w:lang w:val="en-US"/>
              </w:rPr>
            </w:pPr>
            <w:r>
              <w:rPr>
                <w:lang w:val="en-US"/>
              </w:rPr>
              <w:t>M</w:t>
            </w:r>
            <w:r>
              <w:rPr>
                <w:rFonts w:hint="eastAsia"/>
                <w:lang w:val="en-US"/>
              </w:rPr>
              <w:t>oderate</w:t>
            </w:r>
            <w:r>
              <w:rPr>
                <w:vertAlign w:val="superscript"/>
                <w:lang w:val="en-US"/>
              </w:rPr>
              <w:t>(6)</w:t>
            </w:r>
          </w:p>
        </w:tc>
      </w:tr>
      <w:tr w:rsidR="009215A4" w:rsidTr="00CC5822">
        <w:trPr>
          <w:jc w:val="center"/>
        </w:trPr>
        <w:tc>
          <w:tcPr>
            <w:tcW w:w="5670" w:type="dxa"/>
          </w:tcPr>
          <w:p w:rsidR="009215A4" w:rsidRDefault="009215A4" w:rsidP="00CC5822">
            <w:pPr>
              <w:pStyle w:val="Tabletext"/>
              <w:jc w:val="left"/>
              <w:rPr>
                <w:lang w:val="en-US"/>
              </w:rPr>
            </w:pPr>
            <w:r>
              <w:rPr>
                <w:rFonts w:hint="eastAsia"/>
                <w:lang w:val="en-US"/>
              </w:rPr>
              <w:t>Required</w:t>
            </w:r>
            <w:r>
              <w:rPr>
                <w:lang w:val="en-US"/>
              </w:rPr>
              <w:t xml:space="preserve"> </w:t>
            </w:r>
            <w:r>
              <w:rPr>
                <w:i/>
                <w:iCs/>
                <w:lang w:val="en-US"/>
              </w:rPr>
              <w:t>E</w:t>
            </w:r>
            <w:r>
              <w:rPr>
                <w:i/>
                <w:iCs/>
                <w:vertAlign w:val="subscript"/>
                <w:lang w:val="en-US"/>
              </w:rPr>
              <w:t>b</w:t>
            </w:r>
            <w:r>
              <w:rPr>
                <w:rFonts w:ascii="Tms Rmn" w:hAnsi="Tms Rmn"/>
                <w:i/>
                <w:iCs/>
                <w:sz w:val="12"/>
                <w:vertAlign w:val="subscript"/>
                <w:lang w:val="en-US"/>
              </w:rPr>
              <w:t> </w:t>
            </w:r>
            <w:r>
              <w:rPr>
                <w:lang w:val="en-US"/>
              </w:rPr>
              <w:t>/</w:t>
            </w:r>
            <w:r>
              <w:rPr>
                <w:i/>
                <w:iCs/>
                <w:lang w:val="en-US"/>
              </w:rPr>
              <w:t>N</w:t>
            </w:r>
            <w:r>
              <w:rPr>
                <w:vertAlign w:val="subscript"/>
                <w:lang w:val="en-US"/>
              </w:rPr>
              <w:t>0</w:t>
            </w:r>
            <w:r>
              <w:rPr>
                <w:lang w:val="en-US"/>
              </w:rPr>
              <w:t xml:space="preserve"> for BER </w:t>
            </w:r>
            <w:r>
              <w:rPr>
                <w:rFonts w:ascii="Symbol" w:hAnsi="Symbol"/>
              </w:rPr>
              <w:t></w:t>
            </w:r>
            <w:r>
              <w:rPr>
                <w:lang w:val="en-US"/>
              </w:rPr>
              <w:t xml:space="preserve"> 1 </w:t>
            </w:r>
            <w:r>
              <w:rPr>
                <w:rFonts w:ascii="Symbol" w:hAnsi="Symbol"/>
              </w:rPr>
              <w:t></w:t>
            </w:r>
            <w:r>
              <w:rPr>
                <w:lang w:val="en-US"/>
              </w:rPr>
              <w:t xml:space="preserve"> 10</w:t>
            </w:r>
            <w:r>
              <w:rPr>
                <w:vertAlign w:val="superscript"/>
              </w:rPr>
              <w:sym w:font="Symbol" w:char="F02D"/>
            </w:r>
            <w:r>
              <w:rPr>
                <w:vertAlign w:val="superscript"/>
                <w:lang w:val="en-US"/>
              </w:rPr>
              <w:t>6</w:t>
            </w:r>
          </w:p>
        </w:tc>
        <w:tc>
          <w:tcPr>
            <w:tcW w:w="3119" w:type="dxa"/>
            <w:vAlign w:val="center"/>
          </w:tcPr>
          <w:p w:rsidR="009215A4" w:rsidRDefault="009215A4" w:rsidP="00CC5822">
            <w:pPr>
              <w:pStyle w:val="Tabletext"/>
              <w:jc w:val="center"/>
              <w:rPr>
                <w:lang w:val="en-US"/>
              </w:rPr>
            </w:pPr>
            <w:r>
              <w:rPr>
                <w:lang w:val="en-US"/>
              </w:rPr>
              <w:t>5.5 dB</w:t>
            </w:r>
            <w:r>
              <w:rPr>
                <w:vertAlign w:val="superscript"/>
                <w:lang w:val="en-US"/>
              </w:rPr>
              <w:t>(7)</w:t>
            </w:r>
          </w:p>
        </w:tc>
      </w:tr>
      <w:tr w:rsidR="009215A4" w:rsidTr="00CC5822">
        <w:trPr>
          <w:jc w:val="center"/>
        </w:trPr>
        <w:tc>
          <w:tcPr>
            <w:tcW w:w="5670" w:type="dxa"/>
            <w:tcBorders>
              <w:bottom w:val="single" w:sz="4" w:space="0" w:color="auto"/>
            </w:tcBorders>
          </w:tcPr>
          <w:p w:rsidR="009215A4" w:rsidRDefault="009215A4" w:rsidP="00CC5822">
            <w:pPr>
              <w:pStyle w:val="Tabletext"/>
              <w:jc w:val="left"/>
              <w:rPr>
                <w:lang w:val="en-US"/>
              </w:rPr>
            </w:pPr>
            <w:r>
              <w:rPr>
                <w:rFonts w:hint="eastAsia"/>
                <w:lang w:val="en-US"/>
              </w:rPr>
              <w:t>HAPS system margin</w:t>
            </w:r>
            <w:r>
              <w:rPr>
                <w:vertAlign w:val="superscript"/>
                <w:lang w:val="en-US"/>
              </w:rPr>
              <w:t>(8)</w:t>
            </w:r>
          </w:p>
        </w:tc>
        <w:tc>
          <w:tcPr>
            <w:tcW w:w="3119" w:type="dxa"/>
            <w:tcBorders>
              <w:bottom w:val="single" w:sz="4" w:space="0" w:color="auto"/>
            </w:tcBorders>
            <w:vAlign w:val="center"/>
          </w:tcPr>
          <w:p w:rsidR="009215A4" w:rsidRDefault="009215A4" w:rsidP="00CC5822">
            <w:pPr>
              <w:pStyle w:val="Tabletext"/>
              <w:jc w:val="center"/>
              <w:rPr>
                <w:lang w:val="en-US"/>
              </w:rPr>
            </w:pPr>
            <w:r>
              <w:rPr>
                <w:lang w:val="en-US"/>
              </w:rPr>
              <w:t>3 dB</w:t>
            </w:r>
          </w:p>
        </w:tc>
      </w:tr>
    </w:tbl>
    <w:p w:rsidR="009215A4" w:rsidRPr="00CC5822" w:rsidRDefault="009215A4" w:rsidP="00CC5822">
      <w:pPr>
        <w:pStyle w:val="Tablefin"/>
      </w:pPr>
    </w:p>
    <w:p w:rsidR="009215A4" w:rsidRDefault="009215A4" w:rsidP="00CC5822">
      <w:pPr>
        <w:pStyle w:val="Tablefin"/>
        <w:rPr>
          <w:sz w:val="2"/>
        </w:rPr>
      </w:pPr>
    </w:p>
    <w:tbl>
      <w:tblPr>
        <w:tblW w:w="0" w:type="auto"/>
        <w:jc w:val="center"/>
        <w:tblLook w:val="0000" w:firstRow="0" w:lastRow="0" w:firstColumn="0" w:lastColumn="0" w:noHBand="0" w:noVBand="0"/>
      </w:tblPr>
      <w:tblGrid>
        <w:gridCol w:w="8789"/>
      </w:tblGrid>
      <w:tr w:rsidR="009215A4" w:rsidRPr="000D20AB" w:rsidTr="002A3E40">
        <w:trPr>
          <w:cantSplit/>
          <w:jc w:val="center"/>
        </w:trPr>
        <w:tc>
          <w:tcPr>
            <w:tcW w:w="8789" w:type="dxa"/>
          </w:tcPr>
          <w:p w:rsidR="009215A4" w:rsidRDefault="009215A4" w:rsidP="002A3E40">
            <w:pPr>
              <w:pStyle w:val="Tablelegend"/>
              <w:framePr w:hSpace="181" w:wrap="notBeside" w:vAnchor="text" w:hAnchor="text" w:xAlign="center" w:y="1"/>
              <w:ind w:hanging="284"/>
              <w:rPr>
                <w:i/>
                <w:iCs/>
                <w:lang w:val="en-US"/>
              </w:rPr>
            </w:pPr>
            <w:r>
              <w:rPr>
                <w:i/>
                <w:iCs/>
                <w:lang w:val="en-US"/>
              </w:rPr>
              <w:lastRenderedPageBreak/>
              <w:t xml:space="preserve">Notes </w:t>
            </w:r>
            <w:r w:rsidR="00746B3C">
              <w:rPr>
                <w:i/>
                <w:iCs/>
                <w:lang w:val="en-US"/>
              </w:rPr>
              <w:t xml:space="preserve">relating </w:t>
            </w:r>
            <w:r>
              <w:rPr>
                <w:i/>
                <w:iCs/>
                <w:lang w:val="en-US"/>
              </w:rPr>
              <w:t>to Table 1:</w:t>
            </w:r>
          </w:p>
          <w:p w:rsidR="009215A4" w:rsidRDefault="009215A4" w:rsidP="002A3E40">
            <w:pPr>
              <w:pStyle w:val="Tablelegend"/>
              <w:framePr w:hSpace="181" w:wrap="notBeside" w:vAnchor="text" w:hAnchor="text" w:xAlign="center" w:y="1"/>
              <w:ind w:right="0" w:hanging="284"/>
              <w:rPr>
                <w:lang w:val="en-US"/>
              </w:rPr>
            </w:pPr>
            <w:r>
              <w:rPr>
                <w:vertAlign w:val="superscript"/>
                <w:lang w:val="en-US"/>
              </w:rPr>
              <w:t>(1)</w:t>
            </w:r>
            <w:r>
              <w:rPr>
                <w:lang w:val="en-US"/>
              </w:rPr>
              <w:tab/>
            </w:r>
            <w:r>
              <w:rPr>
                <w:rFonts w:hint="eastAsia"/>
                <w:lang w:val="en-US"/>
              </w:rPr>
              <w:t xml:space="preserve">Although </w:t>
            </w:r>
            <w:r>
              <w:rPr>
                <w:rFonts w:hint="eastAsia"/>
                <w:lang w:val="en-US" w:eastAsia="ja-JP"/>
              </w:rPr>
              <w:t xml:space="preserve">the </w:t>
            </w:r>
            <w:r>
              <w:rPr>
                <w:lang w:val="en-US" w:eastAsia="ja-JP"/>
              </w:rPr>
              <w:t>RR</w:t>
            </w:r>
            <w:r>
              <w:rPr>
                <w:rFonts w:hint="eastAsia"/>
                <w:lang w:val="en-US"/>
              </w:rPr>
              <w:t xml:space="preserve"> </w:t>
            </w:r>
            <w:r>
              <w:rPr>
                <w:rFonts w:hint="eastAsia"/>
                <w:lang w:val="en-US" w:eastAsia="ja-JP"/>
              </w:rPr>
              <w:t>defines</w:t>
            </w:r>
            <w:r>
              <w:rPr>
                <w:rFonts w:hint="eastAsia"/>
                <w:lang w:val="en-US"/>
              </w:rPr>
              <w:t xml:space="preserve"> the </w:t>
            </w:r>
            <w:r>
              <w:rPr>
                <w:rFonts w:hint="eastAsia"/>
                <w:lang w:val="en-US" w:eastAsia="ja-JP"/>
              </w:rPr>
              <w:t xml:space="preserve">upper bound of </w:t>
            </w:r>
            <w:r>
              <w:rPr>
                <w:rFonts w:hint="eastAsia"/>
                <w:lang w:val="en-US"/>
              </w:rPr>
              <w:t xml:space="preserve">HAPS altitude </w:t>
            </w:r>
            <w:r>
              <w:rPr>
                <w:rFonts w:hint="eastAsia"/>
                <w:lang w:val="en-US" w:eastAsia="ja-JP"/>
              </w:rPr>
              <w:t>as</w:t>
            </w:r>
            <w:r>
              <w:rPr>
                <w:rFonts w:hint="eastAsia"/>
                <w:lang w:val="en-US"/>
              </w:rPr>
              <w:t xml:space="preserve"> 50 km, the deployment of HAPS system at an altitude below 25 km would be more realistic from the viewpoint of </w:t>
            </w:r>
            <w:r>
              <w:rPr>
                <w:lang w:val="en-US"/>
              </w:rPr>
              <w:t>present</w:t>
            </w:r>
            <w:r>
              <w:rPr>
                <w:rFonts w:hint="eastAsia"/>
                <w:lang w:val="en-US"/>
              </w:rPr>
              <w:t xml:space="preserve"> technology (see </w:t>
            </w:r>
            <w:r>
              <w:rPr>
                <w:lang w:val="en-US"/>
              </w:rPr>
              <w:t>§</w:t>
            </w:r>
            <w:r>
              <w:rPr>
                <w:rFonts w:hint="eastAsia"/>
                <w:lang w:val="en-US"/>
              </w:rPr>
              <w:t xml:space="preserve"> 3 in</w:t>
            </w:r>
            <w:r>
              <w:rPr>
                <w:lang w:val="en-US"/>
              </w:rPr>
              <w:t xml:space="preserve"> Recommendation</w:t>
            </w:r>
            <w:r>
              <w:rPr>
                <w:rFonts w:hint="eastAsia"/>
                <w:lang w:val="en-US"/>
              </w:rPr>
              <w:t xml:space="preserve"> </w:t>
            </w:r>
            <w:r>
              <w:rPr>
                <w:lang w:val="en-US"/>
              </w:rPr>
              <w:t>ITU-R F.1569)</w:t>
            </w:r>
            <w:r>
              <w:rPr>
                <w:rFonts w:hint="eastAsia"/>
                <w:lang w:val="en-US"/>
              </w:rPr>
              <w:t xml:space="preserve">. Although the HAPS altitude of 20 km is used for the design of link budget for HAPS uplink in this study, this link budget holds for the HAPS altitude of 25 km without increasing the output power of HAPS ground station (see </w:t>
            </w:r>
            <w:r>
              <w:rPr>
                <w:lang w:val="en-US"/>
              </w:rPr>
              <w:t>§</w:t>
            </w:r>
            <w:r>
              <w:rPr>
                <w:rFonts w:hint="eastAsia"/>
                <w:lang w:val="en-US"/>
              </w:rPr>
              <w:t xml:space="preserve"> 3 in </w:t>
            </w:r>
            <w:r>
              <w:rPr>
                <w:lang w:val="en-US"/>
              </w:rPr>
              <w:t>Recommendation</w:t>
            </w:r>
            <w:r>
              <w:rPr>
                <w:rFonts w:hint="eastAsia"/>
                <w:lang w:val="en-US"/>
              </w:rPr>
              <w:t xml:space="preserve"> </w:t>
            </w:r>
            <w:r>
              <w:rPr>
                <w:lang w:val="en-US"/>
              </w:rPr>
              <w:t>ITU</w:t>
            </w:r>
            <w:r>
              <w:rPr>
                <w:lang w:val="en-US"/>
              </w:rPr>
              <w:noBreakHyphen/>
              <w:t>R F.</w:t>
            </w:r>
            <w:r>
              <w:rPr>
                <w:rFonts w:hint="eastAsia"/>
                <w:lang w:val="en-US"/>
              </w:rPr>
              <w:t>1569</w:t>
            </w:r>
            <w:r>
              <w:rPr>
                <w:lang w:val="en-US"/>
              </w:rPr>
              <w:t>)</w:t>
            </w:r>
            <w:r>
              <w:rPr>
                <w:rFonts w:hint="eastAsia"/>
                <w:lang w:val="en-US"/>
              </w:rPr>
              <w:t>.</w:t>
            </w:r>
          </w:p>
          <w:p w:rsidR="009215A4" w:rsidRDefault="009215A4" w:rsidP="002A3E40">
            <w:pPr>
              <w:pStyle w:val="Tablelegend"/>
              <w:framePr w:hSpace="181" w:wrap="notBeside" w:vAnchor="text" w:hAnchor="text" w:xAlign="center" w:y="1"/>
              <w:ind w:right="0" w:hanging="284"/>
              <w:rPr>
                <w:lang w:val="en-US"/>
              </w:rPr>
            </w:pPr>
            <w:r>
              <w:rPr>
                <w:vertAlign w:val="superscript"/>
                <w:lang w:val="en-US"/>
              </w:rPr>
              <w:t>(2)</w:t>
            </w:r>
            <w:r>
              <w:rPr>
                <w:lang w:val="en-US"/>
              </w:rPr>
              <w:tab/>
            </w:r>
            <w:r>
              <w:rPr>
                <w:rFonts w:hint="eastAsia"/>
                <w:lang w:val="en-US"/>
              </w:rPr>
              <w:t xml:space="preserve">ATPC technique can make it possible to enhance the availability without increasing the interference to the EESS (passive). As shown in </w:t>
            </w:r>
            <w:r>
              <w:rPr>
                <w:lang w:val="en-US"/>
              </w:rPr>
              <w:t>§</w:t>
            </w:r>
            <w:r>
              <w:rPr>
                <w:rFonts w:hint="eastAsia"/>
                <w:lang w:val="en-US"/>
              </w:rPr>
              <w:t xml:space="preserve"> 8 in </w:t>
            </w:r>
            <w:r>
              <w:rPr>
                <w:lang w:val="en-US"/>
              </w:rPr>
              <w:t>Recommendation</w:t>
            </w:r>
            <w:r>
              <w:rPr>
                <w:rFonts w:hint="eastAsia"/>
                <w:lang w:val="en-US"/>
              </w:rPr>
              <w:t xml:space="preserve"> </w:t>
            </w:r>
            <w:r>
              <w:rPr>
                <w:lang w:val="en-US"/>
              </w:rPr>
              <w:t>ITU-R F.1569</w:t>
            </w:r>
            <w:r>
              <w:rPr>
                <w:rFonts w:hint="eastAsia"/>
                <w:lang w:val="en-US"/>
              </w:rPr>
              <w:t xml:space="preserve">, the use of ATPC with the range of </w:t>
            </w:r>
            <w:r>
              <w:rPr>
                <w:rFonts w:hint="eastAsia"/>
                <w:lang w:val="en-US" w:eastAsia="ja-JP"/>
              </w:rPr>
              <w:t xml:space="preserve">12.2 </w:t>
            </w:r>
            <w:r>
              <w:rPr>
                <w:rFonts w:hint="eastAsia"/>
                <w:lang w:val="en-US"/>
              </w:rPr>
              <w:t>dB can realize the availability of 99.8%.</w:t>
            </w:r>
          </w:p>
          <w:p w:rsidR="009215A4" w:rsidRDefault="009215A4" w:rsidP="002A3E40">
            <w:pPr>
              <w:pStyle w:val="Tablelegend"/>
              <w:framePr w:hSpace="181" w:wrap="notBeside" w:vAnchor="text" w:hAnchor="text" w:xAlign="center" w:y="1"/>
              <w:ind w:right="0" w:hanging="284"/>
              <w:rPr>
                <w:lang w:val="en-US"/>
              </w:rPr>
            </w:pPr>
            <w:r>
              <w:rPr>
                <w:vertAlign w:val="superscript"/>
                <w:lang w:val="en-US"/>
              </w:rPr>
              <w:t>(3)</w:t>
            </w:r>
            <w:r>
              <w:rPr>
                <w:lang w:val="en-US"/>
              </w:rPr>
              <w:tab/>
            </w:r>
            <w:r>
              <w:rPr>
                <w:rFonts w:hint="eastAsia"/>
                <w:lang w:val="en-US"/>
              </w:rPr>
              <w:t>In this study, 20</w:t>
            </w:r>
            <w:r>
              <w:rPr>
                <w:lang w:val="en-US"/>
              </w:rPr>
              <w:t>°</w:t>
            </w:r>
            <w:r>
              <w:rPr>
                <w:rFonts w:hint="eastAsia"/>
                <w:lang w:val="en-US"/>
              </w:rPr>
              <w:t xml:space="preserve"> of the minimum operation elevation angle is used as the typical value. To determine the minimum operational elevation angle of HAPS system is required for further study taking into account the sharing with other co-primary services, introduction of some interference mitigation techniques (e.g. ATPC) and so on (see</w:t>
            </w:r>
            <w:r>
              <w:rPr>
                <w:lang w:val="en-US"/>
              </w:rPr>
              <w:t xml:space="preserve"> §</w:t>
            </w:r>
            <w:r>
              <w:rPr>
                <w:rFonts w:hint="eastAsia"/>
                <w:lang w:val="en-US"/>
              </w:rPr>
              <w:t xml:space="preserve"> 4 and 7 in </w:t>
            </w:r>
            <w:r>
              <w:rPr>
                <w:lang w:val="en-US"/>
              </w:rPr>
              <w:t>Recommendation</w:t>
            </w:r>
            <w:r>
              <w:rPr>
                <w:rFonts w:hint="eastAsia"/>
                <w:lang w:val="en-US"/>
              </w:rPr>
              <w:t xml:space="preserve"> </w:t>
            </w:r>
            <w:r>
              <w:rPr>
                <w:lang w:val="en-US"/>
              </w:rPr>
              <w:t>ITU-R F.1569)</w:t>
            </w:r>
            <w:r>
              <w:rPr>
                <w:rFonts w:hint="eastAsia"/>
                <w:lang w:val="en-US"/>
              </w:rPr>
              <w:t>.</w:t>
            </w:r>
          </w:p>
          <w:p w:rsidR="009215A4" w:rsidRDefault="009215A4" w:rsidP="002A3E40">
            <w:pPr>
              <w:pStyle w:val="Tablelegend"/>
              <w:framePr w:hSpace="181" w:wrap="notBeside" w:vAnchor="text" w:hAnchor="text" w:xAlign="center" w:y="1"/>
              <w:ind w:right="0" w:hanging="284"/>
              <w:rPr>
                <w:lang w:val="en-US"/>
              </w:rPr>
            </w:pPr>
            <w:r>
              <w:rPr>
                <w:vertAlign w:val="superscript"/>
                <w:lang w:val="en-US"/>
              </w:rPr>
              <w:t>(4)</w:t>
            </w:r>
            <w:r>
              <w:rPr>
                <w:lang w:val="en-US"/>
              </w:rPr>
              <w:tab/>
            </w:r>
            <w:r>
              <w:rPr>
                <w:rFonts w:hint="eastAsia"/>
                <w:lang w:val="en-US"/>
              </w:rPr>
              <w:t>The number of HAPS ground station</w:t>
            </w:r>
            <w:r>
              <w:rPr>
                <w:lang w:val="en-US"/>
              </w:rPr>
              <w:t>s</w:t>
            </w:r>
            <w:r>
              <w:rPr>
                <w:rFonts w:hint="eastAsia"/>
                <w:lang w:val="en-US"/>
              </w:rPr>
              <w:t xml:space="preserve"> in the area covered by one HAPS is limited up to 1</w:t>
            </w:r>
            <w:r>
              <w:rPr>
                <w:rFonts w:ascii="Tms Rmn" w:hAnsi="Tms Rmn" w:hint="eastAsia"/>
                <w:sz w:val="12"/>
                <w:lang w:val="en-US"/>
              </w:rPr>
              <w:t> </w:t>
            </w:r>
            <w:r>
              <w:rPr>
                <w:rFonts w:hint="eastAsia"/>
                <w:lang w:val="en-US"/>
              </w:rPr>
              <w:t xml:space="preserve">468 (see </w:t>
            </w:r>
            <w:r>
              <w:rPr>
                <w:lang w:val="en-US"/>
              </w:rPr>
              <w:t>§ </w:t>
            </w:r>
            <w:r>
              <w:rPr>
                <w:rFonts w:hint="eastAsia"/>
                <w:lang w:val="en-US"/>
              </w:rPr>
              <w:t>1</w:t>
            </w:r>
            <w:r>
              <w:rPr>
                <w:rFonts w:hint="eastAsia"/>
                <w:lang w:val="en-US" w:eastAsia="ja-JP"/>
              </w:rPr>
              <w:t>0</w:t>
            </w:r>
            <w:r>
              <w:rPr>
                <w:rFonts w:hint="eastAsia"/>
                <w:lang w:val="en-US"/>
              </w:rPr>
              <w:t xml:space="preserve"> in </w:t>
            </w:r>
            <w:r>
              <w:rPr>
                <w:lang w:val="en-US"/>
              </w:rPr>
              <w:t>Recommendation ITU-R</w:t>
            </w:r>
            <w:r>
              <w:rPr>
                <w:rFonts w:hint="eastAsia"/>
                <w:lang w:val="en-US"/>
              </w:rPr>
              <w:t xml:space="preserve"> </w:t>
            </w:r>
            <w:r>
              <w:rPr>
                <w:lang w:val="en-US"/>
              </w:rPr>
              <w:t>F.</w:t>
            </w:r>
            <w:r>
              <w:rPr>
                <w:rFonts w:hint="eastAsia"/>
                <w:lang w:val="en-US"/>
              </w:rPr>
              <w:t>1569</w:t>
            </w:r>
            <w:r>
              <w:rPr>
                <w:lang w:val="en-US"/>
              </w:rPr>
              <w:t>)</w:t>
            </w:r>
            <w:r>
              <w:rPr>
                <w:rFonts w:hint="eastAsia"/>
                <w:lang w:val="en-US"/>
              </w:rPr>
              <w:t xml:space="preserve"> assuming that available frequency band is 300</w:t>
            </w:r>
            <w:r>
              <w:rPr>
                <w:lang w:val="en-US"/>
              </w:rPr>
              <w:t> </w:t>
            </w:r>
            <w:r>
              <w:rPr>
                <w:rFonts w:hint="eastAsia"/>
                <w:lang w:val="en-US"/>
              </w:rPr>
              <w:t>MHz, frequency reuse factor is 4, signal bandwidth is 20 MHz, and the number of spot beam</w:t>
            </w:r>
            <w:r>
              <w:rPr>
                <w:lang w:val="en-US"/>
              </w:rPr>
              <w:t>s</w:t>
            </w:r>
            <w:r>
              <w:rPr>
                <w:rFonts w:hint="eastAsia"/>
                <w:lang w:val="en-US"/>
              </w:rPr>
              <w:t xml:space="preserve"> is 367.</w:t>
            </w:r>
          </w:p>
          <w:p w:rsidR="009215A4" w:rsidRDefault="009215A4" w:rsidP="002A3E40">
            <w:pPr>
              <w:pStyle w:val="Tablelegend"/>
              <w:framePr w:hSpace="181" w:wrap="notBeside" w:vAnchor="text" w:hAnchor="text" w:xAlign="center" w:y="1"/>
              <w:ind w:right="0" w:hanging="284"/>
              <w:rPr>
                <w:lang w:val="en-US"/>
              </w:rPr>
            </w:pPr>
            <w:r>
              <w:rPr>
                <w:vertAlign w:val="superscript"/>
                <w:lang w:val="en-US"/>
              </w:rPr>
              <w:t>(5)</w:t>
            </w:r>
            <w:r>
              <w:rPr>
                <w:lang w:val="en-US"/>
              </w:rPr>
              <w:tab/>
            </w:r>
            <w:r>
              <w:rPr>
                <w:rFonts w:hint="eastAsia"/>
                <w:lang w:val="en-US"/>
              </w:rPr>
              <w:t>Principal interference comes from the HAPS ground stations in the limited area near the main beam direction of the passive sensor. Therefore the interference evaluation from HAPS ground stations covered by one HAPS would give almost the same result as that of</w:t>
            </w:r>
            <w:r>
              <w:rPr>
                <w:lang w:val="en-US"/>
              </w:rPr>
              <w:t xml:space="preserve"> </w:t>
            </w:r>
            <w:r>
              <w:rPr>
                <w:rFonts w:hint="eastAsia"/>
                <w:lang w:val="en-US"/>
              </w:rPr>
              <w:t>the interference evaluation for the model consisted of many HAPS airships.</w:t>
            </w:r>
          </w:p>
          <w:p w:rsidR="009215A4" w:rsidRDefault="009215A4" w:rsidP="002A3E40">
            <w:pPr>
              <w:pStyle w:val="Tablelegend"/>
              <w:framePr w:hSpace="181" w:wrap="notBeside" w:vAnchor="text" w:hAnchor="text" w:xAlign="center" w:y="1"/>
              <w:ind w:right="0" w:hanging="284"/>
              <w:rPr>
                <w:lang w:val="en-US"/>
              </w:rPr>
            </w:pPr>
            <w:r>
              <w:rPr>
                <w:vertAlign w:val="superscript"/>
                <w:lang w:val="en-US"/>
              </w:rPr>
              <w:t>(6)</w:t>
            </w:r>
            <w:r>
              <w:rPr>
                <w:lang w:val="en-US"/>
              </w:rPr>
              <w:tab/>
            </w:r>
            <w:r>
              <w:rPr>
                <w:rFonts w:hint="eastAsia"/>
                <w:lang w:val="en-US"/>
              </w:rPr>
              <w:t>In this study, the rain rate in Tokyo (rain climatic zone: M in Recommendation ITU</w:t>
            </w:r>
            <w:r>
              <w:rPr>
                <w:lang w:val="en-US"/>
              </w:rPr>
              <w:noBreakHyphen/>
            </w:r>
            <w:r>
              <w:rPr>
                <w:rFonts w:hint="eastAsia"/>
                <w:lang w:val="en-US"/>
              </w:rPr>
              <w:t>R</w:t>
            </w:r>
            <w:r>
              <w:rPr>
                <w:lang w:val="en-US"/>
              </w:rPr>
              <w:t xml:space="preserve"> </w:t>
            </w:r>
            <w:r>
              <w:rPr>
                <w:rFonts w:hint="eastAsia"/>
                <w:lang w:val="en-US"/>
              </w:rPr>
              <w:t>P.</w:t>
            </w:r>
            <w:r>
              <w:rPr>
                <w:rFonts w:hint="eastAsia"/>
                <w:lang w:val="en-US" w:eastAsia="ja-JP"/>
              </w:rPr>
              <w:t>837</w:t>
            </w:r>
            <w:r>
              <w:rPr>
                <w:rFonts w:hint="eastAsia"/>
                <w:lang w:val="en-US"/>
              </w:rPr>
              <w:t xml:space="preserve">) is used for the design of link </w:t>
            </w:r>
            <w:r>
              <w:rPr>
                <w:lang w:val="en-US"/>
              </w:rPr>
              <w:t>budget</w:t>
            </w:r>
            <w:r>
              <w:rPr>
                <w:rFonts w:hint="eastAsia"/>
                <w:lang w:val="en-US"/>
              </w:rPr>
              <w:t xml:space="preserve"> as an example of the moderate rain area. In case of the heavy rain rate condition (e.g. rain climatic zone: P in </w:t>
            </w:r>
            <w:r>
              <w:rPr>
                <w:lang w:val="en-US"/>
              </w:rPr>
              <w:t>Recommendation</w:t>
            </w:r>
            <w:r>
              <w:rPr>
                <w:rFonts w:hint="eastAsia"/>
                <w:lang w:val="en-US"/>
              </w:rPr>
              <w:t xml:space="preserve"> ITU</w:t>
            </w:r>
            <w:r>
              <w:rPr>
                <w:lang w:val="en-US"/>
              </w:rPr>
              <w:noBreakHyphen/>
            </w:r>
            <w:r>
              <w:rPr>
                <w:rFonts w:hint="eastAsia"/>
                <w:lang w:val="en-US"/>
              </w:rPr>
              <w:t>R</w:t>
            </w:r>
            <w:r>
              <w:rPr>
                <w:rFonts w:hint="cs"/>
                <w:lang w:val="en-US"/>
              </w:rPr>
              <w:t xml:space="preserve"> </w:t>
            </w:r>
            <w:r>
              <w:rPr>
                <w:rFonts w:hint="eastAsia"/>
                <w:lang w:val="en-US"/>
              </w:rPr>
              <w:t>P.</w:t>
            </w:r>
            <w:r>
              <w:rPr>
                <w:rFonts w:hint="eastAsia"/>
                <w:lang w:val="en-US" w:eastAsia="ja-JP"/>
              </w:rPr>
              <w:t>837</w:t>
            </w:r>
            <w:r>
              <w:rPr>
                <w:rFonts w:hint="eastAsia"/>
                <w:lang w:val="en-US"/>
              </w:rPr>
              <w:t>), the introduction of ATPC will be required (see</w:t>
            </w:r>
            <w:r>
              <w:rPr>
                <w:lang w:val="en-US"/>
              </w:rPr>
              <w:t xml:space="preserve"> §</w:t>
            </w:r>
            <w:r>
              <w:rPr>
                <w:rFonts w:hint="cs"/>
                <w:lang w:val="en-US"/>
              </w:rPr>
              <w:t> </w:t>
            </w:r>
            <w:r>
              <w:rPr>
                <w:rFonts w:hint="eastAsia"/>
                <w:lang w:val="en-US"/>
              </w:rPr>
              <w:t>8 in</w:t>
            </w:r>
            <w:r>
              <w:rPr>
                <w:rFonts w:hint="eastAsia"/>
                <w:lang w:val="en-US" w:eastAsia="ja-JP"/>
              </w:rPr>
              <w:t xml:space="preserve"> </w:t>
            </w:r>
            <w:r>
              <w:rPr>
                <w:lang w:val="en-US"/>
              </w:rPr>
              <w:t>Recommendation ITU-R F.1569)</w:t>
            </w:r>
            <w:r>
              <w:rPr>
                <w:rFonts w:hint="eastAsia"/>
                <w:lang w:val="en-US"/>
              </w:rPr>
              <w:t>.</w:t>
            </w:r>
          </w:p>
          <w:p w:rsidR="009215A4" w:rsidRDefault="009215A4" w:rsidP="002A3E40">
            <w:pPr>
              <w:pStyle w:val="Tablelegend"/>
              <w:framePr w:hSpace="181" w:wrap="notBeside" w:vAnchor="text" w:hAnchor="text" w:xAlign="center" w:y="1"/>
              <w:spacing w:line="240" w:lineRule="exact"/>
              <w:ind w:right="0" w:hanging="284"/>
              <w:rPr>
                <w:lang w:val="en-US"/>
              </w:rPr>
            </w:pPr>
            <w:r>
              <w:rPr>
                <w:vertAlign w:val="superscript"/>
                <w:lang w:val="en-US"/>
              </w:rPr>
              <w:t>(7)</w:t>
            </w:r>
            <w:r>
              <w:rPr>
                <w:lang w:val="en-US"/>
              </w:rPr>
              <w:tab/>
            </w:r>
            <w:r>
              <w:rPr>
                <w:rFonts w:hint="eastAsia"/>
                <w:lang w:val="en-US" w:eastAsia="ja-JP"/>
              </w:rPr>
              <w:t>Co</w:t>
            </w:r>
            <w:r>
              <w:rPr>
                <w:rFonts w:hint="eastAsia"/>
                <w:lang w:val="en-US"/>
              </w:rPr>
              <w:t xml:space="preserve">ding technique is indispensable in the present communication system. Therefore use of required </w:t>
            </w:r>
            <w:r>
              <w:rPr>
                <w:i/>
                <w:iCs/>
                <w:lang w:val="en-US"/>
              </w:rPr>
              <w:t>E</w:t>
            </w:r>
            <w:r>
              <w:rPr>
                <w:i/>
                <w:iCs/>
                <w:vertAlign w:val="subscript"/>
                <w:lang w:val="en-US"/>
              </w:rPr>
              <w:t>b</w:t>
            </w:r>
            <w:r>
              <w:rPr>
                <w:rFonts w:ascii="Tms Rmn" w:hAnsi="Tms Rmn"/>
                <w:i/>
                <w:iCs/>
                <w:sz w:val="12"/>
                <w:vertAlign w:val="subscript"/>
                <w:lang w:val="en-US"/>
              </w:rPr>
              <w:t> </w:t>
            </w:r>
            <w:r>
              <w:rPr>
                <w:lang w:val="en-US"/>
              </w:rPr>
              <w:t>/</w:t>
            </w:r>
            <w:r>
              <w:rPr>
                <w:i/>
                <w:iCs/>
                <w:lang w:val="en-US"/>
              </w:rPr>
              <w:t>N</w:t>
            </w:r>
            <w:r>
              <w:rPr>
                <w:vertAlign w:val="subscript"/>
                <w:lang w:val="en-US"/>
              </w:rPr>
              <w:t>0</w:t>
            </w:r>
            <w:r>
              <w:rPr>
                <w:rFonts w:hint="eastAsia"/>
                <w:lang w:val="en-US"/>
              </w:rPr>
              <w:t xml:space="preserve"> around 5 dB for </w:t>
            </w:r>
            <w:r>
              <w:rPr>
                <w:lang w:val="en-US"/>
              </w:rPr>
              <w:t xml:space="preserve">BER </w:t>
            </w:r>
            <w:r>
              <w:rPr>
                <w:rFonts w:ascii="Symbol" w:hAnsi="Symbol"/>
                <w:lang w:val="fr-CH"/>
              </w:rPr>
              <w:t></w:t>
            </w:r>
            <w:r>
              <w:rPr>
                <w:lang w:val="en-US"/>
              </w:rPr>
              <w:t xml:space="preserve"> 1 </w:t>
            </w:r>
            <w:r>
              <w:rPr>
                <w:rFonts w:ascii="Symbol" w:hAnsi="Symbol"/>
                <w:lang w:val="fr-CH"/>
              </w:rPr>
              <w:t></w:t>
            </w:r>
            <w:r>
              <w:rPr>
                <w:lang w:val="en-US"/>
              </w:rPr>
              <w:t xml:space="preserve"> 10</w:t>
            </w:r>
            <w:r>
              <w:rPr>
                <w:vertAlign w:val="superscript"/>
                <w:lang w:val="en-US"/>
              </w:rPr>
              <w:t>–6</w:t>
            </w:r>
            <w:r>
              <w:rPr>
                <w:rFonts w:hint="eastAsia"/>
                <w:vertAlign w:val="superscript"/>
                <w:lang w:val="en-US"/>
              </w:rPr>
              <w:t xml:space="preserve"> </w:t>
            </w:r>
            <w:r>
              <w:rPr>
                <w:rFonts w:hint="eastAsia"/>
                <w:lang w:val="en-US"/>
              </w:rPr>
              <w:t>is reasonable.</w:t>
            </w:r>
          </w:p>
          <w:p w:rsidR="009215A4" w:rsidRDefault="009215A4" w:rsidP="002A3E40">
            <w:pPr>
              <w:pStyle w:val="Tablelegend"/>
              <w:framePr w:hSpace="181" w:wrap="notBeside" w:vAnchor="text" w:hAnchor="text" w:xAlign="center" w:y="1"/>
              <w:spacing w:line="240" w:lineRule="exact"/>
              <w:ind w:right="0" w:hanging="284"/>
              <w:rPr>
                <w:lang w:val="en-US"/>
              </w:rPr>
            </w:pPr>
            <w:r>
              <w:rPr>
                <w:vertAlign w:val="superscript"/>
                <w:lang w:val="en-US"/>
              </w:rPr>
              <w:t>(8)</w:t>
            </w:r>
            <w:r>
              <w:rPr>
                <w:lang w:val="en-US"/>
              </w:rPr>
              <w:tab/>
              <w:t>Further work is needed to determine the apportion of the interference into EESS between HAPS in the FS and other FS systems.</w:t>
            </w:r>
          </w:p>
        </w:tc>
      </w:tr>
    </w:tbl>
    <w:p w:rsidR="009215A4" w:rsidRDefault="009215A4" w:rsidP="009215A4">
      <w:pPr>
        <w:pStyle w:val="Tablefin"/>
      </w:pPr>
    </w:p>
    <w:p w:rsidR="00CC5822" w:rsidRPr="00CC5822" w:rsidRDefault="00CC5822" w:rsidP="00CC5822">
      <w:pPr>
        <w:rPr>
          <w:lang w:val="en-GB"/>
        </w:rPr>
      </w:pPr>
    </w:p>
    <w:p w:rsidR="009215A4" w:rsidRDefault="009215A4" w:rsidP="009215A4">
      <w:pPr>
        <w:rPr>
          <w:lang w:val="en-US"/>
        </w:rPr>
      </w:pPr>
      <w:r>
        <w:rPr>
          <w:rFonts w:hint="eastAsia"/>
          <w:lang w:val="en-US"/>
        </w:rPr>
        <w:t xml:space="preserve">The footprint illuminated by a spot beam is regarded as a cell in the HAPS network. Frequency reuse factor of </w:t>
      </w:r>
      <w:r>
        <w:rPr>
          <w:rFonts w:hint="eastAsia"/>
          <w:lang w:val="en-US" w:eastAsia="ja-JP"/>
        </w:rPr>
        <w:t>four</w:t>
      </w:r>
      <w:r>
        <w:rPr>
          <w:rFonts w:hint="eastAsia"/>
          <w:lang w:val="en-US"/>
        </w:rPr>
        <w:t xml:space="preserve"> is adopted in this study, that is, frequency band of 300 MHz (31</w:t>
      </w:r>
      <w:r>
        <w:rPr>
          <w:lang w:val="en-US"/>
        </w:rPr>
        <w:noBreakHyphen/>
      </w:r>
      <w:r>
        <w:rPr>
          <w:rFonts w:hint="eastAsia"/>
          <w:lang w:val="en-US"/>
        </w:rPr>
        <w:t>31.3</w:t>
      </w:r>
      <w:r>
        <w:rPr>
          <w:lang w:val="en-US"/>
        </w:rPr>
        <w:t> </w:t>
      </w:r>
      <w:r>
        <w:rPr>
          <w:rFonts w:hint="eastAsia"/>
          <w:lang w:val="en-US"/>
        </w:rPr>
        <w:t xml:space="preserve">GHz) available for HAPS uplink is equally divided into four and the divided sub-band of 75 MHz is repeatedly used for uplink transmission in every four cells. In this study, it is assumed that </w:t>
      </w:r>
      <w:r>
        <w:rPr>
          <w:lang w:val="en-US"/>
        </w:rPr>
        <w:t>automatic transmitting power control (</w:t>
      </w:r>
      <w:r>
        <w:rPr>
          <w:rFonts w:hint="eastAsia"/>
          <w:lang w:val="en-US"/>
        </w:rPr>
        <w:t>ATPC</w:t>
      </w:r>
      <w:r>
        <w:rPr>
          <w:lang w:val="en-US"/>
        </w:rPr>
        <w:t>)</w:t>
      </w:r>
      <w:r>
        <w:rPr>
          <w:rFonts w:hint="eastAsia"/>
          <w:lang w:val="en-US"/>
        </w:rPr>
        <w:t xml:space="preserve"> with variable step of 6 dB is introduced to HAPS ground station. </w:t>
      </w:r>
      <w:r>
        <w:rPr>
          <w:lang w:val="en-US"/>
        </w:rPr>
        <w:t xml:space="preserve">The level of </w:t>
      </w:r>
      <w:r>
        <w:rPr>
          <w:rFonts w:hint="eastAsia"/>
          <w:lang w:val="en-US" w:eastAsia="ja-JP"/>
        </w:rPr>
        <w:t>unwanted</w:t>
      </w:r>
      <w:r>
        <w:rPr>
          <w:rFonts w:hint="eastAsia"/>
          <w:lang w:val="en-US"/>
        </w:rPr>
        <w:t xml:space="preserve"> </w:t>
      </w:r>
      <w:r>
        <w:rPr>
          <w:lang w:val="en-US"/>
        </w:rPr>
        <w:t>emissions</w:t>
      </w:r>
      <w:r>
        <w:rPr>
          <w:rFonts w:hint="eastAsia"/>
          <w:lang w:val="en-US"/>
        </w:rPr>
        <w:t xml:space="preserve"> </w:t>
      </w:r>
      <w:r>
        <w:rPr>
          <w:lang w:val="en-US"/>
        </w:rPr>
        <w:t xml:space="preserve">from the </w:t>
      </w:r>
      <w:r>
        <w:rPr>
          <w:rFonts w:hint="eastAsia"/>
          <w:lang w:val="en-US"/>
        </w:rPr>
        <w:t xml:space="preserve">HAPS </w:t>
      </w:r>
      <w:r>
        <w:rPr>
          <w:lang w:val="en-US"/>
        </w:rPr>
        <w:t xml:space="preserve">station </w:t>
      </w:r>
      <w:r>
        <w:rPr>
          <w:rFonts w:hint="eastAsia"/>
          <w:lang w:val="en-US"/>
        </w:rPr>
        <w:t xml:space="preserve">used in this study is </w:t>
      </w:r>
      <w:r>
        <w:rPr>
          <w:rFonts w:ascii="Symbol" w:hAnsi="Symbol"/>
          <w:lang w:val="en-US"/>
        </w:rPr>
        <w:noBreakHyphen/>
      </w:r>
      <w:r>
        <w:rPr>
          <w:rFonts w:hint="eastAsia"/>
          <w:lang w:val="en-US"/>
        </w:rPr>
        <w:t>105</w:t>
      </w:r>
      <w:r>
        <w:rPr>
          <w:lang w:val="en-US"/>
        </w:rPr>
        <w:t> </w:t>
      </w:r>
      <w:r>
        <w:rPr>
          <w:rFonts w:hint="eastAsia"/>
          <w:lang w:val="en-US"/>
        </w:rPr>
        <w:t>dB(W/MHz).</w:t>
      </w:r>
    </w:p>
    <w:p w:rsidR="009215A4" w:rsidRDefault="009215A4" w:rsidP="009215A4">
      <w:pPr>
        <w:pStyle w:val="Heading1"/>
        <w:rPr>
          <w:color w:val="000000"/>
          <w:lang w:val="en-US"/>
        </w:rPr>
      </w:pPr>
      <w:r>
        <w:rPr>
          <w:rFonts w:hint="eastAsia"/>
          <w:color w:val="000000"/>
          <w:kern w:val="2"/>
          <w:lang w:val="en-US" w:eastAsia="ja-JP"/>
        </w:rPr>
        <w:t>2</w:t>
      </w:r>
      <w:r>
        <w:rPr>
          <w:rFonts w:hint="eastAsia"/>
          <w:color w:val="000000"/>
          <w:kern w:val="2"/>
          <w:lang w:val="en-US"/>
        </w:rPr>
        <w:tab/>
        <w:t>Interference evaluation procedure</w:t>
      </w:r>
    </w:p>
    <w:p w:rsidR="009215A4" w:rsidRDefault="009215A4" w:rsidP="009215A4">
      <w:pPr>
        <w:spacing w:line="270" w:lineRule="exact"/>
        <w:rPr>
          <w:color w:val="000000"/>
          <w:lang w:val="en-US"/>
        </w:rPr>
      </w:pPr>
      <w:r>
        <w:rPr>
          <w:rFonts w:hint="eastAsia"/>
          <w:color w:val="000000"/>
          <w:lang w:val="en-US"/>
        </w:rPr>
        <w:t>Geometry of impact evaluation model used in this study is shown in Fig</w:t>
      </w:r>
      <w:r>
        <w:rPr>
          <w:color w:val="000000"/>
          <w:lang w:val="en-US"/>
        </w:rPr>
        <w:t>s.</w:t>
      </w:r>
      <w:r>
        <w:rPr>
          <w:rFonts w:hint="eastAsia"/>
          <w:color w:val="000000"/>
          <w:lang w:val="en-US"/>
        </w:rPr>
        <w:t xml:space="preserve"> 1 (whole view) and </w:t>
      </w:r>
      <w:r>
        <w:rPr>
          <w:rFonts w:hint="eastAsia"/>
          <w:color w:val="000000"/>
          <w:lang w:val="en-US" w:eastAsia="ja-JP"/>
        </w:rPr>
        <w:t>2</w:t>
      </w:r>
      <w:r>
        <w:rPr>
          <w:color w:val="000000"/>
          <w:lang w:val="en-US"/>
        </w:rPr>
        <w:t xml:space="preserve"> </w:t>
      </w:r>
      <w:r>
        <w:rPr>
          <w:rFonts w:hint="eastAsia"/>
          <w:color w:val="000000"/>
          <w:lang w:val="en-US"/>
        </w:rPr>
        <w:t xml:space="preserve">(top view). The number of HAPS ground stations that are allowed to transmit signals simultaneously is limited due to the limitation of available frequency bandwidth. </w:t>
      </w:r>
      <w:r>
        <w:rPr>
          <w:rFonts w:hint="eastAsia"/>
          <w:color w:val="000000"/>
          <w:kern w:val="16"/>
          <w:lang w:val="en-US"/>
        </w:rPr>
        <w:t xml:space="preserve">As described in </w:t>
      </w:r>
      <w:r>
        <w:rPr>
          <w:color w:val="000000"/>
          <w:kern w:val="16"/>
          <w:lang w:val="en-US"/>
        </w:rPr>
        <w:t>§</w:t>
      </w:r>
      <w:r>
        <w:rPr>
          <w:rFonts w:hint="eastAsia"/>
          <w:color w:val="000000"/>
          <w:kern w:val="16"/>
          <w:lang w:val="en-US"/>
        </w:rPr>
        <w:t xml:space="preserve"> 1, available frequency bandwidth is 75 MHz in one spot beam (</w:t>
      </w:r>
      <w:r>
        <w:rPr>
          <w:rFonts w:ascii="Symbol" w:hAnsi="Symbol"/>
          <w:color w:val="000000"/>
          <w:kern w:val="16"/>
          <w:lang w:val="en-US"/>
        </w:rPr>
        <w:t></w:t>
      </w:r>
      <w:r>
        <w:rPr>
          <w:color w:val="000000"/>
          <w:kern w:val="16"/>
          <w:lang w:val="en-US"/>
        </w:rPr>
        <w:t xml:space="preserve"> </w:t>
      </w:r>
      <w:r>
        <w:rPr>
          <w:rFonts w:hint="eastAsia"/>
          <w:color w:val="000000"/>
          <w:kern w:val="16"/>
          <w:lang w:val="en-US"/>
        </w:rPr>
        <w:t xml:space="preserve">cell). Since it is assumed that the signal bandwidth is 20 MHz per carrier, </w:t>
      </w:r>
      <w:r>
        <w:rPr>
          <w:rFonts w:hint="eastAsia"/>
          <w:color w:val="000000"/>
          <w:lang w:val="en-US"/>
        </w:rPr>
        <w:t xml:space="preserve">number of HAPS ground stations that are allowed to transmit signals simultaneously is 3.75 in one cell. Considering this limitation of available frequency band, the impact from </w:t>
      </w:r>
      <w:r>
        <w:rPr>
          <w:color w:val="000000"/>
          <w:lang w:val="en-US"/>
        </w:rPr>
        <w:t>four</w:t>
      </w:r>
      <w:r>
        <w:rPr>
          <w:rFonts w:hint="eastAsia"/>
          <w:color w:val="000000"/>
          <w:lang w:val="en-US"/>
        </w:rPr>
        <w:t xml:space="preserve"> HAPS ground stations located at the centre of each spot beam is calculated. In this case, aggregate interference from 4 </w:t>
      </w:r>
      <w:r>
        <w:rPr>
          <w:rFonts w:ascii="Symbol" w:hAnsi="Symbol" w:hint="eastAsia"/>
          <w:color w:val="000000"/>
        </w:rPr>
        <w:sym w:font="Symbol" w:char="F0B4"/>
      </w:r>
      <w:r>
        <w:rPr>
          <w:rFonts w:hint="eastAsia"/>
          <w:color w:val="000000"/>
          <w:lang w:val="en-US"/>
        </w:rPr>
        <w:t xml:space="preserve"> 367</w:t>
      </w:r>
      <w:r>
        <w:rPr>
          <w:color w:val="000000"/>
          <w:lang w:val="en-US"/>
        </w:rPr>
        <w:t xml:space="preserve"> </w:t>
      </w:r>
      <w:r>
        <w:rPr>
          <w:rFonts w:ascii="Symbol" w:hAnsi="Symbol"/>
          <w:color w:val="000000"/>
          <w:lang w:val="en-US"/>
        </w:rPr>
        <w:t></w:t>
      </w:r>
      <w:r>
        <w:rPr>
          <w:color w:val="000000"/>
          <w:lang w:val="en-US"/>
        </w:rPr>
        <w:t xml:space="preserve"> </w:t>
      </w:r>
      <w:r>
        <w:rPr>
          <w:rFonts w:hint="eastAsia"/>
          <w:color w:val="000000"/>
          <w:lang w:val="en-US"/>
        </w:rPr>
        <w:t>1</w:t>
      </w:r>
      <w:r>
        <w:rPr>
          <w:rFonts w:ascii="Tms Rmn" w:hAnsi="Tms Rmn"/>
          <w:color w:val="000000"/>
          <w:sz w:val="12"/>
          <w:lang w:val="en-US"/>
        </w:rPr>
        <w:t> </w:t>
      </w:r>
      <w:r>
        <w:rPr>
          <w:rFonts w:hint="eastAsia"/>
          <w:color w:val="000000"/>
          <w:lang w:val="en-US"/>
        </w:rPr>
        <w:t xml:space="preserve">468 HAPS ground stations is summed up. Four </w:t>
      </w:r>
      <w:r>
        <w:rPr>
          <w:rFonts w:hint="eastAsia"/>
          <w:color w:val="000000"/>
          <w:lang w:val="en-US"/>
        </w:rPr>
        <w:lastRenderedPageBreak/>
        <w:t>HAPS ground stations are located at the centre of each cell (5.5</w:t>
      </w:r>
      <w:r>
        <w:rPr>
          <w:color w:val="000000"/>
          <w:lang w:val="en-US"/>
        </w:rPr>
        <w:t> </w:t>
      </w:r>
      <w:r>
        <w:rPr>
          <w:rFonts w:hint="eastAsia"/>
          <w:color w:val="000000"/>
          <w:lang w:val="en-US"/>
        </w:rPr>
        <w:t xml:space="preserve">km intervals). It is assumed </w:t>
      </w:r>
      <w:r>
        <w:rPr>
          <w:color w:val="000000"/>
          <w:lang w:val="en-US"/>
        </w:rPr>
        <w:t>that</w:t>
      </w:r>
      <w:r>
        <w:rPr>
          <w:rFonts w:hint="eastAsia"/>
          <w:color w:val="000000"/>
          <w:lang w:val="en-US"/>
        </w:rPr>
        <w:t xml:space="preserve"> all the antennas of HAPS ground station are pointing toward the HAPS airship at an altitude of 20 km and the antenna pattern of HAPS ground station is calculated by Recommendation</w:t>
      </w:r>
      <w:r>
        <w:rPr>
          <w:color w:val="000000"/>
          <w:lang w:val="en-US"/>
        </w:rPr>
        <w:t xml:space="preserve"> </w:t>
      </w:r>
      <w:r>
        <w:rPr>
          <w:rFonts w:hint="eastAsia"/>
          <w:color w:val="000000"/>
          <w:lang w:val="en-US"/>
        </w:rPr>
        <w:t>ITU-R F.1245. It is assumed that the passive sensor is pointing toward the nadir direction and the antenna pattern of passive sensor is calculated by Recommendation ITU-R S.672. In order to consider the worst case of the interference, HAPS airship and the passive sensor are just above the HAPS ground station located at the centre in the nadir cell of HAPS as shown in Fig</w:t>
      </w:r>
      <w:r>
        <w:rPr>
          <w:color w:val="000000"/>
          <w:lang w:val="en-US"/>
        </w:rPr>
        <w:t xml:space="preserve">. </w:t>
      </w:r>
      <w:r>
        <w:rPr>
          <w:rFonts w:hint="eastAsia"/>
          <w:color w:val="000000"/>
          <w:lang w:val="en-US" w:eastAsia="ja-JP"/>
        </w:rPr>
        <w:t>2</w:t>
      </w:r>
      <w:r>
        <w:rPr>
          <w:rFonts w:hint="eastAsia"/>
          <w:color w:val="000000"/>
          <w:lang w:val="en-US"/>
        </w:rPr>
        <w:t xml:space="preserve">. The </w:t>
      </w:r>
      <w:r>
        <w:rPr>
          <w:color w:val="000000"/>
          <w:lang w:val="en-US"/>
        </w:rPr>
        <w:t>level of unwanted</w:t>
      </w:r>
      <w:r>
        <w:rPr>
          <w:rFonts w:hint="eastAsia"/>
          <w:color w:val="000000"/>
          <w:lang w:val="en-US"/>
        </w:rPr>
        <w:t xml:space="preserve"> emission</w:t>
      </w:r>
      <w:r>
        <w:rPr>
          <w:color w:val="000000"/>
          <w:lang w:val="en-US"/>
        </w:rPr>
        <w:t>s</w:t>
      </w:r>
      <w:r>
        <w:rPr>
          <w:rFonts w:hint="eastAsia"/>
          <w:color w:val="000000"/>
          <w:lang w:val="en-US"/>
        </w:rPr>
        <w:t xml:space="preserve"> of </w:t>
      </w:r>
      <w:r>
        <w:rPr>
          <w:color w:val="000000"/>
          <w:lang w:val="en-US"/>
        </w:rPr>
        <w:t>–</w:t>
      </w:r>
      <w:r>
        <w:rPr>
          <w:rFonts w:hint="eastAsia"/>
          <w:color w:val="000000"/>
          <w:lang w:val="en-US"/>
        </w:rPr>
        <w:t>105 dB(W/MHz) under clear</w:t>
      </w:r>
      <w:r>
        <w:rPr>
          <w:color w:val="000000"/>
          <w:lang w:val="en-US"/>
        </w:rPr>
        <w:t>-</w:t>
      </w:r>
      <w:r>
        <w:rPr>
          <w:rFonts w:hint="eastAsia"/>
          <w:color w:val="000000"/>
          <w:lang w:val="en-US"/>
        </w:rPr>
        <w:t>sky condition</w:t>
      </w:r>
      <w:r>
        <w:rPr>
          <w:color w:val="000000"/>
          <w:lang w:val="en-US"/>
        </w:rPr>
        <w:t>s</w:t>
      </w:r>
      <w:r>
        <w:rPr>
          <w:rFonts w:hint="eastAsia"/>
          <w:color w:val="000000"/>
          <w:lang w:val="en-US"/>
        </w:rPr>
        <w:t xml:space="preserve"> is used for the impact evaluation. Although the </w:t>
      </w:r>
      <w:r>
        <w:rPr>
          <w:color w:val="000000"/>
          <w:lang w:val="en-US"/>
        </w:rPr>
        <w:t xml:space="preserve">level of </w:t>
      </w:r>
      <w:r>
        <w:rPr>
          <w:rFonts w:hint="eastAsia"/>
          <w:color w:val="000000"/>
          <w:lang w:val="en-US" w:eastAsia="ja-JP"/>
        </w:rPr>
        <w:t>unwanted</w:t>
      </w:r>
      <w:r>
        <w:rPr>
          <w:rFonts w:hint="eastAsia"/>
          <w:color w:val="000000"/>
          <w:lang w:val="en-US"/>
        </w:rPr>
        <w:t xml:space="preserve"> emission</w:t>
      </w:r>
      <w:r>
        <w:rPr>
          <w:color w:val="000000"/>
          <w:lang w:val="en-US"/>
        </w:rPr>
        <w:t>s</w:t>
      </w:r>
      <w:r>
        <w:rPr>
          <w:rFonts w:hint="eastAsia"/>
          <w:color w:val="000000"/>
          <w:lang w:val="en-US"/>
        </w:rPr>
        <w:t xml:space="preserve"> under rain condition</w:t>
      </w:r>
      <w:r>
        <w:rPr>
          <w:color w:val="000000"/>
          <w:lang w:val="en-US"/>
        </w:rPr>
        <w:t>s</w:t>
      </w:r>
      <w:r>
        <w:rPr>
          <w:rFonts w:hint="eastAsia"/>
          <w:color w:val="000000"/>
          <w:lang w:val="en-US"/>
        </w:rPr>
        <w:t xml:space="preserve"> increases up to 6</w:t>
      </w:r>
      <w:r>
        <w:rPr>
          <w:color w:val="000000"/>
          <w:lang w:val="en-US"/>
        </w:rPr>
        <w:t> </w:t>
      </w:r>
      <w:r>
        <w:rPr>
          <w:rFonts w:hint="eastAsia"/>
          <w:color w:val="000000"/>
          <w:lang w:val="en-US"/>
        </w:rPr>
        <w:t>dB compared with clear</w:t>
      </w:r>
      <w:r>
        <w:rPr>
          <w:color w:val="000000"/>
          <w:lang w:val="en-US"/>
        </w:rPr>
        <w:t>-</w:t>
      </w:r>
      <w:r>
        <w:rPr>
          <w:rFonts w:hint="eastAsia"/>
          <w:color w:val="000000"/>
          <w:lang w:val="en-US"/>
        </w:rPr>
        <w:t>sky condition</w:t>
      </w:r>
      <w:r>
        <w:rPr>
          <w:color w:val="000000"/>
          <w:lang w:val="en-US"/>
        </w:rPr>
        <w:t>s</w:t>
      </w:r>
      <w:r>
        <w:rPr>
          <w:rFonts w:hint="eastAsia"/>
          <w:color w:val="000000"/>
          <w:lang w:val="en-US"/>
        </w:rPr>
        <w:t xml:space="preserve">, the increased </w:t>
      </w:r>
      <w:r>
        <w:rPr>
          <w:color w:val="000000"/>
          <w:lang w:val="en-US"/>
        </w:rPr>
        <w:t xml:space="preserve">unwanted </w:t>
      </w:r>
      <w:r>
        <w:rPr>
          <w:rFonts w:hint="eastAsia"/>
          <w:color w:val="000000"/>
          <w:lang w:val="en-US"/>
        </w:rPr>
        <w:t xml:space="preserve">emission power is </w:t>
      </w:r>
      <w:r>
        <w:rPr>
          <w:color w:val="000000"/>
          <w:lang w:val="en-US"/>
        </w:rPr>
        <w:t>partly</w:t>
      </w:r>
      <w:r>
        <w:rPr>
          <w:rFonts w:hint="eastAsia"/>
          <w:color w:val="000000"/>
          <w:lang w:val="en-US"/>
        </w:rPr>
        <w:t xml:space="preserve"> attenuated in the rain path. The propagation loss between HAPS ground station and the passive sensor is calculated as free space propagation.</w:t>
      </w:r>
    </w:p>
    <w:p w:rsidR="009215A4" w:rsidRDefault="009215A4" w:rsidP="009215A4">
      <w:pPr>
        <w:spacing w:line="270" w:lineRule="exact"/>
        <w:rPr>
          <w:color w:val="000000"/>
          <w:lang w:val="en-US"/>
        </w:rPr>
      </w:pPr>
    </w:p>
    <w:p w:rsidR="00CC5822" w:rsidRDefault="00CC5822" w:rsidP="009215A4">
      <w:pPr>
        <w:spacing w:line="270" w:lineRule="exact"/>
        <w:rPr>
          <w:color w:val="000000"/>
          <w:lang w:val="en-US"/>
        </w:rPr>
      </w:pPr>
    </w:p>
    <w:p w:rsidR="00CC5822" w:rsidRDefault="00CC5822" w:rsidP="009215A4">
      <w:pPr>
        <w:spacing w:line="270" w:lineRule="exact"/>
        <w:rPr>
          <w:color w:val="000000"/>
          <w:lang w:val="en-US"/>
        </w:rPr>
      </w:pPr>
    </w:p>
    <w:p w:rsidR="009215A4" w:rsidRDefault="009215A4" w:rsidP="009215A4">
      <w:pPr>
        <w:pStyle w:val="FigureNo"/>
      </w:pPr>
      <w:r>
        <w:rPr>
          <w:noProof/>
          <w:lang w:val="en-US" w:eastAsia="zh-CN"/>
        </w:rPr>
        <w:drawing>
          <wp:inline distT="0" distB="0" distL="0" distR="0">
            <wp:extent cx="4442460" cy="33680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442460" cy="3368040"/>
                    </a:xfrm>
                    <a:prstGeom prst="rect">
                      <a:avLst/>
                    </a:prstGeom>
                    <a:noFill/>
                    <a:ln w="9525">
                      <a:noFill/>
                      <a:miter lim="800000"/>
                      <a:headEnd/>
                      <a:tailEnd/>
                    </a:ln>
                  </pic:spPr>
                </pic:pic>
              </a:graphicData>
            </a:graphic>
          </wp:inline>
        </w:drawing>
      </w:r>
    </w:p>
    <w:p w:rsidR="009215A4" w:rsidRDefault="009215A4" w:rsidP="009215A4"/>
    <w:p w:rsidR="009215A4" w:rsidRDefault="009215A4" w:rsidP="009215A4">
      <w:pPr>
        <w:pStyle w:val="FigureNo"/>
        <w:rPr>
          <w:color w:val="000000"/>
          <w:lang w:val="en-US"/>
        </w:rPr>
      </w:pPr>
      <w:r>
        <w:rPr>
          <w:color w:val="000000"/>
          <w:lang w:val="en-US"/>
        </w:rPr>
        <w:br w:type="page"/>
      </w:r>
      <w:r>
        <w:rPr>
          <w:noProof/>
          <w:lang w:val="en-US" w:eastAsia="zh-CN"/>
        </w:rPr>
        <w:lastRenderedPageBreak/>
        <w:drawing>
          <wp:inline distT="0" distB="0" distL="0" distR="0">
            <wp:extent cx="3322320" cy="40690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322320" cy="4069080"/>
                    </a:xfrm>
                    <a:prstGeom prst="rect">
                      <a:avLst/>
                    </a:prstGeom>
                    <a:noFill/>
                    <a:ln w="9525">
                      <a:noFill/>
                      <a:miter lim="800000"/>
                      <a:headEnd/>
                      <a:tailEnd/>
                    </a:ln>
                  </pic:spPr>
                </pic:pic>
              </a:graphicData>
            </a:graphic>
          </wp:inline>
        </w:drawing>
      </w:r>
    </w:p>
    <w:p w:rsidR="00CC5822" w:rsidRDefault="00CC5822" w:rsidP="009215A4">
      <w:pPr>
        <w:rPr>
          <w:lang w:val="en-US"/>
        </w:rPr>
      </w:pPr>
    </w:p>
    <w:p w:rsidR="00CC5822" w:rsidRDefault="00CC5822" w:rsidP="009215A4">
      <w:pPr>
        <w:rPr>
          <w:lang w:val="en-US"/>
        </w:rPr>
      </w:pPr>
    </w:p>
    <w:p w:rsidR="009215A4" w:rsidRDefault="009215A4" w:rsidP="009215A4">
      <w:pPr>
        <w:rPr>
          <w:lang w:val="en-US"/>
        </w:rPr>
      </w:pPr>
      <w:r>
        <w:rPr>
          <w:rFonts w:hint="eastAsia"/>
          <w:lang w:val="en-US"/>
        </w:rPr>
        <w:t xml:space="preserve">The aggregate interference </w:t>
      </w:r>
      <w:r>
        <w:rPr>
          <w:rFonts w:hint="eastAsia"/>
          <w:i/>
          <w:lang w:val="en-US"/>
        </w:rPr>
        <w:t>I</w:t>
      </w:r>
      <w:r>
        <w:rPr>
          <w:rFonts w:hint="eastAsia"/>
          <w:lang w:val="en-US"/>
        </w:rPr>
        <w:t xml:space="preserve"> is calculated by (</w:t>
      </w:r>
      <w:r>
        <w:rPr>
          <w:rFonts w:hint="eastAsia"/>
          <w:lang w:val="en-US" w:eastAsia="ja-JP"/>
        </w:rPr>
        <w:t>1</w:t>
      </w:r>
      <w:r>
        <w:rPr>
          <w:rFonts w:hint="eastAsia"/>
          <w:lang w:val="en-US"/>
        </w:rPr>
        <w:t>).</w:t>
      </w:r>
    </w:p>
    <w:p w:rsidR="009215A4" w:rsidRDefault="009215A4" w:rsidP="009215A4">
      <w:pPr>
        <w:pStyle w:val="Equation"/>
        <w:rPr>
          <w:lang w:val="en-GB" w:eastAsia="ja-JP"/>
        </w:rPr>
      </w:pPr>
      <w:r>
        <w:rPr>
          <w:color w:val="000000"/>
          <w:lang w:val="en-US"/>
        </w:rPr>
        <w:tab/>
      </w:r>
      <w:r>
        <w:rPr>
          <w:color w:val="000000"/>
          <w:lang w:val="en-US"/>
        </w:rPr>
        <w:tab/>
      </w:r>
      <w:r w:rsidRPr="00DC723D">
        <w:rPr>
          <w:color w:val="000000"/>
          <w:position w:val="-36"/>
          <w:lang w:val="fr-CH"/>
        </w:rPr>
        <w:object w:dxaOrig="666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42pt" o:ole="">
            <v:imagedata r:id="rId16" o:title=""/>
          </v:shape>
          <o:OLEObject Type="Embed" ProgID="Equation.3" ShapeID="_x0000_i1025" DrawAspect="Content" ObjectID="_1362309150" r:id="rId17"/>
        </w:object>
      </w:r>
      <w:r>
        <w:rPr>
          <w:lang w:val="en-GB"/>
        </w:rPr>
        <w:tab/>
      </w:r>
      <w:r>
        <w:rPr>
          <w:rFonts w:hint="eastAsia"/>
          <w:lang w:val="en-GB"/>
        </w:rPr>
        <w:t>(</w:t>
      </w:r>
      <w:r>
        <w:rPr>
          <w:rFonts w:hint="eastAsia"/>
          <w:lang w:val="en-GB" w:eastAsia="ja-JP"/>
        </w:rPr>
        <w:t>1</w:t>
      </w:r>
      <w:r>
        <w:rPr>
          <w:rFonts w:hint="eastAsia"/>
          <w:lang w:val="en-GB"/>
        </w:rPr>
        <w:t>)</w:t>
      </w:r>
    </w:p>
    <w:p w:rsidR="009215A4" w:rsidRDefault="009215A4" w:rsidP="009215A4">
      <w:pPr>
        <w:rPr>
          <w:lang w:val="en-US"/>
        </w:rPr>
      </w:pPr>
      <w:r>
        <w:rPr>
          <w:rFonts w:hint="eastAsia"/>
          <w:lang w:val="en-US"/>
        </w:rPr>
        <w:t>where:</w:t>
      </w:r>
    </w:p>
    <w:p w:rsidR="009215A4" w:rsidRDefault="009215A4" w:rsidP="009215A4">
      <w:pPr>
        <w:pStyle w:val="Equationlegend"/>
        <w:rPr>
          <w:lang w:eastAsia="ja-JP"/>
        </w:rPr>
      </w:pPr>
      <w:r>
        <w:tab/>
      </w:r>
      <w:r>
        <w:rPr>
          <w:i/>
          <w:iCs/>
        </w:rPr>
        <w:t>P</w:t>
      </w:r>
      <w:r>
        <w:rPr>
          <w:rFonts w:ascii="Tms Rmn" w:hAnsi="Tms Rmn"/>
          <w:sz w:val="12"/>
        </w:rPr>
        <w:t> </w:t>
      </w:r>
      <w:r>
        <w:rPr>
          <w:rFonts w:hint="eastAsia"/>
        </w:rPr>
        <w:t>:</w:t>
      </w:r>
      <w:r>
        <w:tab/>
      </w:r>
      <w:r>
        <w:rPr>
          <w:rFonts w:hint="eastAsia"/>
        </w:rPr>
        <w:t xml:space="preserve">unwanted emission level: </w:t>
      </w:r>
      <w:r>
        <w:t xml:space="preserve">1 </w:t>
      </w:r>
      <w:r>
        <w:rPr>
          <w:rFonts w:ascii="Symbol" w:hAnsi="Symbol"/>
          <w:lang w:val="fr-CH"/>
        </w:rPr>
        <w:t></w:t>
      </w:r>
      <w:r>
        <w:t xml:space="preserve"> </w:t>
      </w:r>
      <w:r>
        <w:rPr>
          <w:rFonts w:hint="eastAsia"/>
          <w:lang w:eastAsia="ja-JP"/>
        </w:rPr>
        <w:t>10</w:t>
      </w:r>
      <w:r>
        <w:rPr>
          <w:vertAlign w:val="superscript"/>
          <w:lang w:eastAsia="ja-JP"/>
        </w:rPr>
        <w:t>–10.5</w:t>
      </w:r>
      <w:r>
        <w:rPr>
          <w:rFonts w:hint="eastAsia"/>
          <w:lang w:eastAsia="ja-JP"/>
        </w:rPr>
        <w:t xml:space="preserve"> W/MHz (</w:t>
      </w:r>
      <w:r>
        <w:rPr>
          <w:rFonts w:ascii="Symbol" w:hAnsi="Symbol"/>
          <w:lang w:eastAsia="ja-JP"/>
        </w:rPr>
        <w:t></w:t>
      </w:r>
      <w:r>
        <w:rPr>
          <w:rFonts w:hint="eastAsia"/>
          <w:lang w:eastAsia="ja-JP"/>
        </w:rPr>
        <w:t xml:space="preserve"> </w:t>
      </w:r>
      <w:r>
        <w:t>–</w:t>
      </w:r>
      <w:r>
        <w:rPr>
          <w:rFonts w:hint="eastAsia"/>
        </w:rPr>
        <w:t>105 dB(W/MHz)</w:t>
      </w:r>
      <w:r>
        <w:rPr>
          <w:rFonts w:hint="eastAsia"/>
          <w:lang w:eastAsia="ja-JP"/>
        </w:rPr>
        <w:t>)</w:t>
      </w:r>
    </w:p>
    <w:p w:rsidR="009215A4" w:rsidRDefault="009215A4" w:rsidP="009215A4">
      <w:pPr>
        <w:pStyle w:val="Equationlegend"/>
        <w:spacing w:line="270" w:lineRule="exact"/>
        <w:rPr>
          <w:lang w:eastAsia="ja-JP"/>
        </w:rPr>
      </w:pPr>
      <w:r>
        <w:tab/>
      </w:r>
      <w:r>
        <w:rPr>
          <w:i/>
          <w:iCs/>
        </w:rPr>
        <w:t>Gt</w:t>
      </w:r>
      <w:r>
        <w:rPr>
          <w:i/>
          <w:iCs/>
          <w:vertAlign w:val="subscript"/>
        </w:rPr>
        <w:t>i</w:t>
      </w:r>
      <w:r>
        <w:rPr>
          <w:rFonts w:ascii="Tms Rmn" w:hAnsi="Tms Rmn"/>
          <w:sz w:val="12"/>
        </w:rPr>
        <w:t> </w:t>
      </w:r>
      <w:r>
        <w:rPr>
          <w:rFonts w:hint="eastAsia"/>
        </w:rPr>
        <w:t>:</w:t>
      </w:r>
      <w:r>
        <w:tab/>
      </w:r>
      <w:r>
        <w:rPr>
          <w:rFonts w:hint="eastAsia"/>
          <w:spacing w:val="-2"/>
        </w:rPr>
        <w:t xml:space="preserve">transmission antenna gain of the </w:t>
      </w:r>
      <w:r>
        <w:rPr>
          <w:rFonts w:hint="eastAsia"/>
          <w:i/>
          <w:spacing w:val="-2"/>
        </w:rPr>
        <w:t>i</w:t>
      </w:r>
      <w:r>
        <w:rPr>
          <w:rFonts w:hint="eastAsia"/>
          <w:spacing w:val="-2"/>
        </w:rPr>
        <w:t>-th HAPS ground station for EESS satellite calculated by Recommendation ITU-R F.1245 (dBi) (maximum gain</w:t>
      </w:r>
      <w:r>
        <w:rPr>
          <w:spacing w:val="-2"/>
        </w:rPr>
        <w:t xml:space="preserve"> </w:t>
      </w:r>
      <w:r>
        <w:rPr>
          <w:rFonts w:ascii="Symbol" w:hAnsi="Symbol"/>
          <w:spacing w:val="-2"/>
          <w:lang w:val="fr-CH"/>
        </w:rPr>
        <w:t></w:t>
      </w:r>
      <w:r>
        <w:rPr>
          <w:spacing w:val="-2"/>
        </w:rPr>
        <w:t xml:space="preserve"> </w:t>
      </w:r>
      <w:r>
        <w:rPr>
          <w:rFonts w:hint="eastAsia"/>
          <w:spacing w:val="-2"/>
          <w:lang w:eastAsia="ja-JP"/>
        </w:rPr>
        <w:t>10</w:t>
      </w:r>
      <w:r>
        <w:rPr>
          <w:spacing w:val="-2"/>
          <w:vertAlign w:val="superscript"/>
          <w:lang w:eastAsia="ja-JP"/>
        </w:rPr>
        <w:t>3.5</w:t>
      </w:r>
      <w:r>
        <w:rPr>
          <w:spacing w:val="-2"/>
          <w:lang w:eastAsia="ja-JP"/>
        </w:rPr>
        <w:t xml:space="preserve"> (</w:t>
      </w:r>
      <w:r>
        <w:rPr>
          <w:rFonts w:ascii="Symbol" w:hAnsi="Symbol"/>
          <w:spacing w:val="-2"/>
          <w:lang w:val="fr-CH" w:eastAsia="ja-JP"/>
        </w:rPr>
        <w:t></w:t>
      </w:r>
      <w:r>
        <w:rPr>
          <w:spacing w:val="-2"/>
          <w:lang w:eastAsia="ja-JP"/>
        </w:rPr>
        <w:t> </w:t>
      </w:r>
      <w:r>
        <w:rPr>
          <w:rFonts w:hint="eastAsia"/>
          <w:spacing w:val="-2"/>
        </w:rPr>
        <w:t>35 dBi)</w:t>
      </w:r>
      <w:r>
        <w:rPr>
          <w:rFonts w:hint="eastAsia"/>
          <w:spacing w:val="-2"/>
          <w:lang w:eastAsia="ja-JP"/>
        </w:rPr>
        <w:t>)</w:t>
      </w:r>
    </w:p>
    <w:p w:rsidR="009215A4" w:rsidRDefault="009215A4" w:rsidP="009215A4">
      <w:pPr>
        <w:pStyle w:val="Equationlegend"/>
      </w:pPr>
      <w:r>
        <w:tab/>
      </w:r>
      <w:r>
        <w:rPr>
          <w:i/>
          <w:iCs/>
        </w:rPr>
        <w:t>d</w:t>
      </w:r>
      <w:r>
        <w:rPr>
          <w:i/>
          <w:iCs/>
          <w:vertAlign w:val="subscript"/>
        </w:rPr>
        <w:t>i</w:t>
      </w:r>
      <w:r>
        <w:rPr>
          <w:rFonts w:ascii="Tms Rmn" w:hAnsi="Tms Rmn"/>
          <w:sz w:val="12"/>
        </w:rPr>
        <w:t> </w:t>
      </w:r>
      <w:r>
        <w:rPr>
          <w:rFonts w:hint="eastAsia"/>
        </w:rPr>
        <w:t>:</w:t>
      </w:r>
      <w:r>
        <w:tab/>
        <w:t>distan</w:t>
      </w:r>
      <w:r>
        <w:rPr>
          <w:rFonts w:hint="eastAsia"/>
        </w:rPr>
        <w:t>c</w:t>
      </w:r>
      <w:r>
        <w:t>e</w:t>
      </w:r>
      <w:r>
        <w:rPr>
          <w:rFonts w:hint="eastAsia"/>
        </w:rPr>
        <w:t xml:space="preserve"> between the </w:t>
      </w:r>
      <w:r>
        <w:rPr>
          <w:rFonts w:hint="eastAsia"/>
          <w:i/>
        </w:rPr>
        <w:t>i</w:t>
      </w:r>
      <w:r>
        <w:rPr>
          <w:rFonts w:hint="eastAsia"/>
        </w:rPr>
        <w:t>-th HAPS ground station and passive sensor (m)</w:t>
      </w:r>
    </w:p>
    <w:p w:rsidR="009215A4" w:rsidRDefault="009215A4" w:rsidP="009215A4">
      <w:pPr>
        <w:pStyle w:val="Equationlegend"/>
      </w:pPr>
      <w:r>
        <w:tab/>
      </w:r>
      <w:r>
        <w:rPr>
          <w:rFonts w:ascii="Symbol" w:hAnsi="Symbol"/>
        </w:rPr>
        <w:t></w:t>
      </w:r>
      <w:r>
        <w:rPr>
          <w:rFonts w:ascii="Tms Rmn" w:hAnsi="Tms Rmn"/>
          <w:sz w:val="12"/>
        </w:rPr>
        <w:t> </w:t>
      </w:r>
      <w:r>
        <w:rPr>
          <w:rFonts w:hint="eastAsia"/>
        </w:rPr>
        <w:t>:</w:t>
      </w:r>
      <w:r>
        <w:tab/>
      </w:r>
      <w:r>
        <w:rPr>
          <w:rFonts w:hint="eastAsia"/>
        </w:rPr>
        <w:t>wavelength of the carrier signal (m): in this study, frequency of 31.28</w:t>
      </w:r>
      <w:r>
        <w:t> </w:t>
      </w:r>
      <w:r>
        <w:rPr>
          <w:rFonts w:hint="eastAsia"/>
        </w:rPr>
        <w:t>GHz</w:t>
      </w:r>
    </w:p>
    <w:p w:rsidR="009215A4" w:rsidRDefault="009215A4" w:rsidP="009215A4">
      <w:pPr>
        <w:pStyle w:val="Equationlegend"/>
        <w:rPr>
          <w:lang w:eastAsia="ja-JP"/>
        </w:rPr>
      </w:pPr>
      <w:r>
        <w:tab/>
      </w:r>
      <w:r>
        <w:rPr>
          <w:i/>
          <w:iCs/>
        </w:rPr>
        <w:t>Gr</w:t>
      </w:r>
      <w:r>
        <w:rPr>
          <w:i/>
          <w:iCs/>
          <w:vertAlign w:val="subscript"/>
        </w:rPr>
        <w:t>i</w:t>
      </w:r>
      <w:r>
        <w:rPr>
          <w:rFonts w:ascii="Tms Rmn" w:hAnsi="Tms Rmn"/>
          <w:sz w:val="12"/>
        </w:rPr>
        <w:t> </w:t>
      </w:r>
      <w:r>
        <w:rPr>
          <w:rFonts w:hint="eastAsia"/>
        </w:rPr>
        <w:t>:</w:t>
      </w:r>
      <w:r>
        <w:tab/>
      </w:r>
      <w:r>
        <w:rPr>
          <w:rFonts w:hint="eastAsia"/>
        </w:rPr>
        <w:t xml:space="preserve">receiving antenna gain of passive sensor for the </w:t>
      </w:r>
      <w:r>
        <w:rPr>
          <w:rFonts w:hint="eastAsia"/>
          <w:i/>
        </w:rPr>
        <w:t>i</w:t>
      </w:r>
      <w:r>
        <w:rPr>
          <w:rFonts w:hint="eastAsia"/>
        </w:rPr>
        <w:t>-th HAPS ground station calculated by Recommendation ITU-R S.672 (dBi) (maximum gain</w:t>
      </w:r>
      <w:r>
        <w:t xml:space="preserve"> </w:t>
      </w:r>
      <w:r>
        <w:rPr>
          <w:rFonts w:ascii="Symbol" w:hAnsi="Symbol"/>
          <w:lang w:val="fr-CH"/>
        </w:rPr>
        <w:t></w:t>
      </w:r>
      <w:r>
        <w:rPr>
          <w:rFonts w:hint="eastAsia"/>
        </w:rPr>
        <w:t xml:space="preserve"> </w:t>
      </w:r>
      <w:r>
        <w:rPr>
          <w:rFonts w:hint="eastAsia"/>
          <w:lang w:eastAsia="ja-JP"/>
        </w:rPr>
        <w:t>10</w:t>
      </w:r>
      <w:r>
        <w:rPr>
          <w:vertAlign w:val="superscript"/>
          <w:lang w:eastAsia="ja-JP"/>
        </w:rPr>
        <w:t xml:space="preserve">5 </w:t>
      </w:r>
      <w:r>
        <w:rPr>
          <w:rFonts w:hint="eastAsia"/>
          <w:lang w:eastAsia="ja-JP"/>
        </w:rPr>
        <w:t>(</w:t>
      </w:r>
      <w:r>
        <w:rPr>
          <w:rFonts w:ascii="Symbol" w:hAnsi="Symbol"/>
          <w:lang w:val="fr-CH" w:eastAsia="ja-JP"/>
        </w:rPr>
        <w:t></w:t>
      </w:r>
      <w:r>
        <w:rPr>
          <w:lang w:eastAsia="ja-JP"/>
        </w:rPr>
        <w:t> </w:t>
      </w:r>
      <w:r>
        <w:rPr>
          <w:rFonts w:hint="eastAsia"/>
        </w:rPr>
        <w:t>50</w:t>
      </w:r>
      <w:r>
        <w:t> </w:t>
      </w:r>
      <w:r>
        <w:rPr>
          <w:rFonts w:hint="eastAsia"/>
        </w:rPr>
        <w:t>dBi)</w:t>
      </w:r>
      <w:r>
        <w:rPr>
          <w:rFonts w:hint="eastAsia"/>
          <w:lang w:eastAsia="ja-JP"/>
        </w:rPr>
        <w:t>)</w:t>
      </w:r>
      <w:r>
        <w:rPr>
          <w:lang w:eastAsia="ja-JP"/>
        </w:rPr>
        <w:t>.</w:t>
      </w:r>
    </w:p>
    <w:p w:rsidR="009215A4" w:rsidRDefault="009215A4" w:rsidP="00746B3C">
      <w:pPr>
        <w:rPr>
          <w:color w:val="000000"/>
          <w:lang w:val="en-US"/>
        </w:rPr>
      </w:pPr>
      <w:r>
        <w:rPr>
          <w:color w:val="000000"/>
          <w:lang w:val="en-US"/>
        </w:rPr>
        <w:t>Protection criteri</w:t>
      </w:r>
      <w:r>
        <w:rPr>
          <w:rFonts w:hint="eastAsia"/>
          <w:color w:val="000000"/>
          <w:lang w:val="en-US"/>
        </w:rPr>
        <w:t>on</w:t>
      </w:r>
      <w:r>
        <w:rPr>
          <w:color w:val="000000"/>
          <w:lang w:val="en-US"/>
        </w:rPr>
        <w:t xml:space="preserve"> of </w:t>
      </w:r>
      <w:r>
        <w:rPr>
          <w:rFonts w:hint="eastAsia"/>
          <w:color w:val="000000"/>
          <w:lang w:val="en-US"/>
        </w:rPr>
        <w:t>EESS (passive)</w:t>
      </w:r>
      <w:r>
        <w:rPr>
          <w:color w:val="000000"/>
          <w:lang w:val="en-US"/>
        </w:rPr>
        <w:t xml:space="preserve"> is de</w:t>
      </w:r>
      <w:r>
        <w:rPr>
          <w:rFonts w:hint="eastAsia"/>
          <w:color w:val="000000"/>
          <w:lang w:val="en-US"/>
        </w:rPr>
        <w:t>fined</w:t>
      </w:r>
      <w:r>
        <w:rPr>
          <w:color w:val="000000"/>
          <w:lang w:val="en-US"/>
        </w:rPr>
        <w:t xml:space="preserve"> by Recommendation ITU-R </w:t>
      </w:r>
      <w:r w:rsidR="00746B3C">
        <w:rPr>
          <w:color w:val="000000"/>
          <w:lang w:val="en-US"/>
        </w:rPr>
        <w:t>RS</w:t>
      </w:r>
      <w:r>
        <w:rPr>
          <w:rFonts w:hint="eastAsia"/>
          <w:color w:val="000000"/>
          <w:lang w:val="en-US"/>
        </w:rPr>
        <w:t>.1029</w:t>
      </w:r>
      <w:r>
        <w:rPr>
          <w:color w:val="000000"/>
          <w:lang w:val="en-US"/>
        </w:rPr>
        <w:t xml:space="preserve"> which provides the threshold </w:t>
      </w:r>
      <w:r>
        <w:rPr>
          <w:rFonts w:hint="eastAsia"/>
          <w:color w:val="000000"/>
          <w:lang w:val="en-US"/>
        </w:rPr>
        <w:t xml:space="preserve">level of </w:t>
      </w:r>
      <w:r>
        <w:rPr>
          <w:color w:val="000000"/>
          <w:lang w:val="en-US"/>
        </w:rPr>
        <w:t>–</w:t>
      </w:r>
      <w:r>
        <w:rPr>
          <w:rFonts w:hint="eastAsia"/>
          <w:color w:val="000000"/>
          <w:lang w:val="en-US"/>
        </w:rPr>
        <w:t>183 dB(W/MHz) not to be exceeded for more than 0.01% of time</w:t>
      </w:r>
      <w:r>
        <w:rPr>
          <w:color w:val="000000"/>
          <w:lang w:val="en-US"/>
        </w:rPr>
        <w:t>.</w:t>
      </w:r>
      <w:r>
        <w:rPr>
          <w:rFonts w:hint="eastAsia"/>
          <w:color w:val="000000"/>
          <w:lang w:val="en-US"/>
        </w:rPr>
        <w:t xml:space="preserve"> </w:t>
      </w:r>
    </w:p>
    <w:p w:rsidR="009215A4" w:rsidRDefault="009215A4" w:rsidP="009215A4">
      <w:pPr>
        <w:pStyle w:val="Heading1"/>
        <w:rPr>
          <w:color w:val="000000"/>
          <w:lang w:val="en-US"/>
        </w:rPr>
      </w:pPr>
      <w:r>
        <w:rPr>
          <w:rFonts w:hint="eastAsia"/>
          <w:color w:val="000000"/>
          <w:lang w:val="en-US" w:eastAsia="ja-JP"/>
        </w:rPr>
        <w:lastRenderedPageBreak/>
        <w:t>3</w:t>
      </w:r>
      <w:r>
        <w:rPr>
          <w:rFonts w:hint="eastAsia"/>
          <w:color w:val="000000"/>
          <w:lang w:val="en-US"/>
        </w:rPr>
        <w:tab/>
        <w:t>Study result</w:t>
      </w:r>
    </w:p>
    <w:p w:rsidR="009215A4" w:rsidRDefault="009215A4" w:rsidP="00CC5822">
      <w:pPr>
        <w:rPr>
          <w:lang w:val="en-US"/>
        </w:rPr>
      </w:pPr>
      <w:r>
        <w:rPr>
          <w:rFonts w:hint="eastAsia"/>
          <w:lang w:val="en-US"/>
        </w:rPr>
        <w:t xml:space="preserve">Under the above conditions, aggregate interference of 4 </w:t>
      </w:r>
      <w:r>
        <w:rPr>
          <w:rFonts w:ascii="Symbol" w:hAnsi="Symbol" w:hint="eastAsia"/>
        </w:rPr>
        <w:sym w:font="Symbol" w:char="F0B4"/>
      </w:r>
      <w:r>
        <w:rPr>
          <w:rFonts w:hint="eastAsia"/>
          <w:lang w:val="en-US"/>
        </w:rPr>
        <w:t xml:space="preserve"> 367 HAPS ground stations to the passive sensor is </w:t>
      </w:r>
      <w:r>
        <w:rPr>
          <w:lang w:val="en-US"/>
        </w:rPr>
        <w:t>–</w:t>
      </w:r>
      <w:r>
        <w:rPr>
          <w:rFonts w:hint="eastAsia"/>
          <w:lang w:val="en-US"/>
        </w:rPr>
        <w:t xml:space="preserve">185.9 dB(W/MHz) which is 2.9 dB lower than the protection criterion of the EESS (passive) in the band 31-31.3 GHz. The aggregate interference from the HAPS ground stations in the area covered by another HAPS is negligible (30 dB less than </w:t>
      </w:r>
      <w:r>
        <w:rPr>
          <w:lang w:val="en-US"/>
        </w:rPr>
        <w:t>–</w:t>
      </w:r>
      <w:r>
        <w:rPr>
          <w:rFonts w:hint="eastAsia"/>
          <w:lang w:val="en-US"/>
        </w:rPr>
        <w:t>185.9 dB(W/MHz)). Therefore the aggregate interference from the HAPS ground stations covered by 200 HAPS airship does not exceed the protection criterion of the EESS (passive).</w:t>
      </w:r>
    </w:p>
    <w:p w:rsidR="003B33D5" w:rsidRDefault="009215A4" w:rsidP="009215A4">
      <w:pPr>
        <w:rPr>
          <w:lang w:val="en-US"/>
        </w:rPr>
      </w:pPr>
      <w:r>
        <w:rPr>
          <w:rFonts w:hint="eastAsia"/>
          <w:lang w:val="en-US"/>
        </w:rPr>
        <w:t>Required guardband is 10 MHz for 20.2 MHz IF filter bandwidth (</w:t>
      </w:r>
      <w:r>
        <w:rPr>
          <w:lang w:val="en-US"/>
        </w:rPr>
        <w:t>–</w:t>
      </w:r>
      <w:r>
        <w:rPr>
          <w:rFonts w:hint="eastAsia"/>
          <w:lang w:val="en-US"/>
        </w:rPr>
        <w:t>3 dB). This guardband depends on the signal bandwidth and the attenuation characteristics of the IF band-pass filter.</w:t>
      </w:r>
    </w:p>
    <w:p w:rsidR="003B33D5" w:rsidRDefault="003B33D5" w:rsidP="003B33D5">
      <w:pPr>
        <w:rPr>
          <w:lang w:val="en-US"/>
        </w:rPr>
      </w:pPr>
    </w:p>
    <w:p w:rsidR="003B33D5" w:rsidRDefault="003B33D5" w:rsidP="003B33D5">
      <w:pPr>
        <w:rPr>
          <w:lang w:val="en-US"/>
        </w:rPr>
      </w:pPr>
    </w:p>
    <w:p w:rsidR="003B33D5" w:rsidRPr="00BF487A" w:rsidRDefault="003B33D5" w:rsidP="003B33D5">
      <w:pPr>
        <w:pStyle w:val="Line"/>
      </w:pPr>
    </w:p>
    <w:sectPr w:rsidR="003B33D5" w:rsidRPr="00BF487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BF4" w:rsidRDefault="00057BF4">
      <w:r>
        <w:separator/>
      </w:r>
    </w:p>
  </w:footnote>
  <w:footnote w:type="continuationSeparator" w:id="0">
    <w:p w:rsidR="00057BF4" w:rsidRDefault="00057BF4">
      <w:r>
        <w:continuationSeparator/>
      </w:r>
    </w:p>
  </w:footnote>
  <w:footnote w:id="1">
    <w:p w:rsidR="001660E0" w:rsidRPr="000D20AB" w:rsidRDefault="001660E0" w:rsidP="001660E0">
      <w:pPr>
        <w:pStyle w:val="FootnoteText"/>
        <w:rPr>
          <w:lang w:val="en-US"/>
        </w:rPr>
      </w:pPr>
      <w:r w:rsidRPr="000D20AB">
        <w:rPr>
          <w:rStyle w:val="FootnoteReference"/>
          <w:lang w:val="en-US"/>
        </w:rPr>
        <w:t>*</w:t>
      </w:r>
      <w:r w:rsidRPr="000D20AB">
        <w:rPr>
          <w:lang w:val="en-US"/>
        </w:rPr>
        <w:tab/>
        <w:t>This Recommendation should be brought to the attention of Radiocommunication Study Group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24F" w:rsidRDefault="007D224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24F" w:rsidRDefault="003B33D5"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24F" w:rsidRPr="00FC42AF" w:rsidRDefault="005A4DCB">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0D20AB">
      <w:rPr>
        <w:rStyle w:val="PageNumber"/>
        <w:b/>
        <w:bCs/>
        <w:noProof/>
      </w:rPr>
      <w:t>6</w:t>
    </w:r>
    <w:r>
      <w:rPr>
        <w:rStyle w:val="PageNumber"/>
        <w:b/>
        <w:bCs/>
      </w:rPr>
      <w:fldChar w:fldCharType="end"/>
    </w:r>
    <w:r w:rsidR="007D224F" w:rsidRPr="00FC42AF">
      <w:tab/>
    </w:r>
    <w:r w:rsidR="000D20AB">
      <w:fldChar w:fldCharType="begin"/>
    </w:r>
    <w:r w:rsidR="000D20AB">
      <w:instrText xml:space="preserve"> DOCPROPERTY "Header" \* MERGEFORMAT </w:instrText>
    </w:r>
    <w:r w:rsidR="000D20AB">
      <w:fldChar w:fldCharType="separate"/>
    </w:r>
    <w:r w:rsidR="001660E0" w:rsidRPr="001660E0">
      <w:rPr>
        <w:b/>
        <w:bCs/>
      </w:rPr>
      <w:t xml:space="preserve">Rec. </w:t>
    </w:r>
    <w:r w:rsidR="000D20AB">
      <w:rPr>
        <w:b/>
        <w:bCs/>
      </w:rPr>
      <w:fldChar w:fldCharType="end"/>
    </w:r>
    <w:r w:rsidR="007D224F">
      <w:rPr>
        <w:b/>
        <w:bCs/>
      </w:rPr>
      <w:t xml:space="preserve"> </w:t>
    </w:r>
    <w:r>
      <w:rPr>
        <w:b/>
        <w:bCs/>
      </w:rPr>
      <w:fldChar w:fldCharType="begin"/>
    </w:r>
    <w:r w:rsidR="007D224F" w:rsidRPr="00FC42AF">
      <w:rPr>
        <w:b/>
        <w:bCs/>
      </w:rPr>
      <w:instrText>styleref href</w:instrText>
    </w:r>
    <w:r>
      <w:rPr>
        <w:b/>
        <w:bCs/>
      </w:rPr>
      <w:fldChar w:fldCharType="separate"/>
    </w:r>
    <w:r w:rsidR="000D20AB">
      <w:rPr>
        <w:b/>
        <w:bCs/>
        <w:noProof/>
      </w:rPr>
      <w:t>ITU-R  F.1570-2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24F" w:rsidRDefault="007D224F">
    <w:pPr>
      <w:pStyle w:val="Header"/>
    </w:pPr>
    <w:r>
      <w:tab/>
    </w:r>
    <w:r w:rsidR="000D20AB">
      <w:fldChar w:fldCharType="begin"/>
    </w:r>
    <w:r w:rsidR="000D20AB">
      <w:instrText xml:space="preserve"> DOCPROPERTY "Header" \* MERGEFORMAT </w:instrText>
    </w:r>
    <w:r w:rsidR="000D20AB">
      <w:fldChar w:fldCharType="separate"/>
    </w:r>
    <w:r w:rsidR="001660E0" w:rsidRPr="001660E0">
      <w:rPr>
        <w:b/>
        <w:bCs/>
      </w:rPr>
      <w:t xml:space="preserve">Rec. </w:t>
    </w:r>
    <w:r w:rsidR="000D20AB">
      <w:rPr>
        <w:b/>
        <w:bCs/>
      </w:rPr>
      <w:fldChar w:fldCharType="end"/>
    </w:r>
    <w:r>
      <w:rPr>
        <w:b/>
        <w:bCs/>
      </w:rPr>
      <w:t xml:space="preserve"> </w:t>
    </w:r>
    <w:r w:rsidR="005A4DCB">
      <w:rPr>
        <w:b/>
        <w:bCs/>
      </w:rPr>
      <w:fldChar w:fldCharType="begin"/>
    </w:r>
    <w:r>
      <w:rPr>
        <w:b/>
        <w:bCs/>
      </w:rPr>
      <w:instrText>styleref href</w:instrText>
    </w:r>
    <w:r w:rsidR="005A4DCB">
      <w:rPr>
        <w:b/>
        <w:bCs/>
      </w:rPr>
      <w:fldChar w:fldCharType="separate"/>
    </w:r>
    <w:r w:rsidR="000D20AB">
      <w:rPr>
        <w:b/>
        <w:bCs/>
        <w:noProof/>
      </w:rPr>
      <w:t>ITU-R  F.1570-2</w:t>
    </w:r>
    <w:r w:rsidR="005A4DCB">
      <w:rPr>
        <w:b/>
        <w:bCs/>
      </w:rPr>
      <w:fldChar w:fldCharType="end"/>
    </w:r>
    <w:r>
      <w:tab/>
    </w:r>
    <w:r w:rsidR="005A4DCB">
      <w:rPr>
        <w:rStyle w:val="PageNumber"/>
        <w:b/>
        <w:bCs/>
      </w:rPr>
      <w:fldChar w:fldCharType="begin"/>
    </w:r>
    <w:r>
      <w:rPr>
        <w:rStyle w:val="PageNumber"/>
        <w:b/>
        <w:bCs/>
      </w:rPr>
      <w:instrText xml:space="preserve"> PAGE </w:instrText>
    </w:r>
    <w:r w:rsidR="005A4DCB">
      <w:rPr>
        <w:rStyle w:val="PageNumber"/>
        <w:b/>
        <w:bCs/>
      </w:rPr>
      <w:fldChar w:fldCharType="separate"/>
    </w:r>
    <w:r w:rsidR="000D20AB">
      <w:rPr>
        <w:rStyle w:val="PageNumber"/>
        <w:b/>
        <w:bCs/>
        <w:noProof/>
      </w:rPr>
      <w:t>5</w:t>
    </w:r>
    <w:r w:rsidR="005A4DC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36EE3"/>
    <w:rsid w:val="00057BF4"/>
    <w:rsid w:val="00072484"/>
    <w:rsid w:val="00096612"/>
    <w:rsid w:val="000A4386"/>
    <w:rsid w:val="000B7683"/>
    <w:rsid w:val="000D0677"/>
    <w:rsid w:val="000D20AB"/>
    <w:rsid w:val="000E6A6E"/>
    <w:rsid w:val="00102934"/>
    <w:rsid w:val="00123703"/>
    <w:rsid w:val="00147110"/>
    <w:rsid w:val="001511A6"/>
    <w:rsid w:val="001660E0"/>
    <w:rsid w:val="002058CE"/>
    <w:rsid w:val="002165F1"/>
    <w:rsid w:val="00276D21"/>
    <w:rsid w:val="00296D7F"/>
    <w:rsid w:val="002B3CF6"/>
    <w:rsid w:val="002C768A"/>
    <w:rsid w:val="002D76C4"/>
    <w:rsid w:val="002F5199"/>
    <w:rsid w:val="00356B5D"/>
    <w:rsid w:val="003B33D5"/>
    <w:rsid w:val="00420DFD"/>
    <w:rsid w:val="00437A76"/>
    <w:rsid w:val="00470E28"/>
    <w:rsid w:val="004934C5"/>
    <w:rsid w:val="004F65E4"/>
    <w:rsid w:val="00556548"/>
    <w:rsid w:val="00586EF8"/>
    <w:rsid w:val="005A4DCB"/>
    <w:rsid w:val="005B49AB"/>
    <w:rsid w:val="005B50E7"/>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46B3C"/>
    <w:rsid w:val="00753CF4"/>
    <w:rsid w:val="007565CC"/>
    <w:rsid w:val="00763B9A"/>
    <w:rsid w:val="00794726"/>
    <w:rsid w:val="007A6AA8"/>
    <w:rsid w:val="007D224F"/>
    <w:rsid w:val="00807436"/>
    <w:rsid w:val="008310C9"/>
    <w:rsid w:val="00853CC5"/>
    <w:rsid w:val="008C1BAC"/>
    <w:rsid w:val="008C7848"/>
    <w:rsid w:val="008D1D78"/>
    <w:rsid w:val="00906589"/>
    <w:rsid w:val="00906AD6"/>
    <w:rsid w:val="00917AF2"/>
    <w:rsid w:val="009215A4"/>
    <w:rsid w:val="0092418A"/>
    <w:rsid w:val="00934ED7"/>
    <w:rsid w:val="009543C3"/>
    <w:rsid w:val="00966E1B"/>
    <w:rsid w:val="009947C0"/>
    <w:rsid w:val="009D7DA5"/>
    <w:rsid w:val="009F2D2C"/>
    <w:rsid w:val="00A31928"/>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C5D77"/>
    <w:rsid w:val="00BF487A"/>
    <w:rsid w:val="00C46BD9"/>
    <w:rsid w:val="00C55258"/>
    <w:rsid w:val="00C73560"/>
    <w:rsid w:val="00CB0F14"/>
    <w:rsid w:val="00CC5822"/>
    <w:rsid w:val="00CD659B"/>
    <w:rsid w:val="00CE0A43"/>
    <w:rsid w:val="00CE7A98"/>
    <w:rsid w:val="00D83556"/>
    <w:rsid w:val="00DC723D"/>
    <w:rsid w:val="00DF4176"/>
    <w:rsid w:val="00E17240"/>
    <w:rsid w:val="00E406BD"/>
    <w:rsid w:val="00E74595"/>
    <w:rsid w:val="00E9731C"/>
    <w:rsid w:val="00EB7C57"/>
    <w:rsid w:val="00ED2695"/>
    <w:rsid w:val="00EE0F93"/>
    <w:rsid w:val="00F30C9B"/>
    <w:rsid w:val="00F354B1"/>
    <w:rsid w:val="00FB0E4E"/>
    <w:rsid w:val="00FC2D5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536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582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C5822"/>
    <w:pPr>
      <w:keepNext/>
      <w:keepLines/>
      <w:spacing w:before="480"/>
      <w:ind w:left="794" w:hanging="794"/>
      <w:outlineLvl w:val="0"/>
    </w:pPr>
    <w:rPr>
      <w:b/>
    </w:rPr>
  </w:style>
  <w:style w:type="paragraph" w:styleId="Heading2">
    <w:name w:val="heading 2"/>
    <w:basedOn w:val="Heading1"/>
    <w:next w:val="Normal"/>
    <w:qFormat/>
    <w:rsid w:val="00CC5822"/>
    <w:pPr>
      <w:spacing w:before="320"/>
      <w:outlineLvl w:val="1"/>
    </w:pPr>
  </w:style>
  <w:style w:type="paragraph" w:styleId="Heading3">
    <w:name w:val="heading 3"/>
    <w:basedOn w:val="Heading1"/>
    <w:next w:val="Normal"/>
    <w:qFormat/>
    <w:rsid w:val="00CC5822"/>
    <w:pPr>
      <w:spacing w:before="200"/>
      <w:outlineLvl w:val="2"/>
    </w:pPr>
  </w:style>
  <w:style w:type="paragraph" w:styleId="Heading4">
    <w:name w:val="heading 4"/>
    <w:basedOn w:val="Heading3"/>
    <w:next w:val="Normal"/>
    <w:qFormat/>
    <w:rsid w:val="00CC5822"/>
    <w:pPr>
      <w:tabs>
        <w:tab w:val="clear" w:pos="794"/>
        <w:tab w:val="left" w:pos="992"/>
      </w:tabs>
      <w:ind w:left="992" w:hanging="992"/>
      <w:outlineLvl w:val="3"/>
    </w:pPr>
  </w:style>
  <w:style w:type="paragraph" w:styleId="Heading5">
    <w:name w:val="heading 5"/>
    <w:basedOn w:val="Heading4"/>
    <w:next w:val="Normal"/>
    <w:qFormat/>
    <w:rsid w:val="00CC5822"/>
    <w:pPr>
      <w:outlineLvl w:val="4"/>
    </w:pPr>
  </w:style>
  <w:style w:type="paragraph" w:styleId="Heading6">
    <w:name w:val="heading 6"/>
    <w:basedOn w:val="Heading4"/>
    <w:next w:val="Normal"/>
    <w:qFormat/>
    <w:rsid w:val="00CC5822"/>
    <w:pPr>
      <w:tabs>
        <w:tab w:val="clear" w:pos="992"/>
        <w:tab w:val="clear" w:pos="1191"/>
      </w:tabs>
      <w:ind w:left="1588" w:hanging="1588"/>
      <w:outlineLvl w:val="5"/>
    </w:pPr>
  </w:style>
  <w:style w:type="paragraph" w:styleId="Heading7">
    <w:name w:val="heading 7"/>
    <w:basedOn w:val="Heading6"/>
    <w:next w:val="Normal"/>
    <w:qFormat/>
    <w:rsid w:val="00CC5822"/>
    <w:pPr>
      <w:outlineLvl w:val="6"/>
    </w:pPr>
  </w:style>
  <w:style w:type="paragraph" w:styleId="Heading8">
    <w:name w:val="heading 8"/>
    <w:basedOn w:val="Heading6"/>
    <w:next w:val="Normal"/>
    <w:qFormat/>
    <w:rsid w:val="00CC5822"/>
    <w:pPr>
      <w:outlineLvl w:val="7"/>
    </w:pPr>
  </w:style>
  <w:style w:type="paragraph" w:styleId="Heading9">
    <w:name w:val="heading 9"/>
    <w:basedOn w:val="Heading6"/>
    <w:next w:val="Normal"/>
    <w:qFormat/>
    <w:rsid w:val="00CC582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582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582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5822"/>
  </w:style>
  <w:style w:type="paragraph" w:customStyle="1" w:styleId="Headingb">
    <w:name w:val="Heading_b"/>
    <w:basedOn w:val="Heading3"/>
    <w:next w:val="Normal"/>
    <w:rsid w:val="00CC5822"/>
    <w:pPr>
      <w:spacing w:before="160"/>
      <w:ind w:left="0" w:firstLine="0"/>
      <w:outlineLvl w:val="9"/>
    </w:pPr>
  </w:style>
  <w:style w:type="paragraph" w:customStyle="1" w:styleId="Headingi">
    <w:name w:val="Heading_i"/>
    <w:basedOn w:val="Heading3"/>
    <w:next w:val="Normal"/>
    <w:rsid w:val="00CC5822"/>
    <w:pPr>
      <w:spacing w:before="160"/>
      <w:ind w:left="0" w:firstLine="0"/>
    </w:pPr>
    <w:rPr>
      <w:b w:val="0"/>
      <w:i/>
    </w:rPr>
  </w:style>
  <w:style w:type="character" w:customStyle="1" w:styleId="href">
    <w:name w:val="href"/>
    <w:basedOn w:val="DefaultParagraphFont"/>
    <w:rsid w:val="00CC5822"/>
  </w:style>
  <w:style w:type="paragraph" w:customStyle="1" w:styleId="AnnexNoTitle">
    <w:name w:val="Annex_NoTitle"/>
    <w:basedOn w:val="Normal"/>
    <w:next w:val="Normalaftertitle"/>
    <w:link w:val="AnnexNoTitleChar"/>
    <w:rsid w:val="00CC5822"/>
    <w:pPr>
      <w:keepNext/>
      <w:keepLines/>
      <w:spacing w:before="480" w:after="80"/>
      <w:jc w:val="center"/>
    </w:pPr>
    <w:rPr>
      <w:b/>
      <w:sz w:val="28"/>
    </w:rPr>
  </w:style>
  <w:style w:type="paragraph" w:customStyle="1" w:styleId="Normalaftertitle">
    <w:name w:val="Normal_after_title"/>
    <w:basedOn w:val="Normal"/>
    <w:next w:val="Normal"/>
    <w:rsid w:val="00CC5822"/>
    <w:pPr>
      <w:spacing w:before="320"/>
    </w:pPr>
  </w:style>
  <w:style w:type="paragraph" w:customStyle="1" w:styleId="enumlev2">
    <w:name w:val="enumlev2"/>
    <w:basedOn w:val="enumlev1"/>
    <w:rsid w:val="00CC5822"/>
    <w:pPr>
      <w:ind w:left="1191" w:hanging="397"/>
    </w:pPr>
  </w:style>
  <w:style w:type="paragraph" w:customStyle="1" w:styleId="enumlev1">
    <w:name w:val="enumlev1"/>
    <w:basedOn w:val="Normal"/>
    <w:rsid w:val="00CC5822"/>
    <w:pPr>
      <w:spacing w:before="80"/>
      <w:ind w:left="794" w:hanging="794"/>
    </w:pPr>
  </w:style>
  <w:style w:type="paragraph" w:customStyle="1" w:styleId="enumlev3">
    <w:name w:val="enumlev3"/>
    <w:basedOn w:val="enumlev2"/>
    <w:rsid w:val="00CC5822"/>
    <w:pPr>
      <w:ind w:left="1588"/>
    </w:pPr>
  </w:style>
  <w:style w:type="paragraph" w:customStyle="1" w:styleId="Note">
    <w:name w:val="Note"/>
    <w:basedOn w:val="Normal"/>
    <w:rsid w:val="00CC582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582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5822"/>
    <w:pPr>
      <w:keepNext/>
      <w:keepLines/>
      <w:spacing w:before="240"/>
      <w:jc w:val="center"/>
    </w:pPr>
    <w:rPr>
      <w:b/>
      <w:sz w:val="28"/>
    </w:rPr>
  </w:style>
  <w:style w:type="paragraph" w:customStyle="1" w:styleId="Recref">
    <w:name w:val="Rec_ref"/>
    <w:basedOn w:val="Normal"/>
    <w:next w:val="Recdate"/>
    <w:rsid w:val="00CC5822"/>
    <w:pPr>
      <w:jc w:val="center"/>
    </w:pPr>
  </w:style>
  <w:style w:type="paragraph" w:customStyle="1" w:styleId="Recdate">
    <w:name w:val="Rec_date"/>
    <w:basedOn w:val="Recref"/>
    <w:next w:val="Normalaftertitle"/>
    <w:rsid w:val="00CC5822"/>
    <w:pPr>
      <w:jc w:val="right"/>
    </w:pPr>
  </w:style>
  <w:style w:type="paragraph" w:customStyle="1" w:styleId="HeadingSum">
    <w:name w:val="Heading_Sum"/>
    <w:basedOn w:val="Headingb"/>
    <w:next w:val="Normal"/>
    <w:rsid w:val="00CC5822"/>
    <w:pPr>
      <w:spacing w:before="240"/>
    </w:pPr>
    <w:rPr>
      <w:sz w:val="22"/>
      <w:lang w:val="es-ES_tradnl"/>
    </w:rPr>
  </w:style>
  <w:style w:type="paragraph" w:customStyle="1" w:styleId="AppendixNoTitle">
    <w:name w:val="Appendix_NoTitle"/>
    <w:basedOn w:val="AnnexNoTitle"/>
    <w:next w:val="Normal"/>
    <w:rsid w:val="00CC5822"/>
  </w:style>
  <w:style w:type="paragraph" w:customStyle="1" w:styleId="Tablefin">
    <w:name w:val="Table_fin"/>
    <w:basedOn w:val="Normal"/>
    <w:next w:val="Normal"/>
    <w:rsid w:val="00CC5822"/>
    <w:pPr>
      <w:spacing w:before="0"/>
    </w:pPr>
    <w:rPr>
      <w:sz w:val="20"/>
      <w:lang w:val="en-GB"/>
    </w:rPr>
  </w:style>
  <w:style w:type="paragraph" w:customStyle="1" w:styleId="Tablehead">
    <w:name w:val="Table_head"/>
    <w:basedOn w:val="Normal"/>
    <w:next w:val="Normal"/>
    <w:rsid w:val="00CC582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582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5822"/>
    <w:pPr>
      <w:keepNext/>
      <w:spacing w:before="360" w:after="120"/>
      <w:jc w:val="center"/>
    </w:pPr>
  </w:style>
  <w:style w:type="paragraph" w:customStyle="1" w:styleId="Tabletext">
    <w:name w:val="Table_text"/>
    <w:basedOn w:val="Normal"/>
    <w:rsid w:val="00CC582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5822"/>
    <w:pPr>
      <w:tabs>
        <w:tab w:val="clear" w:pos="1191"/>
        <w:tab w:val="clear" w:pos="1588"/>
        <w:tab w:val="clear" w:pos="1985"/>
        <w:tab w:val="center" w:pos="4820"/>
        <w:tab w:val="right" w:pos="9639"/>
      </w:tabs>
    </w:pPr>
  </w:style>
  <w:style w:type="paragraph" w:customStyle="1" w:styleId="Equationlegend">
    <w:name w:val="Equation_legend"/>
    <w:basedOn w:val="NormalIndent"/>
    <w:rsid w:val="00CC582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5822"/>
    <w:pPr>
      <w:ind w:left="794"/>
    </w:pPr>
  </w:style>
  <w:style w:type="paragraph" w:customStyle="1" w:styleId="Figurelegend">
    <w:name w:val="Figure_legend"/>
    <w:basedOn w:val="Normal"/>
    <w:rsid w:val="00CC582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C5822"/>
    <w:pPr>
      <w:keepNext/>
      <w:keepLines/>
      <w:spacing w:before="480" w:after="80"/>
      <w:jc w:val="center"/>
    </w:pPr>
    <w:rPr>
      <w:caps/>
      <w:sz w:val="18"/>
    </w:rPr>
  </w:style>
  <w:style w:type="paragraph" w:customStyle="1" w:styleId="Figuretitle">
    <w:name w:val="Figure_title"/>
    <w:basedOn w:val="Normal"/>
    <w:next w:val="Figure"/>
    <w:rsid w:val="00CC5822"/>
    <w:pPr>
      <w:keepNext/>
      <w:spacing w:before="0" w:after="120"/>
      <w:jc w:val="center"/>
    </w:pPr>
    <w:rPr>
      <w:rFonts w:ascii="Times New Roman Bold" w:hAnsi="Times New Roman Bold"/>
      <w:b/>
      <w:sz w:val="18"/>
    </w:rPr>
  </w:style>
  <w:style w:type="paragraph" w:customStyle="1" w:styleId="Figure">
    <w:name w:val="Figure"/>
    <w:basedOn w:val="FigureNo"/>
    <w:next w:val="Normal"/>
    <w:rsid w:val="00CC5822"/>
    <w:pPr>
      <w:keepNext w:val="0"/>
      <w:spacing w:before="0" w:after="240"/>
    </w:pPr>
  </w:style>
  <w:style w:type="paragraph" w:customStyle="1" w:styleId="tocpart">
    <w:name w:val="tocpart"/>
    <w:basedOn w:val="Normal"/>
    <w:rsid w:val="00CC582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5822"/>
    <w:pPr>
      <w:keepNext/>
      <w:keepLines/>
      <w:spacing w:before="480"/>
      <w:jc w:val="center"/>
    </w:pPr>
    <w:rPr>
      <w:sz w:val="28"/>
    </w:rPr>
  </w:style>
  <w:style w:type="paragraph" w:customStyle="1" w:styleId="Arttitle">
    <w:name w:val="Art_title"/>
    <w:basedOn w:val="Normal"/>
    <w:next w:val="Normalaftertitle"/>
    <w:rsid w:val="00CC5822"/>
    <w:pPr>
      <w:keepNext/>
      <w:keepLines/>
      <w:spacing w:before="240"/>
      <w:jc w:val="center"/>
    </w:pPr>
    <w:rPr>
      <w:b/>
      <w:sz w:val="28"/>
    </w:rPr>
  </w:style>
  <w:style w:type="paragraph" w:customStyle="1" w:styleId="Blanc">
    <w:name w:val="Blanc"/>
    <w:basedOn w:val="Normal"/>
    <w:next w:val="Tabletext"/>
    <w:rsid w:val="00CC582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582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5822"/>
    <w:pPr>
      <w:keepNext/>
      <w:keepLines/>
      <w:spacing w:before="160"/>
      <w:ind w:left="794"/>
    </w:pPr>
    <w:rPr>
      <w:i/>
    </w:rPr>
  </w:style>
  <w:style w:type="paragraph" w:customStyle="1" w:styleId="ChapNo">
    <w:name w:val="Chap_No"/>
    <w:basedOn w:val="ArtNo"/>
    <w:next w:val="Chaptitle"/>
    <w:rsid w:val="00CC5822"/>
    <w:rPr>
      <w:b/>
    </w:rPr>
  </w:style>
  <w:style w:type="paragraph" w:customStyle="1" w:styleId="Chaptitle">
    <w:name w:val="Chap_title"/>
    <w:basedOn w:val="Arttitle"/>
    <w:next w:val="Normalaftertitle"/>
    <w:rsid w:val="00CC5822"/>
  </w:style>
  <w:style w:type="character" w:styleId="FootnoteReference">
    <w:name w:val="footnote reference"/>
    <w:aliases w:val="Appel note de bas de p,Footnote Reference/"/>
    <w:basedOn w:val="DefaultParagraphFont"/>
    <w:rsid w:val="00CC5822"/>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CC5822"/>
    <w:pPr>
      <w:keepLines/>
      <w:tabs>
        <w:tab w:val="left" w:pos="255"/>
      </w:tabs>
      <w:ind w:left="255" w:hanging="255"/>
    </w:pPr>
    <w:rPr>
      <w:sz w:val="22"/>
    </w:rPr>
  </w:style>
  <w:style w:type="paragraph" w:styleId="Index1">
    <w:name w:val="index 1"/>
    <w:basedOn w:val="Normal"/>
    <w:next w:val="Normal"/>
    <w:semiHidden/>
    <w:rsid w:val="00CC5822"/>
  </w:style>
  <w:style w:type="paragraph" w:styleId="Index2">
    <w:name w:val="index 2"/>
    <w:basedOn w:val="Normal"/>
    <w:next w:val="Normal"/>
    <w:semiHidden/>
    <w:rsid w:val="00CC5822"/>
    <w:pPr>
      <w:ind w:left="283"/>
    </w:pPr>
  </w:style>
  <w:style w:type="paragraph" w:styleId="Index3">
    <w:name w:val="index 3"/>
    <w:basedOn w:val="Normal"/>
    <w:next w:val="Normal"/>
    <w:semiHidden/>
    <w:rsid w:val="00CC5822"/>
    <w:pPr>
      <w:ind w:left="566"/>
    </w:pPr>
  </w:style>
  <w:style w:type="paragraph" w:styleId="IndexHeading">
    <w:name w:val="index heading"/>
    <w:basedOn w:val="Normal"/>
    <w:next w:val="Index1"/>
    <w:semiHidden/>
    <w:rsid w:val="00CC5822"/>
  </w:style>
  <w:style w:type="paragraph" w:customStyle="1" w:styleId="Line">
    <w:name w:val="Line"/>
    <w:basedOn w:val="Normal"/>
    <w:next w:val="Normal"/>
    <w:rsid w:val="00CC582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582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5822"/>
  </w:style>
  <w:style w:type="paragraph" w:customStyle="1" w:styleId="Partref">
    <w:name w:val="Part_ref"/>
    <w:basedOn w:val="Normal"/>
    <w:next w:val="Normal"/>
    <w:rsid w:val="00CC5822"/>
    <w:pPr>
      <w:keepNext/>
      <w:keepLines/>
      <w:spacing w:after="280"/>
      <w:jc w:val="center"/>
    </w:pPr>
  </w:style>
  <w:style w:type="paragraph" w:customStyle="1" w:styleId="Parttitle">
    <w:name w:val="Part_title"/>
    <w:basedOn w:val="Normal"/>
    <w:next w:val="Normalaftertitle"/>
    <w:rsid w:val="00CC582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5822"/>
  </w:style>
  <w:style w:type="paragraph" w:customStyle="1" w:styleId="QuestionNo">
    <w:name w:val="Question_No"/>
    <w:basedOn w:val="RecNo"/>
    <w:next w:val="Normal"/>
    <w:rsid w:val="00CC5822"/>
  </w:style>
  <w:style w:type="paragraph" w:customStyle="1" w:styleId="Questionref">
    <w:name w:val="Question_ref"/>
    <w:basedOn w:val="Recref"/>
    <w:next w:val="Questiondate"/>
    <w:rsid w:val="00CC5822"/>
  </w:style>
  <w:style w:type="paragraph" w:customStyle="1" w:styleId="Questiontitle">
    <w:name w:val="Question_title"/>
    <w:basedOn w:val="Normal"/>
    <w:next w:val="Questionref"/>
    <w:rsid w:val="00CC5822"/>
  </w:style>
  <w:style w:type="paragraph" w:customStyle="1" w:styleId="Reftext">
    <w:name w:val="Ref_text"/>
    <w:basedOn w:val="Normal"/>
    <w:rsid w:val="00CC5822"/>
    <w:pPr>
      <w:ind w:left="794" w:hanging="794"/>
    </w:pPr>
    <w:rPr>
      <w:sz w:val="22"/>
    </w:rPr>
  </w:style>
  <w:style w:type="paragraph" w:customStyle="1" w:styleId="Reftitle">
    <w:name w:val="Ref_title"/>
    <w:basedOn w:val="Normal"/>
    <w:next w:val="Reftext"/>
    <w:rsid w:val="00CC582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5822"/>
  </w:style>
  <w:style w:type="paragraph" w:customStyle="1" w:styleId="RepNo">
    <w:name w:val="Rep_No"/>
    <w:basedOn w:val="RecNo"/>
    <w:next w:val="Reptitle"/>
    <w:rsid w:val="00CC5822"/>
  </w:style>
  <w:style w:type="paragraph" w:customStyle="1" w:styleId="Reptitle">
    <w:name w:val="Rep_title"/>
    <w:basedOn w:val="Rectitle"/>
    <w:next w:val="Repref"/>
    <w:rsid w:val="00CC5822"/>
  </w:style>
  <w:style w:type="paragraph" w:customStyle="1" w:styleId="Repref">
    <w:name w:val="Rep_ref"/>
    <w:basedOn w:val="Recref"/>
    <w:next w:val="Repdate"/>
    <w:rsid w:val="00CC5822"/>
  </w:style>
  <w:style w:type="paragraph" w:customStyle="1" w:styleId="Resdate">
    <w:name w:val="Res_date"/>
    <w:basedOn w:val="Recdate"/>
    <w:next w:val="Normalaftertitle"/>
    <w:rsid w:val="00CC5822"/>
  </w:style>
  <w:style w:type="paragraph" w:customStyle="1" w:styleId="ResNo">
    <w:name w:val="Res_No"/>
    <w:basedOn w:val="RecNo"/>
    <w:next w:val="Restitle"/>
    <w:rsid w:val="00CC5822"/>
  </w:style>
  <w:style w:type="paragraph" w:customStyle="1" w:styleId="Restitle">
    <w:name w:val="Res_title"/>
    <w:basedOn w:val="Normal"/>
    <w:next w:val="Resref"/>
    <w:rsid w:val="00CC5822"/>
    <w:pPr>
      <w:spacing w:before="240"/>
      <w:jc w:val="center"/>
    </w:pPr>
    <w:rPr>
      <w:b/>
      <w:sz w:val="28"/>
    </w:rPr>
  </w:style>
  <w:style w:type="paragraph" w:customStyle="1" w:styleId="Resref">
    <w:name w:val="Res_ref"/>
    <w:basedOn w:val="Recref"/>
    <w:next w:val="Resdate"/>
    <w:rsid w:val="00CC5822"/>
  </w:style>
  <w:style w:type="paragraph" w:customStyle="1" w:styleId="SectionNo">
    <w:name w:val="Section_No"/>
    <w:basedOn w:val="Normal"/>
    <w:next w:val="Normal"/>
    <w:rsid w:val="00CC5822"/>
  </w:style>
  <w:style w:type="paragraph" w:customStyle="1" w:styleId="Sectiontitle">
    <w:name w:val="Section_title"/>
    <w:basedOn w:val="Normal"/>
    <w:next w:val="Normalaftertitle"/>
    <w:rsid w:val="00CC582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5822"/>
    <w:pPr>
      <w:tabs>
        <w:tab w:val="clear" w:pos="794"/>
        <w:tab w:val="clear" w:pos="1191"/>
        <w:tab w:val="clear" w:pos="1588"/>
        <w:tab w:val="clear" w:pos="1985"/>
        <w:tab w:val="right" w:pos="9611"/>
      </w:tabs>
    </w:pPr>
    <w:rPr>
      <w:i/>
    </w:rPr>
  </w:style>
  <w:style w:type="paragraph" w:styleId="TOC1">
    <w:name w:val="toc 1"/>
    <w:basedOn w:val="Normal"/>
    <w:semiHidden/>
    <w:rsid w:val="00CC582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5822"/>
    <w:pPr>
      <w:tabs>
        <w:tab w:val="clear" w:pos="567"/>
        <w:tab w:val="left" w:pos="1276"/>
      </w:tabs>
      <w:spacing w:before="160"/>
      <w:ind w:left="1276" w:hanging="709"/>
    </w:pPr>
  </w:style>
  <w:style w:type="paragraph" w:styleId="TOC3">
    <w:name w:val="toc 3"/>
    <w:basedOn w:val="TOC2"/>
    <w:semiHidden/>
    <w:rsid w:val="00CC5822"/>
    <w:pPr>
      <w:tabs>
        <w:tab w:val="clear" w:pos="1276"/>
        <w:tab w:val="left" w:pos="2155"/>
      </w:tabs>
      <w:ind w:left="2155" w:hanging="879"/>
    </w:pPr>
  </w:style>
  <w:style w:type="paragraph" w:styleId="TOC4">
    <w:name w:val="toc 4"/>
    <w:basedOn w:val="TOC3"/>
    <w:semiHidden/>
    <w:rsid w:val="00CC5822"/>
    <w:pPr>
      <w:tabs>
        <w:tab w:val="left" w:pos="3261"/>
      </w:tabs>
      <w:spacing w:before="80"/>
      <w:ind w:left="3261" w:hanging="993"/>
    </w:pPr>
  </w:style>
  <w:style w:type="paragraph" w:styleId="TOC5">
    <w:name w:val="toc 5"/>
    <w:basedOn w:val="TOC4"/>
    <w:semiHidden/>
    <w:rsid w:val="00CC5822"/>
  </w:style>
  <w:style w:type="paragraph" w:styleId="TOC6">
    <w:name w:val="toc 6"/>
    <w:basedOn w:val="TOC4"/>
    <w:semiHidden/>
    <w:rsid w:val="00CC5822"/>
  </w:style>
  <w:style w:type="paragraph" w:styleId="TOC7">
    <w:name w:val="toc 7"/>
    <w:basedOn w:val="TOC4"/>
    <w:semiHidden/>
    <w:rsid w:val="00CC5822"/>
  </w:style>
  <w:style w:type="paragraph" w:styleId="TOC8">
    <w:name w:val="toc 8"/>
    <w:basedOn w:val="TOC4"/>
    <w:semiHidden/>
    <w:rsid w:val="00CC5822"/>
  </w:style>
  <w:style w:type="paragraph" w:customStyle="1" w:styleId="Annexref">
    <w:name w:val="Annex_ref"/>
    <w:basedOn w:val="Normal"/>
    <w:next w:val="Normalaftertitle"/>
    <w:rsid w:val="00CC5822"/>
    <w:pPr>
      <w:keepNext/>
      <w:keepLines/>
      <w:spacing w:after="280"/>
      <w:jc w:val="center"/>
    </w:pPr>
  </w:style>
  <w:style w:type="paragraph" w:customStyle="1" w:styleId="Appendixref">
    <w:name w:val="Appendix_ref"/>
    <w:basedOn w:val="Annexref"/>
    <w:next w:val="Normalaftertitle"/>
    <w:rsid w:val="00CC5822"/>
  </w:style>
  <w:style w:type="paragraph" w:customStyle="1" w:styleId="Tabletitle">
    <w:name w:val="Table_title"/>
    <w:basedOn w:val="Normal"/>
    <w:next w:val="Tablehead"/>
    <w:rsid w:val="00CC5822"/>
    <w:pPr>
      <w:keepNext/>
      <w:spacing w:before="0" w:after="120"/>
      <w:jc w:val="center"/>
    </w:pPr>
    <w:rPr>
      <w:b/>
    </w:rPr>
  </w:style>
  <w:style w:type="paragraph" w:customStyle="1" w:styleId="Summary">
    <w:name w:val="Summary"/>
    <w:basedOn w:val="Normal"/>
    <w:next w:val="Normalaftertitle"/>
    <w:rsid w:val="00CC5822"/>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AnnexNoTitleChar">
    <w:name w:val="Annex_NoTitle Char"/>
    <w:basedOn w:val="DefaultParagraphFont"/>
    <w:link w:val="AnnexNoTitle"/>
    <w:rsid w:val="003B33D5"/>
    <w:rPr>
      <w:b/>
      <w:sz w:val="28"/>
      <w:lang w:val="fr-FR" w:eastAsia="en-US"/>
    </w:rPr>
  </w:style>
  <w:style w:type="character" w:customStyle="1" w:styleId="Heading1Char">
    <w:name w:val="Heading 1 Char"/>
    <w:basedOn w:val="DefaultParagraphFont"/>
    <w:link w:val="Heading1"/>
    <w:rsid w:val="009215A4"/>
    <w:rPr>
      <w:b/>
      <w:sz w:val="24"/>
      <w:lang w:val="fr-FR" w:eastAsia="en-US"/>
    </w:rPr>
  </w:style>
  <w:style w:type="paragraph" w:customStyle="1" w:styleId="TableLegendNote">
    <w:name w:val="Table_Legend_Note"/>
    <w:basedOn w:val="Tablelegend"/>
    <w:next w:val="Tablelegend"/>
    <w:rsid w:val="00CC5822"/>
    <w:pPr>
      <w:ind w:left="-85" w:firstLine="0"/>
    </w:pPr>
    <w:rPr>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1660E0"/>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4.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TotalTime>
  <Pages>8</Pages>
  <Words>1808</Words>
  <Characters>10307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RECOMMENDATION  ITU-R  F.1570-2* - Impact of uplink transmission in the fixed service using high altitude platform stations on the Earth exploration-satellite service (passive) in the 31.3-31.8 GHz band</vt:lpstr>
    </vt:vector>
  </TitlesOfParts>
  <Manager/>
  <Company>ITU</Company>
  <LinksUpToDate>false</LinksUpToDate>
  <CharactersWithSpaces>12091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F.1570-2* - Impact of uplink transmission in the fixed service using high altitude platform stations on the Earth exploration-satellite service (passive) in the 31.3-31.8 GHz band</dc:title>
  <dc:subject>F Series = Fixed service</dc:subject>
  <dc:creator>ITU Radiocommunication Bureau (BR)</dc:creator>
  <cp:keywords>F,1570-2*</cp:keywords>
  <dc:description>Santosbo, 06/05/2010, MSB106309</dc:description>
  <cp:lastModifiedBy>santosbo</cp:lastModifiedBy>
  <cp:revision>9</cp:revision>
  <cp:lastPrinted>2009-06-26T13:19:00Z</cp:lastPrinted>
  <dcterms:created xsi:type="dcterms:W3CDTF">2010-05-04T11:44:00Z</dcterms:created>
  <dcterms:modified xsi:type="dcterms:W3CDTF">2011-03-22T13:25:00Z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06 May 2010</vt:lpwstr>
  </property>
</Properties>
</file>