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3782" w14:textId="77777777" w:rsidR="00FE79FE" w:rsidRDefault="00FE79FE"/>
    <w:p w14:paraId="01395D1B" w14:textId="77777777" w:rsidR="00013002" w:rsidRDefault="00013002" w:rsidP="00DE5556">
      <w:pPr>
        <w:tabs>
          <w:tab w:val="clear" w:pos="794"/>
          <w:tab w:val="clear" w:pos="1191"/>
          <w:tab w:val="clear" w:pos="1588"/>
          <w:tab w:val="clear" w:pos="1985"/>
        </w:tabs>
      </w:pPr>
    </w:p>
    <w:p w14:paraId="10B59759" w14:textId="2D68568C" w:rsidR="00D5024B" w:rsidRPr="004511C0" w:rsidRDefault="00D5024B" w:rsidP="00D5024B">
      <w:pPr>
        <w:pStyle w:val="CoverNumber"/>
        <w:rPr>
          <w:lang w:val="en-GB"/>
        </w:rPr>
      </w:pPr>
      <w:r w:rsidRPr="004511C0">
        <w:rPr>
          <w:lang w:val="en-GB"/>
        </w:rPr>
        <w:t xml:space="preserve">Recommendation ITU-R </w:t>
      </w:r>
      <w:r w:rsidR="00E040CD" w:rsidRPr="004511C0">
        <w:rPr>
          <w:lang w:val="en-GB"/>
        </w:rPr>
        <w:t>F</w:t>
      </w:r>
      <w:r w:rsidRPr="004511C0">
        <w:rPr>
          <w:lang w:val="en-GB"/>
        </w:rPr>
        <w:t>.</w:t>
      </w:r>
      <w:r w:rsidR="0024286E" w:rsidRPr="004511C0">
        <w:rPr>
          <w:lang w:val="en-GB"/>
        </w:rPr>
        <w:t>1568-2</w:t>
      </w:r>
    </w:p>
    <w:p w14:paraId="217BF033" w14:textId="04125E31" w:rsidR="00D5024B" w:rsidRPr="004511C0" w:rsidRDefault="00D5024B" w:rsidP="00D5024B">
      <w:pPr>
        <w:pStyle w:val="CoverDate"/>
        <w:rPr>
          <w:lang w:val="en-GB"/>
        </w:rPr>
      </w:pPr>
      <w:r w:rsidRPr="004511C0">
        <w:rPr>
          <w:lang w:val="en-GB"/>
        </w:rPr>
        <w:t>(</w:t>
      </w:r>
      <w:r w:rsidR="0024286E" w:rsidRPr="004511C0">
        <w:rPr>
          <w:lang w:val="en-GB"/>
        </w:rPr>
        <w:t>12</w:t>
      </w:r>
      <w:r w:rsidRPr="004511C0">
        <w:rPr>
          <w:lang w:val="en-GB"/>
        </w:rPr>
        <w:t>/</w:t>
      </w:r>
      <w:r w:rsidR="0024286E" w:rsidRPr="004511C0">
        <w:rPr>
          <w:lang w:val="en-GB"/>
        </w:rPr>
        <w:t>2023</w:t>
      </w:r>
      <w:r w:rsidRPr="004511C0">
        <w:rPr>
          <w:lang w:val="en-GB"/>
        </w:rPr>
        <w:t>)</w:t>
      </w:r>
    </w:p>
    <w:p w14:paraId="2ABAA2B7" w14:textId="77777777" w:rsidR="00D5024B" w:rsidRPr="004A6FEB" w:rsidRDefault="00E040CD" w:rsidP="00D5024B">
      <w:pPr>
        <w:pStyle w:val="CoverSeries"/>
      </w:pPr>
      <w:r>
        <w:t>F</w:t>
      </w:r>
      <w:r w:rsidR="00D5024B" w:rsidRPr="00146733">
        <w:t xml:space="preserve"> Series: </w:t>
      </w:r>
      <w:r w:rsidRPr="0024286E">
        <w:rPr>
          <w:lang w:val="en-GB"/>
        </w:rPr>
        <w:t>Fixed service</w:t>
      </w:r>
    </w:p>
    <w:p w14:paraId="550121EE" w14:textId="77A405E5" w:rsidR="00D5024B" w:rsidRPr="004A6FEB" w:rsidRDefault="0024286E" w:rsidP="00D5024B">
      <w:pPr>
        <w:pStyle w:val="CoverTitle"/>
      </w:pPr>
      <w:r w:rsidRPr="0024286E">
        <w:rPr>
          <w:lang w:val="en-GB"/>
        </w:rPr>
        <w:t>Radio-frequency block arrangements for fixed wireless access systems</w:t>
      </w:r>
      <w:r>
        <w:rPr>
          <w:lang w:val="en-GB"/>
        </w:rPr>
        <w:t xml:space="preserve"> </w:t>
      </w:r>
      <w:r w:rsidRPr="0024286E">
        <w:rPr>
          <w:lang w:val="en-GB"/>
        </w:rPr>
        <w:t>in the range 10.15-10.3/10.5-10.65 GHz</w:t>
      </w:r>
    </w:p>
    <w:p w14:paraId="277F88AF" w14:textId="77777777" w:rsidR="00FE79FE" w:rsidRPr="005373E0" w:rsidRDefault="00FE79FE" w:rsidP="005373E0">
      <w:pPr>
        <w:rPr>
          <w:lang w:val="en-US"/>
        </w:rPr>
      </w:pPr>
    </w:p>
    <w:p w14:paraId="62AB5BDE" w14:textId="77777777" w:rsidR="00A71FE5" w:rsidRPr="005373E0" w:rsidRDefault="00A71FE5" w:rsidP="005373E0"/>
    <w:p w14:paraId="62F039A0" w14:textId="77777777" w:rsidR="00EE47C4" w:rsidRPr="005373E0" w:rsidRDefault="00EE47C4" w:rsidP="005373E0">
      <w:pPr>
        <w:sectPr w:rsidR="00EE47C4" w:rsidRPr="005373E0" w:rsidSect="0027411A">
          <w:headerReference w:type="even" r:id="rId7"/>
          <w:headerReference w:type="default" r:id="rId8"/>
          <w:footerReference w:type="default" r:id="rId9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34DF9122" w14:textId="77777777" w:rsidR="00D5024B" w:rsidRPr="00586EF8" w:rsidRDefault="00D5024B" w:rsidP="00D5024B">
      <w:pPr>
        <w:pStyle w:val="Tablehea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240" w:after="0"/>
        <w:rPr>
          <w:bCs/>
          <w:sz w:val="24"/>
          <w:szCs w:val="24"/>
          <w:lang w:val="en-US"/>
        </w:rPr>
      </w:pPr>
      <w:bookmarkStart w:id="0" w:name="c2tope"/>
      <w:bookmarkEnd w:id="0"/>
      <w:r w:rsidRPr="00586EF8">
        <w:rPr>
          <w:bCs/>
          <w:sz w:val="24"/>
          <w:szCs w:val="24"/>
          <w:lang w:val="en-US"/>
        </w:rPr>
        <w:lastRenderedPageBreak/>
        <w:t>Foreword</w:t>
      </w:r>
    </w:p>
    <w:p w14:paraId="7FCF8F4D" w14:textId="77777777" w:rsidR="00D5024B" w:rsidRDefault="00D5024B" w:rsidP="00D5024B">
      <w:pPr>
        <w:spacing w:before="240"/>
        <w:rPr>
          <w:sz w:val="20"/>
          <w:lang w:val="en-US"/>
        </w:rPr>
      </w:pPr>
      <w:r>
        <w:rPr>
          <w:sz w:val="20"/>
          <w:lang w:val="en-US"/>
        </w:rPr>
        <w:t>The role of the Radiocommunication Sector is to ensure the rational, equitable, efficient and economical use of the radio-frequency spectrum by all radiocommunication services, including satellite services, and carry out studies without limit of frequency range on the basis of which Recommendations are adopted.</w:t>
      </w:r>
    </w:p>
    <w:p w14:paraId="58B987E3" w14:textId="77777777" w:rsidR="00D5024B" w:rsidRDefault="00D5024B" w:rsidP="00D5024B">
      <w:pPr>
        <w:rPr>
          <w:sz w:val="20"/>
          <w:lang w:val="en-US"/>
        </w:rPr>
      </w:pPr>
      <w:r>
        <w:rPr>
          <w:sz w:val="20"/>
          <w:lang w:val="en-US"/>
        </w:rPr>
        <w:t>The regulatory and policy functions of the Radiocommunication Sector are performed by World and Regional Radiocommunication Conferences and Radiocommunication Assemblies supported by Study Groups.</w:t>
      </w:r>
    </w:p>
    <w:p w14:paraId="609F06AD" w14:textId="77777777" w:rsidR="00D5024B" w:rsidRPr="00B714F3" w:rsidRDefault="00D5024B" w:rsidP="00D5024B">
      <w:pPr>
        <w:pStyle w:val="Heading1"/>
        <w:spacing w:before="680"/>
        <w:jc w:val="center"/>
        <w:rPr>
          <w:szCs w:val="24"/>
          <w:lang w:val="en-US"/>
        </w:rPr>
      </w:pPr>
      <w:r w:rsidRPr="00B714F3">
        <w:rPr>
          <w:szCs w:val="24"/>
          <w:lang w:val="en-US"/>
        </w:rPr>
        <w:t>Policy on Intellectual Property Right (IPR)</w:t>
      </w:r>
    </w:p>
    <w:p w14:paraId="4FCFF450" w14:textId="77777777" w:rsidR="00D5024B" w:rsidRPr="00B714F3" w:rsidRDefault="00D5024B" w:rsidP="00D5024B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 w:val="20"/>
          <w:lang w:val="en-US"/>
        </w:rPr>
      </w:pPr>
      <w:r w:rsidRPr="00B714F3">
        <w:rPr>
          <w:sz w:val="20"/>
          <w:lang w:val="en-US"/>
        </w:rPr>
        <w:t>ITU-R policy on IPR is described in the Common Patent Policy for ITU-T/ITU-R/ISO/IEC referenced in Resolution ITU</w:t>
      </w:r>
      <w:r w:rsidR="00477729">
        <w:rPr>
          <w:sz w:val="20"/>
          <w:lang w:val="en-US"/>
        </w:rPr>
        <w:noBreakHyphen/>
      </w:r>
      <w:r w:rsidRPr="00B714F3">
        <w:rPr>
          <w:sz w:val="20"/>
          <w:lang w:val="en-US"/>
        </w:rPr>
        <w:t xml:space="preserve">R 1. Forms to be used for the submission of patent statements and licensing declarations by patent holders are available from </w:t>
      </w:r>
      <w:hyperlink r:id="rId10" w:history="1">
        <w:r w:rsidRPr="00B714F3">
          <w:rPr>
            <w:rStyle w:val="Hyperlink"/>
            <w:sz w:val="20"/>
            <w:lang w:val="en-US"/>
          </w:rPr>
          <w:t>http://www.itu.int/ITU</w:t>
        </w:r>
        <w:r>
          <w:rPr>
            <w:rStyle w:val="Hyperlink"/>
            <w:sz w:val="20"/>
            <w:lang w:val="en-US"/>
          </w:rPr>
          <w:t>-</w:t>
        </w:r>
        <w:r w:rsidRPr="00B714F3">
          <w:rPr>
            <w:rStyle w:val="Hyperlink"/>
            <w:sz w:val="20"/>
            <w:lang w:val="en-US"/>
          </w:rPr>
          <w:t>R/go/patents/en</w:t>
        </w:r>
      </w:hyperlink>
      <w:r w:rsidRPr="00B714F3">
        <w:rPr>
          <w:sz w:val="20"/>
          <w:lang w:val="en-US"/>
        </w:rPr>
        <w:t xml:space="preserve"> where the Guidelines for Implementation of the Common Patent Policy for ITU</w:t>
      </w:r>
      <w:r w:rsidRPr="00B714F3">
        <w:rPr>
          <w:sz w:val="20"/>
          <w:lang w:val="en-US"/>
        </w:rPr>
        <w:noBreakHyphen/>
        <w:t>T/ITU</w:t>
      </w:r>
      <w:r w:rsidRPr="00B714F3">
        <w:rPr>
          <w:sz w:val="20"/>
          <w:lang w:val="en-US"/>
        </w:rPr>
        <w:noBreakHyphen/>
        <w:t xml:space="preserve">R/ISO/IEC and the ITU-R patent information database can also be found. </w:t>
      </w:r>
    </w:p>
    <w:p w14:paraId="77DC7641" w14:textId="77777777" w:rsidR="00D5024B" w:rsidRDefault="00D5024B" w:rsidP="00D5024B">
      <w:pPr>
        <w:jc w:val="center"/>
        <w:rPr>
          <w:sz w:val="22"/>
          <w:lang w:val="en-US"/>
        </w:rPr>
      </w:pPr>
    </w:p>
    <w:p w14:paraId="5FB1899B" w14:textId="77777777" w:rsidR="00A76007" w:rsidRDefault="00A76007" w:rsidP="00D5024B">
      <w:pPr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 w:firstRow="0" w:lastRow="0" w:firstColumn="0" w:lastColumn="0" w:noHBand="0" w:noVBand="0"/>
      </w:tblPr>
      <w:tblGrid>
        <w:gridCol w:w="1170"/>
        <w:gridCol w:w="8439"/>
      </w:tblGrid>
      <w:tr w:rsidR="00D5024B" w:rsidRPr="005F7CD0" w14:paraId="0E336D6A" w14:textId="77777777" w:rsidTr="00A76007">
        <w:tc>
          <w:tcPr>
            <w:tcW w:w="9360" w:type="dxa"/>
            <w:gridSpan w:val="2"/>
          </w:tcPr>
          <w:p w14:paraId="38F8F206" w14:textId="77777777" w:rsidR="00D5024B" w:rsidRPr="00036EE3" w:rsidRDefault="00D5024B" w:rsidP="000B4BD9">
            <w:pPr>
              <w:pStyle w:val="Chaptitle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180"/>
              <w:textAlignment w:val="auto"/>
              <w:rPr>
                <w:sz w:val="22"/>
                <w:szCs w:val="22"/>
                <w:lang w:val="en-US"/>
              </w:rPr>
            </w:pPr>
            <w:r w:rsidRPr="00036EE3">
              <w:rPr>
                <w:sz w:val="22"/>
                <w:szCs w:val="22"/>
                <w:lang w:val="en-US"/>
              </w:rPr>
              <w:t>Series of ITU-R Recommendations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4169AD8A" w14:textId="77777777" w:rsidR="00D5024B" w:rsidRPr="00036EE3" w:rsidRDefault="00D5024B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20" w:after="60"/>
              <w:rPr>
                <w:bCs/>
                <w:sz w:val="18"/>
                <w:szCs w:val="18"/>
                <w:lang w:val="en-US"/>
              </w:rPr>
            </w:pPr>
            <w:r w:rsidRPr="00CE0A43">
              <w:rPr>
                <w:b w:val="0"/>
                <w:sz w:val="18"/>
                <w:szCs w:val="18"/>
                <w:lang w:val="en-US"/>
              </w:rPr>
              <w:t>(</w:t>
            </w:r>
            <w:r w:rsidRPr="00036EE3">
              <w:rPr>
                <w:b w:val="0"/>
                <w:sz w:val="18"/>
                <w:szCs w:val="18"/>
                <w:lang w:val="en-US"/>
              </w:rPr>
              <w:t xml:space="preserve">Also available online at </w:t>
            </w:r>
            <w:hyperlink r:id="rId11" w:history="1">
              <w:r w:rsidR="00940D16">
                <w:rPr>
                  <w:rStyle w:val="Hyperlink"/>
                  <w:b w:val="0"/>
                  <w:sz w:val="18"/>
                  <w:szCs w:val="18"/>
                  <w:lang w:val="en-US"/>
                </w:rPr>
                <w:t>https://www.itu.int/publ/R-REC/en</w:t>
              </w:r>
            </w:hyperlink>
            <w:r w:rsidRPr="00CE0A43">
              <w:rPr>
                <w:b w:val="0"/>
                <w:sz w:val="18"/>
                <w:szCs w:val="18"/>
                <w:lang w:val="en-US"/>
              </w:rPr>
              <w:t>)</w:t>
            </w:r>
          </w:p>
        </w:tc>
      </w:tr>
      <w:tr w:rsidR="00D5024B" w:rsidRPr="00036EE3" w14:paraId="7DA7AA1F" w14:textId="77777777" w:rsidTr="00BD4283">
        <w:tc>
          <w:tcPr>
            <w:tcW w:w="1140" w:type="dxa"/>
            <w:tcBorders>
              <w:bottom w:val="nil"/>
            </w:tcBorders>
            <w:vAlign w:val="bottom"/>
          </w:tcPr>
          <w:p w14:paraId="65F92CA9" w14:textId="77777777" w:rsidR="00D5024B" w:rsidRPr="00036EE3" w:rsidRDefault="00D5024B" w:rsidP="00BD4283">
            <w:pPr>
              <w:spacing w:before="200" w:after="10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Series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14:paraId="23332F3B" w14:textId="77777777" w:rsidR="00D5024B" w:rsidRPr="00036EE3" w:rsidRDefault="00D5024B" w:rsidP="00BD4283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40" w:after="100"/>
              <w:rPr>
                <w:bCs/>
                <w:sz w:val="20"/>
                <w:lang w:val="en-US"/>
              </w:rPr>
            </w:pPr>
            <w:r w:rsidRPr="00036EE3">
              <w:rPr>
                <w:bCs/>
                <w:sz w:val="20"/>
                <w:lang w:val="en-US"/>
              </w:rPr>
              <w:t>Title</w:t>
            </w:r>
          </w:p>
        </w:tc>
      </w:tr>
      <w:tr w:rsidR="00D5024B" w:rsidRPr="00A4173A" w14:paraId="6A764A12" w14:textId="77777777" w:rsidTr="00A7600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2436503D" w14:textId="77777777" w:rsidR="00D5024B" w:rsidRPr="00A4173A" w:rsidRDefault="00D5024B" w:rsidP="000B4BD9">
            <w:pPr>
              <w:spacing w:before="30" w:after="30"/>
              <w:ind w:left="57"/>
              <w:jc w:val="left"/>
              <w:rPr>
                <w:b/>
                <w:sz w:val="20"/>
                <w:lang w:val="en-US"/>
              </w:rPr>
            </w:pPr>
            <w:r w:rsidRPr="00A4173A">
              <w:rPr>
                <w:b/>
                <w:sz w:val="20"/>
                <w:lang w:val="en-US"/>
              </w:rPr>
              <w:t>BO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52B0FA11" w14:textId="77777777" w:rsidR="00D5024B" w:rsidRPr="00A4173A" w:rsidRDefault="00D5024B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bCs/>
                <w:sz w:val="20"/>
                <w:lang w:val="en-US"/>
              </w:rPr>
            </w:pPr>
            <w:r w:rsidRPr="00A4173A">
              <w:rPr>
                <w:b w:val="0"/>
                <w:bCs/>
                <w:sz w:val="20"/>
                <w:lang w:val="en-US"/>
              </w:rPr>
              <w:t>Satellite delivery</w:t>
            </w:r>
          </w:p>
        </w:tc>
      </w:tr>
      <w:tr w:rsidR="00D5024B" w:rsidRPr="005F7CD0" w14:paraId="3C62F48C" w14:textId="77777777" w:rsidTr="00A76007">
        <w:tc>
          <w:tcPr>
            <w:tcW w:w="1140" w:type="dxa"/>
            <w:tcBorders>
              <w:top w:val="nil"/>
            </w:tcBorders>
          </w:tcPr>
          <w:p w14:paraId="570483F5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BR</w:t>
            </w:r>
          </w:p>
        </w:tc>
        <w:tc>
          <w:tcPr>
            <w:tcW w:w="8220" w:type="dxa"/>
            <w:tcBorders>
              <w:top w:val="nil"/>
            </w:tcBorders>
          </w:tcPr>
          <w:p w14:paraId="63472BAA" w14:textId="77777777" w:rsidR="00D5024B" w:rsidRPr="00036EE3" w:rsidRDefault="00D5024B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036EE3">
              <w:rPr>
                <w:b w:val="0"/>
                <w:sz w:val="20"/>
                <w:lang w:val="en-US"/>
              </w:rPr>
              <w:t>Recording for production, archival and play-out; film for television</w:t>
            </w:r>
          </w:p>
        </w:tc>
      </w:tr>
      <w:tr w:rsidR="00D5024B" w:rsidRPr="00B76D85" w14:paraId="477EA5DC" w14:textId="77777777" w:rsidTr="002E0CCE">
        <w:tc>
          <w:tcPr>
            <w:tcW w:w="1140" w:type="dxa"/>
            <w:shd w:val="clear" w:color="auto" w:fill="FFFFFF" w:themeFill="background1"/>
          </w:tcPr>
          <w:p w14:paraId="3B4C65E4" w14:textId="77777777" w:rsidR="00D5024B" w:rsidRPr="00192E38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192E38">
              <w:rPr>
                <w:b/>
                <w:bCs/>
                <w:sz w:val="20"/>
                <w:lang w:val="en-US"/>
              </w:rPr>
              <w:t>BS</w:t>
            </w:r>
          </w:p>
        </w:tc>
        <w:tc>
          <w:tcPr>
            <w:tcW w:w="8220" w:type="dxa"/>
            <w:shd w:val="clear" w:color="auto" w:fill="FFFFFF" w:themeFill="background1"/>
          </w:tcPr>
          <w:p w14:paraId="7CEDBD28" w14:textId="77777777" w:rsidR="00D5024B" w:rsidRPr="00192E38" w:rsidRDefault="00D5024B" w:rsidP="00192E3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fr-CH"/>
              </w:rPr>
            </w:pPr>
            <w:r w:rsidRPr="00192E38">
              <w:rPr>
                <w:sz w:val="20"/>
                <w:lang w:val="fr-CH"/>
              </w:rPr>
              <w:t>Broadcasting service (sound)</w:t>
            </w:r>
          </w:p>
        </w:tc>
      </w:tr>
      <w:tr w:rsidR="00D5024B" w:rsidRPr="00ED2695" w14:paraId="48BE60FC" w14:textId="77777777" w:rsidTr="002E0CCE">
        <w:tc>
          <w:tcPr>
            <w:tcW w:w="1140" w:type="dxa"/>
            <w:shd w:val="clear" w:color="auto" w:fill="FFFFFF" w:themeFill="background1"/>
          </w:tcPr>
          <w:p w14:paraId="60ADCC5A" w14:textId="77777777" w:rsidR="00D5024B" w:rsidRPr="00E040CD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E040CD">
              <w:rPr>
                <w:b/>
                <w:bCs/>
                <w:sz w:val="20"/>
                <w:lang w:val="en-US"/>
              </w:rPr>
              <w:t>BT</w:t>
            </w:r>
          </w:p>
        </w:tc>
        <w:tc>
          <w:tcPr>
            <w:tcW w:w="8220" w:type="dxa"/>
            <w:shd w:val="clear" w:color="auto" w:fill="FFFFFF" w:themeFill="background1"/>
          </w:tcPr>
          <w:p w14:paraId="068573F6" w14:textId="77777777" w:rsidR="00D5024B" w:rsidRPr="00E040CD" w:rsidRDefault="00D5024B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E040CD">
              <w:rPr>
                <w:b w:val="0"/>
                <w:sz w:val="20"/>
                <w:lang w:val="en-US"/>
              </w:rPr>
              <w:t>Broadcasting service (television)</w:t>
            </w:r>
          </w:p>
        </w:tc>
      </w:tr>
      <w:tr w:rsidR="00D5024B" w:rsidRPr="00036EE3" w14:paraId="0FEBEB8F" w14:textId="77777777" w:rsidTr="002E0CCE">
        <w:tc>
          <w:tcPr>
            <w:tcW w:w="1140" w:type="dxa"/>
            <w:shd w:val="clear" w:color="auto" w:fill="F2F2F2" w:themeFill="background1" w:themeFillShade="F2"/>
          </w:tcPr>
          <w:p w14:paraId="4A9B7B5D" w14:textId="77777777" w:rsidR="00D5024B" w:rsidRPr="00E040CD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color w:val="000080"/>
                <w:sz w:val="20"/>
                <w:lang w:val="en-US"/>
              </w:rPr>
            </w:pPr>
            <w:r w:rsidRPr="00E040CD">
              <w:rPr>
                <w:b/>
                <w:bCs/>
                <w:color w:val="000080"/>
                <w:sz w:val="20"/>
                <w:lang w:val="en-US"/>
              </w:rPr>
              <w:t>F</w:t>
            </w:r>
          </w:p>
        </w:tc>
        <w:tc>
          <w:tcPr>
            <w:tcW w:w="8220" w:type="dxa"/>
            <w:shd w:val="clear" w:color="auto" w:fill="F2F2F2" w:themeFill="background1" w:themeFillShade="F2"/>
          </w:tcPr>
          <w:p w14:paraId="49D87421" w14:textId="77777777" w:rsidR="00D5024B" w:rsidRPr="00E040CD" w:rsidRDefault="00D5024B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b/>
                <w:bCs/>
                <w:color w:val="000080"/>
                <w:sz w:val="20"/>
                <w:lang w:val="en-US"/>
              </w:rPr>
            </w:pPr>
            <w:r w:rsidRPr="00E040CD">
              <w:rPr>
                <w:b/>
                <w:bCs/>
                <w:color w:val="000080"/>
                <w:sz w:val="20"/>
                <w:lang w:val="en-US"/>
              </w:rPr>
              <w:t>Fixed service</w:t>
            </w:r>
          </w:p>
        </w:tc>
      </w:tr>
      <w:tr w:rsidR="00D5024B" w:rsidRPr="00036EE3" w14:paraId="58E4AF2F" w14:textId="77777777" w:rsidTr="00A76007">
        <w:tc>
          <w:tcPr>
            <w:tcW w:w="1140" w:type="dxa"/>
            <w:shd w:val="clear" w:color="auto" w:fill="auto"/>
          </w:tcPr>
          <w:p w14:paraId="68B8910F" w14:textId="77777777" w:rsidR="00D5024B" w:rsidRPr="00906589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906589">
              <w:rPr>
                <w:b/>
                <w:bCs/>
                <w:sz w:val="20"/>
                <w:lang w:val="en-US"/>
              </w:rPr>
              <w:t>M</w:t>
            </w:r>
          </w:p>
        </w:tc>
        <w:tc>
          <w:tcPr>
            <w:tcW w:w="8220" w:type="dxa"/>
            <w:shd w:val="clear" w:color="auto" w:fill="auto"/>
          </w:tcPr>
          <w:p w14:paraId="0BA1CA90" w14:textId="77777777" w:rsidR="00D5024B" w:rsidRPr="00906589" w:rsidRDefault="00D5024B" w:rsidP="000B4BD9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jc w:val="left"/>
              <w:rPr>
                <w:b w:val="0"/>
                <w:sz w:val="20"/>
                <w:lang w:val="en-US"/>
              </w:rPr>
            </w:pPr>
            <w:r w:rsidRPr="00906589">
              <w:rPr>
                <w:b w:val="0"/>
                <w:sz w:val="20"/>
                <w:lang w:val="en-US"/>
              </w:rPr>
              <w:t>Mobile, radiodetermination, amateur and related satellite services</w:t>
            </w:r>
          </w:p>
        </w:tc>
      </w:tr>
      <w:tr w:rsidR="00D5024B" w:rsidRPr="00036EE3" w14:paraId="0E3EEB26" w14:textId="77777777" w:rsidTr="00A76007">
        <w:tc>
          <w:tcPr>
            <w:tcW w:w="1140" w:type="dxa"/>
          </w:tcPr>
          <w:p w14:paraId="582172BE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fr-CH"/>
              </w:rPr>
            </w:pPr>
            <w:r w:rsidRPr="00036EE3">
              <w:rPr>
                <w:b/>
                <w:bCs/>
                <w:sz w:val="20"/>
                <w:lang w:val="fr-CH"/>
              </w:rPr>
              <w:t>P</w:t>
            </w:r>
          </w:p>
        </w:tc>
        <w:tc>
          <w:tcPr>
            <w:tcW w:w="8220" w:type="dxa"/>
          </w:tcPr>
          <w:p w14:paraId="163BC69B" w14:textId="77777777" w:rsidR="00D5024B" w:rsidRPr="00036EE3" w:rsidRDefault="00D5024B" w:rsidP="000B4BD9">
            <w:pPr>
              <w:spacing w:before="30" w:after="30"/>
              <w:jc w:val="left"/>
              <w:rPr>
                <w:sz w:val="20"/>
                <w:lang w:val="fr-CH"/>
              </w:rPr>
            </w:pPr>
            <w:r w:rsidRPr="00036EE3">
              <w:rPr>
                <w:sz w:val="20"/>
                <w:lang w:val="fr-CH"/>
              </w:rPr>
              <w:t>Radiowave propagation</w:t>
            </w:r>
          </w:p>
        </w:tc>
      </w:tr>
      <w:tr w:rsidR="00D5024B" w:rsidRPr="00036EE3" w14:paraId="6FE3C817" w14:textId="77777777" w:rsidTr="00A76007">
        <w:tc>
          <w:tcPr>
            <w:tcW w:w="1140" w:type="dxa"/>
          </w:tcPr>
          <w:p w14:paraId="1ECFC52F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RA</w:t>
            </w:r>
          </w:p>
        </w:tc>
        <w:tc>
          <w:tcPr>
            <w:tcW w:w="8220" w:type="dxa"/>
          </w:tcPr>
          <w:p w14:paraId="23CC4E47" w14:textId="77777777" w:rsidR="00D5024B" w:rsidRPr="00036EE3" w:rsidRDefault="00D5024B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Radio astronomy</w:t>
            </w:r>
          </w:p>
        </w:tc>
      </w:tr>
      <w:tr w:rsidR="00D5024B" w:rsidRPr="00036EE3" w14:paraId="0D94AE8B" w14:textId="77777777" w:rsidTr="00A76007">
        <w:tc>
          <w:tcPr>
            <w:tcW w:w="1140" w:type="dxa"/>
          </w:tcPr>
          <w:p w14:paraId="10801371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RS</w:t>
            </w:r>
          </w:p>
        </w:tc>
        <w:tc>
          <w:tcPr>
            <w:tcW w:w="8220" w:type="dxa"/>
          </w:tcPr>
          <w:p w14:paraId="1C769DE9" w14:textId="77777777" w:rsidR="00D5024B" w:rsidRPr="00036EE3" w:rsidRDefault="00D5024B" w:rsidP="000B4BD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30" w:after="30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Remote sensing systems</w:t>
            </w:r>
          </w:p>
        </w:tc>
      </w:tr>
      <w:tr w:rsidR="00D5024B" w:rsidRPr="00036EE3" w14:paraId="35B4BB48" w14:textId="77777777" w:rsidTr="00A76007">
        <w:tc>
          <w:tcPr>
            <w:tcW w:w="1140" w:type="dxa"/>
            <w:tcBorders>
              <w:bottom w:val="nil"/>
            </w:tcBorders>
          </w:tcPr>
          <w:p w14:paraId="1BF8B522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8220" w:type="dxa"/>
            <w:tcBorders>
              <w:bottom w:val="nil"/>
            </w:tcBorders>
          </w:tcPr>
          <w:p w14:paraId="2F499A64" w14:textId="77777777" w:rsidR="00D5024B" w:rsidRPr="00036EE3" w:rsidRDefault="00D5024B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Fixed-satellite service</w:t>
            </w:r>
          </w:p>
        </w:tc>
      </w:tr>
      <w:tr w:rsidR="00D5024B" w:rsidRPr="00B76D85" w14:paraId="6741D9A3" w14:textId="77777777" w:rsidTr="002E0CCE">
        <w:tc>
          <w:tcPr>
            <w:tcW w:w="1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818189" w14:textId="77777777" w:rsidR="00D5024B" w:rsidRPr="00B76D85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B76D85">
              <w:rPr>
                <w:b/>
                <w:bCs/>
                <w:sz w:val="20"/>
                <w:lang w:val="en-US"/>
              </w:rPr>
              <w:t>SA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535072" w14:textId="77777777" w:rsidR="00D5024B" w:rsidRPr="00B76D85" w:rsidRDefault="00D5024B" w:rsidP="002E0CCE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B76D85">
              <w:rPr>
                <w:sz w:val="20"/>
                <w:lang w:val="en-US"/>
              </w:rPr>
              <w:t>Space applications and meteorology</w:t>
            </w:r>
          </w:p>
        </w:tc>
      </w:tr>
      <w:tr w:rsidR="00D5024B" w:rsidRPr="005F7CD0" w14:paraId="60CFBA14" w14:textId="77777777" w:rsidTr="00A76007">
        <w:tc>
          <w:tcPr>
            <w:tcW w:w="1140" w:type="dxa"/>
            <w:tcBorders>
              <w:top w:val="nil"/>
              <w:bottom w:val="nil"/>
            </w:tcBorders>
          </w:tcPr>
          <w:p w14:paraId="64473334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SF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1A844ECC" w14:textId="77777777" w:rsidR="00D5024B" w:rsidRPr="00036EE3" w:rsidRDefault="00D5024B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Frequency sharing and coordination between fixed-satellite and fixed service systems</w:t>
            </w:r>
          </w:p>
        </w:tc>
      </w:tr>
      <w:tr w:rsidR="00D5024B" w:rsidRPr="00036EE3" w14:paraId="6EBDF80E" w14:textId="77777777" w:rsidTr="00A76007"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</w:tcPr>
          <w:p w14:paraId="1C228688" w14:textId="77777777" w:rsidR="00D5024B" w:rsidRPr="001B164E" w:rsidRDefault="00D5024B" w:rsidP="000B4BD9">
            <w:pPr>
              <w:spacing w:before="30" w:after="30"/>
              <w:ind w:left="57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</w:pPr>
            <w:r w:rsidRPr="001B164E">
              <w:rPr>
                <w:rFonts w:ascii="Times New Roman Bold" w:hAnsi="Times New Roman Bold" w:cs="Times New Roman Bold"/>
                <w:b/>
                <w:bCs/>
                <w:sz w:val="20"/>
                <w:lang w:val="en-US"/>
              </w:rPr>
              <w:t>SM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14:paraId="738FCD25" w14:textId="77777777" w:rsidR="00D5024B" w:rsidRPr="001B164E" w:rsidRDefault="00D5024B" w:rsidP="000B4BD9">
            <w:pPr>
              <w:spacing w:before="30" w:after="30"/>
              <w:jc w:val="left"/>
              <w:rPr>
                <w:rFonts w:hAnsi="Times New Roman Bold"/>
                <w:sz w:val="20"/>
                <w:lang w:val="en-US"/>
              </w:rPr>
            </w:pPr>
            <w:r w:rsidRPr="001B164E">
              <w:rPr>
                <w:rFonts w:hAnsi="Times New Roman Bold"/>
                <w:sz w:val="20"/>
                <w:lang w:val="en-US"/>
              </w:rPr>
              <w:t>Spectrum management</w:t>
            </w:r>
          </w:p>
        </w:tc>
      </w:tr>
      <w:tr w:rsidR="00D5024B" w:rsidRPr="00036EE3" w14:paraId="47B7E285" w14:textId="77777777" w:rsidTr="00A76007">
        <w:tc>
          <w:tcPr>
            <w:tcW w:w="1140" w:type="dxa"/>
            <w:tcBorders>
              <w:top w:val="nil"/>
            </w:tcBorders>
          </w:tcPr>
          <w:p w14:paraId="08E2156B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SNG</w:t>
            </w:r>
          </w:p>
        </w:tc>
        <w:tc>
          <w:tcPr>
            <w:tcW w:w="8220" w:type="dxa"/>
            <w:tcBorders>
              <w:top w:val="nil"/>
            </w:tcBorders>
          </w:tcPr>
          <w:p w14:paraId="645C65BD" w14:textId="77777777" w:rsidR="00D5024B" w:rsidRPr="00036EE3" w:rsidRDefault="00D5024B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Satellite news gathering</w:t>
            </w:r>
          </w:p>
        </w:tc>
      </w:tr>
      <w:tr w:rsidR="00D5024B" w:rsidRPr="005F7CD0" w14:paraId="4F498CAF" w14:textId="77777777" w:rsidTr="00A76007">
        <w:tc>
          <w:tcPr>
            <w:tcW w:w="1140" w:type="dxa"/>
          </w:tcPr>
          <w:p w14:paraId="7479E081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TF</w:t>
            </w:r>
          </w:p>
        </w:tc>
        <w:tc>
          <w:tcPr>
            <w:tcW w:w="8220" w:type="dxa"/>
          </w:tcPr>
          <w:p w14:paraId="02A6AD0D" w14:textId="77777777" w:rsidR="00D5024B" w:rsidRPr="00036EE3" w:rsidRDefault="00D5024B" w:rsidP="000B4BD9">
            <w:pPr>
              <w:spacing w:before="30" w:after="30"/>
              <w:jc w:val="left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Time signals and frequency standards emissions</w:t>
            </w:r>
          </w:p>
        </w:tc>
      </w:tr>
      <w:tr w:rsidR="00D5024B" w:rsidRPr="00036EE3" w14:paraId="5E206C64" w14:textId="77777777" w:rsidTr="00A76007">
        <w:tc>
          <w:tcPr>
            <w:tcW w:w="1140" w:type="dxa"/>
          </w:tcPr>
          <w:p w14:paraId="53A701EC" w14:textId="77777777" w:rsidR="00D5024B" w:rsidRPr="00036EE3" w:rsidRDefault="00D5024B" w:rsidP="000B4BD9">
            <w:pPr>
              <w:spacing w:before="30" w:after="30"/>
              <w:ind w:left="57"/>
              <w:jc w:val="left"/>
              <w:rPr>
                <w:b/>
                <w:bCs/>
                <w:sz w:val="20"/>
                <w:lang w:val="en-US"/>
              </w:rPr>
            </w:pPr>
            <w:r w:rsidRPr="00036EE3">
              <w:rPr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220" w:type="dxa"/>
          </w:tcPr>
          <w:p w14:paraId="49019E3D" w14:textId="77777777" w:rsidR="00D5024B" w:rsidRPr="00036EE3" w:rsidRDefault="00D5024B" w:rsidP="000B4BD9">
            <w:pPr>
              <w:spacing w:before="30" w:after="180"/>
              <w:jc w:val="left"/>
              <w:rPr>
                <w:sz w:val="20"/>
                <w:lang w:val="en-US"/>
              </w:rPr>
            </w:pPr>
            <w:r w:rsidRPr="00036EE3">
              <w:rPr>
                <w:sz w:val="20"/>
                <w:lang w:val="en-US"/>
              </w:rPr>
              <w:t>Vocabulary and related subjects</w:t>
            </w:r>
          </w:p>
        </w:tc>
      </w:tr>
    </w:tbl>
    <w:p w14:paraId="1CEB1731" w14:textId="77777777" w:rsidR="00D5024B" w:rsidRPr="00036EE3" w:rsidRDefault="00D5024B" w:rsidP="00D5024B">
      <w:pPr>
        <w:spacing w:before="30" w:after="30"/>
        <w:jc w:val="center"/>
        <w:rPr>
          <w:sz w:val="20"/>
          <w:lang w:val="en-US"/>
        </w:rPr>
      </w:pPr>
    </w:p>
    <w:tbl>
      <w:tblPr>
        <w:tblpPr w:leftFromText="180" w:rightFromText="180" w:vertAnchor="text" w:tblpX="-5771" w:tblpY="-4031"/>
        <w:tblW w:w="0" w:type="auto"/>
        <w:tblLook w:val="0000" w:firstRow="0" w:lastRow="0" w:firstColumn="0" w:lastColumn="0" w:noHBand="0" w:noVBand="0"/>
      </w:tblPr>
      <w:tblGrid>
        <w:gridCol w:w="720"/>
      </w:tblGrid>
      <w:tr w:rsidR="00D5024B" w14:paraId="5852464F" w14:textId="77777777" w:rsidTr="000B4BD9">
        <w:tc>
          <w:tcPr>
            <w:tcW w:w="720" w:type="dxa"/>
          </w:tcPr>
          <w:p w14:paraId="01E564A2" w14:textId="77777777" w:rsidR="00D5024B" w:rsidRDefault="00D5024B" w:rsidP="000B4BD9">
            <w:pPr>
              <w:jc w:val="center"/>
              <w:rPr>
                <w:sz w:val="22"/>
                <w:lang w:val="en-US"/>
              </w:rPr>
            </w:pPr>
          </w:p>
        </w:tc>
      </w:tr>
    </w:tbl>
    <w:p w14:paraId="67602C07" w14:textId="77777777" w:rsidR="00D5024B" w:rsidRPr="00036EE3" w:rsidRDefault="00D5024B" w:rsidP="00D5024B">
      <w:pPr>
        <w:spacing w:before="0"/>
        <w:jc w:val="center"/>
        <w:rPr>
          <w:sz w:val="22"/>
          <w:lang w:val="en-US"/>
        </w:rPr>
      </w:pP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9609"/>
      </w:tblGrid>
      <w:tr w:rsidR="00D5024B" w:rsidRPr="005F7CD0" w14:paraId="7EC355D7" w14:textId="77777777" w:rsidTr="00A76007">
        <w:tc>
          <w:tcPr>
            <w:tcW w:w="9360" w:type="dxa"/>
          </w:tcPr>
          <w:p w14:paraId="6F85E587" w14:textId="77777777" w:rsidR="00D5024B" w:rsidRPr="002F5199" w:rsidRDefault="00D5024B" w:rsidP="00B76D85">
            <w:pPr>
              <w:spacing w:after="120"/>
              <w:jc w:val="left"/>
              <w:rPr>
                <w:sz w:val="20"/>
                <w:lang w:val="en-US"/>
              </w:rPr>
            </w:pPr>
            <w:r w:rsidRPr="002F5199">
              <w:rPr>
                <w:b/>
                <w:bCs/>
                <w:i/>
                <w:iCs/>
                <w:sz w:val="20"/>
                <w:lang w:val="en-US"/>
              </w:rPr>
              <w:t>Note</w:t>
            </w:r>
            <w:r w:rsidRPr="002F5199">
              <w:rPr>
                <w:sz w:val="20"/>
                <w:lang w:val="en-US"/>
              </w:rPr>
              <w:t xml:space="preserve">: </w:t>
            </w:r>
            <w:r w:rsidRPr="002F5199">
              <w:rPr>
                <w:i/>
                <w:iCs/>
                <w:sz w:val="20"/>
                <w:lang w:val="en-US"/>
              </w:rPr>
              <w:t>This ITU-R Recommendation was approved in English under the procedure detailed in Resolution ITU-R 1.</w:t>
            </w:r>
          </w:p>
        </w:tc>
      </w:tr>
    </w:tbl>
    <w:p w14:paraId="26C1053B" w14:textId="77777777" w:rsidR="00D5024B" w:rsidRDefault="00D5024B" w:rsidP="00D5024B">
      <w:pPr>
        <w:spacing w:before="0"/>
        <w:jc w:val="center"/>
        <w:rPr>
          <w:sz w:val="22"/>
          <w:lang w:val="en-US"/>
        </w:rPr>
      </w:pPr>
    </w:p>
    <w:p w14:paraId="55F2601B" w14:textId="77777777" w:rsidR="00D5024B" w:rsidRDefault="00D5024B" w:rsidP="00D5024B">
      <w:pPr>
        <w:spacing w:before="0"/>
        <w:jc w:val="center"/>
        <w:rPr>
          <w:sz w:val="22"/>
          <w:lang w:val="en-US"/>
        </w:rPr>
      </w:pPr>
    </w:p>
    <w:p w14:paraId="4E5DC413" w14:textId="77777777" w:rsidR="00D5024B" w:rsidRPr="002F5199" w:rsidRDefault="00D5024B" w:rsidP="00D5024B">
      <w:pPr>
        <w:spacing w:before="0"/>
        <w:jc w:val="right"/>
        <w:rPr>
          <w:i/>
          <w:iCs/>
          <w:sz w:val="20"/>
          <w:lang w:val="en-US"/>
        </w:rPr>
      </w:pPr>
      <w:r w:rsidRPr="002F5199">
        <w:rPr>
          <w:i/>
          <w:iCs/>
          <w:sz w:val="20"/>
          <w:lang w:val="en-US"/>
        </w:rPr>
        <w:t>Electronic Publication</w:t>
      </w:r>
    </w:p>
    <w:p w14:paraId="7E37E5B0" w14:textId="0FC13A71" w:rsidR="00D5024B" w:rsidRPr="002F5199" w:rsidRDefault="00D5024B" w:rsidP="00D5024B">
      <w:pPr>
        <w:spacing w:before="0"/>
        <w:jc w:val="right"/>
        <w:rPr>
          <w:sz w:val="20"/>
          <w:lang w:val="en-US"/>
        </w:rPr>
      </w:pPr>
      <w:smartTag w:uri="urn:schemas-microsoft-com:office:smarttags" w:element="City">
        <w:smartTag w:uri="urn:schemas-microsoft-com:office:smarttags" w:element="State">
          <w:r w:rsidRPr="002F5199">
            <w:rPr>
              <w:sz w:val="20"/>
              <w:lang w:val="en-US"/>
            </w:rPr>
            <w:t>Geneva</w:t>
          </w:r>
        </w:smartTag>
      </w:smartTag>
      <w:r w:rsidRPr="002F5199">
        <w:rPr>
          <w:sz w:val="20"/>
          <w:lang w:val="en-US"/>
        </w:rPr>
        <w:t>, 20</w:t>
      </w:r>
      <w:r>
        <w:rPr>
          <w:sz w:val="20"/>
          <w:lang w:val="en-US"/>
        </w:rPr>
        <w:t>2</w:t>
      </w:r>
      <w:r w:rsidR="0024286E">
        <w:rPr>
          <w:sz w:val="20"/>
          <w:lang w:val="en-US"/>
        </w:rPr>
        <w:t>4</w:t>
      </w:r>
    </w:p>
    <w:p w14:paraId="41739A82" w14:textId="77777777" w:rsidR="00D5024B" w:rsidRDefault="00D5024B" w:rsidP="00D5024B">
      <w:pPr>
        <w:jc w:val="center"/>
        <w:rPr>
          <w:sz w:val="22"/>
          <w:lang w:val="en-US"/>
        </w:rPr>
      </w:pPr>
    </w:p>
    <w:p w14:paraId="0AFB3396" w14:textId="04F4FF79" w:rsidR="00D5024B" w:rsidRPr="00470E28" w:rsidRDefault="00D5024B" w:rsidP="00D5024B">
      <w:pPr>
        <w:jc w:val="center"/>
        <w:rPr>
          <w:sz w:val="20"/>
          <w:lang w:val="en-US"/>
        </w:rPr>
      </w:pPr>
      <w:r w:rsidRPr="00470E28">
        <w:rPr>
          <w:sz w:val="20"/>
          <w:lang w:val="en-US"/>
        </w:rPr>
        <w:sym w:font="Symbol" w:char="F0E3"/>
      </w:r>
      <w:r w:rsidRPr="00470E28">
        <w:rPr>
          <w:sz w:val="20"/>
          <w:lang w:val="en-US"/>
        </w:rPr>
        <w:t xml:space="preserve"> ITU </w:t>
      </w:r>
      <w:bookmarkStart w:id="1" w:name="iiannee"/>
      <w:bookmarkEnd w:id="1"/>
      <w:r w:rsidRPr="00470E28">
        <w:rPr>
          <w:sz w:val="20"/>
          <w:lang w:val="en-US"/>
        </w:rPr>
        <w:t>20</w:t>
      </w:r>
      <w:r>
        <w:rPr>
          <w:sz w:val="20"/>
          <w:lang w:val="en-US"/>
        </w:rPr>
        <w:t>2</w:t>
      </w:r>
      <w:r w:rsidR="0024286E">
        <w:rPr>
          <w:sz w:val="20"/>
          <w:lang w:val="en-US"/>
        </w:rPr>
        <w:t>4</w:t>
      </w:r>
    </w:p>
    <w:p w14:paraId="61F6CA78" w14:textId="77777777" w:rsidR="00D5024B" w:rsidRPr="00470E28" w:rsidRDefault="00D5024B" w:rsidP="00D5024B">
      <w:pPr>
        <w:rPr>
          <w:sz w:val="18"/>
          <w:szCs w:val="18"/>
          <w:lang w:val="en-US"/>
        </w:rPr>
      </w:pPr>
      <w:r w:rsidRPr="00470E28">
        <w:rPr>
          <w:sz w:val="18"/>
          <w:szCs w:val="18"/>
          <w:lang w:val="en-US"/>
        </w:rPr>
        <w:t>All rights reserved. No part of thi</w:t>
      </w:r>
      <w:r>
        <w:rPr>
          <w:sz w:val="18"/>
          <w:szCs w:val="18"/>
          <w:lang w:val="en-US"/>
        </w:rPr>
        <w:t xml:space="preserve">s publication may be reproduced, </w:t>
      </w:r>
      <w:r w:rsidRPr="00470E28">
        <w:rPr>
          <w:sz w:val="18"/>
          <w:szCs w:val="18"/>
          <w:lang w:val="en-US"/>
        </w:rPr>
        <w:t xml:space="preserve">by any means </w:t>
      </w:r>
      <w:r>
        <w:rPr>
          <w:sz w:val="18"/>
          <w:szCs w:val="18"/>
          <w:lang w:val="en-US"/>
        </w:rPr>
        <w:t xml:space="preserve">whatsoever, </w:t>
      </w:r>
      <w:r w:rsidRPr="00470E28">
        <w:rPr>
          <w:sz w:val="18"/>
          <w:szCs w:val="18"/>
          <w:lang w:val="en-US"/>
        </w:rPr>
        <w:t xml:space="preserve">without written permission </w:t>
      </w:r>
      <w:r>
        <w:rPr>
          <w:sz w:val="18"/>
          <w:szCs w:val="18"/>
          <w:lang w:val="en-US"/>
        </w:rPr>
        <w:t>of</w:t>
      </w:r>
      <w:r w:rsidRPr="00470E28">
        <w:rPr>
          <w:sz w:val="18"/>
          <w:szCs w:val="18"/>
          <w:lang w:val="en-US"/>
        </w:rPr>
        <w:t xml:space="preserve"> ITU.</w:t>
      </w:r>
    </w:p>
    <w:p w14:paraId="53C25AA6" w14:textId="77777777" w:rsidR="007565CC" w:rsidRDefault="007565CC" w:rsidP="00A971A1">
      <w:pPr>
        <w:spacing w:before="160"/>
        <w:rPr>
          <w:i/>
          <w:sz w:val="20"/>
          <w:lang w:val="en-US"/>
        </w:rPr>
        <w:sectPr w:rsidR="007565CC" w:rsidSect="002058CE">
          <w:headerReference w:type="even" r:id="rId12"/>
          <w:headerReference w:type="default" r:id="rId13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621C7236" w14:textId="10977FE5" w:rsidR="00B874C6" w:rsidRPr="00B874C6" w:rsidRDefault="00B874C6" w:rsidP="00A936CB">
      <w:pPr>
        <w:pStyle w:val="RecNo"/>
        <w:spacing w:before="0"/>
        <w:rPr>
          <w:lang w:val="en-US"/>
        </w:rPr>
      </w:pPr>
      <w:bookmarkStart w:id="2" w:name="irecnoe"/>
      <w:bookmarkEnd w:id="2"/>
      <w:r w:rsidRPr="00BF487A">
        <w:lastRenderedPageBreak/>
        <w:t xml:space="preserve">RECOMMENDATION  </w:t>
      </w:r>
      <w:r w:rsidRPr="00BF487A">
        <w:rPr>
          <w:rStyle w:val="href"/>
          <w:lang w:val="en-US"/>
        </w:rPr>
        <w:t xml:space="preserve">ITU-R  </w:t>
      </w:r>
      <w:r w:rsidR="00E040CD">
        <w:rPr>
          <w:rStyle w:val="href"/>
          <w:lang w:val="en-US"/>
        </w:rPr>
        <w:t>F</w:t>
      </w:r>
      <w:r w:rsidRPr="00BF487A">
        <w:rPr>
          <w:rStyle w:val="href"/>
          <w:lang w:val="en-US"/>
        </w:rPr>
        <w:t>.</w:t>
      </w:r>
      <w:r w:rsidR="0024286E" w:rsidRPr="00F57DA0">
        <w:rPr>
          <w:rStyle w:val="href"/>
        </w:rPr>
        <w:t>1568-</w:t>
      </w:r>
      <w:r w:rsidR="0024286E">
        <w:rPr>
          <w:rStyle w:val="href"/>
        </w:rPr>
        <w:t>2</w:t>
      </w:r>
    </w:p>
    <w:p w14:paraId="78566EA2" w14:textId="09F0313E" w:rsidR="00934ED7" w:rsidRDefault="0024286E" w:rsidP="0024286E">
      <w:pPr>
        <w:pStyle w:val="Rectitle"/>
      </w:pPr>
      <w:r w:rsidRPr="00F57DA0">
        <w:t>Radio-frequency block arrangements for fixed wireless access systems</w:t>
      </w:r>
      <w:r w:rsidRPr="00F57DA0">
        <w:br/>
        <w:t>in the range 10.15-10.3/10.5-10.65 GHz</w:t>
      </w:r>
    </w:p>
    <w:p w14:paraId="2A3C757D" w14:textId="77777777" w:rsidR="0024286E" w:rsidRPr="00F57DA0" w:rsidRDefault="0024286E" w:rsidP="0024286E">
      <w:pPr>
        <w:pStyle w:val="Recref"/>
      </w:pPr>
      <w:r w:rsidRPr="00F57DA0">
        <w:t>(Question ITU-R 247-1/5)</w:t>
      </w:r>
    </w:p>
    <w:p w14:paraId="6C741220" w14:textId="77777777" w:rsidR="0024286E" w:rsidRPr="00F57DA0" w:rsidRDefault="0024286E" w:rsidP="0024286E">
      <w:pPr>
        <w:pStyle w:val="Recdate"/>
      </w:pPr>
      <w:r w:rsidRPr="00F57DA0">
        <w:t>(2002-2005</w:t>
      </w:r>
      <w:r>
        <w:t>-2023</w:t>
      </w:r>
      <w:r w:rsidRPr="00F57DA0">
        <w:t>)</w:t>
      </w:r>
    </w:p>
    <w:p w14:paraId="77362926" w14:textId="77777777" w:rsidR="0024286E" w:rsidRPr="00CD4147" w:rsidRDefault="0024286E" w:rsidP="0024286E">
      <w:pPr>
        <w:pStyle w:val="HeadingSum"/>
        <w:rPr>
          <w:szCs w:val="22"/>
          <w:lang w:val="en-GB"/>
        </w:rPr>
      </w:pPr>
      <w:r w:rsidRPr="00CD4147">
        <w:rPr>
          <w:szCs w:val="22"/>
          <w:lang w:val="en-GB"/>
        </w:rPr>
        <w:t>Scope</w:t>
      </w:r>
    </w:p>
    <w:p w14:paraId="73D59CD9" w14:textId="77777777" w:rsidR="0024286E" w:rsidRPr="004511C0" w:rsidRDefault="0024286E" w:rsidP="00D26DFE">
      <w:pPr>
        <w:pStyle w:val="Summary"/>
        <w:rPr>
          <w:lang w:val="en-GB" w:eastAsia="ja-JP"/>
        </w:rPr>
      </w:pPr>
      <w:r w:rsidRPr="004511C0">
        <w:rPr>
          <w:lang w:val="en-GB"/>
        </w:rPr>
        <w:t xml:space="preserve">This Recommendation provides radiofrequency </w:t>
      </w:r>
      <w:r w:rsidRPr="004511C0">
        <w:rPr>
          <w:lang w:val="en-GB" w:eastAsia="ja-JP"/>
        </w:rPr>
        <w:t xml:space="preserve">(RF) </w:t>
      </w:r>
      <w:r w:rsidRPr="004511C0">
        <w:rPr>
          <w:lang w:val="en-GB"/>
        </w:rPr>
        <w:t xml:space="preserve">block arrangements for fixed wireless access (FWA) systems in the range 10.15-10.3/10.5-10.65 GHz. </w:t>
      </w:r>
      <w:r w:rsidRPr="004511C0">
        <w:rPr>
          <w:lang w:val="en-GB" w:eastAsia="ja-JP"/>
        </w:rPr>
        <w:t>Annexes 1 and 2 present RF block arrangements based on 28</w:t>
      </w:r>
      <w:r w:rsidRPr="004511C0">
        <w:rPr>
          <w:lang w:val="en-GB"/>
        </w:rPr>
        <w:t> </w:t>
      </w:r>
      <w:r w:rsidRPr="004511C0">
        <w:rPr>
          <w:lang w:val="en-GB" w:eastAsia="ja-JP"/>
        </w:rPr>
        <w:t>MHz blocks and 30 MHz blocks, respectively. Homogeneous patterns with a channel slot of 0.25 MHz are also given in Annexes 1 and 2.</w:t>
      </w:r>
    </w:p>
    <w:p w14:paraId="64EF2F62" w14:textId="77777777" w:rsidR="0024286E" w:rsidRPr="00F57DA0" w:rsidRDefault="0024286E" w:rsidP="0024286E">
      <w:pPr>
        <w:pStyle w:val="Headingb"/>
      </w:pPr>
      <w:r w:rsidRPr="00F57DA0">
        <w:t>Keywords</w:t>
      </w:r>
    </w:p>
    <w:p w14:paraId="46F9BADD" w14:textId="77777777" w:rsidR="0024286E" w:rsidRPr="00F57DA0" w:rsidRDefault="0024286E" w:rsidP="00D26DFE">
      <w:pPr>
        <w:rPr>
          <w:lang w:eastAsia="zh-CN"/>
        </w:rPr>
      </w:pPr>
      <w:r>
        <w:rPr>
          <w:lang w:eastAsia="zh-CN"/>
        </w:rPr>
        <w:t>Fixed wireless system, point to point, channel arrangement,</w:t>
      </w:r>
      <w:r w:rsidRPr="00225217" w:rsidDel="00225217">
        <w:rPr>
          <w:lang w:eastAsia="zh-CN"/>
        </w:rPr>
        <w:t xml:space="preserve"> </w:t>
      </w:r>
      <w:r w:rsidRPr="002A3583">
        <w:rPr>
          <w:lang w:eastAsia="zh-CN"/>
        </w:rPr>
        <w:t>10.15-10.3/10.5-10.65 GHz</w:t>
      </w:r>
    </w:p>
    <w:p w14:paraId="75827837" w14:textId="77777777" w:rsidR="0024286E" w:rsidRPr="00F57DA0" w:rsidRDefault="0024286E" w:rsidP="0024286E">
      <w:pPr>
        <w:pStyle w:val="Headingb"/>
      </w:pPr>
      <w:r w:rsidRPr="00F57DA0">
        <w:t>Abbreviations</w:t>
      </w:r>
    </w:p>
    <w:p w14:paraId="294ABE35" w14:textId="6AE74C74" w:rsidR="0024286E" w:rsidRDefault="0024286E" w:rsidP="0024286E">
      <w:pPr>
        <w:rPr>
          <w:szCs w:val="24"/>
          <w:lang w:eastAsia="ja-JP"/>
        </w:rPr>
      </w:pPr>
      <w:r>
        <w:rPr>
          <w:szCs w:val="24"/>
          <w:lang w:eastAsia="ja-JP"/>
        </w:rPr>
        <w:t>FWA</w:t>
      </w:r>
      <w:r>
        <w:rPr>
          <w:szCs w:val="24"/>
          <w:lang w:eastAsia="ja-JP"/>
        </w:rPr>
        <w:tab/>
        <w:t>Fixed wireless access</w:t>
      </w:r>
    </w:p>
    <w:p w14:paraId="336FC435" w14:textId="448EEEA9" w:rsidR="0024286E" w:rsidRDefault="0024286E" w:rsidP="0024286E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P</w:t>
      </w:r>
      <w:r>
        <w:rPr>
          <w:szCs w:val="24"/>
          <w:lang w:eastAsia="ja-JP"/>
        </w:rPr>
        <w:t>-P</w:t>
      </w:r>
      <w:r>
        <w:rPr>
          <w:szCs w:val="24"/>
          <w:lang w:eastAsia="ja-JP"/>
        </w:rPr>
        <w:tab/>
        <w:t>Point-to-point</w:t>
      </w:r>
    </w:p>
    <w:p w14:paraId="61C6EDA2" w14:textId="77777777" w:rsidR="0024286E" w:rsidRPr="00F57DA0" w:rsidRDefault="0024286E" w:rsidP="0024286E">
      <w:pPr>
        <w:pStyle w:val="Headingb"/>
      </w:pPr>
      <w:r w:rsidRPr="00F57DA0">
        <w:t>Related ITU Recommendations</w:t>
      </w:r>
    </w:p>
    <w:p w14:paraId="27974B86" w14:textId="77777777" w:rsidR="0024286E" w:rsidRDefault="0024286E" w:rsidP="00B93BBA">
      <w:pPr>
        <w:pStyle w:val="Reftext"/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ecommendation ITU-R F.746 – </w:t>
      </w:r>
      <w:r w:rsidRPr="00225217">
        <w:rPr>
          <w:lang w:eastAsia="ja-JP"/>
        </w:rPr>
        <w:t>Radio-frequency arrangements for fixed service systems</w:t>
      </w:r>
    </w:p>
    <w:p w14:paraId="72392E31" w14:textId="77777777" w:rsidR="0024286E" w:rsidRDefault="0024286E" w:rsidP="00B93BBA">
      <w:pPr>
        <w:pStyle w:val="Reftext"/>
        <w:rPr>
          <w:lang w:eastAsia="ja-JP"/>
        </w:rPr>
      </w:pPr>
      <w:r>
        <w:rPr>
          <w:lang w:eastAsia="ja-JP"/>
        </w:rPr>
        <w:t xml:space="preserve">Recommendation ITU-R F.747 – </w:t>
      </w:r>
      <w:r w:rsidRPr="00225217">
        <w:rPr>
          <w:lang w:eastAsia="ja-JP"/>
        </w:rPr>
        <w:t>Radio-frequency channel arrangements for fixed wireless system operating in the 10.0-10.68 GHz band</w:t>
      </w:r>
    </w:p>
    <w:p w14:paraId="16ADF7D4" w14:textId="77777777" w:rsidR="0024286E" w:rsidRDefault="0024286E" w:rsidP="00B93BBA">
      <w:pPr>
        <w:pStyle w:val="Reftext"/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ecommendation ITU-R F.1191 – </w:t>
      </w:r>
      <w:r w:rsidRPr="00225217">
        <w:rPr>
          <w:lang w:eastAsia="ja-JP"/>
        </w:rPr>
        <w:t>Necessary and occupied bandwidths and unwanted emissions of digital fixed service systems</w:t>
      </w:r>
    </w:p>
    <w:p w14:paraId="1B2BB8E5" w14:textId="77777777" w:rsidR="0024286E" w:rsidRPr="00F57DA0" w:rsidRDefault="0024286E" w:rsidP="0024286E">
      <w:pPr>
        <w:pStyle w:val="Normalaftertitle"/>
      </w:pPr>
      <w:r w:rsidRPr="00F57DA0">
        <w:t>The ITU Radiocommunication Assembly,</w:t>
      </w:r>
    </w:p>
    <w:p w14:paraId="7760F77D" w14:textId="77777777" w:rsidR="0024286E" w:rsidRPr="00F57DA0" w:rsidRDefault="0024286E" w:rsidP="0024286E">
      <w:pPr>
        <w:pStyle w:val="Call"/>
      </w:pPr>
      <w:r w:rsidRPr="00F57DA0">
        <w:t>considering</w:t>
      </w:r>
    </w:p>
    <w:p w14:paraId="5E036F7E" w14:textId="77777777" w:rsidR="0024286E" w:rsidRPr="00F57DA0" w:rsidRDefault="0024286E" w:rsidP="0024286E">
      <w:r w:rsidRPr="00F57DA0">
        <w:rPr>
          <w:i/>
          <w:iCs/>
        </w:rPr>
        <w:t>a)</w:t>
      </w:r>
      <w:r w:rsidRPr="00F57DA0">
        <w:tab/>
        <w:t>that fixed wireless access (FWA) systems in the range 10.15-10.65 GHz can provide enhanced telephony and data services;</w:t>
      </w:r>
    </w:p>
    <w:p w14:paraId="44D922FE" w14:textId="30BD1304" w:rsidR="0024286E" w:rsidRPr="00F57DA0" w:rsidRDefault="0024286E" w:rsidP="0024286E">
      <w:r w:rsidRPr="00F57DA0">
        <w:rPr>
          <w:i/>
          <w:iCs/>
        </w:rPr>
        <w:t>b)</w:t>
      </w:r>
      <w:r w:rsidRPr="00F57DA0">
        <w:tab/>
        <w:t>that several administrations have introduced FWA systems in bands within the range 10.15</w:t>
      </w:r>
      <w:r w:rsidR="00B93BBA">
        <w:noBreakHyphen/>
      </w:r>
      <w:r w:rsidRPr="00F57DA0">
        <w:t>10.65 GHz;</w:t>
      </w:r>
    </w:p>
    <w:p w14:paraId="59204B87" w14:textId="112CC9D9" w:rsidR="0024286E" w:rsidRPr="00F57DA0" w:rsidRDefault="0024286E" w:rsidP="0024286E">
      <w:r w:rsidRPr="00F57DA0">
        <w:rPr>
          <w:i/>
          <w:iCs/>
        </w:rPr>
        <w:t>c)</w:t>
      </w:r>
      <w:r w:rsidRPr="00F57DA0">
        <w:tab/>
        <w:t>that a flexible block (sub-band) arrangement, rather than use of a conventional point</w:t>
      </w:r>
      <w:r w:rsidRPr="00F57DA0">
        <w:noBreakHyphen/>
        <w:t>to</w:t>
      </w:r>
      <w:r w:rsidRPr="00F57DA0">
        <w:noBreakHyphen/>
        <w:t>point (P</w:t>
      </w:r>
      <w:r w:rsidRPr="00F57DA0">
        <w:noBreakHyphen/>
        <w:t>P) channel arrangement can accommodate various FWA technologies, whilst remaining consistent with good spectrum management principles, including provision for inter-systems/services operation and overall spectrum efficiency;</w:t>
      </w:r>
    </w:p>
    <w:p w14:paraId="46FE7167" w14:textId="77777777" w:rsidR="0024286E" w:rsidRPr="00F57DA0" w:rsidRDefault="0024286E" w:rsidP="0024286E">
      <w:r w:rsidRPr="00F57DA0">
        <w:rPr>
          <w:i/>
          <w:iCs/>
        </w:rPr>
        <w:t>d)</w:t>
      </w:r>
      <w:r w:rsidRPr="00F57DA0">
        <w:tab/>
        <w:t>that in some countries there may be cases where FWA systems need to coexist with P</w:t>
      </w:r>
      <w:r w:rsidRPr="00F57DA0">
        <w:noBreakHyphen/>
        <w:t>P systems in the same fixed service (FS) allocation;</w:t>
      </w:r>
    </w:p>
    <w:p w14:paraId="2A5163D2" w14:textId="77777777" w:rsidR="0024286E" w:rsidRPr="00F57DA0" w:rsidRDefault="0024286E" w:rsidP="0024286E">
      <w:r w:rsidRPr="00F57DA0">
        <w:rPr>
          <w:i/>
          <w:iCs/>
        </w:rPr>
        <w:t>e)</w:t>
      </w:r>
      <w:r w:rsidRPr="00F57DA0">
        <w:tab/>
        <w:t>that a standardized block width might offer benefits through economies of scale and simplified inter-system and inter-operator frequency planning in the same deployment area;</w:t>
      </w:r>
    </w:p>
    <w:p w14:paraId="0F6F3C3E" w14:textId="77777777" w:rsidR="0024286E" w:rsidRPr="00F57DA0" w:rsidRDefault="0024286E" w:rsidP="0024286E">
      <w:r w:rsidRPr="00F57DA0">
        <w:rPr>
          <w:i/>
          <w:iCs/>
        </w:rPr>
        <w:t>f)</w:t>
      </w:r>
      <w:r w:rsidRPr="00F57DA0">
        <w:tab/>
        <w:t>that there are a number of different access technologies that may be used, for which different channelling and/or frequency allocation schemes may be appropriate;</w:t>
      </w:r>
    </w:p>
    <w:p w14:paraId="3966DEE8" w14:textId="77777777" w:rsidR="0024286E" w:rsidRPr="00F57DA0" w:rsidRDefault="0024286E" w:rsidP="0024286E">
      <w:r w:rsidRPr="00F57DA0">
        <w:rPr>
          <w:i/>
          <w:iCs/>
        </w:rPr>
        <w:lastRenderedPageBreak/>
        <w:t>g)</w:t>
      </w:r>
      <w:r w:rsidRPr="00F57DA0">
        <w:tab/>
        <w:t>that Recommendation ITU-R F.747, Annexes 1 and 2, presents radiofrequency arrange</w:t>
      </w:r>
      <w:r w:rsidRPr="00F57DA0">
        <w:softHyphen/>
        <w:t>ments for fixed wireless systems operating in the 10.5-10.68 GHz band;</w:t>
      </w:r>
    </w:p>
    <w:p w14:paraId="3A822F97" w14:textId="77777777" w:rsidR="0024286E" w:rsidRPr="00F57DA0" w:rsidRDefault="0024286E" w:rsidP="0024286E">
      <w:r w:rsidRPr="00F57DA0">
        <w:rPr>
          <w:i/>
          <w:iCs/>
        </w:rPr>
        <w:t>h)</w:t>
      </w:r>
      <w:r w:rsidRPr="00F57DA0">
        <w:tab/>
        <w:t>that in some cases administrations may use other Recommendations to harmonize more readily with P</w:t>
      </w:r>
      <w:r w:rsidRPr="00F57DA0">
        <w:noBreakHyphen/>
        <w:t>P channel arrangements;</w:t>
      </w:r>
    </w:p>
    <w:p w14:paraId="2F688E5F" w14:textId="77777777" w:rsidR="0024286E" w:rsidRPr="00F57DA0" w:rsidRDefault="0024286E" w:rsidP="0024286E">
      <w:r>
        <w:rPr>
          <w:i/>
          <w:iCs/>
        </w:rPr>
        <w:t>i</w:t>
      </w:r>
      <w:r w:rsidRPr="00F57DA0">
        <w:rPr>
          <w:i/>
          <w:iCs/>
        </w:rPr>
        <w:t>)</w:t>
      </w:r>
      <w:r w:rsidRPr="00F57DA0">
        <w:tab/>
        <w:t>that Recommendation ITU-R F.1191 provides limitation of unwanted emissions of FS systems for the adjacent bands,</w:t>
      </w:r>
    </w:p>
    <w:p w14:paraId="592A962C" w14:textId="77777777" w:rsidR="0024286E" w:rsidRPr="00F57DA0" w:rsidRDefault="0024286E" w:rsidP="0024286E">
      <w:pPr>
        <w:pStyle w:val="Call"/>
        <w:rPr>
          <w:lang w:eastAsia="ja-JP"/>
        </w:rPr>
      </w:pPr>
      <w:r w:rsidRPr="00F57DA0">
        <w:rPr>
          <w:lang w:eastAsia="ja-JP"/>
        </w:rPr>
        <w:t>recognizing</w:t>
      </w:r>
    </w:p>
    <w:p w14:paraId="51CFF0A6" w14:textId="0B2B012F" w:rsidR="0024286E" w:rsidRPr="00F57DA0" w:rsidRDefault="0024286E" w:rsidP="0024286E">
      <w:r w:rsidRPr="00F57DA0">
        <w:rPr>
          <w:i/>
          <w:iCs/>
        </w:rPr>
        <w:t>a)</w:t>
      </w:r>
      <w:r w:rsidRPr="00F57DA0">
        <w:tab/>
        <w:t xml:space="preserve">that according to Article </w:t>
      </w:r>
      <w:r w:rsidRPr="00F57DA0">
        <w:rPr>
          <w:b/>
          <w:bCs/>
        </w:rPr>
        <w:t>5</w:t>
      </w:r>
      <w:r w:rsidRPr="00F57DA0">
        <w:t xml:space="preserve"> of the Radio Regulations (RR), the frequency band 10.5</w:t>
      </w:r>
      <w:r w:rsidR="00B93BBA">
        <w:noBreakHyphen/>
      </w:r>
      <w:r w:rsidRPr="00F57DA0">
        <w:t>10.68 GHz is allocated to the FS on a worldwide basis and the frequency band 10-10.45 GHz in Regions 1 and 3;</w:t>
      </w:r>
    </w:p>
    <w:p w14:paraId="314FE1E7" w14:textId="77777777" w:rsidR="0024286E" w:rsidRPr="00F57DA0" w:rsidRDefault="0024286E" w:rsidP="0024286E">
      <w:r w:rsidRPr="00F57DA0">
        <w:rPr>
          <w:i/>
          <w:iCs/>
        </w:rPr>
        <w:t>b)</w:t>
      </w:r>
      <w:r w:rsidRPr="00F57DA0">
        <w:tab/>
        <w:t>that the band 10.6-10.68 GHz is allocated to the Earth exploration-satellite service (passive), space research service (passive) and radio astronomy service on a primary basis;</w:t>
      </w:r>
    </w:p>
    <w:p w14:paraId="609A2D56" w14:textId="77777777" w:rsidR="0024286E" w:rsidRPr="00F57DA0" w:rsidRDefault="0024286E" w:rsidP="0024286E">
      <w:r w:rsidRPr="00F57DA0">
        <w:rPr>
          <w:i/>
          <w:iCs/>
        </w:rPr>
        <w:t>c)</w:t>
      </w:r>
      <w:r w:rsidRPr="00F57DA0">
        <w:tab/>
        <w:t>that according to</w:t>
      </w:r>
      <w:r w:rsidRPr="00ED4449">
        <w:rPr>
          <w:b/>
        </w:rPr>
        <w:t xml:space="preserve"> </w:t>
      </w:r>
      <w:r w:rsidRPr="00F57DA0">
        <w:t xml:space="preserve">No. </w:t>
      </w:r>
      <w:r w:rsidRPr="00F57DA0">
        <w:rPr>
          <w:b/>
          <w:bCs/>
        </w:rPr>
        <w:t>5.480</w:t>
      </w:r>
      <w:r w:rsidRPr="00F57DA0">
        <w:t xml:space="preserve"> of the RR, the frequency band 10-10.45 GHz is allocated to the FS in </w:t>
      </w:r>
      <w:r>
        <w:t>a number of</w:t>
      </w:r>
      <w:r w:rsidRPr="00F57DA0">
        <w:t xml:space="preserve"> countries </w:t>
      </w:r>
      <w:r>
        <w:t>in</w:t>
      </w:r>
      <w:r w:rsidRPr="00F57DA0">
        <w:t xml:space="preserve"> Region 2,</w:t>
      </w:r>
    </w:p>
    <w:p w14:paraId="15CA34F4" w14:textId="77777777" w:rsidR="0024286E" w:rsidRPr="00F57DA0" w:rsidRDefault="0024286E" w:rsidP="0024286E">
      <w:pPr>
        <w:pStyle w:val="Call"/>
      </w:pPr>
      <w:r w:rsidRPr="00F57DA0">
        <w:t>noting</w:t>
      </w:r>
    </w:p>
    <w:p w14:paraId="095E4006" w14:textId="77777777" w:rsidR="0024286E" w:rsidRPr="00F57DA0" w:rsidRDefault="0024286E" w:rsidP="0024286E">
      <w:r w:rsidRPr="00F57DA0">
        <w:t>that Recommendation ITU-R F.746 provides the basis for the development of radio-frequency arrangements and defines the main parameters affecting the choice of radio-frequency channel arrangements,</w:t>
      </w:r>
    </w:p>
    <w:p w14:paraId="7FCACF50" w14:textId="77777777" w:rsidR="0024286E" w:rsidRPr="00F57DA0" w:rsidRDefault="0024286E" w:rsidP="0024286E">
      <w:pPr>
        <w:pStyle w:val="Call"/>
      </w:pPr>
      <w:r w:rsidRPr="00F57DA0">
        <w:t>recommends</w:t>
      </w:r>
    </w:p>
    <w:p w14:paraId="2280258D" w14:textId="77777777" w:rsidR="0024286E" w:rsidRPr="00F57DA0" w:rsidRDefault="0024286E" w:rsidP="0024286E">
      <w:pPr>
        <w:rPr>
          <w:lang w:eastAsia="ja-JP"/>
        </w:rPr>
      </w:pPr>
      <w:r w:rsidRPr="00F57DA0">
        <w:rPr>
          <w:bCs/>
        </w:rPr>
        <w:t>1</w:t>
      </w:r>
      <w:r w:rsidRPr="00F57DA0">
        <w:tab/>
        <w:t>that those administrations planning to implement FWA systems in the frequency bands 10.15-10.3/10.5-10.65 GHz should consider the block arrangements presented in Annexes 1 and 2;</w:t>
      </w:r>
    </w:p>
    <w:p w14:paraId="292D64DF" w14:textId="77777777" w:rsidR="0024286E" w:rsidRPr="00F57DA0" w:rsidRDefault="0024286E" w:rsidP="0024286E">
      <w:pPr>
        <w:rPr>
          <w:lang w:eastAsia="ja-JP"/>
        </w:rPr>
      </w:pPr>
      <w:r w:rsidRPr="00F57DA0">
        <w:rPr>
          <w:bCs/>
        </w:rPr>
        <w:t>2</w:t>
      </w:r>
      <w:r w:rsidRPr="00F57DA0">
        <w:tab/>
        <w:t>that administrations should consider the adoption of carrier centre frequencies, within the preferred frequency blocks, from the channel slots of 0.25 MHz, as derived in Annexes 1 and 2;</w:t>
      </w:r>
    </w:p>
    <w:p w14:paraId="4D837FE6" w14:textId="77777777" w:rsidR="0024286E" w:rsidRPr="00F57DA0" w:rsidRDefault="0024286E" w:rsidP="0024286E">
      <w:r w:rsidRPr="00F57DA0">
        <w:rPr>
          <w:bCs/>
        </w:rPr>
        <w:t>3</w:t>
      </w:r>
      <w:r w:rsidRPr="00F57DA0">
        <w:tab/>
        <w:t>that administrations wishing to adopt other homogeneous patterns should consider the use of one or multiple slots of 0.25 MHz, as derived in Annexes 1 and 2.</w:t>
      </w:r>
    </w:p>
    <w:p w14:paraId="48CE7FEF" w14:textId="77777777" w:rsidR="0024286E" w:rsidRDefault="0024286E" w:rsidP="0024286E">
      <w:pPr>
        <w:rPr>
          <w:lang w:eastAsia="ja-JP"/>
        </w:rPr>
      </w:pPr>
    </w:p>
    <w:p w14:paraId="350EC473" w14:textId="77777777" w:rsidR="0024286E" w:rsidRPr="00F57DA0" w:rsidRDefault="0024286E" w:rsidP="0024286E">
      <w:pPr>
        <w:rPr>
          <w:lang w:eastAsia="ja-JP"/>
        </w:rPr>
      </w:pPr>
    </w:p>
    <w:p w14:paraId="12933457" w14:textId="77777777" w:rsidR="0024286E" w:rsidRPr="00F57DA0" w:rsidRDefault="0024286E" w:rsidP="0024286E">
      <w:pPr>
        <w:pStyle w:val="AnnexNoTitle"/>
        <w:rPr>
          <w:lang w:eastAsia="ja-JP"/>
        </w:rPr>
      </w:pPr>
      <w:r w:rsidRPr="00F57DA0">
        <w:t>Annex 1</w:t>
      </w:r>
      <w:r w:rsidRPr="00F57DA0">
        <w:br/>
      </w:r>
      <w:r w:rsidRPr="00F57DA0">
        <w:br/>
        <w:t>Radio-frequency arrangement based on 28 MHz blocks</w:t>
      </w:r>
    </w:p>
    <w:p w14:paraId="344BA8CD" w14:textId="1471739B" w:rsidR="0024286E" w:rsidRDefault="0024286E" w:rsidP="0024286E">
      <w:pPr>
        <w:pStyle w:val="Normalaftertitle"/>
      </w:pPr>
      <w:r w:rsidRPr="00F57DA0">
        <w:rPr>
          <w:b/>
          <w:bCs/>
        </w:rPr>
        <w:t>1</w:t>
      </w:r>
      <w:r w:rsidRPr="00F57DA0">
        <w:tab/>
        <w:t>This arrangement consists of five adjacent blocks of 28 MHz bandwidth in the band 10.15</w:t>
      </w:r>
      <w:r w:rsidR="00B93BBA">
        <w:noBreakHyphen/>
      </w:r>
      <w:r w:rsidRPr="00F57DA0">
        <w:t>10.3 GHz, paired with five adjacent blocks of 28 MHz in the band 10.5-10.65 GHz, as per Fig. 1 (see Note 1).</w:t>
      </w:r>
    </w:p>
    <w:p w14:paraId="559786FB" w14:textId="77777777" w:rsidR="0024286E" w:rsidRDefault="0024286E" w:rsidP="0024286E">
      <w:pPr>
        <w:pStyle w:val="FigureNo"/>
      </w:pPr>
      <w:bookmarkStart w:id="3" w:name="_Hlk155128321"/>
      <w:r>
        <w:lastRenderedPageBreak/>
        <w:t>figure 1</w:t>
      </w:r>
    </w:p>
    <w:p w14:paraId="3122221A" w14:textId="77777777" w:rsidR="0024286E" w:rsidRPr="00496C3C" w:rsidRDefault="0024286E" w:rsidP="0024286E">
      <w:pPr>
        <w:pStyle w:val="Figuretitle"/>
      </w:pPr>
      <w:r>
        <w:t>28 MHz block plan for the ranges 10.15-10.3/10.5-10.65 GHz</w:t>
      </w:r>
    </w:p>
    <w:bookmarkEnd w:id="3"/>
    <w:p w14:paraId="05830DE6" w14:textId="5E59CBD0" w:rsidR="0024286E" w:rsidRPr="00FE60AC" w:rsidRDefault="00FE60AC" w:rsidP="0024286E">
      <w:pPr>
        <w:pStyle w:val="Figure"/>
      </w:pPr>
      <w:r>
        <w:rPr>
          <w:noProof/>
        </w:rPr>
        <w:drawing>
          <wp:inline distT="0" distB="0" distL="0" distR="0" wp14:anchorId="35ECE466" wp14:editId="1A2F0AD9">
            <wp:extent cx="4605537" cy="1533147"/>
            <wp:effectExtent l="0" t="0" r="5080" b="0"/>
            <wp:docPr id="1363836372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836372" name="Picture 1" descr="A close-up of a 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537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EADA" w14:textId="77777777" w:rsidR="0024286E" w:rsidRPr="00F57DA0" w:rsidRDefault="0024286E" w:rsidP="0024286E">
      <w:pPr>
        <w:pStyle w:val="Note"/>
      </w:pPr>
      <w:r w:rsidRPr="00F57DA0">
        <w:t>NOTE 1 – In some countries</w:t>
      </w:r>
      <w:r>
        <w:t>,</w:t>
      </w:r>
      <w:r w:rsidRPr="00F57DA0">
        <w:t xml:space="preserve"> blocks of 7 MHz may be accommodated within each 28 MHz block. These blocks can be aggregated to form larger blocks.</w:t>
      </w:r>
    </w:p>
    <w:p w14:paraId="44166CCF" w14:textId="77777777" w:rsidR="0024286E" w:rsidRPr="00F57DA0" w:rsidRDefault="0024286E" w:rsidP="0024286E">
      <w:pPr>
        <w:pStyle w:val="Heading1"/>
      </w:pPr>
      <w:r w:rsidRPr="00F57DA0">
        <w:t>2</w:t>
      </w:r>
      <w:r w:rsidRPr="00F57DA0">
        <w:tab/>
        <w:t>Derivation of discrete channel slots of 0.25 MHz</w:t>
      </w:r>
    </w:p>
    <w:p w14:paraId="2B592335" w14:textId="77777777" w:rsidR="0024286E" w:rsidRPr="00F57DA0" w:rsidRDefault="0024286E" w:rsidP="0024286E">
      <w:r w:rsidRPr="00F57DA0">
        <w:t>The discrete channel slots of 0.25 MHz are derived as follows:</w:t>
      </w:r>
    </w:p>
    <w:p w14:paraId="15A87236" w14:textId="10E33478" w:rsidR="0024286E" w:rsidRPr="00F57DA0" w:rsidRDefault="0024286E" w:rsidP="0024286E">
      <w:pPr>
        <w:pStyle w:val="Equation"/>
        <w:tabs>
          <w:tab w:val="left" w:pos="6887"/>
        </w:tabs>
        <w:spacing w:before="240" w:after="120"/>
      </w:pPr>
      <w:r w:rsidRPr="00F57DA0">
        <w:rPr>
          <w:i/>
        </w:rPr>
        <w:tab/>
      </w:r>
      <w:r w:rsidRPr="00F57DA0">
        <w:rPr>
          <w:i/>
        </w:rPr>
        <w:tab/>
        <w:t>f</w:t>
      </w:r>
      <w:r w:rsidRPr="00F57DA0">
        <w:rPr>
          <w:i/>
          <w:iCs/>
          <w:vertAlign w:val="subscript"/>
        </w:rPr>
        <w:t>n</w:t>
      </w:r>
      <w:r w:rsidRPr="00F57DA0">
        <w:t xml:space="preserve"> </w:t>
      </w:r>
      <w:r w:rsidRPr="00F57DA0">
        <w:rPr>
          <w:rFonts w:ascii="Symbol" w:hAnsi="Symbol"/>
        </w:rPr>
        <w:t></w:t>
      </w:r>
      <w:r w:rsidRPr="00F57DA0">
        <w:t xml:space="preserve"> 10</w:t>
      </w:r>
      <w:r w:rsidRPr="00F57DA0">
        <w:rPr>
          <w:rFonts w:ascii="Tms Rmn" w:hAnsi="Tms Rmn"/>
          <w:sz w:val="12"/>
        </w:rPr>
        <w:t> </w:t>
      </w:r>
      <w:r w:rsidRPr="00F57DA0">
        <w:t xml:space="preserve">150 </w:t>
      </w:r>
      <w:r w:rsidRPr="00F57DA0">
        <w:rPr>
          <w:rFonts w:ascii="Symbol" w:hAnsi="Symbol"/>
        </w:rPr>
        <w:t></w:t>
      </w:r>
      <w:r w:rsidRPr="00F57DA0">
        <w:t xml:space="preserve"> 0.25 </w:t>
      </w:r>
      <w:r w:rsidRPr="00F57DA0">
        <w:rPr>
          <w:i/>
        </w:rPr>
        <w:t>n</w:t>
      </w:r>
      <w:r w:rsidRPr="00F57DA0">
        <w:tab/>
      </w:r>
      <w:r w:rsidR="00B93BBA">
        <w:tab/>
      </w:r>
      <w:r w:rsidRPr="00F57DA0">
        <w:t>MHz</w:t>
      </w:r>
    </w:p>
    <w:p w14:paraId="7A323FCE" w14:textId="77777777" w:rsidR="0024286E" w:rsidRPr="00F57DA0" w:rsidRDefault="0024286E" w:rsidP="0024286E">
      <w:r w:rsidRPr="00F57DA0">
        <w:t xml:space="preserve">where </w:t>
      </w:r>
      <w:r w:rsidRPr="00F57DA0">
        <w:rPr>
          <w:i/>
        </w:rPr>
        <w:t>f</w:t>
      </w:r>
      <w:r w:rsidRPr="00F57DA0">
        <w:rPr>
          <w:i/>
          <w:iCs/>
          <w:vertAlign w:val="subscript"/>
        </w:rPr>
        <w:t>n</w:t>
      </w:r>
      <w:r w:rsidRPr="00F57DA0">
        <w:t xml:space="preserve"> is the centre frequency (MHz) of each slot, and </w:t>
      </w:r>
      <w:r w:rsidRPr="00F57DA0">
        <w:rPr>
          <w:i/>
        </w:rPr>
        <w:t>n</w:t>
      </w:r>
      <w:r w:rsidRPr="00F57DA0">
        <w:t xml:space="preserve"> ranges from 17 to 575, within the band 10.15-10.3 GHz, and from 1</w:t>
      </w:r>
      <w:r>
        <w:rPr>
          <w:rFonts w:ascii="Tms Rmn" w:hAnsi="Tms Rmn"/>
          <w:sz w:val="12"/>
        </w:rPr>
        <w:t> </w:t>
      </w:r>
      <w:r w:rsidRPr="00F57DA0">
        <w:t>417 to 1</w:t>
      </w:r>
      <w:r w:rsidRPr="00F57DA0">
        <w:rPr>
          <w:rFonts w:ascii="Tms Rmn" w:hAnsi="Tms Rmn"/>
          <w:sz w:val="12"/>
        </w:rPr>
        <w:t> </w:t>
      </w:r>
      <w:r w:rsidRPr="00F57DA0">
        <w:t>975, within the band 10.5 to 10.65 GHz.</w:t>
      </w:r>
    </w:p>
    <w:p w14:paraId="74C6B8E5" w14:textId="77777777" w:rsidR="0024286E" w:rsidRDefault="0024286E" w:rsidP="0024286E"/>
    <w:p w14:paraId="5BEFB862" w14:textId="77777777" w:rsidR="00FE60AC" w:rsidRDefault="00FE60AC" w:rsidP="0024286E"/>
    <w:p w14:paraId="2D0EB203" w14:textId="77777777" w:rsidR="0024286E" w:rsidRPr="00F57DA0" w:rsidRDefault="0024286E" w:rsidP="0024286E">
      <w:pPr>
        <w:pStyle w:val="AnnexNoTitle"/>
        <w:rPr>
          <w:lang w:eastAsia="ja-JP"/>
        </w:rPr>
      </w:pPr>
      <w:r w:rsidRPr="00F57DA0">
        <w:t>Annex 2</w:t>
      </w:r>
      <w:r w:rsidRPr="00F57DA0">
        <w:br/>
      </w:r>
      <w:r w:rsidRPr="00F57DA0">
        <w:br/>
        <w:t>Radio-frequency arrangement based on 30 MHz blocks</w:t>
      </w:r>
    </w:p>
    <w:p w14:paraId="27CFE6D2" w14:textId="77777777" w:rsidR="0024286E" w:rsidRPr="00176CD4" w:rsidRDefault="0024286E" w:rsidP="0024286E">
      <w:pPr>
        <w:pStyle w:val="Normalaftertitle"/>
      </w:pPr>
      <w:r w:rsidRPr="00F57DA0">
        <w:t>This arrangement consists of five adjacent blocks of 30 MHz bandwidth in the band 10.15-10.3 GHz, paired with five adjacent blocks of 30 MHz in the band 10.5-10.65 GHz, as per Fig. 2.</w:t>
      </w:r>
    </w:p>
    <w:p w14:paraId="6DD6D5EF" w14:textId="77777777" w:rsidR="0024286E" w:rsidRDefault="0024286E" w:rsidP="0024286E">
      <w:pPr>
        <w:pStyle w:val="FigureNo"/>
      </w:pPr>
      <w:r>
        <w:t>figure 2</w:t>
      </w:r>
    </w:p>
    <w:p w14:paraId="65DA353F" w14:textId="77777777" w:rsidR="0024286E" w:rsidRPr="00496C3C" w:rsidRDefault="0024286E" w:rsidP="0024286E">
      <w:pPr>
        <w:pStyle w:val="Figuretitle"/>
      </w:pPr>
      <w:r>
        <w:t>30 MHz block plan for the ranges 10.15-10.3/10.5-10.65 GHz</w:t>
      </w:r>
    </w:p>
    <w:p w14:paraId="7F39A2CD" w14:textId="14DA5796" w:rsidR="0024286E" w:rsidRPr="00F57DA0" w:rsidRDefault="00FE60AC" w:rsidP="0024286E">
      <w:pPr>
        <w:pStyle w:val="Figure"/>
      </w:pPr>
      <w:r>
        <w:rPr>
          <w:noProof/>
        </w:rPr>
        <w:drawing>
          <wp:inline distT="0" distB="0" distL="0" distR="0" wp14:anchorId="175EC0A7" wp14:editId="1D4FD1C4">
            <wp:extent cx="4614681" cy="1441707"/>
            <wp:effectExtent l="0" t="0" r="0" b="6350"/>
            <wp:docPr id="157929438" name="Picture 2" descr="A table with numbers and a few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29438" name="Picture 2" descr="A table with numbers and a few lines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681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8868" w14:textId="77777777" w:rsidR="0024286E" w:rsidRPr="00F57DA0" w:rsidRDefault="0024286E" w:rsidP="0024286E">
      <w:pPr>
        <w:pStyle w:val="Heading1"/>
      </w:pPr>
      <w:r>
        <w:lastRenderedPageBreak/>
        <w:t>1</w:t>
      </w:r>
      <w:r w:rsidRPr="00F57DA0">
        <w:tab/>
        <w:t>Derivation of discrete channel slots of 0.25 MHz</w:t>
      </w:r>
    </w:p>
    <w:p w14:paraId="44A8FA63" w14:textId="77777777" w:rsidR="0024286E" w:rsidRPr="00F57DA0" w:rsidRDefault="0024286E" w:rsidP="00B93BBA">
      <w:pPr>
        <w:keepNext/>
        <w:keepLines/>
      </w:pPr>
      <w:r w:rsidRPr="00F57DA0">
        <w:t>The discrete channel slots of 0.25 MHz are derived as follows:</w:t>
      </w:r>
    </w:p>
    <w:p w14:paraId="219A846E" w14:textId="1FFEEDF2" w:rsidR="0024286E" w:rsidRPr="00F57DA0" w:rsidRDefault="0024286E" w:rsidP="0024286E">
      <w:pPr>
        <w:pStyle w:val="Equation"/>
        <w:tabs>
          <w:tab w:val="left" w:pos="6887"/>
        </w:tabs>
        <w:spacing w:before="240" w:after="120"/>
      </w:pPr>
      <w:r w:rsidRPr="00F57DA0">
        <w:rPr>
          <w:i/>
        </w:rPr>
        <w:tab/>
      </w:r>
      <w:r w:rsidRPr="00F57DA0">
        <w:rPr>
          <w:i/>
        </w:rPr>
        <w:tab/>
        <w:t>f</w:t>
      </w:r>
      <w:r w:rsidRPr="00F57DA0">
        <w:rPr>
          <w:i/>
          <w:iCs/>
          <w:vertAlign w:val="subscript"/>
        </w:rPr>
        <w:t>n</w:t>
      </w:r>
      <w:r w:rsidRPr="00F57DA0">
        <w:t xml:space="preserve"> </w:t>
      </w:r>
      <w:r w:rsidRPr="00F57DA0">
        <w:rPr>
          <w:rFonts w:ascii="Symbol" w:hAnsi="Symbol"/>
        </w:rPr>
        <w:t></w:t>
      </w:r>
      <w:r w:rsidRPr="00F57DA0">
        <w:t xml:space="preserve"> 10</w:t>
      </w:r>
      <w:r w:rsidRPr="00F57DA0">
        <w:rPr>
          <w:rFonts w:ascii="Tms Rmn" w:hAnsi="Tms Rmn"/>
          <w:sz w:val="12"/>
        </w:rPr>
        <w:t> </w:t>
      </w:r>
      <w:r w:rsidRPr="00F57DA0">
        <w:t xml:space="preserve">150 </w:t>
      </w:r>
      <w:r w:rsidRPr="00F57DA0">
        <w:rPr>
          <w:rFonts w:ascii="Symbol" w:hAnsi="Symbol"/>
        </w:rPr>
        <w:t></w:t>
      </w:r>
      <w:r w:rsidRPr="00F57DA0">
        <w:t xml:space="preserve"> 0.25 </w:t>
      </w:r>
      <w:r w:rsidRPr="00F57DA0">
        <w:rPr>
          <w:i/>
        </w:rPr>
        <w:t>n</w:t>
      </w:r>
      <w:r w:rsidRPr="00F57DA0">
        <w:tab/>
      </w:r>
      <w:r w:rsidR="00B93BBA">
        <w:tab/>
      </w:r>
      <w:r w:rsidRPr="00F57DA0">
        <w:t>MHz</w:t>
      </w:r>
    </w:p>
    <w:p w14:paraId="3FD728FB" w14:textId="77777777" w:rsidR="0024286E" w:rsidRDefault="0024286E" w:rsidP="0024286E">
      <w:r w:rsidRPr="00F57DA0">
        <w:t xml:space="preserve">where </w:t>
      </w:r>
      <w:r w:rsidRPr="00F57DA0">
        <w:rPr>
          <w:i/>
        </w:rPr>
        <w:t>f</w:t>
      </w:r>
      <w:r w:rsidRPr="00F57DA0">
        <w:rPr>
          <w:i/>
          <w:iCs/>
          <w:vertAlign w:val="subscript"/>
        </w:rPr>
        <w:t>n</w:t>
      </w:r>
      <w:r w:rsidRPr="00F57DA0">
        <w:t xml:space="preserve"> is the centre frequency (MHz) of each slot, and </w:t>
      </w:r>
      <w:r w:rsidRPr="00F57DA0">
        <w:rPr>
          <w:i/>
        </w:rPr>
        <w:t>n</w:t>
      </w:r>
      <w:r w:rsidRPr="00F57DA0">
        <w:t xml:space="preserve"> ranges from 1 to 599 within the band 10.15</w:t>
      </w:r>
      <w:r>
        <w:noBreakHyphen/>
      </w:r>
      <w:r w:rsidRPr="00F57DA0">
        <w:t>10.3 GHz, and from 1</w:t>
      </w:r>
      <w:r w:rsidRPr="00F57DA0">
        <w:rPr>
          <w:rFonts w:ascii="Tms Rmn" w:hAnsi="Tms Rmn"/>
          <w:sz w:val="12"/>
        </w:rPr>
        <w:t> </w:t>
      </w:r>
      <w:r w:rsidRPr="00F57DA0">
        <w:t>401 to 1</w:t>
      </w:r>
      <w:r w:rsidRPr="00F57DA0">
        <w:rPr>
          <w:rFonts w:ascii="Tms Rmn" w:hAnsi="Tms Rmn"/>
          <w:sz w:val="12"/>
        </w:rPr>
        <w:t> </w:t>
      </w:r>
      <w:r w:rsidRPr="00F57DA0">
        <w:t>999 within the band 10.5 to 10.65 GHz.</w:t>
      </w:r>
    </w:p>
    <w:p w14:paraId="51156089" w14:textId="77777777" w:rsidR="00B874C6" w:rsidRPr="00BF487A" w:rsidRDefault="00B874C6" w:rsidP="00B874C6">
      <w:pPr>
        <w:pStyle w:val="Line"/>
      </w:pPr>
    </w:p>
    <w:sectPr w:rsidR="00B874C6" w:rsidRPr="00BF487A" w:rsidSect="00A85807">
      <w:footerReference w:type="default" r:id="rId16"/>
      <w:pgSz w:w="11907" w:h="16834" w:code="9"/>
      <w:pgMar w:top="1418" w:right="1134" w:bottom="1134" w:left="1134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2D81" w14:textId="77777777" w:rsidR="00340CA5" w:rsidRDefault="00340CA5">
      <w:r>
        <w:separator/>
      </w:r>
    </w:p>
  </w:endnote>
  <w:endnote w:type="continuationSeparator" w:id="0">
    <w:p w14:paraId="76FF43F4" w14:textId="77777777" w:rsidR="00340CA5" w:rsidRDefault="0034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panose1 w:val="020B06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B82" w14:textId="77777777" w:rsidR="00301DB3" w:rsidRDefault="00301DB3">
    <w:pPr>
      <w:pStyle w:val="Footer"/>
    </w:pPr>
    <w:r>
      <w:drawing>
        <wp:anchor distT="0" distB="0" distL="0" distR="0" simplePos="0" relativeHeight="251656192" behindDoc="0" locked="0" layoutInCell="1" allowOverlap="1" wp14:anchorId="131D5724" wp14:editId="67A4AE88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1" name="image1.png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082" w14:textId="77777777" w:rsidR="00C15F3E" w:rsidRDefault="00C1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3E76" w14:textId="77777777" w:rsidR="00340CA5" w:rsidRDefault="00340CA5">
      <w:r>
        <w:separator/>
      </w:r>
    </w:p>
  </w:footnote>
  <w:footnote w:type="continuationSeparator" w:id="0">
    <w:p w14:paraId="785BDCF2" w14:textId="77777777" w:rsidR="00340CA5" w:rsidRDefault="0034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E94" w14:textId="77777777" w:rsidR="001B164E" w:rsidRDefault="001B164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914"/>
    </w:tblGrid>
    <w:tr w:rsidR="005B0371" w:rsidRPr="00A239D1" w14:paraId="3C0943ED" w14:textId="77777777" w:rsidTr="0019307B">
      <w:tc>
        <w:tcPr>
          <w:tcW w:w="4634" w:type="dxa"/>
          <w:vAlign w:val="center"/>
        </w:tcPr>
        <w:p w14:paraId="6C36C76F" w14:textId="77777777" w:rsidR="00EE47C4" w:rsidRPr="005B0371" w:rsidRDefault="00425BC7" w:rsidP="00B9169E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98" w:type="dxa"/>
          <w:vAlign w:val="center"/>
        </w:tcPr>
        <w:p w14:paraId="0C8DEEA7" w14:textId="77777777" w:rsidR="00EE47C4" w:rsidRPr="00260B24" w:rsidRDefault="00EE47C4" w:rsidP="00744F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r w:rsidRPr="00260B24">
            <w:rPr>
              <w:rFonts w:asciiTheme="minorBidi" w:hAnsiTheme="minorBidi"/>
              <w:b/>
              <w:spacing w:val="4"/>
              <w:szCs w:val="24"/>
            </w:rPr>
            <w:t>International Telecommunication Union</w:t>
          </w:r>
        </w:p>
      </w:tc>
    </w:tr>
    <w:tr w:rsidR="005B0371" w:rsidRPr="00A239D1" w14:paraId="0129C9DB" w14:textId="77777777" w:rsidTr="0019307B">
      <w:tc>
        <w:tcPr>
          <w:tcW w:w="4634" w:type="dxa"/>
          <w:vAlign w:val="center"/>
        </w:tcPr>
        <w:p w14:paraId="4A7FAAF9" w14:textId="77777777" w:rsidR="00EE47C4" w:rsidRPr="00260B24" w:rsidRDefault="00EE47C4" w:rsidP="00744F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Recommendation</w:t>
          </w:r>
          <w:r w:rsidR="004A6FEB" w:rsidRPr="00260B24">
            <w:rPr>
              <w:rFonts w:asciiTheme="minorBidi" w:hAnsiTheme="minorBidi"/>
              <w:spacing w:val="4"/>
              <w:szCs w:val="24"/>
            </w:rPr>
            <w:t>s</w:t>
          </w:r>
        </w:p>
      </w:tc>
      <w:tc>
        <w:tcPr>
          <w:tcW w:w="5998" w:type="dxa"/>
          <w:vAlign w:val="center"/>
        </w:tcPr>
        <w:p w14:paraId="1ECEDE10" w14:textId="77777777" w:rsidR="00EE47C4" w:rsidRPr="00260B24" w:rsidRDefault="00EE47C4" w:rsidP="00744F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r w:rsidRPr="00260B24">
            <w:rPr>
              <w:rFonts w:asciiTheme="minorBidi" w:hAnsiTheme="minorBidi"/>
              <w:spacing w:val="4"/>
              <w:szCs w:val="24"/>
            </w:rPr>
            <w:t>Radiocommunication</w:t>
          </w:r>
          <w:r w:rsidR="00305119" w:rsidRPr="00260B24">
            <w:rPr>
              <w:rFonts w:asciiTheme="minorBidi" w:hAnsiTheme="minorBidi"/>
              <w:spacing w:val="4"/>
              <w:szCs w:val="24"/>
            </w:rPr>
            <w:t xml:space="preserve"> Sector</w:t>
          </w:r>
        </w:p>
      </w:tc>
    </w:tr>
  </w:tbl>
  <w:p w14:paraId="3B319952" w14:textId="77777777" w:rsidR="00EE47C4" w:rsidRDefault="00486EB3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2DA1B9C" wp14:editId="64620DA1">
          <wp:simplePos x="0" y="0"/>
          <wp:positionH relativeFrom="column">
            <wp:posOffset>-358302</wp:posOffset>
          </wp:positionH>
          <wp:positionV relativeFrom="paragraph">
            <wp:posOffset>-534670</wp:posOffset>
          </wp:positionV>
          <wp:extent cx="1945758" cy="414616"/>
          <wp:effectExtent l="0" t="0" r="0" b="0"/>
          <wp:wrapNone/>
          <wp:docPr id="5" name="Picture 5" descr="ITU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TU Publica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58" cy="41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7D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1D127" wp14:editId="60B17BB7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E24E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" fillcolor="white [3212]" strokecolor="#f8f8f8"/>
          </w:pict>
        </mc:Fallback>
      </mc:AlternateContent>
    </w:r>
  </w:p>
  <w:p w14:paraId="78D3B28F" w14:textId="77777777" w:rsidR="004A6FEB" w:rsidRDefault="00A507D4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3FE50" wp14:editId="2CA00CF1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B8384" id="docshapegroup6" o:spid="_x0000_s1026" alt="Header separator line" style="position:absolute;margin-left:0;margin-top:94.2pt;width:595.3pt;height:18.6pt;z-index:251659264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" path="m627,l,,314,313,627,xe" fillcolor="white [3212]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4EED" w14:textId="37407E15" w:rsidR="001B164E" w:rsidRPr="00D72623" w:rsidRDefault="00D72623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"Header" \* MERGEFORMAT </w:instrText>
    </w:r>
    <w:r>
      <w:rPr>
        <w:b/>
        <w:bCs/>
        <w:lang w:val="en-US"/>
      </w:rPr>
      <w:fldChar w:fldCharType="separate"/>
    </w:r>
    <w:r w:rsidR="003D3FE3">
      <w:rPr>
        <w:b/>
        <w:bCs/>
        <w:lang w:val="en-US"/>
      </w:rPr>
      <w:t xml:space="preserve">Rec. </w:t>
    </w:r>
    <w:r>
      <w:rPr>
        <w:b/>
        <w:bCs/>
        <w:lang w:val="en-US"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3D3FE3">
      <w:rPr>
        <w:b/>
        <w:bCs/>
        <w:noProof/>
        <w:lang w:val="en-US"/>
      </w:rPr>
      <w:t>ITU-R  F.1568-2</w:t>
    </w:r>
    <w:r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F16" w14:textId="2A5F90FB" w:rsidR="001B164E" w:rsidRDefault="001B164E">
    <w:pPr>
      <w:pStyle w:val="Header"/>
    </w:pPr>
    <w:r>
      <w:tab/>
    </w:r>
    <w:r w:rsidR="00C84DB7">
      <w:rPr>
        <w:b/>
        <w:bCs/>
      </w:rPr>
      <w:fldChar w:fldCharType="begin"/>
    </w:r>
    <w:r w:rsidR="00C84DB7">
      <w:rPr>
        <w:b/>
        <w:bCs/>
      </w:rPr>
      <w:instrText xml:space="preserve"> DOCPROPERTY "Header" \* MERGEFORMAT </w:instrText>
    </w:r>
    <w:r w:rsidR="00C84DB7">
      <w:rPr>
        <w:b/>
        <w:bCs/>
      </w:rPr>
      <w:fldChar w:fldCharType="separate"/>
    </w:r>
    <w:r w:rsidR="003D3FE3">
      <w:rPr>
        <w:b/>
        <w:bCs/>
      </w:rPr>
      <w:t xml:space="preserve">Rec. </w:t>
    </w:r>
    <w:r w:rsidR="00C84DB7">
      <w:rPr>
        <w:b/>
        <w:bCs/>
      </w:rPr>
      <w:fldChar w:fldCharType="end"/>
    </w:r>
    <w:r>
      <w:rPr>
        <w:b/>
        <w:bCs/>
      </w:rPr>
      <w:t xml:space="preserve"> </w:t>
    </w:r>
    <w:r w:rsidR="006C37D5">
      <w:rPr>
        <w:b/>
        <w:bCs/>
      </w:rPr>
      <w:fldChar w:fldCharType="begin"/>
    </w:r>
    <w:r>
      <w:rPr>
        <w:b/>
        <w:bCs/>
      </w:rPr>
      <w:instrText>styleref href</w:instrText>
    </w:r>
    <w:r w:rsidR="006C37D5">
      <w:rPr>
        <w:b/>
        <w:bCs/>
      </w:rPr>
      <w:fldChar w:fldCharType="separate"/>
    </w:r>
    <w:r w:rsidR="003D3FE3">
      <w:rPr>
        <w:b/>
        <w:bCs/>
        <w:noProof/>
      </w:rPr>
      <w:t>ITU-R  F.1568-2</w:t>
    </w:r>
    <w:r w:rsidR="006C37D5">
      <w:rPr>
        <w:b/>
        <w:bCs/>
      </w:rPr>
      <w:fldChar w:fldCharType="end"/>
    </w:r>
    <w:r>
      <w:tab/>
    </w:r>
    <w:r w:rsidR="006C37D5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6C37D5">
      <w:rPr>
        <w:rStyle w:val="PageNumber"/>
        <w:b/>
        <w:bCs/>
      </w:rPr>
      <w:fldChar w:fldCharType="separate"/>
    </w:r>
    <w:r w:rsidR="00C84DB7">
      <w:rPr>
        <w:rStyle w:val="PageNumber"/>
        <w:b/>
        <w:bCs/>
        <w:noProof/>
      </w:rPr>
      <w:t>1</w:t>
    </w:r>
    <w:r w:rsidR="006C37D5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82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>
      <o:colormru v:ext="edit" colors="#d62a47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A5"/>
    <w:rsid w:val="00013002"/>
    <w:rsid w:val="00036EE3"/>
    <w:rsid w:val="00072484"/>
    <w:rsid w:val="00095530"/>
    <w:rsid w:val="00096612"/>
    <w:rsid w:val="000B1B2B"/>
    <w:rsid w:val="000B63AF"/>
    <w:rsid w:val="000B7683"/>
    <w:rsid w:val="000D0677"/>
    <w:rsid w:val="000E0548"/>
    <w:rsid w:val="000E6A6E"/>
    <w:rsid w:val="00102934"/>
    <w:rsid w:val="00140ED4"/>
    <w:rsid w:val="00147110"/>
    <w:rsid w:val="001511A6"/>
    <w:rsid w:val="00171C4D"/>
    <w:rsid w:val="0017562F"/>
    <w:rsid w:val="00192E38"/>
    <w:rsid w:val="0019307B"/>
    <w:rsid w:val="001B0927"/>
    <w:rsid w:val="001B164E"/>
    <w:rsid w:val="001B7886"/>
    <w:rsid w:val="001F38BB"/>
    <w:rsid w:val="002058CE"/>
    <w:rsid w:val="002165F1"/>
    <w:rsid w:val="00233211"/>
    <w:rsid w:val="0024286E"/>
    <w:rsid w:val="00260B24"/>
    <w:rsid w:val="00267364"/>
    <w:rsid w:val="0027411A"/>
    <w:rsid w:val="00276D21"/>
    <w:rsid w:val="00296D7F"/>
    <w:rsid w:val="002A5D45"/>
    <w:rsid w:val="002B3CF6"/>
    <w:rsid w:val="002B3E59"/>
    <w:rsid w:val="002C768A"/>
    <w:rsid w:val="002D0BD7"/>
    <w:rsid w:val="002D76C4"/>
    <w:rsid w:val="002E0CCE"/>
    <w:rsid w:val="002F5199"/>
    <w:rsid w:val="00301DB3"/>
    <w:rsid w:val="00305119"/>
    <w:rsid w:val="003157F1"/>
    <w:rsid w:val="00340CA5"/>
    <w:rsid w:val="00356B5D"/>
    <w:rsid w:val="00357707"/>
    <w:rsid w:val="0036627C"/>
    <w:rsid w:val="003D3FE3"/>
    <w:rsid w:val="003E5516"/>
    <w:rsid w:val="003F4B75"/>
    <w:rsid w:val="00420DFD"/>
    <w:rsid w:val="00425BC7"/>
    <w:rsid w:val="00437A76"/>
    <w:rsid w:val="004511C0"/>
    <w:rsid w:val="004604B2"/>
    <w:rsid w:val="00470E28"/>
    <w:rsid w:val="0047379B"/>
    <w:rsid w:val="00474170"/>
    <w:rsid w:val="00477729"/>
    <w:rsid w:val="004842E2"/>
    <w:rsid w:val="00486EB3"/>
    <w:rsid w:val="004934C5"/>
    <w:rsid w:val="004A6FEB"/>
    <w:rsid w:val="004E61FF"/>
    <w:rsid w:val="004F1A04"/>
    <w:rsid w:val="004F5CF1"/>
    <w:rsid w:val="004F7E49"/>
    <w:rsid w:val="005275EA"/>
    <w:rsid w:val="005373E0"/>
    <w:rsid w:val="00556548"/>
    <w:rsid w:val="00571B1C"/>
    <w:rsid w:val="00576D47"/>
    <w:rsid w:val="00586EF8"/>
    <w:rsid w:val="005B0371"/>
    <w:rsid w:val="005B49AB"/>
    <w:rsid w:val="005B50E7"/>
    <w:rsid w:val="005C4BAB"/>
    <w:rsid w:val="005E12A5"/>
    <w:rsid w:val="005E69F0"/>
    <w:rsid w:val="005E7B4F"/>
    <w:rsid w:val="005F003B"/>
    <w:rsid w:val="005F2E73"/>
    <w:rsid w:val="00601882"/>
    <w:rsid w:val="00607D68"/>
    <w:rsid w:val="00613212"/>
    <w:rsid w:val="006149B1"/>
    <w:rsid w:val="00640332"/>
    <w:rsid w:val="00680D2B"/>
    <w:rsid w:val="00681B32"/>
    <w:rsid w:val="00697887"/>
    <w:rsid w:val="006B1D2B"/>
    <w:rsid w:val="006C37D5"/>
    <w:rsid w:val="006D3CB6"/>
    <w:rsid w:val="006E1131"/>
    <w:rsid w:val="006E2037"/>
    <w:rsid w:val="006E6199"/>
    <w:rsid w:val="00712870"/>
    <w:rsid w:val="00714AC0"/>
    <w:rsid w:val="0074147D"/>
    <w:rsid w:val="00743D85"/>
    <w:rsid w:val="00744F8B"/>
    <w:rsid w:val="00752A63"/>
    <w:rsid w:val="00753CF4"/>
    <w:rsid w:val="007565CC"/>
    <w:rsid w:val="00763B9A"/>
    <w:rsid w:val="007A6AA8"/>
    <w:rsid w:val="007B1357"/>
    <w:rsid w:val="007B3343"/>
    <w:rsid w:val="008310C9"/>
    <w:rsid w:val="008335F0"/>
    <w:rsid w:val="00834306"/>
    <w:rsid w:val="00853CC5"/>
    <w:rsid w:val="00873813"/>
    <w:rsid w:val="00877E6E"/>
    <w:rsid w:val="008B083A"/>
    <w:rsid w:val="008C7848"/>
    <w:rsid w:val="00906589"/>
    <w:rsid w:val="00906AD6"/>
    <w:rsid w:val="00917AF2"/>
    <w:rsid w:val="0092418A"/>
    <w:rsid w:val="00934ED7"/>
    <w:rsid w:val="00940D16"/>
    <w:rsid w:val="009543C3"/>
    <w:rsid w:val="00966E1B"/>
    <w:rsid w:val="00972F51"/>
    <w:rsid w:val="00984A02"/>
    <w:rsid w:val="009947C0"/>
    <w:rsid w:val="009A4039"/>
    <w:rsid w:val="009A41F9"/>
    <w:rsid w:val="009D4BBD"/>
    <w:rsid w:val="009F2D2C"/>
    <w:rsid w:val="009F5580"/>
    <w:rsid w:val="00A03C0E"/>
    <w:rsid w:val="00A239D1"/>
    <w:rsid w:val="00A31928"/>
    <w:rsid w:val="00A35B27"/>
    <w:rsid w:val="00A507D4"/>
    <w:rsid w:val="00A5147A"/>
    <w:rsid w:val="00A61F3C"/>
    <w:rsid w:val="00A62A14"/>
    <w:rsid w:val="00A6617B"/>
    <w:rsid w:val="00A71FE5"/>
    <w:rsid w:val="00A7534B"/>
    <w:rsid w:val="00A76007"/>
    <w:rsid w:val="00A85807"/>
    <w:rsid w:val="00A86DD2"/>
    <w:rsid w:val="00A936CB"/>
    <w:rsid w:val="00A971A1"/>
    <w:rsid w:val="00AA3AD8"/>
    <w:rsid w:val="00AA457C"/>
    <w:rsid w:val="00AB0DC8"/>
    <w:rsid w:val="00AB405C"/>
    <w:rsid w:val="00AC015D"/>
    <w:rsid w:val="00AD3679"/>
    <w:rsid w:val="00AE698D"/>
    <w:rsid w:val="00AF0286"/>
    <w:rsid w:val="00AF5326"/>
    <w:rsid w:val="00B019A2"/>
    <w:rsid w:val="00B0286E"/>
    <w:rsid w:val="00B033C8"/>
    <w:rsid w:val="00B33425"/>
    <w:rsid w:val="00B42334"/>
    <w:rsid w:val="00B44E24"/>
    <w:rsid w:val="00B54ECC"/>
    <w:rsid w:val="00B60AC0"/>
    <w:rsid w:val="00B714F3"/>
    <w:rsid w:val="00B75A52"/>
    <w:rsid w:val="00B76D85"/>
    <w:rsid w:val="00B874C6"/>
    <w:rsid w:val="00B87B6B"/>
    <w:rsid w:val="00B9169E"/>
    <w:rsid w:val="00B93BBA"/>
    <w:rsid w:val="00BC5D77"/>
    <w:rsid w:val="00BD4283"/>
    <w:rsid w:val="00BF487A"/>
    <w:rsid w:val="00BF5544"/>
    <w:rsid w:val="00C15F3E"/>
    <w:rsid w:val="00C46BD9"/>
    <w:rsid w:val="00C55258"/>
    <w:rsid w:val="00C70297"/>
    <w:rsid w:val="00C73560"/>
    <w:rsid w:val="00C84DB7"/>
    <w:rsid w:val="00C87A35"/>
    <w:rsid w:val="00CB0F14"/>
    <w:rsid w:val="00CC7219"/>
    <w:rsid w:val="00CD659B"/>
    <w:rsid w:val="00CE0A43"/>
    <w:rsid w:val="00D00118"/>
    <w:rsid w:val="00D16749"/>
    <w:rsid w:val="00D26DFE"/>
    <w:rsid w:val="00D5024B"/>
    <w:rsid w:val="00D61962"/>
    <w:rsid w:val="00D72623"/>
    <w:rsid w:val="00D83556"/>
    <w:rsid w:val="00DE5556"/>
    <w:rsid w:val="00DF4176"/>
    <w:rsid w:val="00E0095C"/>
    <w:rsid w:val="00E040CD"/>
    <w:rsid w:val="00E17240"/>
    <w:rsid w:val="00E74595"/>
    <w:rsid w:val="00E77485"/>
    <w:rsid w:val="00EB1CB6"/>
    <w:rsid w:val="00EB7C57"/>
    <w:rsid w:val="00EC6D49"/>
    <w:rsid w:val="00ED2695"/>
    <w:rsid w:val="00EE04BA"/>
    <w:rsid w:val="00EE47C4"/>
    <w:rsid w:val="00EF2D52"/>
    <w:rsid w:val="00F30C9B"/>
    <w:rsid w:val="00F354B1"/>
    <w:rsid w:val="00F354D7"/>
    <w:rsid w:val="00F6343F"/>
    <w:rsid w:val="00F72776"/>
    <w:rsid w:val="00F92A40"/>
    <w:rsid w:val="00FB0E4E"/>
    <w:rsid w:val="00FE60AC"/>
    <w:rsid w:val="00FE79F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d62a47,#f8f8f8"/>
    </o:shapedefaults>
    <o:shapelayout v:ext="edit">
      <o:idmap v:ext="edit" data="2"/>
    </o:shapelayout>
  </w:shapeDefaults>
  <w:decimalSymbol w:val="."/>
  <w:listSeparator w:val=","/>
  <w14:docId w14:val="2F39A6B1"/>
  <w15:docId w15:val="{4B8CC2CA-26FA-4E6D-AF52-94D47E4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5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A457C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457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A457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A457C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AA457C"/>
    <w:pPr>
      <w:outlineLvl w:val="4"/>
    </w:pPr>
  </w:style>
  <w:style w:type="paragraph" w:styleId="Heading6">
    <w:name w:val="heading 6"/>
    <w:basedOn w:val="Heading4"/>
    <w:next w:val="Normal"/>
    <w:qFormat/>
    <w:rsid w:val="00AA457C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457C"/>
    <w:pPr>
      <w:outlineLvl w:val="6"/>
    </w:pPr>
  </w:style>
  <w:style w:type="paragraph" w:styleId="Heading8">
    <w:name w:val="heading 8"/>
    <w:basedOn w:val="Heading6"/>
    <w:next w:val="Normal"/>
    <w:qFormat/>
    <w:rsid w:val="00AA457C"/>
    <w:pPr>
      <w:outlineLvl w:val="7"/>
    </w:pPr>
  </w:style>
  <w:style w:type="paragraph" w:styleId="Heading9">
    <w:name w:val="heading 9"/>
    <w:basedOn w:val="Heading6"/>
    <w:next w:val="Normal"/>
    <w:qFormat/>
    <w:rsid w:val="00AA457C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57C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AA457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AA457C"/>
  </w:style>
  <w:style w:type="paragraph" w:customStyle="1" w:styleId="Headingb">
    <w:name w:val="Heading_b"/>
    <w:basedOn w:val="Heading3"/>
    <w:next w:val="Normal"/>
    <w:rsid w:val="00AA457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A457C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AA457C"/>
  </w:style>
  <w:style w:type="paragraph" w:customStyle="1" w:styleId="AnnexNoTitle">
    <w:name w:val="Annex_NoTitle"/>
    <w:basedOn w:val="Normal"/>
    <w:next w:val="Normalaftertitle"/>
    <w:rsid w:val="006D3CB6"/>
    <w:pPr>
      <w:keepNext/>
      <w:keepLines/>
      <w:spacing w:before="480" w:after="80"/>
      <w:jc w:val="center"/>
      <w:outlineLvl w:val="0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A457C"/>
    <w:pPr>
      <w:spacing w:before="320"/>
    </w:pPr>
  </w:style>
  <w:style w:type="paragraph" w:customStyle="1" w:styleId="enumlev2">
    <w:name w:val="enumlev2"/>
    <w:basedOn w:val="enumlev1"/>
    <w:rsid w:val="00AA457C"/>
    <w:pPr>
      <w:ind w:left="1191" w:hanging="397"/>
    </w:pPr>
  </w:style>
  <w:style w:type="paragraph" w:customStyle="1" w:styleId="enumlev1">
    <w:name w:val="enumlev1"/>
    <w:basedOn w:val="Normal"/>
    <w:rsid w:val="00AA457C"/>
    <w:pPr>
      <w:spacing w:before="80"/>
      <w:ind w:left="794" w:hanging="794"/>
    </w:pPr>
  </w:style>
  <w:style w:type="paragraph" w:customStyle="1" w:styleId="enumlev3">
    <w:name w:val="enumlev3"/>
    <w:basedOn w:val="enumlev2"/>
    <w:rsid w:val="00AA457C"/>
    <w:pPr>
      <w:ind w:left="1588"/>
    </w:pPr>
  </w:style>
  <w:style w:type="paragraph" w:customStyle="1" w:styleId="Note">
    <w:name w:val="Note"/>
    <w:basedOn w:val="Normal"/>
    <w:rsid w:val="00AA457C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rsid w:val="00AA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rsid w:val="00AA457C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AA457C"/>
    <w:pPr>
      <w:jc w:val="center"/>
    </w:pPr>
  </w:style>
  <w:style w:type="paragraph" w:customStyle="1" w:styleId="Recdate">
    <w:name w:val="Rec_date"/>
    <w:basedOn w:val="Recref"/>
    <w:next w:val="Normalaftertitle"/>
    <w:rsid w:val="00AA457C"/>
    <w:pPr>
      <w:jc w:val="right"/>
    </w:pPr>
  </w:style>
  <w:style w:type="paragraph" w:customStyle="1" w:styleId="HeadingSum">
    <w:name w:val="Heading_Sum"/>
    <w:basedOn w:val="Headingb"/>
    <w:next w:val="Normal"/>
    <w:autoRedefine/>
    <w:rsid w:val="00AA457C"/>
    <w:pPr>
      <w:spacing w:before="240"/>
    </w:pPr>
    <w:rPr>
      <w:sz w:val="22"/>
      <w:lang w:val="es-ES_tradnl"/>
    </w:rPr>
  </w:style>
  <w:style w:type="paragraph" w:customStyle="1" w:styleId="AppendixNoTitle">
    <w:name w:val="Appendix_NoTitle"/>
    <w:basedOn w:val="AnnexNoTitle"/>
    <w:next w:val="Normal"/>
    <w:rsid w:val="00AA457C"/>
  </w:style>
  <w:style w:type="paragraph" w:customStyle="1" w:styleId="Tablefin">
    <w:name w:val="Table_fin"/>
    <w:basedOn w:val="Normal"/>
    <w:next w:val="Normal"/>
    <w:rsid w:val="00AA457C"/>
    <w:pPr>
      <w:spacing w:before="0"/>
    </w:pPr>
    <w:rPr>
      <w:sz w:val="20"/>
    </w:rPr>
  </w:style>
  <w:style w:type="paragraph" w:customStyle="1" w:styleId="Tablehead">
    <w:name w:val="Table_head"/>
    <w:basedOn w:val="Normal"/>
    <w:next w:val="Normal"/>
    <w:rsid w:val="00AA457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AA4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rsid w:val="00AA457C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AA4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rsid w:val="00AA457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A457C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AA457C"/>
    <w:pPr>
      <w:ind w:left="794"/>
    </w:pPr>
  </w:style>
  <w:style w:type="paragraph" w:customStyle="1" w:styleId="Figurelegend">
    <w:name w:val="Figure_legend"/>
    <w:basedOn w:val="Normal"/>
    <w:rsid w:val="00AA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A457C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AA457C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AA457C"/>
    <w:pPr>
      <w:keepNext w:val="0"/>
      <w:spacing w:before="0" w:after="240"/>
    </w:pPr>
  </w:style>
  <w:style w:type="paragraph" w:customStyle="1" w:styleId="tocpart">
    <w:name w:val="tocpart"/>
    <w:basedOn w:val="Normal"/>
    <w:rsid w:val="00AA457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AA457C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AA457C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AA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</w:rPr>
  </w:style>
  <w:style w:type="paragraph" w:customStyle="1" w:styleId="ASN1">
    <w:name w:val="ASN.1"/>
    <w:basedOn w:val="Normal"/>
    <w:next w:val="Normal"/>
    <w:rsid w:val="00AA457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AA457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A457C"/>
    <w:rPr>
      <w:b/>
    </w:rPr>
  </w:style>
  <w:style w:type="paragraph" w:customStyle="1" w:styleId="Chaptitle">
    <w:name w:val="Chap_title"/>
    <w:basedOn w:val="Arttitle"/>
    <w:next w:val="Normalaftertitle"/>
    <w:rsid w:val="00AA457C"/>
  </w:style>
  <w:style w:type="character" w:styleId="FootnoteReference">
    <w:name w:val="footnote reference"/>
    <w:basedOn w:val="DefaultParagraphFont"/>
    <w:semiHidden/>
    <w:rsid w:val="00AA457C"/>
    <w:rPr>
      <w:position w:val="6"/>
      <w:sz w:val="18"/>
    </w:rPr>
  </w:style>
  <w:style w:type="paragraph" w:styleId="FootnoteText">
    <w:name w:val="footnote text"/>
    <w:basedOn w:val="Normal"/>
    <w:semiHidden/>
    <w:rsid w:val="00AA457C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  <w:rsid w:val="00AA457C"/>
  </w:style>
  <w:style w:type="paragraph" w:styleId="Index2">
    <w:name w:val="index 2"/>
    <w:basedOn w:val="Normal"/>
    <w:next w:val="Normal"/>
    <w:semiHidden/>
    <w:rsid w:val="00AA457C"/>
    <w:pPr>
      <w:ind w:left="283"/>
    </w:pPr>
  </w:style>
  <w:style w:type="paragraph" w:styleId="Index3">
    <w:name w:val="index 3"/>
    <w:basedOn w:val="Normal"/>
    <w:next w:val="Normal"/>
    <w:semiHidden/>
    <w:rsid w:val="00AA457C"/>
    <w:pPr>
      <w:ind w:left="566"/>
    </w:pPr>
  </w:style>
  <w:style w:type="paragraph" w:styleId="IndexHeading">
    <w:name w:val="index heading"/>
    <w:basedOn w:val="Normal"/>
    <w:next w:val="Index1"/>
    <w:semiHidden/>
    <w:rsid w:val="00AA457C"/>
  </w:style>
  <w:style w:type="paragraph" w:customStyle="1" w:styleId="Line">
    <w:name w:val="Line"/>
    <w:basedOn w:val="Normal"/>
    <w:next w:val="Normal"/>
    <w:rsid w:val="00AA457C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rsid w:val="00AA457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AA457C"/>
  </w:style>
  <w:style w:type="paragraph" w:customStyle="1" w:styleId="Partref">
    <w:name w:val="Part_ref"/>
    <w:basedOn w:val="Normal"/>
    <w:next w:val="Normal"/>
    <w:rsid w:val="00AA457C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AA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AA457C"/>
  </w:style>
  <w:style w:type="paragraph" w:customStyle="1" w:styleId="QuestionNo">
    <w:name w:val="Question_No"/>
    <w:basedOn w:val="RecNo"/>
    <w:next w:val="Normal"/>
    <w:rsid w:val="00AA457C"/>
  </w:style>
  <w:style w:type="paragraph" w:customStyle="1" w:styleId="Questionref">
    <w:name w:val="Question_ref"/>
    <w:basedOn w:val="Recref"/>
    <w:next w:val="Questiondate"/>
    <w:rsid w:val="00AA457C"/>
  </w:style>
  <w:style w:type="paragraph" w:customStyle="1" w:styleId="Questiontitle">
    <w:name w:val="Question_title"/>
    <w:basedOn w:val="Normal"/>
    <w:next w:val="Questionref"/>
    <w:rsid w:val="00AA457C"/>
  </w:style>
  <w:style w:type="paragraph" w:customStyle="1" w:styleId="Reftext">
    <w:name w:val="Ref_text"/>
    <w:basedOn w:val="Normal"/>
    <w:rsid w:val="00AA457C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AA457C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AA457C"/>
  </w:style>
  <w:style w:type="paragraph" w:customStyle="1" w:styleId="RepNo">
    <w:name w:val="Rep_No"/>
    <w:basedOn w:val="RecNo"/>
    <w:next w:val="Reptitle"/>
    <w:rsid w:val="00AA457C"/>
  </w:style>
  <w:style w:type="paragraph" w:customStyle="1" w:styleId="Reptitle">
    <w:name w:val="Rep_title"/>
    <w:basedOn w:val="Rectitle"/>
    <w:next w:val="Repref"/>
    <w:rsid w:val="00AA457C"/>
  </w:style>
  <w:style w:type="paragraph" w:customStyle="1" w:styleId="Repref">
    <w:name w:val="Rep_ref"/>
    <w:basedOn w:val="Recref"/>
    <w:next w:val="Repdate"/>
    <w:rsid w:val="00AA457C"/>
  </w:style>
  <w:style w:type="paragraph" w:customStyle="1" w:styleId="Resdate">
    <w:name w:val="Res_date"/>
    <w:basedOn w:val="Recdate"/>
    <w:next w:val="Normalaftertitle"/>
    <w:rsid w:val="00AA457C"/>
  </w:style>
  <w:style w:type="paragraph" w:customStyle="1" w:styleId="ResNo">
    <w:name w:val="Res_No"/>
    <w:basedOn w:val="RecNo"/>
    <w:next w:val="Restitle"/>
    <w:rsid w:val="00AA457C"/>
  </w:style>
  <w:style w:type="paragraph" w:customStyle="1" w:styleId="Restitle">
    <w:name w:val="Res_title"/>
    <w:basedOn w:val="Normal"/>
    <w:next w:val="Resref"/>
    <w:rsid w:val="00AA457C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AA457C"/>
  </w:style>
  <w:style w:type="paragraph" w:customStyle="1" w:styleId="SectionNo">
    <w:name w:val="Section_No"/>
    <w:basedOn w:val="Normal"/>
    <w:next w:val="Normal"/>
    <w:rsid w:val="00AA457C"/>
  </w:style>
  <w:style w:type="paragraph" w:customStyle="1" w:styleId="Sectiontitle">
    <w:name w:val="Section_title"/>
    <w:basedOn w:val="Normal"/>
    <w:next w:val="Normalaftertitle"/>
    <w:rsid w:val="00AA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AA457C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AA457C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AA457C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AA457C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AA457C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AA457C"/>
  </w:style>
  <w:style w:type="paragraph" w:styleId="TOC6">
    <w:name w:val="toc 6"/>
    <w:basedOn w:val="TOC4"/>
    <w:semiHidden/>
    <w:rsid w:val="00AA457C"/>
  </w:style>
  <w:style w:type="paragraph" w:styleId="TOC7">
    <w:name w:val="toc 7"/>
    <w:basedOn w:val="TOC4"/>
    <w:semiHidden/>
    <w:rsid w:val="00AA457C"/>
  </w:style>
  <w:style w:type="paragraph" w:styleId="TOC8">
    <w:name w:val="toc 8"/>
    <w:basedOn w:val="TOC4"/>
    <w:semiHidden/>
    <w:rsid w:val="00AA457C"/>
  </w:style>
  <w:style w:type="paragraph" w:customStyle="1" w:styleId="Annexref">
    <w:name w:val="Annex_ref"/>
    <w:basedOn w:val="Normal"/>
    <w:next w:val="Normalaftertitle"/>
    <w:rsid w:val="00AA457C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AA457C"/>
  </w:style>
  <w:style w:type="paragraph" w:customStyle="1" w:styleId="Tabletitle">
    <w:name w:val="Table_title"/>
    <w:basedOn w:val="Normal"/>
    <w:next w:val="Tablehead"/>
    <w:rsid w:val="00AA457C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autoRedefine/>
    <w:rsid w:val="00AA457C"/>
    <w:pPr>
      <w:spacing w:after="480"/>
    </w:pPr>
    <w:rPr>
      <w:sz w:val="22"/>
      <w:lang w:val="es-ES_tradnl"/>
    </w:rPr>
  </w:style>
  <w:style w:type="character" w:styleId="Hyperlink">
    <w:name w:val="Hyperlink"/>
    <w:basedOn w:val="DefaultParagraphFont"/>
    <w:rsid w:val="00934ED7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AA457C"/>
    <w:pPr>
      <w:ind w:left="-85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E47C4"/>
    <w:rPr>
      <w:sz w:val="24"/>
      <w:lang w:val="en-GB" w:eastAsia="en-US"/>
    </w:rPr>
  </w:style>
  <w:style w:type="table" w:styleId="TableGrid">
    <w:name w:val="Table Grid"/>
    <w:basedOn w:val="TableNormal"/>
    <w:uiPriority w:val="39"/>
    <w:rsid w:val="00EE47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083A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260B2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B423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paragraph" w:customStyle="1" w:styleId="EditorsNote">
    <w:name w:val="EditorsNote"/>
    <w:basedOn w:val="Normal"/>
    <w:rsid w:val="0024286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40"/>
      <w:jc w:val="left"/>
    </w:pPr>
    <w:rPr>
      <w:rFonts w:eastAsia="MS Mincho"/>
      <w:i/>
      <w:iCs/>
    </w:rPr>
  </w:style>
  <w:style w:type="character" w:customStyle="1" w:styleId="FiguretitleChar">
    <w:name w:val="Figure_title Char"/>
    <w:basedOn w:val="DefaultParagraphFont"/>
    <w:link w:val="Figuretitle"/>
    <w:rsid w:val="0024286E"/>
    <w:rPr>
      <w:rFonts w:ascii="Times New Roman Bold" w:hAnsi="Times New Roman Bold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publ/R-REC/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itu.int/ITU-R/go/patents/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g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83</TotalTime>
  <Pages>6</Pages>
  <Words>1100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ITU-R F.1568-2 (12/2023) - Radio-frequency block arrangements for fixed wireless access systems in the range 10.15-10.3/10.5-10.65 GHz</vt:lpstr>
    </vt:vector>
  </TitlesOfParts>
  <Manager/>
  <Company>ITU</Company>
  <LinksUpToDate>false</LinksUpToDate>
  <CharactersWithSpaces>7497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ITU-R F.1568-2 (12/2023) - Radio-frequency block arrangements for fixed wireless access systems in the range 10.15-10.3/10.5-10.65 GHz</dc:title>
  <dc:subject/>
  <dc:creator>Gachet, Christelle</dc:creator>
  <cp:keywords/>
  <dc:description>2023-03-17 Version 1</dc:description>
  <cp:lastModifiedBy>Gachet, Christelle</cp:lastModifiedBy>
  <cp:revision>18</cp:revision>
  <cp:lastPrinted>2024-01-16T08:57:00Z</cp:lastPrinted>
  <dcterms:created xsi:type="dcterms:W3CDTF">2024-01-03T10:58:00Z</dcterms:created>
  <dcterms:modified xsi:type="dcterms:W3CDTF">2024-01-16T08:58:00Z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</Properties>
</file>