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9FE" w:rsidRDefault="00FE79FE"/>
    <w:p w:rsidR="00FE79FE" w:rsidRDefault="00FE79FE"/>
    <w:p w:rsidR="00FE79FE" w:rsidRDefault="00FE79FE"/>
    <w:p w:rsidR="00FE79FE" w:rsidRDefault="00FE79FE"/>
    <w:p w:rsidR="00FE79FE" w:rsidRDefault="00FE79FE"/>
    <w:p w:rsidR="00013002" w:rsidRDefault="00013002"/>
    <w:p w:rsidR="00013002" w:rsidRDefault="00013002"/>
    <w:p w:rsidR="00013002" w:rsidRDefault="00013002"/>
    <w:p w:rsidR="00FE79FE" w:rsidRDefault="00FE79FE"/>
    <w:p w:rsidR="00FE79FE" w:rsidRDefault="00FE79FE"/>
    <w:p w:rsidR="00FE79FE" w:rsidRDefault="00FE79FE"/>
    <w:p w:rsidR="00FE79FE" w:rsidRDefault="00FE79FE"/>
    <w:tbl>
      <w:tblPr>
        <w:tblW w:w="10089" w:type="dxa"/>
        <w:tblLook w:val="01E0"/>
      </w:tblPr>
      <w:tblGrid>
        <w:gridCol w:w="10089"/>
      </w:tblGrid>
      <w:tr w:rsidR="00FE79FE" w:rsidRPr="00A443C2">
        <w:tc>
          <w:tcPr>
            <w:tcW w:w="10089" w:type="dxa"/>
          </w:tcPr>
          <w:p w:rsidR="00276D21" w:rsidRPr="00B033C8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FE79FE" w:rsidRPr="00A443C2" w:rsidRDefault="00FE79FE" w:rsidP="00E651F1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Recomm</w:t>
            </w:r>
            <w:r w:rsidR="00D31EB8"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a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ndation  </w:t>
            </w:r>
            <w:r w:rsidR="00D31EB8"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UIT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-R  </w:t>
            </w:r>
            <w:r w:rsidR="00E80F1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F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 w:rsidR="00E651F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1502</w:t>
            </w:r>
          </w:p>
          <w:p w:rsidR="00FE79FE" w:rsidRPr="00A443C2" w:rsidRDefault="00FE79FE" w:rsidP="00E651F1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E651F1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05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 w:rsidR="00E651F1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2000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FE79FE" w:rsidRPr="00F54FBD">
        <w:tc>
          <w:tcPr>
            <w:tcW w:w="10089" w:type="dxa"/>
          </w:tcPr>
          <w:p w:rsidR="00A443C2" w:rsidRDefault="00A443C2" w:rsidP="00123FD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FE79FE" w:rsidRDefault="00E651F1" w:rsidP="00E651F1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Protection du service fixe partageant la bande de fréquences 8 025-8</w:t>
            </w:r>
            <w:r w:rsidR="001C01C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400 MHz avec les systèmes à satellites géostationnaires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br/>
              <w:t>du service d'exploration de la Terre par satellite (espace vers Terre)</w:t>
            </w:r>
          </w:p>
          <w:p w:rsidR="00E02402" w:rsidRPr="00F54FBD" w:rsidRDefault="00E024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</w:tc>
      </w:tr>
      <w:tr w:rsidR="00FE79FE" w:rsidRPr="00F54FBD">
        <w:tc>
          <w:tcPr>
            <w:tcW w:w="10089" w:type="dxa"/>
          </w:tcPr>
          <w:p w:rsidR="00AD267B" w:rsidRPr="00F54FBD" w:rsidRDefault="00AD267B" w:rsidP="00AD267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AD267B" w:rsidRPr="00F54FBD" w:rsidRDefault="00AD267B" w:rsidP="00AD267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AD267B" w:rsidRPr="00F54FBD" w:rsidRDefault="00AD267B" w:rsidP="004A4D65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013002" w:rsidRPr="00F54FBD" w:rsidRDefault="00FE79FE" w:rsidP="00E80F1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</w:t>
            </w:r>
            <w:r w:rsidR="00D31EB8"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é</w:t>
            </w:r>
            <w:r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rie</w:t>
            </w:r>
            <w:r w:rsidR="00D31EB8"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 </w:t>
            </w:r>
            <w:r w:rsidR="00E80F1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F</w:t>
            </w:r>
          </w:p>
          <w:p w:rsidR="00FE79FE" w:rsidRPr="00F54FBD" w:rsidRDefault="00E80F1D" w:rsidP="00AD267B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Service fixe</w:t>
            </w:r>
          </w:p>
        </w:tc>
      </w:tr>
    </w:tbl>
    <w:p w:rsidR="00A71FE5" w:rsidRPr="00F54FBD" w:rsidRDefault="00A71FE5" w:rsidP="00CD659B">
      <w:pPr>
        <w:spacing w:before="80"/>
        <w:rPr>
          <w:i/>
          <w:sz w:val="22"/>
        </w:rPr>
      </w:pPr>
    </w:p>
    <w:p w:rsidR="00FE79FE" w:rsidRPr="00F54FBD" w:rsidRDefault="00FE79FE" w:rsidP="00CD659B">
      <w:pPr>
        <w:spacing w:before="80"/>
        <w:rPr>
          <w:i/>
          <w:sz w:val="22"/>
        </w:rPr>
      </w:pPr>
    </w:p>
    <w:p w:rsidR="00FE79FE" w:rsidRPr="00F54FBD" w:rsidRDefault="00FE79FE" w:rsidP="00CD659B">
      <w:pPr>
        <w:spacing w:before="80"/>
        <w:rPr>
          <w:i/>
          <w:sz w:val="22"/>
        </w:rPr>
      </w:pPr>
    </w:p>
    <w:p w:rsidR="00FE79FE" w:rsidRPr="00F54FBD" w:rsidRDefault="00FE79FE" w:rsidP="00CD659B">
      <w:pPr>
        <w:spacing w:before="80"/>
        <w:rPr>
          <w:i/>
          <w:sz w:val="22"/>
        </w:rPr>
      </w:pPr>
    </w:p>
    <w:p w:rsidR="00FE79FE" w:rsidRPr="00F54FBD" w:rsidRDefault="00FE79FE" w:rsidP="00CD659B">
      <w:pPr>
        <w:spacing w:before="80"/>
        <w:rPr>
          <w:i/>
          <w:sz w:val="22"/>
        </w:rPr>
      </w:pPr>
    </w:p>
    <w:p w:rsidR="00A71FE5" w:rsidRPr="00F54FBD" w:rsidRDefault="00A71FE5" w:rsidP="00CD659B">
      <w:pPr>
        <w:spacing w:before="80"/>
        <w:rPr>
          <w:i/>
          <w:sz w:val="22"/>
        </w:rPr>
      </w:pPr>
    </w:p>
    <w:p w:rsidR="00CD659B" w:rsidRPr="00F54FBD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CD659B" w:rsidRPr="00F54FBD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F54FBD" w:rsidRPr="00F54FBD" w:rsidRDefault="00F54FBD" w:rsidP="009454F8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0" w:name="c2tope"/>
      <w:bookmarkEnd w:id="0"/>
      <w:r w:rsidRPr="00F54FBD">
        <w:rPr>
          <w:bCs/>
          <w:sz w:val="24"/>
          <w:szCs w:val="24"/>
        </w:rPr>
        <w:lastRenderedPageBreak/>
        <w:t>Avant-propos</w:t>
      </w:r>
    </w:p>
    <w:p w:rsidR="00F54FBD" w:rsidRPr="00F54FBD" w:rsidRDefault="00F54FBD" w:rsidP="00F54FBD">
      <w:pPr>
        <w:spacing w:before="240"/>
        <w:rPr>
          <w:sz w:val="20"/>
        </w:rPr>
      </w:pPr>
      <w:r w:rsidRPr="00F54FBD">
        <w:rPr>
          <w:sz w:val="20"/>
        </w:rPr>
        <w:t xml:space="preserve">Le </w:t>
      </w:r>
      <w:r w:rsidR="00614CC6" w:rsidRPr="00F54FBD">
        <w:rPr>
          <w:sz w:val="20"/>
        </w:rPr>
        <w:t>rôle</w:t>
      </w:r>
      <w:r w:rsidRPr="00F54FBD">
        <w:rPr>
          <w:sz w:val="20"/>
        </w:rPr>
        <w:t xml:space="preserve"> du Secteur des radiocommunications est d’assurer l’utilisation rationnelle, </w:t>
      </w:r>
      <w:r>
        <w:rPr>
          <w:sz w:val="20"/>
        </w:rPr>
        <w:t xml:space="preserve">équitable, efficace et économique du spectre radioélectrique par tous les services de radiocommunication, y compris les services par satellite, et de </w:t>
      </w:r>
      <w:r w:rsidR="00614CC6">
        <w:rPr>
          <w:sz w:val="20"/>
        </w:rPr>
        <w:t>procéder</w:t>
      </w:r>
      <w:r>
        <w:rPr>
          <w:sz w:val="20"/>
        </w:rPr>
        <w:t xml:space="preserve"> à des études pour toutes les gammes de </w:t>
      </w:r>
      <w:r w:rsidR="00614CC6">
        <w:rPr>
          <w:sz w:val="20"/>
        </w:rPr>
        <w:t>fréquences</w:t>
      </w:r>
      <w:r>
        <w:rPr>
          <w:sz w:val="20"/>
        </w:rPr>
        <w:t>, à partir desquelles les Recommandations seront élaborées et adoptées.</w:t>
      </w:r>
    </w:p>
    <w:p w:rsidR="00F54FBD" w:rsidRPr="00F54FBD" w:rsidRDefault="00F54FBD" w:rsidP="00F54FBD">
      <w:pPr>
        <w:rPr>
          <w:sz w:val="20"/>
        </w:rPr>
      </w:pPr>
      <w:r w:rsidRPr="00F54FBD">
        <w:rPr>
          <w:sz w:val="20"/>
        </w:rPr>
        <w:t xml:space="preserve">Les </w:t>
      </w:r>
      <w:r w:rsidR="00614CC6">
        <w:rPr>
          <w:sz w:val="20"/>
        </w:rPr>
        <w:t>fo</w:t>
      </w:r>
      <w:r w:rsidRPr="00F54FBD">
        <w:rPr>
          <w:sz w:val="20"/>
        </w:rPr>
        <w:t xml:space="preserve">nctions </w:t>
      </w:r>
      <w:r w:rsidR="00614CC6" w:rsidRPr="00F54FBD">
        <w:rPr>
          <w:sz w:val="20"/>
        </w:rPr>
        <w:t>réglementaires</w:t>
      </w:r>
      <w:r w:rsidRPr="00F54FBD">
        <w:rPr>
          <w:sz w:val="20"/>
        </w:rPr>
        <w:t xml:space="preserve"> et politiques du Secteur des ra</w:t>
      </w:r>
      <w:r>
        <w:rPr>
          <w:sz w:val="20"/>
        </w:rPr>
        <w:t xml:space="preserve">diocommunications sont remplies par les Conférences mondiales et </w:t>
      </w:r>
      <w:r w:rsidR="00614CC6">
        <w:rPr>
          <w:sz w:val="20"/>
        </w:rPr>
        <w:t>régionales</w:t>
      </w:r>
      <w:r>
        <w:rPr>
          <w:sz w:val="20"/>
        </w:rPr>
        <w:t xml:space="preserve"> des radiocommunications et par les Assemblées des radiocommunications assistées par les Commissions d’études.</w:t>
      </w:r>
    </w:p>
    <w:p w:rsidR="00F54FBD" w:rsidRPr="00E44CBB" w:rsidRDefault="00E44CBB" w:rsidP="00614CC6">
      <w:pPr>
        <w:pStyle w:val="Heading1"/>
        <w:spacing w:before="360"/>
        <w:jc w:val="center"/>
        <w:rPr>
          <w:szCs w:val="24"/>
        </w:rPr>
      </w:pPr>
      <w:r w:rsidRPr="003F6436">
        <w:rPr>
          <w:szCs w:val="24"/>
        </w:rPr>
        <w:t>Politique en matière de droits de propriété intellectuelle</w:t>
      </w:r>
      <w:r w:rsidR="00F54FBD" w:rsidRPr="00E44CBB">
        <w:rPr>
          <w:szCs w:val="24"/>
        </w:rPr>
        <w:t xml:space="preserve"> (IPR)</w:t>
      </w:r>
    </w:p>
    <w:p w:rsidR="00E44CBB" w:rsidRPr="00E44CBB" w:rsidRDefault="00E44CBB" w:rsidP="00E44CBB">
      <w:pPr>
        <w:spacing w:before="240"/>
        <w:rPr>
          <w:sz w:val="20"/>
          <w:lang w:val="fr-CH"/>
        </w:rPr>
      </w:pPr>
      <w:r w:rsidRPr="00E44CBB">
        <w:rPr>
          <w:sz w:val="20"/>
        </w:rPr>
        <w:t>La politique de l'UIT</w:t>
      </w:r>
      <w:r w:rsidRPr="00E44CBB">
        <w:rPr>
          <w:sz w:val="20"/>
        </w:rPr>
        <w:noBreakHyphen/>
        <w:t xml:space="preserve">R en matière de droits de propriété intellectuelle est décrite dans la </w:t>
      </w:r>
      <w:r w:rsidRPr="00E44CBB">
        <w:rPr>
          <w:sz w:val="20"/>
          <w:lang w:val="fr-CH"/>
        </w:rPr>
        <w:t>«Politique commune de l'UIT</w:t>
      </w:r>
      <w:r w:rsidRPr="00E44CBB">
        <w:rPr>
          <w:sz w:val="20"/>
          <w:lang w:val="fr-CH"/>
        </w:rPr>
        <w:noBreakHyphen/>
        <w:t>T, l'UIT</w:t>
      </w:r>
      <w:r w:rsidRPr="00E44CBB">
        <w:rPr>
          <w:sz w:val="20"/>
          <w:lang w:val="fr-CH"/>
        </w:rPr>
        <w:noBreakHyphen/>
        <w:t xml:space="preserve">R, l'ISO et la CEI en matière de brevets», dont il est question dans l'Annexe 1 de la Résolution UIT-R 1. </w:t>
      </w:r>
      <w:r w:rsidRPr="00E44CBB">
        <w:rPr>
          <w:sz w:val="20"/>
        </w:rPr>
        <w:t xml:space="preserve">Les formulaires que les titulaires de brevets doivent utiliser pour soumettre les déclarations de brevet et d'octroi de licence sont accessibles à l'adresse </w:t>
      </w:r>
      <w:hyperlink r:id="rId9" w:history="1">
        <w:r w:rsidRPr="00E44CBB">
          <w:rPr>
            <w:rStyle w:val="Hyperlink"/>
            <w:sz w:val="20"/>
          </w:rPr>
          <w:t>http://www.itu.int/ITU-R/go/patents/fr</w:t>
        </w:r>
      </w:hyperlink>
      <w:r w:rsidRPr="00E44CBB">
        <w:rPr>
          <w:sz w:val="20"/>
        </w:rPr>
        <w:t>, où l'on trouvera également les Lignes directrices pour la mise en oeuvre de la politique commune en matière de brevets de l'UIT</w:t>
      </w:r>
      <w:r w:rsidRPr="00E44CBB">
        <w:rPr>
          <w:sz w:val="20"/>
        </w:rPr>
        <w:noBreakHyphen/>
        <w:t>T, l'UIT</w:t>
      </w:r>
      <w:r w:rsidRPr="00E44CBB">
        <w:rPr>
          <w:sz w:val="20"/>
        </w:rPr>
        <w:noBreakHyphen/>
        <w:t>R, l'ISO et la CEI</w:t>
      </w:r>
      <w:r w:rsidRPr="00E44CBB" w:rsidDel="0061025C">
        <w:rPr>
          <w:sz w:val="20"/>
        </w:rPr>
        <w:t xml:space="preserve"> </w:t>
      </w:r>
      <w:r w:rsidRPr="00E44CBB">
        <w:rPr>
          <w:sz w:val="20"/>
        </w:rPr>
        <w:t>et la base de données en matière de brevets de l'UIT-R.</w:t>
      </w:r>
    </w:p>
    <w:p w:rsidR="00F54FBD" w:rsidRPr="001C01CC" w:rsidRDefault="00F54FBD" w:rsidP="00614CC6">
      <w:pPr>
        <w:spacing w:before="24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/>
      </w:tblPr>
      <w:tblGrid>
        <w:gridCol w:w="1140"/>
        <w:gridCol w:w="8220"/>
      </w:tblGrid>
      <w:tr w:rsidR="00F54FBD" w:rsidRPr="009454F8">
        <w:tc>
          <w:tcPr>
            <w:tcW w:w="9360" w:type="dxa"/>
            <w:gridSpan w:val="2"/>
          </w:tcPr>
          <w:p w:rsidR="00F54FBD" w:rsidRPr="009454F8" w:rsidRDefault="009454F8" w:rsidP="00614CC6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9454F8">
              <w:rPr>
                <w:sz w:val="22"/>
                <w:szCs w:val="22"/>
              </w:rPr>
              <w:t>Séries des Recommandations UIT-R</w:t>
            </w:r>
            <w:r>
              <w:rPr>
                <w:sz w:val="22"/>
                <w:szCs w:val="22"/>
              </w:rPr>
              <w:t xml:space="preserve"> </w:t>
            </w:r>
          </w:p>
          <w:p w:rsidR="00F54FBD" w:rsidRPr="009454F8" w:rsidRDefault="00F54FBD" w:rsidP="00F336C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BC0651">
              <w:rPr>
                <w:b w:val="0"/>
                <w:sz w:val="18"/>
                <w:szCs w:val="18"/>
              </w:rPr>
              <w:t>(</w:t>
            </w:r>
            <w:r w:rsidR="009454F8" w:rsidRPr="009454F8">
              <w:rPr>
                <w:b w:val="0"/>
                <w:sz w:val="18"/>
                <w:szCs w:val="18"/>
              </w:rPr>
              <w:t>Egalement disponible en ligne:</w:t>
            </w:r>
            <w:r w:rsidRPr="009454F8">
              <w:rPr>
                <w:b w:val="0"/>
                <w:sz w:val="18"/>
                <w:szCs w:val="18"/>
              </w:rPr>
              <w:t xml:space="preserve"> </w:t>
            </w:r>
            <w:hyperlink r:id="rId10" w:history="1">
              <w:r w:rsidR="00837CB5"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="00BC0651" w:rsidRPr="00BC0651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F54FBD" w:rsidRPr="00036EE3" w:rsidTr="005E427C">
        <w:tc>
          <w:tcPr>
            <w:tcW w:w="1140" w:type="dxa"/>
            <w:tcBorders>
              <w:bottom w:val="nil"/>
            </w:tcBorders>
          </w:tcPr>
          <w:p w:rsidR="00F54FBD" w:rsidRPr="00614CC6" w:rsidRDefault="00F54FBD" w:rsidP="00614CC6">
            <w:pPr>
              <w:spacing w:before="90" w:after="10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</w:t>
            </w:r>
            <w:r w:rsidR="009454F8" w:rsidRPr="00614CC6">
              <w:rPr>
                <w:b/>
                <w:bCs/>
                <w:sz w:val="20"/>
                <w:lang w:val="en-US"/>
              </w:rPr>
              <w:t>é</w:t>
            </w:r>
            <w:r w:rsidRPr="00614CC6">
              <w:rPr>
                <w:b/>
                <w:bCs/>
                <w:sz w:val="20"/>
                <w:lang w:val="en-US"/>
              </w:rPr>
              <w:t>ries</w:t>
            </w:r>
          </w:p>
        </w:tc>
        <w:tc>
          <w:tcPr>
            <w:tcW w:w="8220" w:type="dxa"/>
            <w:tcBorders>
              <w:bottom w:val="nil"/>
            </w:tcBorders>
          </w:tcPr>
          <w:p w:rsidR="00F54FBD" w:rsidRPr="00614CC6" w:rsidRDefault="009454F8" w:rsidP="00614CC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  <w:lang w:val="en-US"/>
              </w:rPr>
            </w:pPr>
            <w:r w:rsidRPr="00614CC6">
              <w:rPr>
                <w:bCs/>
                <w:sz w:val="20"/>
                <w:lang w:val="en-US"/>
              </w:rPr>
              <w:t>Titre</w:t>
            </w:r>
          </w:p>
        </w:tc>
      </w:tr>
      <w:tr w:rsidR="00F54FBD" w:rsidRPr="005E427C" w:rsidTr="005E427C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F54FBD" w:rsidRPr="005E427C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E427C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F54FBD" w:rsidRPr="005E427C" w:rsidRDefault="009454F8" w:rsidP="00F336C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5E427C">
              <w:rPr>
                <w:b w:val="0"/>
                <w:sz w:val="20"/>
              </w:rPr>
              <w:t>Diffusion par satellite</w:t>
            </w:r>
          </w:p>
        </w:tc>
      </w:tr>
      <w:tr w:rsidR="00F54FBD" w:rsidRPr="009454F8" w:rsidTr="00E80F1D">
        <w:tc>
          <w:tcPr>
            <w:tcW w:w="1140" w:type="dxa"/>
            <w:tcBorders>
              <w:top w:val="nil"/>
              <w:bottom w:val="nil"/>
            </w:tcBorders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F54FBD" w:rsidRPr="00614CC6" w:rsidRDefault="009454F8" w:rsidP="00F336C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614CC6">
              <w:rPr>
                <w:b w:val="0"/>
                <w:bCs/>
                <w:sz w:val="20"/>
              </w:rPr>
              <w:t>Enregistrement pour la production, l'archivage et la diffusion; films pour la télévision</w:t>
            </w:r>
          </w:p>
        </w:tc>
      </w:tr>
      <w:tr w:rsidR="00F54FBD" w:rsidRPr="00E80F1D" w:rsidTr="00E80F1D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F54FBD" w:rsidRPr="00E80F1D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80F1D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F54FBD" w:rsidRPr="00E80F1D" w:rsidRDefault="009454F8" w:rsidP="00F336C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E80F1D">
              <w:rPr>
                <w:b w:val="0"/>
                <w:sz w:val="20"/>
              </w:rPr>
              <w:t>Service de radiodiffusion sonore</w:t>
            </w:r>
          </w:p>
        </w:tc>
      </w:tr>
      <w:tr w:rsidR="00F54FBD" w:rsidRPr="00ED2695" w:rsidTr="00E80F1D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F54FBD" w:rsidRPr="00614CC6" w:rsidRDefault="009454F8" w:rsidP="00F336C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Service de radiodiffusion télévisuelle</w:t>
            </w:r>
          </w:p>
        </w:tc>
      </w:tr>
      <w:tr w:rsidR="00F54FBD" w:rsidRPr="00E80F1D" w:rsidTr="00E80F1D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F54FBD" w:rsidRPr="00E80F1D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E80F1D">
              <w:rPr>
                <w:b/>
                <w:bCs/>
                <w:color w:val="000080"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F54FBD" w:rsidRPr="00E80F1D" w:rsidRDefault="009454F8" w:rsidP="00F336C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/>
                <w:bCs/>
                <w:color w:val="000080"/>
                <w:sz w:val="20"/>
                <w:lang w:val="fr-CH"/>
              </w:rPr>
            </w:pPr>
            <w:r w:rsidRPr="00E80F1D">
              <w:rPr>
                <w:b/>
                <w:bCs/>
                <w:color w:val="000080"/>
                <w:sz w:val="20"/>
              </w:rPr>
              <w:t>Service fixe</w:t>
            </w:r>
          </w:p>
        </w:tc>
      </w:tr>
      <w:tr w:rsidR="00F54FBD" w:rsidRPr="00B21066" w:rsidTr="00B2106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F54FBD" w:rsidRPr="00B2106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B21066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F54FBD" w:rsidRPr="00B21066" w:rsidRDefault="009454F8" w:rsidP="00F336C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B21066">
              <w:rPr>
                <w:b w:val="0"/>
                <w:sz w:val="20"/>
              </w:rPr>
              <w:t>Services mobile, de radiorepérage et d'amateur y compris les services par satellite associés</w:t>
            </w:r>
          </w:p>
        </w:tc>
      </w:tr>
      <w:tr w:rsidR="00F54FBD" w:rsidRPr="00036EE3" w:rsidTr="00B21066">
        <w:tc>
          <w:tcPr>
            <w:tcW w:w="1140" w:type="dxa"/>
            <w:tcBorders>
              <w:top w:val="nil"/>
            </w:tcBorders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14CC6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F54FBD" w:rsidRPr="00614CC6" w:rsidRDefault="00614CC6" w:rsidP="00F336CC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614CC6">
              <w:rPr>
                <w:sz w:val="20"/>
              </w:rPr>
              <w:t>Propagation des ondes radioélectriques</w:t>
            </w:r>
          </w:p>
        </w:tc>
      </w:tr>
      <w:tr w:rsidR="00F54FBD" w:rsidRPr="00036EE3">
        <w:tc>
          <w:tcPr>
            <w:tcW w:w="1140" w:type="dxa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F54FBD" w:rsidRPr="00614CC6" w:rsidRDefault="00614CC6" w:rsidP="00F336C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Radio astronomie</w:t>
            </w:r>
          </w:p>
        </w:tc>
      </w:tr>
      <w:tr w:rsidR="00F54FBD" w:rsidRPr="00036EE3">
        <w:tc>
          <w:tcPr>
            <w:tcW w:w="1140" w:type="dxa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F54FBD" w:rsidRPr="00614CC6" w:rsidRDefault="00614CC6" w:rsidP="00F336C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Systèmes de télédétection</w:t>
            </w:r>
          </w:p>
        </w:tc>
      </w:tr>
      <w:tr w:rsidR="00F54FBD" w:rsidRPr="00036EE3">
        <w:tc>
          <w:tcPr>
            <w:tcW w:w="1140" w:type="dxa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F54FBD" w:rsidRPr="00614CC6" w:rsidRDefault="00614CC6" w:rsidP="00F336CC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Service fixe par satellite</w:t>
            </w:r>
          </w:p>
        </w:tc>
      </w:tr>
      <w:tr w:rsidR="00F54FBD" w:rsidRPr="00036EE3">
        <w:tc>
          <w:tcPr>
            <w:tcW w:w="1140" w:type="dxa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F54FBD" w:rsidRPr="00614CC6" w:rsidRDefault="00614CC6" w:rsidP="00F336CC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Applications spatiales et météorologie</w:t>
            </w:r>
          </w:p>
        </w:tc>
      </w:tr>
      <w:tr w:rsidR="00F54FBD" w:rsidRPr="00614CC6">
        <w:tc>
          <w:tcPr>
            <w:tcW w:w="1140" w:type="dxa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F54FBD" w:rsidRPr="00614CC6" w:rsidRDefault="00614CC6" w:rsidP="00F336CC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F54FBD" w:rsidRPr="00036EE3">
        <w:tc>
          <w:tcPr>
            <w:tcW w:w="1140" w:type="dxa"/>
            <w:shd w:val="clear" w:color="auto" w:fill="auto"/>
          </w:tcPr>
          <w:p w:rsidR="00F54FBD" w:rsidRPr="00592F9F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92F9F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F54FBD" w:rsidRPr="00592F9F" w:rsidRDefault="00614CC6" w:rsidP="00F336CC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592F9F">
              <w:rPr>
                <w:sz w:val="20"/>
              </w:rPr>
              <w:t>Gestion du spectre</w:t>
            </w:r>
          </w:p>
        </w:tc>
      </w:tr>
      <w:tr w:rsidR="00F54FBD" w:rsidRPr="00036EE3">
        <w:tc>
          <w:tcPr>
            <w:tcW w:w="1140" w:type="dxa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F54FBD" w:rsidRPr="00614CC6" w:rsidRDefault="00614CC6" w:rsidP="00F336CC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Reportage d'actualités par satellite</w:t>
            </w:r>
          </w:p>
        </w:tc>
      </w:tr>
      <w:tr w:rsidR="00F54FBD" w:rsidRPr="00614CC6">
        <w:tc>
          <w:tcPr>
            <w:tcW w:w="1140" w:type="dxa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F54FBD" w:rsidRPr="00614CC6" w:rsidRDefault="00614CC6" w:rsidP="00F336CC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Emissions de fréquences étalon et de signaux horaires</w:t>
            </w:r>
          </w:p>
        </w:tc>
      </w:tr>
      <w:tr w:rsidR="00F54FBD" w:rsidRPr="00036EE3">
        <w:tc>
          <w:tcPr>
            <w:tcW w:w="1140" w:type="dxa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F54FBD" w:rsidRPr="00614CC6" w:rsidRDefault="00614CC6" w:rsidP="00614CC6">
            <w:pPr>
              <w:spacing w:before="30" w:after="14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Vocabulaire et sujets associés</w:t>
            </w:r>
          </w:p>
        </w:tc>
      </w:tr>
    </w:tbl>
    <w:p w:rsidR="00F54FBD" w:rsidRPr="00036EE3" w:rsidRDefault="00F54FBD" w:rsidP="00614CC6">
      <w:pPr>
        <w:spacing w:before="0"/>
        <w:jc w:val="center"/>
        <w:rPr>
          <w:sz w:val="20"/>
          <w:lang w:val="en-US"/>
        </w:rPr>
      </w:pPr>
    </w:p>
    <w:p w:rsidR="00F54FBD" w:rsidRPr="00036EE3" w:rsidRDefault="00F54FBD" w:rsidP="00614CC6">
      <w:pPr>
        <w:spacing w:before="0"/>
        <w:ind w:left="18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/>
      </w:tblPr>
      <w:tblGrid>
        <w:gridCol w:w="9360"/>
      </w:tblGrid>
      <w:tr w:rsidR="00F54FBD" w:rsidRPr="00756B4D">
        <w:tc>
          <w:tcPr>
            <w:tcW w:w="9360" w:type="dxa"/>
          </w:tcPr>
          <w:p w:rsidR="00F54FBD" w:rsidRPr="00756B4D" w:rsidRDefault="00756B4D" w:rsidP="00756B4D">
            <w:pPr>
              <w:spacing w:before="80" w:after="80"/>
              <w:jc w:val="left"/>
              <w:rPr>
                <w:i/>
                <w:iCs/>
                <w:sz w:val="20"/>
              </w:rPr>
            </w:pPr>
            <w:r>
              <w:rPr>
                <w:b/>
                <w:bCs/>
                <w:i/>
                <w:iCs/>
                <w:sz w:val="20"/>
              </w:rPr>
              <w:t xml:space="preserve">    </w:t>
            </w:r>
            <w:r w:rsidR="00F54FBD" w:rsidRPr="00756B4D">
              <w:rPr>
                <w:b/>
                <w:bCs/>
                <w:i/>
                <w:iCs/>
                <w:sz w:val="20"/>
              </w:rPr>
              <w:t>Note</w:t>
            </w:r>
            <w:r w:rsidR="00F54FBD" w:rsidRPr="00756B4D">
              <w:rPr>
                <w:i/>
                <w:iCs/>
                <w:sz w:val="20"/>
              </w:rPr>
              <w:t xml:space="preserve">: </w:t>
            </w:r>
            <w:r w:rsidRPr="00756B4D">
              <w:rPr>
                <w:i/>
                <w:iCs/>
                <w:sz w:val="20"/>
              </w:rPr>
              <w:t>Cette Recommandation UIT-R a été approuvée en anglais aux termes de la procédure détaillée dans la</w:t>
            </w:r>
            <w:r>
              <w:rPr>
                <w:i/>
                <w:iCs/>
                <w:sz w:val="20"/>
              </w:rPr>
              <w:br/>
              <w:t xml:space="preserve"> </w:t>
            </w:r>
            <w:r w:rsidRPr="00756B4D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 xml:space="preserve"> </w:t>
            </w:r>
            <w:r w:rsidRPr="00756B4D">
              <w:rPr>
                <w:i/>
                <w:iCs/>
                <w:sz w:val="20"/>
              </w:rPr>
              <w:t xml:space="preserve">Résolution UIT-R 1. </w:t>
            </w:r>
          </w:p>
        </w:tc>
      </w:tr>
    </w:tbl>
    <w:p w:rsidR="00F54FBD" w:rsidRPr="00756B4D" w:rsidRDefault="00F54FBD" w:rsidP="00F54FBD">
      <w:pPr>
        <w:spacing w:before="0"/>
        <w:jc w:val="center"/>
        <w:rPr>
          <w:sz w:val="22"/>
        </w:rPr>
      </w:pPr>
    </w:p>
    <w:p w:rsidR="00F54FBD" w:rsidRPr="00614CC6" w:rsidRDefault="00614CC6" w:rsidP="00756B4D">
      <w:pPr>
        <w:spacing w:before="100"/>
        <w:jc w:val="right"/>
        <w:rPr>
          <w:i/>
          <w:iCs/>
          <w:sz w:val="20"/>
        </w:rPr>
      </w:pPr>
      <w:r w:rsidRPr="00614CC6">
        <w:rPr>
          <w:i/>
          <w:iCs/>
          <w:sz w:val="20"/>
        </w:rPr>
        <w:t xml:space="preserve">Publication </w:t>
      </w:r>
      <w:r w:rsidR="00756B4D" w:rsidRPr="00614CC6">
        <w:rPr>
          <w:i/>
          <w:iCs/>
          <w:sz w:val="20"/>
        </w:rPr>
        <w:t>électronique</w:t>
      </w:r>
    </w:p>
    <w:p w:rsidR="00F54FBD" w:rsidRPr="00614CC6" w:rsidRDefault="00F54FBD" w:rsidP="00F50711">
      <w:pPr>
        <w:spacing w:before="0"/>
        <w:jc w:val="right"/>
        <w:rPr>
          <w:sz w:val="20"/>
        </w:rPr>
      </w:pPr>
      <w:r w:rsidRPr="00614CC6">
        <w:rPr>
          <w:sz w:val="20"/>
        </w:rPr>
        <w:t>G</w:t>
      </w:r>
      <w:r w:rsidR="00614CC6" w:rsidRPr="00614CC6">
        <w:rPr>
          <w:sz w:val="20"/>
        </w:rPr>
        <w:t>enève</w:t>
      </w:r>
      <w:r w:rsidRPr="00614CC6">
        <w:rPr>
          <w:sz w:val="20"/>
        </w:rPr>
        <w:t>, 20</w:t>
      </w:r>
      <w:r w:rsidR="00F50711">
        <w:rPr>
          <w:sz w:val="20"/>
        </w:rPr>
        <w:t>10</w:t>
      </w:r>
    </w:p>
    <w:p w:rsidR="00F54FBD" w:rsidRPr="00614CC6" w:rsidRDefault="00F54FBD" w:rsidP="00F50711">
      <w:pPr>
        <w:spacing w:before="200"/>
        <w:jc w:val="center"/>
        <w:rPr>
          <w:sz w:val="20"/>
        </w:rPr>
      </w:pPr>
      <w:r w:rsidRPr="00470E28">
        <w:rPr>
          <w:sz w:val="20"/>
          <w:lang w:val="en-US"/>
        </w:rPr>
        <w:sym w:font="Symbol" w:char="F0E3"/>
      </w:r>
      <w:r w:rsidRPr="00614CC6">
        <w:rPr>
          <w:sz w:val="20"/>
        </w:rPr>
        <w:t xml:space="preserve"> </w:t>
      </w:r>
      <w:r w:rsidR="00614CC6" w:rsidRPr="00614CC6">
        <w:rPr>
          <w:sz w:val="20"/>
        </w:rPr>
        <w:t>UIT</w:t>
      </w:r>
      <w:r w:rsidRPr="00614CC6">
        <w:rPr>
          <w:sz w:val="20"/>
        </w:rPr>
        <w:t xml:space="preserve"> </w:t>
      </w:r>
      <w:bookmarkStart w:id="1" w:name="iiannee"/>
      <w:bookmarkEnd w:id="1"/>
      <w:r w:rsidRPr="00614CC6">
        <w:rPr>
          <w:sz w:val="20"/>
        </w:rPr>
        <w:t>20</w:t>
      </w:r>
      <w:r w:rsidR="00F50711">
        <w:rPr>
          <w:sz w:val="20"/>
        </w:rPr>
        <w:t>10</w:t>
      </w:r>
    </w:p>
    <w:p w:rsidR="007565CC" w:rsidRPr="00614CC6" w:rsidRDefault="00614CC6" w:rsidP="00614CC6">
      <w:pPr>
        <w:rPr>
          <w:sz w:val="18"/>
          <w:szCs w:val="18"/>
        </w:rPr>
      </w:pPr>
      <w:r w:rsidRPr="00614CC6">
        <w:rPr>
          <w:sz w:val="18"/>
          <w:szCs w:val="18"/>
        </w:rPr>
        <w:t xml:space="preserve">Tous droits </w:t>
      </w:r>
      <w:r w:rsidR="00756B4D">
        <w:rPr>
          <w:sz w:val="18"/>
          <w:szCs w:val="18"/>
        </w:rPr>
        <w:t>réservé</w:t>
      </w:r>
      <w:r w:rsidR="00756B4D" w:rsidRPr="00614CC6">
        <w:rPr>
          <w:sz w:val="18"/>
          <w:szCs w:val="18"/>
        </w:rPr>
        <w:t>s</w:t>
      </w:r>
      <w:r w:rsidRPr="00614CC6">
        <w:rPr>
          <w:sz w:val="18"/>
          <w:szCs w:val="18"/>
        </w:rPr>
        <w:t xml:space="preserve">. </w:t>
      </w:r>
      <w:r>
        <w:rPr>
          <w:sz w:val="18"/>
          <w:szCs w:val="18"/>
        </w:rPr>
        <w:t>Aucune partie de cette publication ne peut être reproduite, par quelque procédé que ce soit, sans l’accord écrit préalable de l’</w:t>
      </w:r>
      <w:r w:rsidR="00756B4D">
        <w:rPr>
          <w:sz w:val="18"/>
          <w:szCs w:val="18"/>
        </w:rPr>
        <w:t>UIT</w:t>
      </w:r>
      <w:r w:rsidR="00F54FBD" w:rsidRPr="00614CC6">
        <w:rPr>
          <w:sz w:val="18"/>
          <w:szCs w:val="18"/>
        </w:rPr>
        <w:t>.</w:t>
      </w:r>
    </w:p>
    <w:p w:rsidR="007565CC" w:rsidRPr="00614CC6" w:rsidRDefault="007565CC" w:rsidP="00CD659B">
      <w:pPr>
        <w:spacing w:before="160"/>
        <w:rPr>
          <w:i/>
          <w:sz w:val="20"/>
          <w:highlight w:val="yellow"/>
        </w:rPr>
        <w:sectPr w:rsidR="007565CC" w:rsidRPr="00614CC6" w:rsidSect="007565CC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E651F1" w:rsidRDefault="00E651F1" w:rsidP="00E651F1">
      <w:pPr>
        <w:pStyle w:val="RecNo"/>
        <w:spacing w:before="0"/>
      </w:pPr>
      <w:bookmarkStart w:id="2" w:name="irecnoe"/>
      <w:bookmarkEnd w:id="2"/>
      <w:r w:rsidRPr="00756B4D">
        <w:lastRenderedPageBreak/>
        <w:t xml:space="preserve">RECOMMANDATION  </w:t>
      </w:r>
      <w:r>
        <w:rPr>
          <w:rStyle w:val="href"/>
        </w:rPr>
        <w:t>UIT</w:t>
      </w:r>
      <w:r w:rsidRPr="00756B4D">
        <w:rPr>
          <w:rStyle w:val="href"/>
        </w:rPr>
        <w:t xml:space="preserve">-R  </w:t>
      </w:r>
      <w:r>
        <w:rPr>
          <w:rStyle w:val="href"/>
        </w:rPr>
        <w:t>F</w:t>
      </w:r>
      <w:r w:rsidRPr="00756B4D">
        <w:rPr>
          <w:rStyle w:val="href"/>
        </w:rPr>
        <w:t>.</w:t>
      </w:r>
      <w:r>
        <w:rPr>
          <w:rStyle w:val="href"/>
        </w:rPr>
        <w:t>1502</w:t>
      </w:r>
      <w:r>
        <w:rPr>
          <w:rStyle w:val="FootnoteReference"/>
        </w:rPr>
        <w:footnoteReference w:customMarkFollows="1" w:id="1"/>
        <w:t>*</w:t>
      </w:r>
      <w:r>
        <w:rPr>
          <w:position w:val="-2"/>
          <w:vertAlign w:val="superscript"/>
        </w:rPr>
        <w:t>,</w:t>
      </w:r>
      <w:r>
        <w:t xml:space="preserve"> </w:t>
      </w:r>
      <w:r>
        <w:rPr>
          <w:rStyle w:val="FootnoteReference"/>
        </w:rPr>
        <w:footnoteReference w:customMarkFollows="1" w:id="2"/>
        <w:t>**</w:t>
      </w:r>
    </w:p>
    <w:p w:rsidR="00E651F1" w:rsidRDefault="00E651F1" w:rsidP="00E651F1">
      <w:pPr>
        <w:pStyle w:val="Rectitle"/>
      </w:pPr>
      <w:r>
        <w:t>Protection du service fixe partageant la bande de fréquences 8</w:t>
      </w:r>
      <w:r>
        <w:rPr>
          <w:rFonts w:ascii="Tms Rmn" w:hAnsi="Tms Rmn"/>
          <w:sz w:val="12"/>
        </w:rPr>
        <w:t> </w:t>
      </w:r>
      <w:r>
        <w:t>025-8</w:t>
      </w:r>
      <w:r>
        <w:rPr>
          <w:rFonts w:ascii="Tms Rmn" w:hAnsi="Tms Rmn"/>
          <w:sz w:val="12"/>
        </w:rPr>
        <w:t> </w:t>
      </w:r>
      <w:r>
        <w:t>400 MHz avec les systèmes à satellites géostationnaires du service d'exploration</w:t>
      </w:r>
      <w:r>
        <w:br/>
        <w:t>de la Terre par satellite (espace vers Terre)</w:t>
      </w:r>
    </w:p>
    <w:p w:rsidR="00E651F1" w:rsidRDefault="00E651F1" w:rsidP="00E651F1">
      <w:pPr>
        <w:pStyle w:val="Recref"/>
      </w:pPr>
      <w:r>
        <w:t>(Question UIT-R 113/9)</w:t>
      </w:r>
    </w:p>
    <w:p w:rsidR="00E651F1" w:rsidRDefault="00E651F1" w:rsidP="00E651F1"/>
    <w:p w:rsidR="00E651F1" w:rsidRDefault="00E651F1" w:rsidP="00E651F1">
      <w:pPr>
        <w:pStyle w:val="Recdate"/>
      </w:pPr>
      <w:r>
        <w:t>(2000)</w:t>
      </w:r>
    </w:p>
    <w:p w:rsidR="00E651F1" w:rsidRDefault="00E651F1" w:rsidP="00E651F1"/>
    <w:p w:rsidR="00E651F1" w:rsidRDefault="00E651F1" w:rsidP="00E651F1">
      <w:pPr>
        <w:pStyle w:val="Normalaftertitle"/>
      </w:pPr>
      <w:r>
        <w:t>L'Assemblée des radiocommunications de l'UIT,</w:t>
      </w:r>
    </w:p>
    <w:p w:rsidR="00E651F1" w:rsidRDefault="00E651F1" w:rsidP="00E651F1">
      <w:pPr>
        <w:pStyle w:val="Call"/>
      </w:pPr>
      <w:r>
        <w:t>considérant</w:t>
      </w:r>
    </w:p>
    <w:p w:rsidR="00E651F1" w:rsidRDefault="00E651F1" w:rsidP="00E651F1">
      <w:r>
        <w:rPr>
          <w:iCs/>
        </w:rPr>
        <w:t>a)</w:t>
      </w:r>
      <w:r>
        <w:tab/>
        <w:t>qu'avant la CMR-97, la bande 8</w:t>
      </w:r>
      <w:r>
        <w:rPr>
          <w:sz w:val="12"/>
        </w:rPr>
        <w:t> </w:t>
      </w:r>
      <w:r>
        <w:t>025-8</w:t>
      </w:r>
      <w:r>
        <w:rPr>
          <w:sz w:val="12"/>
        </w:rPr>
        <w:t> </w:t>
      </w:r>
      <w:r>
        <w:t xml:space="preserve">400 </w:t>
      </w:r>
      <w:r>
        <w:rPr>
          <w:color w:val="000000"/>
        </w:rPr>
        <w:t>MHz</w:t>
      </w:r>
      <w:r>
        <w:t xml:space="preserve"> était attribuée à titre secondaire au service d'exploration de la Terre par satellite (SETS) (espace vers Terre) dans les Régions 1 et 3, sauf pour les pays énumérés au numéro </w:t>
      </w:r>
      <w:r>
        <w:rPr>
          <w:bCs/>
        </w:rPr>
        <w:t xml:space="preserve">5.464 </w:t>
      </w:r>
      <w:r>
        <w:t>du Règlement des radiocommunications (RR);</w:t>
      </w:r>
    </w:p>
    <w:p w:rsidR="00E651F1" w:rsidRDefault="00E651F1" w:rsidP="00E651F1">
      <w:r>
        <w:rPr>
          <w:iCs/>
        </w:rPr>
        <w:t>b)</w:t>
      </w:r>
      <w:r>
        <w:tab/>
        <w:t>que les limites de puissance surfacique indiquées au Tableau</w:t>
      </w:r>
      <w:r>
        <w:rPr>
          <w:bCs/>
        </w:rPr>
        <w:t xml:space="preserve"> 21-4 de l'Article 21 </w:t>
      </w:r>
      <w:r>
        <w:t>du RR s'appliquent aux émissions des stations spatiales du SETS (espace vers Terre);</w:t>
      </w:r>
    </w:p>
    <w:p w:rsidR="00E651F1" w:rsidRDefault="00E651F1" w:rsidP="00E651F1">
      <w:r>
        <w:rPr>
          <w:iCs/>
        </w:rPr>
        <w:t>c)</w:t>
      </w:r>
      <w:r>
        <w:tab/>
        <w:t>que, pour les administrations auxquelles l'attribution à titre secondaire s'appliquait avant la CMR</w:t>
      </w:r>
      <w:r>
        <w:noBreakHyphen/>
        <w:t xml:space="preserve">97, l'évitement de l'orbite géostationnaire n'était pas exigé pour le service fixe et que, par conséquent, les limites de puissance surfacique indiquées au Tableau </w:t>
      </w:r>
      <w:r>
        <w:rPr>
          <w:bCs/>
        </w:rPr>
        <w:t xml:space="preserve">21-4 </w:t>
      </w:r>
      <w:r>
        <w:t>du RR risquent de conduire à des brouillages excessifs au service fixe;</w:t>
      </w:r>
    </w:p>
    <w:p w:rsidR="00E651F1" w:rsidRDefault="00E651F1" w:rsidP="00E651F1">
      <w:r>
        <w:t>d)</w:t>
      </w:r>
      <w:r>
        <w:tab/>
        <w:t>que les limites de puissance surfacique provisoires visées au numéro 5.462A du RR sont inférieures à celles indiquées au Tableau 21</w:t>
      </w:r>
      <w:r>
        <w:noBreakHyphen/>
        <w:t>4 du RR pour la protection du service fixe;</w:t>
      </w:r>
    </w:p>
    <w:p w:rsidR="00E651F1" w:rsidRDefault="00E651F1" w:rsidP="00E651F1">
      <w:r>
        <w:t>e)</w:t>
      </w:r>
      <w:r>
        <w:tab/>
        <w:t>que la bande 8</w:t>
      </w:r>
      <w:r>
        <w:rPr>
          <w:rFonts w:ascii="Tms Rmn" w:hAnsi="Tms Rmn"/>
          <w:sz w:val="12"/>
        </w:rPr>
        <w:t> </w:t>
      </w:r>
      <w:r>
        <w:t>025-8</w:t>
      </w:r>
      <w:r>
        <w:rPr>
          <w:sz w:val="12"/>
        </w:rPr>
        <w:t> </w:t>
      </w:r>
      <w:r>
        <w:t xml:space="preserve">400 </w:t>
      </w:r>
      <w:r>
        <w:rPr>
          <w:color w:val="000000"/>
        </w:rPr>
        <w:t>MHz</w:t>
      </w:r>
      <w:r>
        <w:t xml:space="preserve"> est utilisée largement par le service fixe conformément à  la  disposition des canaux prévue par l'UIT-R pour la bande des 8 GHz (voir la Recomman</w:t>
      </w:r>
      <w:r>
        <w:softHyphen/>
        <w:t>dation UIT</w:t>
      </w:r>
      <w:r>
        <w:noBreakHyphen/>
        <w:t>R F.386) et qu'elle est utilisée aussi par certains pays pour les applications de reportage télévisuel;</w:t>
      </w:r>
    </w:p>
    <w:p w:rsidR="00E651F1" w:rsidRDefault="00E651F1" w:rsidP="00E651F1">
      <w:r>
        <w:t>f)</w:t>
      </w:r>
      <w:r>
        <w:tab/>
        <w:t>que la principale application pour le SETS dans cette bande devrait concerner les satellites non géostationnaires (non OSG), même s'il se peut qu'il y ait des applications pour les satellites géostationnaires (OSG);</w:t>
      </w:r>
    </w:p>
    <w:p w:rsidR="00E651F1" w:rsidRDefault="00E651F1" w:rsidP="00E651F1">
      <w:r>
        <w:t>g)</w:t>
      </w:r>
      <w:r>
        <w:tab/>
        <w:t>que par sa Résolution 124 (CMR-97), la CMR</w:t>
      </w:r>
      <w:r>
        <w:noBreakHyphen/>
        <w:t>97 a décidé d'inviter l'UIT-R à étudier d'urgence les limites de puissance surfacique à appliquer aux stations spatiales de systèmes à   satellites géostationnaires du SETS géostationnaire (espace vers Terre) dans la bande de fréquences 8</w:t>
      </w:r>
      <w:r>
        <w:rPr>
          <w:sz w:val="12"/>
        </w:rPr>
        <w:t> </w:t>
      </w:r>
      <w:r>
        <w:t>025-8</w:t>
      </w:r>
      <w:r>
        <w:rPr>
          <w:sz w:val="12"/>
        </w:rPr>
        <w:t> </w:t>
      </w:r>
      <w:r>
        <w:t>400 MHz, lorsque le service fixe qui partage cette bande ne pratique pas l'évitement d'orbite géostationnaire,</w:t>
      </w:r>
    </w:p>
    <w:p w:rsidR="00E651F1" w:rsidRDefault="00E651F1" w:rsidP="00E651F1"/>
    <w:p w:rsidR="00E651F1" w:rsidRDefault="00E651F1" w:rsidP="00E651F1"/>
    <w:p w:rsidR="00E651F1" w:rsidRDefault="00E651F1" w:rsidP="00E651F1">
      <w:pPr>
        <w:pStyle w:val="Call"/>
      </w:pPr>
      <w:r>
        <w:br w:type="page"/>
      </w:r>
      <w:r>
        <w:lastRenderedPageBreak/>
        <w:t>recommande</w:t>
      </w:r>
    </w:p>
    <w:p w:rsidR="00E651F1" w:rsidRDefault="00E651F1" w:rsidP="00E651F1">
      <w:r>
        <w:rPr>
          <w:b/>
          <w:bCs/>
        </w:rPr>
        <w:t>1</w:t>
      </w:r>
      <w:r>
        <w:tab/>
        <w:t>que, dans la bande de fréquences 8</w:t>
      </w:r>
      <w:r>
        <w:rPr>
          <w:rFonts w:ascii="Tms Rmn" w:hAnsi="Tms Rmn"/>
          <w:sz w:val="12"/>
        </w:rPr>
        <w:t> </w:t>
      </w:r>
      <w:r>
        <w:t>025-8</w:t>
      </w:r>
      <w:r>
        <w:rPr>
          <w:rFonts w:ascii="Tms Rmn" w:hAnsi="Tms Rmn"/>
          <w:sz w:val="12"/>
        </w:rPr>
        <w:t> </w:t>
      </w:r>
      <w:r>
        <w:t>400 MHz utilisée en partage par les systèmes à satellites OSG du SETS (espace vers Terre) et par les faisceaux hertziens du service fixe, la densité spectrale de puissance surfacique produite à la surface de la Terre (Régions 1 et 3 uniquement) par des émissions d'un satellite ne dépasse pas les valeurs ci</w:t>
      </w:r>
      <w:r>
        <w:noBreakHyphen/>
        <w:t>après (voir les Notes 1 et 2), quelles que soient les conditions et les méthodes de modulation:</w:t>
      </w:r>
    </w:p>
    <w:p w:rsidR="00E651F1" w:rsidRDefault="00E651F1" w:rsidP="00E651F1">
      <w:pPr>
        <w:pStyle w:val="enumlev1"/>
        <w:tabs>
          <w:tab w:val="clear" w:pos="794"/>
          <w:tab w:val="clear" w:pos="1191"/>
          <w:tab w:val="clear" w:pos="1588"/>
          <w:tab w:val="left" w:pos="7371"/>
          <w:tab w:val="left" w:pos="7938"/>
        </w:tabs>
        <w:ind w:left="142" w:hanging="142"/>
        <w:rPr>
          <w:spacing w:val="-2"/>
        </w:rPr>
      </w:pPr>
      <w:r>
        <w:rPr>
          <w:spacing w:val="-2"/>
        </w:rPr>
        <w:tab/>
        <w:t>–135</w:t>
      </w:r>
      <w:r>
        <w:rPr>
          <w:spacing w:val="-2"/>
        </w:rPr>
        <w:tab/>
        <w:t>dB(W/m</w:t>
      </w:r>
      <w:r>
        <w:rPr>
          <w:spacing w:val="-2"/>
          <w:vertAlign w:val="superscript"/>
        </w:rPr>
        <w:t>2</w:t>
      </w:r>
      <w:r>
        <w:rPr>
          <w:spacing w:val="-2"/>
        </w:rPr>
        <w:t>) dans une bande quelconque large de 1</w:t>
      </w:r>
      <w:r>
        <w:rPr>
          <w:rFonts w:ascii="Tms Rmn" w:hAnsi="Tms Rmn"/>
          <w:spacing w:val="-2"/>
        </w:rPr>
        <w:t> </w:t>
      </w:r>
      <w:r>
        <w:rPr>
          <w:spacing w:val="-2"/>
        </w:rPr>
        <w:t>MHz</w:t>
      </w:r>
      <w:r>
        <w:rPr>
          <w:spacing w:val="-2"/>
        </w:rPr>
        <w:tab/>
        <w:t>pour</w:t>
      </w:r>
      <w:r>
        <w:rPr>
          <w:spacing w:val="-2"/>
        </w:rPr>
        <w:tab/>
      </w:r>
      <w:r>
        <w:rPr>
          <w:spacing w:val="-2"/>
        </w:rPr>
        <w:t> </w:t>
      </w:r>
      <w:r>
        <w:rPr>
          <w:spacing w:val="-2"/>
        </w:rPr>
        <w:t>0</w:t>
      </w:r>
      <w:r>
        <w:rPr>
          <w:rFonts w:ascii="Symbol" w:hAnsi="Symbol"/>
          <w:spacing w:val="-2"/>
          <w:lang w:val="es-ES_tradnl"/>
        </w:rPr>
        <w:t></w:t>
      </w:r>
      <w:r>
        <w:rPr>
          <w:spacing w:val="-2"/>
        </w:rPr>
        <w:t xml:space="preserve">  </w:t>
      </w:r>
      <w:r>
        <w:rPr>
          <w:rFonts w:ascii="Symbol" w:hAnsi="Symbol"/>
          <w:spacing w:val="-2"/>
        </w:rPr>
        <w:sym w:font="Symbol" w:char="F0A3"/>
      </w:r>
      <w:r>
        <w:rPr>
          <w:spacing w:val="-2"/>
        </w:rPr>
        <w:t xml:space="preserve">  </w:t>
      </w:r>
      <w:r>
        <w:rPr>
          <w:rFonts w:ascii="Symbol" w:hAnsi="Symbol"/>
          <w:spacing w:val="-2"/>
        </w:rPr>
        <w:sym w:font="Symbol" w:char="F071"/>
      </w:r>
      <w:r>
        <w:rPr>
          <w:spacing w:val="-2"/>
        </w:rPr>
        <w:t xml:space="preserve">  &lt;  </w:t>
      </w:r>
      <w:r>
        <w:rPr>
          <w:spacing w:val="-2"/>
          <w:lang w:val="es-ES_tradnl"/>
        </w:rPr>
        <w:t> </w:t>
      </w:r>
      <w:r>
        <w:rPr>
          <w:spacing w:val="-2"/>
        </w:rPr>
        <w:t>5</w:t>
      </w:r>
      <w:r>
        <w:rPr>
          <w:rFonts w:ascii="Symbol" w:hAnsi="Symbol"/>
          <w:spacing w:val="-2"/>
        </w:rPr>
        <w:t></w:t>
      </w:r>
    </w:p>
    <w:p w:rsidR="00E651F1" w:rsidRDefault="00E651F1" w:rsidP="00E651F1">
      <w:pPr>
        <w:pStyle w:val="enumlev1"/>
        <w:tabs>
          <w:tab w:val="clear" w:pos="794"/>
          <w:tab w:val="clear" w:pos="1191"/>
          <w:tab w:val="clear" w:pos="1588"/>
          <w:tab w:val="left" w:pos="7371"/>
          <w:tab w:val="left" w:pos="7938"/>
        </w:tabs>
        <w:ind w:left="142" w:hanging="142"/>
        <w:rPr>
          <w:spacing w:val="-2"/>
        </w:rPr>
      </w:pPr>
      <w:r>
        <w:rPr>
          <w:spacing w:val="-2"/>
        </w:rPr>
        <w:tab/>
        <w:t>–135 </w:t>
      </w:r>
      <w:r>
        <w:rPr>
          <w:rFonts w:ascii="Symbol" w:hAnsi="Symbol"/>
          <w:spacing w:val="-2"/>
        </w:rPr>
        <w:t></w:t>
      </w:r>
      <w:r>
        <w:rPr>
          <w:spacing w:val="-2"/>
        </w:rPr>
        <w:t> 0,5(</w:t>
      </w:r>
      <w:r>
        <w:rPr>
          <w:spacing w:val="-2"/>
        </w:rPr>
        <w:sym w:font="Symbol" w:char="F071"/>
      </w:r>
      <w:r>
        <w:rPr>
          <w:spacing w:val="-2"/>
        </w:rPr>
        <w:t xml:space="preserve"> – 5)</w:t>
      </w:r>
      <w:r>
        <w:rPr>
          <w:spacing w:val="-2"/>
        </w:rPr>
        <w:tab/>
        <w:t>dB(W/m</w:t>
      </w:r>
      <w:r>
        <w:rPr>
          <w:spacing w:val="-2"/>
          <w:vertAlign w:val="superscript"/>
        </w:rPr>
        <w:t>2</w:t>
      </w:r>
      <w:r>
        <w:rPr>
          <w:spacing w:val="-2"/>
        </w:rPr>
        <w:t>) dans une bande quelconque large de 1 MHz</w:t>
      </w:r>
      <w:r>
        <w:rPr>
          <w:spacing w:val="-2"/>
        </w:rPr>
        <w:tab/>
        <w:t>pour</w:t>
      </w:r>
      <w:r>
        <w:rPr>
          <w:spacing w:val="-2"/>
        </w:rPr>
        <w:tab/>
      </w:r>
      <w:r>
        <w:rPr>
          <w:spacing w:val="-2"/>
        </w:rPr>
        <w:t> </w:t>
      </w:r>
      <w:r>
        <w:rPr>
          <w:spacing w:val="-2"/>
        </w:rPr>
        <w:t>5</w:t>
      </w:r>
      <w:r>
        <w:rPr>
          <w:rFonts w:ascii="Symbol" w:hAnsi="Symbol"/>
          <w:spacing w:val="-2"/>
          <w:lang w:val="es-ES_tradnl"/>
        </w:rPr>
        <w:t></w:t>
      </w:r>
      <w:r>
        <w:rPr>
          <w:spacing w:val="-2"/>
        </w:rPr>
        <w:t xml:space="preserve">  </w:t>
      </w:r>
      <w:r>
        <w:rPr>
          <w:rFonts w:ascii="Symbol" w:hAnsi="Symbol"/>
          <w:spacing w:val="-2"/>
        </w:rPr>
        <w:sym w:font="Symbol" w:char="F0A3"/>
      </w:r>
      <w:r>
        <w:rPr>
          <w:spacing w:val="-2"/>
        </w:rPr>
        <w:t xml:space="preserve">  </w:t>
      </w:r>
      <w:r>
        <w:rPr>
          <w:rFonts w:ascii="Symbol" w:hAnsi="Symbol"/>
          <w:spacing w:val="-2"/>
        </w:rPr>
        <w:sym w:font="Symbol" w:char="F071"/>
      </w:r>
      <w:r>
        <w:rPr>
          <w:spacing w:val="-2"/>
        </w:rPr>
        <w:t xml:space="preserve">  </w:t>
      </w:r>
      <w:r>
        <w:rPr>
          <w:rFonts w:ascii="Symbol" w:hAnsi="Symbol"/>
          <w:spacing w:val="-2"/>
        </w:rPr>
        <w:t></w:t>
      </w:r>
      <w:r>
        <w:rPr>
          <w:spacing w:val="-2"/>
        </w:rPr>
        <w:t xml:space="preserve">  25</w:t>
      </w:r>
      <w:r>
        <w:rPr>
          <w:rFonts w:ascii="Symbol" w:hAnsi="Symbol"/>
          <w:spacing w:val="-2"/>
        </w:rPr>
        <w:t></w:t>
      </w:r>
    </w:p>
    <w:p w:rsidR="00E651F1" w:rsidRDefault="00E651F1" w:rsidP="00E651F1">
      <w:pPr>
        <w:pStyle w:val="enumlev1"/>
        <w:tabs>
          <w:tab w:val="clear" w:pos="794"/>
          <w:tab w:val="clear" w:pos="1191"/>
          <w:tab w:val="clear" w:pos="1588"/>
          <w:tab w:val="left" w:pos="7371"/>
          <w:tab w:val="left" w:pos="7938"/>
        </w:tabs>
        <w:ind w:left="142" w:hanging="142"/>
        <w:rPr>
          <w:spacing w:val="-2"/>
        </w:rPr>
      </w:pPr>
      <w:r>
        <w:rPr>
          <w:spacing w:val="-2"/>
        </w:rPr>
        <w:tab/>
        <w:t>–125</w:t>
      </w:r>
      <w:r>
        <w:rPr>
          <w:spacing w:val="-2"/>
        </w:rPr>
        <w:tab/>
        <w:t>dB(W/m</w:t>
      </w:r>
      <w:r>
        <w:rPr>
          <w:spacing w:val="-2"/>
          <w:vertAlign w:val="superscript"/>
        </w:rPr>
        <w:t>2</w:t>
      </w:r>
      <w:r>
        <w:rPr>
          <w:spacing w:val="-2"/>
        </w:rPr>
        <w:t>) dans une bande quelconque large de 1 MHz</w:t>
      </w:r>
      <w:r>
        <w:rPr>
          <w:spacing w:val="-2"/>
        </w:rPr>
        <w:tab/>
        <w:t>pour</w:t>
      </w:r>
      <w:r>
        <w:rPr>
          <w:spacing w:val="-2"/>
        </w:rPr>
        <w:tab/>
        <w:t>25</w:t>
      </w:r>
      <w:r>
        <w:rPr>
          <w:rFonts w:ascii="Symbol" w:hAnsi="Symbol"/>
          <w:spacing w:val="-2"/>
          <w:lang w:val="es-ES_tradnl"/>
        </w:rPr>
        <w:t></w:t>
      </w:r>
      <w:r>
        <w:rPr>
          <w:spacing w:val="-2"/>
        </w:rPr>
        <w:t xml:space="preserve">  </w:t>
      </w:r>
      <w:r>
        <w:rPr>
          <w:rFonts w:ascii="Symbol" w:hAnsi="Symbol"/>
          <w:spacing w:val="-2"/>
        </w:rPr>
        <w:sym w:font="Symbol" w:char="F0A3"/>
      </w:r>
      <w:r>
        <w:rPr>
          <w:spacing w:val="-2"/>
        </w:rPr>
        <w:t xml:space="preserve">  </w:t>
      </w:r>
      <w:r>
        <w:rPr>
          <w:rFonts w:ascii="Symbol" w:hAnsi="Symbol"/>
          <w:spacing w:val="-2"/>
        </w:rPr>
        <w:sym w:font="Symbol" w:char="F071"/>
      </w:r>
      <w:r>
        <w:rPr>
          <w:spacing w:val="-2"/>
        </w:rPr>
        <w:t xml:space="preserve">  </w:t>
      </w:r>
      <w:r>
        <w:rPr>
          <w:rFonts w:ascii="Symbol" w:hAnsi="Symbol"/>
          <w:spacing w:val="-2"/>
        </w:rPr>
        <w:sym w:font="Symbol" w:char="F0A3"/>
      </w:r>
      <w:r>
        <w:rPr>
          <w:spacing w:val="-2"/>
        </w:rPr>
        <w:t xml:space="preserve">  90</w:t>
      </w:r>
      <w:r>
        <w:rPr>
          <w:rFonts w:ascii="Symbol" w:hAnsi="Symbol"/>
          <w:spacing w:val="-2"/>
        </w:rPr>
        <w:t></w:t>
      </w:r>
    </w:p>
    <w:p w:rsidR="00E651F1" w:rsidRDefault="00E651F1" w:rsidP="00E651F1">
      <w:r>
        <w:t xml:space="preserve">où </w:t>
      </w:r>
      <w:r>
        <w:rPr>
          <w:rFonts w:ascii="Symbol" w:hAnsi="Symbol"/>
        </w:rPr>
        <w:sym w:font="Symbol" w:char="F071"/>
      </w:r>
      <w:r>
        <w:t xml:space="preserve"> étant l'angle d'arrivée de l'onde radioélectrique (degrés au-dessus du plan horizontal);</w:t>
      </w:r>
    </w:p>
    <w:p w:rsidR="00E651F1" w:rsidRDefault="00E651F1" w:rsidP="00E651F1">
      <w:r>
        <w:rPr>
          <w:b/>
          <w:bCs/>
        </w:rPr>
        <w:t>2</w:t>
      </w:r>
      <w:r>
        <w:tab/>
        <w:t>que les limites ci-dessus s'appliquent à la puissance surfacique et aux angles d'arrivée que l'on obtiendrait en supposant une propagation en espace libre.</w:t>
      </w:r>
    </w:p>
    <w:p w:rsidR="00E651F1" w:rsidRDefault="00E651F1" w:rsidP="00E651F1">
      <w:r>
        <w:t xml:space="preserve">NOTE 1 – Les limites de puissance surfacique visées au </w:t>
      </w:r>
      <w:r>
        <w:rPr>
          <w:i/>
        </w:rPr>
        <w:t>recommande</w:t>
      </w:r>
      <w:r>
        <w:t xml:space="preserve"> 1 ont été établies pour donner suite à la Résolution 124 (CMR</w:t>
      </w:r>
      <w:r>
        <w:noBreakHyphen/>
        <w:t>97) et sont destinées à être examinées à une prochaine Conférence mondiale des radiocommunications, qui souhaitera peut-être remplacer les limites de puissance surfacique visées au numéro 5.462A du RR par celles contenues dans la présente Recommandation. Pour ce qui est de la Région 2 et des systèmes à satellites non OSG dans les Régions 1 et 3 dans la bande 8</w:t>
      </w:r>
      <w:r>
        <w:rPr>
          <w:rFonts w:ascii="Tms Rmn" w:hAnsi="Tms Rmn"/>
          <w:sz w:val="12"/>
        </w:rPr>
        <w:t> </w:t>
      </w:r>
      <w:r>
        <w:t>025-8</w:t>
      </w:r>
      <w:r>
        <w:rPr>
          <w:rFonts w:ascii="Tms Rmn" w:hAnsi="Tms Rmn"/>
          <w:sz w:val="12"/>
        </w:rPr>
        <w:t> </w:t>
      </w:r>
      <w:r>
        <w:t>400 MHz, les limites de densité surfacique indiquées au Tableau 21</w:t>
      </w:r>
      <w:r>
        <w:noBreakHyphen/>
        <w:t>4 du RR continueront de s'appliquer.</w:t>
      </w:r>
    </w:p>
    <w:p w:rsidR="00934ED7" w:rsidRDefault="00E651F1" w:rsidP="00E651F1">
      <w:r>
        <w:t xml:space="preserve">NOTE 2 – Pour définir les limites de puissance surfacique énoncées dans le </w:t>
      </w:r>
      <w:r>
        <w:rPr>
          <w:i/>
        </w:rPr>
        <w:t>recommande</w:t>
      </w:r>
      <w:r>
        <w:t xml:space="preserve"> 1, on a tenu compte du fait que de nombreux systèmes hertziens fixes dans les Régions 1 et 3 ont été établis avant 1997 alors que l'évitement de l'orbite OSG n'était pas exigé. Il a donc été démontré que si les limites de puissance surfacique indiquées au Tableau 21</w:t>
      </w:r>
      <w:r>
        <w:noBreakHyphen/>
        <w:t>4 du RR continuent d'être appliquées sans modification, des brouillages excessifs seront occasionnés aux systèmes hertziens fixes ayant des angles d'arrivée faibles.</w:t>
      </w:r>
    </w:p>
    <w:p w:rsidR="00E651F1" w:rsidRDefault="00E651F1" w:rsidP="00E651F1"/>
    <w:p w:rsidR="00E651F1" w:rsidRDefault="00E651F1" w:rsidP="00E651F1"/>
    <w:p w:rsidR="00E651F1" w:rsidRPr="001C01CC" w:rsidRDefault="00E651F1" w:rsidP="00E651F1">
      <w:pPr>
        <w:pStyle w:val="Line"/>
        <w:rPr>
          <w:lang w:val="fr-CH"/>
        </w:rPr>
      </w:pPr>
    </w:p>
    <w:sectPr w:rsidR="00E651F1" w:rsidRPr="001C01CC" w:rsidSect="007565CC"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5D66" w:rsidRDefault="00FF5D66">
      <w:r>
        <w:separator/>
      </w:r>
    </w:p>
  </w:endnote>
  <w:endnote w:type="continuationSeparator" w:id="0">
    <w:p w:rsidR="00FF5D66" w:rsidRDefault="00FF5D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5D66" w:rsidRDefault="00FF5D66">
      <w:r>
        <w:separator/>
      </w:r>
    </w:p>
  </w:footnote>
  <w:footnote w:type="continuationSeparator" w:id="0">
    <w:p w:rsidR="00FF5D66" w:rsidRDefault="00FF5D66">
      <w:r>
        <w:continuationSeparator/>
      </w:r>
    </w:p>
  </w:footnote>
  <w:footnote w:id="1">
    <w:p w:rsidR="00E651F1" w:rsidRDefault="00E651F1" w:rsidP="00E651F1">
      <w:pPr>
        <w:pStyle w:val="FootnoteText"/>
      </w:pPr>
      <w:r>
        <w:rPr>
          <w:rStyle w:val="FootnoteReference"/>
        </w:rPr>
        <w:t>*</w:t>
      </w:r>
      <w:r>
        <w:tab/>
        <w:t>Cette Recommandation doit être portée à l'attention de la Commission d'études 7 des radiocommu</w:t>
      </w:r>
      <w:r>
        <w:softHyphen/>
        <w:t>nications.</w:t>
      </w:r>
    </w:p>
  </w:footnote>
  <w:footnote w:id="2">
    <w:p w:rsidR="00E651F1" w:rsidRDefault="00E651F1" w:rsidP="00E651F1">
      <w:pPr>
        <w:pStyle w:val="FootnoteText"/>
      </w:pPr>
      <w:r>
        <w:rPr>
          <w:rStyle w:val="FootnoteReference"/>
        </w:rPr>
        <w:t>**</w:t>
      </w:r>
      <w:r>
        <w:t xml:space="preserve"> </w:t>
      </w:r>
      <w:r>
        <w:tab/>
        <w:t>La Commission d'études 9 des radiocommunications a apporté des modifications rédactionnelles à cette Recommandation en 2004.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3C2" w:rsidRDefault="00A443C2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3C2" w:rsidRDefault="00536FF2" w:rsidP="00C668C8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1" name="Picture 1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3C2" w:rsidRPr="00837CB5" w:rsidRDefault="00053A75">
    <w:pPr>
      <w:pStyle w:val="Header"/>
      <w:jc w:val="left"/>
    </w:pPr>
    <w:r>
      <w:rPr>
        <w:rStyle w:val="PageNumber"/>
        <w:b/>
        <w:bCs/>
      </w:rPr>
      <w:fldChar w:fldCharType="begin"/>
    </w:r>
    <w:r w:rsidR="00A443C2" w:rsidRPr="00837CB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1C01CC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="00A443C2" w:rsidRPr="00837CB5">
      <w:tab/>
    </w:r>
    <w:fldSimple w:instr=" DOCPROPERTY &quot;Header&quot; \* MERGEFORMAT ">
      <w:r w:rsidR="00E651F1" w:rsidRPr="00E651F1">
        <w:rPr>
          <w:b/>
          <w:bCs/>
        </w:rPr>
        <w:t xml:space="preserve">Rec. </w:t>
      </w:r>
    </w:fldSimple>
    <w:r w:rsidR="00A443C2">
      <w:rPr>
        <w:b/>
        <w:bCs/>
      </w:rPr>
      <w:t xml:space="preserve"> </w:t>
    </w:r>
    <w:r>
      <w:rPr>
        <w:b/>
        <w:bCs/>
      </w:rPr>
      <w:fldChar w:fldCharType="begin"/>
    </w:r>
    <w:r w:rsidR="00A443C2" w:rsidRPr="00837CB5">
      <w:rPr>
        <w:b/>
        <w:bCs/>
      </w:rPr>
      <w:instrText>styleref href</w:instrText>
    </w:r>
    <w:r>
      <w:rPr>
        <w:b/>
        <w:bCs/>
      </w:rPr>
      <w:fldChar w:fldCharType="separate"/>
    </w:r>
    <w:r w:rsidR="001C01CC">
      <w:rPr>
        <w:b/>
        <w:bCs/>
        <w:noProof/>
      </w:rPr>
      <w:t>UIT-R  F.1502</w:t>
    </w:r>
    <w:r>
      <w:rPr>
        <w:b/>
        <w:bCs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3C2" w:rsidRDefault="00A443C2">
    <w:pPr>
      <w:pStyle w:val="Header"/>
    </w:pPr>
    <w:r>
      <w:tab/>
    </w:r>
    <w:fldSimple w:instr=" DOCPROPERTY &quot;Header&quot; \* MERGEFORMAT ">
      <w:r w:rsidR="00E651F1" w:rsidRPr="00E651F1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053A75">
      <w:rPr>
        <w:b/>
        <w:bCs/>
      </w:rPr>
      <w:fldChar w:fldCharType="begin"/>
    </w:r>
    <w:r>
      <w:rPr>
        <w:b/>
        <w:bCs/>
      </w:rPr>
      <w:instrText>styleref href</w:instrText>
    </w:r>
    <w:r w:rsidR="00053A75">
      <w:rPr>
        <w:b/>
        <w:bCs/>
      </w:rPr>
      <w:fldChar w:fldCharType="separate"/>
    </w:r>
    <w:r w:rsidR="001C01CC">
      <w:rPr>
        <w:b/>
        <w:bCs/>
        <w:noProof/>
      </w:rPr>
      <w:t>UIT-R  F.1502</w:t>
    </w:r>
    <w:r w:rsidR="00053A75">
      <w:rPr>
        <w:b/>
        <w:bCs/>
      </w:rPr>
      <w:fldChar w:fldCharType="end"/>
    </w:r>
    <w:r>
      <w:tab/>
    </w:r>
    <w:r w:rsidR="00053A75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053A75">
      <w:rPr>
        <w:rStyle w:val="PageNumber"/>
        <w:b/>
        <w:bCs/>
      </w:rPr>
      <w:fldChar w:fldCharType="separate"/>
    </w:r>
    <w:r w:rsidR="001C01CC">
      <w:rPr>
        <w:rStyle w:val="PageNumber"/>
        <w:b/>
        <w:bCs/>
        <w:noProof/>
      </w:rPr>
      <w:t>1</w:t>
    </w:r>
    <w:r w:rsidR="00053A75">
      <w:rPr>
        <w:rStyle w:val="PageNumber"/>
        <w:b/>
        <w:bCs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7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F01"/>
  <w:defaultTabStop w:val="720"/>
  <w:evenAndOddHeaders/>
  <w:noPunctuationKerning/>
  <w:characterSpacingControl w:val="doNotCompress"/>
  <w:hdrShapeDefaults>
    <o:shapedefaults v:ext="edit" spidmax="7169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/>
  <w:rsids>
    <w:rsidRoot w:val="00934ED7"/>
    <w:rsid w:val="00013002"/>
    <w:rsid w:val="000257FB"/>
    <w:rsid w:val="00053A75"/>
    <w:rsid w:val="00072484"/>
    <w:rsid w:val="00076BD8"/>
    <w:rsid w:val="00096612"/>
    <w:rsid w:val="000A0A78"/>
    <w:rsid w:val="000B7683"/>
    <w:rsid w:val="00102934"/>
    <w:rsid w:val="0011442E"/>
    <w:rsid w:val="00123FD5"/>
    <w:rsid w:val="00125B6D"/>
    <w:rsid w:val="00126AF2"/>
    <w:rsid w:val="00147110"/>
    <w:rsid w:val="001A27FE"/>
    <w:rsid w:val="001C01CC"/>
    <w:rsid w:val="00202D10"/>
    <w:rsid w:val="002058CE"/>
    <w:rsid w:val="002165F1"/>
    <w:rsid w:val="00227626"/>
    <w:rsid w:val="00276D21"/>
    <w:rsid w:val="00296D7F"/>
    <w:rsid w:val="002B3CF6"/>
    <w:rsid w:val="002C768A"/>
    <w:rsid w:val="002D76C4"/>
    <w:rsid w:val="002F728A"/>
    <w:rsid w:val="00363367"/>
    <w:rsid w:val="00420DFD"/>
    <w:rsid w:val="00470E28"/>
    <w:rsid w:val="004934C5"/>
    <w:rsid w:val="004A4D65"/>
    <w:rsid w:val="00536FF2"/>
    <w:rsid w:val="00556548"/>
    <w:rsid w:val="00567DC0"/>
    <w:rsid w:val="00586EF8"/>
    <w:rsid w:val="00592F9F"/>
    <w:rsid w:val="00593B96"/>
    <w:rsid w:val="005B49AB"/>
    <w:rsid w:val="005B50E7"/>
    <w:rsid w:val="005B65B9"/>
    <w:rsid w:val="005E427C"/>
    <w:rsid w:val="005E6DCC"/>
    <w:rsid w:val="005E7B4F"/>
    <w:rsid w:val="0060611D"/>
    <w:rsid w:val="00607D68"/>
    <w:rsid w:val="006149B1"/>
    <w:rsid w:val="00614CC6"/>
    <w:rsid w:val="00647E80"/>
    <w:rsid w:val="00680D2B"/>
    <w:rsid w:val="00681B32"/>
    <w:rsid w:val="006C7827"/>
    <w:rsid w:val="006E2037"/>
    <w:rsid w:val="006F154D"/>
    <w:rsid w:val="00712870"/>
    <w:rsid w:val="00731BD8"/>
    <w:rsid w:val="00743D85"/>
    <w:rsid w:val="00753CF4"/>
    <w:rsid w:val="007565CC"/>
    <w:rsid w:val="00756B4D"/>
    <w:rsid w:val="00763B9A"/>
    <w:rsid w:val="00776E56"/>
    <w:rsid w:val="007A308E"/>
    <w:rsid w:val="007A6AA8"/>
    <w:rsid w:val="008310C9"/>
    <w:rsid w:val="00837CB5"/>
    <w:rsid w:val="00872472"/>
    <w:rsid w:val="008C7848"/>
    <w:rsid w:val="00917AF2"/>
    <w:rsid w:val="0092418A"/>
    <w:rsid w:val="00934ED7"/>
    <w:rsid w:val="009454F8"/>
    <w:rsid w:val="009543C3"/>
    <w:rsid w:val="00966E1B"/>
    <w:rsid w:val="009B5551"/>
    <w:rsid w:val="009F2D2C"/>
    <w:rsid w:val="00A443C2"/>
    <w:rsid w:val="00A52DB0"/>
    <w:rsid w:val="00A6617B"/>
    <w:rsid w:val="00A71FE5"/>
    <w:rsid w:val="00AA3AD8"/>
    <w:rsid w:val="00AB0DC8"/>
    <w:rsid w:val="00AB52D1"/>
    <w:rsid w:val="00AD267B"/>
    <w:rsid w:val="00B033C8"/>
    <w:rsid w:val="00B21066"/>
    <w:rsid w:val="00B33425"/>
    <w:rsid w:val="00B44E24"/>
    <w:rsid w:val="00B54ECC"/>
    <w:rsid w:val="00B714F3"/>
    <w:rsid w:val="00BC0651"/>
    <w:rsid w:val="00BC5D77"/>
    <w:rsid w:val="00BF487A"/>
    <w:rsid w:val="00C362C3"/>
    <w:rsid w:val="00C46BD9"/>
    <w:rsid w:val="00C55258"/>
    <w:rsid w:val="00C668C8"/>
    <w:rsid w:val="00C73560"/>
    <w:rsid w:val="00CB0F14"/>
    <w:rsid w:val="00CD659B"/>
    <w:rsid w:val="00CD7DC8"/>
    <w:rsid w:val="00CE2E0A"/>
    <w:rsid w:val="00D017C0"/>
    <w:rsid w:val="00D31EB8"/>
    <w:rsid w:val="00D70C4E"/>
    <w:rsid w:val="00DE68C0"/>
    <w:rsid w:val="00DF4176"/>
    <w:rsid w:val="00DF693C"/>
    <w:rsid w:val="00E02402"/>
    <w:rsid w:val="00E17240"/>
    <w:rsid w:val="00E44C45"/>
    <w:rsid w:val="00E44CBB"/>
    <w:rsid w:val="00E651F1"/>
    <w:rsid w:val="00E73AFE"/>
    <w:rsid w:val="00E80F1D"/>
    <w:rsid w:val="00EA6E8E"/>
    <w:rsid w:val="00EE57AA"/>
    <w:rsid w:val="00F30C9B"/>
    <w:rsid w:val="00F316C4"/>
    <w:rsid w:val="00F336CC"/>
    <w:rsid w:val="00F354B1"/>
    <w:rsid w:val="00F50711"/>
    <w:rsid w:val="00F54FBD"/>
    <w:rsid w:val="00FB0E4E"/>
    <w:rsid w:val="00FE79FE"/>
    <w:rsid w:val="00FF5D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36FF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536FF2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36FF2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36FF2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36FF2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36FF2"/>
    <w:pPr>
      <w:outlineLvl w:val="4"/>
    </w:pPr>
  </w:style>
  <w:style w:type="paragraph" w:styleId="Heading6">
    <w:name w:val="heading 6"/>
    <w:basedOn w:val="Heading4"/>
    <w:next w:val="Normal"/>
    <w:qFormat/>
    <w:rsid w:val="00536FF2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36FF2"/>
    <w:pPr>
      <w:outlineLvl w:val="6"/>
    </w:pPr>
  </w:style>
  <w:style w:type="paragraph" w:styleId="Heading8">
    <w:name w:val="heading 8"/>
    <w:basedOn w:val="Heading6"/>
    <w:next w:val="Normal"/>
    <w:qFormat/>
    <w:rsid w:val="00536FF2"/>
    <w:pPr>
      <w:outlineLvl w:val="7"/>
    </w:pPr>
  </w:style>
  <w:style w:type="paragraph" w:styleId="Heading9">
    <w:name w:val="heading 9"/>
    <w:basedOn w:val="Heading6"/>
    <w:next w:val="Normal"/>
    <w:qFormat/>
    <w:rsid w:val="00536FF2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36FF2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536FF2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36FF2"/>
  </w:style>
  <w:style w:type="paragraph" w:customStyle="1" w:styleId="Headingb">
    <w:name w:val="Heading_b"/>
    <w:basedOn w:val="Heading3"/>
    <w:next w:val="Normal"/>
    <w:rsid w:val="00536FF2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36FF2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36FF2"/>
  </w:style>
  <w:style w:type="paragraph" w:customStyle="1" w:styleId="AnnexNoTitle">
    <w:name w:val="Annex_NoTitle"/>
    <w:basedOn w:val="Normal"/>
    <w:next w:val="Normalaftertitle"/>
    <w:rsid w:val="00536FF2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536FF2"/>
    <w:pPr>
      <w:spacing w:before="320"/>
    </w:pPr>
  </w:style>
  <w:style w:type="paragraph" w:customStyle="1" w:styleId="enumlev2">
    <w:name w:val="enumlev2"/>
    <w:basedOn w:val="enumlev1"/>
    <w:rsid w:val="00536FF2"/>
    <w:pPr>
      <w:ind w:left="1191" w:hanging="397"/>
    </w:pPr>
  </w:style>
  <w:style w:type="paragraph" w:customStyle="1" w:styleId="enumlev1">
    <w:name w:val="enumlev1"/>
    <w:basedOn w:val="Normal"/>
    <w:rsid w:val="00536FF2"/>
    <w:pPr>
      <w:spacing w:before="80"/>
      <w:ind w:left="794" w:hanging="794"/>
    </w:pPr>
  </w:style>
  <w:style w:type="paragraph" w:customStyle="1" w:styleId="enumlev3">
    <w:name w:val="enumlev3"/>
    <w:basedOn w:val="enumlev2"/>
    <w:rsid w:val="00536FF2"/>
    <w:pPr>
      <w:ind w:left="1588"/>
    </w:pPr>
  </w:style>
  <w:style w:type="paragraph" w:customStyle="1" w:styleId="Note">
    <w:name w:val="Note"/>
    <w:basedOn w:val="Normal"/>
    <w:rsid w:val="00536FF2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536FF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536FF2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536FF2"/>
    <w:pPr>
      <w:jc w:val="center"/>
    </w:pPr>
  </w:style>
  <w:style w:type="paragraph" w:customStyle="1" w:styleId="Recdate">
    <w:name w:val="Rec_date"/>
    <w:basedOn w:val="Recref"/>
    <w:next w:val="Normalaftertitle"/>
    <w:rsid w:val="00536FF2"/>
    <w:pPr>
      <w:jc w:val="right"/>
    </w:pPr>
  </w:style>
  <w:style w:type="paragraph" w:customStyle="1" w:styleId="HeadingSum">
    <w:name w:val="Heading_Sum"/>
    <w:basedOn w:val="Headingb"/>
    <w:next w:val="Normal"/>
    <w:rsid w:val="00536FF2"/>
    <w:pPr>
      <w:spacing w:before="240"/>
    </w:pPr>
    <w:rPr>
      <w:sz w:val="22"/>
      <w:lang w:val="es-ES_tradnl"/>
    </w:rPr>
  </w:style>
  <w:style w:type="paragraph" w:customStyle="1" w:styleId="AppendixNoTitle">
    <w:name w:val="Appendix_NoTitle"/>
    <w:basedOn w:val="AnnexNoTitle"/>
    <w:next w:val="Normal"/>
    <w:rsid w:val="00536FF2"/>
  </w:style>
  <w:style w:type="paragraph" w:customStyle="1" w:styleId="Tablefin">
    <w:name w:val="Table_fin"/>
    <w:basedOn w:val="Normal"/>
    <w:next w:val="Normal"/>
    <w:rsid w:val="00536FF2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36FF2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536FF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536FF2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536FF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536FF2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36FF2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36FF2"/>
    <w:pPr>
      <w:ind w:left="794"/>
    </w:pPr>
  </w:style>
  <w:style w:type="paragraph" w:customStyle="1" w:styleId="Figurelegend">
    <w:name w:val="Figure_legend"/>
    <w:basedOn w:val="Normal"/>
    <w:rsid w:val="00536FF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36FF2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36FF2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36FF2"/>
    <w:pPr>
      <w:keepNext w:val="0"/>
      <w:spacing w:before="0" w:after="240"/>
    </w:pPr>
  </w:style>
  <w:style w:type="paragraph" w:customStyle="1" w:styleId="tocpart">
    <w:name w:val="tocpart"/>
    <w:basedOn w:val="Normal"/>
    <w:rsid w:val="00536FF2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36FF2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536FF2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536FF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36FF2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536FF2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36FF2"/>
    <w:rPr>
      <w:b/>
    </w:rPr>
  </w:style>
  <w:style w:type="paragraph" w:customStyle="1" w:styleId="Chaptitle">
    <w:name w:val="Chap_title"/>
    <w:basedOn w:val="Arttitle"/>
    <w:next w:val="Normalaftertitle"/>
    <w:rsid w:val="00536FF2"/>
  </w:style>
  <w:style w:type="character" w:styleId="FootnoteReference">
    <w:name w:val="footnote reference"/>
    <w:basedOn w:val="DefaultParagraphFont"/>
    <w:semiHidden/>
    <w:rsid w:val="00536FF2"/>
    <w:rPr>
      <w:position w:val="6"/>
      <w:sz w:val="18"/>
    </w:rPr>
  </w:style>
  <w:style w:type="paragraph" w:styleId="FootnoteText">
    <w:name w:val="footnote text"/>
    <w:basedOn w:val="Normal"/>
    <w:semiHidden/>
    <w:rsid w:val="00536FF2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536FF2"/>
  </w:style>
  <w:style w:type="paragraph" w:styleId="Index2">
    <w:name w:val="index 2"/>
    <w:basedOn w:val="Normal"/>
    <w:next w:val="Normal"/>
    <w:semiHidden/>
    <w:rsid w:val="00536FF2"/>
    <w:pPr>
      <w:ind w:left="283"/>
    </w:pPr>
  </w:style>
  <w:style w:type="paragraph" w:styleId="Index3">
    <w:name w:val="index 3"/>
    <w:basedOn w:val="Normal"/>
    <w:next w:val="Normal"/>
    <w:semiHidden/>
    <w:rsid w:val="00536FF2"/>
    <w:pPr>
      <w:ind w:left="566"/>
    </w:pPr>
  </w:style>
  <w:style w:type="paragraph" w:styleId="IndexHeading">
    <w:name w:val="index heading"/>
    <w:basedOn w:val="Normal"/>
    <w:next w:val="Index1"/>
    <w:semiHidden/>
    <w:rsid w:val="00536FF2"/>
  </w:style>
  <w:style w:type="paragraph" w:customStyle="1" w:styleId="Line">
    <w:name w:val="Line"/>
    <w:basedOn w:val="Normal"/>
    <w:next w:val="Normal"/>
    <w:rsid w:val="00536FF2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36FF2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36FF2"/>
  </w:style>
  <w:style w:type="paragraph" w:customStyle="1" w:styleId="Partref">
    <w:name w:val="Part_ref"/>
    <w:basedOn w:val="Normal"/>
    <w:next w:val="Normal"/>
    <w:rsid w:val="00536FF2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36FF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536FF2"/>
  </w:style>
  <w:style w:type="paragraph" w:customStyle="1" w:styleId="QuestionNo">
    <w:name w:val="Question_No"/>
    <w:basedOn w:val="RecNo"/>
    <w:next w:val="Normal"/>
    <w:rsid w:val="00536FF2"/>
  </w:style>
  <w:style w:type="paragraph" w:customStyle="1" w:styleId="Questionref">
    <w:name w:val="Question_ref"/>
    <w:basedOn w:val="Recref"/>
    <w:next w:val="Questiondate"/>
    <w:rsid w:val="00536FF2"/>
  </w:style>
  <w:style w:type="paragraph" w:customStyle="1" w:styleId="Questiontitle">
    <w:name w:val="Question_title"/>
    <w:basedOn w:val="Normal"/>
    <w:next w:val="Questionref"/>
    <w:rsid w:val="00536FF2"/>
  </w:style>
  <w:style w:type="paragraph" w:customStyle="1" w:styleId="Reftext">
    <w:name w:val="Ref_text"/>
    <w:basedOn w:val="Normal"/>
    <w:rsid w:val="00536FF2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536FF2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536FF2"/>
  </w:style>
  <w:style w:type="paragraph" w:customStyle="1" w:styleId="RepNo">
    <w:name w:val="Rep_No"/>
    <w:basedOn w:val="RecNo"/>
    <w:next w:val="Reptitle"/>
    <w:rsid w:val="00536FF2"/>
  </w:style>
  <w:style w:type="paragraph" w:customStyle="1" w:styleId="Reptitle">
    <w:name w:val="Rep_title"/>
    <w:basedOn w:val="Rectitle"/>
    <w:next w:val="Repref"/>
    <w:rsid w:val="00536FF2"/>
  </w:style>
  <w:style w:type="paragraph" w:customStyle="1" w:styleId="Repref">
    <w:name w:val="Rep_ref"/>
    <w:basedOn w:val="Recref"/>
    <w:next w:val="Repdate"/>
    <w:rsid w:val="00536FF2"/>
  </w:style>
  <w:style w:type="paragraph" w:customStyle="1" w:styleId="Resdate">
    <w:name w:val="Res_date"/>
    <w:basedOn w:val="Recdate"/>
    <w:next w:val="Normalaftertitle"/>
    <w:rsid w:val="00536FF2"/>
  </w:style>
  <w:style w:type="paragraph" w:customStyle="1" w:styleId="ResNo">
    <w:name w:val="Res_No"/>
    <w:basedOn w:val="RecNo"/>
    <w:next w:val="Restitle"/>
    <w:rsid w:val="00536FF2"/>
  </w:style>
  <w:style w:type="paragraph" w:customStyle="1" w:styleId="Restitle">
    <w:name w:val="Res_title"/>
    <w:basedOn w:val="Normal"/>
    <w:next w:val="Resref"/>
    <w:rsid w:val="00536FF2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536FF2"/>
  </w:style>
  <w:style w:type="paragraph" w:customStyle="1" w:styleId="SectionNo">
    <w:name w:val="Section_No"/>
    <w:basedOn w:val="Normal"/>
    <w:next w:val="Normal"/>
    <w:rsid w:val="00536FF2"/>
  </w:style>
  <w:style w:type="paragraph" w:customStyle="1" w:styleId="Sectiontitle">
    <w:name w:val="Section_title"/>
    <w:basedOn w:val="Normal"/>
    <w:next w:val="Normalaftertitle"/>
    <w:rsid w:val="00536FF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536FF2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36FF2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36FF2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36FF2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36FF2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36FF2"/>
  </w:style>
  <w:style w:type="paragraph" w:styleId="TOC6">
    <w:name w:val="toc 6"/>
    <w:basedOn w:val="TOC4"/>
    <w:semiHidden/>
    <w:rsid w:val="00536FF2"/>
  </w:style>
  <w:style w:type="paragraph" w:styleId="TOC7">
    <w:name w:val="toc 7"/>
    <w:basedOn w:val="TOC4"/>
    <w:semiHidden/>
    <w:rsid w:val="00536FF2"/>
  </w:style>
  <w:style w:type="paragraph" w:styleId="TOC8">
    <w:name w:val="toc 8"/>
    <w:basedOn w:val="TOC4"/>
    <w:semiHidden/>
    <w:rsid w:val="00536FF2"/>
  </w:style>
  <w:style w:type="paragraph" w:customStyle="1" w:styleId="Annexref">
    <w:name w:val="Annex_ref"/>
    <w:basedOn w:val="Normal"/>
    <w:next w:val="Normalaftertitle"/>
    <w:rsid w:val="00536FF2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36FF2"/>
  </w:style>
  <w:style w:type="paragraph" w:customStyle="1" w:styleId="Tabletitle">
    <w:name w:val="Table_title"/>
    <w:basedOn w:val="Normal"/>
    <w:next w:val="Tablehead"/>
    <w:rsid w:val="00536FF2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36FF2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character" w:styleId="Strong">
    <w:name w:val="Strong"/>
    <w:basedOn w:val="DefaultParagraphFont"/>
    <w:qFormat/>
    <w:rsid w:val="009454F8"/>
    <w:rPr>
      <w:b/>
      <w:bCs/>
    </w:rPr>
  </w:style>
  <w:style w:type="paragraph" w:customStyle="1" w:styleId="TableLegendNote">
    <w:name w:val="Table_Legend_Note"/>
    <w:basedOn w:val="Tablelegend"/>
    <w:next w:val="Tablelegend"/>
    <w:rsid w:val="00536FF2"/>
    <w:pPr>
      <w:ind w:left="-85" w:firstLine="0"/>
    </w:pPr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62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yperlink" Target="http://www.itu.int/publ/R-REC/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fr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0</TotalTime>
  <Pages>4</Pages>
  <Words>1087</Words>
  <Characters>6124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7197</CharactersWithSpaces>
  <SharedDoc>false</SharedDoc>
  <HLinks>
    <vt:vector size="12" baseType="variant">
      <vt:variant>
        <vt:i4>131159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http://www.itu.int/publ/R-REC/fr</vt:lpwstr>
      </vt:variant>
      <vt:variant>
        <vt:lpwstr/>
      </vt:variant>
      <vt:variant>
        <vt:i4>2162733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http://www.itu.int/ITU-R/go/patents/fr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</dc:description>
  <cp:lastModifiedBy>brice</cp:lastModifiedBy>
  <cp:revision>3</cp:revision>
  <cp:lastPrinted>2009-07-01T12:03:00Z</cp:lastPrinted>
  <dcterms:created xsi:type="dcterms:W3CDTF">2010-07-12T11:53:00Z</dcterms:created>
  <dcterms:modified xsi:type="dcterms:W3CDTF">2010-07-20T12:09:00Z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