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tbl>
      <w:tblPr>
        <w:tblW w:w="10089" w:type="dxa"/>
        <w:tblLook w:val="01E0"/>
      </w:tblPr>
      <w:tblGrid>
        <w:gridCol w:w="10089"/>
      </w:tblGrid>
      <w:tr w:rsidR="00FE79FE" w:rsidRPr="004F65E4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4F65E4" w:rsidRDefault="00FE79FE" w:rsidP="00720F4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E406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720F4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1502</w:t>
            </w:r>
          </w:p>
          <w:p w:rsidR="00FE79FE" w:rsidRPr="004F65E4" w:rsidRDefault="00FE79FE" w:rsidP="00720F4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720F4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05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720F4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2000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1511A6">
        <w:tc>
          <w:tcPr>
            <w:tcW w:w="10089" w:type="dxa"/>
          </w:tcPr>
          <w:p w:rsidR="00013002" w:rsidRPr="004F65E4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E79FE" w:rsidRPr="001511A6" w:rsidRDefault="00720F4D" w:rsidP="004B3E6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Protection of the </w:t>
            </w:r>
            <w:r w:rsidR="004B3E6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fixed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service in the frequency band 8 025-8 400 MHz sharing with geostationary-satellite systems</w:t>
            </w:r>
            <w:r w:rsidR="004B3E6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of</w:t>
            </w:r>
            <w:r w:rsidR="004B3E6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the Earth exploration-satellite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service (space-to-Earth)</w:t>
            </w:r>
          </w:p>
          <w:p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>
        <w:tc>
          <w:tcPr>
            <w:tcW w:w="10089" w:type="dxa"/>
          </w:tcPr>
          <w:p w:rsidR="00677965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77965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77965" w:rsidRDefault="00677965" w:rsidP="006779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13002" w:rsidRPr="001511A6" w:rsidRDefault="00E406BD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FE79FE" w:rsidRPr="00E406BD" w:rsidRDefault="00E406BD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406B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Fixed service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8C1BA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 w:rsidR="008C1BAC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036EE3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 w:rsidR="00A51727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>
        <w:tc>
          <w:tcPr>
            <w:tcW w:w="1140" w:type="dxa"/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036EE3" w:rsidTr="007D224F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Fixed service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036EE3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036EE3">
        <w:tc>
          <w:tcPr>
            <w:tcW w:w="9360" w:type="dxa"/>
          </w:tcPr>
          <w:p w:rsidR="00036EE3" w:rsidRPr="002F5199" w:rsidRDefault="00036EE3" w:rsidP="002F5199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6A75CC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6A75CC">
        <w:rPr>
          <w:sz w:val="20"/>
          <w:lang w:val="en-US"/>
        </w:rPr>
        <w:t>10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6A75CC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6A75CC">
        <w:rPr>
          <w:sz w:val="20"/>
          <w:lang w:val="en-US"/>
        </w:rPr>
        <w:t>10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720F4D" w:rsidRDefault="00720F4D" w:rsidP="00720F4D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F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1502</w:t>
      </w:r>
      <w:r w:rsidR="006701E7">
        <w:rPr>
          <w:rStyle w:val="FootnoteReference"/>
        </w:rPr>
        <w:footnoteReference w:customMarkFollows="1" w:id="1"/>
        <w:t>*</w:t>
      </w:r>
      <w:r w:rsidR="006701E7">
        <w:rPr>
          <w:position w:val="-2"/>
          <w:vertAlign w:val="superscript"/>
        </w:rPr>
        <w:t>,</w:t>
      </w:r>
      <w:r w:rsidR="006701E7">
        <w:t xml:space="preserve"> </w:t>
      </w:r>
      <w:r w:rsidR="006701E7">
        <w:rPr>
          <w:rStyle w:val="FootnoteReference"/>
        </w:rPr>
        <w:footnoteReference w:customMarkFollows="1" w:id="2"/>
        <w:t>**</w:t>
      </w:r>
    </w:p>
    <w:p w:rsidR="00720F4D" w:rsidRDefault="00720F4D" w:rsidP="00720F4D">
      <w:pPr>
        <w:pStyle w:val="Rectitle"/>
        <w:rPr>
          <w:lang w:val="en-US"/>
        </w:rPr>
      </w:pPr>
      <w:r>
        <w:rPr>
          <w:lang w:val="en-US"/>
        </w:rPr>
        <w:t>Protection of the fixed service in the frequency band 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025-8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400 MHz</w:t>
      </w:r>
      <w:r>
        <w:rPr>
          <w:smallCaps/>
          <w:lang w:val="en-US"/>
        </w:rPr>
        <w:br/>
      </w:r>
      <w:r>
        <w:rPr>
          <w:lang w:val="en-US"/>
        </w:rPr>
        <w:t>sharing with geostationary-satellite systems of the Earth</w:t>
      </w:r>
      <w:r>
        <w:rPr>
          <w:lang w:val="en-US"/>
        </w:rPr>
        <w:br/>
        <w:t>exploration-satellite service (space-to-Earth)</w:t>
      </w:r>
    </w:p>
    <w:p w:rsidR="00720F4D" w:rsidRDefault="00720F4D" w:rsidP="00720F4D">
      <w:pPr>
        <w:pStyle w:val="Recref"/>
      </w:pPr>
      <w:r>
        <w:t>(Question ITU-R 113/9)</w:t>
      </w:r>
    </w:p>
    <w:p w:rsidR="00720F4D" w:rsidRDefault="00720F4D" w:rsidP="00720F4D"/>
    <w:p w:rsidR="00720F4D" w:rsidRDefault="00720F4D" w:rsidP="00720F4D">
      <w:pPr>
        <w:pStyle w:val="Recdate"/>
      </w:pPr>
      <w:r>
        <w:t>(2000)</w:t>
      </w:r>
    </w:p>
    <w:p w:rsidR="00720F4D" w:rsidRDefault="00720F4D" w:rsidP="00720F4D"/>
    <w:p w:rsidR="00720F4D" w:rsidRDefault="00720F4D" w:rsidP="00720F4D">
      <w:pPr>
        <w:pStyle w:val="Normalaftertitle"/>
      </w:pPr>
      <w:r>
        <w:t>The ITU Radiocommunication Assembly,</w:t>
      </w:r>
    </w:p>
    <w:p w:rsidR="00720F4D" w:rsidRDefault="00720F4D" w:rsidP="00720F4D">
      <w:pPr>
        <w:pStyle w:val="Call"/>
      </w:pPr>
      <w:r>
        <w:t>considering</w:t>
      </w:r>
    </w:p>
    <w:p w:rsidR="00720F4D" w:rsidRDefault="00720F4D" w:rsidP="00720F4D">
      <w:pPr>
        <w:rPr>
          <w:lang w:val="en-US"/>
        </w:rPr>
      </w:pPr>
      <w:r>
        <w:rPr>
          <w:lang w:val="en-US"/>
        </w:rPr>
        <w:t>a)</w:t>
      </w:r>
      <w:r>
        <w:rPr>
          <w:lang w:val="en-US"/>
        </w:rPr>
        <w:tab/>
        <w:t>that prior to WRC-97, the band 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025-8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400 MHz was allocated to the Earth exploration-satellite service (EESS) (space-to-Earth) on a secondary basis in Regions 1 and 3, except for those countries listed in No. 5.464 of the Radio Regulations (RR);</w:t>
      </w:r>
    </w:p>
    <w:p w:rsidR="00720F4D" w:rsidRDefault="00720F4D" w:rsidP="00720F4D">
      <w:pPr>
        <w:rPr>
          <w:lang w:val="en-US"/>
        </w:rPr>
      </w:pPr>
      <w:r>
        <w:rPr>
          <w:lang w:val="en-US"/>
        </w:rPr>
        <w:t>b)</w:t>
      </w:r>
      <w:r>
        <w:rPr>
          <w:lang w:val="en-US"/>
        </w:rPr>
        <w:tab/>
        <w:t>that the power flux-density (pfd) limits given in Table 21-4 of RR Article 21 apply to emissions from space stations of the EESS (space-to-Earth);</w:t>
      </w:r>
    </w:p>
    <w:p w:rsidR="00720F4D" w:rsidRDefault="00720F4D" w:rsidP="00720F4D">
      <w:pPr>
        <w:rPr>
          <w:lang w:val="en-US"/>
        </w:rPr>
      </w:pPr>
      <w:r>
        <w:rPr>
          <w:lang w:val="en-US"/>
        </w:rPr>
        <w:t>c)</w:t>
      </w:r>
      <w:r>
        <w:rPr>
          <w:lang w:val="en-US"/>
        </w:rPr>
        <w:tab/>
        <w:t>that, for those administrations where the secondary allocation applied before WRC</w:t>
      </w:r>
      <w:r>
        <w:rPr>
          <w:lang w:val="en-US"/>
        </w:rPr>
        <w:noBreakHyphen/>
        <w:t>97, geostationary orbital avoidance was not required for the fixed service and, therefore, the pfd limits given in Table 21</w:t>
      </w:r>
      <w:r>
        <w:rPr>
          <w:lang w:val="en-US"/>
        </w:rPr>
        <w:noBreakHyphen/>
        <w:t>4 of the RR will give rise to excessive interference to the fixed service;</w:t>
      </w:r>
    </w:p>
    <w:p w:rsidR="00720F4D" w:rsidRDefault="00720F4D" w:rsidP="00720F4D">
      <w:pPr>
        <w:rPr>
          <w:lang w:val="en-US"/>
        </w:rPr>
      </w:pPr>
      <w:r>
        <w:rPr>
          <w:lang w:val="en-US"/>
        </w:rPr>
        <w:t>d)</w:t>
      </w:r>
      <w:r>
        <w:rPr>
          <w:lang w:val="en-US"/>
        </w:rPr>
        <w:tab/>
        <w:t>that provisional pfd limits in RR No. 5.462A are lower than those shown in Table 21</w:t>
      </w:r>
      <w:r>
        <w:rPr>
          <w:lang w:val="en-US"/>
        </w:rPr>
        <w:noBreakHyphen/>
        <w:t>4 of the RR to protect the fixed service;</w:t>
      </w:r>
    </w:p>
    <w:p w:rsidR="00720F4D" w:rsidRDefault="00720F4D" w:rsidP="00720F4D">
      <w:pPr>
        <w:rPr>
          <w:lang w:val="en-US"/>
        </w:rPr>
      </w:pPr>
      <w:r>
        <w:rPr>
          <w:lang w:val="en-US"/>
        </w:rPr>
        <w:t>e)</w:t>
      </w:r>
      <w:r>
        <w:rPr>
          <w:lang w:val="en-US"/>
        </w:rPr>
        <w:tab/>
        <w:t>that the band 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025-8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400 MHz is used extensively by the fixed service in accordance with ITU</w:t>
      </w:r>
      <w:r>
        <w:rPr>
          <w:lang w:val="en-US"/>
        </w:rPr>
        <w:noBreakHyphen/>
        <w:t>R channel arrangements for the 8 GHz band (see Recommendation ITU</w:t>
      </w:r>
      <w:r>
        <w:rPr>
          <w:lang w:val="en-US"/>
        </w:rPr>
        <w:noBreakHyphen/>
        <w:t>R F.386) and is also used by some countries for television outside broadcast applications;</w:t>
      </w:r>
    </w:p>
    <w:p w:rsidR="00720F4D" w:rsidRDefault="00720F4D" w:rsidP="00720F4D">
      <w:pPr>
        <w:rPr>
          <w:lang w:val="en-US"/>
        </w:rPr>
      </w:pPr>
      <w:r>
        <w:rPr>
          <w:lang w:val="en-US"/>
        </w:rPr>
        <w:t>f)</w:t>
      </w:r>
      <w:r>
        <w:rPr>
          <w:lang w:val="en-US"/>
        </w:rPr>
        <w:tab/>
        <w:t>that it is expected that the main application for the EESS in this band is for non-geostationary satellites (non</w:t>
      </w:r>
      <w:r>
        <w:rPr>
          <w:lang w:val="en-US"/>
        </w:rPr>
        <w:noBreakHyphen/>
        <w:t>GSO), however there may be some geostationary satellite (GSO) applications;</w:t>
      </w:r>
    </w:p>
    <w:p w:rsidR="00720F4D" w:rsidRDefault="00720F4D" w:rsidP="00720F4D">
      <w:pPr>
        <w:rPr>
          <w:lang w:val="en-US"/>
        </w:rPr>
      </w:pPr>
      <w:r>
        <w:rPr>
          <w:lang w:val="en-US"/>
        </w:rPr>
        <w:t>g)</w:t>
      </w:r>
      <w:r>
        <w:rPr>
          <w:lang w:val="en-US"/>
        </w:rPr>
        <w:tab/>
        <w:t>that WRC</w:t>
      </w:r>
      <w:r>
        <w:rPr>
          <w:lang w:val="en-US"/>
        </w:rPr>
        <w:noBreakHyphen/>
        <w:t>97, in its Resolution 124 (WRC</w:t>
      </w:r>
      <w:r>
        <w:rPr>
          <w:lang w:val="en-US"/>
        </w:rPr>
        <w:noBreakHyphen/>
        <w:t>97), resolved to invite ITU</w:t>
      </w:r>
      <w:r>
        <w:rPr>
          <w:lang w:val="en-US"/>
        </w:rPr>
        <w:noBreakHyphen/>
        <w:t xml:space="preserve">R to study, as a matter of urgency, the required pfd limits to be applied to space stations of GSO </w:t>
      </w:r>
      <w:r>
        <w:rPr>
          <w:spacing w:val="2"/>
          <w:lang w:val="en-US"/>
        </w:rPr>
        <w:t>systems in the EESS (space-to-Earth) in the frequency band</w:t>
      </w:r>
      <w:r>
        <w:rPr>
          <w:lang w:val="en-US"/>
        </w:rPr>
        <w:t xml:space="preserve"> 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025-8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400 MHz where orbital avoidance has not been implemented by the fixed service sharing the band,</w:t>
      </w:r>
    </w:p>
    <w:p w:rsidR="00720F4D" w:rsidRDefault="00720F4D" w:rsidP="00720F4D">
      <w:pPr>
        <w:rPr>
          <w:lang w:val="en-US"/>
        </w:rPr>
      </w:pPr>
    </w:p>
    <w:p w:rsidR="00720F4D" w:rsidRDefault="00720F4D" w:rsidP="00720F4D">
      <w:pPr>
        <w:rPr>
          <w:lang w:val="en-US"/>
        </w:rPr>
      </w:pPr>
    </w:p>
    <w:p w:rsidR="00720F4D" w:rsidRDefault="00720F4D" w:rsidP="00720F4D">
      <w:pPr>
        <w:pStyle w:val="Call"/>
      </w:pPr>
      <w:r>
        <w:rPr>
          <w:lang w:val="en-US"/>
        </w:rPr>
        <w:br w:type="page"/>
      </w:r>
      <w:r>
        <w:lastRenderedPageBreak/>
        <w:t>recommends</w:t>
      </w:r>
    </w:p>
    <w:p w:rsidR="00720F4D" w:rsidRDefault="00720F4D" w:rsidP="00720F4D">
      <w:pPr>
        <w:rPr>
          <w:lang w:val="en-US"/>
        </w:rPr>
      </w:pPr>
      <w:r>
        <w:rPr>
          <w:b/>
          <w:bCs/>
          <w:lang w:val="en-US"/>
        </w:rPr>
        <w:t>1</w:t>
      </w:r>
      <w:r>
        <w:rPr>
          <w:lang w:val="en-US"/>
        </w:rPr>
        <w:tab/>
        <w:t>that, in the frequency band 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025-8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400 MHz shared between GSO systems in the EESS (space-to-Earth) and radio-relay systems in the fixed service, the spectral pfd produced at the surface of the Earth (Regions 1 and 3 only) by emissions from a satellite, for all conditions and methods of modulation, should not exceed (see Notes 1 and 2):</w:t>
      </w:r>
    </w:p>
    <w:p w:rsidR="00720F4D" w:rsidRDefault="00720F4D" w:rsidP="00720F4D">
      <w:pPr>
        <w:pStyle w:val="enumlev1"/>
        <w:tabs>
          <w:tab w:val="clear" w:pos="1191"/>
          <w:tab w:val="clear" w:pos="1588"/>
          <w:tab w:val="clear" w:pos="1985"/>
          <w:tab w:val="left" w:pos="2835"/>
          <w:tab w:val="left" w:pos="6120"/>
          <w:tab w:val="left" w:pos="6804"/>
          <w:tab w:val="left" w:pos="7088"/>
          <w:tab w:val="left" w:pos="7371"/>
          <w:tab w:val="left" w:pos="7655"/>
        </w:tabs>
        <w:rPr>
          <w:lang w:val="en-US"/>
        </w:rPr>
      </w:pPr>
      <w:r>
        <w:tab/>
      </w:r>
      <w:r>
        <w:rPr>
          <w:lang w:val="en-US"/>
        </w:rPr>
        <w:t>–135</w:t>
      </w:r>
      <w:r>
        <w:rPr>
          <w:lang w:val="en-US"/>
        </w:rPr>
        <w:tab/>
        <w:t>dB(W/m</w:t>
      </w:r>
      <w:r>
        <w:rPr>
          <w:vertAlign w:val="superscript"/>
          <w:lang w:val="en-US"/>
        </w:rPr>
        <w:t>2</w:t>
      </w:r>
      <w:r>
        <w:rPr>
          <w:lang w:val="en-US"/>
        </w:rPr>
        <w:t>) in any 1 MHz band</w:t>
      </w:r>
      <w:r>
        <w:rPr>
          <w:lang w:val="en-US"/>
        </w:rPr>
        <w:tab/>
        <w:t>for</w:t>
      </w:r>
      <w:r>
        <w:rPr>
          <w:lang w:val="en-US"/>
        </w:rPr>
        <w:tab/>
      </w:r>
      <w:r>
        <w:t> </w:t>
      </w:r>
      <w:r>
        <w:rPr>
          <w:lang w:val="en-US"/>
        </w:rPr>
        <w:t>0</w:t>
      </w:r>
      <w:r>
        <w:rPr>
          <w:rFonts w:ascii="Symbol" w:hAnsi="Symbol"/>
          <w:lang w:val="es-ES_tradnl"/>
        </w:rPr>
        <w:t></w:t>
      </w:r>
      <w:r>
        <w:rPr>
          <w:lang w:val="en-US"/>
        </w:rPr>
        <w:t xml:space="preserve">  </w:t>
      </w:r>
      <w:r>
        <w:rPr>
          <w:rFonts w:ascii="Symbol" w:hAnsi="Symbol"/>
        </w:rPr>
        <w:sym w:font="Symbol" w:char="F0A3"/>
      </w:r>
      <w:r>
        <w:rPr>
          <w:lang w:val="en-US"/>
        </w:rPr>
        <w:t xml:space="preserve">  </w:t>
      </w:r>
      <w:r>
        <w:rPr>
          <w:rFonts w:ascii="Symbol" w:hAnsi="Symbol"/>
        </w:rPr>
        <w:sym w:font="Symbol" w:char="F071"/>
      </w:r>
      <w:r>
        <w:rPr>
          <w:lang w:val="en-US"/>
        </w:rPr>
        <w:t xml:space="preserve">  &lt;  </w:t>
      </w:r>
      <w:r>
        <w:rPr>
          <w:lang w:val="es-ES_tradnl"/>
        </w:rPr>
        <w:t> </w:t>
      </w:r>
      <w:r>
        <w:rPr>
          <w:lang w:val="en-US"/>
        </w:rPr>
        <w:t>5</w:t>
      </w:r>
      <w:r>
        <w:rPr>
          <w:rFonts w:ascii="Symbol" w:hAnsi="Symbol"/>
        </w:rPr>
        <w:t></w:t>
      </w:r>
    </w:p>
    <w:p w:rsidR="00720F4D" w:rsidRDefault="00720F4D" w:rsidP="00720F4D">
      <w:pPr>
        <w:pStyle w:val="enumlev1"/>
        <w:tabs>
          <w:tab w:val="clear" w:pos="1191"/>
          <w:tab w:val="clear" w:pos="1588"/>
          <w:tab w:val="clear" w:pos="1985"/>
          <w:tab w:val="left" w:pos="2835"/>
          <w:tab w:val="left" w:pos="6120"/>
          <w:tab w:val="left" w:pos="6804"/>
          <w:tab w:val="left" w:pos="7088"/>
          <w:tab w:val="left" w:pos="7371"/>
          <w:tab w:val="left" w:pos="7655"/>
        </w:tabs>
        <w:rPr>
          <w:lang w:val="en-US"/>
        </w:rPr>
      </w:pPr>
      <w:r>
        <w:rPr>
          <w:lang w:val="en-US"/>
        </w:rPr>
        <w:tab/>
        <w:t>–135 </w:t>
      </w:r>
      <w:r>
        <w:rPr>
          <w:rFonts w:ascii="Symbol" w:hAnsi="Symbol"/>
        </w:rPr>
        <w:t></w:t>
      </w:r>
      <w:r>
        <w:rPr>
          <w:lang w:val="en-US"/>
        </w:rPr>
        <w:t> 0.5(</w:t>
      </w:r>
      <w:r>
        <w:sym w:font="Symbol" w:char="F071"/>
      </w:r>
      <w:r>
        <w:rPr>
          <w:lang w:val="en-US"/>
        </w:rPr>
        <w:t> – 5)</w:t>
      </w:r>
      <w:r>
        <w:rPr>
          <w:lang w:val="en-US"/>
        </w:rPr>
        <w:tab/>
        <w:t>dB(W/m</w:t>
      </w:r>
      <w:r>
        <w:rPr>
          <w:vertAlign w:val="superscript"/>
          <w:lang w:val="en-US"/>
        </w:rPr>
        <w:t>2</w:t>
      </w:r>
      <w:r>
        <w:rPr>
          <w:lang w:val="en-US"/>
        </w:rPr>
        <w:t>) in any 1 MHz band</w:t>
      </w:r>
      <w:r>
        <w:rPr>
          <w:lang w:val="en-US"/>
        </w:rPr>
        <w:tab/>
        <w:t>for</w:t>
      </w:r>
      <w:r>
        <w:rPr>
          <w:lang w:val="en-US"/>
        </w:rPr>
        <w:tab/>
      </w:r>
      <w:r>
        <w:t> </w:t>
      </w:r>
      <w:r>
        <w:rPr>
          <w:lang w:val="en-US"/>
        </w:rPr>
        <w:t>5</w:t>
      </w:r>
      <w:r>
        <w:rPr>
          <w:rFonts w:ascii="Symbol" w:hAnsi="Symbol"/>
          <w:lang w:val="es-ES_tradnl"/>
        </w:rPr>
        <w:t></w:t>
      </w:r>
      <w:r>
        <w:rPr>
          <w:lang w:val="en-US"/>
        </w:rPr>
        <w:t xml:space="preserve">  </w:t>
      </w:r>
      <w:r>
        <w:rPr>
          <w:rFonts w:ascii="Symbol" w:hAnsi="Symbol"/>
        </w:rPr>
        <w:sym w:font="Symbol" w:char="F0A3"/>
      </w:r>
      <w:r>
        <w:rPr>
          <w:lang w:val="en-US"/>
        </w:rPr>
        <w:t xml:space="preserve">  </w:t>
      </w:r>
      <w:r>
        <w:rPr>
          <w:rFonts w:ascii="Symbol" w:hAnsi="Symbol"/>
        </w:rPr>
        <w:sym w:font="Symbol" w:char="F071"/>
      </w:r>
      <w:r>
        <w:rPr>
          <w:lang w:val="en-US"/>
        </w:rPr>
        <w:t xml:space="preserve">  </w:t>
      </w:r>
      <w:r>
        <w:rPr>
          <w:rFonts w:ascii="Symbol" w:hAnsi="Symbol"/>
        </w:rPr>
        <w:t></w:t>
      </w:r>
      <w:r>
        <w:rPr>
          <w:lang w:val="en-US"/>
        </w:rPr>
        <w:t xml:space="preserve">  25</w:t>
      </w:r>
      <w:r>
        <w:rPr>
          <w:rFonts w:ascii="Symbol" w:hAnsi="Symbol"/>
        </w:rPr>
        <w:t></w:t>
      </w:r>
    </w:p>
    <w:p w:rsidR="00720F4D" w:rsidRDefault="00720F4D" w:rsidP="00720F4D">
      <w:pPr>
        <w:pStyle w:val="enumlev1"/>
        <w:tabs>
          <w:tab w:val="clear" w:pos="1191"/>
          <w:tab w:val="clear" w:pos="1588"/>
          <w:tab w:val="clear" w:pos="1985"/>
          <w:tab w:val="left" w:pos="2835"/>
          <w:tab w:val="left" w:pos="6120"/>
          <w:tab w:val="left" w:pos="6804"/>
          <w:tab w:val="left" w:pos="7088"/>
          <w:tab w:val="left" w:pos="7371"/>
          <w:tab w:val="left" w:pos="7655"/>
        </w:tabs>
        <w:rPr>
          <w:lang w:val="en-US"/>
        </w:rPr>
      </w:pPr>
      <w:r>
        <w:rPr>
          <w:lang w:val="en-US"/>
        </w:rPr>
        <w:tab/>
        <w:t>–125</w:t>
      </w:r>
      <w:r>
        <w:rPr>
          <w:lang w:val="en-US"/>
        </w:rPr>
        <w:tab/>
        <w:t>dB(W/m</w:t>
      </w:r>
      <w:r>
        <w:rPr>
          <w:vertAlign w:val="superscript"/>
          <w:lang w:val="en-US"/>
        </w:rPr>
        <w:t>2</w:t>
      </w:r>
      <w:r>
        <w:rPr>
          <w:lang w:val="en-US"/>
        </w:rPr>
        <w:t>) in any 1 MHz band</w:t>
      </w:r>
      <w:r>
        <w:rPr>
          <w:lang w:val="en-US"/>
        </w:rPr>
        <w:tab/>
        <w:t>for</w:t>
      </w:r>
      <w:r>
        <w:rPr>
          <w:lang w:val="en-US"/>
        </w:rPr>
        <w:tab/>
        <w:t>25</w:t>
      </w:r>
      <w:r>
        <w:rPr>
          <w:rFonts w:ascii="Symbol" w:hAnsi="Symbol"/>
          <w:lang w:val="es-ES_tradnl"/>
        </w:rPr>
        <w:t></w:t>
      </w:r>
      <w:r>
        <w:rPr>
          <w:lang w:val="en-US"/>
        </w:rPr>
        <w:t xml:space="preserve">  </w:t>
      </w:r>
      <w:r>
        <w:rPr>
          <w:rFonts w:ascii="Symbol" w:hAnsi="Symbol"/>
        </w:rPr>
        <w:sym w:font="Symbol" w:char="F0A3"/>
      </w:r>
      <w:r>
        <w:rPr>
          <w:lang w:val="en-US"/>
        </w:rPr>
        <w:t xml:space="preserve">  </w:t>
      </w:r>
      <w:r>
        <w:rPr>
          <w:rFonts w:ascii="Symbol" w:hAnsi="Symbol"/>
        </w:rPr>
        <w:sym w:font="Symbol" w:char="F071"/>
      </w:r>
      <w:r>
        <w:rPr>
          <w:lang w:val="en-US"/>
        </w:rPr>
        <w:t xml:space="preserve">  </w:t>
      </w:r>
      <w:r>
        <w:rPr>
          <w:rFonts w:ascii="Symbol" w:hAnsi="Symbol"/>
        </w:rPr>
        <w:sym w:font="Symbol" w:char="F0A3"/>
      </w:r>
      <w:r>
        <w:rPr>
          <w:lang w:val="en-US"/>
        </w:rPr>
        <w:t xml:space="preserve">  90</w:t>
      </w:r>
      <w:r>
        <w:rPr>
          <w:rFonts w:ascii="Symbol" w:hAnsi="Symbol"/>
        </w:rPr>
        <w:t></w:t>
      </w:r>
    </w:p>
    <w:p w:rsidR="00720F4D" w:rsidRDefault="00720F4D" w:rsidP="00720F4D">
      <w:pPr>
        <w:rPr>
          <w:lang w:val="en-US"/>
        </w:rPr>
      </w:pPr>
      <w:r>
        <w:rPr>
          <w:lang w:val="en-US"/>
        </w:rPr>
        <w:t xml:space="preserve">where </w:t>
      </w:r>
      <w:r>
        <w:rPr>
          <w:rFonts w:ascii="Symbol" w:hAnsi="Symbol"/>
        </w:rPr>
        <w:t></w:t>
      </w:r>
      <w:r>
        <w:rPr>
          <w:lang w:val="en-US"/>
        </w:rPr>
        <w:t xml:space="preserve"> is the angle of arrival of the radio-frequency wave (degrees above the horizontal plane);</w:t>
      </w:r>
    </w:p>
    <w:p w:rsidR="00720F4D" w:rsidRDefault="00720F4D" w:rsidP="00720F4D">
      <w:pPr>
        <w:rPr>
          <w:lang w:val="en-US"/>
        </w:rPr>
      </w:pPr>
      <w:r>
        <w:rPr>
          <w:b/>
          <w:bCs/>
          <w:lang w:val="en-US"/>
        </w:rPr>
        <w:t>2</w:t>
      </w:r>
      <w:r>
        <w:rPr>
          <w:lang w:val="en-US"/>
        </w:rPr>
        <w:tab/>
        <w:t>that the aforementioned limits relate to the pfd and angles of arrival which would be obtained under free-space propagation conditions.</w:t>
      </w:r>
    </w:p>
    <w:p w:rsidR="00720F4D" w:rsidRDefault="00720F4D" w:rsidP="00720F4D">
      <w:pPr>
        <w:rPr>
          <w:lang w:val="en-US"/>
        </w:rPr>
      </w:pPr>
      <w:r>
        <w:rPr>
          <w:lang w:val="en-US"/>
        </w:rPr>
        <w:t xml:space="preserve">NOTE 1 – The pfd limits in </w:t>
      </w:r>
      <w:r>
        <w:rPr>
          <w:i/>
          <w:iCs/>
          <w:lang w:val="en-US"/>
        </w:rPr>
        <w:t>recommends</w:t>
      </w:r>
      <w:r>
        <w:rPr>
          <w:lang w:val="en-US"/>
        </w:rPr>
        <w:t xml:space="preserve"> 1 have been derived in response to the request stated in Resolution 124 (WRC</w:t>
      </w:r>
      <w:r>
        <w:rPr>
          <w:lang w:val="en-US"/>
        </w:rPr>
        <w:noBreakHyphen/>
        <w:t>97) and are intended for consideration by a future world radio</w:t>
      </w:r>
      <w:r>
        <w:rPr>
          <w:lang w:val="en-US"/>
        </w:rPr>
        <w:softHyphen/>
        <w:t>communication conference which may wish to use this Recommendation in order to replace the limits contained in RR No. 5.462A. For Region 2 and for non-GSO systems in Regions 1 and 3 in the band 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025-8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400 MHz, the pfd limits in Table 21-4 of the RR will continue to apply.</w:t>
      </w:r>
    </w:p>
    <w:p w:rsidR="00934ED7" w:rsidRDefault="00720F4D" w:rsidP="00720F4D">
      <w:pPr>
        <w:rPr>
          <w:lang w:val="en-US"/>
        </w:rPr>
      </w:pPr>
      <w:r>
        <w:rPr>
          <w:lang w:val="en-US"/>
        </w:rPr>
        <w:t>NOTE 2</w:t>
      </w:r>
      <w:bookmarkStart w:id="3" w:name="dsgno"/>
      <w:bookmarkEnd w:id="3"/>
      <w:r>
        <w:rPr>
          <w:lang w:val="en-US"/>
        </w:rPr>
        <w:t xml:space="preserve"> – In deriving the pfd limits in </w:t>
      </w:r>
      <w:r>
        <w:rPr>
          <w:i/>
          <w:iCs/>
          <w:lang w:val="en-US"/>
        </w:rPr>
        <w:t>recommends</w:t>
      </w:r>
      <w:r>
        <w:rPr>
          <w:lang w:val="en-US"/>
        </w:rPr>
        <w:t xml:space="preserve"> 1, consideration was given to the fact that many fixed wireless systems in Regions 1 and 3 had been established before 1997 when GSO orbital avoidance was not required and, therefore, it was found that if the pfd limits given in Table 21</w:t>
      </w:r>
      <w:r>
        <w:rPr>
          <w:lang w:val="en-US"/>
        </w:rPr>
        <w:noBreakHyphen/>
        <w:t>4 of the RR are applied without change, an excessive interference will be caused to fixed wireless systems at low angles of arrival.</w:t>
      </w:r>
    </w:p>
    <w:p w:rsidR="00720F4D" w:rsidRDefault="00720F4D" w:rsidP="00720F4D">
      <w:pPr>
        <w:rPr>
          <w:lang w:val="en-US"/>
        </w:rPr>
      </w:pPr>
    </w:p>
    <w:p w:rsidR="00720F4D" w:rsidRDefault="00720F4D" w:rsidP="00720F4D">
      <w:pPr>
        <w:rPr>
          <w:lang w:val="en-US"/>
        </w:rPr>
      </w:pPr>
    </w:p>
    <w:p w:rsidR="00720F4D" w:rsidRPr="00BF487A" w:rsidRDefault="00720F4D" w:rsidP="00720F4D">
      <w:pPr>
        <w:pStyle w:val="Line"/>
      </w:pPr>
    </w:p>
    <w:sectPr w:rsidR="00720F4D" w:rsidRPr="00BF487A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BF4" w:rsidRDefault="00057BF4">
      <w:r>
        <w:separator/>
      </w:r>
    </w:p>
  </w:endnote>
  <w:endnote w:type="continuationSeparator" w:id="0">
    <w:p w:rsidR="00057BF4" w:rsidRDefault="00057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BF4" w:rsidRDefault="00057BF4">
      <w:r>
        <w:separator/>
      </w:r>
    </w:p>
  </w:footnote>
  <w:footnote w:type="continuationSeparator" w:id="0">
    <w:p w:rsidR="00057BF4" w:rsidRDefault="00057BF4">
      <w:r>
        <w:continuationSeparator/>
      </w:r>
    </w:p>
  </w:footnote>
  <w:footnote w:id="1">
    <w:p w:rsidR="006701E7" w:rsidRDefault="006701E7" w:rsidP="006701E7">
      <w:pPr>
        <w:pStyle w:val="FootnoteText"/>
        <w:rPr>
          <w:lang w:val="en-US"/>
        </w:rPr>
      </w:pPr>
      <w:r>
        <w:rPr>
          <w:rStyle w:val="FootnoteReference"/>
          <w:lang w:val="en-US"/>
        </w:rPr>
        <w:t>*</w:t>
      </w:r>
      <w:r>
        <w:rPr>
          <w:lang w:val="en-US"/>
        </w:rPr>
        <w:tab/>
        <w:t>This Recommendation should be brought to the attention of Radiocommunication Study Group 7.</w:t>
      </w:r>
    </w:p>
  </w:footnote>
  <w:footnote w:id="2">
    <w:p w:rsidR="006701E7" w:rsidRDefault="006701E7" w:rsidP="006701E7">
      <w:pPr>
        <w:pStyle w:val="FootnoteText"/>
        <w:rPr>
          <w:lang w:val="en-US"/>
        </w:rPr>
      </w:pPr>
      <w:r>
        <w:rPr>
          <w:rStyle w:val="FootnoteReference"/>
          <w:lang w:val="en-US"/>
        </w:rPr>
        <w:t>**</w:t>
      </w:r>
      <w:r>
        <w:rPr>
          <w:lang w:val="en-US"/>
        </w:rPr>
        <w:tab/>
        <w:t>Radiocommunication Study Group 9 made editorial amendments to this Recommendation in 2004.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4F" w:rsidRDefault="007D224F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4F" w:rsidRDefault="00413059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4F" w:rsidRPr="00FC42AF" w:rsidRDefault="00A17F1B">
    <w:pPr>
      <w:pStyle w:val="Header"/>
      <w:jc w:val="left"/>
    </w:pPr>
    <w:r>
      <w:rPr>
        <w:rStyle w:val="PageNumber"/>
        <w:b/>
        <w:bCs/>
      </w:rPr>
      <w:fldChar w:fldCharType="begin"/>
    </w:r>
    <w:r w:rsidR="007D224F"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B3E63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="007D224F" w:rsidRPr="00FC42AF">
      <w:tab/>
    </w:r>
    <w:fldSimple w:instr=" DOCPROPERTY &quot;Header&quot; \* MERGEFORMAT ">
      <w:r w:rsidR="006701E7" w:rsidRPr="006701E7">
        <w:rPr>
          <w:b/>
          <w:bCs/>
        </w:rPr>
        <w:t xml:space="preserve">Rec. </w:t>
      </w:r>
    </w:fldSimple>
    <w:r w:rsidR="007D224F">
      <w:rPr>
        <w:b/>
        <w:bCs/>
      </w:rPr>
      <w:t xml:space="preserve"> </w:t>
    </w:r>
    <w:r>
      <w:rPr>
        <w:b/>
        <w:bCs/>
      </w:rPr>
      <w:fldChar w:fldCharType="begin"/>
    </w:r>
    <w:r w:rsidR="007D224F"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4B3E63">
      <w:rPr>
        <w:b/>
        <w:bCs/>
        <w:noProof/>
      </w:rPr>
      <w:t>ITU-R  F.1502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4F" w:rsidRDefault="007D224F">
    <w:pPr>
      <w:pStyle w:val="Header"/>
    </w:pPr>
    <w:r>
      <w:tab/>
    </w:r>
    <w:fldSimple w:instr=" DOCPROPERTY &quot;Header&quot; \* MERGEFORMAT ">
      <w:r w:rsidR="006701E7" w:rsidRPr="006701E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A17F1B">
      <w:rPr>
        <w:b/>
        <w:bCs/>
      </w:rPr>
      <w:fldChar w:fldCharType="begin"/>
    </w:r>
    <w:r>
      <w:rPr>
        <w:b/>
        <w:bCs/>
      </w:rPr>
      <w:instrText>styleref href</w:instrText>
    </w:r>
    <w:r w:rsidR="00A17F1B">
      <w:rPr>
        <w:b/>
        <w:bCs/>
      </w:rPr>
      <w:fldChar w:fldCharType="separate"/>
    </w:r>
    <w:r w:rsidR="004B3E63">
      <w:rPr>
        <w:b/>
        <w:bCs/>
        <w:noProof/>
      </w:rPr>
      <w:t>ITU-R  F.1502</w:t>
    </w:r>
    <w:r w:rsidR="00A17F1B">
      <w:rPr>
        <w:b/>
        <w:bCs/>
      </w:rPr>
      <w:fldChar w:fldCharType="end"/>
    </w:r>
    <w:r>
      <w:tab/>
    </w:r>
    <w:r w:rsidR="00A17F1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17F1B">
      <w:rPr>
        <w:rStyle w:val="PageNumber"/>
        <w:b/>
        <w:bCs/>
      </w:rPr>
      <w:fldChar w:fldCharType="separate"/>
    </w:r>
    <w:r w:rsidR="004B3E63">
      <w:rPr>
        <w:rStyle w:val="PageNumber"/>
        <w:b/>
        <w:bCs/>
        <w:noProof/>
      </w:rPr>
      <w:t>1</w:t>
    </w:r>
    <w:r w:rsidR="00A17F1B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92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13002"/>
    <w:rsid w:val="00036EE3"/>
    <w:rsid w:val="00057BF4"/>
    <w:rsid w:val="00072484"/>
    <w:rsid w:val="00096612"/>
    <w:rsid w:val="000A4386"/>
    <w:rsid w:val="000B7683"/>
    <w:rsid w:val="000D0677"/>
    <w:rsid w:val="000E6A6E"/>
    <w:rsid w:val="00102934"/>
    <w:rsid w:val="00123703"/>
    <w:rsid w:val="00147110"/>
    <w:rsid w:val="001511A6"/>
    <w:rsid w:val="002058CE"/>
    <w:rsid w:val="002165F1"/>
    <w:rsid w:val="00276D21"/>
    <w:rsid w:val="00296D7F"/>
    <w:rsid w:val="002B3CF6"/>
    <w:rsid w:val="002C768A"/>
    <w:rsid w:val="002D76C4"/>
    <w:rsid w:val="002F5199"/>
    <w:rsid w:val="00356B5D"/>
    <w:rsid w:val="00413059"/>
    <w:rsid w:val="00420DFD"/>
    <w:rsid w:val="00437A76"/>
    <w:rsid w:val="00470E28"/>
    <w:rsid w:val="004934C5"/>
    <w:rsid w:val="004B3E63"/>
    <w:rsid w:val="004F65E4"/>
    <w:rsid w:val="00556548"/>
    <w:rsid w:val="00586EF8"/>
    <w:rsid w:val="005B49AB"/>
    <w:rsid w:val="005B50E7"/>
    <w:rsid w:val="005E7B4F"/>
    <w:rsid w:val="00601882"/>
    <w:rsid w:val="00607D68"/>
    <w:rsid w:val="00613212"/>
    <w:rsid w:val="006149B1"/>
    <w:rsid w:val="006701E7"/>
    <w:rsid w:val="00677965"/>
    <w:rsid w:val="00680D2B"/>
    <w:rsid w:val="00681B32"/>
    <w:rsid w:val="006A75CC"/>
    <w:rsid w:val="006B1D2B"/>
    <w:rsid w:val="006E1131"/>
    <w:rsid w:val="006E2037"/>
    <w:rsid w:val="006E6199"/>
    <w:rsid w:val="00712870"/>
    <w:rsid w:val="00720F4D"/>
    <w:rsid w:val="007256F8"/>
    <w:rsid w:val="00743D85"/>
    <w:rsid w:val="00753CF4"/>
    <w:rsid w:val="007565CC"/>
    <w:rsid w:val="00763B9A"/>
    <w:rsid w:val="00794726"/>
    <w:rsid w:val="007A6AA8"/>
    <w:rsid w:val="007D224F"/>
    <w:rsid w:val="00807436"/>
    <w:rsid w:val="008310C9"/>
    <w:rsid w:val="00853CC5"/>
    <w:rsid w:val="008C1BAC"/>
    <w:rsid w:val="008C7848"/>
    <w:rsid w:val="00906589"/>
    <w:rsid w:val="00906AD6"/>
    <w:rsid w:val="00917AF2"/>
    <w:rsid w:val="0092418A"/>
    <w:rsid w:val="00934ED7"/>
    <w:rsid w:val="009543C3"/>
    <w:rsid w:val="00966E1B"/>
    <w:rsid w:val="009947C0"/>
    <w:rsid w:val="009F2D2C"/>
    <w:rsid w:val="00A17F1B"/>
    <w:rsid w:val="00A31928"/>
    <w:rsid w:val="00A51727"/>
    <w:rsid w:val="00A62A14"/>
    <w:rsid w:val="00A6617B"/>
    <w:rsid w:val="00A71FE5"/>
    <w:rsid w:val="00A971A1"/>
    <w:rsid w:val="00AA3AD8"/>
    <w:rsid w:val="00AB0DC8"/>
    <w:rsid w:val="00AC5993"/>
    <w:rsid w:val="00AE27A1"/>
    <w:rsid w:val="00B033C8"/>
    <w:rsid w:val="00B33425"/>
    <w:rsid w:val="00B44E24"/>
    <w:rsid w:val="00B54ECC"/>
    <w:rsid w:val="00B714F3"/>
    <w:rsid w:val="00B87B6B"/>
    <w:rsid w:val="00BC5D77"/>
    <w:rsid w:val="00BF487A"/>
    <w:rsid w:val="00C46BD9"/>
    <w:rsid w:val="00C55258"/>
    <w:rsid w:val="00C73560"/>
    <w:rsid w:val="00CB0F14"/>
    <w:rsid w:val="00CD659B"/>
    <w:rsid w:val="00CE0A43"/>
    <w:rsid w:val="00CE7A98"/>
    <w:rsid w:val="00D83556"/>
    <w:rsid w:val="00DF4176"/>
    <w:rsid w:val="00E17240"/>
    <w:rsid w:val="00E406BD"/>
    <w:rsid w:val="00E74595"/>
    <w:rsid w:val="00EB7C57"/>
    <w:rsid w:val="00ED2695"/>
    <w:rsid w:val="00F30C9B"/>
    <w:rsid w:val="00F354B1"/>
    <w:rsid w:val="00FB0E4E"/>
    <w:rsid w:val="00FC42AF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92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305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41305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13059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13059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1305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13059"/>
    <w:pPr>
      <w:outlineLvl w:val="4"/>
    </w:pPr>
  </w:style>
  <w:style w:type="paragraph" w:styleId="Heading6">
    <w:name w:val="heading 6"/>
    <w:basedOn w:val="Heading4"/>
    <w:next w:val="Normal"/>
    <w:qFormat/>
    <w:rsid w:val="0041305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13059"/>
    <w:pPr>
      <w:outlineLvl w:val="6"/>
    </w:pPr>
  </w:style>
  <w:style w:type="paragraph" w:styleId="Heading8">
    <w:name w:val="heading 8"/>
    <w:basedOn w:val="Heading6"/>
    <w:next w:val="Normal"/>
    <w:qFormat/>
    <w:rsid w:val="00413059"/>
    <w:pPr>
      <w:outlineLvl w:val="7"/>
    </w:pPr>
  </w:style>
  <w:style w:type="paragraph" w:styleId="Heading9">
    <w:name w:val="heading 9"/>
    <w:basedOn w:val="Heading6"/>
    <w:next w:val="Normal"/>
    <w:qFormat/>
    <w:rsid w:val="0041305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305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1305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13059"/>
  </w:style>
  <w:style w:type="paragraph" w:customStyle="1" w:styleId="Headingb">
    <w:name w:val="Heading_b"/>
    <w:basedOn w:val="Heading3"/>
    <w:next w:val="Normal"/>
    <w:rsid w:val="0041305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1305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13059"/>
  </w:style>
  <w:style w:type="paragraph" w:customStyle="1" w:styleId="AnnexNoTitle">
    <w:name w:val="Annex_NoTitle"/>
    <w:basedOn w:val="Normal"/>
    <w:next w:val="Normalaftertitle"/>
    <w:rsid w:val="00413059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413059"/>
    <w:pPr>
      <w:spacing w:before="320"/>
    </w:pPr>
  </w:style>
  <w:style w:type="paragraph" w:customStyle="1" w:styleId="enumlev2">
    <w:name w:val="enumlev2"/>
    <w:basedOn w:val="enumlev1"/>
    <w:rsid w:val="00413059"/>
    <w:pPr>
      <w:ind w:left="1191" w:hanging="397"/>
    </w:pPr>
  </w:style>
  <w:style w:type="paragraph" w:customStyle="1" w:styleId="enumlev1">
    <w:name w:val="enumlev1"/>
    <w:basedOn w:val="Normal"/>
    <w:rsid w:val="00413059"/>
    <w:pPr>
      <w:spacing w:before="80"/>
      <w:ind w:left="794" w:hanging="794"/>
    </w:pPr>
  </w:style>
  <w:style w:type="paragraph" w:customStyle="1" w:styleId="enumlev3">
    <w:name w:val="enumlev3"/>
    <w:basedOn w:val="enumlev2"/>
    <w:rsid w:val="00413059"/>
    <w:pPr>
      <w:ind w:left="1588"/>
    </w:pPr>
  </w:style>
  <w:style w:type="paragraph" w:customStyle="1" w:styleId="Note">
    <w:name w:val="Note"/>
    <w:basedOn w:val="Normal"/>
    <w:rsid w:val="00413059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413059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413059"/>
    <w:pPr>
      <w:jc w:val="center"/>
    </w:pPr>
  </w:style>
  <w:style w:type="paragraph" w:customStyle="1" w:styleId="Recdate">
    <w:name w:val="Rec_date"/>
    <w:basedOn w:val="Recref"/>
    <w:next w:val="Normalaftertitle"/>
    <w:rsid w:val="00413059"/>
    <w:pPr>
      <w:jc w:val="right"/>
    </w:pPr>
  </w:style>
  <w:style w:type="paragraph" w:customStyle="1" w:styleId="HeadingSum">
    <w:name w:val="Heading_Sum"/>
    <w:basedOn w:val="Headingb"/>
    <w:next w:val="Normal"/>
    <w:rsid w:val="00413059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413059"/>
  </w:style>
  <w:style w:type="paragraph" w:customStyle="1" w:styleId="Tablefin">
    <w:name w:val="Table_fin"/>
    <w:basedOn w:val="Normal"/>
    <w:next w:val="Normal"/>
    <w:rsid w:val="0041305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1305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41305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41305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1305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41305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1305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13059"/>
    <w:pPr>
      <w:ind w:left="794"/>
    </w:pPr>
  </w:style>
  <w:style w:type="paragraph" w:customStyle="1" w:styleId="Figurelegend">
    <w:name w:val="Figure_legend"/>
    <w:basedOn w:val="Normal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1305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1305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13059"/>
    <w:pPr>
      <w:keepNext w:val="0"/>
      <w:spacing w:before="0" w:after="240"/>
    </w:pPr>
  </w:style>
  <w:style w:type="paragraph" w:customStyle="1" w:styleId="tocpart">
    <w:name w:val="tocpart"/>
    <w:basedOn w:val="Normal"/>
    <w:rsid w:val="0041305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1305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1305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1305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41305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13059"/>
    <w:rPr>
      <w:b/>
    </w:rPr>
  </w:style>
  <w:style w:type="paragraph" w:customStyle="1" w:styleId="Chaptitle">
    <w:name w:val="Chap_title"/>
    <w:basedOn w:val="Arttitle"/>
    <w:next w:val="Normalaftertitle"/>
    <w:rsid w:val="00413059"/>
  </w:style>
  <w:style w:type="character" w:styleId="FootnoteReference">
    <w:name w:val="footnote reference"/>
    <w:basedOn w:val="DefaultParagraphFont"/>
    <w:semiHidden/>
    <w:rsid w:val="00413059"/>
    <w:rPr>
      <w:position w:val="6"/>
      <w:sz w:val="18"/>
    </w:rPr>
  </w:style>
  <w:style w:type="paragraph" w:styleId="FootnoteText">
    <w:name w:val="footnote text"/>
    <w:basedOn w:val="Normal"/>
    <w:semiHidden/>
    <w:rsid w:val="00413059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413059"/>
  </w:style>
  <w:style w:type="paragraph" w:styleId="Index2">
    <w:name w:val="index 2"/>
    <w:basedOn w:val="Normal"/>
    <w:next w:val="Normal"/>
    <w:semiHidden/>
    <w:rsid w:val="00413059"/>
    <w:pPr>
      <w:ind w:left="283"/>
    </w:pPr>
  </w:style>
  <w:style w:type="paragraph" w:styleId="Index3">
    <w:name w:val="index 3"/>
    <w:basedOn w:val="Normal"/>
    <w:next w:val="Normal"/>
    <w:semiHidden/>
    <w:rsid w:val="00413059"/>
    <w:pPr>
      <w:ind w:left="566"/>
    </w:pPr>
  </w:style>
  <w:style w:type="paragraph" w:styleId="IndexHeading">
    <w:name w:val="index heading"/>
    <w:basedOn w:val="Normal"/>
    <w:next w:val="Index1"/>
    <w:semiHidden/>
    <w:rsid w:val="00413059"/>
  </w:style>
  <w:style w:type="paragraph" w:customStyle="1" w:styleId="Line">
    <w:name w:val="Line"/>
    <w:basedOn w:val="Normal"/>
    <w:next w:val="Normal"/>
    <w:rsid w:val="0041305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1305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13059"/>
  </w:style>
  <w:style w:type="paragraph" w:customStyle="1" w:styleId="Partref">
    <w:name w:val="Part_ref"/>
    <w:basedOn w:val="Normal"/>
    <w:next w:val="Normal"/>
    <w:rsid w:val="0041305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13059"/>
  </w:style>
  <w:style w:type="paragraph" w:customStyle="1" w:styleId="QuestionNo">
    <w:name w:val="Question_No"/>
    <w:basedOn w:val="RecNo"/>
    <w:next w:val="Normal"/>
    <w:rsid w:val="00413059"/>
  </w:style>
  <w:style w:type="paragraph" w:customStyle="1" w:styleId="Questionref">
    <w:name w:val="Question_ref"/>
    <w:basedOn w:val="Recref"/>
    <w:next w:val="Questiondate"/>
    <w:rsid w:val="00413059"/>
  </w:style>
  <w:style w:type="paragraph" w:customStyle="1" w:styleId="Questiontitle">
    <w:name w:val="Question_title"/>
    <w:basedOn w:val="Normal"/>
    <w:next w:val="Questionref"/>
    <w:rsid w:val="00413059"/>
  </w:style>
  <w:style w:type="paragraph" w:customStyle="1" w:styleId="Reftext">
    <w:name w:val="Ref_text"/>
    <w:basedOn w:val="Normal"/>
    <w:rsid w:val="00413059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41305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13059"/>
  </w:style>
  <w:style w:type="paragraph" w:customStyle="1" w:styleId="RepNo">
    <w:name w:val="Rep_No"/>
    <w:basedOn w:val="RecNo"/>
    <w:next w:val="Reptitle"/>
    <w:rsid w:val="00413059"/>
  </w:style>
  <w:style w:type="paragraph" w:customStyle="1" w:styleId="Reptitle">
    <w:name w:val="Rep_title"/>
    <w:basedOn w:val="Rectitle"/>
    <w:next w:val="Repref"/>
    <w:rsid w:val="00413059"/>
  </w:style>
  <w:style w:type="paragraph" w:customStyle="1" w:styleId="Repref">
    <w:name w:val="Rep_ref"/>
    <w:basedOn w:val="Recref"/>
    <w:next w:val="Repdate"/>
    <w:rsid w:val="00413059"/>
  </w:style>
  <w:style w:type="paragraph" w:customStyle="1" w:styleId="Resdate">
    <w:name w:val="Res_date"/>
    <w:basedOn w:val="Recdate"/>
    <w:next w:val="Normalaftertitle"/>
    <w:rsid w:val="00413059"/>
  </w:style>
  <w:style w:type="paragraph" w:customStyle="1" w:styleId="ResNo">
    <w:name w:val="Res_No"/>
    <w:basedOn w:val="RecNo"/>
    <w:next w:val="Restitle"/>
    <w:rsid w:val="00413059"/>
  </w:style>
  <w:style w:type="paragraph" w:customStyle="1" w:styleId="Restitle">
    <w:name w:val="Res_title"/>
    <w:basedOn w:val="Normal"/>
    <w:next w:val="Resref"/>
    <w:rsid w:val="00413059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13059"/>
  </w:style>
  <w:style w:type="paragraph" w:customStyle="1" w:styleId="SectionNo">
    <w:name w:val="Section_No"/>
    <w:basedOn w:val="Normal"/>
    <w:next w:val="Normal"/>
    <w:rsid w:val="00413059"/>
  </w:style>
  <w:style w:type="paragraph" w:customStyle="1" w:styleId="Sectiontitle">
    <w:name w:val="Section_title"/>
    <w:basedOn w:val="Normal"/>
    <w:next w:val="Normalaftertitle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1305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1305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1305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1305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1305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13059"/>
  </w:style>
  <w:style w:type="paragraph" w:styleId="TOC6">
    <w:name w:val="toc 6"/>
    <w:basedOn w:val="TOC4"/>
    <w:semiHidden/>
    <w:rsid w:val="00413059"/>
  </w:style>
  <w:style w:type="paragraph" w:styleId="TOC7">
    <w:name w:val="toc 7"/>
    <w:basedOn w:val="TOC4"/>
    <w:semiHidden/>
    <w:rsid w:val="00413059"/>
  </w:style>
  <w:style w:type="paragraph" w:styleId="TOC8">
    <w:name w:val="toc 8"/>
    <w:basedOn w:val="TOC4"/>
    <w:semiHidden/>
    <w:rsid w:val="00413059"/>
  </w:style>
  <w:style w:type="paragraph" w:customStyle="1" w:styleId="Annexref">
    <w:name w:val="Annex_ref"/>
    <w:basedOn w:val="Normal"/>
    <w:next w:val="Normalaftertitle"/>
    <w:rsid w:val="0041305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13059"/>
  </w:style>
  <w:style w:type="paragraph" w:customStyle="1" w:styleId="Tabletitle">
    <w:name w:val="Table_title"/>
    <w:basedOn w:val="Normal"/>
    <w:next w:val="Tablehead"/>
    <w:rsid w:val="0041305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13059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13059"/>
    <w:pPr>
      <w:ind w:left="-85" w:firstLine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</TotalTime>
  <Pages>4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5912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santosbo</cp:lastModifiedBy>
  <cp:revision>4</cp:revision>
  <cp:lastPrinted>2009-06-26T13:19:00Z</cp:lastPrinted>
  <dcterms:created xsi:type="dcterms:W3CDTF">2010-07-12T11:46:00Z</dcterms:created>
  <dcterms:modified xsi:type="dcterms:W3CDTF">2010-07-12T12:01:00Z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