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F4806" w:rsidRPr="008D5825" w:rsidTr="00C81B0D">
        <w:tc>
          <w:tcPr>
            <w:tcW w:w="10089" w:type="dxa"/>
          </w:tcPr>
          <w:p w:rsidR="001F4806" w:rsidRPr="008D5825" w:rsidRDefault="001F4806" w:rsidP="008D58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1F4806" w:rsidRPr="008D5825" w:rsidRDefault="001F4806" w:rsidP="008D58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F. 1497-2</w:t>
            </w:r>
          </w:p>
          <w:p w:rsidR="001F4806" w:rsidRPr="008D5825" w:rsidRDefault="001F4806" w:rsidP="008D582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8D58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(02/2014)</w:t>
            </w:r>
          </w:p>
        </w:tc>
      </w:tr>
      <w:tr w:rsidR="001F4806" w:rsidRPr="00130853" w:rsidTr="00C81B0D">
        <w:tc>
          <w:tcPr>
            <w:tcW w:w="10089" w:type="dxa"/>
          </w:tcPr>
          <w:p w:rsidR="001F4806" w:rsidRPr="008D5825" w:rsidRDefault="001F4806" w:rsidP="008D582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1F4806" w:rsidRPr="008D5825" w:rsidRDefault="001F4806" w:rsidP="008D582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Disposición</w:t>
            </w:r>
            <w:r w:rsidRPr="008D5825">
              <w:rPr>
                <w:color w:val="243285"/>
                <w:lang w:val="es-ES_tradnl"/>
              </w:rPr>
              <w:t xml:space="preserve"> </w:t>
            </w: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de</w:t>
            </w:r>
            <w:r w:rsidRPr="008D5825">
              <w:rPr>
                <w:color w:val="243285"/>
                <w:lang w:val="es-ES_tradnl"/>
              </w:rPr>
              <w:t xml:space="preserve"> </w:t>
            </w: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radiocanales</w:t>
            </w:r>
            <w:r w:rsidRPr="008D5825">
              <w:rPr>
                <w:color w:val="243285"/>
                <w:lang w:val="es-ES_tradnl"/>
              </w:rPr>
              <w:t xml:space="preserve"> </w:t>
            </w: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para los sistemas</w:t>
            </w: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>inalámbricos fijos que funcionan</w:t>
            </w: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>en la banda 55,78-66 GHz</w:t>
            </w:r>
          </w:p>
          <w:p w:rsidR="001F4806" w:rsidRPr="008D5825" w:rsidRDefault="001F4806" w:rsidP="008D582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1F4806" w:rsidRPr="008D5825" w:rsidTr="00C81B0D">
        <w:tc>
          <w:tcPr>
            <w:tcW w:w="10089" w:type="dxa"/>
          </w:tcPr>
          <w:p w:rsidR="001F4806" w:rsidRPr="008D5825" w:rsidRDefault="001F4806" w:rsidP="008D582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1F4806" w:rsidRPr="008D5825" w:rsidRDefault="001F4806" w:rsidP="008D582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1F4806" w:rsidRPr="008D5825" w:rsidRDefault="001F4806" w:rsidP="008D582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1F4806" w:rsidRPr="008D5825" w:rsidRDefault="001F4806" w:rsidP="008D58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F</w:t>
            </w:r>
          </w:p>
          <w:p w:rsidR="001F4806" w:rsidRPr="008D5825" w:rsidRDefault="001F4806" w:rsidP="008D5825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8D58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spacing w:before="80"/>
        <w:rPr>
          <w:i/>
          <w:sz w:val="22"/>
          <w:lang w:val="es-ES_tradnl"/>
        </w:rPr>
      </w:pPr>
    </w:p>
    <w:p w:rsidR="001F4806" w:rsidRPr="008D5825" w:rsidRDefault="001F4806" w:rsidP="008D582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1F4806" w:rsidRPr="008D5825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F4806" w:rsidRPr="008D5825" w:rsidRDefault="001F4806" w:rsidP="008D5825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8D5825">
        <w:rPr>
          <w:bCs/>
          <w:sz w:val="24"/>
          <w:szCs w:val="24"/>
          <w:lang w:val="es-ES_tradnl"/>
        </w:rPr>
        <w:lastRenderedPageBreak/>
        <w:t>Prólogo</w:t>
      </w:r>
    </w:p>
    <w:p w:rsidR="001F4806" w:rsidRPr="008D5825" w:rsidRDefault="001F4806" w:rsidP="008D5825">
      <w:pPr>
        <w:spacing w:before="180"/>
        <w:rPr>
          <w:sz w:val="20"/>
          <w:lang w:val="es-ES_tradnl"/>
        </w:rPr>
      </w:pPr>
      <w:r w:rsidRPr="008D5825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1F4806" w:rsidRPr="008D5825" w:rsidRDefault="001F4806" w:rsidP="008D5825">
      <w:pPr>
        <w:rPr>
          <w:sz w:val="20"/>
          <w:lang w:val="es-ES_tradnl"/>
        </w:rPr>
      </w:pPr>
      <w:r w:rsidRPr="008D5825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1F4806" w:rsidRPr="008D5825" w:rsidRDefault="001F4806" w:rsidP="008D5825">
      <w:pPr>
        <w:pStyle w:val="Heading1"/>
        <w:spacing w:before="340"/>
        <w:jc w:val="center"/>
        <w:rPr>
          <w:szCs w:val="24"/>
          <w:lang w:val="es-ES_tradnl"/>
        </w:rPr>
      </w:pPr>
      <w:r w:rsidRPr="008D5825">
        <w:rPr>
          <w:lang w:val="es-ES_tradnl"/>
        </w:rPr>
        <w:t>Política sobre Derechos de Propiedad Intelectual</w:t>
      </w:r>
      <w:r w:rsidRPr="008D5825">
        <w:rPr>
          <w:szCs w:val="24"/>
          <w:lang w:val="es-ES_tradnl"/>
        </w:rPr>
        <w:t xml:space="preserve"> (IPR)</w:t>
      </w:r>
    </w:p>
    <w:p w:rsidR="001F4806" w:rsidRPr="008D5825" w:rsidRDefault="001F4806" w:rsidP="008D5825">
      <w:pPr>
        <w:spacing w:before="180"/>
        <w:rPr>
          <w:sz w:val="20"/>
          <w:lang w:val="es-ES_tradnl"/>
        </w:rPr>
      </w:pPr>
      <w:r w:rsidRPr="008D5825">
        <w:rPr>
          <w:sz w:val="20"/>
          <w:lang w:val="es-ES_tradnl"/>
        </w:rPr>
        <w:t>La política del UIT</w:t>
      </w:r>
      <w:r w:rsidRPr="008D5825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8D5825">
        <w:rPr>
          <w:sz w:val="20"/>
          <w:lang w:val="es-ES_tradnl"/>
        </w:rPr>
        <w:noBreakHyphen/>
        <w:t>T/UIT</w:t>
      </w:r>
      <w:r w:rsidRPr="008D5825">
        <w:rPr>
          <w:sz w:val="20"/>
          <w:lang w:val="es-ES_tradnl"/>
        </w:rPr>
        <w:noBreakHyphen/>
        <w:t>R/ISO/CEI a la que se hace referencia en el Anexo 1 a la Resolución UIT</w:t>
      </w:r>
      <w:r w:rsidRPr="008D5825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r w:rsidR="00545CCB">
        <w:fldChar w:fldCharType="begin"/>
      </w:r>
      <w:r w:rsidR="00545CCB" w:rsidRPr="00130853">
        <w:rPr>
          <w:lang w:val="es-ES_tradnl"/>
        </w:rPr>
        <w:instrText xml:space="preserve"> HYPERLINK "http://www.itu.int/ITU-R/go/patents/es" </w:instrText>
      </w:r>
      <w:r w:rsidR="00545CCB">
        <w:fldChar w:fldCharType="separate"/>
      </w:r>
      <w:r w:rsidRPr="008D5825">
        <w:rPr>
          <w:rStyle w:val="Hyperlink"/>
          <w:sz w:val="20"/>
          <w:lang w:val="es-ES_tradnl"/>
        </w:rPr>
        <w:t>http://www.itu.int/ITU-R/go/patents/es</w:t>
      </w:r>
      <w:r w:rsidR="00545CCB">
        <w:rPr>
          <w:rStyle w:val="Hyperlink"/>
          <w:sz w:val="20"/>
          <w:lang w:val="es-ES_tradnl"/>
        </w:rPr>
        <w:fldChar w:fldCharType="end"/>
      </w:r>
      <w:r w:rsidRPr="008D5825">
        <w:rPr>
          <w:sz w:val="20"/>
          <w:lang w:val="es-ES_tradnl"/>
        </w:rPr>
        <w:t>, donde también aparecen las Directrices para la implementación de la Política Común de Patentes UIT</w:t>
      </w:r>
      <w:r w:rsidRPr="008D5825">
        <w:rPr>
          <w:sz w:val="20"/>
          <w:lang w:val="es-ES_tradnl"/>
        </w:rPr>
        <w:noBreakHyphen/>
        <w:t>T/UIT</w:t>
      </w:r>
      <w:r w:rsidRPr="008D5825">
        <w:rPr>
          <w:sz w:val="20"/>
          <w:lang w:val="es-ES_tradnl"/>
        </w:rPr>
        <w:noBreakHyphen/>
        <w:t>R/ISO/CEI y la base de datos sobre información de patentes del UIT</w:t>
      </w:r>
      <w:r w:rsidRPr="008D5825">
        <w:rPr>
          <w:sz w:val="20"/>
          <w:lang w:val="es-ES_tradnl"/>
        </w:rPr>
        <w:noBreakHyphen/>
        <w:t>R sobre este asunto.</w:t>
      </w:r>
    </w:p>
    <w:p w:rsidR="001F4806" w:rsidRPr="008D5825" w:rsidRDefault="001F4806" w:rsidP="008D5825">
      <w:pPr>
        <w:spacing w:before="0"/>
        <w:jc w:val="center"/>
        <w:rPr>
          <w:sz w:val="22"/>
          <w:lang w:val="es-ES_tradnl"/>
        </w:rPr>
      </w:pPr>
    </w:p>
    <w:p w:rsidR="001F4806" w:rsidRPr="008D5825" w:rsidRDefault="001F4806" w:rsidP="008D5825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1F4806" w:rsidRPr="00130853" w:rsidTr="00C81B0D">
        <w:tc>
          <w:tcPr>
            <w:tcW w:w="9360" w:type="dxa"/>
            <w:gridSpan w:val="2"/>
          </w:tcPr>
          <w:p w:rsidR="001F4806" w:rsidRPr="008D5825" w:rsidRDefault="001F4806" w:rsidP="008D582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8D5825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1F4806" w:rsidRPr="008D5825" w:rsidRDefault="001F4806" w:rsidP="008D582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8D5825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545CCB">
              <w:fldChar w:fldCharType="begin"/>
            </w:r>
            <w:r w:rsidR="00545CCB" w:rsidRPr="00130853">
              <w:rPr>
                <w:lang w:val="es-ES_tradnl"/>
              </w:rPr>
              <w:instrText xml:space="preserve"> HYPERLINK "http://www.itu.int/publ/R-REC/es" </w:instrText>
            </w:r>
            <w:r w:rsidR="00545CCB">
              <w:fldChar w:fldCharType="separate"/>
            </w:r>
            <w:r w:rsidRPr="008D5825">
              <w:rPr>
                <w:rStyle w:val="Hyperlink"/>
                <w:b w:val="0"/>
                <w:bCs/>
                <w:sz w:val="18"/>
                <w:szCs w:val="18"/>
                <w:lang w:val="es-ES_tradnl"/>
              </w:rPr>
              <w:t>http://www.itu.int/publ/R-REC/es</w:t>
            </w:r>
            <w:r w:rsidR="00545CCB">
              <w:rPr>
                <w:rStyle w:val="Hyperlink"/>
                <w:b w:val="0"/>
                <w:bCs/>
                <w:sz w:val="18"/>
                <w:szCs w:val="18"/>
                <w:lang w:val="es-ES_tradnl"/>
              </w:rPr>
              <w:fldChar w:fldCharType="end"/>
            </w:r>
            <w:r w:rsidRPr="008D5825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1F4806" w:rsidRPr="008D5825" w:rsidTr="00C81B0D">
        <w:tc>
          <w:tcPr>
            <w:tcW w:w="1140" w:type="dxa"/>
            <w:tcBorders>
              <w:bottom w:val="nil"/>
            </w:tcBorders>
          </w:tcPr>
          <w:p w:rsidR="001F4806" w:rsidRPr="008D5825" w:rsidRDefault="001F4806" w:rsidP="008D5825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1F4806" w:rsidRPr="008D5825" w:rsidRDefault="001F4806" w:rsidP="008D582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Título</w:t>
            </w:r>
          </w:p>
        </w:tc>
      </w:tr>
      <w:tr w:rsidR="001F4806" w:rsidRPr="008D5825" w:rsidTr="00C81B0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8D5825">
              <w:rPr>
                <w:b w:val="0"/>
                <w:sz w:val="20"/>
                <w:lang w:val="es-ES_tradnl"/>
              </w:rPr>
              <w:t>Distribución por satélite</w:t>
            </w:r>
          </w:p>
        </w:tc>
      </w:tr>
      <w:tr w:rsidR="001F4806" w:rsidRPr="00130853" w:rsidTr="00C81B0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8D5825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1F4806" w:rsidRPr="008D5825" w:rsidTr="00C81B0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8D5825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1F4806" w:rsidRPr="008D5825" w:rsidTr="00C81B0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8D5825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1F4806" w:rsidRPr="008D5825" w:rsidTr="00C81B0D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8D5825">
              <w:rPr>
                <w:b/>
                <w:bCs/>
                <w:color w:val="000080"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1F4806" w:rsidRPr="008D5825" w:rsidRDefault="001F4806" w:rsidP="008D582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es-ES_tradnl"/>
              </w:rPr>
            </w:pPr>
            <w:r w:rsidRPr="008D5825">
              <w:rPr>
                <w:b/>
                <w:bCs/>
                <w:color w:val="000080"/>
                <w:sz w:val="20"/>
                <w:lang w:val="es-ES_tradnl"/>
              </w:rPr>
              <w:t>Servicio fijo</w:t>
            </w:r>
          </w:p>
        </w:tc>
      </w:tr>
      <w:tr w:rsidR="001F4806" w:rsidRPr="00130853" w:rsidTr="00C81B0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8D5825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F4806" w:rsidRPr="008D5825" w:rsidRDefault="001F4806" w:rsidP="008D582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8D5825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8D5825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8D5825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8D5825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8D5825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8D5825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8D5825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8D5825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8D5825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1F4806" w:rsidRPr="00130853" w:rsidTr="00C81B0D">
        <w:tc>
          <w:tcPr>
            <w:tcW w:w="1140" w:type="dxa"/>
            <w:tcBorders>
              <w:top w:val="nil"/>
            </w:tcBorders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1F4806" w:rsidRPr="008D5825" w:rsidRDefault="001F4806" w:rsidP="008D5825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1F4806" w:rsidRPr="008D5825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1F4806" w:rsidRPr="00130853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1F4806" w:rsidRPr="008D5825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1F4806" w:rsidRPr="008D5825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1F4806" w:rsidRPr="00130853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1F4806" w:rsidRPr="008D5825" w:rsidTr="00C81B0D">
        <w:tc>
          <w:tcPr>
            <w:tcW w:w="1140" w:type="dxa"/>
            <w:shd w:val="clear" w:color="auto" w:fill="auto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1F4806" w:rsidRPr="008D5825" w:rsidRDefault="001F4806" w:rsidP="008D5825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Gestión del espectro</w:t>
            </w:r>
          </w:p>
        </w:tc>
      </w:tr>
      <w:tr w:rsidR="001F4806" w:rsidRPr="008D5825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1F4806" w:rsidRPr="00130853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1F4806" w:rsidRPr="008D5825" w:rsidTr="00C81B0D">
        <w:tc>
          <w:tcPr>
            <w:tcW w:w="1140" w:type="dxa"/>
          </w:tcPr>
          <w:p w:rsidR="001F4806" w:rsidRPr="008D5825" w:rsidRDefault="001F4806" w:rsidP="008D582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D5825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1F4806" w:rsidRPr="008D5825" w:rsidRDefault="001F4806" w:rsidP="008D5825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8D5825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:rsidR="001F4806" w:rsidRPr="008D5825" w:rsidRDefault="001F4806" w:rsidP="008D5825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1F4806" w:rsidRPr="008D5825" w:rsidTr="00C81B0D">
        <w:tc>
          <w:tcPr>
            <w:tcW w:w="720" w:type="dxa"/>
          </w:tcPr>
          <w:p w:rsidR="001F4806" w:rsidRPr="008D5825" w:rsidRDefault="001F4806" w:rsidP="008D5825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1F4806" w:rsidRPr="00130853" w:rsidTr="00C81B0D">
        <w:tc>
          <w:tcPr>
            <w:tcW w:w="9360" w:type="dxa"/>
          </w:tcPr>
          <w:p w:rsidR="001F4806" w:rsidRPr="008D5825" w:rsidRDefault="001F4806" w:rsidP="008D5825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8D5825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8D5825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8D5825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1F4806" w:rsidRPr="008D5825" w:rsidRDefault="001F4806" w:rsidP="008D5825">
      <w:pPr>
        <w:spacing w:before="0"/>
        <w:jc w:val="center"/>
        <w:rPr>
          <w:sz w:val="22"/>
          <w:lang w:val="es-ES_tradnl"/>
        </w:rPr>
      </w:pPr>
    </w:p>
    <w:p w:rsidR="001F4806" w:rsidRPr="008D5825" w:rsidRDefault="001F4806" w:rsidP="008D5825">
      <w:pPr>
        <w:spacing w:before="60"/>
        <w:jc w:val="right"/>
        <w:rPr>
          <w:i/>
          <w:iCs/>
          <w:sz w:val="20"/>
          <w:lang w:val="es-ES_tradnl"/>
        </w:rPr>
      </w:pPr>
      <w:r w:rsidRPr="008D5825">
        <w:rPr>
          <w:i/>
          <w:iCs/>
          <w:sz w:val="20"/>
          <w:lang w:val="es-ES_tradnl"/>
        </w:rPr>
        <w:t>Publicación electrónica</w:t>
      </w:r>
    </w:p>
    <w:p w:rsidR="001F4806" w:rsidRPr="008D5825" w:rsidRDefault="001F4806" w:rsidP="008D5825">
      <w:pPr>
        <w:spacing w:before="0" w:after="40"/>
        <w:jc w:val="right"/>
        <w:rPr>
          <w:sz w:val="20"/>
          <w:lang w:val="es-ES_tradnl"/>
        </w:rPr>
      </w:pPr>
      <w:r w:rsidRPr="008D5825">
        <w:rPr>
          <w:sz w:val="20"/>
          <w:lang w:val="es-ES_tradnl"/>
        </w:rPr>
        <w:t>Ginebra, 2015</w:t>
      </w:r>
    </w:p>
    <w:p w:rsidR="001F4806" w:rsidRPr="008D5825" w:rsidRDefault="001F4806" w:rsidP="008D5825">
      <w:pPr>
        <w:spacing w:before="0"/>
        <w:jc w:val="center"/>
        <w:rPr>
          <w:sz w:val="22"/>
          <w:lang w:val="es-ES_tradnl"/>
        </w:rPr>
      </w:pPr>
    </w:p>
    <w:p w:rsidR="001F4806" w:rsidRPr="008D5825" w:rsidRDefault="001F4806" w:rsidP="008D5825">
      <w:pPr>
        <w:spacing w:before="0"/>
        <w:jc w:val="center"/>
        <w:rPr>
          <w:sz w:val="20"/>
          <w:lang w:val="es-ES_tradnl"/>
        </w:rPr>
      </w:pPr>
      <w:r w:rsidRPr="008D5825">
        <w:rPr>
          <w:sz w:val="20"/>
          <w:lang w:val="es-ES_tradnl"/>
        </w:rPr>
        <w:sym w:font="Symbol" w:char="F0E3"/>
      </w:r>
      <w:r w:rsidRPr="008D5825">
        <w:rPr>
          <w:sz w:val="20"/>
          <w:lang w:val="es-ES_tradnl"/>
        </w:rPr>
        <w:t xml:space="preserve"> UIT </w:t>
      </w:r>
      <w:bookmarkStart w:id="1" w:name="iiannee"/>
      <w:bookmarkEnd w:id="1"/>
      <w:r w:rsidRPr="008D5825">
        <w:rPr>
          <w:sz w:val="20"/>
          <w:lang w:val="es-ES_tradnl"/>
        </w:rPr>
        <w:t>2015</w:t>
      </w:r>
    </w:p>
    <w:p w:rsidR="001F4806" w:rsidRPr="008D5825" w:rsidRDefault="001F4806" w:rsidP="008D5825">
      <w:pPr>
        <w:spacing w:before="80"/>
        <w:rPr>
          <w:sz w:val="18"/>
          <w:szCs w:val="18"/>
          <w:lang w:val="es-ES_tradnl"/>
        </w:rPr>
      </w:pPr>
      <w:r w:rsidRPr="008D5825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1F4806" w:rsidRPr="008D5825" w:rsidRDefault="001F4806" w:rsidP="008D5825">
      <w:pPr>
        <w:spacing w:before="160"/>
        <w:rPr>
          <w:i/>
          <w:sz w:val="20"/>
          <w:highlight w:val="yellow"/>
          <w:lang w:val="es-ES_tradnl"/>
        </w:rPr>
        <w:sectPr w:rsidR="001F4806" w:rsidRPr="008D5825" w:rsidSect="00C81B0D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1F4806" w:rsidRPr="008D5825" w:rsidRDefault="001F4806" w:rsidP="00741EC8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8D5825">
        <w:rPr>
          <w:lang w:val="es-ES_tradnl"/>
        </w:rPr>
        <w:lastRenderedPageBreak/>
        <w:t xml:space="preserve">RECOMENDACIÓN  </w:t>
      </w:r>
      <w:r w:rsidRPr="008D5825">
        <w:rPr>
          <w:rStyle w:val="href"/>
          <w:lang w:val="es-ES_tradnl"/>
        </w:rPr>
        <w:t>UIT-R  F.1</w:t>
      </w:r>
      <w:r w:rsidR="00741EC8">
        <w:rPr>
          <w:rStyle w:val="href"/>
          <w:lang w:val="es-ES_tradnl"/>
        </w:rPr>
        <w:t>497-2</w:t>
      </w:r>
    </w:p>
    <w:p w:rsidR="001F4806" w:rsidRPr="008D5825" w:rsidRDefault="001F4806" w:rsidP="008D5825">
      <w:pPr>
        <w:pStyle w:val="Rectitle"/>
        <w:rPr>
          <w:lang w:val="es-ES_tradnl"/>
        </w:rPr>
      </w:pPr>
      <w:bookmarkStart w:id="3" w:name="Pre_title"/>
      <w:r w:rsidRPr="008D5825">
        <w:rPr>
          <w:lang w:val="es-ES_tradnl"/>
        </w:rPr>
        <w:t xml:space="preserve">Disposición de radiocanales para los sistemas inalámbricos fijos </w:t>
      </w:r>
      <w:r w:rsidRPr="008D5825">
        <w:rPr>
          <w:lang w:val="es-ES_tradnl"/>
        </w:rPr>
        <w:br/>
        <w:t>que funcionan en la banda 55,78-66 GHz</w:t>
      </w:r>
      <w:bookmarkEnd w:id="3"/>
    </w:p>
    <w:p w:rsidR="001F4806" w:rsidRDefault="001F4806" w:rsidP="008D5825">
      <w:pPr>
        <w:pStyle w:val="Recref"/>
        <w:rPr>
          <w:lang w:val="es-ES_tradnl"/>
        </w:rPr>
      </w:pPr>
      <w:bookmarkStart w:id="4" w:name="Related_Questions"/>
      <w:r w:rsidRPr="008D5825">
        <w:rPr>
          <w:lang w:val="es-ES_tradnl"/>
        </w:rPr>
        <w:t>(Cuestión UIT-R 247/5)</w:t>
      </w:r>
      <w:bookmarkEnd w:id="4"/>
    </w:p>
    <w:p w:rsidR="009232AE" w:rsidRPr="006D7724" w:rsidRDefault="009232AE" w:rsidP="009232AE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Recdate"/>
        <w:rPr>
          <w:lang w:val="es-ES_tradnl"/>
        </w:rPr>
      </w:pPr>
      <w:bookmarkStart w:id="5" w:name="Revision_history"/>
      <w:r w:rsidRPr="008D5825">
        <w:rPr>
          <w:lang w:val="es-ES_tradnl"/>
        </w:rPr>
        <w:t>(2000-2002-2014)</w:t>
      </w:r>
      <w:bookmarkEnd w:id="5"/>
    </w:p>
    <w:p w:rsidR="009232AE" w:rsidRPr="006D7724" w:rsidRDefault="009232AE" w:rsidP="009232AE">
      <w:pPr>
        <w:pStyle w:val="Blanc"/>
        <w:rPr>
          <w:lang w:val="es-ES_tradnl"/>
        </w:rPr>
      </w:pPr>
      <w:bookmarkStart w:id="6" w:name="_GoBack"/>
      <w:bookmarkEnd w:id="6"/>
    </w:p>
    <w:p w:rsidR="001F4806" w:rsidRPr="008D5825" w:rsidRDefault="001F4806" w:rsidP="008D5825">
      <w:pPr>
        <w:pStyle w:val="HeadingSum"/>
      </w:pPr>
      <w:r w:rsidRPr="008D5825">
        <w:t>Cometido</w:t>
      </w:r>
    </w:p>
    <w:p w:rsidR="001F4806" w:rsidRPr="008D5825" w:rsidRDefault="001F4806" w:rsidP="008D5825">
      <w:pPr>
        <w:pStyle w:val="Summary"/>
      </w:pPr>
      <w:r w:rsidRPr="008D5825">
        <w:t>En la presente Recomendación se especifica la disposición de radiocanales para los sistemas inalámbricos fijos que utilizan DDT (dúplex por división en el tiempo) y DDF (dúplex por división de frecuencias) con una separación entre canales de 3,5, 7, 14, 28, 30, 50 y 56 MHz en la gama 55,78</w:t>
      </w:r>
      <w:r w:rsidRPr="008D5825">
        <w:noBreakHyphen/>
        <w:t>66 GHz, cuyos segmentos se han identificado para aplicaciones de alta densidad en el servicio fijo (SFAD).</w:t>
      </w:r>
    </w:p>
    <w:p w:rsidR="009232AE" w:rsidRPr="006D7724" w:rsidRDefault="009232AE" w:rsidP="009232AE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Headingb"/>
        <w:rPr>
          <w:lang w:val="es-ES_tradnl"/>
        </w:rPr>
      </w:pPr>
      <w:r w:rsidRPr="008D5825">
        <w:rPr>
          <w:lang w:val="es-ES_tradnl"/>
        </w:rPr>
        <w:t>Términos</w:t>
      </w:r>
    </w:p>
    <w:p w:rsidR="001F4806" w:rsidRPr="008D5825" w:rsidRDefault="001F4806" w:rsidP="008D5825">
      <w:pPr>
        <w:spacing w:after="480"/>
        <w:rPr>
          <w:lang w:val="es-ES_tradnl"/>
        </w:rPr>
      </w:pPr>
      <w:r w:rsidRPr="008D5825">
        <w:rPr>
          <w:lang w:val="es-ES_tradnl"/>
        </w:rPr>
        <w:t>Servicio fijo, disposición de canales de radiofrecuencia, absorción de oxígeno, dúplex por división de frecuencias (DDF), dúplex por división en el tiempo (DDT), banda de guarda.</w:t>
      </w:r>
    </w:p>
    <w:p w:rsidR="001F4806" w:rsidRPr="008D5825" w:rsidRDefault="001F4806" w:rsidP="008D5825">
      <w:pPr>
        <w:pStyle w:val="Normalaftertitle"/>
        <w:rPr>
          <w:lang w:val="es-ES_tradnl"/>
        </w:rPr>
      </w:pPr>
      <w:r w:rsidRPr="008D5825">
        <w:rPr>
          <w:lang w:val="es-ES_tradnl"/>
        </w:rPr>
        <w:t>La Asamblea de Radiocomunicaciones de la UIT,</w:t>
      </w:r>
    </w:p>
    <w:p w:rsidR="001F4806" w:rsidRPr="008D5825" w:rsidRDefault="001F4806" w:rsidP="008D5825">
      <w:pPr>
        <w:pStyle w:val="Call"/>
        <w:rPr>
          <w:lang w:val="es-ES_tradnl"/>
        </w:rPr>
      </w:pPr>
      <w:r w:rsidRPr="008D5825">
        <w:rPr>
          <w:lang w:val="es-ES_tradnl"/>
        </w:rPr>
        <w:t>considerando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a)</w:t>
      </w:r>
      <w:r w:rsidRPr="008D5825">
        <w:rPr>
          <w:lang w:val="es-ES_tradnl"/>
        </w:rPr>
        <w:tab/>
        <w:t>que la gama de frecuencias 55,78</w:t>
      </w:r>
      <w:r w:rsidRPr="008D5825">
        <w:rPr>
          <w:lang w:val="es-ES_tradnl"/>
        </w:rPr>
        <w:noBreakHyphen/>
        <w:t xml:space="preserve">66 GHz está atribuida mundialmente al servicio fijo y a otros servicios que comparten diferentes segmentos de esa banda a título </w:t>
      </w:r>
      <w:proofErr w:type="spellStart"/>
      <w:r w:rsidRPr="008D5825">
        <w:rPr>
          <w:lang w:val="es-ES_tradnl"/>
        </w:rPr>
        <w:t>coprimario</w:t>
      </w:r>
      <w:proofErr w:type="spellEnd"/>
      <w:r w:rsidRPr="008D5825">
        <w:rPr>
          <w:lang w:val="es-ES_tradnl"/>
        </w:rPr>
        <w:t>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b)</w:t>
      </w:r>
      <w:r w:rsidRPr="008D5825">
        <w:rPr>
          <w:lang w:val="es-ES_tradnl"/>
        </w:rPr>
        <w:tab/>
        <w:t>que las bandas 55,78-59 GHz y 64-66 GHZ se utilizan para aplicaciones de alta densidad en el servicio fijo (SF);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c)</w:t>
      </w:r>
      <w:r w:rsidRPr="008D5825">
        <w:rPr>
          <w:lang w:val="es-ES_tradnl"/>
        </w:rPr>
        <w:tab/>
        <w:t>que en la gama de frecuencias 55,78</w:t>
      </w:r>
      <w:r w:rsidRPr="008D5825">
        <w:rPr>
          <w:lang w:val="es-ES_tradnl"/>
        </w:rPr>
        <w:noBreakHyphen/>
        <w:t xml:space="preserve">66 GHz se puede lograr una </w:t>
      </w:r>
      <w:proofErr w:type="spellStart"/>
      <w:r w:rsidRPr="008D5825">
        <w:rPr>
          <w:lang w:val="es-ES_tradnl"/>
        </w:rPr>
        <w:t>directividad</w:t>
      </w:r>
      <w:proofErr w:type="spellEnd"/>
      <w:r w:rsidRPr="008D5825">
        <w:rPr>
          <w:lang w:val="es-ES_tradnl"/>
        </w:rPr>
        <w:t xml:space="preserve"> elevada incluso con antenas pequeñas, lo que permite aumentar la densidad de equipos y reducir aún más el riesgo de interferencia con el mismo o con otros servicios de radiocomunicaciones;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d)</w:t>
      </w:r>
      <w:r w:rsidRPr="008D5825">
        <w:rPr>
          <w:lang w:val="es-ES_tradnl"/>
        </w:rPr>
        <w:tab/>
        <w:t>que las características de propagación en esta gama de frecuencias se ven afectadas considerablemente por la atenuación debida a la absorción de oxígeno y, en particular, el segmento central 57-64 GHz de la banda presenta una elevada atenuación, lo que facilita el despliegue de numerosos enlaces fijos digitales de corto alcance de manera no coordinada;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e)</w:t>
      </w:r>
      <w:r w:rsidRPr="008D5825">
        <w:rPr>
          <w:lang w:val="es-ES_tradnl"/>
        </w:rPr>
        <w:tab/>
        <w:t>que el UIT</w:t>
      </w:r>
      <w:r w:rsidRPr="008D5825">
        <w:rPr>
          <w:lang w:val="es-ES_tradnl"/>
        </w:rPr>
        <w:noBreakHyphen/>
        <w:t>R ha establecido disposiciones de radiocanales para utilizar el espectro disponible de la forma más eficaz posible;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f)</w:t>
      </w:r>
      <w:r w:rsidRPr="008D5825">
        <w:rPr>
          <w:lang w:val="es-ES_tradnl"/>
        </w:rPr>
        <w:tab/>
        <w:t>que las distintas aplicaciones que han recibido licencias de varias administraciones pueden exigir distintas disposiciones de radiocanales;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g)</w:t>
      </w:r>
      <w:r w:rsidRPr="008D5825">
        <w:rPr>
          <w:lang w:val="es-ES_tradnl"/>
        </w:rPr>
        <w:tab/>
        <w:t>que las aplicaciones en esta banda de frecuencias pueden requerir diferentes anchuras de banda de canal;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h)</w:t>
      </w:r>
      <w:r w:rsidRPr="008D5825">
        <w:rPr>
          <w:lang w:val="es-ES_tradnl"/>
        </w:rPr>
        <w:tab/>
        <w:t>que en esta banda de frecuencias pueden funcionar simultáneamente varios servicios radioeléctricos con distintas características y capacidades de la señal de transmisión;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i)</w:t>
      </w:r>
      <w:r w:rsidRPr="008D5825">
        <w:rPr>
          <w:lang w:val="es-ES_tradnl"/>
        </w:rPr>
        <w:tab/>
        <w:t>que debido a las diferencias en la propagación y en las condiciones de compartición, cada segmento de la gama 55,78</w:t>
      </w:r>
      <w:r w:rsidRPr="008D5825">
        <w:rPr>
          <w:lang w:val="es-ES_tradnl"/>
        </w:rPr>
        <w:noBreakHyphen/>
        <w:t>66 GHz puede requerir distintas consideraciones reglamentarias para su utilización;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lastRenderedPageBreak/>
        <w:t>j)</w:t>
      </w:r>
      <w:r w:rsidRPr="008D5825">
        <w:rPr>
          <w:lang w:val="es-ES_tradnl"/>
        </w:rPr>
        <w:tab/>
        <w:t>que puede lograrse un alto grado de compatibilidad entre los canales de radiofrecuencia de diferentes disposiciones seleccionando las frecuencias centrales de canal dentro</w:t>
      </w:r>
      <w:r w:rsidR="009232AE">
        <w:rPr>
          <w:lang w:val="es-ES_tradnl"/>
        </w:rPr>
        <w:t xml:space="preserve"> de un esquema básico homogéneo;</w:t>
      </w:r>
    </w:p>
    <w:p w:rsidR="009232AE" w:rsidRDefault="009232AE" w:rsidP="009232AE">
      <w:pPr>
        <w:rPr>
          <w:lang w:val="es-ES_tradnl"/>
        </w:rPr>
      </w:pPr>
      <w:r w:rsidRPr="009232AE">
        <w:rPr>
          <w:i/>
          <w:iCs/>
          <w:lang w:val="es-ES_tradnl"/>
        </w:rPr>
        <w:t>k)</w:t>
      </w:r>
      <w:r>
        <w:rPr>
          <w:lang w:val="es-ES_tradnl"/>
        </w:rPr>
        <w:tab/>
        <w:t>que puede lograrse un alto grado de compatibilidad entre los canales de radiofrecuencia de diferentes disposiciones seleccionando las frecuencias centrales de canal dentro de un esquema básico homogéneo,</w:t>
      </w:r>
    </w:p>
    <w:p w:rsidR="001F4806" w:rsidRPr="008D5825" w:rsidRDefault="001F4806" w:rsidP="008D5825">
      <w:pPr>
        <w:pStyle w:val="Call"/>
        <w:rPr>
          <w:lang w:val="es-ES_tradnl"/>
        </w:rPr>
      </w:pPr>
      <w:r w:rsidRPr="008D5825">
        <w:rPr>
          <w:lang w:val="es-ES_tradnl"/>
        </w:rPr>
        <w:t>reconociendo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que para poder proteger las estaciones del servicio de exploración de la Tierra por satélite (pasivo) en la banda 55,78-56,26 GHz, el Reglamento de Radiocomunicaciones limita la máxima densidad de potencia que suministra el transmisor a la antena de una estación del servicio fijo a −26 dB(W/MHz),</w:t>
      </w:r>
    </w:p>
    <w:p w:rsidR="001F4806" w:rsidRPr="008D5825" w:rsidRDefault="001F4806" w:rsidP="008D5825">
      <w:pPr>
        <w:pStyle w:val="Call"/>
        <w:rPr>
          <w:lang w:val="es-ES_tradnl"/>
        </w:rPr>
      </w:pPr>
      <w:r w:rsidRPr="008D5825">
        <w:rPr>
          <w:lang w:val="es-ES_tradnl"/>
        </w:rPr>
        <w:t>observando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a)</w:t>
      </w:r>
      <w:r w:rsidRPr="008D5825">
        <w:rPr>
          <w:lang w:val="es-ES_tradnl"/>
        </w:rPr>
        <w:tab/>
        <w:t>que los sistemas dúplex por división de frecuencia (DDF) y dúplex por división en el tiempo (DDT) pueden utilizarse simultáneamente en la misma zona geográfica, siempre que se apliquen medidas suficientes que permitan la coordinación satisfactoria;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b)</w:t>
      </w:r>
      <w:r w:rsidRPr="008D5825">
        <w:rPr>
          <w:lang w:val="es-ES_tradnl"/>
        </w:rPr>
        <w:tab/>
        <w:t>que la elevada atenuación adicional debida a la absorción de oxígeno limita efectivamente la longitud del trayecto y el nivel de interferencia que pueden lograrse;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i/>
          <w:iCs/>
          <w:lang w:val="es-ES_tradnl"/>
        </w:rPr>
        <w:t>c)</w:t>
      </w:r>
      <w:r w:rsidRPr="008D5825">
        <w:rPr>
          <w:lang w:val="es-ES_tradnl"/>
        </w:rPr>
        <w:tab/>
        <w:t>que, incluso sin coordinación, el equipo debe escuchar hasta encontrar un canal libre antes de la transmisión para reconocer las transmisiones existentes, a fin de reducir al mínimo los problemas de interferencia y garantizar el funcionamiento continuo de las transmisiones existentes,</w:t>
      </w:r>
    </w:p>
    <w:p w:rsidR="001F4806" w:rsidRPr="008D5825" w:rsidRDefault="001F4806" w:rsidP="008D5825">
      <w:pPr>
        <w:pStyle w:val="Call"/>
        <w:rPr>
          <w:lang w:val="es-ES_tradnl"/>
        </w:rPr>
      </w:pPr>
      <w:r w:rsidRPr="008D5825">
        <w:rPr>
          <w:lang w:val="es-ES_tradnl"/>
        </w:rPr>
        <w:t>recomienda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b/>
          <w:bCs/>
          <w:lang w:val="es-ES_tradnl"/>
        </w:rPr>
        <w:t>1</w:t>
      </w:r>
      <w:r w:rsidRPr="008D5825">
        <w:rPr>
          <w:lang w:val="es-ES_tradnl"/>
        </w:rPr>
        <w:tab/>
        <w:t>que las administraciones consideren la disposición de canales que figura en el § 1 del Anexo 1 para el despliegue de sistemas del servicio fijo DDT en la gama de frecuencias 55,78</w:t>
      </w:r>
      <w:r w:rsidRPr="008D5825">
        <w:rPr>
          <w:lang w:val="es-ES_tradnl"/>
        </w:rPr>
        <w:noBreakHyphen/>
        <w:t>57 GHz (véase la Nota 1);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b/>
          <w:bCs/>
          <w:lang w:val="es-ES_tradnl"/>
        </w:rPr>
        <w:t>2</w:t>
      </w:r>
      <w:r w:rsidRPr="008D5825">
        <w:rPr>
          <w:lang w:val="es-ES_tradnl"/>
        </w:rPr>
        <w:tab/>
        <w:t>que las administraciones consideren la disposición de canales que figura en el § 2 del Anexo 1 para el despliegue de sistemas del servicio fijo DDF en la gama de frecuencias 55,78</w:t>
      </w:r>
      <w:r w:rsidRPr="008D5825">
        <w:rPr>
          <w:lang w:val="es-ES_tradnl"/>
        </w:rPr>
        <w:noBreakHyphen/>
        <w:t>57 GHz (véase la Nota 1);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b/>
          <w:bCs/>
          <w:lang w:val="es-ES_tradnl"/>
        </w:rPr>
        <w:t>3</w:t>
      </w:r>
      <w:r w:rsidRPr="008D5825">
        <w:rPr>
          <w:lang w:val="es-ES_tradnl"/>
        </w:rPr>
        <w:tab/>
        <w:t>que las administraciones que deseen implantar un plan específico de radio frecuencias tomen en consideración la disposición de canales del Anexo 2 para el despliegue de sistemas del SF, DDF o DDT, en la gama de frecuencias 57-64 GHz (véase la Nota 2);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b/>
          <w:bCs/>
          <w:lang w:val="es-ES_tradnl"/>
        </w:rPr>
        <w:t>4</w:t>
      </w:r>
      <w:r w:rsidRPr="008D5825">
        <w:rPr>
          <w:lang w:val="es-ES_tradnl"/>
        </w:rPr>
        <w:tab/>
        <w:t>que las administraciones que deseen implantar un plan específico de radiofrecuencias tomen en consideración la disposición de canales del Anexo 3 para el despliegue de sistemas del SF, DDF o DDT, en la gama de frecuencias 64-66 GHz;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b/>
          <w:bCs/>
          <w:lang w:val="es-ES_tradnl"/>
        </w:rPr>
        <w:t>5</w:t>
      </w:r>
      <w:r w:rsidRPr="008D5825">
        <w:rPr>
          <w:lang w:val="es-ES_tradnl"/>
        </w:rPr>
        <w:tab/>
        <w:t>que las administraciones tomen en consideración las disposiciones de canales de los Anexos</w:t>
      </w:r>
      <w:r w:rsidR="00C81B0D" w:rsidRPr="008D5825">
        <w:rPr>
          <w:lang w:val="es-ES_tradnl"/>
        </w:rPr>
        <w:t> </w:t>
      </w:r>
      <w:r w:rsidRPr="008D5825">
        <w:rPr>
          <w:lang w:val="es-ES_tradnl"/>
        </w:rPr>
        <w:t>2 y 3 para la utilización combinada de las bandas 57-64 GHz y 64-66 GHz con una separación de canales de 50 MHz;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b/>
          <w:bCs/>
          <w:lang w:val="es-ES_tradnl"/>
        </w:rPr>
        <w:t>6</w:t>
      </w:r>
      <w:r w:rsidRPr="008D5825">
        <w:rPr>
          <w:lang w:val="es-ES_tradnl"/>
        </w:rPr>
        <w:tab/>
        <w:t>que las siguientes Notas se consideran parte integrante de la presente Recomendación.</w:t>
      </w:r>
    </w:p>
    <w:p w:rsidR="001F4806" w:rsidRPr="008D5825" w:rsidRDefault="001F4806" w:rsidP="008D5825">
      <w:pPr>
        <w:keepNext/>
        <w:keepLines/>
        <w:rPr>
          <w:lang w:val="es-ES_tradnl"/>
        </w:rPr>
      </w:pPr>
      <w:r w:rsidRPr="008D5825">
        <w:rPr>
          <w:lang w:val="es-ES_tradnl"/>
        </w:rPr>
        <w:t>NOTA 1 – La disposición de canales del Anexo 1 prevé las mismas frecuencias centrales para el funcionamiento DDT y DDF.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NOTA 2 – La disposición de canales del Anexo 2 también puede emplearse en todo segmento de la gama 57-64 GHz, debido a las necesidades nacionales diferentes.</w:t>
      </w:r>
    </w:p>
    <w:p w:rsidR="001F4806" w:rsidRPr="008D5825" w:rsidRDefault="001F4806" w:rsidP="008D5825">
      <w:pPr>
        <w:pStyle w:val="AnnexNoTitle"/>
        <w:rPr>
          <w:lang w:val="es-ES_tradnl"/>
        </w:rPr>
      </w:pPr>
      <w:r w:rsidRPr="008D5825">
        <w:rPr>
          <w:lang w:val="es-ES_tradnl"/>
        </w:rPr>
        <w:lastRenderedPageBreak/>
        <w:t>Anexo 1</w:t>
      </w:r>
      <w:r w:rsidRPr="008D5825">
        <w:rPr>
          <w:lang w:val="es-ES_tradnl"/>
        </w:rPr>
        <w:br/>
      </w:r>
      <w:r w:rsidRPr="008D5825">
        <w:rPr>
          <w:lang w:val="es-ES_tradnl"/>
        </w:rPr>
        <w:br/>
        <w:t>Disposición de radiocanales en la banda 55,78-57 GHz</w:t>
      </w:r>
    </w:p>
    <w:p w:rsidR="001F4806" w:rsidRPr="008D5825" w:rsidRDefault="001F4806" w:rsidP="008D5825">
      <w:pPr>
        <w:pStyle w:val="Heading1"/>
        <w:rPr>
          <w:lang w:val="es-ES_tradnl"/>
        </w:rPr>
      </w:pPr>
      <w:r w:rsidRPr="008D5825">
        <w:rPr>
          <w:lang w:val="es-ES_tradnl"/>
        </w:rPr>
        <w:t>1</w:t>
      </w:r>
      <w:r w:rsidRPr="008D5825">
        <w:rPr>
          <w:lang w:val="es-ES_tradnl"/>
        </w:rPr>
        <w:tab/>
        <w:t>Para los sistemas del servicio fijo que utilizan DDT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Sean</w:t>
      </w: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ab/>
        <w:t>la frecuen</w:t>
      </w:r>
      <w:r w:rsidR="00E367EC">
        <w:rPr>
          <w:lang w:val="es-ES_tradnl"/>
        </w:rPr>
        <w:t>cia de referencia de 55 786 MHz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Pr="008D5825">
        <w:rPr>
          <w:i/>
          <w:iCs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ab/>
        <w:t>la frecuencia central del canal de radiofrecuencia en la banda 55,78-57 GHz,</w:t>
      </w:r>
    </w:p>
    <w:p w:rsidR="001F4806" w:rsidRPr="008D5825" w:rsidRDefault="001F4806" w:rsidP="008D5825">
      <w:pPr>
        <w:tabs>
          <w:tab w:val="left" w:pos="1418"/>
        </w:tabs>
        <w:rPr>
          <w:lang w:val="es-ES_tradnl"/>
        </w:rPr>
      </w:pPr>
      <w:r w:rsidRPr="008D5825">
        <w:rPr>
          <w:lang w:val="es-ES_tradnl"/>
        </w:rPr>
        <w:t>las frecuencias centrales de cada uno de los canales se expresan entonces por las relaciones siguientes: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a)</w:t>
      </w:r>
      <w:r w:rsidRPr="008D5825">
        <w:rPr>
          <w:lang w:val="es-ES_tradnl"/>
        </w:rPr>
        <w:tab/>
        <w:t>para los sistemas con una separación de canales de 56 MHz: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> = </w:t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 xml:space="preserve"> + 28 + 56 </w:t>
      </w:r>
      <w:r w:rsidRPr="008D5825">
        <w:rPr>
          <w:i/>
          <w:iCs/>
          <w:lang w:val="es-ES_tradnl"/>
        </w:rPr>
        <w:t>n 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i/>
          <w:iCs/>
          <w:lang w:val="es-ES_tradnl"/>
        </w:rPr>
        <w:tab/>
        <w:t>n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1, 2, 3, ... 20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b)</w:t>
      </w:r>
      <w:r w:rsidRPr="008D5825">
        <w:rPr>
          <w:lang w:val="es-ES_tradnl"/>
        </w:rPr>
        <w:tab/>
        <w:t>para los sistemas con una separación de canales de 28 MHz: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n</w:t>
      </w:r>
      <w:proofErr w:type="spellEnd"/>
      <w:r w:rsidR="00AC510E" w:rsidRPr="008D5825">
        <w:rPr>
          <w:lang w:val="es-ES_tradnl"/>
        </w:rPr>
        <w:t> = </w:t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r</w:t>
      </w:r>
      <w:proofErr w:type="spellEnd"/>
      <w:r w:rsidR="00AC510E" w:rsidRPr="008D5825">
        <w:rPr>
          <w:lang w:val="es-ES_tradnl"/>
        </w:rPr>
        <w:t xml:space="preserve"> </w:t>
      </w:r>
      <w:r w:rsidRPr="008D5825">
        <w:rPr>
          <w:lang w:val="es-ES_tradnl"/>
        </w:rPr>
        <w:t xml:space="preserve">+ 42 + 28 </w:t>
      </w:r>
      <w:r w:rsidRPr="008D5825">
        <w:rPr>
          <w:i/>
          <w:iCs/>
          <w:lang w:val="es-ES_tradnl"/>
        </w:rPr>
        <w:t>n 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i/>
          <w:iCs/>
          <w:lang w:val="es-ES_tradnl"/>
        </w:rPr>
        <w:tab/>
        <w:t>n </w:t>
      </w:r>
      <w:r w:rsidR="007E167C" w:rsidRPr="008D5825">
        <w:rPr>
          <w:lang w:val="es-ES_tradnl"/>
        </w:rPr>
        <w:t>= </w:t>
      </w:r>
      <w:r w:rsidRPr="008D5825">
        <w:rPr>
          <w:lang w:val="es-ES_tradnl"/>
        </w:rPr>
        <w:t>1, 2, 3, ... 40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c)</w:t>
      </w:r>
      <w:r w:rsidRPr="008D5825">
        <w:rPr>
          <w:lang w:val="es-ES_tradnl"/>
        </w:rPr>
        <w:tab/>
        <w:t>para los sistemas con una separación de canales de 14 MHz: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n</w:t>
      </w:r>
      <w:proofErr w:type="spellEnd"/>
      <w:r w:rsidR="00AC510E" w:rsidRPr="008D5825">
        <w:rPr>
          <w:lang w:val="es-ES_tradnl"/>
        </w:rPr>
        <w:t> = </w:t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r</w:t>
      </w:r>
      <w:proofErr w:type="spellEnd"/>
      <w:r w:rsidR="00AC510E" w:rsidRPr="008D5825">
        <w:rPr>
          <w:lang w:val="es-ES_tradnl"/>
        </w:rPr>
        <w:t xml:space="preserve"> </w:t>
      </w:r>
      <w:r w:rsidRPr="008D5825">
        <w:rPr>
          <w:lang w:val="es-ES_tradnl"/>
        </w:rPr>
        <w:t xml:space="preserve">+ 49 + 14 </w:t>
      </w:r>
      <w:r w:rsidRPr="008D5825">
        <w:rPr>
          <w:i/>
          <w:iCs/>
          <w:lang w:val="es-ES_tradnl"/>
        </w:rPr>
        <w:t>n 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i/>
          <w:iCs/>
          <w:lang w:val="es-ES_tradnl"/>
        </w:rPr>
        <w:tab/>
        <w:t>n</w:t>
      </w:r>
      <w:r w:rsidRPr="008D5825">
        <w:rPr>
          <w:lang w:val="es-ES_tradnl"/>
        </w:rPr>
        <w:t> = 1, 2, 3, ... 80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d)</w:t>
      </w:r>
      <w:r w:rsidRPr="008D5825">
        <w:rPr>
          <w:lang w:val="es-ES_tradnl"/>
        </w:rPr>
        <w:tab/>
        <w:t>para los sistemas con una separación de canales de 7 MHz: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n</w:t>
      </w:r>
      <w:proofErr w:type="spellEnd"/>
      <w:r w:rsidR="00AC510E" w:rsidRPr="008D5825">
        <w:rPr>
          <w:lang w:val="es-ES_tradnl"/>
        </w:rPr>
        <w:t> = </w:t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 xml:space="preserve"> + 52,5 + 7 </w:t>
      </w:r>
      <w:r w:rsidRPr="008D5825">
        <w:rPr>
          <w:i/>
          <w:iCs/>
          <w:lang w:val="es-ES_tradnl"/>
        </w:rPr>
        <w:t>n 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i/>
          <w:iCs/>
          <w:lang w:val="es-ES_tradnl"/>
        </w:rPr>
        <w:t>n</w:t>
      </w:r>
      <w:r w:rsidRPr="008D5825">
        <w:rPr>
          <w:lang w:val="es-ES_tradnl"/>
        </w:rPr>
        <w:t> </w:t>
      </w:r>
      <w:r w:rsidR="007E167C" w:rsidRPr="008D5825">
        <w:rPr>
          <w:lang w:val="es-ES_tradnl"/>
        </w:rPr>
        <w:t>= </w:t>
      </w:r>
      <w:r w:rsidRPr="008D5825">
        <w:rPr>
          <w:lang w:val="es-ES_tradnl"/>
        </w:rPr>
        <w:t>1, 2, 3, ... 160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numlev1"/>
        <w:keepNext/>
        <w:keepLines/>
        <w:rPr>
          <w:lang w:val="es-ES_tradnl"/>
        </w:rPr>
      </w:pPr>
      <w:r w:rsidRPr="008D5825">
        <w:rPr>
          <w:lang w:val="es-ES_tradnl"/>
        </w:rPr>
        <w:t>e)</w:t>
      </w:r>
      <w:r w:rsidRPr="008D5825">
        <w:rPr>
          <w:lang w:val="es-ES_tradnl"/>
        </w:rPr>
        <w:tab/>
        <w:t>para los sistemas con una separación de canales de 3,5 MHz:</w:t>
      </w:r>
    </w:p>
    <w:p w:rsidR="001F4806" w:rsidRPr="008D5825" w:rsidRDefault="001F4806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n</w:t>
      </w:r>
      <w:proofErr w:type="spellEnd"/>
      <w:r w:rsidR="00AC510E" w:rsidRPr="008D5825">
        <w:rPr>
          <w:lang w:val="es-ES_tradnl"/>
        </w:rPr>
        <w:t> = </w:t>
      </w:r>
      <w:proofErr w:type="spellStart"/>
      <w:r w:rsidR="00AC510E" w:rsidRPr="008D5825">
        <w:rPr>
          <w:i/>
          <w:lang w:val="es-ES_tradnl"/>
        </w:rPr>
        <w:t>f</w:t>
      </w:r>
      <w:r w:rsidR="00AC510E"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 xml:space="preserve"> + 54,25 + 3,5 </w:t>
      </w:r>
      <w:r w:rsidRPr="008D5825">
        <w:rPr>
          <w:i/>
          <w:iCs/>
          <w:lang w:val="es-ES_tradnl"/>
        </w:rPr>
        <w:t>n 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i/>
          <w:iCs/>
          <w:lang w:val="es-ES_tradnl"/>
        </w:rPr>
        <w:t>n</w:t>
      </w:r>
      <w:r w:rsidRPr="008D5825">
        <w:rPr>
          <w:lang w:val="es-ES_tradnl"/>
        </w:rPr>
        <w:t>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1, 2, 3, ... 320.</w:t>
      </w:r>
    </w:p>
    <w:p w:rsidR="001F4806" w:rsidRPr="008D5825" w:rsidRDefault="001F4806" w:rsidP="008D5825">
      <w:pPr>
        <w:pStyle w:val="TableNo"/>
        <w:rPr>
          <w:lang w:val="es-ES_tradnl"/>
        </w:rPr>
      </w:pPr>
      <w:r w:rsidRPr="008D5825">
        <w:rPr>
          <w:lang w:val="es-ES_tradnl"/>
        </w:rPr>
        <w:lastRenderedPageBreak/>
        <w:t>CUADRO 1</w:t>
      </w:r>
    </w:p>
    <w:p w:rsidR="001F4806" w:rsidRPr="008D5825" w:rsidRDefault="001F4806" w:rsidP="008D5825">
      <w:pPr>
        <w:pStyle w:val="Tabletitle"/>
        <w:rPr>
          <w:lang w:val="es-ES_tradnl"/>
        </w:rPr>
      </w:pPr>
      <w:r w:rsidRPr="008D5825">
        <w:rPr>
          <w:lang w:val="es-ES_tradnl"/>
        </w:rPr>
        <w:t>Parámetros calculados de acuerdo con la Recomendación UIT-R F.746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7"/>
        <w:gridCol w:w="1247"/>
        <w:gridCol w:w="1247"/>
        <w:gridCol w:w="1247"/>
        <w:gridCol w:w="1247"/>
        <w:gridCol w:w="1247"/>
      </w:tblGrid>
      <w:tr w:rsidR="001F4806" w:rsidRPr="008D5825" w:rsidTr="00C81B0D">
        <w:trPr>
          <w:jc w:val="center"/>
        </w:trPr>
        <w:tc>
          <w:tcPr>
            <w:tcW w:w="1247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247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i/>
                <w:iCs/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n</w:t>
            </w:r>
          </w:p>
        </w:tc>
        <w:tc>
          <w:tcPr>
            <w:tcW w:w="1247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lang w:val="es-ES_tradnl"/>
              </w:rPr>
              <w:t>f</w:t>
            </w:r>
            <w:r w:rsidRPr="008D5825">
              <w:rPr>
                <w:iCs/>
                <w:position w:val="-4"/>
                <w:sz w:val="18"/>
                <w:lang w:val="es-ES_tradnl"/>
              </w:rPr>
              <w:t>1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247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lang w:val="es-ES_tradnl"/>
              </w:rPr>
              <w:t>f</w:t>
            </w:r>
            <w:proofErr w:type="spellStart"/>
            <w:r w:rsidRPr="008D5825">
              <w:rPr>
                <w:i/>
                <w:position w:val="-4"/>
                <w:sz w:val="18"/>
                <w:lang w:val="es-ES_tradnl"/>
              </w:rPr>
              <w:t>nmáx</w:t>
            </w:r>
            <w:proofErr w:type="spellEnd"/>
            <w:r w:rsidRPr="008D5825">
              <w:rPr>
                <w:lang w:val="es-ES_tradnl"/>
              </w:rPr>
              <w:t xml:space="preserve"> (MHz)</w:t>
            </w:r>
          </w:p>
        </w:tc>
        <w:tc>
          <w:tcPr>
            <w:tcW w:w="1247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lang w:val="es-ES_tradnl"/>
              </w:rPr>
              <w:t>Z</w:t>
            </w:r>
            <w:r w:rsidRPr="008D5825">
              <w:rPr>
                <w:iCs/>
                <w:position w:val="-4"/>
                <w:sz w:val="18"/>
                <w:lang w:val="es-ES_tradnl"/>
              </w:rPr>
              <w:t>1</w:t>
            </w:r>
            <w:r w:rsidRPr="008D5825">
              <w:rPr>
                <w:i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247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lang w:val="es-ES_tradnl"/>
              </w:rPr>
              <w:t>Z</w:t>
            </w:r>
            <w:r w:rsidRPr="008D5825">
              <w:rPr>
                <w:iCs/>
                <w:position w:val="-4"/>
                <w:sz w:val="18"/>
                <w:lang w:val="es-ES_tradnl"/>
              </w:rPr>
              <w:t>2</w:t>
            </w:r>
            <w:r w:rsidRPr="008D5825">
              <w:rPr>
                <w:i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</w:tr>
      <w:tr w:rsidR="001F4806" w:rsidRPr="008D5825" w:rsidTr="00C81B0D">
        <w:trPr>
          <w:trHeight w:val="20"/>
          <w:jc w:val="center"/>
        </w:trPr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1, ... 20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55 870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56 934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90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66</w:t>
            </w:r>
          </w:p>
        </w:tc>
      </w:tr>
      <w:tr w:rsidR="001F4806" w:rsidRPr="008D5825" w:rsidTr="00C81B0D">
        <w:trPr>
          <w:trHeight w:val="20"/>
          <w:jc w:val="center"/>
        </w:trPr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28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1, ... 40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55 856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56 948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76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52</w:t>
            </w:r>
          </w:p>
        </w:tc>
      </w:tr>
      <w:tr w:rsidR="001F4806" w:rsidRPr="008D5825" w:rsidTr="00C81B0D">
        <w:trPr>
          <w:trHeight w:val="20"/>
          <w:jc w:val="center"/>
        </w:trPr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14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1, ... 80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55 849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56 955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69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45</w:t>
            </w:r>
          </w:p>
        </w:tc>
      </w:tr>
      <w:tr w:rsidR="001F4806" w:rsidRPr="008D5825" w:rsidTr="00C81B0D">
        <w:trPr>
          <w:trHeight w:val="20"/>
          <w:jc w:val="center"/>
        </w:trPr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… 160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55 845,5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56 958,5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65,5</w:t>
            </w:r>
          </w:p>
        </w:tc>
        <w:tc>
          <w:tcPr>
            <w:tcW w:w="1247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41,5</w:t>
            </w:r>
          </w:p>
        </w:tc>
      </w:tr>
      <w:tr w:rsidR="001F4806" w:rsidRPr="008D5825" w:rsidTr="00C81B0D">
        <w:trPr>
          <w:trHeight w:val="20"/>
          <w:jc w:val="center"/>
        </w:trPr>
        <w:tc>
          <w:tcPr>
            <w:tcW w:w="1247" w:type="dxa"/>
            <w:tcBorders>
              <w:bottom w:val="single" w:sz="6" w:space="0" w:color="000000"/>
            </w:tcBorders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3,5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… 320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1F4806" w:rsidRPr="008D5825" w:rsidRDefault="001F4806" w:rsidP="008D5825">
            <w:pPr>
              <w:pStyle w:val="Tabletext"/>
              <w:jc w:val="center"/>
              <w:rPr>
                <w:rStyle w:val="CommentReference"/>
                <w:sz w:val="22"/>
                <w:lang w:val="es-ES_tradnl"/>
              </w:rPr>
            </w:pPr>
            <w:r w:rsidRPr="008D5825">
              <w:rPr>
                <w:rStyle w:val="CommentReference"/>
                <w:sz w:val="22"/>
                <w:lang w:val="es-ES_tradnl"/>
              </w:rPr>
              <w:t>55 843,7</w:t>
            </w:r>
            <w:r w:rsidRPr="008D5825">
              <w:rPr>
                <w:lang w:val="es-ES_tradnl"/>
              </w:rPr>
              <w:t>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1F4806" w:rsidRPr="008D5825" w:rsidRDefault="001F4806" w:rsidP="008D5825">
            <w:pPr>
              <w:pStyle w:val="Tabletext"/>
              <w:jc w:val="center"/>
              <w:rPr>
                <w:rStyle w:val="CommentReference"/>
                <w:sz w:val="22"/>
                <w:lang w:val="es-ES_tradnl"/>
              </w:rPr>
            </w:pPr>
            <w:r w:rsidRPr="008D5825">
              <w:rPr>
                <w:lang w:val="es-ES_tradnl"/>
              </w:rPr>
              <w:t>56 960</w:t>
            </w:r>
            <w:r w:rsidRPr="008D5825">
              <w:rPr>
                <w:rStyle w:val="CommentReference"/>
                <w:sz w:val="22"/>
                <w:lang w:val="es-ES_tradnl"/>
              </w:rPr>
              <w:t>,</w:t>
            </w:r>
            <w:r w:rsidRPr="008D5825">
              <w:rPr>
                <w:lang w:val="es-ES_tradnl"/>
              </w:rPr>
              <w:t>25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1F4806" w:rsidRPr="008D5825" w:rsidRDefault="001F4806" w:rsidP="008D5825">
            <w:pPr>
              <w:pStyle w:val="Tabletext"/>
              <w:jc w:val="center"/>
              <w:rPr>
                <w:rStyle w:val="CommentReference"/>
                <w:sz w:val="22"/>
                <w:lang w:val="es-ES_tradnl"/>
              </w:rPr>
            </w:pPr>
            <w:r w:rsidRPr="008D5825">
              <w:rPr>
                <w:lang w:val="es-ES_tradnl"/>
              </w:rPr>
              <w:t>63</w:t>
            </w:r>
            <w:r w:rsidRPr="008D5825">
              <w:rPr>
                <w:rStyle w:val="CommentReference"/>
                <w:sz w:val="22"/>
                <w:lang w:val="es-ES_tradnl"/>
              </w:rPr>
              <w:t>,</w:t>
            </w:r>
            <w:r w:rsidRPr="008D5825">
              <w:rPr>
                <w:lang w:val="es-ES_tradnl"/>
              </w:rPr>
              <w:t>75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1F4806" w:rsidRPr="008D5825" w:rsidRDefault="001F4806" w:rsidP="008D5825">
            <w:pPr>
              <w:pStyle w:val="Tabletext"/>
              <w:jc w:val="center"/>
              <w:rPr>
                <w:rStyle w:val="CommentReference"/>
                <w:sz w:val="22"/>
                <w:lang w:val="es-ES_tradnl"/>
              </w:rPr>
            </w:pPr>
            <w:r w:rsidRPr="008D5825">
              <w:rPr>
                <w:lang w:val="es-ES_tradnl"/>
              </w:rPr>
              <w:t>39</w:t>
            </w:r>
            <w:r w:rsidRPr="008D5825">
              <w:rPr>
                <w:rStyle w:val="CommentReference"/>
                <w:sz w:val="22"/>
                <w:lang w:val="es-ES_tradnl"/>
              </w:rPr>
              <w:t>,</w:t>
            </w:r>
            <w:r w:rsidRPr="008D5825">
              <w:rPr>
                <w:lang w:val="es-ES_tradnl"/>
              </w:rPr>
              <w:t>75</w:t>
            </w:r>
          </w:p>
        </w:tc>
      </w:tr>
      <w:tr w:rsidR="001F4806" w:rsidRPr="00130853" w:rsidTr="00C81B0D">
        <w:tblPrEx>
          <w:tblBorders>
            <w:top w:val="none" w:sz="0" w:space="0" w:color="auto"/>
          </w:tblBorders>
        </w:tblPrEx>
        <w:trPr>
          <w:cantSplit/>
          <w:trHeight w:val="400"/>
          <w:jc w:val="center"/>
        </w:trPr>
        <w:tc>
          <w:tcPr>
            <w:tcW w:w="7482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1F4806" w:rsidRPr="008D5825" w:rsidRDefault="001F4806" w:rsidP="008D5825">
            <w:pPr>
              <w:pStyle w:val="Tablelegend"/>
              <w:spacing w:after="20"/>
              <w:ind w:right="0" w:hanging="335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</w:r>
            <w:r w:rsidRPr="008D5825">
              <w:rPr>
                <w:lang w:val="es-ES_tradnl"/>
              </w:rPr>
              <w:tab/>
              <w:t>separación entre las frecuencias centrales de canales adyacentes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left="567" w:right="0" w:hanging="619"/>
              <w:rPr>
                <w:lang w:val="es-ES_tradnl"/>
              </w:rPr>
            </w:pPr>
            <w:r w:rsidRPr="008D5825">
              <w:rPr>
                <w:i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i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el borde de la banda inferior y la frecuencia central del primer canal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left="567" w:right="0" w:hanging="619"/>
              <w:rPr>
                <w:lang w:val="es-ES_tradnl"/>
              </w:rPr>
            </w:pPr>
            <w:r w:rsidRPr="008D5825">
              <w:rPr>
                <w:i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2</w:t>
            </w:r>
            <w:r w:rsidRPr="008D5825">
              <w:rPr>
                <w:i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la frecuencia central del último canal y el borde de la banda superior.</w:t>
            </w:r>
          </w:p>
        </w:tc>
      </w:tr>
    </w:tbl>
    <w:p w:rsidR="001F4806" w:rsidRPr="008D5825" w:rsidRDefault="001F4806" w:rsidP="008D5825">
      <w:pPr>
        <w:pStyle w:val="Tablefin"/>
        <w:rPr>
          <w:sz w:val="2"/>
          <w:lang w:val="es-ES_tradnl"/>
        </w:rPr>
      </w:pPr>
    </w:p>
    <w:p w:rsidR="001F4806" w:rsidRPr="008D5825" w:rsidRDefault="001F4806" w:rsidP="008D5825">
      <w:pPr>
        <w:pStyle w:val="Heading1"/>
        <w:rPr>
          <w:lang w:val="es-ES_tradnl"/>
        </w:rPr>
      </w:pPr>
      <w:r w:rsidRPr="008D5825">
        <w:rPr>
          <w:lang w:val="es-ES_tradnl"/>
        </w:rPr>
        <w:t>2</w:t>
      </w:r>
      <w:r w:rsidRPr="008D5825">
        <w:rPr>
          <w:lang w:val="es-ES_tradnl"/>
        </w:rPr>
        <w:tab/>
        <w:t>Para los sistemas del servicio fijo que utilizan DDF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La disposición de los radiocanales para separaciones de canal de 56 MHz, 28 MHz, 14 MHz, 7 MHz y 3,5 MHz se obtiene como sigue:</w:t>
      </w:r>
    </w:p>
    <w:p w:rsidR="001F4806" w:rsidRPr="008D5825" w:rsidRDefault="001F4806" w:rsidP="006D7724">
      <w:pPr>
        <w:pStyle w:val="enumlev1"/>
        <w:rPr>
          <w:lang w:val="es-ES_tradnl"/>
        </w:rPr>
      </w:pPr>
      <w:r w:rsidRPr="008D5825">
        <w:rPr>
          <w:lang w:val="es-ES_tradnl"/>
        </w:rPr>
        <w:t>Sean</w:t>
      </w:r>
      <w:r w:rsidRPr="008D5825">
        <w:rPr>
          <w:lang w:val="es-ES_tradnl"/>
        </w:rPr>
        <w:tab/>
      </w:r>
      <w:proofErr w:type="spellStart"/>
      <w:r w:rsidRPr="008D5825">
        <w:rPr>
          <w:i/>
          <w:iCs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ab/>
        <w:t>la frecuencia de referencia de 55</w:t>
      </w:r>
      <w:r w:rsidR="006D7724">
        <w:rPr>
          <w:lang w:val="es-ES_tradnl"/>
        </w:rPr>
        <w:t> </w:t>
      </w:r>
      <w:r w:rsidRPr="008D5825">
        <w:rPr>
          <w:lang w:val="es-ES_tradnl"/>
        </w:rPr>
        <w:t>814 MHz,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</w:r>
      <w:proofErr w:type="spellStart"/>
      <w:r w:rsidRPr="008D5825">
        <w:rPr>
          <w:i/>
          <w:iCs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ab/>
        <w:t>la frecuencia central (MHz) del radiocanal situado en la mitad inferior de la banda,</w:t>
      </w:r>
    </w:p>
    <w:p w:rsidR="001F4806" w:rsidRPr="008D5825" w:rsidRDefault="001F4806" w:rsidP="008D5825">
      <w:pPr>
        <w:pStyle w:val="enumlev1"/>
        <w:tabs>
          <w:tab w:val="left" w:pos="737"/>
        </w:tabs>
        <w:rPr>
          <w:lang w:val="es-ES_tradnl"/>
        </w:rPr>
      </w:pPr>
      <w:r w:rsidRPr="008D5825">
        <w:rPr>
          <w:lang w:val="es-ES_tradnl"/>
        </w:rPr>
        <w:tab/>
      </w:r>
      <w:r w:rsidR="00D01B8F" w:rsidRPr="008D5825">
        <w:rPr>
          <w:position w:val="-12"/>
          <w:lang w:val="es-ES_tradnl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8.5pt" o:ole="">
            <v:imagedata r:id="rId11" o:title=""/>
          </v:shape>
          <o:OLEObject Type="Embed" ProgID="Equation.3" ShapeID="_x0000_i1025" DrawAspect="Content" ObjectID="_1499243763" r:id="rId12"/>
        </w:object>
      </w:r>
      <w:r w:rsidRPr="008D5825">
        <w:rPr>
          <w:lang w:val="es-ES_tradnl"/>
        </w:rPr>
        <w:tab/>
        <w:t>la frecuencia central (MHz) situado en la mitad superior de la banda,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 xml:space="preserve">separación de </w:t>
      </w:r>
      <w:proofErr w:type="spellStart"/>
      <w:r w:rsidRPr="008D5825">
        <w:rPr>
          <w:lang w:val="es-ES_tradnl"/>
        </w:rPr>
        <w:t>Tx</w:t>
      </w:r>
      <w:proofErr w:type="spellEnd"/>
      <w:r w:rsidRPr="008D5825">
        <w:rPr>
          <w:lang w:val="es-ES_tradnl"/>
        </w:rPr>
        <w:t>/</w:t>
      </w:r>
      <w:proofErr w:type="spellStart"/>
      <w:r w:rsidRPr="008D5825">
        <w:rPr>
          <w:lang w:val="es-ES_tradnl"/>
        </w:rPr>
        <w:t>Rx</w:t>
      </w:r>
      <w:proofErr w:type="spellEnd"/>
      <w:r w:rsidRPr="008D5825">
        <w:rPr>
          <w:lang w:val="es-ES_tradnl"/>
        </w:rPr>
        <w:t> = 616 MHz,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separación de las bandas = 112 MHz,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en ese caso, las frecuencias (MHz) de cada radiocanal se expresan mediante las siguientes relaciones: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a)</w:t>
      </w:r>
      <w:r w:rsidRPr="008D5825">
        <w:rPr>
          <w:lang w:val="es-ES_tradnl"/>
        </w:rPr>
        <w:tab/>
        <w:t>para sistemas con una separación entre canales de 56 MHz: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inferior de la banda:</w:t>
      </w:r>
      <w:r w:rsidRPr="008D5825">
        <w:rPr>
          <w:lang w:val="es-ES_tradnl"/>
        </w:rPr>
        <w:tab/>
      </w:r>
      <w:proofErr w:type="spellStart"/>
      <w:r w:rsidR="007E167C" w:rsidRPr="008D5825">
        <w:rPr>
          <w:i/>
          <w:iCs/>
          <w:lang w:val="es-ES_tradnl"/>
        </w:rPr>
        <w:t>f</w:t>
      </w:r>
      <w:r w:rsidR="007E167C"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 xml:space="preserve">+ 56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superior de la banda:</w:t>
      </w:r>
      <w:r w:rsidRPr="008D5825">
        <w:rPr>
          <w:lang w:val="es-ES_tradnl"/>
        </w:rPr>
        <w:tab/>
      </w:r>
      <w:r w:rsidR="00AC510E" w:rsidRPr="008D5825">
        <w:rPr>
          <w:position w:val="-12"/>
          <w:lang w:val="es-ES_tradnl"/>
        </w:rPr>
        <w:object w:dxaOrig="300" w:dyaOrig="360">
          <v:shape id="_x0000_i1026" type="#_x0000_t75" style="width:15pt;height:18.5pt" o:ole="">
            <v:imagedata r:id="rId13" o:title=""/>
          </v:shape>
          <o:OLEObject Type="Embed" ProgID="Equation.3" ShapeID="_x0000_i1026" DrawAspect="Content" ObjectID="_1499243764" r:id="rId14"/>
        </w:objec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lang w:val="es-ES_tradnl"/>
        </w:rPr>
        <w:t xml:space="preserve"> + 616 + 56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i/>
          <w:iCs/>
          <w:lang w:val="es-ES_tradnl"/>
        </w:rPr>
        <w:tab/>
        <w:t>n</w:t>
      </w:r>
      <w:r w:rsidRPr="008D5825">
        <w:rPr>
          <w:lang w:val="es-ES_tradnl"/>
        </w:rPr>
        <w:t>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1, 2, … 9</w:t>
      </w:r>
    </w:p>
    <w:p w:rsidR="001F4806" w:rsidRPr="008D5825" w:rsidRDefault="001F4806" w:rsidP="008D5825">
      <w:pPr>
        <w:pStyle w:val="enumlev1"/>
        <w:keepNext/>
        <w:keepLines/>
        <w:rPr>
          <w:lang w:val="es-ES_tradnl"/>
        </w:rPr>
      </w:pPr>
      <w:r w:rsidRPr="008D5825">
        <w:rPr>
          <w:lang w:val="es-ES_tradnl"/>
        </w:rPr>
        <w:t>b)</w:t>
      </w:r>
      <w:r w:rsidRPr="008D5825">
        <w:rPr>
          <w:lang w:val="es-ES_tradnl"/>
        </w:rPr>
        <w:tab/>
        <w:t>para sistemas con una separación entre canales de 28 MHz:</w:t>
      </w:r>
    </w:p>
    <w:p w:rsidR="001F4806" w:rsidRPr="008D5825" w:rsidRDefault="001F4806" w:rsidP="008D5825">
      <w:pPr>
        <w:pStyle w:val="enumlev1"/>
        <w:keepNext/>
        <w:keepLines/>
        <w:rPr>
          <w:lang w:val="es-ES_tradnl"/>
        </w:rPr>
      </w:pPr>
      <w:r w:rsidRPr="008D5825">
        <w:rPr>
          <w:lang w:val="es-ES_tradnl"/>
        </w:rPr>
        <w:tab/>
        <w:t>mitad inferior de la banda:</w:t>
      </w:r>
      <w:r w:rsidRPr="008D5825">
        <w:rPr>
          <w:lang w:val="es-ES_tradnl"/>
        </w:rPr>
        <w:tab/>
      </w:r>
      <w:proofErr w:type="spellStart"/>
      <w:r w:rsidR="007E167C" w:rsidRPr="008D5825">
        <w:rPr>
          <w:i/>
          <w:iCs/>
          <w:lang w:val="es-ES_tradnl"/>
        </w:rPr>
        <w:t>f</w:t>
      </w:r>
      <w:r w:rsidR="007E167C"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 xml:space="preserve">+ 14 + 28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superior de la banda:</w:t>
      </w:r>
      <w:r w:rsidRPr="008D5825">
        <w:rPr>
          <w:lang w:val="es-ES_tradnl"/>
        </w:rPr>
        <w:tab/>
      </w:r>
      <w:r w:rsidR="00AC510E" w:rsidRPr="008D5825">
        <w:rPr>
          <w:position w:val="-12"/>
          <w:lang w:val="es-ES_tradnl"/>
        </w:rPr>
        <w:object w:dxaOrig="300" w:dyaOrig="360">
          <v:shape id="_x0000_i1027" type="#_x0000_t75" style="width:15pt;height:18.5pt" o:ole="">
            <v:imagedata r:id="rId13" o:title=""/>
          </v:shape>
          <o:OLEObject Type="Embed" ProgID="Equation.3" ShapeID="_x0000_i1027" DrawAspect="Content" ObjectID="_1499243765" r:id="rId15"/>
        </w:objec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lang w:val="es-ES_tradnl"/>
        </w:rPr>
        <w:t xml:space="preserve"> + 630 + 28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keepNext/>
        <w:keepLines/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i/>
          <w:iCs/>
          <w:lang w:val="es-ES_tradnl"/>
        </w:rPr>
        <w:tab/>
        <w:t>n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1, 2, 3, … 18</w:t>
      </w:r>
    </w:p>
    <w:p w:rsidR="001F4806" w:rsidRPr="008D5825" w:rsidRDefault="001F4806" w:rsidP="008D5825">
      <w:pPr>
        <w:pStyle w:val="enumlev1"/>
        <w:keepNext/>
        <w:keepLines/>
        <w:rPr>
          <w:lang w:val="es-ES_tradnl"/>
        </w:rPr>
      </w:pPr>
      <w:r w:rsidRPr="008D5825">
        <w:rPr>
          <w:lang w:val="es-ES_tradnl"/>
        </w:rPr>
        <w:t>c)</w:t>
      </w:r>
      <w:r w:rsidRPr="008D5825">
        <w:rPr>
          <w:lang w:val="es-ES_tradnl"/>
        </w:rPr>
        <w:tab/>
        <w:t>para sistemas con una separación entre canales de 14 MHz:</w:t>
      </w:r>
    </w:p>
    <w:p w:rsidR="001F4806" w:rsidRPr="008D5825" w:rsidRDefault="001F4806" w:rsidP="008D5825">
      <w:pPr>
        <w:pStyle w:val="enumlev1"/>
        <w:keepNext/>
        <w:keepLines/>
        <w:rPr>
          <w:lang w:val="es-ES_tradnl"/>
        </w:rPr>
      </w:pPr>
      <w:r w:rsidRPr="008D5825">
        <w:rPr>
          <w:lang w:val="es-ES_tradnl"/>
        </w:rPr>
        <w:tab/>
        <w:t>mitad inferior de la banda:</w:t>
      </w:r>
      <w:r w:rsidRPr="008D5825">
        <w:rPr>
          <w:lang w:val="es-ES_tradnl"/>
        </w:rPr>
        <w:tab/>
      </w:r>
      <w:proofErr w:type="spellStart"/>
      <w:r w:rsidR="007E167C" w:rsidRPr="008D5825">
        <w:rPr>
          <w:i/>
          <w:iCs/>
          <w:lang w:val="es-ES_tradnl"/>
        </w:rPr>
        <w:t>f</w:t>
      </w:r>
      <w:r w:rsidR="007E167C"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 xml:space="preserve">+ 21 + 14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superior de la banda:</w:t>
      </w:r>
      <w:r w:rsidRPr="008D5825">
        <w:rPr>
          <w:lang w:val="es-ES_tradnl"/>
        </w:rPr>
        <w:tab/>
      </w:r>
      <w:r w:rsidR="00AC510E" w:rsidRPr="008D5825">
        <w:rPr>
          <w:position w:val="-12"/>
          <w:lang w:val="es-ES_tradnl"/>
        </w:rPr>
        <w:object w:dxaOrig="300" w:dyaOrig="360">
          <v:shape id="_x0000_i1028" type="#_x0000_t75" style="width:15pt;height:18.5pt" o:ole="">
            <v:imagedata r:id="rId13" o:title=""/>
          </v:shape>
          <o:OLEObject Type="Embed" ProgID="Equation.3" ShapeID="_x0000_i1028" DrawAspect="Content" ObjectID="_1499243766" r:id="rId16"/>
        </w:objec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lang w:val="es-ES_tradnl"/>
        </w:rPr>
        <w:t xml:space="preserve"> + 637 + 14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keepNext/>
        <w:rPr>
          <w:lang w:val="es-ES_tradnl"/>
        </w:rPr>
      </w:pPr>
      <w:r w:rsidRPr="008D5825">
        <w:rPr>
          <w:lang w:val="es-ES_tradnl"/>
        </w:rPr>
        <w:lastRenderedPageBreak/>
        <w:t>siendo: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i/>
          <w:iCs/>
          <w:lang w:val="es-ES_tradnl"/>
        </w:rPr>
        <w:t>n  </w:t>
      </w:r>
      <w:r w:rsidRPr="008D5825">
        <w:rPr>
          <w:lang w:val="es-ES_tradnl"/>
        </w:rPr>
        <w:t>=</w:t>
      </w:r>
      <w:r w:rsidRPr="008D5825">
        <w:rPr>
          <w:lang w:val="es-ES_tradnl"/>
        </w:rPr>
        <w:tab/>
        <w:t>  1, 2, 3, … 36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d)</w:t>
      </w:r>
      <w:r w:rsidRPr="008D5825">
        <w:rPr>
          <w:lang w:val="es-ES_tradnl"/>
        </w:rPr>
        <w:tab/>
        <w:t>para sistemas con una separación entre canales de 7 MHz: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inferior de la banda:</w:t>
      </w:r>
      <w:r w:rsidRPr="008D5825">
        <w:rPr>
          <w:lang w:val="es-ES_tradnl"/>
        </w:rPr>
        <w:tab/>
      </w:r>
      <w:proofErr w:type="spellStart"/>
      <w:r w:rsidR="007E167C" w:rsidRPr="008D5825">
        <w:rPr>
          <w:i/>
          <w:iCs/>
          <w:lang w:val="es-ES_tradnl"/>
        </w:rPr>
        <w:t>f</w:t>
      </w:r>
      <w:r w:rsidR="007E167C"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 xml:space="preserve">+ 24,5 + 7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superior de la banda:</w:t>
      </w:r>
      <w:r w:rsidRPr="008D5825">
        <w:rPr>
          <w:lang w:val="es-ES_tradnl"/>
        </w:rPr>
        <w:tab/>
      </w:r>
      <w:r w:rsidR="00AC510E" w:rsidRPr="008D5825">
        <w:rPr>
          <w:position w:val="-12"/>
          <w:lang w:val="es-ES_tradnl"/>
        </w:rPr>
        <w:object w:dxaOrig="300" w:dyaOrig="360">
          <v:shape id="_x0000_i1029" type="#_x0000_t75" style="width:15pt;height:18.5pt" o:ole="">
            <v:imagedata r:id="rId13" o:title=""/>
          </v:shape>
          <o:OLEObject Type="Embed" ProgID="Equation.3" ShapeID="_x0000_i1029" DrawAspect="Content" ObjectID="_1499243767" r:id="rId17"/>
        </w:objec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lang w:val="es-ES_tradnl"/>
        </w:rPr>
        <w:t xml:space="preserve"> + 640,5 + 7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i/>
          <w:iCs/>
          <w:lang w:val="es-ES_tradnl"/>
        </w:rPr>
        <w:t>n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1, 2, 3, ... 72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e)</w:t>
      </w:r>
      <w:r w:rsidRPr="008D5825">
        <w:rPr>
          <w:lang w:val="es-ES_tradnl"/>
        </w:rPr>
        <w:tab/>
        <w:t>para sistemas con una separación entre canales de 3,5 MHz: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inferior de la banda:</w:t>
      </w:r>
      <w:r w:rsidRPr="008D5825">
        <w:rPr>
          <w:lang w:val="es-ES_tradnl"/>
        </w:rPr>
        <w:tab/>
      </w:r>
      <w:proofErr w:type="spellStart"/>
      <w:r w:rsidR="007E167C" w:rsidRPr="008D5825">
        <w:rPr>
          <w:i/>
          <w:iCs/>
          <w:lang w:val="es-ES_tradnl"/>
        </w:rPr>
        <w:t>f</w:t>
      </w:r>
      <w:r w:rsidR="007E167C"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 xml:space="preserve">+ 26,25 + 3,5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  <w:t>mitad superior de la banda:</w:t>
      </w:r>
      <w:r w:rsidRPr="008D5825">
        <w:rPr>
          <w:lang w:val="es-ES_tradnl"/>
        </w:rPr>
        <w:tab/>
      </w:r>
      <w:r w:rsidR="00AC510E" w:rsidRPr="008D5825">
        <w:rPr>
          <w:position w:val="-12"/>
          <w:lang w:val="es-ES_tradnl"/>
        </w:rPr>
        <w:object w:dxaOrig="300" w:dyaOrig="360">
          <v:shape id="_x0000_i1030" type="#_x0000_t75" style="width:15pt;height:18.5pt" o:ole="">
            <v:imagedata r:id="rId13" o:title=""/>
          </v:shape>
          <o:OLEObject Type="Embed" ProgID="Equation.3" ShapeID="_x0000_i1030" DrawAspect="Content" ObjectID="_1499243768" r:id="rId18"/>
        </w:object>
      </w:r>
      <w:r w:rsidRPr="008D5825">
        <w:rPr>
          <w:i/>
          <w:iCs/>
          <w:lang w:val="es-ES_tradnl"/>
        </w:rPr>
        <w:t> </w:t>
      </w:r>
      <w:r w:rsidRPr="008D5825">
        <w:rPr>
          <w:lang w:val="es-ES_tradnl"/>
        </w:rPr>
        <w:t>=</w:t>
      </w:r>
      <w:r w:rsidRPr="008D5825">
        <w:rPr>
          <w:i/>
          <w:iCs/>
          <w:lang w:val="es-ES_tradnl"/>
        </w:rPr>
        <w:t> f</w:t>
      </w:r>
      <w:r w:rsidRPr="008D5825">
        <w:rPr>
          <w:i/>
          <w:iCs/>
          <w:position w:val="-4"/>
          <w:sz w:val="20"/>
          <w:lang w:val="es-ES_tradnl"/>
        </w:rPr>
        <w:t>r</w:t>
      </w:r>
      <w:r w:rsidRPr="008D5825">
        <w:rPr>
          <w:lang w:val="es-ES_tradnl"/>
        </w:rPr>
        <w:t xml:space="preserve"> + 642,25 + 3,5 </w:t>
      </w:r>
      <w:r w:rsidRPr="008D5825">
        <w:rPr>
          <w:i/>
          <w:iCs/>
          <w:lang w:val="es-ES_tradnl"/>
        </w:rPr>
        <w:t>n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i/>
          <w:iCs/>
          <w:lang w:val="es-ES_tradnl"/>
        </w:rPr>
        <w:t>n</w:t>
      </w:r>
      <w:r w:rsidRPr="008D5825">
        <w:rPr>
          <w:lang w:val="es-ES_tradnl"/>
        </w:rPr>
        <w:t>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1, 2, 3, ... 144.</w:t>
      </w:r>
    </w:p>
    <w:p w:rsidR="001F4806" w:rsidRPr="008D5825" w:rsidRDefault="001F4806" w:rsidP="008D5825">
      <w:pPr>
        <w:pStyle w:val="enumlev1"/>
        <w:rPr>
          <w:lang w:val="es-ES_tradnl"/>
        </w:rPr>
      </w:pPr>
    </w:p>
    <w:p w:rsidR="001F4806" w:rsidRPr="008D5825" w:rsidRDefault="001F4806" w:rsidP="008D5825">
      <w:pPr>
        <w:pStyle w:val="TableNo"/>
        <w:rPr>
          <w:lang w:val="es-ES_tradnl"/>
        </w:rPr>
      </w:pPr>
      <w:r w:rsidRPr="008D5825">
        <w:rPr>
          <w:lang w:val="es-ES_tradnl"/>
        </w:rPr>
        <w:t>CUADRO 2</w:t>
      </w:r>
    </w:p>
    <w:p w:rsidR="001F4806" w:rsidRPr="008D5825" w:rsidRDefault="001F4806" w:rsidP="008D5825">
      <w:pPr>
        <w:pStyle w:val="Tabletitle"/>
        <w:rPr>
          <w:lang w:val="es-ES_tradnl"/>
        </w:rPr>
      </w:pPr>
      <w:r w:rsidRPr="008D5825">
        <w:rPr>
          <w:lang w:val="es-ES_tradnl"/>
        </w:rPr>
        <w:t>Parámetros calculados de acuerdo con la Recomendación UIT-R F.746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1F4806" w:rsidRPr="008D5825" w:rsidTr="00C81B0D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n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f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proofErr w:type="spellStart"/>
            <w:r w:rsidRPr="008D5825">
              <w:rPr>
                <w:i/>
                <w:iCs/>
                <w:lang w:val="es-ES_tradnl"/>
              </w:rPr>
              <w:t>f</w:t>
            </w:r>
            <w:r w:rsidRPr="008D5825">
              <w:rPr>
                <w:i/>
                <w:iCs/>
                <w:vertAlign w:val="subscript"/>
                <w:lang w:val="es-ES_tradnl"/>
              </w:rPr>
              <w:t>nmáx</w:t>
            </w:r>
            <w:proofErr w:type="spellEnd"/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8D0579" w:rsidP="008D5825">
            <w:pPr>
              <w:pStyle w:val="Tablehead"/>
              <w:rPr>
                <w:lang w:val="es-ES_tradnl"/>
              </w:rPr>
            </w:pPr>
            <w:r w:rsidRPr="008D5825">
              <w:rPr>
                <w:position w:val="-16"/>
                <w:lang w:val="es-ES_tradnl"/>
              </w:rPr>
              <w:object w:dxaOrig="279" w:dyaOrig="380">
                <v:shape id="_x0000_i1031" type="#_x0000_t75" style="width:13.5pt;height:19pt" o:ole="">
                  <v:imagedata r:id="rId19" o:title=""/>
                </v:shape>
                <o:OLEObject Type="Embed" ProgID="Equation.3" ShapeID="_x0000_i1031" DrawAspect="Content" ObjectID="_1499243769" r:id="rId20"/>
              </w:object>
            </w:r>
            <w:r w:rsidR="001F4806"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8D0579" w:rsidP="008D5825">
            <w:pPr>
              <w:pStyle w:val="Tablehead"/>
              <w:rPr>
                <w:lang w:val="es-ES_tradnl"/>
              </w:rPr>
            </w:pPr>
            <w:r w:rsidRPr="008D5825">
              <w:rPr>
                <w:position w:val="-16"/>
                <w:lang w:val="es-ES_tradnl"/>
              </w:rPr>
              <w:object w:dxaOrig="639" w:dyaOrig="380">
                <v:shape id="_x0000_i1032" type="#_x0000_t75" style="width:30.5pt;height:19.5pt" o:ole="">
                  <v:imagedata r:id="rId21" o:title=""/>
                </v:shape>
                <o:OLEObject Type="Embed" ProgID="Equation.3" ShapeID="_x0000_i1032" DrawAspect="Content" ObjectID="_1499243770" r:id="rId22"/>
              </w:object>
            </w:r>
            <w:r w:rsidR="001F4806"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2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YS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DS</w:t>
            </w:r>
            <w:r w:rsidRPr="008D5825">
              <w:rPr>
                <w:lang w:val="es-ES_tradnl"/>
              </w:rPr>
              <w:br/>
              <w:t>(MHz)</w:t>
            </w:r>
          </w:p>
        </w:tc>
      </w:tr>
      <w:tr w:rsidR="001F4806" w:rsidRPr="008D5825" w:rsidTr="00C81B0D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1, ... 9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55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870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318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486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934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90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66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168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616</w:t>
            </w:r>
          </w:p>
        </w:tc>
      </w:tr>
      <w:tr w:rsidR="001F4806" w:rsidRPr="008D5825" w:rsidTr="00C81B0D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28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1, ... 18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55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856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332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472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948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76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52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140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616</w:t>
            </w:r>
          </w:p>
        </w:tc>
      </w:tr>
      <w:tr w:rsidR="001F4806" w:rsidRPr="008D5825" w:rsidTr="00C81B0D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14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1, ... 36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55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849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339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465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56</w:t>
            </w:r>
            <w:r w:rsidR="00743D71">
              <w:rPr>
                <w:lang w:val="es-ES_tradnl"/>
              </w:rPr>
              <w:t> </w:t>
            </w:r>
            <w:r w:rsidRPr="008D5825">
              <w:rPr>
                <w:lang w:val="es-ES_tradnl"/>
              </w:rPr>
              <w:t>955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69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45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126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616</w:t>
            </w:r>
          </w:p>
        </w:tc>
      </w:tr>
      <w:tr w:rsidR="001F4806" w:rsidRPr="008D5825" w:rsidTr="00C81B0D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…72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55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845,5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56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342,5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56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461,5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56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958,5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snapToGrid w:val="0"/>
                <w:color w:val="000000"/>
                <w:lang w:val="es-ES_tradnl"/>
              </w:rPr>
              <w:t>,</w:t>
            </w:r>
            <w:r w:rsidRPr="008D5825">
              <w:rPr>
                <w:lang w:val="es-ES_tradnl"/>
              </w:rPr>
              <w:t>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41</w:t>
            </w:r>
            <w:r w:rsidRPr="008D5825">
              <w:rPr>
                <w:snapToGrid w:val="0"/>
                <w:color w:val="000000"/>
                <w:lang w:val="es-ES_tradnl"/>
              </w:rPr>
              <w:t>,</w:t>
            </w:r>
            <w:r w:rsidRPr="008D5825">
              <w:rPr>
                <w:lang w:val="es-ES_tradnl"/>
              </w:rPr>
              <w:t>5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119</w:t>
            </w:r>
          </w:p>
        </w:tc>
        <w:tc>
          <w:tcPr>
            <w:tcW w:w="96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616</w:t>
            </w:r>
          </w:p>
        </w:tc>
      </w:tr>
      <w:tr w:rsidR="001F4806" w:rsidRPr="008D5825" w:rsidTr="00C81B0D">
        <w:trPr>
          <w:cantSplit/>
          <w:trHeight w:val="400"/>
          <w:jc w:val="center"/>
        </w:trPr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3,5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ind w:left="-57" w:right="-57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…144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55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843,75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56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344,25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56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459,75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743D71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snapToGrid w:val="0"/>
                <w:color w:val="000000"/>
                <w:lang w:val="es-ES_tradnl"/>
              </w:rPr>
              <w:t>56</w:t>
            </w:r>
            <w:r w:rsidR="00743D71">
              <w:rPr>
                <w:snapToGrid w:val="0"/>
                <w:color w:val="000000"/>
                <w:lang w:val="es-ES_tradnl"/>
              </w:rPr>
              <w:t> </w:t>
            </w:r>
            <w:r w:rsidRPr="008D5825">
              <w:rPr>
                <w:snapToGrid w:val="0"/>
                <w:color w:val="000000"/>
                <w:lang w:val="es-ES_tradnl"/>
              </w:rPr>
              <w:t>960,25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63</w:t>
            </w:r>
            <w:r w:rsidRPr="008D5825">
              <w:rPr>
                <w:snapToGrid w:val="0"/>
                <w:color w:val="000000"/>
                <w:lang w:val="es-ES_tradnl"/>
              </w:rPr>
              <w:t>,</w:t>
            </w:r>
            <w:r w:rsidRPr="008D5825">
              <w:rPr>
                <w:lang w:val="es-ES_tradnl"/>
              </w:rPr>
              <w:t>75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39</w:t>
            </w:r>
            <w:r w:rsidRPr="008D5825">
              <w:rPr>
                <w:snapToGrid w:val="0"/>
                <w:color w:val="000000"/>
                <w:lang w:val="es-ES_tradnl"/>
              </w:rPr>
              <w:t>,</w:t>
            </w:r>
            <w:r w:rsidRPr="008D5825">
              <w:rPr>
                <w:lang w:val="es-ES_tradnl"/>
              </w:rPr>
              <w:t>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115</w:t>
            </w:r>
            <w:r w:rsidRPr="008D5825">
              <w:rPr>
                <w:snapToGrid w:val="0"/>
                <w:color w:val="000000"/>
                <w:lang w:val="es-ES_tradnl"/>
              </w:rPr>
              <w:t>,</w:t>
            </w:r>
            <w:r w:rsidRPr="008D5825">
              <w:rPr>
                <w:lang w:val="es-ES_tradnl"/>
              </w:rPr>
              <w:t>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616</w:t>
            </w:r>
          </w:p>
        </w:tc>
      </w:tr>
      <w:tr w:rsidR="001F4806" w:rsidRPr="008D5825" w:rsidTr="00C81B0D">
        <w:trPr>
          <w:cantSplit/>
          <w:trHeight w:val="400"/>
          <w:jc w:val="center"/>
        </w:trPr>
        <w:tc>
          <w:tcPr>
            <w:tcW w:w="9640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1F4806" w:rsidRPr="008D5825" w:rsidRDefault="001F4806" w:rsidP="008D5825">
            <w:pPr>
              <w:pStyle w:val="Tablelegend"/>
              <w:spacing w:after="20"/>
              <w:ind w:right="0"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las frecuencias centrales de canales adyacentes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right="0"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YS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las frecuencias centrales de los canales de ida y de retorno más próximos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right="0"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el borde de la banda inferior y la frecuencia central del primer canal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right="0"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2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la frecuencia central del último canal y el borde de la banda superior</w:t>
            </w:r>
          </w:p>
          <w:p w:rsidR="001F4806" w:rsidRPr="008D5825" w:rsidRDefault="001F4806" w:rsidP="008D5825">
            <w:pPr>
              <w:pStyle w:val="Tablelegend"/>
              <w:spacing w:before="60" w:after="20" w:line="240" w:lineRule="exact"/>
              <w:ind w:right="0"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DS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dúplex</w:t>
            </w:r>
            <w:r w:rsidR="00D81645" w:rsidRPr="008D5825">
              <w:rPr>
                <w:position w:val="-10"/>
                <w:lang w:val="es-ES_tradnl"/>
              </w:rPr>
              <w:object w:dxaOrig="940" w:dyaOrig="360">
                <v:shape id="_x0000_i1033" type="#_x0000_t75" style="width:47.5pt;height:18.5pt" o:ole="">
                  <v:imagedata r:id="rId23" o:title=""/>
                </v:shape>
                <o:OLEObject Type="Embed" ProgID="Equation.3" ShapeID="_x0000_i1033" DrawAspect="Content" ObjectID="_1499243771" r:id="rId24"/>
              </w:object>
            </w:r>
          </w:p>
        </w:tc>
      </w:tr>
    </w:tbl>
    <w:p w:rsidR="001F4806" w:rsidRPr="008D5825" w:rsidRDefault="001F4806" w:rsidP="008D5825">
      <w:pPr>
        <w:pStyle w:val="Tablefin"/>
        <w:rPr>
          <w:sz w:val="2"/>
          <w:lang w:val="es-ES_tradnl"/>
        </w:rPr>
      </w:pPr>
    </w:p>
    <w:p w:rsidR="001F4806" w:rsidRPr="008D5825" w:rsidRDefault="001F4806" w:rsidP="008D5825">
      <w:pPr>
        <w:pStyle w:val="Tablefin"/>
        <w:rPr>
          <w:lang w:val="es-ES_tradnl"/>
        </w:rPr>
      </w:pPr>
    </w:p>
    <w:p w:rsidR="001F4806" w:rsidRPr="008D5825" w:rsidRDefault="001F4806" w:rsidP="008D58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  <w:lang w:val="es-ES_tradnl"/>
        </w:rPr>
      </w:pPr>
      <w:r w:rsidRPr="008D5825">
        <w:rPr>
          <w:b/>
          <w:lang w:val="es-ES_tradnl"/>
        </w:rPr>
        <w:br w:type="page"/>
      </w:r>
    </w:p>
    <w:p w:rsidR="001F4806" w:rsidRPr="008D5825" w:rsidRDefault="001F4806" w:rsidP="008D5825">
      <w:pPr>
        <w:pStyle w:val="AnnexNoTitle"/>
        <w:rPr>
          <w:lang w:val="es-ES_tradnl"/>
        </w:rPr>
      </w:pPr>
      <w:r w:rsidRPr="008D5825">
        <w:rPr>
          <w:lang w:val="es-ES_tradnl"/>
        </w:rPr>
        <w:lastRenderedPageBreak/>
        <w:t>Anexo  2</w:t>
      </w:r>
      <w:r w:rsidRPr="008D5825">
        <w:rPr>
          <w:lang w:val="es-ES_tradnl"/>
        </w:rPr>
        <w:br/>
      </w:r>
      <w:r w:rsidRPr="008D5825">
        <w:rPr>
          <w:lang w:val="es-ES_tradnl"/>
        </w:rPr>
        <w:br/>
        <w:t>Disposición de radiocanales en la banda 57-64 GHz</w:t>
      </w:r>
    </w:p>
    <w:p w:rsidR="001F4806" w:rsidRPr="008D5825" w:rsidRDefault="001F4806" w:rsidP="008D5825">
      <w:pPr>
        <w:keepNext/>
        <w:keepLines/>
        <w:spacing w:before="320"/>
        <w:rPr>
          <w:lang w:val="es-ES_tradnl"/>
        </w:rPr>
      </w:pPr>
      <w:r w:rsidRPr="008D5825">
        <w:rPr>
          <w:lang w:val="es-ES_tradnl"/>
        </w:rPr>
        <w:t>En el presente Anexo figuran las disposiciones básicas de canales de frecuencias para aplicaciones DDF y DDT.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Sean</w:t>
      </w:r>
    </w:p>
    <w:p w:rsidR="001F4806" w:rsidRPr="008D5825" w:rsidRDefault="00464BA6" w:rsidP="008D5825">
      <w:pPr>
        <w:pStyle w:val="Equationlegend"/>
        <w:rPr>
          <w:lang w:val="es-ES_tradnl"/>
        </w:rPr>
      </w:pPr>
      <w:r w:rsidRPr="008D5825">
        <w:rPr>
          <w:i/>
          <w:iCs/>
          <w:lang w:val="es-ES_tradnl"/>
        </w:rPr>
        <w:tab/>
      </w:r>
      <w:proofErr w:type="spellStart"/>
      <w:r w:rsidR="001F4806" w:rsidRPr="008D5825">
        <w:rPr>
          <w:i/>
          <w:iCs/>
          <w:lang w:val="es-ES_tradnl"/>
        </w:rPr>
        <w:t>f</w:t>
      </w:r>
      <w:r w:rsidR="001F4806" w:rsidRPr="008D5825">
        <w:rPr>
          <w:i/>
          <w:iCs/>
          <w:vertAlign w:val="subscript"/>
          <w:lang w:val="es-ES_tradnl"/>
        </w:rPr>
        <w:t>r</w:t>
      </w:r>
      <w:proofErr w:type="spellEnd"/>
      <w:r w:rsidR="001F4806" w:rsidRPr="008D5825">
        <w:rPr>
          <w:lang w:val="es-ES_tradnl"/>
        </w:rPr>
        <w:tab/>
        <w:t>la frecuen</w:t>
      </w:r>
      <w:r w:rsidR="00E367EC">
        <w:rPr>
          <w:lang w:val="es-ES_tradnl"/>
        </w:rPr>
        <w:t>cia de referencia de 56 950 MHz</w:t>
      </w:r>
    </w:p>
    <w:p w:rsidR="00464BA6" w:rsidRPr="008D5825" w:rsidRDefault="00464BA6" w:rsidP="008D5825">
      <w:pPr>
        <w:pStyle w:val="Equationlegend"/>
        <w:rPr>
          <w:lang w:val="es-ES_tradnl"/>
        </w:rPr>
      </w:pPr>
      <w:r w:rsidRPr="008D5825">
        <w:rPr>
          <w:lang w:val="es-ES_tradnl"/>
        </w:rPr>
        <w:tab/>
      </w:r>
      <w:proofErr w:type="spellStart"/>
      <w:r w:rsidRPr="008D5825">
        <w:rPr>
          <w:i/>
          <w:iCs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ab/>
        <w:t>la frecuencia de referencia del canal de radiofrecuencia en la banda 57-59 GHz,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las frecuencias centrales de cada canal básico de 50 MHz se expresan mediantes las relaciones siguientes:</w:t>
      </w: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> = </w:t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 xml:space="preserve"> + 25 + 50 </w:t>
      </w:r>
      <w:r w:rsidRPr="008D5825">
        <w:rPr>
          <w:i/>
          <w:iCs/>
          <w:lang w:val="es-ES_tradnl"/>
        </w:rPr>
        <w:t>n 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464BA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</w:r>
      <w:r w:rsidR="001F4806" w:rsidRPr="008D5825">
        <w:rPr>
          <w:lang w:val="es-ES_tradnl"/>
        </w:rPr>
        <w:tab/>
      </w:r>
      <w:r w:rsidR="001F4806" w:rsidRPr="008D5825">
        <w:rPr>
          <w:i/>
          <w:iCs/>
          <w:lang w:val="es-ES_tradnl"/>
        </w:rPr>
        <w:t>n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</w:t>
      </w:r>
      <w:r w:rsidR="001F4806" w:rsidRPr="008D5825">
        <w:rPr>
          <w:lang w:val="es-ES_tradnl"/>
        </w:rPr>
        <w:t>1, 2, 3, ... 140</w:t>
      </w:r>
      <w:r w:rsidRPr="008D5825">
        <w:rPr>
          <w:lang w:val="es-ES_tradnl"/>
        </w:rPr>
        <w:t>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 xml:space="preserve">En la </w:t>
      </w:r>
      <w:r w:rsidR="001F4CDB" w:rsidRPr="008D5825">
        <w:rPr>
          <w:lang w:val="es-ES_tradnl"/>
        </w:rPr>
        <w:t>Fig.</w:t>
      </w:r>
      <w:r w:rsidRPr="008D5825">
        <w:rPr>
          <w:lang w:val="es-ES_tradnl"/>
        </w:rPr>
        <w:t xml:space="preserve"> 1 se muestra la disposición básica de canales.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Para canales más anchos, de hasta 2 500 MHz, ya sean DDT o DDF, la disposición se puede crear mediante la combinación de canales básicos. No se indica específicamente la separación dúplex DDF; puede dejarse libre o definirse a nivel nacional en función de las necesidades.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 w:eastAsia="ja-JP"/>
        </w:rPr>
        <w:t xml:space="preserve">Los canales </w:t>
      </w:r>
      <w:r w:rsidRPr="008D5825">
        <w:rPr>
          <w:i/>
          <w:iCs/>
          <w:lang w:val="es-ES_tradnl"/>
        </w:rPr>
        <w:t>n</w:t>
      </w:r>
      <w:r w:rsidRPr="008D5825">
        <w:rPr>
          <w:lang w:val="es-ES_tradnl"/>
        </w:rPr>
        <w:t> = 1, 2 pueden considerarse como una banda de guarda (BG) respecto de la banda inferior de 55,78-57</w:t>
      </w:r>
      <w:r w:rsidR="0090029E" w:rsidRPr="008D5825">
        <w:rPr>
          <w:lang w:val="es-ES_tradnl"/>
        </w:rPr>
        <w:t> </w:t>
      </w:r>
      <w:r w:rsidRPr="008D5825">
        <w:rPr>
          <w:lang w:val="es-ES_tradnl"/>
        </w:rPr>
        <w:t>GHz (véase el Anexo 1), con sujeción posiblemente a las diferentes condiciones de coordinación; en este caso sólo deberían utilizarse para, por ejemplo, utilización temporal o pruebas de propagación y armonización de equipos.</w:t>
      </w:r>
    </w:p>
    <w:p w:rsidR="001F4806" w:rsidRPr="008D5825" w:rsidRDefault="001F4806" w:rsidP="008D5825">
      <w:pPr>
        <w:ind w:right="-142"/>
        <w:rPr>
          <w:lang w:val="es-ES_tradnl"/>
        </w:rPr>
      </w:pPr>
      <w:r w:rsidRPr="008D5825">
        <w:rPr>
          <w:lang w:val="es-ES_tradnl"/>
        </w:rPr>
        <w:t>En el extremo superior de la banda no se precisa de una banda de guarda por cuanto el mismo sistema puede funcionar adecuadamente en la banda adyacente de 64-66 GHz.</w:t>
      </w:r>
    </w:p>
    <w:p w:rsidR="001F4806" w:rsidRPr="008D5825" w:rsidRDefault="001F4806" w:rsidP="008D5825">
      <w:pPr>
        <w:pStyle w:val="FigureNo"/>
        <w:rPr>
          <w:lang w:val="es-ES_tradnl"/>
        </w:rPr>
      </w:pPr>
      <w:r w:rsidRPr="008D5825">
        <w:rPr>
          <w:lang w:val="es-ES_tradnl"/>
        </w:rPr>
        <w:t>FigurA 1</w:t>
      </w:r>
    </w:p>
    <w:p w:rsidR="001F4806" w:rsidRPr="008D5825" w:rsidRDefault="001F4806" w:rsidP="008D5825">
      <w:pPr>
        <w:pStyle w:val="Figuretitle"/>
        <w:rPr>
          <w:lang w:val="es-ES_tradnl"/>
        </w:rPr>
      </w:pPr>
      <w:r w:rsidRPr="008D5825">
        <w:rPr>
          <w:lang w:val="es-ES_tradnl"/>
        </w:rPr>
        <w:t>Disposición básica de canales en 57-64 GHz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72"/>
        <w:gridCol w:w="338"/>
        <w:gridCol w:w="328"/>
        <w:gridCol w:w="328"/>
        <w:gridCol w:w="327"/>
        <w:gridCol w:w="724"/>
        <w:gridCol w:w="327"/>
        <w:gridCol w:w="327"/>
        <w:gridCol w:w="327"/>
        <w:gridCol w:w="327"/>
        <w:gridCol w:w="2884"/>
        <w:gridCol w:w="327"/>
        <w:gridCol w:w="327"/>
        <w:gridCol w:w="327"/>
        <w:gridCol w:w="963"/>
        <w:gridCol w:w="286"/>
      </w:tblGrid>
      <w:tr w:rsidR="001F4806" w:rsidRPr="008D5825" w:rsidTr="0066240B">
        <w:trPr>
          <w:cantSplit/>
          <w:jc w:val="center"/>
        </w:trPr>
        <w:tc>
          <w:tcPr>
            <w:tcW w:w="1172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 xml:space="preserve">Límites de la banda </w:t>
            </w:r>
            <w:r w:rsidRPr="008D5825">
              <w:rPr>
                <w:sz w:val="20"/>
                <w:lang w:val="es-ES_tradnl"/>
              </w:rPr>
              <w:br/>
              <w:t xml:space="preserve">(GHz) </w:t>
            </w:r>
            <w:r w:rsidRPr="008D5825">
              <w:rPr>
                <w:sz w:val="20"/>
                <w:lang w:val="es-ES_tradnl"/>
              </w:rPr>
              <w:sym w:font="Wingdings" w:char="F0E0"/>
            </w:r>
          </w:p>
          <w:p w:rsidR="001F4806" w:rsidRPr="008D5825" w:rsidRDefault="001F4806" w:rsidP="008D5825">
            <w:pPr>
              <w:pStyle w:val="Tablehead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(véase la Nota 1)</w:t>
            </w:r>
          </w:p>
        </w:tc>
        <w:tc>
          <w:tcPr>
            <w:tcW w:w="2699" w:type="dxa"/>
            <w:gridSpan w:val="7"/>
            <w:vAlign w:val="center"/>
          </w:tcPr>
          <w:p w:rsidR="001F4806" w:rsidRPr="008D5825" w:rsidRDefault="001F4806" w:rsidP="008D5825">
            <w:pPr>
              <w:pStyle w:val="Tablehead"/>
              <w:rPr>
                <w:sz w:val="20"/>
                <w:lang w:val="es-ES_tradnl" w:eastAsia="de-CH"/>
              </w:rPr>
            </w:pPr>
            <w:r w:rsidRPr="008D5825">
              <w:rPr>
                <w:sz w:val="20"/>
                <w:lang w:val="es-ES_tradnl" w:eastAsia="de-CH"/>
              </w:rPr>
              <w:t>57-59</w:t>
            </w:r>
          </w:p>
        </w:tc>
        <w:tc>
          <w:tcPr>
            <w:tcW w:w="4192" w:type="dxa"/>
            <w:gridSpan w:val="5"/>
            <w:vAlign w:val="center"/>
          </w:tcPr>
          <w:p w:rsidR="001F4806" w:rsidRPr="008D5825" w:rsidRDefault="001F4806" w:rsidP="008D5825">
            <w:pPr>
              <w:pStyle w:val="Tablehead"/>
              <w:rPr>
                <w:sz w:val="20"/>
                <w:lang w:val="es-ES_tradnl" w:eastAsia="de-CH"/>
              </w:rPr>
            </w:pPr>
            <w:r w:rsidRPr="008D5825">
              <w:rPr>
                <w:sz w:val="20"/>
                <w:lang w:val="es-ES_tradnl" w:eastAsia="de-CH"/>
              </w:rPr>
              <w:t>59-63</w:t>
            </w:r>
          </w:p>
        </w:tc>
        <w:tc>
          <w:tcPr>
            <w:tcW w:w="1576" w:type="dxa"/>
            <w:gridSpan w:val="3"/>
            <w:vAlign w:val="center"/>
          </w:tcPr>
          <w:p w:rsidR="001F4806" w:rsidRPr="008D5825" w:rsidRDefault="001F4806" w:rsidP="008D5825">
            <w:pPr>
              <w:pStyle w:val="Tablehead"/>
              <w:rPr>
                <w:sz w:val="20"/>
                <w:lang w:val="es-ES_tradnl" w:eastAsia="de-CH"/>
              </w:rPr>
            </w:pPr>
            <w:r w:rsidRPr="008D5825">
              <w:rPr>
                <w:sz w:val="20"/>
                <w:lang w:val="es-ES_tradnl" w:eastAsia="de-CH"/>
              </w:rPr>
              <w:t>63-64</w:t>
            </w:r>
          </w:p>
        </w:tc>
      </w:tr>
      <w:tr w:rsidR="001F4806" w:rsidRPr="008D5825" w:rsidTr="00AC510E">
        <w:trPr>
          <w:cantSplit/>
          <w:trHeight w:val="587"/>
          <w:jc w:val="center"/>
        </w:trPr>
        <w:tc>
          <w:tcPr>
            <w:tcW w:w="1172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N</w:t>
            </w:r>
            <w:r w:rsidR="00A561F2" w:rsidRPr="008D5825">
              <w:rPr>
                <w:sz w:val="20"/>
                <w:lang w:val="es-ES_tradnl"/>
              </w:rPr>
              <w:t>.º</w:t>
            </w:r>
            <w:r w:rsidRPr="008D5825">
              <w:rPr>
                <w:sz w:val="20"/>
                <w:lang w:val="es-ES_tradnl"/>
              </w:rPr>
              <w:t xml:space="preserve"> de canal de 50 MHz</w:t>
            </w:r>
          </w:p>
        </w:tc>
        <w:tc>
          <w:tcPr>
            <w:tcW w:w="338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1</w:t>
            </w:r>
          </w:p>
        </w:tc>
        <w:tc>
          <w:tcPr>
            <w:tcW w:w="328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2</w:t>
            </w:r>
          </w:p>
        </w:tc>
        <w:tc>
          <w:tcPr>
            <w:tcW w:w="328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3</w:t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4</w:t>
            </w:r>
          </w:p>
        </w:tc>
        <w:tc>
          <w:tcPr>
            <w:tcW w:w="724" w:type="dxa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D01B8F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39</w:t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D01B8F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40</w:t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41</w:t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42</w:t>
            </w:r>
          </w:p>
        </w:tc>
        <w:tc>
          <w:tcPr>
            <w:tcW w:w="2884" w:type="dxa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   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   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119</w:t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120</w:t>
            </w:r>
          </w:p>
        </w:tc>
        <w:tc>
          <w:tcPr>
            <w:tcW w:w="32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121</w:t>
            </w:r>
          </w:p>
        </w:tc>
        <w:tc>
          <w:tcPr>
            <w:tcW w:w="963" w:type="dxa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</w:p>
        </w:tc>
        <w:tc>
          <w:tcPr>
            <w:tcW w:w="286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140</w:t>
            </w:r>
          </w:p>
        </w:tc>
      </w:tr>
      <w:tr w:rsidR="001F4806" w:rsidRPr="008D5825" w:rsidTr="0066240B">
        <w:trPr>
          <w:cantSplit/>
          <w:jc w:val="center"/>
        </w:trPr>
        <w:tc>
          <w:tcPr>
            <w:tcW w:w="1172" w:type="dxa"/>
          </w:tcPr>
          <w:p w:rsidR="001F4806" w:rsidRPr="008D5825" w:rsidRDefault="001F4806" w:rsidP="008D5825">
            <w:pPr>
              <w:pStyle w:val="Tabletext"/>
              <w:jc w:val="center"/>
              <w:rPr>
                <w:sz w:val="20"/>
                <w:lang w:val="es-ES_tradnl"/>
              </w:rPr>
            </w:pPr>
          </w:p>
        </w:tc>
        <w:tc>
          <w:tcPr>
            <w:tcW w:w="338" w:type="dxa"/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G</w:t>
            </w:r>
          </w:p>
        </w:tc>
        <w:tc>
          <w:tcPr>
            <w:tcW w:w="328" w:type="dxa"/>
            <w:shd w:val="clear" w:color="auto" w:fill="C6D9F1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B</w:t>
            </w:r>
          </w:p>
        </w:tc>
        <w:tc>
          <w:tcPr>
            <w:tcW w:w="32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72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sym w:font="Wingdings" w:char="F0E0"/>
            </w: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28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   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>   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3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  <w:tc>
          <w:tcPr>
            <w:tcW w:w="96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t xml:space="preserve"> </w:t>
            </w:r>
            <w:r w:rsidRPr="008D5825">
              <w:rPr>
                <w:rFonts w:asciiTheme="majorBidi" w:hAnsiTheme="majorBidi" w:cstheme="majorBidi"/>
                <w:b/>
                <w:sz w:val="20"/>
                <w:lang w:val="es-ES_tradnl" w:eastAsia="de-CH"/>
              </w:rPr>
              <w:sym w:font="Wingdings" w:char="F0E0"/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</w:p>
        </w:tc>
      </w:tr>
    </w:tbl>
    <w:p w:rsidR="001F4806" w:rsidRPr="008D5825" w:rsidRDefault="001F4806" w:rsidP="008D5825">
      <w:pPr>
        <w:pStyle w:val="Note"/>
        <w:rPr>
          <w:sz w:val="20"/>
          <w:lang w:val="es-ES_tradnl"/>
        </w:rPr>
      </w:pPr>
      <w:r w:rsidRPr="008D5825">
        <w:rPr>
          <w:sz w:val="20"/>
          <w:lang w:val="es-ES_tradnl"/>
        </w:rPr>
        <w:t>NOTA</w:t>
      </w:r>
      <w:r w:rsidR="0066240B" w:rsidRPr="008D5825">
        <w:rPr>
          <w:sz w:val="20"/>
          <w:lang w:val="es-ES_tradnl"/>
        </w:rPr>
        <w:t> </w:t>
      </w:r>
      <w:r w:rsidRPr="008D5825">
        <w:rPr>
          <w:sz w:val="20"/>
          <w:lang w:val="es-ES_tradnl"/>
        </w:rPr>
        <w:t>1</w:t>
      </w:r>
      <w:r w:rsidR="0066240B" w:rsidRPr="008D5825">
        <w:rPr>
          <w:sz w:val="20"/>
          <w:lang w:val="es-ES_tradnl"/>
        </w:rPr>
        <w:t> </w:t>
      </w:r>
      <w:r w:rsidRPr="008D5825">
        <w:rPr>
          <w:sz w:val="20"/>
          <w:lang w:val="es-ES_tradnl"/>
        </w:rPr>
        <w:t>–</w:t>
      </w:r>
      <w:r w:rsidR="0066240B" w:rsidRPr="008D5825">
        <w:rPr>
          <w:sz w:val="20"/>
          <w:lang w:val="es-ES_tradnl"/>
        </w:rPr>
        <w:t> </w:t>
      </w:r>
      <w:r w:rsidRPr="008D5825">
        <w:rPr>
          <w:sz w:val="20"/>
          <w:lang w:val="es-ES_tradnl"/>
        </w:rPr>
        <w:t>La separación en tres gamas de frecuencia principales es meramente indicativa. Las consideraciones reglamentarias pueden diferir a nivel nacional. En función de dichas consideraciones nacionales, las administraciones pueden optar por desplegar sistemas de radiocomunicaciones con canales que traslapan estos límites y emparejadas en estas bandas.</w:t>
      </w:r>
    </w:p>
    <w:p w:rsidR="001F4806" w:rsidRPr="008D5825" w:rsidRDefault="001F4806" w:rsidP="008D5825">
      <w:pPr>
        <w:pStyle w:val="Note"/>
        <w:rPr>
          <w:sz w:val="20"/>
          <w:lang w:val="es-ES_tradnl"/>
        </w:rPr>
      </w:pPr>
      <w:r w:rsidRPr="008D5825">
        <w:rPr>
          <w:sz w:val="20"/>
          <w:lang w:val="es-ES_tradnl"/>
        </w:rPr>
        <w:t>NOTA</w:t>
      </w:r>
      <w:r w:rsidR="0066240B" w:rsidRPr="008D5825">
        <w:rPr>
          <w:sz w:val="20"/>
          <w:lang w:val="es-ES_tradnl"/>
        </w:rPr>
        <w:t> </w:t>
      </w:r>
      <w:r w:rsidRPr="008D5825">
        <w:rPr>
          <w:sz w:val="20"/>
          <w:lang w:val="es-ES_tradnl"/>
        </w:rPr>
        <w:t>2</w:t>
      </w:r>
      <w:r w:rsidR="0066240B" w:rsidRPr="008D5825">
        <w:rPr>
          <w:sz w:val="20"/>
          <w:lang w:val="es-ES_tradnl"/>
        </w:rPr>
        <w:t> </w:t>
      </w:r>
      <w:r w:rsidRPr="008D5825">
        <w:rPr>
          <w:sz w:val="20"/>
          <w:lang w:val="es-ES_tradnl"/>
        </w:rPr>
        <w:t>–</w:t>
      </w:r>
      <w:r w:rsidR="0066240B" w:rsidRPr="008D5825">
        <w:rPr>
          <w:sz w:val="20"/>
          <w:lang w:val="es-ES_tradnl"/>
        </w:rPr>
        <w:t> </w:t>
      </w:r>
      <w:r w:rsidRPr="008D5825">
        <w:rPr>
          <w:sz w:val="20"/>
          <w:lang w:val="es-ES_tradnl"/>
        </w:rPr>
        <w:t>Las administraciones pueden optar por combinar la utilización de sistemas de radiocomunicaciones PP en la banda 57-64 GHz con la banda 64-66 GHz conforme al Anexo 3 de la presente Recomendación. Si las circunstancias lo permiten, estos sistemas de radiocomunicaciones también pueden desplegarse con un canal que traslapa el límite con la banda 57-64 GHz y emparejadas en estas bandas. Se han de tener en cuenta las diferentes disposiciones reglamentarias entre estas bandas a nivel nacional.</w:t>
      </w:r>
    </w:p>
    <w:p w:rsidR="001F4806" w:rsidRPr="008D5825" w:rsidRDefault="0090029E" w:rsidP="008D5825">
      <w:pPr>
        <w:pStyle w:val="TableNo"/>
        <w:rPr>
          <w:lang w:val="es-ES_tradnl"/>
        </w:rPr>
      </w:pPr>
      <w:r w:rsidRPr="008D5825">
        <w:rPr>
          <w:lang w:val="es-ES_tradnl"/>
        </w:rPr>
        <w:lastRenderedPageBreak/>
        <w:t xml:space="preserve">CUADRO </w:t>
      </w:r>
      <w:r w:rsidR="001F4806" w:rsidRPr="008D5825">
        <w:rPr>
          <w:lang w:val="es-ES_tradnl"/>
        </w:rPr>
        <w:t>3</w:t>
      </w:r>
    </w:p>
    <w:p w:rsidR="001F4806" w:rsidRPr="008D5825" w:rsidRDefault="001F4806" w:rsidP="008D5825">
      <w:pPr>
        <w:pStyle w:val="Tabletitle"/>
        <w:rPr>
          <w:lang w:val="es-ES_tradnl"/>
        </w:rPr>
      </w:pPr>
      <w:r w:rsidRPr="008D5825">
        <w:rPr>
          <w:lang w:val="es-ES_tradnl"/>
        </w:rPr>
        <w:t>Parámetros calculados de acuerdo con la Recomendación UIT</w:t>
      </w:r>
      <w:r w:rsidRPr="008D5825">
        <w:rPr>
          <w:lang w:val="es-ES_tradnl"/>
        </w:rPr>
        <w:noBreakHyphen/>
        <w:t>R F.746</w:t>
      </w:r>
    </w:p>
    <w:tbl>
      <w:tblPr>
        <w:tblW w:w="964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"/>
        <w:gridCol w:w="1594"/>
        <w:gridCol w:w="1594"/>
        <w:gridCol w:w="1595"/>
        <w:gridCol w:w="1595"/>
        <w:gridCol w:w="1595"/>
        <w:gridCol w:w="1657"/>
        <w:gridCol w:w="9"/>
      </w:tblGrid>
      <w:tr w:rsidR="001F4806" w:rsidRPr="008D5825" w:rsidTr="0066240B">
        <w:trPr>
          <w:gridBefore w:val="1"/>
          <w:wBefore w:w="8" w:type="dxa"/>
          <w:cantSplit/>
          <w:trHeight w:val="400"/>
          <w:jc w:val="center"/>
        </w:trPr>
        <w:tc>
          <w:tcPr>
            <w:tcW w:w="159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594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i/>
                <w:iCs/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n</w:t>
            </w:r>
          </w:p>
        </w:tc>
        <w:tc>
          <w:tcPr>
            <w:tcW w:w="159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f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59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f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lang w:val="es-ES_tradnl"/>
              </w:rPr>
              <w:t>40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59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666" w:type="dxa"/>
            <w:gridSpan w:val="2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2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</w:tr>
      <w:tr w:rsidR="001F4806" w:rsidRPr="008D5825" w:rsidTr="0066240B">
        <w:trPr>
          <w:gridBefore w:val="1"/>
          <w:wBefore w:w="8" w:type="dxa"/>
          <w:cantSplit/>
          <w:jc w:val="center"/>
        </w:trPr>
        <w:tc>
          <w:tcPr>
            <w:tcW w:w="1594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50</w:t>
            </w:r>
          </w:p>
        </w:tc>
        <w:tc>
          <w:tcPr>
            <w:tcW w:w="1594" w:type="dxa"/>
            <w:vAlign w:val="center"/>
          </w:tcPr>
          <w:p w:rsidR="001F4806" w:rsidRPr="008D5825" w:rsidRDefault="001F4806" w:rsidP="008D5825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1, ... 140</w:t>
            </w:r>
          </w:p>
        </w:tc>
        <w:tc>
          <w:tcPr>
            <w:tcW w:w="1595" w:type="dxa"/>
            <w:vAlign w:val="center"/>
          </w:tcPr>
          <w:p w:rsidR="001F4806" w:rsidRPr="008D5825" w:rsidRDefault="001F4806" w:rsidP="008D5825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57 025</w:t>
            </w:r>
          </w:p>
        </w:tc>
        <w:tc>
          <w:tcPr>
            <w:tcW w:w="1595" w:type="dxa"/>
            <w:vAlign w:val="center"/>
          </w:tcPr>
          <w:p w:rsidR="001F4806" w:rsidRPr="008D5825" w:rsidRDefault="001F4806" w:rsidP="008D5825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63 975</w:t>
            </w:r>
          </w:p>
        </w:tc>
        <w:tc>
          <w:tcPr>
            <w:tcW w:w="1595" w:type="dxa"/>
            <w:vAlign w:val="center"/>
          </w:tcPr>
          <w:p w:rsidR="001F4806" w:rsidRPr="008D5825" w:rsidRDefault="001F4806" w:rsidP="008D5825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25</w:t>
            </w:r>
          </w:p>
        </w:tc>
        <w:tc>
          <w:tcPr>
            <w:tcW w:w="1666" w:type="dxa"/>
            <w:gridSpan w:val="2"/>
            <w:vAlign w:val="center"/>
          </w:tcPr>
          <w:p w:rsidR="001F4806" w:rsidRPr="008D5825" w:rsidRDefault="001F4806" w:rsidP="008D5825">
            <w:pPr>
              <w:pStyle w:val="Tabletext"/>
              <w:keepLines/>
              <w:tabs>
                <w:tab w:val="left" w:leader="dot" w:pos="7938"/>
                <w:tab w:val="center" w:pos="9526"/>
                <w:tab w:val="right" w:pos="9611"/>
              </w:tabs>
              <w:ind w:left="567" w:hanging="567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25</w:t>
            </w:r>
          </w:p>
        </w:tc>
      </w:tr>
      <w:tr w:rsidR="001F4806" w:rsidRPr="00130853" w:rsidTr="0066240B">
        <w:trPr>
          <w:gridAfter w:val="1"/>
          <w:wAfter w:w="9" w:type="dxa"/>
          <w:cantSplit/>
          <w:jc w:val="center"/>
        </w:trPr>
        <w:tc>
          <w:tcPr>
            <w:tcW w:w="9638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1F4806" w:rsidRPr="008D5825" w:rsidRDefault="001F4806" w:rsidP="008D5825">
            <w:pPr>
              <w:pStyle w:val="Tablelegen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</w:r>
            <w:r w:rsidR="0066240B" w:rsidRPr="008D5825">
              <w:rPr>
                <w:lang w:val="es-ES_tradnl"/>
              </w:rPr>
              <w:tab/>
            </w:r>
            <w:r w:rsidRPr="008D5825">
              <w:rPr>
                <w:lang w:val="es-ES_tradnl"/>
              </w:rPr>
              <w:t>separación entre las frecuencias centrales de canales adyacentes</w:t>
            </w:r>
          </w:p>
          <w:p w:rsidR="001F4806" w:rsidRPr="008D5825" w:rsidRDefault="001F4806" w:rsidP="008D5825">
            <w:pPr>
              <w:pStyle w:val="Tablelegen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E66483">
              <w:rPr>
                <w:vertAlign w:val="subscript"/>
                <w:lang w:val="es-ES_tradnl"/>
              </w:rPr>
              <w:t>1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</w:r>
            <w:r w:rsidR="00BD2A3B" w:rsidRPr="008D5825">
              <w:rPr>
                <w:lang w:val="es-ES_tradnl"/>
              </w:rPr>
              <w:tab/>
            </w:r>
            <w:r w:rsidRPr="008D5825">
              <w:rPr>
                <w:lang w:val="es-ES_tradnl"/>
              </w:rPr>
              <w:t>separación entre el borde de la banda inferior y la frecuencia central del primer canal</w:t>
            </w:r>
          </w:p>
          <w:p w:rsidR="001F4806" w:rsidRPr="008D5825" w:rsidRDefault="001F4806" w:rsidP="008D5825">
            <w:pPr>
              <w:pStyle w:val="Tablelegen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E66483">
              <w:rPr>
                <w:vertAlign w:val="subscript"/>
                <w:lang w:val="es-ES_tradnl"/>
              </w:rPr>
              <w:t>2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="00BD2A3B" w:rsidRPr="008D5825">
              <w:rPr>
                <w:lang w:val="es-ES_tradnl"/>
              </w:rPr>
              <w:tab/>
            </w:r>
            <w:r w:rsidR="00BD2A3B" w:rsidRPr="008D5825">
              <w:rPr>
                <w:lang w:val="es-ES_tradnl"/>
              </w:rPr>
              <w:tab/>
            </w:r>
            <w:r w:rsidRPr="008D5825">
              <w:rPr>
                <w:lang w:val="es-ES_tradnl"/>
              </w:rPr>
              <w:t>separación entre la frecuencia central del último canal y el borde de la banda superior.</w:t>
            </w:r>
          </w:p>
        </w:tc>
      </w:tr>
    </w:tbl>
    <w:p w:rsidR="001F4806" w:rsidRPr="008D5825" w:rsidRDefault="001F4806" w:rsidP="008D5825">
      <w:pPr>
        <w:pStyle w:val="Tablefin"/>
        <w:rPr>
          <w:lang w:val="es-ES_tradnl"/>
        </w:rPr>
      </w:pPr>
    </w:p>
    <w:p w:rsidR="001F4806" w:rsidRPr="008D5825" w:rsidRDefault="001F4806" w:rsidP="008D5825">
      <w:pPr>
        <w:rPr>
          <w:lang w:val="es-ES_tradnl"/>
        </w:rPr>
      </w:pPr>
    </w:p>
    <w:p w:rsidR="00D81645" w:rsidRPr="008D5825" w:rsidRDefault="00D81645" w:rsidP="008D5825">
      <w:pPr>
        <w:rPr>
          <w:lang w:val="es-ES_tradnl"/>
        </w:rPr>
      </w:pPr>
    </w:p>
    <w:p w:rsidR="001F4806" w:rsidRPr="008D5825" w:rsidRDefault="001F4806" w:rsidP="008D5825">
      <w:pPr>
        <w:pStyle w:val="AnnexNoTitle"/>
        <w:rPr>
          <w:lang w:val="es-ES_tradnl"/>
        </w:rPr>
      </w:pPr>
      <w:r w:rsidRPr="008D5825">
        <w:rPr>
          <w:szCs w:val="28"/>
          <w:lang w:val="es-ES_tradnl"/>
        </w:rPr>
        <w:t>Anexo 3</w:t>
      </w:r>
      <w:r w:rsidRPr="008D5825">
        <w:rPr>
          <w:szCs w:val="28"/>
          <w:lang w:val="es-ES_tradnl"/>
        </w:rPr>
        <w:br/>
      </w:r>
      <w:r w:rsidRPr="008D5825">
        <w:rPr>
          <w:szCs w:val="28"/>
          <w:lang w:val="es-ES_tradnl"/>
        </w:rPr>
        <w:br/>
      </w:r>
      <w:r w:rsidRPr="008D5825">
        <w:rPr>
          <w:lang w:val="es-ES_tradnl"/>
        </w:rPr>
        <w:t>Disposición de canales de radiofrecuencia en la banda 64-66 GHz</w:t>
      </w:r>
    </w:p>
    <w:p w:rsidR="001F4806" w:rsidRPr="008D5825" w:rsidRDefault="001F4806" w:rsidP="008D5825">
      <w:pPr>
        <w:pStyle w:val="Normalaftertitle"/>
        <w:rPr>
          <w:lang w:val="es-ES_tradnl"/>
        </w:rPr>
      </w:pPr>
      <w:r w:rsidRPr="008D5825">
        <w:rPr>
          <w:lang w:val="es-ES_tradnl"/>
        </w:rPr>
        <w:t xml:space="preserve">En el presente Anexo figuran ejemplos de disposición de canales de frecuencias para aplicaciones DDF y DDT. Los canales básicos de 30 MHz </w:t>
      </w:r>
      <w:r w:rsidR="008D5825">
        <w:rPr>
          <w:lang w:val="es-ES_tradnl"/>
        </w:rPr>
        <w:t>o</w:t>
      </w:r>
      <w:r w:rsidRPr="008D5825">
        <w:rPr>
          <w:lang w:val="es-ES_tradnl"/>
        </w:rPr>
        <w:t xml:space="preserve"> 50 MHz para los dos tipos de aplicaciones pueden combinarse para formar bloques/canales más grandes, según lo exija la administración nacional.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Las Administraciones también pueden desear combinar la utilización de sistemas de radiocomunicaciones punto a punto en la banda 64</w:t>
      </w:r>
      <w:r w:rsidRPr="008D5825">
        <w:rPr>
          <w:lang w:val="es-ES_tradnl"/>
        </w:rPr>
        <w:noBreakHyphen/>
        <w:t>66 GHz con la banda contigua 57-64</w:t>
      </w:r>
      <w:r w:rsidR="00C5460F" w:rsidRPr="008D5825">
        <w:rPr>
          <w:lang w:val="es-ES_tradnl"/>
        </w:rPr>
        <w:t> </w:t>
      </w:r>
      <w:r w:rsidRPr="008D5825">
        <w:rPr>
          <w:lang w:val="es-ES_tradnl"/>
        </w:rPr>
        <w:t>GHz, conforme al Anexo</w:t>
      </w:r>
      <w:r w:rsidR="008D5825">
        <w:rPr>
          <w:lang w:val="es-ES_tradnl"/>
        </w:rPr>
        <w:t> </w:t>
      </w:r>
      <w:r w:rsidRPr="008D5825">
        <w:rPr>
          <w:lang w:val="es-ES_tradnl"/>
        </w:rPr>
        <w:t>2 de la presente Recomendación. Estos sistemas de radiocomunicaciones también pueden desplegarse en un canal que rebase el límite de la banda 64</w:t>
      </w:r>
      <w:r w:rsidRPr="008D5825">
        <w:rPr>
          <w:lang w:val="es-ES_tradnl"/>
        </w:rPr>
        <w:noBreakHyphen/>
        <w:t>66 GHz y emparejado en esta banda, utilizando ya sea: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a)</w:t>
      </w:r>
      <w:r w:rsidRPr="008D5825">
        <w:rPr>
          <w:lang w:val="es-ES_tradnl"/>
        </w:rPr>
        <w:tab/>
        <w:t>un número de canales básicos de 30 MHz y la banda de guarda inferior de 10 MHz</w:t>
      </w:r>
      <w:r w:rsidR="00743D71">
        <w:rPr>
          <w:lang w:val="es-ES_tradnl"/>
        </w:rPr>
        <w:t xml:space="preserve"> de la disposición de la Fig. 3;</w:t>
      </w:r>
      <w:r w:rsidRPr="008D5825">
        <w:rPr>
          <w:lang w:val="es-ES_tradnl"/>
        </w:rPr>
        <w:t xml:space="preserve"> o bien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b)</w:t>
      </w:r>
      <w:r w:rsidRPr="008D5825">
        <w:rPr>
          <w:lang w:val="es-ES_tradnl"/>
        </w:rPr>
        <w:tab/>
        <w:t>un número de canales básicos de 50 MHz acordes con la disposición de la Fig. 6.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Cabe observar que la diferencia en cuanto a la absorción de oxígeno entre las bandas 57-64 GHz y 64-66 GHz puede sugerir que existan, a escala nacional, diferentes disposiciones reglamentarias entre estas bandas.</w:t>
      </w:r>
    </w:p>
    <w:p w:rsidR="001F4806" w:rsidRPr="008D5825" w:rsidRDefault="001F4806" w:rsidP="008D5825">
      <w:pPr>
        <w:pStyle w:val="Heading1"/>
        <w:rPr>
          <w:lang w:val="es-ES_tradnl"/>
        </w:rPr>
      </w:pPr>
      <w:r w:rsidRPr="008D5825">
        <w:rPr>
          <w:lang w:val="es-ES_tradnl"/>
        </w:rPr>
        <w:t>1</w:t>
      </w:r>
      <w:r w:rsidRPr="008D5825">
        <w:rPr>
          <w:lang w:val="es-ES_tradnl"/>
        </w:rPr>
        <w:tab/>
        <w:t xml:space="preserve">Disposiciones de DDF y DDT con canales básicos de 30 MHz 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Sean:</w:t>
      </w:r>
    </w:p>
    <w:p w:rsidR="001F4806" w:rsidRPr="008D5825" w:rsidRDefault="001F4806" w:rsidP="008D5825">
      <w:pPr>
        <w:pStyle w:val="Equationlegend"/>
        <w:rPr>
          <w:lang w:val="es-ES_tradnl"/>
        </w:rPr>
      </w:pP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ab/>
        <w:t>la frecuencia de referencia de 56 </w:t>
      </w:r>
      <w:r w:rsidRPr="008D5825">
        <w:rPr>
          <w:color w:val="000000"/>
          <w:lang w:val="es-ES_tradnl"/>
        </w:rPr>
        <w:t>950</w:t>
      </w:r>
      <w:r w:rsidR="00E367EC">
        <w:rPr>
          <w:lang w:val="es-ES_tradnl"/>
        </w:rPr>
        <w:t> MHz</w:t>
      </w:r>
    </w:p>
    <w:p w:rsidR="001F4806" w:rsidRPr="008D5825" w:rsidRDefault="001F4806" w:rsidP="008D5825">
      <w:pPr>
        <w:pStyle w:val="Equationlegend"/>
        <w:rPr>
          <w:lang w:val="es-ES_tradnl"/>
        </w:rPr>
      </w:pP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ab/>
        <w:t>la frecuencia central del canal de radiofrecuencia en la banda 64-66 GHz,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las frecuencias centrales de cada uno de los canales se expresan mediante las relaciones siguientes: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a)</w:t>
      </w:r>
      <w:r w:rsidRPr="008D5825">
        <w:rPr>
          <w:lang w:val="es-ES_tradnl"/>
        </w:rPr>
        <w:tab/>
        <w:t>para disposiciones DDF:</w:t>
      </w: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</w:t>
      </w:r>
      <w:r w:rsidRPr="008D5825">
        <w:rPr>
          <w:lang w:val="es-ES_tradnl"/>
        </w:rPr>
        <w:t> </w:t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> 7 045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 xml:space="preserve"> 30 </w:t>
      </w:r>
      <w:r w:rsidRPr="008D5825">
        <w:rPr>
          <w:i/>
          <w:lang w:val="es-ES_tradnl"/>
        </w:rPr>
        <w:t>n</w:t>
      </w:r>
      <w:r w:rsidRPr="008D5825">
        <w:rPr>
          <w:i/>
          <w:iCs/>
          <w:lang w:val="es-ES_tradnl"/>
        </w:rPr>
        <w:t>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39071C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r w:rsidR="0039071C" w:rsidRPr="008D5825">
        <w:rPr>
          <w:position w:val="-12"/>
          <w:lang w:val="es-ES_tradnl"/>
        </w:rPr>
        <w:object w:dxaOrig="300" w:dyaOrig="360">
          <v:shape id="_x0000_i1034" type="#_x0000_t75" style="width:15pt;height:18.5pt" o:ole="">
            <v:imagedata r:id="rId13" o:title=""/>
          </v:shape>
          <o:OLEObject Type="Embed" ProgID="Equation.3" ShapeID="_x0000_i1034" DrawAspect="Content" ObjectID="_1499243772" r:id="rId25"/>
        </w:object>
      </w:r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</w:t>
      </w:r>
      <w:r w:rsidRPr="008D5825">
        <w:rPr>
          <w:lang w:val="es-ES_tradnl"/>
        </w:rPr>
        <w:t> </w:t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> 8 035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 xml:space="preserve"> 30 </w:t>
      </w:r>
      <w:r w:rsidRPr="008D5825">
        <w:rPr>
          <w:i/>
          <w:lang w:val="es-ES_tradnl"/>
        </w:rPr>
        <w:t>n</w:t>
      </w:r>
      <w:r w:rsidRPr="008D5825">
        <w:rPr>
          <w:i/>
          <w:iCs/>
          <w:lang w:val="es-ES_tradnl"/>
        </w:rPr>
        <w:t>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CA3D89" w:rsidP="008D5825">
      <w:pPr>
        <w:pStyle w:val="enumlev1"/>
        <w:rPr>
          <w:lang w:val="es-ES_tradnl"/>
        </w:rPr>
      </w:pPr>
      <w:r w:rsidRPr="008D5825">
        <w:rPr>
          <w:i/>
          <w:lang w:val="es-ES_tradnl"/>
        </w:rPr>
        <w:tab/>
      </w:r>
      <w:r w:rsidR="001F4806" w:rsidRPr="008D5825">
        <w:rPr>
          <w:i/>
          <w:lang w:val="es-ES_tradnl"/>
        </w:rPr>
        <w:tab/>
        <w:t>n</w:t>
      </w:r>
      <w:r w:rsidRPr="008D5825">
        <w:rPr>
          <w:i/>
          <w:lang w:val="es-ES_tradnl"/>
        </w:rPr>
        <w:t> </w:t>
      </w:r>
      <w:r w:rsidR="007E167C" w:rsidRPr="008D5825">
        <w:rPr>
          <w:lang w:val="es-ES_tradnl"/>
        </w:rPr>
        <w:t>=</w:t>
      </w:r>
      <w:r w:rsidR="001F4806" w:rsidRPr="008D5825">
        <w:rPr>
          <w:lang w:val="es-ES_tradnl"/>
        </w:rPr>
        <w:t> 1, 2, 3, ... 33</w:t>
      </w:r>
    </w:p>
    <w:p w:rsidR="001F4806" w:rsidRPr="008D5825" w:rsidRDefault="001F4806" w:rsidP="008D5825">
      <w:pPr>
        <w:pStyle w:val="enumlev1"/>
        <w:keepNext/>
        <w:keepLines/>
        <w:rPr>
          <w:lang w:val="es-ES_tradnl"/>
        </w:rPr>
      </w:pPr>
      <w:r w:rsidRPr="008D5825">
        <w:rPr>
          <w:lang w:val="es-ES_tradnl"/>
        </w:rPr>
        <w:lastRenderedPageBreak/>
        <w:t>b)</w:t>
      </w:r>
      <w:r w:rsidRPr="008D5825">
        <w:rPr>
          <w:lang w:val="es-ES_tradnl"/>
        </w:rPr>
        <w:tab/>
        <w:t>para disposiciones DDT:</w:t>
      </w: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="0090029E" w:rsidRPr="008D5825">
        <w:rPr>
          <w:i/>
          <w:lang w:val="es-ES_tradnl"/>
        </w:rPr>
        <w:t>f</w:t>
      </w:r>
      <w:r w:rsidR="0090029E" w:rsidRPr="008D5825">
        <w:rPr>
          <w:i/>
          <w:iCs/>
          <w:vertAlign w:val="subscript"/>
          <w:lang w:val="es-ES_tradnl"/>
        </w:rPr>
        <w:t>n</w:t>
      </w:r>
      <w:proofErr w:type="spellEnd"/>
      <w:r w:rsidR="0090029E" w:rsidRPr="008D5825">
        <w:rPr>
          <w:lang w:val="es-ES_tradnl"/>
        </w:rPr>
        <w:t> </w:t>
      </w:r>
      <w:r w:rsidR="0090029E" w:rsidRPr="008D5825">
        <w:rPr>
          <w:rFonts w:ascii="Symbol" w:hAnsi="Symbol"/>
          <w:lang w:val="es-ES_tradnl"/>
        </w:rPr>
        <w:t></w:t>
      </w:r>
      <w:r w:rsidR="0090029E" w:rsidRPr="008D5825">
        <w:rPr>
          <w:lang w:val="es-ES_tradnl"/>
        </w:rPr>
        <w:t> </w:t>
      </w:r>
      <w:proofErr w:type="spellStart"/>
      <w:r w:rsidR="0090029E" w:rsidRPr="008D5825">
        <w:rPr>
          <w:i/>
          <w:lang w:val="es-ES_tradnl"/>
        </w:rPr>
        <w:t>f</w:t>
      </w:r>
      <w:r w:rsidR="0090029E" w:rsidRPr="008D5825">
        <w:rPr>
          <w:i/>
          <w:iCs/>
          <w:vertAlign w:val="subscript"/>
          <w:lang w:val="es-ES_tradnl"/>
        </w:rPr>
        <w:t>r</w:t>
      </w:r>
      <w:proofErr w:type="spellEnd"/>
      <w:r w:rsidR="0090029E" w:rsidRPr="008D5825">
        <w:rPr>
          <w:lang w:val="es-ES_tradnl"/>
        </w:rPr>
        <w:t> </w:t>
      </w:r>
      <w:r w:rsidR="0090029E" w:rsidRPr="008D5825">
        <w:rPr>
          <w:rFonts w:ascii="Symbol" w:hAnsi="Symbol"/>
          <w:lang w:val="es-ES_tradnl"/>
        </w:rPr>
        <w:t>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> 7 045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 xml:space="preserve"> 30 </w:t>
      </w:r>
      <w:r w:rsidRPr="008D5825">
        <w:rPr>
          <w:i/>
          <w:lang w:val="es-ES_tradnl"/>
        </w:rPr>
        <w:t>n</w:t>
      </w:r>
      <w:r w:rsidRPr="008D5825">
        <w:rPr>
          <w:i/>
          <w:iCs/>
          <w:lang w:val="es-ES_tradnl"/>
        </w:rPr>
        <w:t>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CA3D89" w:rsidP="008D5825">
      <w:pPr>
        <w:pStyle w:val="enumlev1"/>
        <w:rPr>
          <w:lang w:val="es-ES_tradnl"/>
        </w:rPr>
      </w:pPr>
      <w:r w:rsidRPr="008D5825">
        <w:rPr>
          <w:i/>
          <w:lang w:val="es-ES_tradnl"/>
        </w:rPr>
        <w:tab/>
      </w:r>
      <w:r w:rsidR="001F4806" w:rsidRPr="008D5825">
        <w:rPr>
          <w:i/>
          <w:lang w:val="es-ES_tradnl"/>
        </w:rPr>
        <w:tab/>
        <w:t>n</w:t>
      </w:r>
      <w:r w:rsidRPr="008D5825">
        <w:rPr>
          <w:i/>
          <w:lang w:val="es-ES_tradnl"/>
        </w:rPr>
        <w:t> </w:t>
      </w:r>
      <w:r w:rsidR="007E167C" w:rsidRPr="008D5825">
        <w:rPr>
          <w:lang w:val="es-ES_tradnl"/>
        </w:rPr>
        <w:t>=</w:t>
      </w:r>
      <w:r w:rsidR="001F4806" w:rsidRPr="008D5825">
        <w:rPr>
          <w:lang w:val="es-ES_tradnl"/>
        </w:rPr>
        <w:t> 1, 2, 3, ... 66</w:t>
      </w:r>
      <w:r w:rsidR="00A561F2" w:rsidRPr="008D5825">
        <w:rPr>
          <w:lang w:val="es-ES_tradnl"/>
        </w:rPr>
        <w:t>.</w:t>
      </w:r>
    </w:p>
    <w:p w:rsidR="001F4806" w:rsidRPr="008D5825" w:rsidRDefault="001F4806" w:rsidP="008D5825">
      <w:pPr>
        <w:rPr>
          <w:lang w:val="es-ES_tradnl" w:eastAsia="ja-JP"/>
        </w:rPr>
      </w:pPr>
      <w:r w:rsidRPr="008D5825">
        <w:rPr>
          <w:lang w:val="es-ES_tradnl"/>
        </w:rPr>
        <w:t xml:space="preserve">La </w:t>
      </w:r>
      <w:r w:rsidR="001F4CDB" w:rsidRPr="008D5825">
        <w:rPr>
          <w:lang w:val="es-ES_tradnl"/>
        </w:rPr>
        <w:t>Fig.</w:t>
      </w:r>
      <w:r w:rsidRPr="008D5825">
        <w:rPr>
          <w:lang w:val="es-ES_tradnl"/>
        </w:rPr>
        <w:t xml:space="preserve"> 2 muestra la disposición básica de DDF que consiste en 33 canales básicos emparejados de 30</w:t>
      </w:r>
      <w:r w:rsidR="00375CA0" w:rsidRPr="008D5825">
        <w:rPr>
          <w:lang w:val="es-ES_tradnl"/>
        </w:rPr>
        <w:t> </w:t>
      </w:r>
      <w:r w:rsidRPr="008D5825">
        <w:rPr>
          <w:lang w:val="es-ES_tradnl"/>
        </w:rPr>
        <w:t>MHz, que pueden combinarse para formar canales/bloques DDF constituidos por varios canales básicos contiguos de 30 MHz.</w:t>
      </w:r>
    </w:p>
    <w:p w:rsidR="001F4806" w:rsidRPr="008D5825" w:rsidRDefault="001F4806" w:rsidP="008D5825">
      <w:pPr>
        <w:pStyle w:val="FigureNo"/>
        <w:rPr>
          <w:lang w:val="es-ES_tradnl"/>
        </w:rPr>
      </w:pPr>
      <w:r w:rsidRPr="008D5825">
        <w:rPr>
          <w:lang w:val="es-ES_tradnl"/>
        </w:rPr>
        <w:t>FigurA 2</w:t>
      </w:r>
    </w:p>
    <w:p w:rsidR="001F4806" w:rsidRPr="008D5825" w:rsidRDefault="001F4806" w:rsidP="008D5825">
      <w:pPr>
        <w:pStyle w:val="Figuretitle"/>
        <w:rPr>
          <w:lang w:val="es-ES_tradnl"/>
        </w:rPr>
      </w:pPr>
      <w:r w:rsidRPr="008D5825">
        <w:rPr>
          <w:lang w:val="es-ES_tradnl"/>
        </w:rPr>
        <w:t xml:space="preserve">Disposición básica DDF con canales de 30 MHz </w:t>
      </w:r>
      <w:r w:rsidRPr="008D5825">
        <w:rPr>
          <w:lang w:val="es-ES_tradnl" w:eastAsia="ja-JP"/>
        </w:rPr>
        <w:t xml:space="preserve">en </w:t>
      </w:r>
      <w:r w:rsidRPr="008D5825">
        <w:rPr>
          <w:lang w:val="es-ES_tradnl"/>
        </w:rPr>
        <w:t>64-66 GHz</w:t>
      </w:r>
      <w:r w:rsidRPr="008D5825">
        <w:rPr>
          <w:lang w:val="es-ES_tradnl"/>
        </w:rPr>
        <w:br/>
        <w:t>(separación dúplex: 990 MHz)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"/>
        <w:gridCol w:w="209"/>
        <w:gridCol w:w="527"/>
        <w:gridCol w:w="156"/>
        <w:gridCol w:w="196"/>
        <w:gridCol w:w="3514"/>
        <w:gridCol w:w="176"/>
        <w:gridCol w:w="175"/>
        <w:gridCol w:w="3339"/>
        <w:gridCol w:w="186"/>
        <w:gridCol w:w="165"/>
        <w:gridCol w:w="527"/>
        <w:gridCol w:w="201"/>
        <w:gridCol w:w="128"/>
      </w:tblGrid>
      <w:tr w:rsidR="001F4806" w:rsidRPr="008D5825" w:rsidTr="00881CB9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20" w:type="dxa"/>
            <w:gridSpan w:val="3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ind w:left="-57" w:right="-57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10 MHz</w:t>
            </w:r>
          </w:p>
        </w:tc>
        <w:tc>
          <w:tcPr>
            <w:tcW w:w="3135" w:type="dxa"/>
            <w:gridSpan w:val="3"/>
            <w:tcBorders>
              <w:bottom w:val="single" w:sz="4" w:space="0" w:color="auto"/>
            </w:tcBorders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rPr>
                <w:sz w:val="20"/>
                <w:lang w:val="es-ES_tradnl" w:eastAsia="ja-JP"/>
              </w:rPr>
            </w:pPr>
            <w:r w:rsidRPr="008D5825">
              <w:rPr>
                <w:sz w:val="20"/>
                <w:lang w:val="es-ES_tradnl"/>
              </w:rPr>
              <w:t>33 × 30 MHz</w:t>
            </w:r>
            <w:r w:rsidRPr="008D5825">
              <w:rPr>
                <w:sz w:val="20"/>
                <w:lang w:val="es-ES_tradnl" w:eastAsia="ja-JP"/>
              </w:rPr>
              <w:t xml:space="preserve"> canales</w:t>
            </w:r>
          </w:p>
        </w:tc>
        <w:tc>
          <w:tcPr>
            <w:tcW w:w="2985" w:type="dxa"/>
            <w:gridSpan w:val="3"/>
            <w:tcBorders>
              <w:bottom w:val="single" w:sz="4" w:space="0" w:color="auto"/>
            </w:tcBorders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rPr>
                <w:sz w:val="20"/>
                <w:lang w:val="es-ES_tradnl" w:eastAsia="ja-JP"/>
              </w:rPr>
            </w:pPr>
            <w:r w:rsidRPr="008D5825">
              <w:rPr>
                <w:sz w:val="20"/>
                <w:lang w:val="es-ES_tradnl"/>
              </w:rPr>
              <w:t xml:space="preserve">33 × 30 MHz </w:t>
            </w:r>
            <w:r w:rsidRPr="008D5825">
              <w:rPr>
                <w:sz w:val="20"/>
                <w:lang w:val="es-ES_tradnl" w:eastAsia="ja-JP"/>
              </w:rPr>
              <w:t>canales</w:t>
            </w:r>
          </w:p>
        </w:tc>
        <w:tc>
          <w:tcPr>
            <w:tcW w:w="720" w:type="dxa"/>
            <w:gridSpan w:val="3"/>
            <w:tcBorders>
              <w:bottom w:val="single" w:sz="4" w:space="0" w:color="auto"/>
            </w:tcBorders>
            <w:shd w:val="clear" w:color="auto" w:fill="C6D9F1"/>
          </w:tcPr>
          <w:p w:rsidR="001F4806" w:rsidRPr="008D5825" w:rsidRDefault="001F4806" w:rsidP="00881CB9">
            <w:pPr>
              <w:pStyle w:val="Tablehead"/>
              <w:spacing w:before="120" w:after="120"/>
              <w:ind w:left="-57" w:right="-57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10 MHz</w:t>
            </w:r>
          </w:p>
        </w:tc>
      </w:tr>
      <w:tr w:rsidR="001F4806" w:rsidRPr="008D5825" w:rsidTr="00C81B0D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i/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i/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65 000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65 990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66 000</w:t>
            </w:r>
          </w:p>
        </w:tc>
      </w:tr>
    </w:tbl>
    <w:p w:rsidR="00A561F2" w:rsidRPr="008D5825" w:rsidRDefault="00A561F2" w:rsidP="008D5825">
      <w:pPr>
        <w:pStyle w:val="Blanc"/>
        <w:rPr>
          <w:lang w:val="es-ES_tradnl"/>
        </w:rPr>
      </w:pPr>
    </w:p>
    <w:p w:rsidR="001F4806" w:rsidRPr="008D5825" w:rsidRDefault="001F4806" w:rsidP="008D5825">
      <w:pPr>
        <w:pStyle w:val="Normalaftertitle"/>
        <w:rPr>
          <w:lang w:val="es-ES_tradnl" w:eastAsia="ja-JP"/>
        </w:rPr>
      </w:pPr>
      <w:r w:rsidRPr="008D5825">
        <w:rPr>
          <w:lang w:val="es-ES_tradnl"/>
        </w:rPr>
        <w:t xml:space="preserve">La </w:t>
      </w:r>
      <w:r w:rsidR="001F4CDB" w:rsidRPr="008D5825">
        <w:rPr>
          <w:lang w:val="es-ES_tradnl"/>
        </w:rPr>
        <w:t>Fig.</w:t>
      </w:r>
      <w:r w:rsidRPr="008D5825">
        <w:rPr>
          <w:lang w:val="es-ES_tradnl"/>
        </w:rPr>
        <w:t xml:space="preserve"> 3 muestra la disposición básica de DDT que consiste en 66 canales básicos de 30 MHz, que pueden combinarse para formar canales/bloques DDT formados por varios canales básicos de 30</w:t>
      </w:r>
      <w:r w:rsidR="00D81645" w:rsidRPr="008D5825">
        <w:rPr>
          <w:lang w:val="es-ES_tradnl"/>
        </w:rPr>
        <w:t> </w:t>
      </w:r>
      <w:r w:rsidRPr="008D5825">
        <w:rPr>
          <w:lang w:val="es-ES_tradnl"/>
        </w:rPr>
        <w:t>MHz.</w:t>
      </w:r>
    </w:p>
    <w:p w:rsidR="001F4806" w:rsidRPr="008D5825" w:rsidRDefault="001F4806" w:rsidP="008D5825">
      <w:pPr>
        <w:pStyle w:val="FigureNo"/>
        <w:rPr>
          <w:lang w:val="es-ES_tradnl"/>
        </w:rPr>
      </w:pPr>
      <w:r w:rsidRPr="008D5825">
        <w:rPr>
          <w:lang w:val="es-ES_tradnl"/>
        </w:rPr>
        <w:t>Figure 3</w:t>
      </w:r>
    </w:p>
    <w:p w:rsidR="001F4806" w:rsidRPr="008D5825" w:rsidRDefault="001F4806" w:rsidP="008D5825">
      <w:pPr>
        <w:pStyle w:val="Figuretitle"/>
        <w:spacing w:after="240"/>
        <w:rPr>
          <w:lang w:val="es-ES_tradnl"/>
        </w:rPr>
      </w:pPr>
      <w:r w:rsidRPr="008D5825">
        <w:rPr>
          <w:lang w:val="es-ES_tradnl"/>
        </w:rPr>
        <w:t xml:space="preserve">Disposición básica DDT con canales de 30 MHz </w:t>
      </w:r>
      <w:r w:rsidRPr="008D5825">
        <w:rPr>
          <w:lang w:val="es-ES_tradnl" w:eastAsia="ja-JP"/>
        </w:rPr>
        <w:t xml:space="preserve">en </w:t>
      </w:r>
      <w:r w:rsidRPr="008D5825">
        <w:rPr>
          <w:lang w:val="es-ES_tradnl"/>
        </w:rPr>
        <w:t>64-66 GHz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"/>
        <w:gridCol w:w="209"/>
        <w:gridCol w:w="527"/>
        <w:gridCol w:w="176"/>
        <w:gridCol w:w="176"/>
        <w:gridCol w:w="3514"/>
        <w:gridCol w:w="351"/>
        <w:gridCol w:w="3339"/>
        <w:gridCol w:w="186"/>
        <w:gridCol w:w="165"/>
        <w:gridCol w:w="527"/>
        <w:gridCol w:w="201"/>
        <w:gridCol w:w="128"/>
      </w:tblGrid>
      <w:tr w:rsidR="001F4806" w:rsidRPr="008D5825" w:rsidTr="00881CB9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left w:w="0" w:type="dxa"/>
              <w:right w:w="0" w:type="dxa"/>
            </w:tcMar>
          </w:tcPr>
          <w:p w:rsidR="001F4806" w:rsidRPr="008D5825" w:rsidRDefault="001F4806" w:rsidP="008D5825">
            <w:pPr>
              <w:pStyle w:val="Tablehead"/>
              <w:rPr>
                <w:rFonts w:ascii="Times New Roman Bold" w:hAnsi="Times New Roman Bold"/>
                <w:sz w:val="20"/>
                <w:lang w:val="es-ES_tradnl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>10 MHz</w:t>
            </w:r>
            <w:r w:rsidRPr="008D5825">
              <w:rPr>
                <w:rFonts w:ascii="Times New Roman Bold" w:hAnsi="Times New Roman Bold"/>
                <w:sz w:val="20"/>
                <w:lang w:val="es-ES_tradnl"/>
              </w:rPr>
              <w:br/>
              <w:t>(Nota)</w:t>
            </w:r>
          </w:p>
        </w:tc>
        <w:tc>
          <w:tcPr>
            <w:tcW w:w="6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="Times New Roman Bold" w:hAnsi="Times New Roman Bold"/>
                <w:sz w:val="20"/>
                <w:lang w:val="es-ES_tradnl" w:eastAsia="ja-JP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 xml:space="preserve">66 </w:t>
            </w:r>
            <w:r w:rsidRPr="008D5825">
              <w:rPr>
                <w:sz w:val="20"/>
                <w:lang w:val="es-ES_tradnl"/>
              </w:rPr>
              <w:t xml:space="preserve">× </w:t>
            </w:r>
            <w:r w:rsidRPr="008D5825">
              <w:rPr>
                <w:rFonts w:ascii="Times New Roman Bold" w:hAnsi="Times New Roman Bold"/>
                <w:sz w:val="20"/>
                <w:lang w:val="es-ES_tradnl"/>
              </w:rPr>
              <w:t>30 MHz</w:t>
            </w:r>
            <w:r w:rsidRPr="008D5825">
              <w:rPr>
                <w:rFonts w:ascii="Times New Roman Bold" w:hAnsi="Times New Roman Bold"/>
                <w:sz w:val="20"/>
                <w:lang w:val="es-ES_tradnl" w:eastAsia="ja-JP"/>
              </w:rPr>
              <w:t xml:space="preserve"> canales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F4806" w:rsidRPr="008D5825" w:rsidRDefault="001F4806" w:rsidP="00881CB9">
            <w:pPr>
              <w:pStyle w:val="Tablehead"/>
              <w:ind w:left="-57" w:right="-57"/>
              <w:rPr>
                <w:rFonts w:ascii="Times New Roman Bold" w:hAnsi="Times New Roman Bold"/>
                <w:sz w:val="20"/>
                <w:lang w:val="es-ES_tradnl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>10 MHz</w:t>
            </w:r>
          </w:p>
        </w:tc>
      </w:tr>
      <w:tr w:rsidR="001F4806" w:rsidRPr="008D5825" w:rsidTr="00C81B0D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65 000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65 990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66 000</w:t>
            </w:r>
          </w:p>
        </w:tc>
      </w:tr>
    </w:tbl>
    <w:p w:rsidR="001F4806" w:rsidRPr="008D5825" w:rsidRDefault="001F4806" w:rsidP="008D5825">
      <w:pPr>
        <w:pStyle w:val="Note"/>
        <w:rPr>
          <w:sz w:val="20"/>
          <w:lang w:val="es-ES_tradnl"/>
        </w:rPr>
      </w:pPr>
      <w:r w:rsidRPr="008D5825">
        <w:rPr>
          <w:sz w:val="20"/>
          <w:lang w:val="es-ES_tradnl"/>
        </w:rPr>
        <w:t>NOTA – Cuando se utiliza junto a una banda contigua inferior (de la gama 57-64 GHz en el Anexo 2 de la presente Recomendación), también puede recurrirse a esta banda de guarda.</w:t>
      </w:r>
    </w:p>
    <w:p w:rsidR="001F4806" w:rsidRPr="008D5825" w:rsidRDefault="001F4806" w:rsidP="008D5825">
      <w:pPr>
        <w:pStyle w:val="Heading1"/>
        <w:rPr>
          <w:lang w:val="es-ES_tradnl"/>
        </w:rPr>
      </w:pPr>
      <w:r w:rsidRPr="008D5825">
        <w:rPr>
          <w:lang w:val="es-ES_tradnl"/>
        </w:rPr>
        <w:t>2</w:t>
      </w:r>
      <w:r w:rsidRPr="008D5825">
        <w:rPr>
          <w:lang w:val="es-ES_tradnl"/>
        </w:rPr>
        <w:tab/>
        <w:t>Disposición con canales básicos de 50 MHz (64-66 GHz solamente)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Sean:</w:t>
      </w:r>
    </w:p>
    <w:p w:rsidR="001F4806" w:rsidRPr="008D5825" w:rsidRDefault="001F4806" w:rsidP="008D5825">
      <w:pPr>
        <w:pStyle w:val="Equationlegend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i/>
          <w:lang w:val="es-ES_tradnl"/>
        </w:rPr>
        <w:t>f</w:t>
      </w:r>
      <w:r w:rsidRPr="008D5825">
        <w:rPr>
          <w:i/>
          <w:position w:val="-4"/>
          <w:sz w:val="20"/>
          <w:lang w:val="es-ES_tradnl"/>
        </w:rPr>
        <w:t>r</w:t>
      </w:r>
      <w:r w:rsidRPr="008D5825">
        <w:rPr>
          <w:lang w:val="es-ES_tradnl"/>
        </w:rPr>
        <w:tab/>
        <w:t xml:space="preserve">la frecuencia de referencia de 56 </w:t>
      </w:r>
      <w:r w:rsidRPr="008D5825">
        <w:rPr>
          <w:color w:val="000000"/>
          <w:lang w:val="es-ES_tradnl"/>
        </w:rPr>
        <w:t>950</w:t>
      </w:r>
      <w:r w:rsidRPr="008D5825">
        <w:rPr>
          <w:lang w:val="es-ES_tradnl"/>
        </w:rPr>
        <w:t> MHz</w:t>
      </w:r>
    </w:p>
    <w:p w:rsidR="001F4806" w:rsidRPr="008D5825" w:rsidRDefault="001F4806" w:rsidP="008D5825">
      <w:pPr>
        <w:pStyle w:val="Equationlegend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i/>
          <w:lang w:val="es-ES_tradnl"/>
        </w:rPr>
        <w:t>f</w:t>
      </w:r>
      <w:r w:rsidRPr="008D5825">
        <w:rPr>
          <w:i/>
          <w:position w:val="-4"/>
          <w:sz w:val="20"/>
          <w:lang w:val="es-ES_tradnl"/>
        </w:rPr>
        <w:t>n</w:t>
      </w:r>
      <w:r w:rsidRPr="008D5825">
        <w:rPr>
          <w:lang w:val="es-ES_tradnl"/>
        </w:rPr>
        <w:tab/>
        <w:t>la frecuencia central del canal de radiofrecuencia en la banda 64</w:t>
      </w:r>
      <w:r w:rsidRPr="008D5825">
        <w:rPr>
          <w:lang w:val="es-ES_tradnl"/>
        </w:rPr>
        <w:noBreakHyphen/>
        <w:t>66 GHz,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las frecuencias centrales de cada uno de los canales se expresan mediante las relaciones siguientes:</w:t>
      </w:r>
    </w:p>
    <w:p w:rsidR="001F4806" w:rsidRPr="008D5825" w:rsidRDefault="001F4806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>a)</w:t>
      </w:r>
      <w:r w:rsidRPr="008D5825">
        <w:rPr>
          <w:lang w:val="es-ES_tradnl"/>
        </w:rPr>
        <w:tab/>
        <w:t>para disposiciones DDF:</w:t>
      </w: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="00D81645" w:rsidRPr="008D5825">
        <w:rPr>
          <w:i/>
          <w:lang w:val="es-ES_tradnl"/>
        </w:rPr>
        <w:t>f</w:t>
      </w:r>
      <w:r w:rsidR="00D81645" w:rsidRPr="008D5825">
        <w:rPr>
          <w:i/>
          <w:iCs/>
          <w:vertAlign w:val="subscript"/>
          <w:lang w:val="es-ES_tradnl"/>
        </w:rPr>
        <w:t>n</w:t>
      </w:r>
      <w:proofErr w:type="spellEnd"/>
      <w:r w:rsidR="00D81645" w:rsidRPr="008D5825">
        <w:rPr>
          <w:lang w:val="es-ES_tradnl"/>
        </w:rPr>
        <w:t> </w:t>
      </w:r>
      <w:r w:rsidR="00D81645" w:rsidRPr="008D5825">
        <w:rPr>
          <w:rFonts w:ascii="Symbol" w:hAnsi="Symbol"/>
          <w:lang w:val="es-ES_tradnl"/>
        </w:rPr>
        <w:t></w:t>
      </w:r>
      <w:r w:rsidR="00D81645" w:rsidRPr="008D5825">
        <w:rPr>
          <w:lang w:val="es-ES_tradnl"/>
        </w:rPr>
        <w:t> </w:t>
      </w:r>
      <w:proofErr w:type="spellStart"/>
      <w:r w:rsidR="00D81645" w:rsidRPr="008D5825">
        <w:rPr>
          <w:i/>
          <w:lang w:val="es-ES_tradnl"/>
        </w:rPr>
        <w:t>f</w:t>
      </w:r>
      <w:r w:rsidR="00D81645" w:rsidRPr="008D5825">
        <w:rPr>
          <w:i/>
          <w:iCs/>
          <w:vertAlign w:val="subscript"/>
          <w:lang w:val="es-ES_tradnl"/>
        </w:rPr>
        <w:t>r</w:t>
      </w:r>
      <w:proofErr w:type="spellEnd"/>
      <w:r w:rsidR="00D81645" w:rsidRPr="008D5825">
        <w:rPr>
          <w:rFonts w:ascii="Symbol" w:hAnsi="Symbol"/>
          <w:lang w:val="es-ES_tradnl"/>
        </w:rPr>
        <w:t>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> 7 075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 xml:space="preserve"> 50 </w:t>
      </w:r>
      <w:r w:rsidRPr="008D5825">
        <w:rPr>
          <w:i/>
          <w:lang w:val="es-ES_tradnl"/>
        </w:rPr>
        <w:t>n</w:t>
      </w:r>
      <w:r w:rsidRPr="008D5825">
        <w:rPr>
          <w:i/>
          <w:iCs/>
          <w:lang w:val="es-ES_tradnl"/>
        </w:rPr>
        <w:t>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r w:rsidR="00D81645" w:rsidRPr="008D5825">
        <w:rPr>
          <w:position w:val="-12"/>
          <w:lang w:val="es-ES_tradnl"/>
        </w:rPr>
        <w:object w:dxaOrig="300" w:dyaOrig="360">
          <v:shape id="_x0000_i1035" type="#_x0000_t75" style="width:15pt;height:18.5pt" o:ole="">
            <v:imagedata r:id="rId26" o:title=""/>
          </v:shape>
          <o:OLEObject Type="Embed" ProgID="Equation.3" ShapeID="_x0000_i1035" DrawAspect="Content" ObjectID="_1499243773" r:id="rId27"/>
        </w:object>
      </w:r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</w:t>
      </w:r>
      <w:r w:rsidRPr="008D5825">
        <w:rPr>
          <w:lang w:val="es-ES_tradnl"/>
        </w:rPr>
        <w:t> </w:t>
      </w:r>
      <w:r w:rsidRPr="008D5825">
        <w:rPr>
          <w:i/>
          <w:lang w:val="es-ES_tradnl"/>
        </w:rPr>
        <w:t>f</w:t>
      </w:r>
      <w:r w:rsidRPr="008D5825">
        <w:rPr>
          <w:i/>
          <w:position w:val="-4"/>
          <w:sz w:val="20"/>
          <w:lang w:val="es-ES_tradnl"/>
        </w:rPr>
        <w:t>r</w:t>
      </w:r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> 8 025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 xml:space="preserve"> 50 </w:t>
      </w:r>
      <w:r w:rsidRPr="008D5825">
        <w:rPr>
          <w:i/>
          <w:lang w:val="es-ES_tradnl"/>
        </w:rPr>
        <w:t>n</w:t>
      </w:r>
      <w:r w:rsidRPr="008D5825">
        <w:rPr>
          <w:i/>
          <w:iCs/>
          <w:lang w:val="es-ES_tradnl"/>
        </w:rPr>
        <w:t>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3A0B05" w:rsidP="008D5825">
      <w:pPr>
        <w:pStyle w:val="enumlev1"/>
        <w:rPr>
          <w:lang w:val="es-ES_tradnl"/>
        </w:rPr>
      </w:pPr>
      <w:r w:rsidRPr="008D5825">
        <w:rPr>
          <w:i/>
          <w:lang w:val="es-ES_tradnl"/>
        </w:rPr>
        <w:tab/>
      </w:r>
      <w:r w:rsidR="001F4806" w:rsidRPr="008D5825">
        <w:rPr>
          <w:i/>
          <w:lang w:val="es-ES_tradnl"/>
        </w:rPr>
        <w:tab/>
        <w:t>n</w:t>
      </w:r>
      <w:r w:rsidRPr="008D5825">
        <w:rPr>
          <w:i/>
          <w:lang w:val="es-ES_tradnl"/>
        </w:rPr>
        <w:t> </w:t>
      </w:r>
      <w:r w:rsidR="007E167C" w:rsidRPr="008D5825">
        <w:rPr>
          <w:lang w:val="es-ES_tradnl"/>
        </w:rPr>
        <w:t>=</w:t>
      </w:r>
      <w:r w:rsidR="001F4806" w:rsidRPr="008D5825">
        <w:rPr>
          <w:lang w:val="es-ES_tradnl"/>
        </w:rPr>
        <w:t> 1, 2, 3, ... 19</w:t>
      </w:r>
    </w:p>
    <w:p w:rsidR="001F4806" w:rsidRPr="008D5825" w:rsidRDefault="001F4806" w:rsidP="008D5825">
      <w:pPr>
        <w:pStyle w:val="enumlev1"/>
        <w:keepNext/>
        <w:keepLines/>
        <w:rPr>
          <w:lang w:val="es-ES_tradnl"/>
        </w:rPr>
      </w:pPr>
      <w:r w:rsidRPr="008D5825">
        <w:rPr>
          <w:lang w:val="es-ES_tradnl"/>
        </w:rPr>
        <w:lastRenderedPageBreak/>
        <w:t>b)</w:t>
      </w:r>
      <w:r w:rsidRPr="008D5825">
        <w:rPr>
          <w:lang w:val="es-ES_tradnl"/>
        </w:rPr>
        <w:tab/>
        <w:t>para disposiciones DDT:</w:t>
      </w:r>
    </w:p>
    <w:p w:rsidR="001F4806" w:rsidRPr="008D5825" w:rsidRDefault="001F4806" w:rsidP="008D5825">
      <w:pPr>
        <w:pStyle w:val="Equation"/>
        <w:keepNext/>
        <w:keepLines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</w:t>
      </w:r>
      <w:r w:rsidRPr="008D5825">
        <w:rPr>
          <w:lang w:val="es-ES_tradnl"/>
        </w:rPr>
        <w:t> </w:t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> 7 075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 xml:space="preserve"> 50 </w:t>
      </w:r>
      <w:r w:rsidRPr="008D5825">
        <w:rPr>
          <w:i/>
          <w:lang w:val="es-ES_tradnl"/>
        </w:rPr>
        <w:t>n</w:t>
      </w:r>
      <w:r w:rsidRPr="008D5825">
        <w:rPr>
          <w:i/>
          <w:iCs/>
          <w:lang w:val="es-ES_tradnl"/>
        </w:rPr>
        <w:t>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3A0B05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</w:r>
      <w:r w:rsidR="001F4806" w:rsidRPr="008D5825">
        <w:rPr>
          <w:lang w:val="es-ES_tradnl"/>
        </w:rPr>
        <w:tab/>
      </w:r>
      <w:r w:rsidR="001F4806" w:rsidRPr="008D5825">
        <w:rPr>
          <w:i/>
          <w:iCs/>
          <w:lang w:val="es-ES_tradnl"/>
        </w:rPr>
        <w:t>n</w:t>
      </w:r>
      <w:r w:rsidR="001F4806" w:rsidRPr="008D5825">
        <w:rPr>
          <w:lang w:val="es-ES_tradnl"/>
        </w:rPr>
        <w:tab/>
        <w:t>=  1, 2, 3, ... 38</w:t>
      </w:r>
      <w:r w:rsidR="00A561F2" w:rsidRPr="008D5825">
        <w:rPr>
          <w:lang w:val="es-ES_tradnl"/>
        </w:rPr>
        <w:t>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 xml:space="preserve">La </w:t>
      </w:r>
      <w:r w:rsidR="001F4CDB" w:rsidRPr="008D5825">
        <w:rPr>
          <w:lang w:val="es-ES_tradnl"/>
        </w:rPr>
        <w:t>Fig.</w:t>
      </w:r>
      <w:r w:rsidR="003C2D0F" w:rsidRPr="008D5825">
        <w:rPr>
          <w:lang w:val="es-ES_tradnl"/>
        </w:rPr>
        <w:t> </w:t>
      </w:r>
      <w:r w:rsidRPr="008D5825">
        <w:rPr>
          <w:lang w:val="es-ES_tradnl"/>
        </w:rPr>
        <w:t>4 muestra la disposición básica de canales DDF constituida por 19 canales básicos emparejados de 50 MHz y la Fig. 5 muestra la disposición básica de canales DDT integrada por 38</w:t>
      </w:r>
      <w:r w:rsidR="003C2D0F" w:rsidRPr="008D5825">
        <w:rPr>
          <w:lang w:val="es-ES_tradnl"/>
        </w:rPr>
        <w:t> </w:t>
      </w:r>
      <w:r w:rsidRPr="008D5825">
        <w:rPr>
          <w:lang w:val="es-ES_tradnl"/>
        </w:rPr>
        <w:t>canales básicos no emparejados de 50 MHz, que pueden combinarse para formar canales/bloques emparejados DDF o DDT formados por varios canales básicos contiguos de 50</w:t>
      </w:r>
      <w:r w:rsidR="003C2D0F" w:rsidRPr="008D5825">
        <w:rPr>
          <w:lang w:val="es-ES_tradnl"/>
        </w:rPr>
        <w:t> </w:t>
      </w:r>
      <w:r w:rsidRPr="008D5825">
        <w:rPr>
          <w:lang w:val="es-ES_tradnl"/>
        </w:rPr>
        <w:t>MHz.</w:t>
      </w:r>
      <w:r w:rsidRPr="008D5825">
        <w:rPr>
          <w:lang w:val="es-ES_tradnl" w:eastAsia="ja-JP"/>
        </w:rPr>
        <w:t xml:space="preserve"> </w:t>
      </w:r>
      <w:r w:rsidRPr="008D5825">
        <w:rPr>
          <w:lang w:val="es-ES_tradnl"/>
        </w:rPr>
        <w:t>Estas disposiciones son válidas cuando no se utilizan junto con la disposición en la banda inferior 57</w:t>
      </w:r>
      <w:r w:rsidRPr="008D5825">
        <w:rPr>
          <w:lang w:val="es-ES_tradnl"/>
        </w:rPr>
        <w:noBreakHyphen/>
        <w:t>64 GHz band (Anexo 2 a la presente Recomendación).</w:t>
      </w:r>
    </w:p>
    <w:p w:rsidR="001F4806" w:rsidRPr="008D5825" w:rsidRDefault="001F4806" w:rsidP="008D5825">
      <w:pPr>
        <w:pStyle w:val="FigureNo"/>
        <w:rPr>
          <w:lang w:val="es-ES_tradnl"/>
        </w:rPr>
      </w:pPr>
      <w:r w:rsidRPr="008D5825">
        <w:rPr>
          <w:lang w:val="es-ES_tradnl"/>
        </w:rPr>
        <w:t>FigurA 4</w:t>
      </w:r>
    </w:p>
    <w:p w:rsidR="001F4806" w:rsidRPr="008D5825" w:rsidRDefault="001F4806" w:rsidP="008D5825">
      <w:pPr>
        <w:pStyle w:val="Figuretitle"/>
        <w:rPr>
          <w:lang w:val="es-ES_tradnl"/>
        </w:rPr>
      </w:pPr>
      <w:r w:rsidRPr="008D5825">
        <w:rPr>
          <w:lang w:val="es-ES_tradnl"/>
        </w:rPr>
        <w:t xml:space="preserve">Disposición básica DDF de canales de 50 MHz </w:t>
      </w:r>
      <w:r w:rsidRPr="008D5825">
        <w:rPr>
          <w:lang w:val="es-ES_tradnl" w:eastAsia="ja-JP"/>
        </w:rPr>
        <w:t xml:space="preserve">en </w:t>
      </w:r>
      <w:r w:rsidRPr="008D5825">
        <w:rPr>
          <w:lang w:val="es-ES_tradnl"/>
        </w:rPr>
        <w:t>64-66 GHz</w:t>
      </w:r>
      <w:r w:rsidRPr="008D5825">
        <w:rPr>
          <w:lang w:val="es-ES_tradnl"/>
        </w:rPr>
        <w:br/>
        <w:t>(separación dúplex: 950 MHz)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"/>
        <w:gridCol w:w="209"/>
        <w:gridCol w:w="527"/>
        <w:gridCol w:w="156"/>
        <w:gridCol w:w="196"/>
        <w:gridCol w:w="3514"/>
        <w:gridCol w:w="176"/>
        <w:gridCol w:w="175"/>
        <w:gridCol w:w="3339"/>
        <w:gridCol w:w="186"/>
        <w:gridCol w:w="165"/>
        <w:gridCol w:w="527"/>
        <w:gridCol w:w="201"/>
        <w:gridCol w:w="128"/>
      </w:tblGrid>
      <w:tr w:rsidR="001F4806" w:rsidRPr="008D5825" w:rsidTr="00C81B0D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20" w:type="dxa"/>
            <w:gridSpan w:val="3"/>
            <w:shd w:val="clear" w:color="auto" w:fill="C6D9F1"/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ind w:left="-57" w:right="-57"/>
              <w:rPr>
                <w:rFonts w:ascii="Times New Roman Bold" w:hAnsi="Times New Roman Bold"/>
                <w:sz w:val="20"/>
                <w:lang w:val="es-ES_tradnl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>50 MHz</w:t>
            </w:r>
          </w:p>
        </w:tc>
        <w:tc>
          <w:tcPr>
            <w:tcW w:w="3135" w:type="dxa"/>
            <w:gridSpan w:val="3"/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rPr>
                <w:rFonts w:ascii="Times New Roman Bold" w:hAnsi="Times New Roman Bold"/>
                <w:sz w:val="20"/>
                <w:lang w:val="es-ES_tradnl" w:eastAsia="ja-JP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 xml:space="preserve">19 </w:t>
            </w:r>
            <w:r w:rsidRPr="008D5825">
              <w:rPr>
                <w:sz w:val="20"/>
                <w:lang w:val="es-ES_tradnl"/>
              </w:rPr>
              <w:t xml:space="preserve">× </w:t>
            </w:r>
            <w:r w:rsidRPr="008D5825">
              <w:rPr>
                <w:rFonts w:ascii="Times New Roman Bold" w:hAnsi="Times New Roman Bold"/>
                <w:sz w:val="20"/>
                <w:lang w:val="es-ES_tradnl"/>
              </w:rPr>
              <w:t>50 MHz</w:t>
            </w:r>
            <w:r w:rsidRPr="008D5825">
              <w:rPr>
                <w:rFonts w:ascii="Times New Roman Bold" w:hAnsi="Times New Roman Bold"/>
                <w:sz w:val="20"/>
                <w:lang w:val="es-ES_tradnl" w:eastAsia="ja-JP"/>
              </w:rPr>
              <w:t xml:space="preserve"> canales</w:t>
            </w:r>
          </w:p>
        </w:tc>
        <w:tc>
          <w:tcPr>
            <w:tcW w:w="2985" w:type="dxa"/>
            <w:gridSpan w:val="3"/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rPr>
                <w:rFonts w:ascii="Times New Roman Bold" w:hAnsi="Times New Roman Bold"/>
                <w:sz w:val="20"/>
                <w:lang w:val="es-ES_tradnl" w:eastAsia="ja-JP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>19</w:t>
            </w:r>
            <w:r w:rsidRPr="008D5825">
              <w:rPr>
                <w:sz w:val="20"/>
                <w:lang w:val="es-ES_tradnl"/>
              </w:rPr>
              <w:t xml:space="preserve">× </w:t>
            </w:r>
            <w:r w:rsidRPr="008D5825">
              <w:rPr>
                <w:rFonts w:ascii="Times New Roman Bold" w:hAnsi="Times New Roman Bold"/>
                <w:sz w:val="20"/>
                <w:lang w:val="es-ES_tradnl"/>
              </w:rPr>
              <w:t xml:space="preserve">50 MHz </w:t>
            </w:r>
            <w:r w:rsidRPr="008D5825">
              <w:rPr>
                <w:rFonts w:ascii="Times New Roman Bold" w:hAnsi="Times New Roman Bold"/>
                <w:sz w:val="20"/>
                <w:lang w:val="es-ES_tradnl" w:eastAsia="ja-JP"/>
              </w:rPr>
              <w:t>canales</w:t>
            </w:r>
          </w:p>
        </w:tc>
        <w:tc>
          <w:tcPr>
            <w:tcW w:w="720" w:type="dxa"/>
            <w:gridSpan w:val="3"/>
            <w:shd w:val="clear" w:color="auto" w:fill="C6D9F1"/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ind w:left="-57" w:right="-57"/>
              <w:rPr>
                <w:rFonts w:ascii="Times New Roman Bold" w:hAnsi="Times New Roman Bold"/>
                <w:sz w:val="20"/>
                <w:lang w:val="es-ES_tradnl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>50 MHz</w:t>
            </w:r>
          </w:p>
        </w:tc>
      </w:tr>
      <w:tr w:rsidR="001F4806" w:rsidRPr="008D5825" w:rsidTr="00C81B0D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65 000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65 950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66 000</w:t>
            </w:r>
          </w:p>
        </w:tc>
      </w:tr>
    </w:tbl>
    <w:p w:rsidR="00DA5996" w:rsidRPr="008D5825" w:rsidRDefault="00DA5996" w:rsidP="008D5825">
      <w:pPr>
        <w:rPr>
          <w:lang w:val="es-ES_tradnl"/>
        </w:rPr>
      </w:pPr>
    </w:p>
    <w:p w:rsidR="001F4806" w:rsidRPr="008D5825" w:rsidRDefault="001F4806" w:rsidP="008D5825">
      <w:pPr>
        <w:pStyle w:val="FigureNo"/>
        <w:rPr>
          <w:lang w:val="es-ES_tradnl"/>
        </w:rPr>
      </w:pPr>
      <w:r w:rsidRPr="008D5825">
        <w:rPr>
          <w:lang w:val="es-ES_tradnl"/>
        </w:rPr>
        <w:t>FigurA 5</w:t>
      </w:r>
    </w:p>
    <w:p w:rsidR="001F4806" w:rsidRPr="008D5825" w:rsidRDefault="001F4806" w:rsidP="008D5825">
      <w:pPr>
        <w:pStyle w:val="Figuretitle"/>
        <w:rPr>
          <w:lang w:val="es-ES_tradnl"/>
        </w:rPr>
      </w:pPr>
      <w:r w:rsidRPr="008D5825">
        <w:rPr>
          <w:lang w:val="es-ES_tradnl"/>
        </w:rPr>
        <w:t xml:space="preserve">Disposición básica TDD de canales de 50 MHz </w:t>
      </w:r>
      <w:r w:rsidRPr="008D5825">
        <w:rPr>
          <w:lang w:val="es-ES_tradnl" w:eastAsia="ja-JP"/>
        </w:rPr>
        <w:t xml:space="preserve">en </w:t>
      </w:r>
      <w:r w:rsidRPr="008D5825">
        <w:rPr>
          <w:lang w:val="es-ES_tradnl"/>
        </w:rPr>
        <w:t>64-66 GHz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"/>
        <w:gridCol w:w="209"/>
        <w:gridCol w:w="527"/>
        <w:gridCol w:w="156"/>
        <w:gridCol w:w="196"/>
        <w:gridCol w:w="3514"/>
        <w:gridCol w:w="351"/>
        <w:gridCol w:w="3339"/>
        <w:gridCol w:w="186"/>
        <w:gridCol w:w="165"/>
        <w:gridCol w:w="527"/>
        <w:gridCol w:w="201"/>
        <w:gridCol w:w="128"/>
      </w:tblGrid>
      <w:tr w:rsidR="001F4806" w:rsidRPr="008D5825" w:rsidTr="00C81B0D">
        <w:trPr>
          <w:gridBefore w:val="1"/>
          <w:gridAfter w:val="1"/>
          <w:wBefore w:w="114" w:type="dxa"/>
          <w:wAfter w:w="103" w:type="dxa"/>
          <w:jc w:val="center"/>
        </w:trPr>
        <w:tc>
          <w:tcPr>
            <w:tcW w:w="720" w:type="dxa"/>
            <w:gridSpan w:val="3"/>
            <w:shd w:val="clear" w:color="auto" w:fill="C6D9F1"/>
            <w:vAlign w:val="center"/>
          </w:tcPr>
          <w:p w:rsidR="001F4806" w:rsidRPr="008D5825" w:rsidRDefault="001F4806" w:rsidP="00881CB9">
            <w:pPr>
              <w:pStyle w:val="Tablehead"/>
              <w:ind w:left="-57" w:right="-57"/>
              <w:rPr>
                <w:rFonts w:ascii="Times New Roman Bold" w:hAnsi="Times New Roman Bold"/>
                <w:sz w:val="20"/>
                <w:lang w:val="es-ES_tradnl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>50 MHz</w:t>
            </w:r>
          </w:p>
        </w:tc>
        <w:tc>
          <w:tcPr>
            <w:tcW w:w="6120" w:type="dxa"/>
            <w:gridSpan w:val="5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="Times New Roman Bold" w:hAnsi="Times New Roman Bold"/>
                <w:b w:val="0"/>
                <w:sz w:val="20"/>
                <w:lang w:val="es-ES_tradnl" w:eastAsia="ja-JP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 xml:space="preserve">38 </w:t>
            </w:r>
            <w:r w:rsidRPr="008D5825">
              <w:rPr>
                <w:sz w:val="20"/>
                <w:lang w:val="es-ES_tradnl"/>
              </w:rPr>
              <w:t xml:space="preserve">× </w:t>
            </w:r>
            <w:r w:rsidRPr="008D5825">
              <w:rPr>
                <w:rFonts w:ascii="Times New Roman Bold" w:hAnsi="Times New Roman Bold"/>
                <w:sz w:val="20"/>
                <w:lang w:val="es-ES_tradnl"/>
              </w:rPr>
              <w:t xml:space="preserve">50 MHz </w:t>
            </w:r>
            <w:r w:rsidRPr="008D5825">
              <w:rPr>
                <w:rFonts w:ascii="Times New Roman Bold" w:hAnsi="Times New Roman Bold"/>
                <w:sz w:val="20"/>
                <w:lang w:val="es-ES_tradnl" w:eastAsia="ja-JP"/>
              </w:rPr>
              <w:t>canales</w:t>
            </w:r>
          </w:p>
        </w:tc>
        <w:tc>
          <w:tcPr>
            <w:tcW w:w="720" w:type="dxa"/>
            <w:gridSpan w:val="3"/>
            <w:shd w:val="clear" w:color="auto" w:fill="C6D9F1"/>
            <w:vAlign w:val="center"/>
          </w:tcPr>
          <w:p w:rsidR="001F4806" w:rsidRPr="008D5825" w:rsidRDefault="001F4806" w:rsidP="00881CB9">
            <w:pPr>
              <w:pStyle w:val="Tablehead"/>
              <w:spacing w:before="120" w:after="120"/>
              <w:ind w:left="-57" w:right="-57"/>
              <w:rPr>
                <w:rFonts w:ascii="Times New Roman Bold" w:hAnsi="Times New Roman Bold"/>
                <w:b w:val="0"/>
                <w:sz w:val="20"/>
                <w:lang w:val="es-ES_tradnl"/>
              </w:rPr>
            </w:pPr>
            <w:r w:rsidRPr="008D5825">
              <w:rPr>
                <w:rFonts w:ascii="Times New Roman Bold" w:hAnsi="Times New Roman Bold"/>
                <w:sz w:val="20"/>
                <w:lang w:val="es-ES_tradnl"/>
              </w:rPr>
              <w:t>50 MHz</w:t>
            </w:r>
          </w:p>
        </w:tc>
      </w:tr>
      <w:tr w:rsidR="001F4806" w:rsidRPr="008D5825" w:rsidTr="00C81B0D">
        <w:trPr>
          <w:cantSplit/>
          <w:trHeight w:val="676"/>
          <w:jc w:val="center"/>
        </w:trPr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64 050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65 950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textDirection w:val="btL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  <w:r w:rsidRPr="008D5825">
              <w:rPr>
                <w:sz w:val="20"/>
                <w:lang w:val="es-ES_tradnl"/>
              </w:rPr>
              <w:t>66 000</w:t>
            </w:r>
          </w:p>
        </w:tc>
      </w:tr>
    </w:tbl>
    <w:p w:rsidR="001F4806" w:rsidRPr="008D5825" w:rsidRDefault="001F4806" w:rsidP="008D5825">
      <w:pPr>
        <w:pStyle w:val="Heading1"/>
        <w:rPr>
          <w:lang w:val="es-ES_tradnl"/>
        </w:rPr>
      </w:pPr>
      <w:r w:rsidRPr="008D5825">
        <w:rPr>
          <w:lang w:val="es-ES_tradnl"/>
        </w:rPr>
        <w:t>3</w:t>
      </w:r>
      <w:r w:rsidRPr="008D5825">
        <w:rPr>
          <w:lang w:val="es-ES_tradnl"/>
        </w:rPr>
        <w:tab/>
        <w:t>Disposición con canales básicos de 50 MHz (64-66 GHz junto con la banda inferior)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 xml:space="preserve">La frecuencia central de los canales básicos de 50 MHz </w:t>
      </w:r>
      <w:r w:rsidRPr="008D5825">
        <w:rPr>
          <w:lang w:val="es-ES_tradnl" w:eastAsia="ja-JP"/>
        </w:rPr>
        <w:t xml:space="preserve">se considera una extensión, con </w:t>
      </w:r>
      <w:r w:rsidRPr="008D5825">
        <w:rPr>
          <w:i/>
          <w:lang w:val="es-ES_tradnl"/>
        </w:rPr>
        <w:t xml:space="preserve">n </w:t>
      </w:r>
      <w:r w:rsidRPr="008D5825">
        <w:rPr>
          <w:iCs/>
          <w:lang w:val="es-ES_tradnl"/>
        </w:rPr>
        <w:t>más elevado</w:t>
      </w:r>
      <w:r w:rsidRPr="008D5825">
        <w:rPr>
          <w:lang w:val="es-ES_tradnl"/>
        </w:rPr>
        <w:t>, de la del Anexo 2 a la presente Recomendación.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Sean:</w:t>
      </w:r>
    </w:p>
    <w:p w:rsidR="001F4806" w:rsidRPr="008D5825" w:rsidRDefault="001F4806" w:rsidP="008D5825">
      <w:pPr>
        <w:pStyle w:val="Equationlegend"/>
        <w:rPr>
          <w:lang w:val="es-ES_tradnl"/>
        </w:rPr>
      </w:pP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r</w:t>
      </w:r>
      <w:proofErr w:type="spellEnd"/>
      <w:r w:rsidRPr="008D5825">
        <w:rPr>
          <w:lang w:val="es-ES_tradnl"/>
        </w:rPr>
        <w:tab/>
      </w:r>
      <w:r w:rsidR="00D81645" w:rsidRPr="008D5825">
        <w:rPr>
          <w:lang w:val="es-ES_tradnl"/>
        </w:rPr>
        <w:t xml:space="preserve">la frecuencia de referencia de </w:t>
      </w:r>
      <w:r w:rsidRPr="008D5825">
        <w:rPr>
          <w:lang w:val="es-ES_tradnl"/>
        </w:rPr>
        <w:t xml:space="preserve">56 </w:t>
      </w:r>
      <w:r w:rsidRPr="008D5825">
        <w:rPr>
          <w:color w:val="000000"/>
          <w:lang w:val="es-ES_tradnl"/>
        </w:rPr>
        <w:t>950</w:t>
      </w:r>
      <w:r w:rsidRPr="008D5825">
        <w:rPr>
          <w:lang w:val="es-ES_tradnl"/>
        </w:rPr>
        <w:t> MHz</w:t>
      </w:r>
    </w:p>
    <w:p w:rsidR="001F4806" w:rsidRPr="008D5825" w:rsidRDefault="001F4806" w:rsidP="008D5825">
      <w:pPr>
        <w:pStyle w:val="Equationlegend"/>
        <w:rPr>
          <w:lang w:val="es-ES_tradnl"/>
        </w:rPr>
      </w:pPr>
      <w:r w:rsidRPr="008D5825">
        <w:rPr>
          <w:lang w:val="es-ES_tradnl"/>
        </w:rPr>
        <w:tab/>
      </w:r>
      <w:proofErr w:type="spellStart"/>
      <w:r w:rsidRPr="008D5825">
        <w:rPr>
          <w:i/>
          <w:lang w:val="es-ES_tradnl"/>
        </w:rPr>
        <w:t>f</w:t>
      </w:r>
      <w:r w:rsidRPr="008D5825">
        <w:rPr>
          <w:i/>
          <w:iCs/>
          <w:vertAlign w:val="subscript"/>
          <w:lang w:val="es-ES_tradnl"/>
        </w:rPr>
        <w:t>n</w:t>
      </w:r>
      <w:proofErr w:type="spellEnd"/>
      <w:r w:rsidRPr="008D5825">
        <w:rPr>
          <w:lang w:val="es-ES_tradnl"/>
        </w:rPr>
        <w:tab/>
        <w:t>la frecuencia central del canal de radiofrecuencia en la banda 64</w:t>
      </w:r>
      <w:r w:rsidRPr="008D5825">
        <w:rPr>
          <w:lang w:val="es-ES_tradnl"/>
        </w:rPr>
        <w:noBreakHyphen/>
        <w:t>66 GHz,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las frecuencias centrales de cada uno de los canales se expresan mediante las relaciones siguientes:</w:t>
      </w:r>
    </w:p>
    <w:p w:rsidR="001F4806" w:rsidRPr="008D5825" w:rsidRDefault="001F4806" w:rsidP="008D5825">
      <w:pPr>
        <w:pStyle w:val="Equation"/>
        <w:rPr>
          <w:lang w:val="es-ES_tradnl"/>
        </w:rPr>
      </w:pPr>
      <w:r w:rsidRPr="008D5825">
        <w:rPr>
          <w:lang w:val="es-ES_tradnl"/>
        </w:rPr>
        <w:tab/>
      </w:r>
      <w:r w:rsidRPr="008D5825">
        <w:rPr>
          <w:lang w:val="es-ES_tradnl"/>
        </w:rPr>
        <w:tab/>
      </w:r>
      <w:proofErr w:type="spellStart"/>
      <w:r w:rsidR="00D81645" w:rsidRPr="008D5825">
        <w:rPr>
          <w:i/>
          <w:lang w:val="es-ES_tradnl"/>
        </w:rPr>
        <w:t>f</w:t>
      </w:r>
      <w:r w:rsidR="00D81645" w:rsidRPr="008D5825">
        <w:rPr>
          <w:i/>
          <w:iCs/>
          <w:vertAlign w:val="subscript"/>
          <w:lang w:val="es-ES_tradnl"/>
        </w:rPr>
        <w:t>n</w:t>
      </w:r>
      <w:proofErr w:type="spellEnd"/>
      <w:r w:rsidR="00D81645" w:rsidRPr="008D5825">
        <w:rPr>
          <w:lang w:val="es-ES_tradnl"/>
        </w:rPr>
        <w:t> </w:t>
      </w:r>
      <w:r w:rsidR="00D81645" w:rsidRPr="008D5825">
        <w:rPr>
          <w:rFonts w:ascii="Symbol" w:hAnsi="Symbol"/>
          <w:lang w:val="es-ES_tradnl"/>
        </w:rPr>
        <w:t></w:t>
      </w:r>
      <w:r w:rsidR="00D81645" w:rsidRPr="008D5825">
        <w:rPr>
          <w:lang w:val="es-ES_tradnl"/>
        </w:rPr>
        <w:t> </w:t>
      </w:r>
      <w:proofErr w:type="spellStart"/>
      <w:r w:rsidR="00D81645" w:rsidRPr="008D5825">
        <w:rPr>
          <w:i/>
          <w:lang w:val="es-ES_tradnl"/>
        </w:rPr>
        <w:t>f</w:t>
      </w:r>
      <w:r w:rsidR="00D81645" w:rsidRPr="008D5825">
        <w:rPr>
          <w:vertAlign w:val="subscript"/>
          <w:lang w:val="es-ES_tradnl"/>
        </w:rPr>
        <w:t>r</w:t>
      </w:r>
      <w:proofErr w:type="spellEnd"/>
      <w:r w:rsidR="00D81645" w:rsidRPr="008D5825">
        <w:rPr>
          <w:lang w:val="es-ES_tradnl"/>
        </w:rPr>
        <w:t>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> 25 </w:t>
      </w:r>
      <w:r w:rsidRPr="008D5825">
        <w:rPr>
          <w:rFonts w:ascii="Symbol" w:hAnsi="Symbol"/>
          <w:lang w:val="es-ES_tradnl"/>
        </w:rPr>
        <w:t></w:t>
      </w:r>
      <w:r w:rsidRPr="008D5825">
        <w:rPr>
          <w:lang w:val="es-ES_tradnl"/>
        </w:rPr>
        <w:t xml:space="preserve"> 50 </w:t>
      </w:r>
      <w:r w:rsidRPr="008D5825">
        <w:rPr>
          <w:i/>
          <w:iCs/>
          <w:lang w:val="es-ES_tradnl"/>
        </w:rPr>
        <w:t>n               </w:t>
      </w:r>
      <w:r w:rsidRPr="008D5825">
        <w:rPr>
          <w:lang w:val="es-ES_tradnl"/>
        </w:rPr>
        <w:t>MHz</w:t>
      </w:r>
    </w:p>
    <w:p w:rsidR="001F4806" w:rsidRPr="008D5825" w:rsidRDefault="001F4806" w:rsidP="008D5825">
      <w:pPr>
        <w:rPr>
          <w:lang w:val="es-ES_tradnl"/>
        </w:rPr>
      </w:pPr>
      <w:r w:rsidRPr="008D5825">
        <w:rPr>
          <w:lang w:val="es-ES_tradnl"/>
        </w:rPr>
        <w:t>siendo:</w:t>
      </w:r>
    </w:p>
    <w:p w:rsidR="001F4806" w:rsidRPr="008D5825" w:rsidRDefault="00A561F2" w:rsidP="008D5825">
      <w:pPr>
        <w:pStyle w:val="enumlev1"/>
        <w:rPr>
          <w:lang w:val="es-ES_tradnl"/>
        </w:rPr>
      </w:pPr>
      <w:r w:rsidRPr="008D5825">
        <w:rPr>
          <w:lang w:val="es-ES_tradnl"/>
        </w:rPr>
        <w:tab/>
      </w:r>
      <w:r w:rsidR="001F4806" w:rsidRPr="008D5825">
        <w:rPr>
          <w:lang w:val="es-ES_tradnl"/>
        </w:rPr>
        <w:tab/>
      </w:r>
      <w:r w:rsidR="001F4806" w:rsidRPr="008D5825">
        <w:rPr>
          <w:i/>
          <w:lang w:val="es-ES_tradnl"/>
        </w:rPr>
        <w:t>n</w:t>
      </w:r>
      <w:r w:rsidRPr="008D5825">
        <w:rPr>
          <w:i/>
          <w:lang w:val="es-ES_tradnl"/>
        </w:rPr>
        <w:t> </w:t>
      </w:r>
      <w:r w:rsidR="007E167C" w:rsidRPr="008D5825">
        <w:rPr>
          <w:lang w:val="es-ES_tradnl"/>
        </w:rPr>
        <w:t>=</w:t>
      </w:r>
      <w:r w:rsidRPr="008D5825">
        <w:rPr>
          <w:lang w:val="es-ES_tradnl"/>
        </w:rPr>
        <w:t> </w:t>
      </w:r>
      <w:r w:rsidR="001F4806" w:rsidRPr="008D5825">
        <w:rPr>
          <w:lang w:val="es-ES_tradnl"/>
        </w:rPr>
        <w:t>141, 142, 143, ... 179.</w:t>
      </w:r>
    </w:p>
    <w:p w:rsidR="001F4806" w:rsidRDefault="001F4806" w:rsidP="008D5825">
      <w:pPr>
        <w:rPr>
          <w:lang w:val="es-ES_tradnl"/>
        </w:rPr>
      </w:pPr>
      <w:r w:rsidRPr="008D5825">
        <w:rPr>
          <w:lang w:val="es-ES_tradnl"/>
        </w:rPr>
        <w:t xml:space="preserve">La </w:t>
      </w:r>
      <w:r w:rsidR="001F4CDB" w:rsidRPr="008D5825">
        <w:rPr>
          <w:lang w:val="es-ES_tradnl"/>
        </w:rPr>
        <w:t>Fig.</w:t>
      </w:r>
      <w:r w:rsidRPr="008D5825">
        <w:rPr>
          <w:lang w:val="es-ES_tradnl"/>
        </w:rPr>
        <w:t xml:space="preserve"> 6 muestra la disposición de canales constituida por 39 canales básicos de 50 MHz cuando se utiliza junto con la disposición y el método de agregación de canales básicos de 50 MHz en la banda inferior de 57</w:t>
      </w:r>
      <w:r w:rsidRPr="008D5825">
        <w:rPr>
          <w:lang w:val="es-ES_tradnl"/>
        </w:rPr>
        <w:noBreakHyphen/>
        <w:t xml:space="preserve">64 GHz como se describe en el Anexo 2 a la presente Recomendación; </w:t>
      </w:r>
      <w:r w:rsidR="00457F28" w:rsidRPr="008D5825">
        <w:rPr>
          <w:lang w:val="es-ES_tradnl"/>
        </w:rPr>
        <w:t xml:space="preserve">no </w:t>
      </w:r>
      <w:r w:rsidRPr="008D5825">
        <w:rPr>
          <w:lang w:val="es-ES_tradnl"/>
        </w:rPr>
        <w:t>es necesario la banda de guarda inferior de 50 MHz. Esta disposición es válida tanto para DDT como DDF, según proceda.</w:t>
      </w:r>
    </w:p>
    <w:p w:rsidR="001F4806" w:rsidRPr="008D5825" w:rsidRDefault="00743D71" w:rsidP="008D5825">
      <w:pPr>
        <w:pStyle w:val="FigureNo"/>
        <w:rPr>
          <w:lang w:val="es-ES_tradnl"/>
        </w:rPr>
      </w:pPr>
      <w:r>
        <w:rPr>
          <w:lang w:val="es-ES_tradnl"/>
        </w:rPr>
        <w:lastRenderedPageBreak/>
        <w:t>F</w:t>
      </w:r>
      <w:r w:rsidR="001F4806" w:rsidRPr="008D5825">
        <w:rPr>
          <w:lang w:val="es-ES_tradnl"/>
        </w:rPr>
        <w:t>igurA 6</w:t>
      </w:r>
    </w:p>
    <w:p w:rsidR="001F4806" w:rsidRPr="008D5825" w:rsidRDefault="001F4806" w:rsidP="008D5825">
      <w:pPr>
        <w:pStyle w:val="Figuretitle"/>
        <w:rPr>
          <w:lang w:val="es-ES_tradnl"/>
        </w:rPr>
      </w:pPr>
      <w:r w:rsidRPr="008D5825">
        <w:rPr>
          <w:lang w:val="es-ES_tradnl"/>
        </w:rPr>
        <w:t>Disposición básica de canales de 50 MHz 64-66 GHz</w:t>
      </w:r>
      <w:r w:rsidRPr="008D5825">
        <w:rPr>
          <w:lang w:val="es-ES_tradnl"/>
        </w:rPr>
        <w:br/>
        <w:t>(utilizada junto con la disposición en la banda inferior)</w:t>
      </w:r>
    </w:p>
    <w:tbl>
      <w:tblPr>
        <w:tblW w:w="9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2"/>
        <w:gridCol w:w="229"/>
        <w:gridCol w:w="248"/>
        <w:gridCol w:w="179"/>
        <w:gridCol w:w="453"/>
        <w:gridCol w:w="434"/>
        <w:gridCol w:w="435"/>
        <w:gridCol w:w="4223"/>
        <w:gridCol w:w="476"/>
        <w:gridCol w:w="476"/>
        <w:gridCol w:w="335"/>
        <w:gridCol w:w="141"/>
        <w:gridCol w:w="196"/>
        <w:gridCol w:w="190"/>
        <w:gridCol w:w="125"/>
        <w:gridCol w:w="245"/>
      </w:tblGrid>
      <w:tr w:rsidR="001F4806" w:rsidRPr="008D5825" w:rsidTr="00D81645">
        <w:trPr>
          <w:cantSplit/>
          <w:trHeight w:val="540"/>
          <w:jc w:val="center"/>
        </w:trPr>
        <w:tc>
          <w:tcPr>
            <w:tcW w:w="1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ja-JP"/>
              </w:rPr>
              <w:t>N</w:t>
            </w:r>
            <w:r w:rsidR="00A561F2" w:rsidRPr="008D5825">
              <w:rPr>
                <w:rFonts w:asciiTheme="majorBidi" w:hAnsiTheme="majorBidi" w:cstheme="majorBidi"/>
                <w:sz w:val="20"/>
                <w:lang w:val="es-ES_tradnl" w:eastAsia="ja-JP"/>
              </w:rPr>
              <w:t>.°</w:t>
            </w:r>
            <w:r w:rsidRPr="008D5825">
              <w:rPr>
                <w:rFonts w:asciiTheme="majorBidi" w:hAnsiTheme="majorBidi" w:cstheme="majorBidi"/>
                <w:sz w:val="20"/>
                <w:lang w:val="es-ES_tradnl" w:eastAsia="ja-JP"/>
              </w:rPr>
              <w:t xml:space="preserve"> de canal básico de </w:t>
            </w:r>
            <w:r w:rsidRPr="008D5825">
              <w:rPr>
                <w:rFonts w:asciiTheme="majorBidi" w:hAnsiTheme="majorBidi" w:cstheme="majorBidi"/>
                <w:sz w:val="20"/>
                <w:lang w:val="es-ES_tradnl"/>
              </w:rPr>
              <w:t>50 MHz</w:t>
            </w:r>
          </w:p>
        </w:tc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141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142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143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144</w:t>
            </w:r>
          </w:p>
        </w:tc>
        <w:tc>
          <w:tcPr>
            <w:tcW w:w="4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 xml:space="preserve">                </w:t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sym w:font="Wingdings" w:char="F0E0"/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 xml:space="preserve">                 </w:t>
            </w: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sym w:font="Wingdings" w:char="F0E0"/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177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178</w:t>
            </w:r>
          </w:p>
        </w:tc>
        <w:tc>
          <w:tcPr>
            <w:tcW w:w="4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179</w:t>
            </w:r>
          </w:p>
        </w:tc>
        <w:tc>
          <w:tcPr>
            <w:tcW w:w="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Theme="majorBidi" w:hAnsiTheme="majorBidi" w:cstheme="majorBidi"/>
                <w:sz w:val="20"/>
                <w:lang w:val="es-ES_tradnl" w:eastAsia="de-CH"/>
              </w:rPr>
            </w:pPr>
            <w:r w:rsidRPr="008D5825">
              <w:rPr>
                <w:rFonts w:asciiTheme="majorBidi" w:hAnsiTheme="majorBidi" w:cstheme="majorBidi"/>
                <w:sz w:val="20"/>
                <w:lang w:val="es-ES_tradnl" w:eastAsia="de-CH"/>
              </w:rPr>
              <w:t>50 MHz</w:t>
            </w:r>
          </w:p>
        </w:tc>
        <w:tc>
          <w:tcPr>
            <w:tcW w:w="24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1F4806" w:rsidRPr="008D5825" w:rsidRDefault="001F4806" w:rsidP="008D5825">
            <w:pPr>
              <w:pStyle w:val="Tablehead"/>
              <w:rPr>
                <w:rFonts w:ascii="Arial" w:hAnsi="Arial" w:cs="Arial"/>
                <w:sz w:val="20"/>
                <w:lang w:val="es-ES_tradnl" w:eastAsia="de-CH"/>
              </w:rPr>
            </w:pPr>
          </w:p>
        </w:tc>
      </w:tr>
      <w:tr w:rsidR="001F4806" w:rsidRPr="008D5825" w:rsidTr="00C81B0D">
        <w:trPr>
          <w:cantSplit/>
          <w:trHeight w:val="818"/>
          <w:jc w:val="center"/>
        </w:trPr>
        <w:tc>
          <w:tcPr>
            <w:tcW w:w="132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47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bCs/>
                <w:sz w:val="20"/>
                <w:lang w:val="es-ES_tradnl" w:eastAsia="de-CH"/>
              </w:rPr>
            </w:pPr>
            <w:r w:rsidRPr="008D5825">
              <w:rPr>
                <w:bCs/>
                <w:sz w:val="20"/>
                <w:lang w:val="es-ES_tradnl" w:eastAsia="de-CH"/>
              </w:rPr>
              <w:t>64 000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 w:eastAsia="de-CH"/>
              </w:rPr>
            </w:pPr>
          </w:p>
        </w:tc>
        <w:tc>
          <w:tcPr>
            <w:tcW w:w="4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 w:eastAsia="de-CH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sz w:val="20"/>
                <w:lang w:val="es-ES_tradnl" w:eastAsia="de-CH"/>
              </w:rPr>
            </w:pPr>
          </w:p>
        </w:tc>
        <w:tc>
          <w:tcPr>
            <w:tcW w:w="422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bCs/>
                <w:sz w:val="20"/>
                <w:lang w:val="es-ES_tradnl" w:eastAsia="de-CH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bCs/>
                <w:sz w:val="20"/>
                <w:lang w:val="es-ES_tradnl" w:eastAsia="de-CH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bCs/>
                <w:sz w:val="20"/>
                <w:lang w:val="es-ES_tradnl" w:eastAsia="de-CH"/>
              </w:rPr>
            </w:pPr>
          </w:p>
        </w:tc>
        <w:tc>
          <w:tcPr>
            <w:tcW w:w="33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bCs/>
                <w:sz w:val="20"/>
                <w:lang w:val="es-ES_tradnl" w:eastAsia="de-CH"/>
              </w:rPr>
            </w:pPr>
            <w:r w:rsidRPr="008D5825">
              <w:rPr>
                <w:bCs/>
                <w:sz w:val="20"/>
                <w:lang w:val="es-ES_tradnl" w:eastAsia="de-CH"/>
              </w:rPr>
              <w:t>65 950</w:t>
            </w:r>
          </w:p>
        </w:tc>
        <w:tc>
          <w:tcPr>
            <w:tcW w:w="1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bCs/>
                <w:sz w:val="20"/>
                <w:lang w:val="es-ES_tradnl" w:eastAsia="de-CH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textDirection w:val="btLr"/>
            <w:vAlign w:val="center"/>
          </w:tcPr>
          <w:p w:rsidR="001F4806" w:rsidRPr="008D5825" w:rsidRDefault="001F4806" w:rsidP="008D5825">
            <w:pPr>
              <w:pStyle w:val="Tabletext"/>
              <w:rPr>
                <w:bCs/>
                <w:sz w:val="20"/>
                <w:lang w:val="es-ES_tradnl" w:eastAsia="de-CH"/>
              </w:rPr>
            </w:pPr>
            <w:r w:rsidRPr="008D5825">
              <w:rPr>
                <w:bCs/>
                <w:sz w:val="20"/>
                <w:lang w:val="es-ES_tradnl" w:eastAsia="de-CH"/>
              </w:rPr>
              <w:t>66 000</w:t>
            </w:r>
          </w:p>
        </w:tc>
      </w:tr>
    </w:tbl>
    <w:p w:rsidR="00DA5996" w:rsidRPr="008D5825" w:rsidRDefault="00DA5996" w:rsidP="008D5825">
      <w:pPr>
        <w:rPr>
          <w:lang w:val="es-ES_tradnl"/>
        </w:rPr>
      </w:pPr>
    </w:p>
    <w:p w:rsidR="001F4806" w:rsidRPr="008D5825" w:rsidRDefault="001F4806" w:rsidP="008D5825">
      <w:pPr>
        <w:pStyle w:val="TableNo"/>
        <w:rPr>
          <w:lang w:val="es-ES_tradnl"/>
        </w:rPr>
      </w:pPr>
      <w:r w:rsidRPr="008D5825">
        <w:rPr>
          <w:lang w:val="es-ES_tradnl"/>
        </w:rPr>
        <w:t>CUADRO 4</w:t>
      </w:r>
    </w:p>
    <w:p w:rsidR="001F4806" w:rsidRPr="008D5825" w:rsidRDefault="001F4806" w:rsidP="008D5825">
      <w:pPr>
        <w:pStyle w:val="Tabletitle"/>
        <w:rPr>
          <w:lang w:val="es-ES_tradnl"/>
        </w:rPr>
      </w:pPr>
      <w:r w:rsidRPr="008D5825">
        <w:rPr>
          <w:lang w:val="es-ES_tradnl"/>
        </w:rPr>
        <w:t>Parámetros calculados con arreglo a la Recomendación UIT-R F.746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7"/>
        <w:gridCol w:w="1191"/>
        <w:gridCol w:w="935"/>
        <w:gridCol w:w="935"/>
        <w:gridCol w:w="935"/>
        <w:gridCol w:w="935"/>
        <w:gridCol w:w="935"/>
        <w:gridCol w:w="935"/>
        <w:gridCol w:w="935"/>
        <w:gridCol w:w="938"/>
      </w:tblGrid>
      <w:tr w:rsidR="001F4806" w:rsidRPr="008D5825" w:rsidTr="00854505">
        <w:trPr>
          <w:cantSplit/>
          <w:trHeight w:val="400"/>
          <w:jc w:val="center"/>
        </w:trPr>
        <w:tc>
          <w:tcPr>
            <w:tcW w:w="907" w:type="dxa"/>
            <w:tcMar>
              <w:left w:w="28" w:type="dxa"/>
              <w:right w:w="28" w:type="dxa"/>
            </w:tcMar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1191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i/>
                <w:iCs/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n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f</w:t>
            </w:r>
            <w:r w:rsidRPr="008D5825">
              <w:rPr>
                <w:vertAlign w:val="subscript"/>
                <w:lang w:val="es-ES_tradnl"/>
              </w:rPr>
              <w:t>1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0A1690">
            <w:pPr>
              <w:pStyle w:val="Tablehead"/>
              <w:rPr>
                <w:lang w:val="es-ES_tradnl"/>
              </w:rPr>
            </w:pPr>
            <w:proofErr w:type="spellStart"/>
            <w:r w:rsidRPr="008D5825">
              <w:rPr>
                <w:i/>
                <w:iCs/>
                <w:lang w:val="es-ES_tradnl"/>
              </w:rPr>
              <w:t>f</w:t>
            </w:r>
            <w:r w:rsidRPr="008D5825">
              <w:rPr>
                <w:i/>
                <w:iCs/>
                <w:vertAlign w:val="subscript"/>
                <w:lang w:val="es-ES_tradnl"/>
              </w:rPr>
              <w:t>nm</w:t>
            </w:r>
            <w:r w:rsidR="000A1690">
              <w:rPr>
                <w:i/>
                <w:iCs/>
                <w:vertAlign w:val="subscript"/>
                <w:lang w:val="es-ES_tradnl"/>
              </w:rPr>
              <w:t>á</w:t>
            </w:r>
            <w:r w:rsidRPr="008D5825">
              <w:rPr>
                <w:i/>
                <w:iCs/>
                <w:vertAlign w:val="subscript"/>
                <w:lang w:val="es-ES_tradnl"/>
              </w:rPr>
              <w:t>x</w:t>
            </w:r>
            <w:proofErr w:type="spellEnd"/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35" w:type="dxa"/>
            <w:vAlign w:val="center"/>
          </w:tcPr>
          <w:p w:rsidR="001F4806" w:rsidRPr="008D5825" w:rsidRDefault="008D0579" w:rsidP="008D5825">
            <w:pPr>
              <w:pStyle w:val="Tablehead"/>
              <w:rPr>
                <w:lang w:val="es-ES_tradnl"/>
              </w:rPr>
            </w:pPr>
            <w:r w:rsidRPr="008D5825">
              <w:rPr>
                <w:position w:val="-16"/>
                <w:lang w:val="es-ES_tradnl"/>
              </w:rPr>
              <w:object w:dxaOrig="279" w:dyaOrig="380">
                <v:shape id="_x0000_i1036" type="#_x0000_t75" style="width:13.5pt;height:19pt" o:ole="">
                  <v:imagedata r:id="rId19" o:title=""/>
                </v:shape>
                <o:OLEObject Type="Embed" ProgID="Equation.3" ShapeID="_x0000_i1036" DrawAspect="Content" ObjectID="_1499243774" r:id="rId28"/>
              </w:object>
            </w:r>
            <w:r w:rsidR="001F4806" w:rsidRPr="008D5825">
              <w:rPr>
                <w:lang w:val="es-ES_tradnl"/>
              </w:rPr>
              <w:br/>
              <w:t>(MHz)</w:t>
            </w:r>
          </w:p>
        </w:tc>
        <w:tc>
          <w:tcPr>
            <w:tcW w:w="935" w:type="dxa"/>
            <w:vAlign w:val="center"/>
          </w:tcPr>
          <w:p w:rsidR="001F4806" w:rsidRPr="008D5825" w:rsidRDefault="008D0579" w:rsidP="008D5825">
            <w:pPr>
              <w:pStyle w:val="Tablehead"/>
              <w:rPr>
                <w:lang w:val="es-ES_tradnl"/>
              </w:rPr>
            </w:pPr>
            <w:r w:rsidRPr="008D5825">
              <w:rPr>
                <w:position w:val="-16"/>
                <w:lang w:val="es-ES_tradnl"/>
              </w:rPr>
              <w:object w:dxaOrig="639" w:dyaOrig="380">
                <v:shape id="_x0000_i1037" type="#_x0000_t75" style="width:30.5pt;height:19.5pt" o:ole="">
                  <v:imagedata r:id="rId21" o:title=""/>
                </v:shape>
                <o:OLEObject Type="Embed" ProgID="Equation.3" ShapeID="_x0000_i1037" DrawAspect="Content" ObjectID="_1499243775" r:id="rId29"/>
              </w:object>
            </w:r>
            <w:r w:rsidR="001F4806" w:rsidRPr="008D5825">
              <w:rPr>
                <w:lang w:val="es-ES_tradnl"/>
              </w:rPr>
              <w:br/>
              <w:t>(MHz)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D0440F">
              <w:rPr>
                <w:vertAlign w:val="subscript"/>
              </w:rPr>
              <w:t>1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8D5825">
              <w:rPr>
                <w:vertAlign w:val="subscript"/>
                <w:lang w:val="es-ES_tradnl"/>
              </w:rPr>
              <w:t>2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YS</w:t>
            </w:r>
            <w:r w:rsidRPr="008D5825">
              <w:rPr>
                <w:lang w:val="es-ES_tradnl"/>
              </w:rPr>
              <w:br/>
              <w:t>(MHz)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head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DS</w:t>
            </w:r>
            <w:r w:rsidRPr="008D5825">
              <w:rPr>
                <w:lang w:val="es-ES_tradnl"/>
              </w:rPr>
              <w:br/>
              <w:t>(MHz)</w:t>
            </w:r>
          </w:p>
        </w:tc>
      </w:tr>
      <w:tr w:rsidR="001F4806" w:rsidRPr="008D5825" w:rsidTr="00854505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07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30</w:t>
            </w:r>
          </w:p>
        </w:tc>
        <w:tc>
          <w:tcPr>
            <w:tcW w:w="1191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33 (FDD)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64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025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64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985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015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975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30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990</w:t>
            </w:r>
          </w:p>
        </w:tc>
      </w:tr>
      <w:tr w:rsidR="001F4806" w:rsidRPr="008D5825" w:rsidTr="00854505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07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30</w:t>
            </w:r>
          </w:p>
        </w:tc>
        <w:tc>
          <w:tcPr>
            <w:tcW w:w="1191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66 (TDD)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64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025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975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</w:tr>
      <w:tr w:rsidR="001F4806" w:rsidRPr="008D5825" w:rsidTr="00854505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07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50</w:t>
            </w:r>
          </w:p>
        </w:tc>
        <w:tc>
          <w:tcPr>
            <w:tcW w:w="1191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1, ... 19 (FDD)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64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075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64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975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025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925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50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950</w:t>
            </w:r>
          </w:p>
        </w:tc>
      </w:tr>
      <w:tr w:rsidR="001F4806" w:rsidRPr="008D5825" w:rsidTr="00854505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07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50</w:t>
            </w:r>
          </w:p>
        </w:tc>
        <w:tc>
          <w:tcPr>
            <w:tcW w:w="1191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 xml:space="preserve">1, …38 </w:t>
            </w:r>
            <w:r w:rsidRPr="008D5825">
              <w:rPr>
                <w:lang w:val="es-ES_tradnl"/>
              </w:rPr>
              <w:br/>
              <w:t>(TDD)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64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075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925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75</w:t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</w:tr>
      <w:tr w:rsidR="001F4806" w:rsidRPr="008D5825" w:rsidTr="00854505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07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50</w:t>
            </w:r>
            <w:r w:rsidRPr="008D5825">
              <w:rPr>
                <w:lang w:val="es-ES_tradnl"/>
              </w:rPr>
              <w:br/>
              <w:t>(</w:t>
            </w:r>
            <w:r w:rsidRPr="008D5825">
              <w:rPr>
                <w:lang w:val="es-ES_tradnl" w:eastAsia="ja-JP"/>
              </w:rPr>
              <w:t>N</w:t>
            </w:r>
            <w:r w:rsidRPr="008D5825">
              <w:rPr>
                <w:lang w:val="es-ES_tradnl"/>
              </w:rPr>
              <w:t>ota)</w:t>
            </w:r>
          </w:p>
        </w:tc>
        <w:tc>
          <w:tcPr>
            <w:tcW w:w="1191" w:type="dxa"/>
            <w:tcBorders>
              <w:bottom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F4806" w:rsidRPr="008D5825" w:rsidRDefault="001F4806" w:rsidP="008D5825">
            <w:pPr>
              <w:pStyle w:val="Tabletext"/>
              <w:ind w:left="-57" w:right="-57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141, …179</w:t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64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025</w:t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65</w:t>
            </w:r>
            <w:r w:rsidRPr="008D5825">
              <w:rPr>
                <w:rFonts w:ascii="Tms Rmn" w:hAnsi="Tms Rmn"/>
                <w:lang w:val="es-ES_tradnl"/>
              </w:rPr>
              <w:t> </w:t>
            </w:r>
            <w:r w:rsidRPr="008D5825">
              <w:rPr>
                <w:lang w:val="es-ES_tradnl"/>
              </w:rPr>
              <w:t>925</w:t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ind w:left="-113" w:right="-113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25</w:t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t>75</w:t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  <w:tc>
          <w:tcPr>
            <w:tcW w:w="935" w:type="dxa"/>
            <w:tcBorders>
              <w:bottom w:val="single" w:sz="6" w:space="0" w:color="000000"/>
            </w:tcBorders>
            <w:vAlign w:val="center"/>
          </w:tcPr>
          <w:p w:rsidR="001F4806" w:rsidRPr="008D5825" w:rsidRDefault="001F4806" w:rsidP="008D5825">
            <w:pPr>
              <w:pStyle w:val="Tabletext"/>
              <w:jc w:val="center"/>
              <w:rPr>
                <w:lang w:val="es-ES_tradnl"/>
              </w:rPr>
            </w:pPr>
            <w:r w:rsidRPr="008D5825">
              <w:rPr>
                <w:lang w:val="es-ES_tradnl"/>
              </w:rPr>
              <w:sym w:font="Symbol" w:char="F02D"/>
            </w:r>
          </w:p>
        </w:tc>
      </w:tr>
      <w:tr w:rsidR="001F4806" w:rsidRPr="00130853" w:rsidTr="00854505">
        <w:tblPrEx>
          <w:tblBorders>
            <w:bottom w:val="single" w:sz="6" w:space="0" w:color="000000"/>
          </w:tblBorders>
        </w:tblPrEx>
        <w:trPr>
          <w:cantSplit/>
          <w:trHeight w:val="400"/>
          <w:jc w:val="center"/>
        </w:trPr>
        <w:tc>
          <w:tcPr>
            <w:tcW w:w="9581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1F4806" w:rsidRPr="008D5825" w:rsidRDefault="001F4806" w:rsidP="008D5825">
            <w:pPr>
              <w:pStyle w:val="Tablelegend"/>
              <w:spacing w:after="20"/>
              <w:ind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XS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las frecuencias centrales de canales adyacentes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YS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las frecuencias centrales de los canales de ida y vuelta más próximos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130853">
              <w:rPr>
                <w:vertAlign w:val="subscript"/>
                <w:lang w:val="es-ES_tradnl"/>
              </w:rPr>
              <w:t>1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el borde de la banda inferior y la frecuencia central del primer canal</w:t>
            </w:r>
          </w:p>
          <w:p w:rsidR="001F4806" w:rsidRPr="008D5825" w:rsidRDefault="001F4806" w:rsidP="008D5825">
            <w:pPr>
              <w:pStyle w:val="Tablelegend"/>
              <w:spacing w:before="60" w:after="20"/>
              <w:ind w:right="0"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Z</w:t>
            </w:r>
            <w:r w:rsidRPr="00130853">
              <w:rPr>
                <w:vertAlign w:val="subscript"/>
                <w:lang w:val="es-ES_tradnl"/>
              </w:rPr>
              <w:t>2</w:t>
            </w:r>
            <w:r w:rsidRPr="008D5825">
              <w:rPr>
                <w:i/>
                <w:iCs/>
                <w:lang w:val="es-ES_tradnl"/>
              </w:rPr>
              <w:t>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>separación entre la frecuencia central del último canal y el borde de la banda superior</w:t>
            </w:r>
          </w:p>
          <w:p w:rsidR="001F4806" w:rsidRPr="008D5825" w:rsidRDefault="001F4806" w:rsidP="008D5825">
            <w:pPr>
              <w:pStyle w:val="Tablelegend"/>
              <w:spacing w:before="60" w:after="20" w:line="240" w:lineRule="exact"/>
              <w:ind w:hanging="284"/>
              <w:rPr>
                <w:lang w:val="es-ES_tradnl"/>
              </w:rPr>
            </w:pPr>
            <w:r w:rsidRPr="008D5825">
              <w:rPr>
                <w:i/>
                <w:iCs/>
                <w:lang w:val="es-ES_tradnl"/>
              </w:rPr>
              <w:t>DS</w:t>
            </w:r>
            <w:r w:rsidRPr="008D5825">
              <w:rPr>
                <w:lang w:val="es-ES_tradnl"/>
              </w:rPr>
              <w:t>:</w:t>
            </w:r>
            <w:r w:rsidRPr="008D5825">
              <w:rPr>
                <w:lang w:val="es-ES_tradnl"/>
              </w:rPr>
              <w:tab/>
              <w:t xml:space="preserve">separación dúplex </w:t>
            </w:r>
            <w:r w:rsidR="00854505" w:rsidRPr="008D5825">
              <w:rPr>
                <w:position w:val="-10"/>
                <w:lang w:val="es-ES_tradnl"/>
              </w:rPr>
              <w:object w:dxaOrig="940" w:dyaOrig="360">
                <v:shape id="_x0000_i1038" type="#_x0000_t75" style="width:47pt;height:17.5pt" o:ole="">
                  <v:imagedata r:id="rId30" o:title=""/>
                </v:shape>
                <o:OLEObject Type="Embed" ProgID="Equation.3" ShapeID="_x0000_i1038" DrawAspect="Content" ObjectID="_1499243776" r:id="rId31"/>
              </w:object>
            </w:r>
          </w:p>
          <w:p w:rsidR="001F4806" w:rsidRPr="008D5825" w:rsidRDefault="001F4806" w:rsidP="008D5825">
            <w:pPr>
              <w:pStyle w:val="Tablelegend"/>
              <w:spacing w:before="60" w:after="20" w:line="240" w:lineRule="exact"/>
              <w:ind w:hanging="284"/>
              <w:rPr>
                <w:lang w:val="es-ES_tradnl"/>
              </w:rPr>
            </w:pPr>
            <w:r w:rsidRPr="008D5825">
              <w:rPr>
                <w:iCs/>
                <w:lang w:val="es-ES_tradnl"/>
              </w:rPr>
              <w:t xml:space="preserve">NOTA – </w:t>
            </w:r>
            <w:r w:rsidRPr="008D5825">
              <w:rPr>
                <w:lang w:val="es-ES_tradnl"/>
              </w:rPr>
              <w:t>Extensión de la disposición de canales del Anexo 2.</w:t>
            </w:r>
          </w:p>
        </w:tc>
      </w:tr>
    </w:tbl>
    <w:p w:rsidR="001F4806" w:rsidRPr="008D5825" w:rsidRDefault="001F4806" w:rsidP="008D5825">
      <w:pPr>
        <w:pStyle w:val="Tablefin"/>
        <w:rPr>
          <w:lang w:val="es-ES_tradnl"/>
        </w:rPr>
      </w:pPr>
    </w:p>
    <w:p w:rsidR="001F4806" w:rsidRPr="008D5825" w:rsidRDefault="001F4806" w:rsidP="00D0440F">
      <w:pPr>
        <w:rPr>
          <w:lang w:val="es-ES_tradnl"/>
        </w:rPr>
      </w:pPr>
    </w:p>
    <w:p w:rsidR="001F4806" w:rsidRPr="008D5825" w:rsidRDefault="001F4806" w:rsidP="008D5825">
      <w:pPr>
        <w:jc w:val="center"/>
        <w:rPr>
          <w:lang w:val="es-ES_tradnl"/>
        </w:rPr>
      </w:pPr>
      <w:r w:rsidRPr="008D5825">
        <w:rPr>
          <w:lang w:val="es-ES_tradnl"/>
        </w:rPr>
        <w:t>______________</w:t>
      </w:r>
    </w:p>
    <w:p w:rsidR="001F4806" w:rsidRPr="008D5825" w:rsidRDefault="001F4806" w:rsidP="008D5825">
      <w:pPr>
        <w:rPr>
          <w:lang w:val="es-ES_tradnl"/>
        </w:rPr>
      </w:pPr>
    </w:p>
    <w:sectPr w:rsidR="001F4806" w:rsidRPr="008D5825" w:rsidSect="00741EC8">
      <w:headerReference w:type="even" r:id="rId32"/>
      <w:headerReference w:type="default" r:id="rId3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CCB" w:rsidRDefault="00545CCB">
      <w:r>
        <w:separator/>
      </w:r>
    </w:p>
  </w:endnote>
  <w:endnote w:type="continuationSeparator" w:id="0">
    <w:p w:rsidR="00545CCB" w:rsidRDefault="0054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CCB" w:rsidRDefault="00545CCB">
      <w:r>
        <w:separator/>
      </w:r>
    </w:p>
  </w:footnote>
  <w:footnote w:type="continuationSeparator" w:id="0">
    <w:p w:rsidR="00545CCB" w:rsidRDefault="00545C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CCB" w:rsidRDefault="00545CC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CCB" w:rsidRDefault="00545CCB" w:rsidP="00C81B0D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8240" behindDoc="0" locked="0" layoutInCell="1" allowOverlap="1" wp14:anchorId="1B444475" wp14:editId="25030B55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_tradnl" w:eastAsia="zh-CN"/>
      </w:rPr>
      <w:drawing>
        <wp:anchor distT="0" distB="0" distL="114300" distR="114300" simplePos="0" relativeHeight="251656192" behindDoc="1" locked="0" layoutInCell="1" allowOverlap="1" wp14:anchorId="00D672A8" wp14:editId="3DF9420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CCB" w:rsidRDefault="00545CCB" w:rsidP="00C81B0D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3085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Pr="00545CCB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30853">
      <w:rPr>
        <w:b/>
        <w:bCs/>
        <w:noProof/>
      </w:rPr>
      <w:t>UIT-R  F.1497-2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CCB" w:rsidRDefault="00545CCB">
    <w:pPr>
      <w:pStyle w:val="Header"/>
    </w:pPr>
    <w:r>
      <w:tab/>
    </w:r>
    <w:fldSimple w:instr=" DOCPROPERTY &quot;Header&quot; \* MERGEFORMAT ">
      <w:r w:rsidRPr="00545CCB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F.1497-2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CCB" w:rsidRDefault="00545CC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30853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Pr="00545CCB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30853">
      <w:rPr>
        <w:b/>
        <w:bCs/>
        <w:noProof/>
      </w:rPr>
      <w:t>UIT-R  F.1497-2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CCB" w:rsidRDefault="00545CCB">
    <w:pPr>
      <w:pStyle w:val="Header"/>
    </w:pPr>
    <w:r>
      <w:tab/>
    </w:r>
    <w:fldSimple w:instr=" DOCPROPERTY &quot;Header&quot; \* MERGEFORMAT ">
      <w:r w:rsidRPr="00545C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30853">
      <w:rPr>
        <w:b/>
        <w:bCs/>
        <w:noProof/>
      </w:rPr>
      <w:t>UIT-R  F.1497-2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30853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9C3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A04E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16BB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45A36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E437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7E91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6295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A413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0618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500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806"/>
    <w:rsid w:val="00034308"/>
    <w:rsid w:val="00072735"/>
    <w:rsid w:val="000A1690"/>
    <w:rsid w:val="00130853"/>
    <w:rsid w:val="001F4806"/>
    <w:rsid w:val="001F4CDB"/>
    <w:rsid w:val="00217EBF"/>
    <w:rsid w:val="00242AEE"/>
    <w:rsid w:val="002D76C4"/>
    <w:rsid w:val="00375CA0"/>
    <w:rsid w:val="0039071C"/>
    <w:rsid w:val="003A0B05"/>
    <w:rsid w:val="003B15A7"/>
    <w:rsid w:val="003C2D0F"/>
    <w:rsid w:val="00457F28"/>
    <w:rsid w:val="00464BA6"/>
    <w:rsid w:val="0052529D"/>
    <w:rsid w:val="00545CCB"/>
    <w:rsid w:val="005C20F8"/>
    <w:rsid w:val="00607D68"/>
    <w:rsid w:val="0066240B"/>
    <w:rsid w:val="006D7724"/>
    <w:rsid w:val="00741EC8"/>
    <w:rsid w:val="00743D71"/>
    <w:rsid w:val="007468DA"/>
    <w:rsid w:val="007E167C"/>
    <w:rsid w:val="00854505"/>
    <w:rsid w:val="00881CB9"/>
    <w:rsid w:val="008D0579"/>
    <w:rsid w:val="008D5825"/>
    <w:rsid w:val="0090029E"/>
    <w:rsid w:val="009232AE"/>
    <w:rsid w:val="009E00A8"/>
    <w:rsid w:val="00A561F2"/>
    <w:rsid w:val="00A6617B"/>
    <w:rsid w:val="00AB0DC8"/>
    <w:rsid w:val="00AC510E"/>
    <w:rsid w:val="00B44E24"/>
    <w:rsid w:val="00BD2A3B"/>
    <w:rsid w:val="00C11016"/>
    <w:rsid w:val="00C5460F"/>
    <w:rsid w:val="00C72C5F"/>
    <w:rsid w:val="00C81B0D"/>
    <w:rsid w:val="00CA3D89"/>
    <w:rsid w:val="00D01B8F"/>
    <w:rsid w:val="00D0440F"/>
    <w:rsid w:val="00D508AA"/>
    <w:rsid w:val="00D81645"/>
    <w:rsid w:val="00DA5996"/>
    <w:rsid w:val="00DF4176"/>
    <w:rsid w:val="00E367EC"/>
    <w:rsid w:val="00E66483"/>
    <w:rsid w:val="00F26E89"/>
    <w:rsid w:val="00F3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;"/>
  <w15:docId w15:val="{977B27F4-D339-49CE-9919-74B41699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80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F4806"/>
    <w:rPr>
      <w:b/>
      <w:sz w:val="24"/>
      <w:lang w:val="fr-FR" w:eastAsia="en-US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1F4806"/>
    <w:rPr>
      <w:sz w:val="24"/>
      <w:lang w:val="fr-FR" w:eastAsia="en-US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semiHidden/>
    <w:rsid w:val="001F4806"/>
    <w:rPr>
      <w:sz w:val="22"/>
      <w:lang w:val="fr-FR" w:eastAsia="en-US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C81B0D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1F4806"/>
    <w:rPr>
      <w:color w:val="0000FF"/>
      <w:u w:val="single"/>
    </w:rPr>
  </w:style>
  <w:style w:type="character" w:styleId="CommentReference">
    <w:name w:val="annotation reference"/>
    <w:basedOn w:val="DefaultParagraphFont"/>
    <w:rsid w:val="001F4806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wmf"/><Relationship Id="rId28" Type="http://schemas.openxmlformats.org/officeDocument/2006/relationships/oleObject" Target="embeddings/oleObject12.bin"/><Relationship Id="rId10" Type="http://schemas.openxmlformats.org/officeDocument/2006/relationships/header" Target="header4.xml"/><Relationship Id="rId19" Type="http://schemas.openxmlformats.org/officeDocument/2006/relationships/image" Target="media/image5.wmf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9.wmf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280</TotalTime>
  <Pages>12</Pages>
  <Words>3668</Words>
  <Characters>17719</Characters>
  <Application>Microsoft Office Word</Application>
  <DocSecurity>0</DocSecurity>
  <Lines>492</Lines>
  <Paragraphs>445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Template BR_Rec_2005.dot</vt:lpstr>
      <vt:lpstr>Política sobre Derechos de Propiedad Intelectual (IPR)</vt:lpstr>
      <vt:lpstr>1	Para los sistemas del servicio fijo que utilizan DDT</vt:lpstr>
      <vt:lpstr>2	Para los sistemas del servicio fijo que utilizan DDF</vt:lpstr>
      <vt:lpstr>1	Disposiciones de DDF y DDT con canales básicos de 30 MHz </vt:lpstr>
      <vt:lpstr>2	Disposición con canales básicos de 50 MHz (64-66 GHz solamente)</vt:lpstr>
      <vt:lpstr>3	Disposición con canales básicos de 50 MHz (64-66 GHz junto con la banda inferi</vt:lpstr>
    </vt:vector>
  </TitlesOfParts>
  <Manager/>
  <Company>ITU</Company>
  <LinksUpToDate>false</LinksUpToDate>
  <CharactersWithSpaces>20942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38</cp:revision>
  <cp:lastPrinted>2015-07-24T09:02:00Z</cp:lastPrinted>
  <dcterms:created xsi:type="dcterms:W3CDTF">2015-07-23T09:46:00Z</dcterms:created>
  <dcterms:modified xsi:type="dcterms:W3CDTF">2015-07-24T09:47:00Z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