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6EA" w:rsidRPr="00575CB8" w:rsidRDefault="002C16EA" w:rsidP="006F7608">
      <w:pPr>
        <w:rPr>
          <w:lang w:val="en-US"/>
        </w:rPr>
      </w:pPr>
      <w:bookmarkStart w:id="0" w:name="dbreak"/>
      <w:bookmarkEnd w:id="0"/>
    </w:p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p w:rsidR="002C16EA" w:rsidRDefault="002C16EA" w:rsidP="006F7608"/>
    <w:tbl>
      <w:tblPr>
        <w:tblStyle w:val="TableGrid"/>
        <w:tblW w:w="100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089"/>
      </w:tblGrid>
      <w:tr w:rsidR="002C16EA" w:rsidRPr="002C16EA" w:rsidTr="006F7608">
        <w:tc>
          <w:tcPr>
            <w:tcW w:w="10089" w:type="dxa"/>
          </w:tcPr>
          <w:p w:rsidR="002C16EA" w:rsidRPr="0010336F" w:rsidRDefault="002C16EA" w:rsidP="006F760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C16EA" w:rsidRPr="0010336F" w:rsidRDefault="002C16EA" w:rsidP="002C16E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1497-1</w:t>
            </w:r>
          </w:p>
          <w:p w:rsidR="002C16EA" w:rsidRPr="0010336F" w:rsidRDefault="002C16EA" w:rsidP="002C16E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C16EA" w:rsidRPr="00A33758" w:rsidTr="006F7608">
        <w:tc>
          <w:tcPr>
            <w:tcW w:w="10089" w:type="dxa"/>
          </w:tcPr>
          <w:p w:rsidR="002C16EA" w:rsidRPr="0010336F" w:rsidRDefault="002C16EA" w:rsidP="006F760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C16EA" w:rsidRPr="00970AF0" w:rsidRDefault="002C16EA" w:rsidP="0049775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Disposición</w:t>
            </w:r>
            <w:r w:rsidRPr="00970AF0">
              <w:rPr>
                <w:color w:val="243285"/>
                <w:lang w:val="es-ES"/>
              </w:rPr>
              <w:t xml:space="preserve"> </w:t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de</w:t>
            </w:r>
            <w:r w:rsidRPr="00970AF0">
              <w:rPr>
                <w:color w:val="243285"/>
                <w:lang w:val="es-ES"/>
              </w:rPr>
              <w:t xml:space="preserve"> </w:t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radiocanales</w:t>
            </w:r>
            <w:r w:rsidRPr="00970AF0">
              <w:rPr>
                <w:color w:val="243285"/>
                <w:lang w:val="es-ES"/>
              </w:rPr>
              <w:t xml:space="preserve"> </w:t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para</w:t>
            </w:r>
            <w:r w:rsidR="0049775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 xml:space="preserve"> </w:t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los sistemas</w:t>
            </w:r>
            <w:r w:rsidR="0049775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br/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inalámbricos fijos que</w:t>
            </w:r>
            <w:r w:rsidR="0049775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 xml:space="preserve"> </w:t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funcionan</w:t>
            </w:r>
            <w:r w:rsidR="0049775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br/>
            </w:r>
            <w:r w:rsidRPr="00970AF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"/>
              </w:rPr>
              <w:t>en la banda 55,78-59 GHz</w:t>
            </w:r>
          </w:p>
          <w:p w:rsidR="002C16EA" w:rsidRPr="0010336F" w:rsidRDefault="002C16EA" w:rsidP="006F760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C16EA" w:rsidRPr="0026666F" w:rsidTr="006F7608">
        <w:tc>
          <w:tcPr>
            <w:tcW w:w="10089" w:type="dxa"/>
          </w:tcPr>
          <w:p w:rsidR="002C16EA" w:rsidRPr="0010336F" w:rsidRDefault="002C16EA" w:rsidP="006F760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C16EA" w:rsidRPr="0010336F" w:rsidRDefault="002C16EA" w:rsidP="006F760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C16EA" w:rsidRPr="0010336F" w:rsidRDefault="002C16EA" w:rsidP="006F760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C16EA" w:rsidRPr="0010336F" w:rsidRDefault="002C16EA" w:rsidP="006F760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F</w:t>
            </w:r>
          </w:p>
          <w:p w:rsidR="002C16EA" w:rsidRPr="0010336F" w:rsidRDefault="002C16EA" w:rsidP="006F7608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fijo</w:t>
            </w:r>
          </w:p>
        </w:tc>
      </w:tr>
    </w:tbl>
    <w:p w:rsidR="002C16EA" w:rsidRPr="0026666F" w:rsidRDefault="002C16EA" w:rsidP="006F7608">
      <w:pPr>
        <w:spacing w:before="80"/>
        <w:rPr>
          <w:i/>
          <w:sz w:val="22"/>
          <w:lang w:val="es-ES_tradnl"/>
        </w:rPr>
      </w:pPr>
    </w:p>
    <w:p w:rsidR="002C16EA" w:rsidRPr="0026666F" w:rsidRDefault="002C16EA" w:rsidP="006F7608">
      <w:pPr>
        <w:spacing w:before="80"/>
        <w:rPr>
          <w:i/>
          <w:sz w:val="22"/>
          <w:lang w:val="es-ES_tradnl"/>
        </w:rPr>
      </w:pPr>
    </w:p>
    <w:p w:rsidR="002C16EA" w:rsidRPr="0026666F" w:rsidRDefault="002C16EA" w:rsidP="006F7608">
      <w:pPr>
        <w:spacing w:before="80"/>
        <w:rPr>
          <w:i/>
          <w:sz w:val="22"/>
          <w:lang w:val="es-ES_tradnl"/>
        </w:rPr>
      </w:pPr>
    </w:p>
    <w:p w:rsidR="002C16EA" w:rsidRPr="0026666F" w:rsidRDefault="002C16EA" w:rsidP="006F7608">
      <w:pPr>
        <w:spacing w:before="80"/>
        <w:rPr>
          <w:i/>
          <w:sz w:val="22"/>
          <w:lang w:val="es-ES_tradnl"/>
        </w:rPr>
      </w:pPr>
    </w:p>
    <w:p w:rsidR="002C16EA" w:rsidRPr="0026666F" w:rsidRDefault="002C16EA" w:rsidP="006F7608">
      <w:pPr>
        <w:spacing w:before="80"/>
        <w:rPr>
          <w:i/>
          <w:sz w:val="22"/>
          <w:lang w:val="es-ES_tradnl"/>
        </w:rPr>
      </w:pPr>
    </w:p>
    <w:p w:rsidR="002C16EA" w:rsidRPr="0026666F" w:rsidRDefault="002C16EA" w:rsidP="006F7608">
      <w:pPr>
        <w:spacing w:before="80"/>
        <w:rPr>
          <w:i/>
          <w:sz w:val="22"/>
          <w:lang w:val="es-ES_tradnl"/>
        </w:rPr>
      </w:pPr>
    </w:p>
    <w:p w:rsidR="002C16EA" w:rsidRPr="0026666F" w:rsidRDefault="002C16EA" w:rsidP="006F760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C16EA" w:rsidRPr="0026666F" w:rsidSect="006F7608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C16EA" w:rsidRPr="006C718C" w:rsidRDefault="002C16EA" w:rsidP="006F760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C16EA" w:rsidRPr="006C718C" w:rsidRDefault="002C16EA" w:rsidP="006F7608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C16EA" w:rsidRPr="006C718C" w:rsidRDefault="002C16EA" w:rsidP="006F7608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C16EA" w:rsidRPr="00021E8A" w:rsidRDefault="002C16EA" w:rsidP="006F7608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C16EA" w:rsidRPr="00021E8A" w:rsidRDefault="002C16EA" w:rsidP="006F7608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C16EA" w:rsidRPr="007C36CA" w:rsidRDefault="002C16EA" w:rsidP="006F7608">
      <w:pPr>
        <w:spacing w:before="0"/>
        <w:jc w:val="center"/>
        <w:rPr>
          <w:sz w:val="22"/>
          <w:lang w:val="es-ES_tradnl"/>
        </w:rPr>
      </w:pPr>
    </w:p>
    <w:p w:rsidR="002C16EA" w:rsidRPr="007C36CA" w:rsidRDefault="002C16EA" w:rsidP="006F7608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2C16EA" w:rsidRPr="00A33758" w:rsidTr="006F7608">
        <w:tc>
          <w:tcPr>
            <w:tcW w:w="9360" w:type="dxa"/>
            <w:gridSpan w:val="2"/>
          </w:tcPr>
          <w:p w:rsidR="002C16EA" w:rsidRPr="00021E8A" w:rsidRDefault="002C16EA" w:rsidP="006F7608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C16EA" w:rsidRPr="00763D08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2C16EA" w:rsidRPr="00036EE3" w:rsidTr="006F7608">
        <w:tc>
          <w:tcPr>
            <w:tcW w:w="1140" w:type="dxa"/>
            <w:tcBorders>
              <w:bottom w:val="nil"/>
            </w:tcBorders>
          </w:tcPr>
          <w:p w:rsidR="002C16EA" w:rsidRPr="00036EE3" w:rsidRDefault="002C16EA" w:rsidP="006F7608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2C16EA" w:rsidRPr="00036EE3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proofErr w:type="spellStart"/>
            <w:r>
              <w:rPr>
                <w:bCs/>
                <w:sz w:val="20"/>
                <w:lang w:val="en-US"/>
              </w:rPr>
              <w:t>Título</w:t>
            </w:r>
            <w:proofErr w:type="spellEnd"/>
          </w:p>
        </w:tc>
      </w:tr>
      <w:tr w:rsidR="002C16EA" w:rsidRPr="004532F7" w:rsidTr="006F760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16EA" w:rsidRPr="004532F7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16EA" w:rsidRPr="004532F7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4532F7">
              <w:rPr>
                <w:b w:val="0"/>
                <w:sz w:val="20"/>
              </w:rPr>
              <w:t>Distribución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por</w:t>
            </w:r>
            <w:proofErr w:type="spellEnd"/>
            <w:r w:rsidRPr="004532F7">
              <w:rPr>
                <w:b w:val="0"/>
                <w:sz w:val="20"/>
              </w:rPr>
              <w:t xml:space="preserve"> </w:t>
            </w:r>
            <w:proofErr w:type="spellStart"/>
            <w:r w:rsidRPr="004532F7">
              <w:rPr>
                <w:b w:val="0"/>
                <w:sz w:val="20"/>
              </w:rPr>
              <w:t>satélite</w:t>
            </w:r>
            <w:proofErr w:type="spellEnd"/>
          </w:p>
        </w:tc>
      </w:tr>
      <w:tr w:rsidR="002C16EA" w:rsidRPr="00A33758" w:rsidTr="006F760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16EA" w:rsidRPr="006B22C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16EA" w:rsidRPr="006B22C3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2C16EA" w:rsidRPr="00847DD5" w:rsidTr="006F760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16EA" w:rsidRPr="00847DD5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16EA" w:rsidRPr="00847DD5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proofErr w:type="spellStart"/>
            <w:r w:rsidRPr="00847DD5">
              <w:rPr>
                <w:b w:val="0"/>
                <w:sz w:val="20"/>
              </w:rPr>
              <w:t>Servicio</w:t>
            </w:r>
            <w:proofErr w:type="spellEnd"/>
            <w:r w:rsidRPr="00847DD5">
              <w:rPr>
                <w:b w:val="0"/>
                <w:sz w:val="20"/>
              </w:rPr>
              <w:t xml:space="preserve"> de </w:t>
            </w:r>
            <w:proofErr w:type="spellStart"/>
            <w:r w:rsidRPr="00847DD5">
              <w:rPr>
                <w:b w:val="0"/>
                <w:sz w:val="20"/>
              </w:rPr>
              <w:t>radiodifusión</w:t>
            </w:r>
            <w:proofErr w:type="spellEnd"/>
            <w:r w:rsidRPr="00847DD5">
              <w:rPr>
                <w:b w:val="0"/>
                <w:sz w:val="20"/>
              </w:rPr>
              <w:t xml:space="preserve"> </w:t>
            </w:r>
            <w:proofErr w:type="spellStart"/>
            <w:r w:rsidRPr="00847DD5">
              <w:rPr>
                <w:b w:val="0"/>
                <w:sz w:val="20"/>
              </w:rPr>
              <w:t>sonora</w:t>
            </w:r>
            <w:proofErr w:type="spellEnd"/>
          </w:p>
        </w:tc>
      </w:tr>
      <w:tr w:rsidR="002C16EA" w:rsidRPr="00ED2695" w:rsidTr="006F760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16EA" w:rsidRPr="00ED2695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16EA" w:rsidRPr="00021E8A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proofErr w:type="spellStart"/>
            <w:r w:rsidRPr="00021E8A">
              <w:rPr>
                <w:b w:val="0"/>
                <w:bCs/>
                <w:sz w:val="20"/>
              </w:rPr>
              <w:t>Servicio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de </w:t>
            </w:r>
            <w:proofErr w:type="spellStart"/>
            <w:r w:rsidRPr="00021E8A">
              <w:rPr>
                <w:b w:val="0"/>
                <w:bCs/>
                <w:sz w:val="20"/>
              </w:rPr>
              <w:t>radiodifusión</w:t>
            </w:r>
            <w:proofErr w:type="spellEnd"/>
            <w:r w:rsidRPr="00021E8A">
              <w:rPr>
                <w:b w:val="0"/>
                <w:bCs/>
                <w:sz w:val="20"/>
              </w:rPr>
              <w:t xml:space="preserve"> (</w:t>
            </w:r>
            <w:proofErr w:type="spellStart"/>
            <w:r w:rsidRPr="00021E8A">
              <w:rPr>
                <w:b w:val="0"/>
                <w:bCs/>
                <w:sz w:val="20"/>
              </w:rPr>
              <w:t>televisión</w:t>
            </w:r>
            <w:proofErr w:type="spellEnd"/>
            <w:r w:rsidRPr="00021E8A">
              <w:rPr>
                <w:b w:val="0"/>
                <w:bCs/>
                <w:sz w:val="20"/>
              </w:rPr>
              <w:t>)</w:t>
            </w:r>
          </w:p>
        </w:tc>
      </w:tr>
      <w:tr w:rsidR="002C16EA" w:rsidRPr="00847DD5" w:rsidTr="006F7608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C16EA" w:rsidRPr="00847DD5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847DD5">
              <w:rPr>
                <w:b/>
                <w:bCs/>
                <w:color w:val="000080"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C16EA" w:rsidRPr="00847DD5" w:rsidRDefault="002C16EA" w:rsidP="006F760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/>
                <w:bCs/>
                <w:color w:val="000080"/>
                <w:sz w:val="20"/>
                <w:lang w:val="fr-CH"/>
              </w:rPr>
            </w:pPr>
            <w:proofErr w:type="spellStart"/>
            <w:r w:rsidRPr="00847DD5">
              <w:rPr>
                <w:b/>
                <w:bCs/>
                <w:color w:val="000080"/>
                <w:sz w:val="20"/>
              </w:rPr>
              <w:t>Servicio</w:t>
            </w:r>
            <w:proofErr w:type="spellEnd"/>
            <w:r w:rsidRPr="00847DD5">
              <w:rPr>
                <w:b/>
                <w:bCs/>
                <w:color w:val="000080"/>
                <w:sz w:val="20"/>
              </w:rPr>
              <w:t xml:space="preserve"> </w:t>
            </w:r>
            <w:proofErr w:type="spellStart"/>
            <w:r w:rsidRPr="00847DD5">
              <w:rPr>
                <w:b/>
                <w:bCs/>
                <w:color w:val="000080"/>
                <w:sz w:val="20"/>
              </w:rPr>
              <w:t>fijo</w:t>
            </w:r>
            <w:proofErr w:type="spellEnd"/>
          </w:p>
        </w:tc>
      </w:tr>
      <w:tr w:rsidR="002C16EA" w:rsidRPr="00A33758" w:rsidTr="006F7608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C16EA" w:rsidRPr="0010336F" w:rsidRDefault="002C16EA" w:rsidP="006F7608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C16EA" w:rsidRPr="0010336F" w:rsidRDefault="002C16EA" w:rsidP="006F7608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 xml:space="preserve">viles, de </w:t>
            </w:r>
            <w:proofErr w:type="spellStart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</w:t>
            </w:r>
            <w:proofErr w:type="spellEnd"/>
            <w:r w:rsidRPr="0010336F">
              <w:rPr>
                <w:rFonts w:hAnsi="Times New Roman Bold"/>
                <w:b w:val="0"/>
                <w:sz w:val="20"/>
                <w:lang w:val="es-ES_tradnl"/>
              </w:rPr>
              <w:t>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C16EA" w:rsidRPr="00A33758" w:rsidTr="006F7608">
        <w:tc>
          <w:tcPr>
            <w:tcW w:w="1140" w:type="dxa"/>
            <w:tcBorders>
              <w:top w:val="nil"/>
            </w:tcBorders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C16EA" w:rsidRPr="00021E8A" w:rsidRDefault="002C16EA" w:rsidP="006F760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C16EA" w:rsidRPr="00036EE3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 xml:space="preserve">Radio </w:t>
            </w:r>
            <w:proofErr w:type="spellStart"/>
            <w:r w:rsidRPr="00021E8A">
              <w:rPr>
                <w:bCs/>
                <w:sz w:val="20"/>
              </w:rPr>
              <w:t>astronomía</w:t>
            </w:r>
            <w:proofErr w:type="spellEnd"/>
          </w:p>
        </w:tc>
      </w:tr>
      <w:tr w:rsidR="002C16EA" w:rsidRPr="00A33758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C16EA" w:rsidRPr="00036EE3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Servicio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fijo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2C16EA" w:rsidRPr="00036EE3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Aplicaciones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espaciales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meteorología</w:t>
            </w:r>
            <w:proofErr w:type="spellEnd"/>
          </w:p>
        </w:tc>
      </w:tr>
      <w:tr w:rsidR="002C16EA" w:rsidRPr="00A33758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C16EA" w:rsidRPr="00036EE3" w:rsidTr="006F7608">
        <w:tc>
          <w:tcPr>
            <w:tcW w:w="1140" w:type="dxa"/>
            <w:shd w:val="clear" w:color="auto" w:fill="auto"/>
          </w:tcPr>
          <w:p w:rsidR="002C16EA" w:rsidRPr="001240BC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C16EA" w:rsidRPr="001240BC" w:rsidRDefault="002C16EA" w:rsidP="006F7608">
            <w:pPr>
              <w:spacing w:before="30" w:after="30"/>
              <w:jc w:val="left"/>
              <w:rPr>
                <w:sz w:val="20"/>
                <w:lang w:val="en-US"/>
              </w:rPr>
            </w:pPr>
            <w:proofErr w:type="spellStart"/>
            <w:r w:rsidRPr="001240BC">
              <w:rPr>
                <w:sz w:val="20"/>
              </w:rPr>
              <w:t>Gestión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del</w:t>
            </w:r>
            <w:proofErr w:type="spellEnd"/>
            <w:r w:rsidRPr="001240BC">
              <w:rPr>
                <w:sz w:val="20"/>
              </w:rPr>
              <w:t xml:space="preserve"> </w:t>
            </w:r>
            <w:proofErr w:type="spellStart"/>
            <w:r w:rsidRPr="001240BC">
              <w:rPr>
                <w:sz w:val="20"/>
              </w:rPr>
              <w:t>espectro</w:t>
            </w:r>
            <w:proofErr w:type="spellEnd"/>
          </w:p>
        </w:tc>
      </w:tr>
      <w:tr w:rsidR="002C16EA" w:rsidRPr="00036EE3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Periodismo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electrónico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por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satélite</w:t>
            </w:r>
            <w:proofErr w:type="spellEnd"/>
          </w:p>
        </w:tc>
      </w:tr>
      <w:tr w:rsidR="002C16EA" w:rsidRPr="00A33758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C16EA" w:rsidRPr="00036EE3" w:rsidTr="006F7608">
        <w:tc>
          <w:tcPr>
            <w:tcW w:w="1140" w:type="dxa"/>
          </w:tcPr>
          <w:p w:rsidR="002C16EA" w:rsidRPr="00036EE3" w:rsidRDefault="002C16EA" w:rsidP="006F7608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C16EA" w:rsidRPr="00021E8A" w:rsidRDefault="002C16EA" w:rsidP="006F7608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proofErr w:type="spellStart"/>
            <w:r w:rsidRPr="00021E8A">
              <w:rPr>
                <w:bCs/>
                <w:sz w:val="20"/>
              </w:rPr>
              <w:t>Vocabulario</w:t>
            </w:r>
            <w:proofErr w:type="spellEnd"/>
            <w:r w:rsidRPr="00021E8A">
              <w:rPr>
                <w:bCs/>
                <w:sz w:val="20"/>
              </w:rPr>
              <w:t xml:space="preserve"> y </w:t>
            </w:r>
            <w:proofErr w:type="spellStart"/>
            <w:r w:rsidRPr="00021E8A">
              <w:rPr>
                <w:bCs/>
                <w:sz w:val="20"/>
              </w:rPr>
              <w:t>cuestiones</w:t>
            </w:r>
            <w:proofErr w:type="spellEnd"/>
            <w:r w:rsidRPr="00021E8A">
              <w:rPr>
                <w:bCs/>
                <w:sz w:val="20"/>
              </w:rPr>
              <w:t xml:space="preserve"> </w:t>
            </w:r>
            <w:proofErr w:type="spellStart"/>
            <w:r w:rsidRPr="00021E8A">
              <w:rPr>
                <w:bCs/>
                <w:sz w:val="20"/>
              </w:rPr>
              <w:t>afines</w:t>
            </w:r>
            <w:proofErr w:type="spellEnd"/>
          </w:p>
        </w:tc>
      </w:tr>
    </w:tbl>
    <w:p w:rsidR="002C16EA" w:rsidRPr="00036EE3" w:rsidRDefault="002C16EA" w:rsidP="006F7608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C16EA" w:rsidTr="006F7608">
        <w:tc>
          <w:tcPr>
            <w:tcW w:w="720" w:type="dxa"/>
          </w:tcPr>
          <w:p w:rsidR="002C16EA" w:rsidRDefault="002C16EA" w:rsidP="006F7608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Style w:val="TableGrid"/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2C16EA" w:rsidRPr="00A33758" w:rsidTr="006F7608">
        <w:tc>
          <w:tcPr>
            <w:tcW w:w="9360" w:type="dxa"/>
          </w:tcPr>
          <w:p w:rsidR="002C16EA" w:rsidRPr="00763D08" w:rsidRDefault="002C16EA" w:rsidP="006F7608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 xml:space="preserve">     </w:t>
            </w:r>
            <w:r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 xml:space="preserve">   </w:t>
            </w:r>
            <w:r>
              <w:rPr>
                <w:i/>
                <w:iCs/>
                <w:sz w:val="20"/>
                <w:lang w:val="es-ES_tradnl"/>
              </w:rPr>
              <w:t xml:space="preserve">     </w:t>
            </w:r>
            <w:r w:rsidRPr="00763D08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2C16EA" w:rsidRPr="00763D08" w:rsidRDefault="002C16EA" w:rsidP="006F7608">
      <w:pPr>
        <w:spacing w:before="0"/>
        <w:jc w:val="center"/>
        <w:rPr>
          <w:sz w:val="22"/>
          <w:lang w:val="es-ES_tradnl"/>
        </w:rPr>
      </w:pPr>
    </w:p>
    <w:p w:rsidR="002C16EA" w:rsidRPr="00763D08" w:rsidRDefault="002C16EA" w:rsidP="006F7608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C16EA" w:rsidRPr="00763D08" w:rsidRDefault="002C16EA" w:rsidP="0049775A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</w:t>
      </w:r>
      <w:r w:rsidR="0049775A">
        <w:rPr>
          <w:sz w:val="20"/>
          <w:lang w:val="es-ES_tradnl"/>
        </w:rPr>
        <w:t>1</w:t>
      </w:r>
    </w:p>
    <w:p w:rsidR="002C16EA" w:rsidRPr="00763D08" w:rsidRDefault="002C16EA" w:rsidP="006F7608">
      <w:pPr>
        <w:spacing w:before="0"/>
        <w:jc w:val="center"/>
        <w:rPr>
          <w:sz w:val="22"/>
          <w:lang w:val="es-ES_tradnl"/>
        </w:rPr>
      </w:pPr>
    </w:p>
    <w:p w:rsidR="002C16EA" w:rsidRPr="00763D08" w:rsidRDefault="002C16EA" w:rsidP="0049775A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</w:t>
      </w:r>
      <w:r w:rsidR="0049775A">
        <w:rPr>
          <w:sz w:val="20"/>
          <w:lang w:val="es-ES_tradnl"/>
        </w:rPr>
        <w:t>1</w:t>
      </w:r>
    </w:p>
    <w:p w:rsidR="002C16EA" w:rsidRPr="006C718C" w:rsidRDefault="002C16EA" w:rsidP="006F7608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C16EA" w:rsidRPr="006C718C" w:rsidRDefault="002C16EA" w:rsidP="006F7608">
      <w:pPr>
        <w:spacing w:before="160"/>
        <w:rPr>
          <w:i/>
          <w:sz w:val="20"/>
          <w:highlight w:val="yellow"/>
          <w:lang w:val="es-ES_tradnl"/>
        </w:rPr>
        <w:sectPr w:rsidR="002C16EA" w:rsidRPr="006C718C" w:rsidSect="006F7608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2C16EA" w:rsidRPr="0010336F" w:rsidRDefault="002C16EA" w:rsidP="00970AF0">
      <w:pPr>
        <w:pStyle w:val="RecNo"/>
        <w:spacing w:before="0"/>
        <w:rPr>
          <w:lang w:val="es-ES_tradnl"/>
        </w:rPr>
      </w:pPr>
      <w:bookmarkStart w:id="3" w:name="irecnoe"/>
      <w:bookmarkEnd w:id="3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F</w:t>
      </w:r>
      <w:r w:rsidRPr="0010336F">
        <w:rPr>
          <w:rStyle w:val="href"/>
          <w:lang w:val="es-ES_tradnl"/>
        </w:rPr>
        <w:t>.</w:t>
      </w:r>
      <w:r w:rsidR="00970AF0">
        <w:rPr>
          <w:rStyle w:val="href"/>
          <w:lang w:val="es-ES_tradnl"/>
        </w:rPr>
        <w:t>1497-1</w:t>
      </w:r>
      <w:r w:rsidR="006F7608" w:rsidRPr="00D35082">
        <w:rPr>
          <w:rStyle w:val="FootnoteReference"/>
          <w:lang w:val="es-ES_tradnl"/>
        </w:rPr>
        <w:footnoteReference w:customMarkFollows="1" w:id="1"/>
        <w:t>*</w:t>
      </w:r>
    </w:p>
    <w:p w:rsidR="002C16EA" w:rsidRDefault="002C16EA" w:rsidP="00A5722A">
      <w:pPr>
        <w:pStyle w:val="Rectitle"/>
        <w:rPr>
          <w:lang w:val="es-ES_tradnl"/>
        </w:rPr>
      </w:pPr>
      <w:bookmarkStart w:id="4" w:name="Pre_title"/>
      <w:r>
        <w:rPr>
          <w:lang w:val="es-ES_tradnl"/>
        </w:rPr>
        <w:t xml:space="preserve">Disposición de radiocanales para los sistemas inalámbricos fijos </w:t>
      </w:r>
      <w:r w:rsidR="004E6CEA">
        <w:rPr>
          <w:lang w:val="es-ES_tradnl"/>
        </w:rPr>
        <w:br/>
      </w:r>
      <w:r w:rsidR="00A5722A">
        <w:rPr>
          <w:lang w:val="es-ES_tradnl"/>
        </w:rPr>
        <w:t xml:space="preserve">que </w:t>
      </w:r>
      <w:r>
        <w:rPr>
          <w:lang w:val="es-ES_tradnl"/>
        </w:rPr>
        <w:t>funcionan</w:t>
      </w:r>
      <w:r w:rsidR="004E6CEA">
        <w:rPr>
          <w:lang w:val="es-ES_tradnl"/>
        </w:rPr>
        <w:t xml:space="preserve"> </w:t>
      </w:r>
      <w:r>
        <w:rPr>
          <w:lang w:val="es-ES_tradnl"/>
        </w:rPr>
        <w:t>en</w:t>
      </w:r>
      <w:r w:rsidR="004E6CEA">
        <w:rPr>
          <w:lang w:val="es-ES_tradnl"/>
        </w:rPr>
        <w:t xml:space="preserve"> </w:t>
      </w:r>
      <w:r>
        <w:rPr>
          <w:lang w:val="es-ES_tradnl"/>
        </w:rPr>
        <w:t>la</w:t>
      </w:r>
      <w:r w:rsidR="004E6CEA">
        <w:rPr>
          <w:lang w:val="es-ES_tradnl"/>
        </w:rPr>
        <w:t xml:space="preserve"> </w:t>
      </w:r>
      <w:r>
        <w:rPr>
          <w:lang w:val="es-ES_tradnl"/>
        </w:rPr>
        <w:t>banda</w:t>
      </w:r>
      <w:r w:rsidR="004E6CEA">
        <w:rPr>
          <w:lang w:val="es-ES_tradnl"/>
        </w:rPr>
        <w:t xml:space="preserve"> </w:t>
      </w:r>
      <w:r>
        <w:rPr>
          <w:lang w:val="es-ES_tradnl"/>
        </w:rPr>
        <w:t>55,78-59</w:t>
      </w:r>
      <w:r w:rsidR="004E6CEA">
        <w:rPr>
          <w:lang w:val="es-ES_tradnl"/>
        </w:rPr>
        <w:t xml:space="preserve"> </w:t>
      </w:r>
      <w:r>
        <w:rPr>
          <w:lang w:val="es-ES_tradnl"/>
        </w:rPr>
        <w:t>GHz</w:t>
      </w:r>
      <w:bookmarkEnd w:id="4"/>
    </w:p>
    <w:p w:rsidR="002C16EA" w:rsidRDefault="002C16EA" w:rsidP="002C16EA">
      <w:pPr>
        <w:pStyle w:val="Recref"/>
        <w:rPr>
          <w:lang w:val="es-ES_tradnl"/>
        </w:rPr>
      </w:pPr>
      <w:bookmarkStart w:id="5" w:name="Related_Questions"/>
      <w:r>
        <w:rPr>
          <w:lang w:val="es-ES_tradnl"/>
        </w:rPr>
        <w:t>(Cuestión UIT-R 108/9)</w:t>
      </w:r>
      <w:bookmarkEnd w:id="5"/>
    </w:p>
    <w:p w:rsidR="002C16EA" w:rsidRDefault="002C16EA" w:rsidP="002C16EA">
      <w:pPr>
        <w:pStyle w:val="Recdate"/>
        <w:rPr>
          <w:lang w:val="es-ES_tradnl"/>
        </w:rPr>
      </w:pPr>
      <w:bookmarkStart w:id="6" w:name="Revision_history"/>
      <w:r>
        <w:rPr>
          <w:lang w:val="es-ES_tradnl"/>
        </w:rPr>
        <w:t>(2000-2002)</w:t>
      </w:r>
      <w:bookmarkEnd w:id="6"/>
    </w:p>
    <w:p w:rsidR="002C16EA" w:rsidRPr="004614E8" w:rsidRDefault="002C16EA" w:rsidP="006F7608">
      <w:pPr>
        <w:pStyle w:val="HeadingSum"/>
      </w:pPr>
      <w:r w:rsidRPr="004614E8">
        <w:t>Cometido</w:t>
      </w:r>
    </w:p>
    <w:p w:rsidR="006F7608" w:rsidRDefault="002C16EA" w:rsidP="003A2753">
      <w:pPr>
        <w:pStyle w:val="Summary"/>
      </w:pPr>
      <w:r w:rsidRPr="004614E8">
        <w:t>En la presente Recomendación se especifica la disposición de radiocanales para los sistemas inalámbricos fijos que utilizan DDT (dúplex por división en el tiempo) y DDF (dúplex por división de frecuencia) con una separación entre canales de 3,5, 7, 14, 28 y 56 MH</w:t>
      </w:r>
      <w:r>
        <w:t>z</w:t>
      </w:r>
      <w:r w:rsidRPr="004614E8">
        <w:t xml:space="preserve"> en la banda 55,78</w:t>
      </w:r>
      <w:r w:rsidRPr="004614E8">
        <w:noBreakHyphen/>
        <w:t xml:space="preserve">59 GHz, que se ha identificado para aplicaciones de alta densidad en el servicio fijo (SFAD). </w:t>
      </w:r>
    </w:p>
    <w:p w:rsidR="002C16EA" w:rsidRPr="00EC5258" w:rsidRDefault="002C16EA" w:rsidP="006F7608">
      <w:pPr>
        <w:pStyle w:val="Normalaftertitle"/>
        <w:rPr>
          <w:lang w:val="es-ES"/>
        </w:rPr>
      </w:pPr>
      <w:r w:rsidRPr="00EC5258">
        <w:rPr>
          <w:lang w:val="es-ES"/>
        </w:rPr>
        <w:t>La Asamblea de Radiocomunicaciones de la UIT,</w:t>
      </w:r>
    </w:p>
    <w:p w:rsidR="002C16EA" w:rsidRDefault="002C16EA" w:rsidP="002C16EA">
      <w:pPr>
        <w:pStyle w:val="Call"/>
        <w:rPr>
          <w:lang w:val="es-ES_tradnl"/>
        </w:rPr>
      </w:pPr>
      <w:proofErr w:type="gramStart"/>
      <w:r>
        <w:rPr>
          <w:lang w:val="es-ES_tradnl"/>
        </w:rPr>
        <w:t>considerando</w:t>
      </w:r>
      <w:proofErr w:type="gramEnd"/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 la banda 55,78</w:t>
      </w:r>
      <w:r>
        <w:rPr>
          <w:lang w:val="es-ES_tradnl"/>
        </w:rPr>
        <w:noBreakHyphen/>
        <w:t>58,2 GHz está atribuida a los servicios de exploración de la Tierra por satélite (pasivo), fijo, entre satélites, móvil y de investigación espacial (pasivo) con carácter primario y que la banda 58,2</w:t>
      </w:r>
      <w:r>
        <w:rPr>
          <w:lang w:val="es-ES_tradnl"/>
        </w:rPr>
        <w:noBreakHyphen/>
        <w:t>59 GHz está atribuida a los servicios de exploración de la Tierra por satélite (pasivo), fijo, móvil y de investigación espacial (pasivo) con carácter primario;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que la banda 55,78-59 se utiliza para aplicaciones de alta densidad en el servicio fijo (SF);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c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el UIT</w:t>
      </w:r>
      <w:r w:rsidR="002C16EA">
        <w:rPr>
          <w:lang w:val="es-ES_tradnl"/>
        </w:rPr>
        <w:noBreakHyphen/>
        <w:t>R ha establecido disposiciones de radiocanales para utilizar el espectro disponible de la forma más eficaz posible;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d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las características de propagación en la banda 55,78-59 GHz se adaptan perfectamente para su utilización por radioenlaces digitales de corto alcance en redes para aplicaciones de alta densidad en el servicio fijo;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e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 xml:space="preserve">que en dicha gama de frecuencias puede lograrse una </w:t>
      </w:r>
      <w:proofErr w:type="spellStart"/>
      <w:r w:rsidR="002C16EA">
        <w:rPr>
          <w:lang w:val="es-ES_tradnl"/>
        </w:rPr>
        <w:t>directividad</w:t>
      </w:r>
      <w:proofErr w:type="spellEnd"/>
      <w:r w:rsidR="002C16EA">
        <w:rPr>
          <w:lang w:val="es-ES_tradnl"/>
        </w:rPr>
        <w:t xml:space="preserve"> muy elevada de las antenas aun de pequeño tamaño, lo que aumenta la densidad de los equipos y disminuye el riesgo de que aparezcan interferencias con el mismo y con otros servicios radioeléctricos;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f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las distintas aplicaciones que han recibido licencias de varias administraciones pueden exigir distintas disposiciones de radiocanales;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g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las aplicaciones en esta banda de frecuencias pueden requerir diferentes anchuras de banda de canal;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h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en esta banda de frecuencias pueden funcionar simultáneamente varios servicios radioeléctricos con distintas características y capacidades de la señal de transmisión;</w:t>
      </w:r>
      <w:r w:rsidR="00D24F37">
        <w:rPr>
          <w:lang w:val="es-ES_tradnl"/>
        </w:rPr>
        <w:t xml:space="preserve"> 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j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puede lograrse un alto grado de compatibilidad entre los canales de radiofrecuencia de diferentes disposiciones seleccionando las frecuencias centrales de canal dentro de un esquema básico homogéneo;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k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el extremo inferior de la banda de frecuencias es adecuado para los enlaces radioeléctricos de salto máximo, porque la atenuación atmosférica es inferior a la que se produce en la parte superior de la banda;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lastRenderedPageBreak/>
        <w:t>l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la gran reutilización de la banda que puede lograrse debido a la absorción del oxígeno en la parte superior de ésta reduce el requisito de utilización de técnicas de planificación de frecuencia y ofrece la posibilidad de actuar en entornos de telecomunicación no reglamentados para varios radioenlaces de baja potencia, coste reducido y corto alcance;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m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diversos sistemas nuevos existentes podrían funcionar adecuadamente sin protección en la parte superior de la banda, aliviando la congestión en las bandas de frecuencias inferiores;</w:t>
      </w:r>
    </w:p>
    <w:p w:rsidR="002C16EA" w:rsidRDefault="00B02B03" w:rsidP="002C16EA">
      <w:pPr>
        <w:rPr>
          <w:lang w:val="es-ES_tradnl"/>
        </w:rPr>
      </w:pPr>
      <w:r>
        <w:rPr>
          <w:lang w:val="es-ES_tradnl"/>
        </w:rPr>
        <w:t>n</w:t>
      </w:r>
      <w:r w:rsidR="002C16EA">
        <w:rPr>
          <w:lang w:val="es-ES_tradnl"/>
        </w:rPr>
        <w:t>)</w:t>
      </w:r>
      <w:r w:rsidR="002C16EA">
        <w:rPr>
          <w:lang w:val="es-ES_tradnl"/>
        </w:rPr>
        <w:tab/>
        <w:t>que las utilizaciones previstas en esta banda incluyen sistemas digitales y analógicos,</w:t>
      </w:r>
    </w:p>
    <w:p w:rsidR="002C16EA" w:rsidRDefault="002C16EA" w:rsidP="002C16EA">
      <w:pPr>
        <w:pStyle w:val="Call"/>
        <w:rPr>
          <w:lang w:val="es-ES_tradnl"/>
        </w:rPr>
      </w:pPr>
      <w:proofErr w:type="gramStart"/>
      <w:r>
        <w:rPr>
          <w:lang w:val="es-ES_tradnl"/>
        </w:rPr>
        <w:t>reconociendo</w:t>
      </w:r>
      <w:proofErr w:type="gramEnd"/>
    </w:p>
    <w:p w:rsidR="002C16EA" w:rsidRDefault="002C16EA" w:rsidP="004E6CEA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 xml:space="preserve">que para poder proteger las estaciones del servicio de exploración de la Tierra por satélite (pasivo) en la banda 55,78-56,26 GHz, el Reglamento de Radiocomunicaciones limita la máxima densidad de potencia que suministra el transmisor a la antena de una estación del servicio fijo a </w:t>
      </w:r>
      <w:r w:rsidRPr="00813FE6">
        <w:rPr>
          <w:lang w:val="es-ES"/>
        </w:rPr>
        <w:t>−</w:t>
      </w:r>
      <w:r>
        <w:rPr>
          <w:lang w:val="es-ES_tradnl"/>
        </w:rPr>
        <w:t>26 dB(W/MHz)</w:t>
      </w:r>
      <w:r w:rsidR="004E6CEA">
        <w:rPr>
          <w:lang w:val="es-ES_tradnl"/>
        </w:rPr>
        <w:t>,</w:t>
      </w:r>
    </w:p>
    <w:p w:rsidR="002C16EA" w:rsidRDefault="002C16EA" w:rsidP="002C16EA">
      <w:pPr>
        <w:pStyle w:val="Call"/>
        <w:rPr>
          <w:lang w:val="es-ES_tradnl"/>
        </w:rPr>
      </w:pPr>
      <w:proofErr w:type="gramStart"/>
      <w:r>
        <w:rPr>
          <w:lang w:val="es-ES_tradnl"/>
        </w:rPr>
        <w:t>observando</w:t>
      </w:r>
      <w:proofErr w:type="gramEnd"/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 los sistemas dúplex por división de frecuencia (DDF) y dúplex por división en el tiempo (DDT) pueden utilizarse simultáneamente en la misma zona geográfica, siempre que se apliquen medidas suficientes que permitan la coordinación satisfactoria;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que en el tramo superior de la gama de frecuencias 55,78-59 GHz la atenuación debida a la absorción de oxígeno es superior a 10 dB/km a nivel del mar;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que la gran atenuación limita de forma efectiva la longitud del trayecto y el nivel de interferencia que pueden lograrse;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que el equipo debe escuchar hasta encontrar un canal libre antes de la transmisión para reconocer las transmisiones existentes, a fin de reducir al mínimo los problemas de interferencia y garantizar el funcionamiento continuo de las transmisiones existentes,</w:t>
      </w:r>
    </w:p>
    <w:p w:rsidR="002C16EA" w:rsidRDefault="002C16EA" w:rsidP="002C16EA">
      <w:pPr>
        <w:pStyle w:val="Call"/>
        <w:rPr>
          <w:lang w:val="es-ES_tradnl"/>
        </w:rPr>
      </w:pPr>
      <w:proofErr w:type="gramStart"/>
      <w:r>
        <w:rPr>
          <w:lang w:val="es-ES_tradnl"/>
        </w:rPr>
        <w:t>recomienda</w:t>
      </w:r>
      <w:proofErr w:type="gramEnd"/>
    </w:p>
    <w:p w:rsidR="002C16EA" w:rsidRDefault="002C16EA" w:rsidP="002C16EA">
      <w:pPr>
        <w:rPr>
          <w:lang w:val="es-ES_tradnl"/>
        </w:rPr>
      </w:pPr>
      <w:r>
        <w:rPr>
          <w:b/>
          <w:bCs/>
          <w:lang w:val="es-ES_tradnl"/>
        </w:rPr>
        <w:t>1</w:t>
      </w:r>
      <w:r>
        <w:rPr>
          <w:lang w:val="es-ES_tradnl"/>
        </w:rPr>
        <w:tab/>
        <w:t>que las administraciones consideren la disposición de canales que figura en el § 1 del Anexo 1 para el despliegue de sistemas del servicio fijo DDT en la gama de frecuencias 55,78</w:t>
      </w:r>
      <w:r>
        <w:rPr>
          <w:lang w:val="es-ES_tradnl"/>
        </w:rPr>
        <w:noBreakHyphen/>
        <w:t>57 GHz (véase la Nota 1);</w:t>
      </w:r>
    </w:p>
    <w:p w:rsidR="002C16EA" w:rsidRDefault="002C16EA" w:rsidP="002C16EA">
      <w:pPr>
        <w:rPr>
          <w:lang w:val="es-ES_tradnl"/>
        </w:rPr>
      </w:pPr>
      <w:r>
        <w:rPr>
          <w:b/>
          <w:bCs/>
          <w:lang w:val="es-ES_tradnl"/>
        </w:rPr>
        <w:t>2</w:t>
      </w:r>
      <w:r>
        <w:rPr>
          <w:lang w:val="es-ES_tradnl"/>
        </w:rPr>
        <w:tab/>
        <w:t>que las administraciones consideren la disposición de canales que figura en el § 2 del Anexo 1 para el despliegue de sistemas del servicio fijo DDF en la gama de frecuencias 55,78</w:t>
      </w:r>
      <w:r>
        <w:rPr>
          <w:lang w:val="es-ES_tradnl"/>
        </w:rPr>
        <w:noBreakHyphen/>
        <w:t>57 GHz (véase la Nota 1);</w:t>
      </w:r>
    </w:p>
    <w:p w:rsidR="002C16EA" w:rsidRDefault="002C16EA" w:rsidP="002C16EA">
      <w:pPr>
        <w:rPr>
          <w:lang w:val="es-ES_tradnl"/>
        </w:rPr>
      </w:pPr>
      <w:r>
        <w:rPr>
          <w:b/>
          <w:bCs/>
          <w:lang w:val="es-ES_tradnl"/>
        </w:rPr>
        <w:t>3</w:t>
      </w:r>
      <w:r>
        <w:rPr>
          <w:lang w:val="es-ES_tradnl"/>
        </w:rPr>
        <w:tab/>
        <w:t>que las administraciones consideren la disposición de canales del Anexo 2 para el despliegue de sistemas del servicio fijo en la gama de frecuencias 57-59 GHz (véase la Nota 2);</w:t>
      </w:r>
    </w:p>
    <w:p w:rsidR="002C16EA" w:rsidRDefault="002C16EA" w:rsidP="002C16EA">
      <w:pPr>
        <w:rPr>
          <w:lang w:val="es-ES_tradnl"/>
        </w:rPr>
      </w:pPr>
      <w:r w:rsidRPr="001B4726">
        <w:rPr>
          <w:b/>
          <w:bCs/>
          <w:lang w:val="es-ES_tradnl"/>
        </w:rPr>
        <w:t>4</w:t>
      </w:r>
      <w:r>
        <w:rPr>
          <w:lang w:val="es-ES_tradnl"/>
        </w:rPr>
        <w:tab/>
        <w:t>que las siguientes Notas se consideran parte integrante de la presente Recomendación.</w:t>
      </w:r>
    </w:p>
    <w:p w:rsidR="002C16EA" w:rsidRDefault="002C16EA" w:rsidP="00E47D74">
      <w:pPr>
        <w:keepNext/>
        <w:keepLines/>
        <w:rPr>
          <w:lang w:val="es-ES_tradnl"/>
        </w:rPr>
      </w:pPr>
      <w:r>
        <w:rPr>
          <w:lang w:val="es-ES_tradnl"/>
        </w:rPr>
        <w:t>NOTA 1 – La disposición de canales del Anexo 1 prevé las mismas frecuencias centrales para el funcionamiento DDT y DDF.</w:t>
      </w:r>
    </w:p>
    <w:p w:rsidR="002C16EA" w:rsidRDefault="002C16EA" w:rsidP="006F7608">
      <w:pPr>
        <w:rPr>
          <w:lang w:val="es-ES_tradnl"/>
        </w:rPr>
      </w:pPr>
      <w:r>
        <w:rPr>
          <w:lang w:val="es-ES_tradnl"/>
        </w:rPr>
        <w:t>NOTA 2 – En la utilización de canales deben considerarse debidamente los extremos superior e inferior de la banda de frecuencias 57</w:t>
      </w:r>
      <w:r>
        <w:rPr>
          <w:lang w:val="es-ES_tradnl"/>
        </w:rPr>
        <w:noBreakHyphen/>
        <w:t>59 GHz para asegurar la compatibilidad con los sistemas fijos que funcionan en las bandas adyacentes.</w:t>
      </w:r>
    </w:p>
    <w:p w:rsidR="003D4C88" w:rsidRDefault="003D4C88" w:rsidP="006F7608">
      <w:pPr>
        <w:rPr>
          <w:lang w:val="es-ES_tradnl"/>
        </w:rPr>
      </w:pPr>
    </w:p>
    <w:p w:rsidR="002C16EA" w:rsidRPr="004614E8" w:rsidRDefault="002C16EA" w:rsidP="002C16EA">
      <w:pPr>
        <w:pStyle w:val="AnnexNo"/>
        <w:rPr>
          <w:b/>
          <w:lang w:val="es-ES_tradnl"/>
        </w:rPr>
      </w:pPr>
      <w:r w:rsidRPr="004614E8">
        <w:rPr>
          <w:b/>
          <w:lang w:val="es-ES_tradnl"/>
        </w:rPr>
        <w:lastRenderedPageBreak/>
        <w:t>Anexo  1</w:t>
      </w:r>
      <w:r w:rsidRPr="004614E8">
        <w:rPr>
          <w:b/>
          <w:lang w:val="es-ES_tradnl"/>
        </w:rPr>
        <w:br/>
      </w:r>
      <w:r w:rsidRPr="004614E8">
        <w:rPr>
          <w:b/>
          <w:lang w:val="es-ES_tradnl"/>
        </w:rPr>
        <w:br/>
        <w:t>Disposición de radiocanales en la banda 55,78-57 GHz</w:t>
      </w:r>
    </w:p>
    <w:p w:rsidR="002C16EA" w:rsidRDefault="002C16EA" w:rsidP="002C16EA">
      <w:pPr>
        <w:pStyle w:val="Heading1"/>
        <w:rPr>
          <w:lang w:val="es-ES_tradnl"/>
        </w:rPr>
      </w:pPr>
      <w:r>
        <w:rPr>
          <w:lang w:val="es-ES_tradnl"/>
        </w:rPr>
        <w:t>1</w:t>
      </w:r>
      <w:r>
        <w:rPr>
          <w:lang w:val="es-ES_tradnl"/>
        </w:rPr>
        <w:tab/>
        <w:t>Para los sistemas del servicio fijo que utilizan DDT</w:t>
      </w:r>
    </w:p>
    <w:p w:rsidR="002C16EA" w:rsidRDefault="002C16EA" w:rsidP="002F05AA">
      <w:pPr>
        <w:rPr>
          <w:lang w:val="es-ES_tradnl"/>
        </w:rPr>
      </w:pPr>
      <w:r>
        <w:rPr>
          <w:lang w:val="es-ES_tradnl"/>
        </w:rPr>
        <w:t>Sean</w:t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i/>
          <w:lang w:val="es-ES_tradnl"/>
        </w:rPr>
        <w:t>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ab/>
        <w:t>la frecuencia de referencia de 55</w:t>
      </w:r>
      <w:r w:rsidR="002F05AA">
        <w:rPr>
          <w:lang w:val="es-ES_tradnl"/>
        </w:rPr>
        <w:t> </w:t>
      </w:r>
      <w:r>
        <w:rPr>
          <w:lang w:val="es-ES_tradnl"/>
        </w:rPr>
        <w:t>786 MHz,</w:t>
      </w:r>
    </w:p>
    <w:p w:rsidR="002C16EA" w:rsidRDefault="002C16EA" w:rsidP="002C16EA">
      <w:pPr>
        <w:pStyle w:val="enumlev1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proofErr w:type="gramStart"/>
      <w:r>
        <w:rPr>
          <w:i/>
          <w:iCs/>
          <w:lang w:val="es-ES_tradnl"/>
        </w:rPr>
        <w:t>f</w:t>
      </w:r>
      <w:r>
        <w:rPr>
          <w:i/>
          <w:iCs/>
          <w:position w:val="-4"/>
          <w:sz w:val="20"/>
          <w:lang w:val="es-ES_tradnl"/>
        </w:rPr>
        <w:t>n</w:t>
      </w:r>
      <w:proofErr w:type="gramEnd"/>
      <w:r>
        <w:rPr>
          <w:lang w:val="es-ES_tradnl"/>
        </w:rPr>
        <w:tab/>
        <w:t>la frecuencia central del canal de radiofrecuencia en la banda 55,78-57 GHz,</w:t>
      </w:r>
    </w:p>
    <w:p w:rsidR="002C16EA" w:rsidRDefault="002C16EA" w:rsidP="002C16EA">
      <w:pPr>
        <w:tabs>
          <w:tab w:val="left" w:pos="1418"/>
        </w:tabs>
        <w:rPr>
          <w:lang w:val="es-ES_tradnl"/>
        </w:rPr>
      </w:pPr>
      <w:proofErr w:type="gramStart"/>
      <w:r>
        <w:rPr>
          <w:lang w:val="es-ES_tradnl"/>
        </w:rPr>
        <w:t>las</w:t>
      </w:r>
      <w:proofErr w:type="gramEnd"/>
      <w:r>
        <w:rPr>
          <w:lang w:val="es-ES_tradnl"/>
        </w:rPr>
        <w:t xml:space="preserve"> frecuencias centrales de cada uno de los canales se expresan entonces por las relaciones siguientes: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para los sistemas con una separación de canales de 56 MHz:</w:t>
      </w:r>
    </w:p>
    <w:p w:rsidR="006F7608" w:rsidRPr="00EC5258" w:rsidRDefault="006F7608" w:rsidP="006F7608">
      <w:pPr>
        <w:pStyle w:val="Blanc"/>
        <w:rPr>
          <w:lang w:val="es-ES"/>
        </w:rPr>
      </w:pPr>
    </w:p>
    <w:p w:rsidR="002C16EA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proofErr w:type="gramStart"/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proofErr w:type="gramEnd"/>
      <w:r w:rsidRPr="00D35082">
        <w:rPr>
          <w:lang w:val="es-ES_tradnl"/>
        </w:rPr>
        <w:t> </w:t>
      </w:r>
      <w:r w:rsidR="006F7608" w:rsidRPr="00EC5258">
        <w:rPr>
          <w:lang w:val="es-ES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> 28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 xml:space="preserve"> 56 </w:t>
      </w:r>
      <w:r w:rsidRPr="00D35082">
        <w:rPr>
          <w:i/>
          <w:iCs/>
          <w:lang w:val="es-ES_tradnl"/>
        </w:rPr>
        <w:t>n</w:t>
      </w:r>
      <w:r w:rsidR="006F7608">
        <w:rPr>
          <w:i/>
          <w:iCs/>
          <w:lang w:val="es-ES_tradnl"/>
        </w:rPr>
        <w:t> </w:t>
      </w:r>
      <w:r w:rsidRPr="00D35082">
        <w:rPr>
          <w:i/>
          <w:iCs/>
          <w:lang w:val="es-ES_tradnl"/>
        </w:rPr>
        <w:t>              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proofErr w:type="gramStart"/>
      <w:r>
        <w:rPr>
          <w:lang w:val="es-ES_tradnl"/>
        </w:rPr>
        <w:t>siendo</w:t>
      </w:r>
      <w:proofErr w:type="gramEnd"/>
      <w:r>
        <w:rPr>
          <w:lang w:val="es-ES_tradnl"/>
        </w:rPr>
        <w:t>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i/>
          <w:iCs/>
          <w:lang w:val="es-ES_tradnl"/>
        </w:rPr>
        <w:tab/>
        <w:t>n  </w:t>
      </w:r>
      <w:r w:rsidR="006F7608" w:rsidRPr="00EC5258">
        <w:rPr>
          <w:lang w:val="es-ES"/>
        </w:rPr>
        <w:t>=</w:t>
      </w:r>
      <w:r>
        <w:rPr>
          <w:lang w:val="es-ES_tradnl"/>
        </w:rPr>
        <w:t>  1, 2, 3</w:t>
      </w:r>
      <w:proofErr w:type="gramStart"/>
      <w:r>
        <w:rPr>
          <w:lang w:val="es-ES_tradnl"/>
        </w:rPr>
        <w:t>, ...</w:t>
      </w:r>
      <w:proofErr w:type="gramEnd"/>
      <w:r>
        <w:rPr>
          <w:lang w:val="es-ES_tradnl"/>
        </w:rPr>
        <w:t xml:space="preserve"> 20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para los sistemas con una separación de canales de 28 MHz:</w:t>
      </w:r>
    </w:p>
    <w:p w:rsidR="006F7608" w:rsidRPr="003D4C88" w:rsidRDefault="006F7608" w:rsidP="006F7608">
      <w:pPr>
        <w:pStyle w:val="Blanc"/>
        <w:rPr>
          <w:lang w:val="es-ES_tradnl"/>
        </w:rPr>
      </w:pPr>
    </w:p>
    <w:p w:rsidR="002C16EA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proofErr w:type="gramStart"/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proofErr w:type="gramEnd"/>
      <w:r w:rsidRPr="00D35082">
        <w:rPr>
          <w:lang w:val="es-ES_tradnl"/>
        </w:rPr>
        <w:t> </w:t>
      </w:r>
      <w:r w:rsidR="006F7608" w:rsidRPr="00EC5258">
        <w:rPr>
          <w:lang w:val="es-ES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> 42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 xml:space="preserve"> 28 </w:t>
      </w:r>
      <w:r w:rsidRPr="00D35082">
        <w:rPr>
          <w:i/>
          <w:iCs/>
          <w:lang w:val="es-ES_tradnl"/>
        </w:rPr>
        <w:t>n</w:t>
      </w:r>
      <w:r w:rsidR="006F7608">
        <w:rPr>
          <w:i/>
          <w:iCs/>
          <w:lang w:val="es-ES_tradnl"/>
        </w:rPr>
        <w:t>               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proofErr w:type="gramStart"/>
      <w:r>
        <w:rPr>
          <w:lang w:val="es-ES_tradnl"/>
        </w:rPr>
        <w:t>siendo</w:t>
      </w:r>
      <w:proofErr w:type="gramEnd"/>
      <w:r>
        <w:rPr>
          <w:lang w:val="es-ES_tradnl"/>
        </w:rPr>
        <w:t>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i/>
          <w:iCs/>
          <w:lang w:val="es-ES_tradnl"/>
        </w:rPr>
        <w:tab/>
        <w:t>n  </w:t>
      </w:r>
      <w:r w:rsidR="006F7608" w:rsidRPr="00EC5258">
        <w:rPr>
          <w:lang w:val="es-ES"/>
        </w:rPr>
        <w:t>=</w:t>
      </w:r>
      <w:r>
        <w:rPr>
          <w:lang w:val="es-ES_tradnl"/>
        </w:rPr>
        <w:t>  1, 2, 3</w:t>
      </w:r>
      <w:proofErr w:type="gramStart"/>
      <w:r>
        <w:rPr>
          <w:lang w:val="es-ES_tradnl"/>
        </w:rPr>
        <w:t>, ...</w:t>
      </w:r>
      <w:proofErr w:type="gramEnd"/>
      <w:r>
        <w:rPr>
          <w:lang w:val="es-ES_tradnl"/>
        </w:rPr>
        <w:t xml:space="preserve"> 40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para los sistemas con una separación de canales de 14 MHz:</w:t>
      </w:r>
    </w:p>
    <w:p w:rsidR="006F7608" w:rsidRPr="003D4C88" w:rsidRDefault="006F7608" w:rsidP="006F7608">
      <w:pPr>
        <w:pStyle w:val="Blanc"/>
        <w:rPr>
          <w:lang w:val="es-ES_tradnl"/>
        </w:rPr>
      </w:pPr>
    </w:p>
    <w:p w:rsidR="002C16EA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proofErr w:type="gramStart"/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proofErr w:type="gramEnd"/>
      <w:r w:rsidRPr="00D35082">
        <w:rPr>
          <w:lang w:val="es-ES_tradnl"/>
        </w:rPr>
        <w:t> </w:t>
      </w:r>
      <w:r w:rsidR="006F7608" w:rsidRPr="00EC5258">
        <w:rPr>
          <w:lang w:val="es-ES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> 49 </w:t>
      </w:r>
      <w:r w:rsidR="006F7608" w:rsidRPr="006F7608">
        <w:rPr>
          <w:lang w:val="es-ES"/>
        </w:rPr>
        <w:t>+</w:t>
      </w:r>
      <w:r w:rsidRPr="00D35082">
        <w:rPr>
          <w:lang w:val="es-ES_tradnl"/>
        </w:rPr>
        <w:t xml:space="preserve"> 14 </w:t>
      </w:r>
      <w:r w:rsidRPr="00D35082">
        <w:rPr>
          <w:i/>
          <w:iCs/>
          <w:lang w:val="es-ES_tradnl"/>
        </w:rPr>
        <w:t>n</w:t>
      </w:r>
      <w:r w:rsidR="006F7608">
        <w:rPr>
          <w:i/>
          <w:iCs/>
          <w:lang w:val="es-ES_tradnl"/>
        </w:rPr>
        <w:t> </w:t>
      </w:r>
      <w:r w:rsidRPr="00D35082">
        <w:rPr>
          <w:i/>
          <w:iCs/>
          <w:lang w:val="es-ES_tradnl"/>
        </w:rPr>
        <w:t>              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proofErr w:type="gramStart"/>
      <w:r>
        <w:rPr>
          <w:lang w:val="es-ES_tradnl"/>
        </w:rPr>
        <w:t>siendo</w:t>
      </w:r>
      <w:proofErr w:type="gramEnd"/>
      <w:r>
        <w:rPr>
          <w:lang w:val="es-ES_tradnl"/>
        </w:rPr>
        <w:t>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i/>
          <w:iCs/>
          <w:lang w:val="es-ES_tradnl"/>
        </w:rPr>
        <w:tab/>
        <w:t>n  </w:t>
      </w:r>
      <w:r w:rsidR="006F7608" w:rsidRPr="00EC5258">
        <w:rPr>
          <w:lang w:val="es-ES"/>
        </w:rPr>
        <w:t>=</w:t>
      </w:r>
      <w:r>
        <w:rPr>
          <w:lang w:val="es-ES_tradnl"/>
        </w:rPr>
        <w:t>  1, 2, 3</w:t>
      </w:r>
      <w:proofErr w:type="gramStart"/>
      <w:r>
        <w:rPr>
          <w:lang w:val="es-ES_tradnl"/>
        </w:rPr>
        <w:t>, ...</w:t>
      </w:r>
      <w:proofErr w:type="gramEnd"/>
      <w:r>
        <w:rPr>
          <w:lang w:val="es-ES_tradnl"/>
        </w:rPr>
        <w:t xml:space="preserve"> 80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para los sistemas con una separación de canales de 7 MHz:</w:t>
      </w:r>
    </w:p>
    <w:p w:rsidR="006F7608" w:rsidRPr="003D4C88" w:rsidRDefault="006F7608" w:rsidP="006F7608">
      <w:pPr>
        <w:pStyle w:val="Blanc"/>
        <w:rPr>
          <w:lang w:val="es-ES_tradnl"/>
        </w:rPr>
      </w:pPr>
    </w:p>
    <w:p w:rsidR="002C16EA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proofErr w:type="gramStart"/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proofErr w:type="gramEnd"/>
      <w:r w:rsidRPr="00D35082">
        <w:rPr>
          <w:lang w:val="es-ES_tradnl"/>
        </w:rPr>
        <w:t> </w:t>
      </w:r>
      <w:r w:rsidR="006F7608" w:rsidRPr="00EC5258">
        <w:rPr>
          <w:lang w:val="es-ES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> 52,5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 xml:space="preserve"> 7 </w:t>
      </w:r>
      <w:r w:rsidRPr="00D35082">
        <w:rPr>
          <w:i/>
          <w:iCs/>
          <w:lang w:val="es-ES_tradnl"/>
        </w:rPr>
        <w:t>n</w:t>
      </w:r>
      <w:r w:rsidR="006F7608">
        <w:rPr>
          <w:i/>
          <w:iCs/>
          <w:lang w:val="es-ES_tradnl"/>
        </w:rPr>
        <w:t> </w:t>
      </w:r>
      <w:r w:rsidRPr="00D35082">
        <w:rPr>
          <w:i/>
          <w:iCs/>
          <w:lang w:val="es-ES_tradnl"/>
        </w:rPr>
        <w:t>              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proofErr w:type="gramStart"/>
      <w:r>
        <w:rPr>
          <w:lang w:val="es-ES_tradnl"/>
        </w:rPr>
        <w:t>siendo</w:t>
      </w:r>
      <w:proofErr w:type="gramEnd"/>
      <w:r>
        <w:rPr>
          <w:lang w:val="es-ES_tradnl"/>
        </w:rPr>
        <w:t>:</w:t>
      </w:r>
    </w:p>
    <w:p w:rsidR="002C16EA" w:rsidRDefault="002C16EA" w:rsidP="006F7608">
      <w:pPr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</w:t>
      </w:r>
      <w:r>
        <w:rPr>
          <w:lang w:val="es-ES_tradnl"/>
        </w:rPr>
        <w:t>  </w:t>
      </w:r>
      <w:r w:rsidR="006F7608" w:rsidRPr="00EC5258">
        <w:rPr>
          <w:lang w:val="es-ES"/>
        </w:rPr>
        <w:t>=</w:t>
      </w:r>
      <w:r>
        <w:rPr>
          <w:lang w:val="es-ES_tradnl"/>
        </w:rPr>
        <w:t>  1, 2, 3</w:t>
      </w:r>
      <w:proofErr w:type="gramStart"/>
      <w:r>
        <w:rPr>
          <w:lang w:val="es-ES_tradnl"/>
        </w:rPr>
        <w:t>, ...</w:t>
      </w:r>
      <w:proofErr w:type="gramEnd"/>
      <w:r>
        <w:rPr>
          <w:lang w:val="es-ES_tradnl"/>
        </w:rPr>
        <w:t xml:space="preserve"> 160</w:t>
      </w:r>
    </w:p>
    <w:p w:rsidR="00BB647F" w:rsidRPr="003D4C88" w:rsidRDefault="00BB647F" w:rsidP="00BB647F">
      <w:pPr>
        <w:pStyle w:val="Blanc"/>
        <w:rPr>
          <w:lang w:val="es-ES_tradnl"/>
        </w:rPr>
      </w:pPr>
    </w:p>
    <w:p w:rsidR="002C16EA" w:rsidRDefault="002C16EA" w:rsidP="00E47D74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para los sistemas con una separación de canales de 3,5 MHz:</w:t>
      </w:r>
    </w:p>
    <w:p w:rsidR="006F7608" w:rsidRPr="00EC5258" w:rsidRDefault="006F7608" w:rsidP="006F7608">
      <w:pPr>
        <w:pStyle w:val="Blanc"/>
        <w:rPr>
          <w:lang w:val="es-ES"/>
        </w:rPr>
      </w:pPr>
    </w:p>
    <w:p w:rsidR="002C16EA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proofErr w:type="gramStart"/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proofErr w:type="gramEnd"/>
      <w:r w:rsidRPr="00D35082">
        <w:rPr>
          <w:lang w:val="es-ES_tradnl"/>
        </w:rPr>
        <w:t> </w:t>
      </w:r>
      <w:r w:rsidR="006F7608" w:rsidRPr="00EC5258">
        <w:rPr>
          <w:lang w:val="es-ES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EC5258">
        <w:rPr>
          <w:lang w:val="es-ES"/>
        </w:rPr>
        <w:t>+</w:t>
      </w:r>
      <w:r w:rsidRPr="00D35082">
        <w:rPr>
          <w:lang w:val="es-ES_tradnl"/>
        </w:rPr>
        <w:t> 54,25 </w:t>
      </w:r>
      <w:r w:rsidR="006F7608" w:rsidRPr="006F7608">
        <w:rPr>
          <w:lang w:val="es-ES"/>
        </w:rPr>
        <w:t>+</w:t>
      </w:r>
      <w:r w:rsidRPr="00D35082">
        <w:rPr>
          <w:lang w:val="es-ES_tradnl"/>
        </w:rPr>
        <w:t xml:space="preserve"> 3,5 </w:t>
      </w:r>
      <w:r w:rsidRPr="00D35082">
        <w:rPr>
          <w:i/>
          <w:iCs/>
          <w:lang w:val="es-ES_tradnl"/>
        </w:rPr>
        <w:t>n</w:t>
      </w:r>
      <w:r w:rsidR="006F7608">
        <w:rPr>
          <w:i/>
          <w:iCs/>
          <w:lang w:val="es-ES_tradnl"/>
        </w:rPr>
        <w:t> </w:t>
      </w:r>
      <w:r w:rsidRPr="00D35082">
        <w:rPr>
          <w:i/>
          <w:iCs/>
          <w:lang w:val="es-ES_tradnl"/>
        </w:rPr>
        <w:t>              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proofErr w:type="gramStart"/>
      <w:r>
        <w:rPr>
          <w:lang w:val="es-ES_tradnl"/>
        </w:rPr>
        <w:t>siendo</w:t>
      </w:r>
      <w:proofErr w:type="gramEnd"/>
      <w:r>
        <w:rPr>
          <w:lang w:val="es-ES_tradnl"/>
        </w:rPr>
        <w:t>:</w:t>
      </w:r>
    </w:p>
    <w:p w:rsidR="002C16EA" w:rsidRDefault="002C16EA" w:rsidP="006F7608">
      <w:pPr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</w:t>
      </w:r>
      <w:r>
        <w:rPr>
          <w:lang w:val="es-ES_tradnl"/>
        </w:rPr>
        <w:t>  </w:t>
      </w:r>
      <w:r w:rsidR="006F7608" w:rsidRPr="00EC5258">
        <w:rPr>
          <w:lang w:val="es-ES"/>
        </w:rPr>
        <w:t>=</w:t>
      </w:r>
      <w:r>
        <w:rPr>
          <w:lang w:val="es-ES_tradnl"/>
        </w:rPr>
        <w:t>  1, 2, 3</w:t>
      </w:r>
      <w:proofErr w:type="gramStart"/>
      <w:r>
        <w:rPr>
          <w:lang w:val="es-ES_tradnl"/>
        </w:rPr>
        <w:t>, ...</w:t>
      </w:r>
      <w:proofErr w:type="gramEnd"/>
      <w:r>
        <w:rPr>
          <w:lang w:val="es-ES_tradnl"/>
        </w:rPr>
        <w:t xml:space="preserve"> 320.</w:t>
      </w:r>
    </w:p>
    <w:p w:rsidR="002C16EA" w:rsidRDefault="002C16EA" w:rsidP="002C16EA">
      <w:pPr>
        <w:pStyle w:val="TableNo"/>
        <w:rPr>
          <w:lang w:val="es-ES_tradnl"/>
        </w:rPr>
      </w:pPr>
      <w:r>
        <w:rPr>
          <w:lang w:val="es-ES_tradnl"/>
        </w:rPr>
        <w:lastRenderedPageBreak/>
        <w:t>CUADRO  1</w:t>
      </w:r>
    </w:p>
    <w:p w:rsidR="002C16EA" w:rsidRDefault="002C16EA" w:rsidP="002C16EA">
      <w:pPr>
        <w:pStyle w:val="Tabletitle"/>
        <w:rPr>
          <w:lang w:val="es-ES_tradnl"/>
        </w:rPr>
      </w:pPr>
      <w:r>
        <w:rPr>
          <w:lang w:val="es-ES_tradnl"/>
        </w:rPr>
        <w:t>Parámetros calculados de acuerdo con la Recomendación UIT-R F.746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7"/>
        <w:gridCol w:w="1247"/>
        <w:gridCol w:w="1247"/>
        <w:gridCol w:w="1247"/>
        <w:gridCol w:w="1247"/>
        <w:gridCol w:w="1247"/>
      </w:tblGrid>
      <w:tr w:rsidR="002C16EA" w:rsidTr="006F7608">
        <w:trPr>
          <w:jc w:val="center"/>
        </w:trPr>
        <w:tc>
          <w:tcPr>
            <w:tcW w:w="1247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XS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1247" w:type="dxa"/>
            <w:vAlign w:val="center"/>
          </w:tcPr>
          <w:p w:rsidR="002C16EA" w:rsidRDefault="002C16EA" w:rsidP="00351284">
            <w:pPr>
              <w:pStyle w:val="Tablehead"/>
              <w:rPr>
                <w:i/>
                <w:iCs/>
                <w:lang w:val="es-ES"/>
              </w:rPr>
            </w:pPr>
            <w:r>
              <w:rPr>
                <w:i/>
                <w:iCs/>
                <w:lang w:val="es-ES"/>
              </w:rPr>
              <w:t>n</w:t>
            </w:r>
          </w:p>
        </w:tc>
        <w:tc>
          <w:tcPr>
            <w:tcW w:w="1247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lang w:val="es-ES"/>
              </w:rPr>
              <w:t>f</w:t>
            </w:r>
            <w:r>
              <w:rPr>
                <w:iCs/>
                <w:position w:val="-4"/>
                <w:sz w:val="18"/>
                <w:lang w:val="es-ES"/>
              </w:rPr>
              <w:t>1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1247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lang w:val="es-ES"/>
              </w:rPr>
              <w:t>f</w:t>
            </w:r>
            <w:proofErr w:type="spellStart"/>
            <w:r>
              <w:rPr>
                <w:i/>
                <w:position w:val="-4"/>
                <w:sz w:val="18"/>
                <w:lang w:val="es-ES"/>
              </w:rPr>
              <w:t>nmáx</w:t>
            </w:r>
            <w:proofErr w:type="spellEnd"/>
            <w:r>
              <w:rPr>
                <w:lang w:val="es-ES"/>
              </w:rPr>
              <w:t xml:space="preserve"> (MHz)</w:t>
            </w:r>
          </w:p>
        </w:tc>
        <w:tc>
          <w:tcPr>
            <w:tcW w:w="1247" w:type="dxa"/>
            <w:vAlign w:val="center"/>
          </w:tcPr>
          <w:p w:rsidR="002C16EA" w:rsidRDefault="002C16EA" w:rsidP="00351284">
            <w:pPr>
              <w:pStyle w:val="Tablehead"/>
              <w:rPr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Cs/>
                <w:position w:val="-4"/>
                <w:sz w:val="18"/>
                <w:lang w:val="en-US"/>
              </w:rPr>
              <w:t>1</w:t>
            </w:r>
            <w:r>
              <w:rPr>
                <w:i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1247" w:type="dxa"/>
            <w:vAlign w:val="center"/>
          </w:tcPr>
          <w:p w:rsidR="002C16EA" w:rsidRDefault="002C16EA" w:rsidP="00351284">
            <w:pPr>
              <w:pStyle w:val="Tablehead"/>
              <w:rPr>
                <w:lang w:val="en-US"/>
              </w:rPr>
            </w:pPr>
            <w:r>
              <w:rPr>
                <w:i/>
                <w:lang w:val="en-US"/>
              </w:rPr>
              <w:t>Z</w:t>
            </w:r>
            <w:r>
              <w:rPr>
                <w:iCs/>
                <w:position w:val="-4"/>
                <w:sz w:val="18"/>
                <w:lang w:val="en-US"/>
              </w:rPr>
              <w:t>2</w:t>
            </w:r>
            <w:r>
              <w:rPr>
                <w:i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</w:tr>
      <w:tr w:rsidR="002C16EA" w:rsidTr="006F7608">
        <w:trPr>
          <w:trHeight w:val="20"/>
          <w:jc w:val="center"/>
        </w:trPr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1, ... 20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870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934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90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66</w:t>
            </w:r>
          </w:p>
        </w:tc>
      </w:tr>
      <w:tr w:rsidR="002C16EA" w:rsidTr="006F7608">
        <w:trPr>
          <w:trHeight w:val="20"/>
          <w:jc w:val="center"/>
        </w:trPr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28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1, ... 40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856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948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76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52</w:t>
            </w:r>
          </w:p>
        </w:tc>
      </w:tr>
      <w:tr w:rsidR="002C16EA" w:rsidTr="006F7608">
        <w:trPr>
          <w:trHeight w:val="20"/>
          <w:jc w:val="center"/>
        </w:trPr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14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1, ... 80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849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955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69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45</w:t>
            </w:r>
          </w:p>
        </w:tc>
      </w:tr>
      <w:tr w:rsidR="002C16EA" w:rsidTr="006F7608">
        <w:trPr>
          <w:trHeight w:val="20"/>
          <w:jc w:val="center"/>
        </w:trPr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7</w:t>
            </w:r>
          </w:p>
        </w:tc>
        <w:tc>
          <w:tcPr>
            <w:tcW w:w="1247" w:type="dxa"/>
          </w:tcPr>
          <w:p w:rsidR="002C16EA" w:rsidRDefault="002C16EA" w:rsidP="00351284">
            <w:pPr>
              <w:pStyle w:val="Tabletext"/>
              <w:jc w:val="center"/>
            </w:pPr>
            <w:r>
              <w:t>1, … 160</w:t>
            </w:r>
          </w:p>
        </w:tc>
        <w:tc>
          <w:tcPr>
            <w:tcW w:w="1247" w:type="dxa"/>
          </w:tcPr>
          <w:p w:rsidR="002C16EA" w:rsidRPr="006F7608" w:rsidRDefault="002C16EA" w:rsidP="00351284">
            <w:pPr>
              <w:pStyle w:val="Tabletext"/>
              <w:jc w:val="center"/>
              <w:rPr>
                <w:szCs w:val="22"/>
              </w:rPr>
            </w:pPr>
            <w:r w:rsidRPr="006F7608">
              <w:rPr>
                <w:rStyle w:val="CommentReference"/>
                <w:sz w:val="22"/>
                <w:szCs w:val="22"/>
              </w:rPr>
              <w:t>55 845,5</w:t>
            </w:r>
          </w:p>
        </w:tc>
        <w:tc>
          <w:tcPr>
            <w:tcW w:w="1247" w:type="dxa"/>
          </w:tcPr>
          <w:p w:rsidR="002C16EA" w:rsidRPr="006F7608" w:rsidRDefault="002C16EA" w:rsidP="00351284">
            <w:pPr>
              <w:pStyle w:val="Tabletext"/>
              <w:jc w:val="center"/>
              <w:rPr>
                <w:szCs w:val="22"/>
              </w:rPr>
            </w:pPr>
            <w:r w:rsidRPr="006F7608">
              <w:rPr>
                <w:rStyle w:val="CommentReference"/>
                <w:sz w:val="22"/>
                <w:szCs w:val="22"/>
              </w:rPr>
              <w:t>56 958,5</w:t>
            </w:r>
          </w:p>
        </w:tc>
        <w:tc>
          <w:tcPr>
            <w:tcW w:w="1247" w:type="dxa"/>
          </w:tcPr>
          <w:p w:rsidR="002C16EA" w:rsidRPr="006F7608" w:rsidRDefault="002C16EA" w:rsidP="00351284">
            <w:pPr>
              <w:pStyle w:val="Tabletext"/>
              <w:jc w:val="center"/>
              <w:rPr>
                <w:szCs w:val="22"/>
              </w:rPr>
            </w:pPr>
            <w:r w:rsidRPr="006F7608">
              <w:rPr>
                <w:rStyle w:val="CommentReference"/>
                <w:sz w:val="22"/>
                <w:szCs w:val="22"/>
              </w:rPr>
              <w:t>65,5</w:t>
            </w:r>
          </w:p>
        </w:tc>
        <w:tc>
          <w:tcPr>
            <w:tcW w:w="1247" w:type="dxa"/>
          </w:tcPr>
          <w:p w:rsidR="002C16EA" w:rsidRPr="006F7608" w:rsidRDefault="002C16EA" w:rsidP="00351284">
            <w:pPr>
              <w:pStyle w:val="Tabletext"/>
              <w:jc w:val="center"/>
              <w:rPr>
                <w:szCs w:val="22"/>
              </w:rPr>
            </w:pPr>
            <w:r w:rsidRPr="006F7608">
              <w:rPr>
                <w:rStyle w:val="CommentReference"/>
                <w:sz w:val="22"/>
                <w:szCs w:val="22"/>
              </w:rPr>
              <w:t>41,5</w:t>
            </w:r>
          </w:p>
        </w:tc>
      </w:tr>
      <w:tr w:rsidR="002C16EA" w:rsidTr="006F7608">
        <w:trPr>
          <w:trHeight w:val="20"/>
          <w:jc w:val="center"/>
        </w:trPr>
        <w:tc>
          <w:tcPr>
            <w:tcW w:w="1247" w:type="dxa"/>
            <w:tcBorders>
              <w:bottom w:val="single" w:sz="6" w:space="0" w:color="000000"/>
            </w:tcBorders>
          </w:tcPr>
          <w:p w:rsidR="002C16EA" w:rsidRDefault="002C16EA" w:rsidP="00351284">
            <w:pPr>
              <w:pStyle w:val="Tabletext"/>
              <w:jc w:val="center"/>
            </w:pPr>
            <w:r>
              <w:t>3,5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2C16EA" w:rsidRDefault="002C16EA" w:rsidP="00351284">
            <w:pPr>
              <w:pStyle w:val="Tabletext"/>
              <w:jc w:val="center"/>
            </w:pPr>
            <w:r>
              <w:t>1, … 320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2C16EA" w:rsidRPr="006F7608" w:rsidRDefault="002C16EA" w:rsidP="00351284">
            <w:pPr>
              <w:pStyle w:val="Tabletext"/>
              <w:jc w:val="center"/>
              <w:rPr>
                <w:rStyle w:val="CommentReference"/>
                <w:sz w:val="22"/>
                <w:szCs w:val="22"/>
              </w:rPr>
            </w:pPr>
            <w:r w:rsidRPr="006F7608">
              <w:rPr>
                <w:rStyle w:val="CommentReference"/>
                <w:sz w:val="22"/>
                <w:szCs w:val="22"/>
              </w:rPr>
              <w:t>55 843,7</w:t>
            </w:r>
            <w:r w:rsidRPr="006F7608">
              <w:rPr>
                <w:szCs w:val="22"/>
              </w:rPr>
              <w:t>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2C16EA" w:rsidRPr="006F7608" w:rsidRDefault="002C16EA" w:rsidP="00351284">
            <w:pPr>
              <w:pStyle w:val="Tabletext"/>
              <w:jc w:val="center"/>
              <w:rPr>
                <w:rStyle w:val="CommentReference"/>
                <w:sz w:val="22"/>
                <w:szCs w:val="22"/>
              </w:rPr>
            </w:pPr>
            <w:r w:rsidRPr="006F7608">
              <w:rPr>
                <w:szCs w:val="22"/>
              </w:rPr>
              <w:t>56 960</w:t>
            </w:r>
            <w:r w:rsidRPr="006F7608">
              <w:rPr>
                <w:rStyle w:val="CommentReference"/>
                <w:sz w:val="22"/>
                <w:szCs w:val="22"/>
              </w:rPr>
              <w:t>,</w:t>
            </w:r>
            <w:r w:rsidRPr="006F7608">
              <w:rPr>
                <w:szCs w:val="22"/>
              </w:rPr>
              <w:t>25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2C16EA" w:rsidRPr="006F7608" w:rsidRDefault="002C16EA" w:rsidP="00351284">
            <w:pPr>
              <w:pStyle w:val="Tabletext"/>
              <w:jc w:val="center"/>
              <w:rPr>
                <w:rStyle w:val="CommentReference"/>
                <w:sz w:val="22"/>
                <w:szCs w:val="22"/>
              </w:rPr>
            </w:pPr>
            <w:r w:rsidRPr="006F7608">
              <w:rPr>
                <w:szCs w:val="22"/>
              </w:rPr>
              <w:t>63</w:t>
            </w:r>
            <w:r w:rsidRPr="006F7608">
              <w:rPr>
                <w:rStyle w:val="CommentReference"/>
                <w:sz w:val="22"/>
                <w:szCs w:val="22"/>
              </w:rPr>
              <w:t>,</w:t>
            </w:r>
            <w:r w:rsidRPr="006F7608">
              <w:rPr>
                <w:szCs w:val="22"/>
              </w:rPr>
              <w:t>75</w:t>
            </w:r>
          </w:p>
        </w:tc>
        <w:tc>
          <w:tcPr>
            <w:tcW w:w="1247" w:type="dxa"/>
            <w:tcBorders>
              <w:bottom w:val="single" w:sz="6" w:space="0" w:color="000000"/>
            </w:tcBorders>
          </w:tcPr>
          <w:p w:rsidR="002C16EA" w:rsidRPr="006F7608" w:rsidRDefault="002C16EA" w:rsidP="00351284">
            <w:pPr>
              <w:pStyle w:val="Tabletext"/>
              <w:jc w:val="center"/>
              <w:rPr>
                <w:rStyle w:val="CommentReference"/>
                <w:sz w:val="22"/>
                <w:szCs w:val="22"/>
              </w:rPr>
            </w:pPr>
            <w:r w:rsidRPr="006F7608">
              <w:rPr>
                <w:szCs w:val="22"/>
              </w:rPr>
              <w:t>39</w:t>
            </w:r>
            <w:r w:rsidRPr="006F7608">
              <w:rPr>
                <w:rStyle w:val="CommentReference"/>
                <w:sz w:val="22"/>
                <w:szCs w:val="22"/>
              </w:rPr>
              <w:t>,</w:t>
            </w:r>
            <w:r w:rsidRPr="006F7608">
              <w:rPr>
                <w:szCs w:val="22"/>
              </w:rPr>
              <w:t>75</w:t>
            </w:r>
          </w:p>
        </w:tc>
      </w:tr>
      <w:tr w:rsidR="002C16EA" w:rsidRPr="00A33758" w:rsidTr="006F7608">
        <w:tblPrEx>
          <w:tblBorders>
            <w:top w:val="none" w:sz="0" w:space="0" w:color="auto"/>
          </w:tblBorders>
        </w:tblPrEx>
        <w:trPr>
          <w:cantSplit/>
          <w:trHeight w:val="400"/>
          <w:jc w:val="center"/>
        </w:trPr>
        <w:tc>
          <w:tcPr>
            <w:tcW w:w="7482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2C16EA" w:rsidRDefault="002C16EA" w:rsidP="00351284">
            <w:pPr>
              <w:pStyle w:val="Tablelegend"/>
              <w:spacing w:after="20"/>
              <w:ind w:right="0" w:hanging="335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XS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</w:r>
            <w:r>
              <w:rPr>
                <w:lang w:val="es-ES_tradnl"/>
              </w:rPr>
              <w:tab/>
              <w:t>Separación entre las frecuencias centrales de canales adyacentes</w:t>
            </w:r>
          </w:p>
          <w:p w:rsidR="002C16EA" w:rsidRDefault="002C16EA" w:rsidP="00351284">
            <w:pPr>
              <w:pStyle w:val="Tablelegend"/>
              <w:spacing w:before="60" w:after="20"/>
              <w:ind w:left="567" w:right="0" w:hanging="619"/>
              <w:rPr>
                <w:lang w:val="es-ES_tradnl"/>
              </w:rPr>
            </w:pPr>
            <w:r>
              <w:rPr>
                <w:i/>
                <w:lang w:val="es-ES_tradnl"/>
              </w:rPr>
              <w:t>Z</w:t>
            </w:r>
            <w:r>
              <w:rPr>
                <w:iCs/>
                <w:position w:val="-4"/>
                <w:sz w:val="18"/>
                <w:lang w:val="es-ES_tradnl"/>
              </w:rPr>
              <w:t>1</w:t>
            </w:r>
            <w:r>
              <w:rPr>
                <w:i/>
                <w:lang w:val="es-ES_tradnl"/>
              </w:rPr>
              <w:t>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el borde de la banda inferior y la frecuencia central del primer canal</w:t>
            </w:r>
          </w:p>
          <w:p w:rsidR="002C16EA" w:rsidRDefault="002C16EA" w:rsidP="00351284">
            <w:pPr>
              <w:pStyle w:val="Tablelegend"/>
              <w:spacing w:before="60" w:after="20"/>
              <w:ind w:left="567" w:right="0" w:hanging="619"/>
              <w:rPr>
                <w:lang w:val="es-ES_tradnl"/>
              </w:rPr>
            </w:pPr>
            <w:r>
              <w:rPr>
                <w:i/>
                <w:lang w:val="es-ES_tradnl"/>
              </w:rPr>
              <w:t>Z</w:t>
            </w:r>
            <w:r>
              <w:rPr>
                <w:iCs/>
                <w:position w:val="-4"/>
                <w:sz w:val="18"/>
                <w:lang w:val="es-ES_tradnl"/>
              </w:rPr>
              <w:t>2</w:t>
            </w:r>
            <w:r>
              <w:rPr>
                <w:i/>
                <w:lang w:val="es-ES_tradnl"/>
              </w:rPr>
              <w:t>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la frecuencia central del último canal y el borde de la</w:t>
            </w:r>
            <w:r w:rsidR="003A2753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>banda superior.</w:t>
            </w:r>
          </w:p>
        </w:tc>
      </w:tr>
    </w:tbl>
    <w:p w:rsidR="002C16EA" w:rsidRDefault="002C16EA" w:rsidP="002C16EA">
      <w:pPr>
        <w:pStyle w:val="Tablefin"/>
        <w:rPr>
          <w:sz w:val="2"/>
          <w:lang w:val="es-ES_tradnl"/>
        </w:rPr>
      </w:pPr>
    </w:p>
    <w:p w:rsidR="006F7608" w:rsidRPr="00EC5258" w:rsidRDefault="006F7608" w:rsidP="006F7608">
      <w:pPr>
        <w:pStyle w:val="Tablefin"/>
        <w:rPr>
          <w:lang w:val="es-ES"/>
        </w:rPr>
      </w:pPr>
    </w:p>
    <w:p w:rsidR="002C16EA" w:rsidRDefault="002C16EA" w:rsidP="002C16EA">
      <w:pPr>
        <w:pStyle w:val="Heading1"/>
        <w:rPr>
          <w:lang w:val="es-ES_tradnl"/>
        </w:rPr>
      </w:pPr>
      <w:r>
        <w:rPr>
          <w:lang w:val="es-ES_tradnl"/>
        </w:rPr>
        <w:t>2</w:t>
      </w:r>
      <w:r>
        <w:rPr>
          <w:lang w:val="es-ES_tradnl"/>
        </w:rPr>
        <w:tab/>
        <w:t>Para los sistemas del servicio fijo que utilizan DDF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La disposición de los radiocanales para separaciones de canal de 56 MHz, 28 MHz, 14 MHz, 7 MHz y 3,5 MHz se obtiene como sigue: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Sean</w:t>
      </w:r>
      <w:r>
        <w:rPr>
          <w:lang w:val="es-ES_tradnl"/>
        </w:rPr>
        <w:tab/>
      </w:r>
      <w:r>
        <w:rPr>
          <w:i/>
          <w:iCs/>
          <w:lang w:val="es-ES_tradnl"/>
        </w:rPr>
        <w:t>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ab/>
        <w:t>la frecuencia de referencia de 55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814 MHz,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i/>
          <w:iCs/>
          <w:lang w:val="es-ES_tradnl"/>
        </w:rPr>
        <w:t>f</w:t>
      </w:r>
      <w:r>
        <w:rPr>
          <w:i/>
          <w:iCs/>
          <w:position w:val="-4"/>
          <w:sz w:val="20"/>
          <w:lang w:val="es-ES_tradnl"/>
        </w:rPr>
        <w:t>n</w:t>
      </w:r>
      <w:proofErr w:type="gramEnd"/>
      <w:r>
        <w:rPr>
          <w:lang w:val="es-ES_tradnl"/>
        </w:rPr>
        <w:tab/>
        <w:t>la frecuencia central (MHz) del radiocanal situado en la mitad inferior de la banda,</w:t>
      </w:r>
    </w:p>
    <w:p w:rsidR="002C16EA" w:rsidRDefault="002C16EA" w:rsidP="00EA5660">
      <w:pPr>
        <w:pStyle w:val="enumlev1"/>
        <w:tabs>
          <w:tab w:val="left" w:pos="737"/>
        </w:tabs>
        <w:rPr>
          <w:lang w:val="es-ES_tradnl"/>
        </w:rPr>
      </w:pP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pt;height:18pt" o:ole="">
            <v:imagedata r:id="rId13" o:title=""/>
          </v:shape>
          <o:OLEObject Type="Embed" ProgID="Equation.3" ShapeID="_x0000_i1025" DrawAspect="Content" ObjectID="_1402140860" r:id="rId14"/>
        </w:object>
      </w:r>
      <w:r w:rsidRPr="00A33758">
        <w:rPr>
          <w:lang w:val="es-ES_tradnl"/>
        </w:rPr>
        <w:tab/>
      </w:r>
      <w:proofErr w:type="gramStart"/>
      <w:r>
        <w:rPr>
          <w:lang w:val="es-ES_tradnl"/>
        </w:rPr>
        <w:t>la</w:t>
      </w:r>
      <w:proofErr w:type="gramEnd"/>
      <w:r>
        <w:rPr>
          <w:lang w:val="es-ES_tradnl"/>
        </w:rPr>
        <w:t xml:space="preserve"> frecuencia central (MHz)  situado en la mitad superior de la banda,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  <w:t>separación de Tx/Rx </w:t>
      </w:r>
      <w:r w:rsidR="006F7608" w:rsidRPr="00D24F37">
        <w:rPr>
          <w:lang w:val="es-ES"/>
        </w:rPr>
        <w:t>=</w:t>
      </w:r>
      <w:r>
        <w:rPr>
          <w:lang w:val="es-ES_tradnl"/>
        </w:rPr>
        <w:t> 616 MHz,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  <w:t>separación de las bandas </w:t>
      </w:r>
      <w:r w:rsidR="006F7608" w:rsidRPr="00D24F37">
        <w:rPr>
          <w:lang w:val="es-ES"/>
        </w:rPr>
        <w:t>=</w:t>
      </w:r>
      <w:r>
        <w:rPr>
          <w:lang w:val="es-ES_tradnl"/>
        </w:rPr>
        <w:t> 112 MHz,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en ese caso, las frecuencias (MHz) de cada radiocanal se expresan mediante las siguientes relaciones: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para sistemas con una separación entre canales de 56 MHz: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inferior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26" type="#_x0000_t75" style="width:15pt;height:18pt" o:ole="">
            <v:imagedata r:id="rId15" o:title=""/>
          </v:shape>
          <o:OLEObject Type="Embed" ProgID="Equation.3" ShapeID="_x0000_i1026" DrawAspect="Content" ObjectID="_1402140861" r:id="rId16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 xml:space="preserve"> 56 </w:t>
      </w:r>
      <w:r>
        <w:rPr>
          <w:i/>
          <w:iCs/>
          <w:lang w:val="es-ES_tradnl"/>
        </w:rPr>
        <w:t>n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superior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27" type="#_x0000_t75" style="width:15pt;height:18pt" o:ole="">
            <v:imagedata r:id="rId13" o:title=""/>
          </v:shape>
          <o:OLEObject Type="Embed" ProgID="Equation.3" ShapeID="_x0000_i1027" DrawAspect="Content" ObjectID="_1402140862" r:id="rId17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616 </w:t>
      </w:r>
      <w:r w:rsidR="006F7608" w:rsidRPr="006F7608">
        <w:rPr>
          <w:lang w:val="es-ES"/>
        </w:rPr>
        <w:t>+</w:t>
      </w:r>
      <w:r>
        <w:rPr>
          <w:lang w:val="es-ES_tradnl"/>
        </w:rPr>
        <w:t xml:space="preserve"> 56 </w:t>
      </w:r>
      <w:r>
        <w:rPr>
          <w:i/>
          <w:iCs/>
          <w:lang w:val="es-ES_tradnl"/>
        </w:rPr>
        <w:t>n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i/>
          <w:iCs/>
          <w:lang w:val="es-ES_tradnl"/>
        </w:rPr>
        <w:tab/>
        <w:t>n</w:t>
      </w:r>
      <w:r>
        <w:rPr>
          <w:lang w:val="es-ES_tradnl"/>
        </w:rPr>
        <w:t>  </w:t>
      </w:r>
      <w:r w:rsidR="006F7608" w:rsidRPr="00D24F37">
        <w:rPr>
          <w:lang w:val="es-ES"/>
        </w:rPr>
        <w:t>=</w:t>
      </w:r>
      <w:r>
        <w:rPr>
          <w:lang w:val="es-ES_tradnl"/>
        </w:rPr>
        <w:t>  1, 2, … 9</w:t>
      </w:r>
    </w:p>
    <w:p w:rsidR="00BB647F" w:rsidRPr="003D4C88" w:rsidRDefault="00BB647F" w:rsidP="00BB647F">
      <w:pPr>
        <w:pStyle w:val="Blanc"/>
        <w:rPr>
          <w:lang w:val="es-ES_tradnl"/>
        </w:rPr>
      </w:pPr>
    </w:p>
    <w:p w:rsidR="002C16EA" w:rsidRDefault="002C16EA" w:rsidP="00E47D74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para sistemas con una separación entre canales de 28 MHz:</w:t>
      </w:r>
    </w:p>
    <w:p w:rsidR="002C16EA" w:rsidRDefault="002C16EA" w:rsidP="00E47D74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inferior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28" type="#_x0000_t75" style="width:15pt;height:18pt" o:ole="">
            <v:imagedata r:id="rId15" o:title=""/>
          </v:shape>
          <o:OLEObject Type="Embed" ProgID="Equation.3" ShapeID="_x0000_i1028" DrawAspect="Content" ObjectID="_1402140863" r:id="rId18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14 </w:t>
      </w:r>
      <w:r w:rsidR="006F7608" w:rsidRPr="006F7608">
        <w:rPr>
          <w:lang w:val="es-ES"/>
        </w:rPr>
        <w:t>+</w:t>
      </w:r>
      <w:r>
        <w:rPr>
          <w:lang w:val="es-ES_tradnl"/>
        </w:rPr>
        <w:t xml:space="preserve"> 28 </w:t>
      </w:r>
      <w:r>
        <w:rPr>
          <w:i/>
          <w:iCs/>
          <w:lang w:val="es-ES_tradnl"/>
        </w:rPr>
        <w:t>n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superior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29" type="#_x0000_t75" style="width:15pt;height:18pt" o:ole="">
            <v:imagedata r:id="rId13" o:title=""/>
          </v:shape>
          <o:OLEObject Type="Embed" ProgID="Equation.3" ShapeID="_x0000_i1029" DrawAspect="Content" ObjectID="_1402140864" r:id="rId19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630 </w:t>
      </w:r>
      <w:r w:rsidR="006F7608" w:rsidRPr="006F7608">
        <w:rPr>
          <w:lang w:val="es-ES"/>
        </w:rPr>
        <w:t>+</w:t>
      </w:r>
      <w:r>
        <w:rPr>
          <w:lang w:val="es-ES_tradnl"/>
        </w:rPr>
        <w:t xml:space="preserve"> 28 </w:t>
      </w:r>
      <w:r>
        <w:rPr>
          <w:i/>
          <w:iCs/>
          <w:lang w:val="es-ES_tradnl"/>
        </w:rPr>
        <w:t>n</w:t>
      </w:r>
    </w:p>
    <w:p w:rsidR="002C16EA" w:rsidRDefault="002C16EA" w:rsidP="006F7608">
      <w:pPr>
        <w:keepNext/>
        <w:keepLines/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i/>
          <w:iCs/>
          <w:lang w:val="es-ES_tradnl"/>
        </w:rPr>
        <w:tab/>
        <w:t>n  </w:t>
      </w:r>
      <w:r w:rsidR="006F7608" w:rsidRPr="00D24F37">
        <w:rPr>
          <w:lang w:val="es-ES"/>
        </w:rPr>
        <w:t>=</w:t>
      </w:r>
      <w:r>
        <w:rPr>
          <w:lang w:val="es-ES_tradnl"/>
        </w:rPr>
        <w:t>  1, 2, 3, … 18</w:t>
      </w:r>
    </w:p>
    <w:p w:rsidR="002C16EA" w:rsidRDefault="002C16EA" w:rsidP="00B02B03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lastRenderedPageBreak/>
        <w:t>c)</w:t>
      </w:r>
      <w:r>
        <w:rPr>
          <w:lang w:val="es-ES_tradnl"/>
        </w:rPr>
        <w:tab/>
        <w:t>para sistemas con una separación entre canales de 14 MHz:</w:t>
      </w:r>
    </w:p>
    <w:p w:rsidR="002C16EA" w:rsidRDefault="002C16EA" w:rsidP="00B02B03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inferior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30" type="#_x0000_t75" style="width:15pt;height:18pt" o:ole="">
            <v:imagedata r:id="rId15" o:title=""/>
          </v:shape>
          <o:OLEObject Type="Embed" ProgID="Equation.3" ShapeID="_x0000_i1030" DrawAspect="Content" ObjectID="_1402140865" r:id="rId20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21 </w:t>
      </w:r>
      <w:r w:rsidR="006F7608" w:rsidRPr="00EC5258">
        <w:rPr>
          <w:lang w:val="es-ES"/>
        </w:rPr>
        <w:t>+</w:t>
      </w:r>
      <w:r>
        <w:rPr>
          <w:lang w:val="es-ES_tradnl"/>
        </w:rPr>
        <w:t xml:space="preserve"> 14 </w:t>
      </w:r>
      <w:r>
        <w:rPr>
          <w:i/>
          <w:iCs/>
          <w:lang w:val="es-ES_tradnl"/>
        </w:rPr>
        <w:t>n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superior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31" type="#_x0000_t75" style="width:15pt;height:18pt" o:ole="">
            <v:imagedata r:id="rId13" o:title=""/>
          </v:shape>
          <o:OLEObject Type="Embed" ProgID="Equation.3" ShapeID="_x0000_i1031" DrawAspect="Content" ObjectID="_1402140866" r:id="rId21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637 </w:t>
      </w:r>
      <w:r w:rsidR="006F7608" w:rsidRPr="004E6CEA">
        <w:rPr>
          <w:lang w:val="es-ES"/>
        </w:rPr>
        <w:t>+</w:t>
      </w:r>
      <w:r>
        <w:rPr>
          <w:lang w:val="es-ES_tradnl"/>
        </w:rPr>
        <w:t xml:space="preserve"> 14 </w:t>
      </w:r>
      <w:r>
        <w:rPr>
          <w:i/>
          <w:iCs/>
          <w:lang w:val="es-ES_tradnl"/>
        </w:rPr>
        <w:t>n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  </w:t>
      </w:r>
      <w:r w:rsidR="006F7608" w:rsidRPr="00D24F37">
        <w:rPr>
          <w:lang w:val="es-ES"/>
        </w:rPr>
        <w:t>=</w:t>
      </w:r>
      <w:r>
        <w:rPr>
          <w:lang w:val="es-ES_tradnl"/>
        </w:rPr>
        <w:tab/>
        <w:t>  1, 2, 3, … 36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para sistemas con una separación entre canales de 7 MHz: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inferior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32" type="#_x0000_t75" style="width:15pt;height:18pt" o:ole="">
            <v:imagedata r:id="rId15" o:title=""/>
          </v:shape>
          <o:OLEObject Type="Embed" ProgID="Equation.3" ShapeID="_x0000_i1032" DrawAspect="Content" ObjectID="_1402140867" r:id="rId22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24,5 </w:t>
      </w:r>
      <w:r w:rsidR="006F7608" w:rsidRPr="004E6CEA">
        <w:rPr>
          <w:lang w:val="es-ES"/>
        </w:rPr>
        <w:t>+</w:t>
      </w:r>
      <w:r>
        <w:rPr>
          <w:lang w:val="es-ES_tradnl"/>
        </w:rPr>
        <w:t xml:space="preserve"> 7 </w:t>
      </w:r>
      <w:r>
        <w:rPr>
          <w:i/>
          <w:iCs/>
          <w:lang w:val="es-ES_tradnl"/>
        </w:rPr>
        <w:t>n</w:t>
      </w:r>
    </w:p>
    <w:p w:rsidR="002C16EA" w:rsidRDefault="002C16EA" w:rsidP="009918C5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superior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33" type="#_x0000_t75" style="width:15pt;height:18pt" o:ole="">
            <v:imagedata r:id="rId13" o:title=""/>
          </v:shape>
          <o:OLEObject Type="Embed" ProgID="Equation.3" ShapeID="_x0000_i1033" DrawAspect="Content" ObjectID="_1402140868" r:id="rId23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</w:t>
      </w:r>
      <w:r w:rsidR="009918C5" w:rsidRPr="000D2820">
        <w:rPr>
          <w:lang w:val="en-US"/>
        </w:rPr>
        <w:t xml:space="preserve">640.5 </w:t>
      </w:r>
      <w:bookmarkStart w:id="7" w:name="_GoBack"/>
      <w:bookmarkEnd w:id="7"/>
      <w:r w:rsidR="006F7608" w:rsidRPr="004E6CEA">
        <w:rPr>
          <w:lang w:val="es-ES"/>
        </w:rPr>
        <w:t>+</w:t>
      </w:r>
      <w:r>
        <w:rPr>
          <w:lang w:val="es-ES_tradnl"/>
        </w:rPr>
        <w:t xml:space="preserve"> 7 </w:t>
      </w:r>
      <w:r>
        <w:rPr>
          <w:i/>
          <w:iCs/>
          <w:lang w:val="es-ES_tradnl"/>
        </w:rPr>
        <w:t>n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  </w:t>
      </w:r>
      <w:r w:rsidR="006F7608" w:rsidRPr="00D24F37">
        <w:rPr>
          <w:lang w:val="es-ES"/>
        </w:rPr>
        <w:t>=</w:t>
      </w:r>
      <w:r>
        <w:rPr>
          <w:lang w:val="es-ES_tradnl"/>
        </w:rPr>
        <w:t>  1, 2, 3, ... 72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para sistemas con una separación entre canales de 3,5 MHz: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inferior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34" type="#_x0000_t75" style="width:15pt;height:18pt" o:ole="">
            <v:imagedata r:id="rId15" o:title=""/>
          </v:shape>
          <o:OLEObject Type="Embed" ProgID="Equation.3" ShapeID="_x0000_i1034" DrawAspect="Content" ObjectID="_1402140869" r:id="rId24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26,25 </w:t>
      </w:r>
      <w:r w:rsidR="006F7608" w:rsidRPr="006F7608">
        <w:rPr>
          <w:lang w:val="es-ES"/>
        </w:rPr>
        <w:t>+</w:t>
      </w:r>
      <w:r>
        <w:rPr>
          <w:lang w:val="es-ES_tradnl"/>
        </w:rPr>
        <w:t xml:space="preserve"> 3,5 </w:t>
      </w:r>
      <w:r>
        <w:rPr>
          <w:i/>
          <w:iCs/>
          <w:lang w:val="es-ES_tradnl"/>
        </w:rPr>
        <w:t>n</w:t>
      </w:r>
    </w:p>
    <w:p w:rsidR="002C16EA" w:rsidRDefault="002C16EA" w:rsidP="00A33758">
      <w:pPr>
        <w:pStyle w:val="enumlev1"/>
        <w:rPr>
          <w:lang w:val="es-ES_tradnl"/>
        </w:rPr>
      </w:pPr>
      <w:r>
        <w:rPr>
          <w:lang w:val="es-ES_tradnl"/>
        </w:rPr>
        <w:tab/>
      </w:r>
      <w:proofErr w:type="gramStart"/>
      <w:r>
        <w:rPr>
          <w:lang w:val="es-ES_tradnl"/>
        </w:rPr>
        <w:t>mitad</w:t>
      </w:r>
      <w:proofErr w:type="gramEnd"/>
      <w:r>
        <w:rPr>
          <w:lang w:val="es-ES_tradnl"/>
        </w:rPr>
        <w:t xml:space="preserve"> superior de la banda:</w:t>
      </w:r>
      <w:r>
        <w:rPr>
          <w:lang w:val="es-ES_tradnl"/>
        </w:rPr>
        <w:tab/>
      </w:r>
      <w:r w:rsidRPr="001B7185">
        <w:rPr>
          <w:position w:val="-12"/>
        </w:rPr>
        <w:object w:dxaOrig="300" w:dyaOrig="360">
          <v:shape id="_x0000_i1035" type="#_x0000_t75" style="width:15pt;height:18pt" o:ole="">
            <v:imagedata r:id="rId13" o:title=""/>
          </v:shape>
          <o:OLEObject Type="Embed" ProgID="Equation.3" ShapeID="_x0000_i1035" DrawAspect="Content" ObjectID="_1402140870" r:id="rId25"/>
        </w:object>
      </w:r>
      <w:r>
        <w:rPr>
          <w:i/>
          <w:iCs/>
          <w:lang w:val="es-ES_tradnl"/>
        </w:rPr>
        <w:t> </w:t>
      </w:r>
      <w:r w:rsidR="006F7608" w:rsidRPr="006F7608">
        <w:rPr>
          <w:lang w:val="es-ES"/>
        </w:rPr>
        <w:t>=</w:t>
      </w:r>
      <w:r>
        <w:rPr>
          <w:i/>
          <w:iCs/>
          <w:lang w:val="es-ES_tradnl"/>
        </w:rPr>
        <w:t> 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> </w:t>
      </w:r>
      <w:r w:rsidR="006F7608" w:rsidRPr="006F7608">
        <w:rPr>
          <w:lang w:val="es-ES"/>
        </w:rPr>
        <w:t>+</w:t>
      </w:r>
      <w:r>
        <w:rPr>
          <w:lang w:val="es-ES_tradnl"/>
        </w:rPr>
        <w:t> </w:t>
      </w:r>
      <w:r w:rsidR="00A33758" w:rsidRPr="000D2820">
        <w:rPr>
          <w:lang w:val="en-US"/>
        </w:rPr>
        <w:t xml:space="preserve">642.25 </w:t>
      </w:r>
      <w:r w:rsidR="006F7608" w:rsidRPr="006F7608">
        <w:rPr>
          <w:lang w:val="es-ES"/>
        </w:rPr>
        <w:t>+</w:t>
      </w:r>
      <w:r>
        <w:rPr>
          <w:lang w:val="es-ES_tradnl"/>
        </w:rPr>
        <w:t xml:space="preserve"> 3,5 </w:t>
      </w:r>
      <w:r>
        <w:rPr>
          <w:i/>
          <w:iCs/>
          <w:lang w:val="es-ES_tradnl"/>
        </w:rPr>
        <w:t>n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</w:t>
      </w:r>
      <w:r>
        <w:rPr>
          <w:lang w:val="es-ES_tradnl"/>
        </w:rPr>
        <w:t>  </w:t>
      </w:r>
      <w:r w:rsidR="006F7608" w:rsidRPr="00D24F37">
        <w:rPr>
          <w:lang w:val="es-ES"/>
        </w:rPr>
        <w:t>=</w:t>
      </w:r>
      <w:r>
        <w:rPr>
          <w:lang w:val="es-ES_tradnl"/>
        </w:rPr>
        <w:t>  1, 2, 3, ... 144.</w:t>
      </w:r>
    </w:p>
    <w:p w:rsidR="00B02B03" w:rsidRDefault="00B02B03" w:rsidP="006F7608">
      <w:pPr>
        <w:pStyle w:val="enumlev1"/>
        <w:rPr>
          <w:lang w:val="es-ES_tradnl"/>
        </w:rPr>
      </w:pPr>
    </w:p>
    <w:p w:rsidR="002C16EA" w:rsidRDefault="002C16EA" w:rsidP="002C16EA">
      <w:pPr>
        <w:pStyle w:val="TableNo"/>
        <w:rPr>
          <w:lang w:val="es-ES_tradnl"/>
        </w:rPr>
      </w:pPr>
      <w:r>
        <w:rPr>
          <w:lang w:val="es-ES_tradnl"/>
        </w:rPr>
        <w:t>CUADRO  2</w:t>
      </w:r>
    </w:p>
    <w:p w:rsidR="002C16EA" w:rsidRDefault="002C16EA" w:rsidP="002C16EA">
      <w:pPr>
        <w:pStyle w:val="Tabletitle"/>
        <w:rPr>
          <w:lang w:val="es-ES_tradnl"/>
        </w:rPr>
      </w:pPr>
      <w:r>
        <w:rPr>
          <w:lang w:val="es-ES_tradnl"/>
        </w:rPr>
        <w:t>Parámetros calculados de acuerdo con la Recomendación UIT-R F.746</w:t>
      </w:r>
    </w:p>
    <w:tbl>
      <w:tblPr>
        <w:tblW w:w="963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963"/>
        <w:gridCol w:w="964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2C16EA" w:rsidTr="006F7608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XS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n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f</w:t>
            </w:r>
            <w:r w:rsidRPr="00301AFE">
              <w:rPr>
                <w:vertAlign w:val="subscript"/>
              </w:rPr>
              <w:t>1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f</w:t>
            </w:r>
            <w:r w:rsidRPr="007F1697">
              <w:rPr>
                <w:i/>
                <w:iCs/>
                <w:vertAlign w:val="subscript"/>
              </w:rPr>
              <w:t>nmáx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spacing w:line="270" w:lineRule="exact"/>
              <w:rPr>
                <w:lang w:val="en-US"/>
              </w:rPr>
            </w:pPr>
            <w:r w:rsidRPr="001B7185">
              <w:rPr>
                <w:position w:val="-14"/>
              </w:rPr>
              <w:object w:dxaOrig="320" w:dyaOrig="380">
                <v:shape id="_x0000_i1036" type="#_x0000_t75" style="width:15.75pt;height:19.5pt" o:ole="">
                  <v:imagedata r:id="rId26" o:title=""/>
                </v:shape>
                <o:OLEObject Type="Embed" ProgID="Equation.3" ShapeID="_x0000_i1036" DrawAspect="Content" ObjectID="_1402140871" r:id="rId27"/>
              </w:objec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spacing w:line="270" w:lineRule="exact"/>
              <w:rPr>
                <w:lang w:val="en-US"/>
              </w:rPr>
            </w:pPr>
            <w:r w:rsidRPr="001B7185">
              <w:rPr>
                <w:position w:val="-14"/>
              </w:rPr>
              <w:object w:dxaOrig="660" w:dyaOrig="380">
                <v:shape id="_x0000_i1037" type="#_x0000_t75" style="width:31.5pt;height:19.5pt" o:ole="">
                  <v:imagedata r:id="rId28" o:title=""/>
                </v:shape>
                <o:OLEObject Type="Embed" ProgID="Equation.3" ShapeID="_x0000_i1037" DrawAspect="Content" ObjectID="_1402140872" r:id="rId29"/>
              </w:objec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 w:rsidRPr="00301AFE">
              <w:rPr>
                <w:vertAlign w:val="subscript"/>
              </w:rPr>
              <w:t>1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 w:rsidRPr="00301AFE">
              <w:rPr>
                <w:vertAlign w:val="subscript"/>
              </w:rPr>
              <w:t>2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YS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head"/>
            </w:pPr>
            <w:r>
              <w:rPr>
                <w:i/>
                <w:iCs/>
              </w:rPr>
              <w:t>DS</w:t>
            </w:r>
            <w:r>
              <w:br/>
              <w:t>(MHz)</w:t>
            </w:r>
          </w:p>
        </w:tc>
      </w:tr>
      <w:tr w:rsidR="002C16EA" w:rsidTr="006F7608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1, ... 9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870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318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486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934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90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168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616</w:t>
            </w:r>
          </w:p>
        </w:tc>
      </w:tr>
      <w:tr w:rsidR="002C16EA" w:rsidTr="006F7608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28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1, ... 18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856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332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472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948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76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52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140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616</w:t>
            </w:r>
          </w:p>
        </w:tc>
      </w:tr>
      <w:tr w:rsidR="002C16EA" w:rsidTr="006F7608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14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1, ... 36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55</w:t>
            </w:r>
            <w:r>
              <w:rPr>
                <w:rFonts w:ascii="Tms Rmn" w:hAnsi="Tms Rmn"/>
                <w:sz w:val="12"/>
              </w:rPr>
              <w:t> </w:t>
            </w:r>
            <w:r>
              <w:t>849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z w:val="12"/>
              </w:rPr>
              <w:t> </w:t>
            </w:r>
            <w:r>
              <w:t>339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465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t>955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69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45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126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616</w:t>
            </w:r>
          </w:p>
        </w:tc>
      </w:tr>
      <w:tr w:rsidR="002C16EA" w:rsidTr="006F7608">
        <w:trPr>
          <w:cantSplit/>
          <w:trHeight w:val="400"/>
          <w:jc w:val="center"/>
        </w:trPr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7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1, …72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55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845,5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342,5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461,5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958,5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65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41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119</w:t>
            </w:r>
          </w:p>
        </w:tc>
        <w:tc>
          <w:tcPr>
            <w:tcW w:w="96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616</w:t>
            </w:r>
          </w:p>
        </w:tc>
      </w:tr>
      <w:tr w:rsidR="002C16EA" w:rsidTr="006F7608">
        <w:trPr>
          <w:cantSplit/>
          <w:trHeight w:val="400"/>
          <w:jc w:val="center"/>
        </w:trPr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3,5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ind w:left="-57" w:right="-57"/>
              <w:jc w:val="center"/>
            </w:pPr>
            <w:r>
              <w:t>1, …144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55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843,75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344,25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459,75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ind w:left="-113" w:right="-113"/>
              <w:jc w:val="center"/>
            </w:pPr>
            <w:r>
              <w:rPr>
                <w:snapToGrid w:val="0"/>
                <w:color w:val="000000"/>
              </w:rPr>
              <w:t>56</w:t>
            </w:r>
            <w:r>
              <w:rPr>
                <w:rFonts w:ascii="Tms Rmn" w:hAnsi="Tms Rmn"/>
                <w:snapToGrid w:val="0"/>
                <w:color w:val="000000"/>
                <w:sz w:val="12"/>
              </w:rPr>
              <w:t> </w:t>
            </w:r>
            <w:r>
              <w:rPr>
                <w:snapToGrid w:val="0"/>
                <w:color w:val="000000"/>
              </w:rPr>
              <w:t>960,25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63</w:t>
            </w:r>
            <w:r>
              <w:rPr>
                <w:snapToGrid w:val="0"/>
                <w:color w:val="000000"/>
              </w:rPr>
              <w:t>,</w:t>
            </w:r>
            <w:r>
              <w:t>75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39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115</w:t>
            </w:r>
            <w:r>
              <w:rPr>
                <w:snapToGrid w:val="0"/>
                <w:color w:val="000000"/>
              </w:rPr>
              <w:t>,</w:t>
            </w:r>
            <w:r>
              <w:t>5</w:t>
            </w:r>
          </w:p>
        </w:tc>
        <w:tc>
          <w:tcPr>
            <w:tcW w:w="96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616</w:t>
            </w:r>
          </w:p>
        </w:tc>
      </w:tr>
      <w:tr w:rsidR="002C16EA" w:rsidTr="006F7608">
        <w:trPr>
          <w:cantSplit/>
          <w:trHeight w:val="400"/>
          <w:jc w:val="center"/>
        </w:trPr>
        <w:tc>
          <w:tcPr>
            <w:tcW w:w="9640" w:type="dxa"/>
            <w:gridSpan w:val="10"/>
            <w:tcBorders>
              <w:left w:val="nil"/>
              <w:bottom w:val="nil"/>
              <w:right w:val="nil"/>
            </w:tcBorders>
            <w:vAlign w:val="center"/>
          </w:tcPr>
          <w:p w:rsidR="002C16EA" w:rsidRDefault="002C16EA" w:rsidP="00351284">
            <w:pPr>
              <w:pStyle w:val="Tablelegend"/>
              <w:spacing w:after="20"/>
              <w:ind w:right="0" w:hanging="284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XS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las frecuencias centrales de canales adyacentes</w:t>
            </w:r>
          </w:p>
          <w:p w:rsidR="002C16EA" w:rsidRDefault="002C16EA" w:rsidP="00351284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YS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las frecuencias centrales de los canales de ida y de retorno más próximos</w:t>
            </w:r>
          </w:p>
          <w:p w:rsidR="002C16EA" w:rsidRDefault="002C16EA" w:rsidP="00351284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Z</w:t>
            </w:r>
            <w:r w:rsidRPr="00301AFE">
              <w:rPr>
                <w:vertAlign w:val="subscript"/>
              </w:rPr>
              <w:t>1</w:t>
            </w:r>
            <w:r>
              <w:rPr>
                <w:i/>
                <w:iCs/>
                <w:lang w:val="es-ES_tradnl"/>
              </w:rPr>
              <w:t>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el borde de la banda inferior y la frecuencia central del primer canal</w:t>
            </w:r>
          </w:p>
          <w:p w:rsidR="002C16EA" w:rsidRDefault="002C16EA" w:rsidP="00351284">
            <w:pPr>
              <w:pStyle w:val="Tablelegend"/>
              <w:spacing w:before="60" w:after="20"/>
              <w:ind w:right="0" w:hanging="284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Z</w:t>
            </w:r>
            <w:r w:rsidRPr="00301AFE">
              <w:rPr>
                <w:vertAlign w:val="subscript"/>
              </w:rPr>
              <w:t>2</w:t>
            </w:r>
            <w:r>
              <w:rPr>
                <w:i/>
                <w:iCs/>
                <w:lang w:val="es-ES_tradnl"/>
              </w:rPr>
              <w:t>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la frecuencia central del último canal y el borde de la banda superior</w:t>
            </w:r>
          </w:p>
          <w:p w:rsidR="002C16EA" w:rsidRDefault="002C16EA" w:rsidP="00351284">
            <w:pPr>
              <w:pStyle w:val="Tablelegend"/>
              <w:spacing w:before="60" w:after="20" w:line="240" w:lineRule="exact"/>
              <w:ind w:right="0" w:hanging="284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DS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dúplex</w:t>
            </w:r>
            <w:r w:rsidRPr="001B7185">
              <w:rPr>
                <w:position w:val="-12"/>
              </w:rPr>
              <w:object w:dxaOrig="1040" w:dyaOrig="440">
                <v:shape id="_x0000_i1038" type="#_x0000_t75" style="width:52.5pt;height:22.5pt" o:ole="">
                  <v:imagedata r:id="rId30" o:title=""/>
                </v:shape>
                <o:OLEObject Type="Embed" ProgID="Equation.3" ShapeID="_x0000_i1038" DrawAspect="Content" ObjectID="_1402140873" r:id="rId31"/>
              </w:object>
            </w:r>
          </w:p>
        </w:tc>
      </w:tr>
    </w:tbl>
    <w:p w:rsidR="002C16EA" w:rsidRDefault="002C16EA" w:rsidP="002C16EA">
      <w:pPr>
        <w:pStyle w:val="Tablefin"/>
        <w:rPr>
          <w:sz w:val="2"/>
          <w:lang w:val="es-ES_tradnl"/>
        </w:rPr>
      </w:pPr>
    </w:p>
    <w:p w:rsidR="002C16EA" w:rsidRPr="00B02B03" w:rsidRDefault="002C16EA" w:rsidP="006F7608">
      <w:pPr>
        <w:pStyle w:val="Tablefin"/>
      </w:pPr>
    </w:p>
    <w:p w:rsidR="002C16EA" w:rsidRPr="00EB7B58" w:rsidRDefault="002C16EA" w:rsidP="006F7608">
      <w:pPr>
        <w:pStyle w:val="AnnexNo"/>
        <w:rPr>
          <w:b/>
          <w:lang w:val="es-ES_tradnl"/>
        </w:rPr>
      </w:pPr>
      <w:r w:rsidRPr="00EB7B58">
        <w:rPr>
          <w:b/>
          <w:lang w:val="es-ES_tradnl"/>
        </w:rPr>
        <w:lastRenderedPageBreak/>
        <w:t>Anexo  2</w:t>
      </w:r>
      <w:r w:rsidRPr="00EB7B58">
        <w:rPr>
          <w:b/>
          <w:lang w:val="es-ES_tradnl"/>
        </w:rPr>
        <w:br/>
      </w:r>
      <w:r w:rsidRPr="00EB7B58">
        <w:rPr>
          <w:b/>
          <w:lang w:val="es-ES_tradnl"/>
        </w:rPr>
        <w:br/>
        <w:t>Disposición de radiocanales en la banda 57-59 GHz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7F1697">
      <w:pPr>
        <w:keepNext/>
        <w:keepLines/>
        <w:rPr>
          <w:lang w:val="es-ES_tradnl"/>
        </w:rPr>
      </w:pPr>
      <w:r>
        <w:rPr>
          <w:lang w:val="es-ES_tradnl"/>
        </w:rPr>
        <w:t>Sean</w:t>
      </w:r>
      <w:r>
        <w:rPr>
          <w:lang w:val="es-ES_tradnl"/>
        </w:rPr>
        <w:tab/>
      </w:r>
      <w:r>
        <w:rPr>
          <w:i/>
          <w:iCs/>
          <w:lang w:val="es-ES_tradnl"/>
        </w:rPr>
        <w:t>f</w:t>
      </w:r>
      <w:r>
        <w:rPr>
          <w:i/>
          <w:iCs/>
          <w:position w:val="-4"/>
          <w:sz w:val="20"/>
          <w:lang w:val="es-ES_tradnl"/>
        </w:rPr>
        <w:t>r</w:t>
      </w:r>
      <w:r>
        <w:rPr>
          <w:lang w:val="es-ES_tradnl"/>
        </w:rPr>
        <w:tab/>
        <w:t>la frecuencia de referencia de 56</w:t>
      </w:r>
      <w:r w:rsidR="007F1697">
        <w:rPr>
          <w:lang w:val="es-ES_tradnl"/>
        </w:rPr>
        <w:t> </w:t>
      </w:r>
      <w:r>
        <w:rPr>
          <w:lang w:val="es-ES_tradnl"/>
        </w:rPr>
        <w:t>950 MHz,</w:t>
      </w:r>
    </w:p>
    <w:p w:rsidR="002C16EA" w:rsidRDefault="002C16EA" w:rsidP="00B02B03">
      <w:pPr>
        <w:pStyle w:val="enumlev1"/>
        <w:keepNext/>
        <w:keepLines/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f</w:t>
      </w:r>
      <w:r>
        <w:rPr>
          <w:i/>
          <w:iCs/>
          <w:position w:val="-4"/>
          <w:sz w:val="20"/>
          <w:lang w:val="es-ES_tradnl"/>
        </w:rPr>
        <w:t>n</w:t>
      </w:r>
      <w:r>
        <w:rPr>
          <w:lang w:val="es-ES_tradnl"/>
        </w:rPr>
        <w:tab/>
        <w:t>la frecuencia de referencia del canal de radiofrecuencia en la banda 57-59 GHz,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las frecuencias centrales de cada uno de los canales se expresan entonces por las relaciones siguientes: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para sistemas con una separación de canales de 100 MHz:</w:t>
      </w:r>
    </w:p>
    <w:p w:rsidR="006F7608" w:rsidRPr="0049775A" w:rsidRDefault="006F7608" w:rsidP="006F7608">
      <w:pPr>
        <w:pStyle w:val="Blanc"/>
        <w:rPr>
          <w:lang w:val="es-ES_tradnl"/>
        </w:rPr>
      </w:pPr>
    </w:p>
    <w:p w:rsidR="002C16EA" w:rsidRPr="00D35082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r w:rsidRPr="00D35082">
        <w:rPr>
          <w:lang w:val="es-ES_tradnl"/>
        </w:rPr>
        <w:t> </w:t>
      </w:r>
      <w:r w:rsidR="006F7608" w:rsidRPr="0049775A">
        <w:rPr>
          <w:lang w:val="es-ES_tradnl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49775A">
        <w:rPr>
          <w:lang w:val="es-ES_tradnl"/>
        </w:rPr>
        <w:t>+</w:t>
      </w:r>
      <w:r w:rsidRPr="00D35082">
        <w:rPr>
          <w:lang w:val="es-ES_tradnl"/>
        </w:rPr>
        <w:t xml:space="preserve"> 100 </w:t>
      </w:r>
      <w:r w:rsidRPr="00D35082">
        <w:rPr>
          <w:i/>
          <w:iCs/>
          <w:lang w:val="es-ES_tradnl"/>
        </w:rPr>
        <w:t>n               </w:t>
      </w:r>
      <w:r w:rsidR="006F7608">
        <w:rPr>
          <w:i/>
          <w:iCs/>
          <w:lang w:val="es-ES_tradnl"/>
        </w:rPr>
        <w:t>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  </w:t>
      </w:r>
      <w:r w:rsidR="006F7608" w:rsidRPr="0049775A">
        <w:rPr>
          <w:lang w:val="es-ES_tradnl"/>
        </w:rPr>
        <w:t>=</w:t>
      </w:r>
      <w:r w:rsidRPr="00D35082">
        <w:rPr>
          <w:rFonts w:hint="eastAsia"/>
          <w:lang w:val="es-ES_tradnl"/>
        </w:rPr>
        <w:t> </w:t>
      </w:r>
      <w:r>
        <w:rPr>
          <w:lang w:val="es-ES_tradnl"/>
        </w:rPr>
        <w:t> 1, 2, 3, ... 20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para sistemas con una separación de canales de 50 MHz:</w:t>
      </w:r>
    </w:p>
    <w:p w:rsidR="006F7608" w:rsidRPr="0049775A" w:rsidRDefault="006F7608" w:rsidP="006F7608">
      <w:pPr>
        <w:pStyle w:val="Blanc"/>
        <w:rPr>
          <w:lang w:val="es-ES_tradnl"/>
        </w:rPr>
      </w:pPr>
    </w:p>
    <w:p w:rsidR="002C16EA" w:rsidRDefault="002C16EA" w:rsidP="006F7608">
      <w:pPr>
        <w:pStyle w:val="Equation"/>
        <w:rPr>
          <w:lang w:val="es-ES_tradnl"/>
        </w:rPr>
      </w:pPr>
      <w:r w:rsidRPr="00D35082">
        <w:rPr>
          <w:lang w:val="es-ES_tradnl"/>
        </w:rPr>
        <w:tab/>
      </w:r>
      <w:r w:rsidRPr="00D35082">
        <w:rPr>
          <w:lang w:val="es-ES_tradnl"/>
        </w:rPr>
        <w:tab/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n</w:t>
      </w:r>
      <w:r w:rsidRPr="00D35082">
        <w:rPr>
          <w:lang w:val="es-ES_tradnl"/>
        </w:rPr>
        <w:t> </w:t>
      </w:r>
      <w:r w:rsidR="006F7608" w:rsidRPr="0049775A">
        <w:rPr>
          <w:lang w:val="es-ES_tradnl"/>
        </w:rPr>
        <w:t>=</w:t>
      </w:r>
      <w:r w:rsidRPr="00D35082">
        <w:rPr>
          <w:lang w:val="es-ES_tradnl"/>
        </w:rPr>
        <w:t> </w:t>
      </w:r>
      <w:r w:rsidRPr="00D35082">
        <w:rPr>
          <w:i/>
          <w:lang w:val="es-ES_tradnl"/>
        </w:rPr>
        <w:t>f</w:t>
      </w:r>
      <w:r w:rsidRPr="00D35082">
        <w:rPr>
          <w:i/>
          <w:iCs/>
          <w:position w:val="-4"/>
          <w:sz w:val="20"/>
          <w:lang w:val="es-ES_tradnl"/>
        </w:rPr>
        <w:t>r</w:t>
      </w:r>
      <w:r w:rsidRPr="00D35082">
        <w:rPr>
          <w:lang w:val="es-ES_tradnl"/>
        </w:rPr>
        <w:t> </w:t>
      </w:r>
      <w:r w:rsidR="006F7608" w:rsidRPr="0049775A">
        <w:rPr>
          <w:lang w:val="es-ES_tradnl"/>
        </w:rPr>
        <w:t>+</w:t>
      </w:r>
      <w:r w:rsidRPr="00D35082">
        <w:rPr>
          <w:lang w:val="es-ES_tradnl"/>
        </w:rPr>
        <w:t> 25 </w:t>
      </w:r>
      <w:r w:rsidR="006F7608" w:rsidRPr="0049775A">
        <w:rPr>
          <w:lang w:val="es-ES_tradnl"/>
        </w:rPr>
        <w:t>+</w:t>
      </w:r>
      <w:r w:rsidRPr="00D35082">
        <w:rPr>
          <w:lang w:val="es-ES_tradnl"/>
        </w:rPr>
        <w:t xml:space="preserve"> 50 </w:t>
      </w:r>
      <w:r w:rsidRPr="00D35082">
        <w:rPr>
          <w:i/>
          <w:iCs/>
          <w:lang w:val="es-ES_tradnl"/>
        </w:rPr>
        <w:t>n</w:t>
      </w:r>
      <w:r w:rsidR="006F7608" w:rsidRPr="00D35082">
        <w:rPr>
          <w:i/>
          <w:iCs/>
          <w:lang w:val="es-ES_tradnl"/>
        </w:rPr>
        <w:t>               </w:t>
      </w:r>
      <w:r w:rsidR="006F7608">
        <w:rPr>
          <w:i/>
          <w:iCs/>
          <w:lang w:val="es-ES_tradnl"/>
        </w:rPr>
        <w:t> </w:t>
      </w:r>
      <w:r w:rsidRPr="00D35082">
        <w:rPr>
          <w:lang w:val="es-ES_tradnl"/>
        </w:rPr>
        <w:t>MHz</w:t>
      </w:r>
    </w:p>
    <w:p w:rsidR="002C16EA" w:rsidRDefault="002C16EA" w:rsidP="002C16EA">
      <w:pPr>
        <w:rPr>
          <w:lang w:val="es-ES_tradnl"/>
        </w:rPr>
      </w:pPr>
      <w:r>
        <w:rPr>
          <w:lang w:val="es-ES_tradnl"/>
        </w:rPr>
        <w:t>siendo:</w:t>
      </w:r>
    </w:p>
    <w:p w:rsidR="002C16EA" w:rsidRDefault="002C16EA" w:rsidP="006F7608">
      <w:pPr>
        <w:pStyle w:val="enumlev1"/>
        <w:rPr>
          <w:lang w:val="es-ES_tradnl"/>
        </w:rPr>
      </w:pPr>
      <w:r>
        <w:rPr>
          <w:lang w:val="es-ES_tradnl"/>
        </w:rPr>
        <w:tab/>
      </w:r>
      <w:r>
        <w:rPr>
          <w:i/>
          <w:iCs/>
          <w:lang w:val="es-ES_tradnl"/>
        </w:rPr>
        <w:t>n  </w:t>
      </w:r>
      <w:r w:rsidR="006F7608" w:rsidRPr="0049775A">
        <w:rPr>
          <w:lang w:val="es-ES_tradnl"/>
        </w:rPr>
        <w:t>=</w:t>
      </w:r>
      <w:r w:rsidRPr="00D35082">
        <w:rPr>
          <w:rFonts w:hint="eastAsia"/>
          <w:lang w:val="es-ES_tradnl"/>
        </w:rPr>
        <w:t> </w:t>
      </w:r>
      <w:r>
        <w:rPr>
          <w:lang w:val="es-ES_tradnl"/>
        </w:rPr>
        <w:t> 1, 2, 3, ... 40.</w:t>
      </w:r>
    </w:p>
    <w:p w:rsidR="003D4C88" w:rsidRPr="006F7608" w:rsidRDefault="003D4C88" w:rsidP="003D4C88">
      <w:pPr>
        <w:pStyle w:val="Blanc"/>
        <w:rPr>
          <w:lang w:val="es-ES"/>
        </w:rPr>
      </w:pPr>
    </w:p>
    <w:p w:rsidR="002C16EA" w:rsidRDefault="002C16EA" w:rsidP="002C16EA">
      <w:pPr>
        <w:pStyle w:val="TableNo"/>
        <w:rPr>
          <w:lang w:val="es-ES_tradnl"/>
        </w:rPr>
      </w:pPr>
      <w:r>
        <w:rPr>
          <w:lang w:val="es-ES_tradnl"/>
        </w:rPr>
        <w:t>CUADRO  3</w:t>
      </w:r>
    </w:p>
    <w:p w:rsidR="002C16EA" w:rsidRDefault="002C16EA" w:rsidP="002C16EA">
      <w:pPr>
        <w:pStyle w:val="Tabletitle"/>
        <w:rPr>
          <w:lang w:val="es-ES_tradnl"/>
        </w:rPr>
      </w:pPr>
      <w:r>
        <w:rPr>
          <w:lang w:val="es-ES_tradnl"/>
        </w:rPr>
        <w:t>Parámetros calculados de acuerdo con la Recomendación UIT</w:t>
      </w:r>
      <w:r>
        <w:rPr>
          <w:lang w:val="es-ES_tradnl"/>
        </w:rPr>
        <w:noBreakHyphen/>
        <w:t>R F.746</w:t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304"/>
        <w:gridCol w:w="1304"/>
        <w:gridCol w:w="1304"/>
        <w:gridCol w:w="1304"/>
        <w:gridCol w:w="1304"/>
        <w:gridCol w:w="1304"/>
      </w:tblGrid>
      <w:tr w:rsidR="002C16EA" w:rsidTr="006F7608">
        <w:trPr>
          <w:cantSplit/>
          <w:trHeight w:val="400"/>
          <w:jc w:val="center"/>
        </w:trPr>
        <w:tc>
          <w:tcPr>
            <w:tcW w:w="1304" w:type="dxa"/>
            <w:vAlign w:val="center"/>
          </w:tcPr>
          <w:p w:rsidR="002C16EA" w:rsidRDefault="002C16EA" w:rsidP="00351284">
            <w:pPr>
              <w:pStyle w:val="Tablehead"/>
              <w:spacing w:before="60" w:after="60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XS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head"/>
              <w:spacing w:before="60" w:after="60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n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head"/>
              <w:spacing w:before="60" w:after="60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f</w:t>
            </w:r>
            <w:r w:rsidRPr="007F1697">
              <w:rPr>
                <w:vertAlign w:val="subscript"/>
              </w:rPr>
              <w:t>1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head"/>
              <w:spacing w:before="60" w:after="60"/>
              <w:rPr>
                <w:lang w:val="es-ES"/>
              </w:rPr>
            </w:pPr>
            <w:r>
              <w:rPr>
                <w:i/>
                <w:iCs/>
                <w:lang w:val="es-ES"/>
              </w:rPr>
              <w:t>f</w:t>
            </w:r>
            <w:r w:rsidRPr="007F1697">
              <w:rPr>
                <w:i/>
                <w:iCs/>
                <w:vertAlign w:val="subscript"/>
              </w:rPr>
              <w:t>nmáx</w:t>
            </w:r>
            <w:r>
              <w:rPr>
                <w:lang w:val="es-ES"/>
              </w:rPr>
              <w:br/>
              <w:t>(MHz)</w:t>
            </w:r>
          </w:p>
        </w:tc>
        <w:tc>
          <w:tcPr>
            <w:tcW w:w="1304" w:type="dxa"/>
            <w:vAlign w:val="center"/>
          </w:tcPr>
          <w:p w:rsidR="002C16EA" w:rsidRDefault="002C16EA" w:rsidP="00301AFE">
            <w:pPr>
              <w:pStyle w:val="Tablehead"/>
              <w:spacing w:before="60" w:after="6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 w:rsidR="00301AFE" w:rsidRPr="00301AFE">
              <w:rPr>
                <w:vertAlign w:val="subscript"/>
              </w:rPr>
              <w:t>1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head"/>
              <w:spacing w:before="60" w:after="60"/>
              <w:rPr>
                <w:lang w:val="en-US"/>
              </w:rPr>
            </w:pPr>
            <w:r>
              <w:rPr>
                <w:i/>
                <w:iCs/>
                <w:lang w:val="en-US"/>
              </w:rPr>
              <w:t>Z</w:t>
            </w:r>
            <w:r w:rsidRPr="00301AFE">
              <w:rPr>
                <w:vertAlign w:val="subscript"/>
              </w:rPr>
              <w:t>2</w:t>
            </w:r>
            <w:r>
              <w:rPr>
                <w:i/>
                <w:iCs/>
                <w:lang w:val="en-US"/>
              </w:rPr>
              <w:t>S</w:t>
            </w:r>
            <w:r>
              <w:rPr>
                <w:lang w:val="en-US"/>
              </w:rPr>
              <w:br/>
              <w:t>(MHz)</w:t>
            </w:r>
          </w:p>
        </w:tc>
      </w:tr>
      <w:tr w:rsidR="002C16EA" w:rsidTr="006F7608">
        <w:trPr>
          <w:cantSplit/>
          <w:jc w:val="center"/>
        </w:trPr>
        <w:tc>
          <w:tcPr>
            <w:tcW w:w="130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50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1, ... 40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57</w:t>
            </w:r>
            <w:r>
              <w:rPr>
                <w:rFonts w:ascii="Tms Rmn" w:hAnsi="Tms Rmn"/>
                <w:sz w:val="12"/>
              </w:rPr>
              <w:t> </w:t>
            </w:r>
            <w:r>
              <w:t>025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58</w:t>
            </w:r>
            <w:r>
              <w:rPr>
                <w:rFonts w:ascii="Tms Rmn" w:hAnsi="Tms Rmn"/>
                <w:sz w:val="12"/>
              </w:rPr>
              <w:t> </w:t>
            </w:r>
            <w:r>
              <w:t>975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25</w:t>
            </w:r>
          </w:p>
        </w:tc>
        <w:tc>
          <w:tcPr>
            <w:tcW w:w="1304" w:type="dxa"/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25</w:t>
            </w:r>
          </w:p>
        </w:tc>
      </w:tr>
      <w:tr w:rsidR="002C16EA" w:rsidTr="006F7608">
        <w:trPr>
          <w:cantSplit/>
          <w:jc w:val="center"/>
        </w:trPr>
        <w:tc>
          <w:tcPr>
            <w:tcW w:w="130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100</w:t>
            </w:r>
          </w:p>
        </w:tc>
        <w:tc>
          <w:tcPr>
            <w:tcW w:w="130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1, ... 20</w:t>
            </w:r>
          </w:p>
        </w:tc>
        <w:tc>
          <w:tcPr>
            <w:tcW w:w="130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57</w:t>
            </w:r>
            <w:r>
              <w:rPr>
                <w:rFonts w:ascii="Tms Rmn" w:hAnsi="Tms Rmn"/>
                <w:sz w:val="12"/>
              </w:rPr>
              <w:t> </w:t>
            </w:r>
            <w:r>
              <w:t>050</w:t>
            </w:r>
          </w:p>
        </w:tc>
        <w:tc>
          <w:tcPr>
            <w:tcW w:w="130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58</w:t>
            </w:r>
            <w:r>
              <w:rPr>
                <w:rFonts w:ascii="Tms Rmn" w:hAnsi="Tms Rmn"/>
                <w:sz w:val="12"/>
              </w:rPr>
              <w:t> </w:t>
            </w:r>
            <w:r>
              <w:t>950</w:t>
            </w:r>
          </w:p>
        </w:tc>
        <w:tc>
          <w:tcPr>
            <w:tcW w:w="130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50</w:t>
            </w:r>
          </w:p>
        </w:tc>
        <w:tc>
          <w:tcPr>
            <w:tcW w:w="1304" w:type="dxa"/>
            <w:tcBorders>
              <w:bottom w:val="single" w:sz="6" w:space="0" w:color="000000"/>
            </w:tcBorders>
            <w:vAlign w:val="center"/>
          </w:tcPr>
          <w:p w:rsidR="002C16EA" w:rsidRDefault="002C16EA" w:rsidP="00351284">
            <w:pPr>
              <w:pStyle w:val="Tabletext"/>
              <w:jc w:val="center"/>
            </w:pPr>
            <w:r>
              <w:t>50</w:t>
            </w:r>
          </w:p>
        </w:tc>
      </w:tr>
      <w:tr w:rsidR="002C16EA" w:rsidRPr="00301AFE" w:rsidTr="006F7608">
        <w:trPr>
          <w:cantSplit/>
          <w:jc w:val="center"/>
        </w:trPr>
        <w:tc>
          <w:tcPr>
            <w:tcW w:w="7824" w:type="dxa"/>
            <w:gridSpan w:val="6"/>
            <w:tcBorders>
              <w:left w:val="nil"/>
              <w:bottom w:val="nil"/>
              <w:right w:val="nil"/>
            </w:tcBorders>
            <w:vAlign w:val="center"/>
          </w:tcPr>
          <w:p w:rsidR="002C16EA" w:rsidRDefault="002C16EA" w:rsidP="00351284">
            <w:pPr>
              <w:pStyle w:val="Tablelegend"/>
              <w:spacing w:after="20"/>
              <w:ind w:right="0" w:hanging="284"/>
              <w:rPr>
                <w:lang w:val="es-ES_tradnl"/>
              </w:rPr>
            </w:pPr>
            <w:r>
              <w:rPr>
                <w:i/>
                <w:iCs/>
                <w:lang w:val="es-ES_tradnl"/>
              </w:rPr>
              <w:t>XS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las frecuencias centrales de canales adyacentes</w:t>
            </w:r>
          </w:p>
          <w:p w:rsidR="002C16EA" w:rsidRDefault="002C16EA" w:rsidP="00351284">
            <w:pPr>
              <w:pStyle w:val="Tablelegend"/>
              <w:spacing w:before="60" w:after="20"/>
              <w:ind w:left="567" w:right="0" w:hanging="567"/>
              <w:rPr>
                <w:lang w:val="es-ES_tradnl"/>
              </w:rPr>
            </w:pPr>
            <w:r>
              <w:rPr>
                <w:i/>
                <w:lang w:val="es-ES_tradnl"/>
              </w:rPr>
              <w:t>Z</w:t>
            </w:r>
            <w:r w:rsidRPr="00301AFE">
              <w:rPr>
                <w:vertAlign w:val="subscript"/>
              </w:rPr>
              <w:t>1</w:t>
            </w:r>
            <w:r>
              <w:rPr>
                <w:i/>
                <w:lang w:val="es-ES_tradnl"/>
              </w:rPr>
              <w:t>S</w:t>
            </w:r>
            <w:r>
              <w:rPr>
                <w:lang w:val="es-ES_tradnl"/>
              </w:rPr>
              <w:t>:</w:t>
            </w:r>
            <w:r>
              <w:rPr>
                <w:lang w:val="es-ES_tradnl"/>
              </w:rPr>
              <w:tab/>
              <w:t>Separación entre el borde de la banda inferior y la frecuencia central del primer canal</w:t>
            </w:r>
          </w:p>
          <w:p w:rsidR="002C16EA" w:rsidRDefault="002C16EA" w:rsidP="00351284">
            <w:pPr>
              <w:pStyle w:val="Tablelegend"/>
              <w:spacing w:before="60" w:after="20"/>
              <w:ind w:left="567" w:right="0" w:hanging="567"/>
              <w:rPr>
                <w:lang w:val="es-ES"/>
              </w:rPr>
            </w:pPr>
            <w:r>
              <w:rPr>
                <w:i/>
                <w:lang w:val="es-ES"/>
              </w:rPr>
              <w:t>Z</w:t>
            </w:r>
            <w:r w:rsidRPr="00301AFE">
              <w:rPr>
                <w:vertAlign w:val="subscript"/>
              </w:rPr>
              <w:t>2</w:t>
            </w:r>
            <w:r>
              <w:rPr>
                <w:i/>
                <w:lang w:val="es-ES"/>
              </w:rPr>
              <w:t>S</w:t>
            </w:r>
            <w:r>
              <w:rPr>
                <w:lang w:val="es-ES"/>
              </w:rPr>
              <w:t>:</w:t>
            </w:r>
            <w:r>
              <w:rPr>
                <w:lang w:val="es-ES"/>
              </w:rPr>
              <w:tab/>
            </w:r>
            <w:r>
              <w:rPr>
                <w:lang w:val="es-ES_tradnl"/>
              </w:rPr>
              <w:t>Separación entre la frecuencia central del último canal y el borde de la banda superior.</w:t>
            </w:r>
          </w:p>
        </w:tc>
      </w:tr>
    </w:tbl>
    <w:p w:rsidR="006F7608" w:rsidRDefault="006F7608" w:rsidP="006F7608">
      <w:pPr>
        <w:pStyle w:val="Tablefin"/>
        <w:rPr>
          <w:lang w:val="es-ES_tradnl"/>
        </w:rPr>
      </w:pPr>
    </w:p>
    <w:p w:rsidR="003D4C88" w:rsidRPr="003D4C88" w:rsidRDefault="003D4C88" w:rsidP="003D4C88">
      <w:pPr>
        <w:rPr>
          <w:lang w:val="es-ES_tradnl"/>
        </w:rPr>
      </w:pPr>
    </w:p>
    <w:p w:rsidR="006F7608" w:rsidRPr="0049775A" w:rsidRDefault="006F7608" w:rsidP="006F7608">
      <w:pPr>
        <w:pStyle w:val="Line"/>
        <w:rPr>
          <w:lang w:val="es-ES_tradnl"/>
        </w:rPr>
      </w:pPr>
    </w:p>
    <w:sectPr w:rsidR="006F7608" w:rsidRPr="0049775A" w:rsidSect="00970AF0">
      <w:headerReference w:type="even" r:id="rId32"/>
      <w:headerReference w:type="default" r:id="rId3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0E7" w:rsidRDefault="002600E7">
      <w:r>
        <w:separator/>
      </w:r>
    </w:p>
  </w:endnote>
  <w:endnote w:type="continuationSeparator" w:id="0">
    <w:p w:rsidR="002600E7" w:rsidRDefault="00260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0E7" w:rsidRDefault="002600E7">
      <w:r>
        <w:separator/>
      </w:r>
    </w:p>
  </w:footnote>
  <w:footnote w:type="continuationSeparator" w:id="0">
    <w:p w:rsidR="002600E7" w:rsidRDefault="002600E7">
      <w:r>
        <w:continuationSeparator/>
      </w:r>
    </w:p>
  </w:footnote>
  <w:footnote w:id="1">
    <w:p w:rsidR="006F7608" w:rsidRPr="007C246E" w:rsidRDefault="006F7608" w:rsidP="006F7608">
      <w:pPr>
        <w:pStyle w:val="FootnoteText"/>
        <w:rPr>
          <w:lang w:val="es-ES_tradnl"/>
        </w:rPr>
      </w:pPr>
      <w:r w:rsidRPr="00D35082">
        <w:rPr>
          <w:rStyle w:val="FootnoteReference"/>
          <w:lang w:val="es-ES_tradnl"/>
        </w:rPr>
        <w:t>*</w:t>
      </w:r>
      <w:r>
        <w:rPr>
          <w:lang w:val="es-ES_tradnl"/>
        </w:rPr>
        <w:tab/>
        <w:t>La Comisión de Estudio 5 de Radiocomunicaciones introdujo cambios de edición en la presente Recomendación en diciembre de 2009, con arreglo a lo dispuesto en la Resolución UIT-R 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08" w:rsidRDefault="006F760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08" w:rsidRDefault="006F7608" w:rsidP="006F760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08" w:rsidRDefault="006F6A40" w:rsidP="006F7608">
    <w:pPr>
      <w:pStyle w:val="Header"/>
      <w:jc w:val="left"/>
    </w:pPr>
    <w:r>
      <w:rPr>
        <w:rStyle w:val="PageNumber"/>
        <w:b/>
        <w:bCs/>
      </w:rPr>
      <w:fldChar w:fldCharType="begin"/>
    </w:r>
    <w:r w:rsidR="006F7608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A33758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6F7608">
      <w:tab/>
    </w:r>
    <w:r w:rsidR="002600E7">
      <w:fldChar w:fldCharType="begin"/>
    </w:r>
    <w:r w:rsidR="002600E7">
      <w:instrText xml:space="preserve"> DOCPROPERTY "Header" \* MERGEFORMAT </w:instrText>
    </w:r>
    <w:r w:rsidR="002600E7">
      <w:fldChar w:fldCharType="separate"/>
    </w:r>
    <w:r w:rsidR="00B02B03" w:rsidRPr="00B02B03">
      <w:rPr>
        <w:b/>
        <w:bCs/>
        <w:lang w:val="en-US"/>
      </w:rPr>
      <w:t xml:space="preserve">Rec. </w:t>
    </w:r>
    <w:r w:rsidR="002600E7">
      <w:rPr>
        <w:b/>
        <w:bCs/>
        <w:lang w:val="en-US"/>
      </w:rPr>
      <w:fldChar w:fldCharType="end"/>
    </w:r>
    <w:r w:rsidR="006F7608">
      <w:rPr>
        <w:b/>
        <w:bCs/>
      </w:rPr>
      <w:t xml:space="preserve"> </w:t>
    </w:r>
    <w:r>
      <w:rPr>
        <w:b/>
        <w:bCs/>
      </w:rPr>
      <w:fldChar w:fldCharType="begin"/>
    </w:r>
    <w:r w:rsidR="006F7608">
      <w:rPr>
        <w:b/>
        <w:bCs/>
      </w:rPr>
      <w:instrText>styleref href</w:instrText>
    </w:r>
    <w:r>
      <w:rPr>
        <w:b/>
        <w:bCs/>
      </w:rPr>
      <w:fldChar w:fldCharType="separate"/>
    </w:r>
    <w:r w:rsidR="00A33758">
      <w:rPr>
        <w:b/>
        <w:bCs/>
        <w:noProof/>
      </w:rPr>
      <w:t>UIT-R  F.1497-1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08" w:rsidRDefault="006F7608">
    <w:pPr>
      <w:pStyle w:val="Header"/>
    </w:pPr>
    <w:r>
      <w:tab/>
    </w:r>
    <w:r w:rsidR="002600E7">
      <w:fldChar w:fldCharType="begin"/>
    </w:r>
    <w:r w:rsidR="002600E7">
      <w:instrText xml:space="preserve"> DOCPROPERTY "Header" \* MERGEFORMAT </w:instrText>
    </w:r>
    <w:r w:rsidR="002600E7">
      <w:fldChar w:fldCharType="separate"/>
    </w:r>
    <w:r w:rsidR="00B02B03" w:rsidRPr="00B02B03">
      <w:rPr>
        <w:lang w:val="en-US"/>
      </w:rPr>
      <w:t xml:space="preserve">Rec. </w:t>
    </w:r>
    <w:r w:rsidR="002600E7">
      <w:rPr>
        <w:lang w:val="en-US"/>
      </w:rPr>
      <w:fldChar w:fldCharType="end"/>
    </w:r>
    <w:r>
      <w:rPr>
        <w:b/>
        <w:bCs/>
      </w:rPr>
      <w:t xml:space="preserve">  </w:t>
    </w:r>
    <w:r w:rsidR="006F6A40">
      <w:rPr>
        <w:b/>
        <w:bCs/>
      </w:rPr>
      <w:fldChar w:fldCharType="begin"/>
    </w:r>
    <w:r>
      <w:rPr>
        <w:b/>
        <w:bCs/>
      </w:rPr>
      <w:instrText>styleref href</w:instrText>
    </w:r>
    <w:r w:rsidR="006F6A40">
      <w:rPr>
        <w:b/>
        <w:bCs/>
      </w:rPr>
      <w:fldChar w:fldCharType="separate"/>
    </w:r>
    <w:r w:rsidR="00B02B03">
      <w:rPr>
        <w:b/>
        <w:bCs/>
        <w:noProof/>
      </w:rPr>
      <w:t>UIT-R  F.1497-1</w:t>
    </w:r>
    <w:r w:rsidR="006F6A40">
      <w:rPr>
        <w:b/>
        <w:bCs/>
      </w:rPr>
      <w:fldChar w:fldCharType="end"/>
    </w:r>
    <w:r>
      <w:tab/>
    </w:r>
    <w:r w:rsidR="006F6A4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F6A40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 w:rsidR="006F6A40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08" w:rsidRDefault="006F6A40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6F7608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33758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="006F7608">
      <w:rPr>
        <w:lang w:val="en-US"/>
      </w:rPr>
      <w:tab/>
    </w:r>
    <w:r w:rsidR="002600E7">
      <w:fldChar w:fldCharType="begin"/>
    </w:r>
    <w:r w:rsidR="002600E7">
      <w:instrText xml:space="preserve"> DOCPROPERTY "Header" \* MERGEFORMAT </w:instrText>
    </w:r>
    <w:r w:rsidR="002600E7">
      <w:fldChar w:fldCharType="separate"/>
    </w:r>
    <w:r w:rsidR="00B02B03" w:rsidRPr="00B02B03">
      <w:rPr>
        <w:b/>
        <w:bCs/>
        <w:lang w:val="en-US"/>
      </w:rPr>
      <w:t xml:space="preserve">Rec. </w:t>
    </w:r>
    <w:r w:rsidR="002600E7">
      <w:rPr>
        <w:b/>
        <w:bCs/>
        <w:lang w:val="en-US"/>
      </w:rPr>
      <w:fldChar w:fldCharType="end"/>
    </w:r>
    <w:r w:rsidR="006F7608">
      <w:rPr>
        <w:b/>
        <w:bCs/>
      </w:rPr>
      <w:t xml:space="preserve"> </w:t>
    </w:r>
    <w:r>
      <w:rPr>
        <w:b/>
        <w:bCs/>
      </w:rPr>
      <w:fldChar w:fldCharType="begin"/>
    </w:r>
    <w:r w:rsidR="006F7608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A33758">
      <w:rPr>
        <w:b/>
        <w:bCs/>
        <w:noProof/>
      </w:rPr>
      <w:t>UIT-R  F.1497-1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608" w:rsidRDefault="006F7608">
    <w:pPr>
      <w:pStyle w:val="Header"/>
    </w:pPr>
    <w:r>
      <w:tab/>
    </w:r>
    <w:r w:rsidR="002600E7">
      <w:fldChar w:fldCharType="begin"/>
    </w:r>
    <w:r w:rsidR="002600E7">
      <w:instrText xml:space="preserve"> DOCPROPERTY "Header" \* MERGEFORMAT </w:instrText>
    </w:r>
    <w:r w:rsidR="002600E7">
      <w:fldChar w:fldCharType="separate"/>
    </w:r>
    <w:r w:rsidR="00B02B03" w:rsidRPr="00B02B03">
      <w:rPr>
        <w:b/>
        <w:bCs/>
      </w:rPr>
      <w:t xml:space="preserve">Rec. </w:t>
    </w:r>
    <w:r w:rsidR="002600E7">
      <w:rPr>
        <w:b/>
        <w:bCs/>
      </w:rPr>
      <w:fldChar w:fldCharType="end"/>
    </w:r>
    <w:r>
      <w:rPr>
        <w:b/>
        <w:bCs/>
      </w:rPr>
      <w:t xml:space="preserve"> </w:t>
    </w:r>
    <w:r w:rsidR="006F6A40">
      <w:rPr>
        <w:b/>
        <w:bCs/>
      </w:rPr>
      <w:fldChar w:fldCharType="begin"/>
    </w:r>
    <w:r>
      <w:rPr>
        <w:b/>
        <w:bCs/>
      </w:rPr>
      <w:instrText>styleref href</w:instrText>
    </w:r>
    <w:r w:rsidR="006F6A40">
      <w:rPr>
        <w:b/>
        <w:bCs/>
      </w:rPr>
      <w:fldChar w:fldCharType="separate"/>
    </w:r>
    <w:r w:rsidR="009918C5">
      <w:rPr>
        <w:b/>
        <w:bCs/>
        <w:noProof/>
      </w:rPr>
      <w:t>UIT-R  F.1497-1</w:t>
    </w:r>
    <w:r w:rsidR="006F6A40">
      <w:rPr>
        <w:b/>
        <w:bCs/>
      </w:rPr>
      <w:fldChar w:fldCharType="end"/>
    </w:r>
    <w:r>
      <w:tab/>
    </w:r>
    <w:r w:rsidR="006F6A40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F6A40">
      <w:rPr>
        <w:rStyle w:val="PageNumber"/>
        <w:b/>
        <w:bCs/>
      </w:rPr>
      <w:fldChar w:fldCharType="separate"/>
    </w:r>
    <w:r w:rsidR="009918C5">
      <w:rPr>
        <w:rStyle w:val="PageNumber"/>
        <w:b/>
        <w:bCs/>
        <w:noProof/>
      </w:rPr>
      <w:t>5</w:t>
    </w:r>
    <w:r w:rsidR="006F6A40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H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AF0"/>
    <w:rsid w:val="000729A7"/>
    <w:rsid w:val="00217EBF"/>
    <w:rsid w:val="002600E7"/>
    <w:rsid w:val="002C16EA"/>
    <w:rsid w:val="002D76C4"/>
    <w:rsid w:val="002F05AA"/>
    <w:rsid w:val="00301AFE"/>
    <w:rsid w:val="00351284"/>
    <w:rsid w:val="003A2753"/>
    <w:rsid w:val="003D4C88"/>
    <w:rsid w:val="0049775A"/>
    <w:rsid w:val="004E6CEA"/>
    <w:rsid w:val="00607D68"/>
    <w:rsid w:val="00686D77"/>
    <w:rsid w:val="00695F00"/>
    <w:rsid w:val="006F6A40"/>
    <w:rsid w:val="006F7608"/>
    <w:rsid w:val="00723598"/>
    <w:rsid w:val="007468DA"/>
    <w:rsid w:val="007F1697"/>
    <w:rsid w:val="00970AF0"/>
    <w:rsid w:val="009918C5"/>
    <w:rsid w:val="00A00789"/>
    <w:rsid w:val="00A33758"/>
    <w:rsid w:val="00A5722A"/>
    <w:rsid w:val="00A6617B"/>
    <w:rsid w:val="00AB0DC8"/>
    <w:rsid w:val="00B02B03"/>
    <w:rsid w:val="00B44E24"/>
    <w:rsid w:val="00BB647F"/>
    <w:rsid w:val="00D24F37"/>
    <w:rsid w:val="00DF4176"/>
    <w:rsid w:val="00E47D74"/>
    <w:rsid w:val="00EA5660"/>
    <w:rsid w:val="00EC5258"/>
    <w:rsid w:val="00F16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5F0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695F0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95F00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95F00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95F00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95F00"/>
    <w:pPr>
      <w:outlineLvl w:val="4"/>
    </w:pPr>
  </w:style>
  <w:style w:type="paragraph" w:styleId="Heading6">
    <w:name w:val="heading 6"/>
    <w:basedOn w:val="Heading4"/>
    <w:next w:val="Normal"/>
    <w:qFormat/>
    <w:rsid w:val="00695F00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95F00"/>
    <w:pPr>
      <w:outlineLvl w:val="6"/>
    </w:pPr>
  </w:style>
  <w:style w:type="paragraph" w:styleId="Heading8">
    <w:name w:val="heading 8"/>
    <w:basedOn w:val="Heading6"/>
    <w:next w:val="Normal"/>
    <w:qFormat/>
    <w:rsid w:val="00695F00"/>
    <w:pPr>
      <w:outlineLvl w:val="7"/>
    </w:pPr>
  </w:style>
  <w:style w:type="paragraph" w:styleId="Heading9">
    <w:name w:val="heading 9"/>
    <w:basedOn w:val="Heading6"/>
    <w:next w:val="Normal"/>
    <w:qFormat/>
    <w:rsid w:val="00695F00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95F00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95F00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95F00"/>
  </w:style>
  <w:style w:type="paragraph" w:customStyle="1" w:styleId="Headingb">
    <w:name w:val="Heading_b"/>
    <w:basedOn w:val="Heading3"/>
    <w:next w:val="Normal"/>
    <w:rsid w:val="00695F00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95F00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95F00"/>
  </w:style>
  <w:style w:type="paragraph" w:customStyle="1" w:styleId="enumlev1">
    <w:name w:val="enumlev1"/>
    <w:basedOn w:val="Normal"/>
    <w:rsid w:val="00695F00"/>
    <w:pPr>
      <w:spacing w:before="80"/>
      <w:ind w:left="794" w:hanging="794"/>
    </w:pPr>
  </w:style>
  <w:style w:type="paragraph" w:customStyle="1" w:styleId="enumlev2">
    <w:name w:val="enumlev2"/>
    <w:basedOn w:val="enumlev1"/>
    <w:rsid w:val="00695F00"/>
    <w:pPr>
      <w:ind w:left="1191" w:hanging="397"/>
    </w:pPr>
  </w:style>
  <w:style w:type="paragraph" w:customStyle="1" w:styleId="enumlev3">
    <w:name w:val="enumlev3"/>
    <w:basedOn w:val="enumlev2"/>
    <w:rsid w:val="00695F00"/>
    <w:pPr>
      <w:ind w:left="1588"/>
    </w:pPr>
  </w:style>
  <w:style w:type="paragraph" w:customStyle="1" w:styleId="Normalaftertitle">
    <w:name w:val="Normal_after_title"/>
    <w:basedOn w:val="Normal"/>
    <w:next w:val="Normal"/>
    <w:rsid w:val="00695F00"/>
    <w:pPr>
      <w:spacing w:before="320"/>
    </w:pPr>
  </w:style>
  <w:style w:type="paragraph" w:customStyle="1" w:styleId="Note">
    <w:name w:val="Note"/>
    <w:basedOn w:val="Normal"/>
    <w:rsid w:val="00695F00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695F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695F00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695F00"/>
    <w:pPr>
      <w:jc w:val="center"/>
    </w:pPr>
  </w:style>
  <w:style w:type="paragraph" w:customStyle="1" w:styleId="Recdate">
    <w:name w:val="Rec_date"/>
    <w:basedOn w:val="Recref"/>
    <w:next w:val="Normalaftertitle"/>
    <w:rsid w:val="00695F00"/>
    <w:pPr>
      <w:jc w:val="right"/>
    </w:pPr>
  </w:style>
  <w:style w:type="paragraph" w:customStyle="1" w:styleId="AnnexNoTitle">
    <w:name w:val="Annex_NoTitle"/>
    <w:basedOn w:val="Normal"/>
    <w:next w:val="Normalaftertitle"/>
    <w:rsid w:val="00695F00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695F00"/>
  </w:style>
  <w:style w:type="paragraph" w:customStyle="1" w:styleId="Tablefin">
    <w:name w:val="Table_fin"/>
    <w:basedOn w:val="Normal"/>
    <w:next w:val="Normal"/>
    <w:rsid w:val="00695F00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95F00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695F0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695F00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95F00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695F0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95F00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95F00"/>
    <w:pPr>
      <w:ind w:left="794"/>
    </w:pPr>
  </w:style>
  <w:style w:type="paragraph" w:customStyle="1" w:styleId="Figurelegend">
    <w:name w:val="Figure_legend"/>
    <w:basedOn w:val="Normal"/>
    <w:rsid w:val="00695F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695F0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95F00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695F00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695F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95F0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95F00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95F00"/>
    <w:rPr>
      <w:b/>
    </w:rPr>
  </w:style>
  <w:style w:type="paragraph" w:customStyle="1" w:styleId="Chaptitle">
    <w:name w:val="Chap_title"/>
    <w:basedOn w:val="Arttitle"/>
    <w:next w:val="Normalaftertitle"/>
    <w:rsid w:val="00695F00"/>
  </w:style>
  <w:style w:type="character" w:styleId="FootnoteReference">
    <w:name w:val="footnote reference"/>
    <w:basedOn w:val="DefaultParagraphFont"/>
    <w:semiHidden/>
    <w:rsid w:val="00695F00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695F00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695F00"/>
  </w:style>
  <w:style w:type="paragraph" w:styleId="Index2">
    <w:name w:val="index 2"/>
    <w:basedOn w:val="Normal"/>
    <w:next w:val="Normal"/>
    <w:semiHidden/>
    <w:rsid w:val="00695F00"/>
    <w:pPr>
      <w:ind w:left="283"/>
    </w:pPr>
  </w:style>
  <w:style w:type="paragraph" w:styleId="Index3">
    <w:name w:val="index 3"/>
    <w:basedOn w:val="Normal"/>
    <w:next w:val="Normal"/>
    <w:semiHidden/>
    <w:rsid w:val="00695F00"/>
    <w:pPr>
      <w:ind w:left="566"/>
    </w:pPr>
  </w:style>
  <w:style w:type="paragraph" w:styleId="IndexHeading">
    <w:name w:val="index heading"/>
    <w:basedOn w:val="Normal"/>
    <w:next w:val="Index1"/>
    <w:semiHidden/>
    <w:rsid w:val="00695F00"/>
  </w:style>
  <w:style w:type="paragraph" w:customStyle="1" w:styleId="Line">
    <w:name w:val="Line"/>
    <w:basedOn w:val="Normal"/>
    <w:next w:val="Normal"/>
    <w:rsid w:val="00695F00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95F00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95F00"/>
  </w:style>
  <w:style w:type="paragraph" w:customStyle="1" w:styleId="Partref">
    <w:name w:val="Part_ref"/>
    <w:basedOn w:val="Normal"/>
    <w:next w:val="Normal"/>
    <w:rsid w:val="00695F00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95F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695F00"/>
  </w:style>
  <w:style w:type="paragraph" w:customStyle="1" w:styleId="QuestionNo">
    <w:name w:val="Question_No"/>
    <w:basedOn w:val="RecNo"/>
    <w:next w:val="Normal"/>
    <w:rsid w:val="00695F00"/>
  </w:style>
  <w:style w:type="paragraph" w:customStyle="1" w:styleId="Questionref">
    <w:name w:val="Question_ref"/>
    <w:basedOn w:val="Recref"/>
    <w:next w:val="Questiondate"/>
    <w:rsid w:val="00695F00"/>
  </w:style>
  <w:style w:type="paragraph" w:customStyle="1" w:styleId="Questiontitle">
    <w:name w:val="Question_title"/>
    <w:basedOn w:val="Normal"/>
    <w:next w:val="Questionref"/>
    <w:rsid w:val="00695F00"/>
  </w:style>
  <w:style w:type="paragraph" w:customStyle="1" w:styleId="Reftext">
    <w:name w:val="Ref_text"/>
    <w:basedOn w:val="Normal"/>
    <w:rsid w:val="00695F00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695F0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695F00"/>
  </w:style>
  <w:style w:type="paragraph" w:customStyle="1" w:styleId="RepNo">
    <w:name w:val="Rep_No"/>
    <w:basedOn w:val="RecNo"/>
    <w:next w:val="Reptitle"/>
    <w:rsid w:val="00695F00"/>
  </w:style>
  <w:style w:type="paragraph" w:customStyle="1" w:styleId="Repref">
    <w:name w:val="Rep_ref"/>
    <w:basedOn w:val="Recref"/>
    <w:next w:val="Repdate"/>
    <w:rsid w:val="00695F00"/>
  </w:style>
  <w:style w:type="paragraph" w:customStyle="1" w:styleId="Reptitle">
    <w:name w:val="Rep_title"/>
    <w:basedOn w:val="Rectitle"/>
    <w:next w:val="Repref"/>
    <w:rsid w:val="00695F00"/>
  </w:style>
  <w:style w:type="paragraph" w:customStyle="1" w:styleId="Resdate">
    <w:name w:val="Res_date"/>
    <w:basedOn w:val="Recdate"/>
    <w:next w:val="Normalaftertitle"/>
    <w:rsid w:val="00695F00"/>
  </w:style>
  <w:style w:type="paragraph" w:customStyle="1" w:styleId="ResNo">
    <w:name w:val="Res_No"/>
    <w:basedOn w:val="RecNo"/>
    <w:next w:val="Restitle"/>
    <w:rsid w:val="00695F00"/>
  </w:style>
  <w:style w:type="paragraph" w:customStyle="1" w:styleId="Resref">
    <w:name w:val="Res_ref"/>
    <w:basedOn w:val="Recref"/>
    <w:next w:val="Resdate"/>
    <w:rsid w:val="00695F00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695F00"/>
  </w:style>
  <w:style w:type="paragraph" w:customStyle="1" w:styleId="Sectiontitle">
    <w:name w:val="Section_title"/>
    <w:basedOn w:val="Normal"/>
    <w:next w:val="Normalaftertitle"/>
    <w:rsid w:val="00695F0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695F00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95F00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95F00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95F00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95F00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95F00"/>
  </w:style>
  <w:style w:type="paragraph" w:styleId="TOC6">
    <w:name w:val="toc 6"/>
    <w:basedOn w:val="TOC4"/>
    <w:semiHidden/>
    <w:rsid w:val="00695F00"/>
  </w:style>
  <w:style w:type="paragraph" w:styleId="TOC7">
    <w:name w:val="toc 7"/>
    <w:basedOn w:val="TOC4"/>
    <w:semiHidden/>
    <w:rsid w:val="00695F00"/>
  </w:style>
  <w:style w:type="paragraph" w:styleId="TOC8">
    <w:name w:val="toc 8"/>
    <w:basedOn w:val="TOC4"/>
    <w:semiHidden/>
    <w:rsid w:val="00695F00"/>
  </w:style>
  <w:style w:type="paragraph" w:customStyle="1" w:styleId="Rectitle">
    <w:name w:val="Rec_title"/>
    <w:basedOn w:val="Normal"/>
    <w:next w:val="Recref"/>
    <w:rsid w:val="00695F00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695F00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95F00"/>
  </w:style>
  <w:style w:type="paragraph" w:customStyle="1" w:styleId="Figuretitle">
    <w:name w:val="Figure_title"/>
    <w:basedOn w:val="Normal"/>
    <w:next w:val="Figure"/>
    <w:rsid w:val="00695F00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695F00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95F00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styleId="Hyperlink">
    <w:name w:val="Hyperlink"/>
    <w:basedOn w:val="DefaultParagraphFont"/>
    <w:rsid w:val="002C16EA"/>
    <w:rPr>
      <w:color w:val="0000FF"/>
      <w:u w:val="single"/>
    </w:rPr>
  </w:style>
  <w:style w:type="table" w:styleId="TableGrid">
    <w:name w:val="Table Grid"/>
    <w:basedOn w:val="TableNormal"/>
    <w:rsid w:val="002C16E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nnexNo">
    <w:name w:val="Annex_No"/>
    <w:basedOn w:val="Normal"/>
    <w:next w:val="Normal"/>
    <w:rsid w:val="002C16EA"/>
    <w:pPr>
      <w:keepNext/>
      <w:keepLines/>
      <w:spacing w:before="480" w:after="80"/>
      <w:jc w:val="center"/>
    </w:pPr>
    <w:rPr>
      <w:sz w:val="28"/>
    </w:rPr>
  </w:style>
  <w:style w:type="character" w:styleId="CommentReference">
    <w:name w:val="annotation reference"/>
    <w:basedOn w:val="DefaultParagraphFont"/>
    <w:rsid w:val="002C16EA"/>
    <w:rPr>
      <w:sz w:val="16"/>
    </w:rPr>
  </w:style>
  <w:style w:type="character" w:customStyle="1" w:styleId="FootnoteTextChar">
    <w:name w:val="Footnote Text Char"/>
    <w:basedOn w:val="DefaultParagraphFont"/>
    <w:link w:val="FootnoteText"/>
    <w:semiHidden/>
    <w:rsid w:val="006F7608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4.bin"/><Relationship Id="rId26" Type="http://schemas.openxmlformats.org/officeDocument/2006/relationships/image" Target="media/image4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11.bin"/><Relationship Id="rId33" Type="http://schemas.openxmlformats.org/officeDocument/2006/relationships/header" Target="header6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0.bin"/><Relationship Id="rId32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oleObject" Target="embeddings/oleObject9.bin"/><Relationship Id="rId28" Type="http://schemas.openxmlformats.org/officeDocument/2006/relationships/image" Target="media/image5.wmf"/><Relationship Id="rId10" Type="http://schemas.openxmlformats.org/officeDocument/2006/relationships/hyperlink" Target="http://www.itu.int/publ/R-REC/es" TargetMode="External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4.bin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2.bin"/><Relationship Id="rId30" Type="http://schemas.openxmlformats.org/officeDocument/2006/relationships/image" Target="media/image6.wmf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elaroqu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117</TotalTime>
  <Pages>8</Pages>
  <Words>2007</Words>
  <Characters>11442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delaroqu</dc:creator>
  <cp:keywords/>
  <dc:description/>
  <cp:lastModifiedBy>Santa Rita Fernandes, Augusto Cesar</cp:lastModifiedBy>
  <cp:revision>21</cp:revision>
  <cp:lastPrinted>2005-02-10T15:54:00Z</cp:lastPrinted>
  <dcterms:created xsi:type="dcterms:W3CDTF">2010-12-07T12:39:00Z</dcterms:created>
  <dcterms:modified xsi:type="dcterms:W3CDTF">2012-06-25T12:47:00Z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