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B569FF" w14:textId="77777777" w:rsidR="00A243E7" w:rsidRDefault="00A243E7" w:rsidP="00A243E7"/>
    <w:p w14:paraId="79B047D4" w14:textId="77777777" w:rsidR="00A243E7" w:rsidRDefault="00A243E7" w:rsidP="00A243E7"/>
    <w:p w14:paraId="7AC09B4E" w14:textId="77777777" w:rsidR="00A243E7" w:rsidRDefault="00A243E7" w:rsidP="00A243E7"/>
    <w:p w14:paraId="4A12F2F3" w14:textId="77777777" w:rsidR="00A243E7" w:rsidRDefault="00A243E7" w:rsidP="00A243E7"/>
    <w:p w14:paraId="53FF389B" w14:textId="77777777" w:rsidR="00A243E7" w:rsidRDefault="00A243E7" w:rsidP="00A243E7"/>
    <w:p w14:paraId="012B7478" w14:textId="77777777" w:rsidR="00A243E7" w:rsidRDefault="00A243E7" w:rsidP="00A243E7"/>
    <w:p w14:paraId="7B1FD11E" w14:textId="77777777" w:rsidR="00A243E7" w:rsidRDefault="00A243E7" w:rsidP="00A243E7"/>
    <w:p w14:paraId="0EA66E94" w14:textId="77777777" w:rsidR="00A243E7" w:rsidRDefault="00A243E7" w:rsidP="00A243E7"/>
    <w:p w14:paraId="21ECDA64" w14:textId="77777777" w:rsidR="00A243E7" w:rsidRDefault="00A243E7" w:rsidP="00A243E7"/>
    <w:p w14:paraId="1682F1C4" w14:textId="77777777" w:rsidR="00A243E7" w:rsidRDefault="00A243E7" w:rsidP="00A243E7"/>
    <w:p w14:paraId="3881B1F6" w14:textId="77777777" w:rsidR="00A243E7" w:rsidRDefault="00A243E7" w:rsidP="00A243E7"/>
    <w:p w14:paraId="62950853" w14:textId="77777777" w:rsidR="00A243E7" w:rsidRDefault="00A243E7" w:rsidP="00A243E7"/>
    <w:tbl>
      <w:tblPr>
        <w:tblW w:w="10089" w:type="dxa"/>
        <w:tblLook w:val="01E0" w:firstRow="1" w:lastRow="1" w:firstColumn="1" w:lastColumn="1" w:noHBand="0" w:noVBand="0"/>
      </w:tblPr>
      <w:tblGrid>
        <w:gridCol w:w="10089"/>
      </w:tblGrid>
      <w:tr w:rsidR="00A243E7" w:rsidRPr="004F65E4" w14:paraId="165C5644" w14:textId="77777777" w:rsidTr="00ED040B">
        <w:tc>
          <w:tcPr>
            <w:tcW w:w="10089" w:type="dxa"/>
          </w:tcPr>
          <w:p w14:paraId="0A6D4FD1" w14:textId="77777777" w:rsidR="00A243E7" w:rsidRPr="001511A6" w:rsidRDefault="00A243E7" w:rsidP="00ED040B">
            <w:pPr>
              <w:spacing w:before="380" w:line="280" w:lineRule="exact"/>
              <w:jc w:val="right"/>
              <w:rPr>
                <w:rFonts w:ascii="Tahoma" w:hAnsi="Tahoma" w:cs="Tahoma"/>
                <w:b/>
                <w:bCs/>
                <w:iCs/>
                <w:color w:val="243285"/>
                <w:sz w:val="32"/>
                <w:szCs w:val="32"/>
                <w:lang w:val="en-US"/>
              </w:rPr>
            </w:pPr>
          </w:p>
          <w:p w14:paraId="1E9BBB7A" w14:textId="77777777" w:rsidR="00A243E7" w:rsidRPr="004F65E4" w:rsidRDefault="00A243E7" w:rsidP="00ED040B">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F</w:t>
            </w:r>
            <w:r w:rsidRPr="004F65E4">
              <w:rPr>
                <w:rFonts w:ascii="Tahoma" w:hAnsi="Tahoma" w:cs="Tahoma"/>
                <w:b/>
                <w:bCs/>
                <w:iCs/>
                <w:color w:val="243285"/>
                <w:sz w:val="36"/>
                <w:szCs w:val="36"/>
              </w:rPr>
              <w:t>.</w:t>
            </w:r>
            <w:r>
              <w:rPr>
                <w:rFonts w:ascii="Tahoma" w:hAnsi="Tahoma" w:cs="Tahoma"/>
                <w:b/>
                <w:bCs/>
                <w:iCs/>
                <w:color w:val="243285"/>
                <w:sz w:val="36"/>
                <w:szCs w:val="36"/>
              </w:rPr>
              <w:t>1495-2</w:t>
            </w:r>
          </w:p>
          <w:p w14:paraId="5773F3C9" w14:textId="77777777" w:rsidR="00A243E7" w:rsidRPr="004F65E4" w:rsidRDefault="00A243E7" w:rsidP="00ED040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03</w:t>
            </w:r>
            <w:r w:rsidRPr="004F65E4">
              <w:rPr>
                <w:rFonts w:ascii="Tahoma" w:hAnsi="Tahoma" w:cs="Tahoma"/>
                <w:b/>
                <w:bCs/>
                <w:iCs/>
                <w:color w:val="243285"/>
                <w:szCs w:val="24"/>
              </w:rPr>
              <w:t>/</w:t>
            </w:r>
            <w:r>
              <w:rPr>
                <w:rFonts w:ascii="Tahoma" w:hAnsi="Tahoma" w:cs="Tahoma"/>
                <w:b/>
                <w:bCs/>
                <w:iCs/>
                <w:color w:val="243285"/>
                <w:szCs w:val="24"/>
              </w:rPr>
              <w:t>2012</w:t>
            </w:r>
            <w:r w:rsidRPr="004F65E4">
              <w:rPr>
                <w:rFonts w:ascii="Tahoma" w:hAnsi="Tahoma" w:cs="Tahoma"/>
                <w:b/>
                <w:bCs/>
                <w:iCs/>
                <w:color w:val="243285"/>
                <w:szCs w:val="24"/>
              </w:rPr>
              <w:t>)</w:t>
            </w:r>
          </w:p>
        </w:tc>
      </w:tr>
      <w:tr w:rsidR="00A243E7" w:rsidRPr="00B708D3" w14:paraId="46B180A3" w14:textId="77777777" w:rsidTr="00ED040B">
        <w:tc>
          <w:tcPr>
            <w:tcW w:w="10089" w:type="dxa"/>
          </w:tcPr>
          <w:p w14:paraId="6F6625EC" w14:textId="77777777" w:rsidR="00A243E7" w:rsidRPr="00B708D3" w:rsidRDefault="00A243E7" w:rsidP="00ED040B">
            <w:pPr>
              <w:spacing w:before="80" w:line="500" w:lineRule="exact"/>
              <w:jc w:val="right"/>
              <w:rPr>
                <w:rFonts w:ascii="Tahoma" w:hAnsi="Tahoma" w:cs="Tahoma"/>
                <w:b/>
                <w:bCs/>
                <w:iCs/>
                <w:color w:val="243285"/>
                <w:sz w:val="44"/>
                <w:szCs w:val="44"/>
                <w:lang w:val="en-US"/>
              </w:rPr>
            </w:pPr>
          </w:p>
          <w:p w14:paraId="3CC9C9EB" w14:textId="77777777" w:rsidR="00A243E7" w:rsidRPr="001511A6" w:rsidRDefault="00A243E7" w:rsidP="003E444C">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 xml:space="preserve">Interference criteria to protect the fixed service from time varying aggregate interference from other radiocommunication services sharing the 17.7-19.3 GHz band </w:t>
            </w:r>
            <w:r>
              <w:rPr>
                <w:rFonts w:ascii="Tahoma" w:hAnsi="Tahoma" w:cs="Tahoma"/>
                <w:b/>
                <w:bCs/>
                <w:iCs/>
                <w:color w:val="243285"/>
                <w:sz w:val="44"/>
                <w:szCs w:val="44"/>
                <w:lang w:val="en-US"/>
              </w:rPr>
              <w:br/>
              <w:t>on a co-primary basis</w:t>
            </w:r>
          </w:p>
          <w:p w14:paraId="24540787" w14:textId="77777777" w:rsidR="00A243E7" w:rsidRPr="001511A6" w:rsidRDefault="00A243E7" w:rsidP="00ED040B">
            <w:pPr>
              <w:spacing w:before="80" w:line="500" w:lineRule="exact"/>
              <w:jc w:val="right"/>
              <w:rPr>
                <w:rFonts w:ascii="Tahoma" w:hAnsi="Tahoma" w:cs="Tahoma"/>
                <w:b/>
                <w:bCs/>
                <w:iCs/>
                <w:color w:val="243285"/>
                <w:sz w:val="40"/>
                <w:szCs w:val="40"/>
                <w:lang w:val="en-US"/>
              </w:rPr>
            </w:pPr>
          </w:p>
        </w:tc>
      </w:tr>
      <w:tr w:rsidR="00A243E7" w14:paraId="10B604A7" w14:textId="77777777" w:rsidTr="00ED040B">
        <w:tc>
          <w:tcPr>
            <w:tcW w:w="10089" w:type="dxa"/>
          </w:tcPr>
          <w:p w14:paraId="22A0C8B4" w14:textId="77777777" w:rsidR="00A243E7" w:rsidRPr="00B708D3" w:rsidRDefault="00A243E7" w:rsidP="00ED040B">
            <w:pPr>
              <w:spacing w:before="80" w:line="280" w:lineRule="exact"/>
              <w:ind w:right="640"/>
              <w:rPr>
                <w:rFonts w:ascii="Tahoma" w:hAnsi="Tahoma" w:cs="Tahoma"/>
                <w:b/>
                <w:bCs/>
                <w:iCs/>
                <w:color w:val="243285"/>
                <w:sz w:val="32"/>
                <w:szCs w:val="32"/>
                <w:lang w:val="en-US"/>
              </w:rPr>
            </w:pPr>
          </w:p>
          <w:p w14:paraId="0D4072EB" w14:textId="77777777" w:rsidR="00A243E7" w:rsidRPr="00B708D3" w:rsidRDefault="00A243E7" w:rsidP="00ED040B">
            <w:pPr>
              <w:spacing w:before="80" w:line="280" w:lineRule="exact"/>
              <w:ind w:right="640"/>
              <w:rPr>
                <w:rFonts w:ascii="Tahoma" w:hAnsi="Tahoma" w:cs="Tahoma"/>
                <w:b/>
                <w:bCs/>
                <w:iCs/>
                <w:color w:val="243285"/>
                <w:sz w:val="32"/>
                <w:szCs w:val="32"/>
                <w:lang w:val="en-US"/>
              </w:rPr>
            </w:pPr>
          </w:p>
          <w:p w14:paraId="7C854675" w14:textId="77777777" w:rsidR="00A243E7" w:rsidRPr="00B708D3" w:rsidRDefault="00A243E7" w:rsidP="00ED040B">
            <w:pPr>
              <w:spacing w:before="80" w:after="180" w:line="360" w:lineRule="exact"/>
              <w:ind w:right="720"/>
              <w:rPr>
                <w:rFonts w:ascii="Tahoma" w:hAnsi="Tahoma" w:cs="Tahoma"/>
                <w:b/>
                <w:bCs/>
                <w:iCs/>
                <w:color w:val="243285"/>
                <w:sz w:val="36"/>
                <w:szCs w:val="36"/>
                <w:lang w:val="en-US"/>
              </w:rPr>
            </w:pPr>
          </w:p>
          <w:p w14:paraId="1FECF356" w14:textId="77777777" w:rsidR="00A243E7" w:rsidRPr="001511A6" w:rsidRDefault="00A243E7" w:rsidP="00ED040B">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Pr="001511A6">
              <w:rPr>
                <w:rFonts w:ascii="Tahoma" w:hAnsi="Tahoma" w:cs="Tahoma"/>
                <w:b/>
                <w:bCs/>
                <w:iCs/>
                <w:color w:val="243285"/>
                <w:sz w:val="36"/>
                <w:szCs w:val="36"/>
                <w:lang w:val="en-US"/>
              </w:rPr>
              <w:t xml:space="preserve"> Series</w:t>
            </w:r>
          </w:p>
          <w:p w14:paraId="603FF565" w14:textId="77777777" w:rsidR="00A243E7" w:rsidRPr="00E406BD" w:rsidRDefault="00A243E7" w:rsidP="00ED040B">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14:paraId="31DD2FCB" w14:textId="77777777" w:rsidR="00A243E7" w:rsidRDefault="00A243E7" w:rsidP="00A243E7">
      <w:pPr>
        <w:spacing w:before="80"/>
        <w:rPr>
          <w:i/>
          <w:sz w:val="22"/>
          <w:lang w:val="en-US"/>
        </w:rPr>
      </w:pPr>
    </w:p>
    <w:p w14:paraId="0D7F5046" w14:textId="77777777" w:rsidR="00A243E7" w:rsidRDefault="00A243E7" w:rsidP="00A243E7">
      <w:pPr>
        <w:spacing w:before="80"/>
        <w:rPr>
          <w:i/>
          <w:sz w:val="22"/>
          <w:lang w:val="en-US"/>
        </w:rPr>
      </w:pPr>
    </w:p>
    <w:p w14:paraId="68373284" w14:textId="77777777" w:rsidR="00A243E7" w:rsidRDefault="00A243E7" w:rsidP="00A243E7">
      <w:pPr>
        <w:spacing w:before="80"/>
        <w:rPr>
          <w:i/>
          <w:sz w:val="22"/>
          <w:lang w:val="en-US"/>
        </w:rPr>
      </w:pPr>
    </w:p>
    <w:p w14:paraId="2899EEC9" w14:textId="77777777" w:rsidR="00A243E7" w:rsidRDefault="00A243E7" w:rsidP="00A243E7">
      <w:pPr>
        <w:spacing w:before="80"/>
        <w:rPr>
          <w:i/>
          <w:sz w:val="22"/>
          <w:lang w:val="en-US"/>
        </w:rPr>
      </w:pPr>
    </w:p>
    <w:p w14:paraId="346A6006" w14:textId="77777777" w:rsidR="00A243E7" w:rsidRDefault="00A243E7" w:rsidP="00A243E7">
      <w:pPr>
        <w:spacing w:before="80"/>
        <w:rPr>
          <w:i/>
          <w:sz w:val="22"/>
          <w:lang w:val="en-US"/>
        </w:rPr>
      </w:pPr>
    </w:p>
    <w:p w14:paraId="6FF29933" w14:textId="77777777" w:rsidR="00A243E7" w:rsidRDefault="00A243E7" w:rsidP="00A243E7">
      <w:pPr>
        <w:spacing w:before="80"/>
        <w:rPr>
          <w:i/>
          <w:sz w:val="22"/>
          <w:lang w:val="en-US"/>
        </w:rPr>
      </w:pPr>
    </w:p>
    <w:p w14:paraId="48EC1D42" w14:textId="77777777" w:rsidR="00A243E7" w:rsidRDefault="00A243E7" w:rsidP="00A243E7">
      <w:pPr>
        <w:pStyle w:val="Equation"/>
        <w:tabs>
          <w:tab w:val="clear" w:pos="4820"/>
          <w:tab w:val="clear" w:pos="9639"/>
          <w:tab w:val="left" w:pos="1191"/>
          <w:tab w:val="left" w:pos="1588"/>
          <w:tab w:val="left" w:pos="1985"/>
        </w:tabs>
        <w:rPr>
          <w:rFonts w:ascii="Palatino Linotype" w:hAnsi="Palatino Linotype"/>
          <w:lang w:val="en-US"/>
        </w:rPr>
        <w:sectPr w:rsidR="00A243E7">
          <w:headerReference w:type="even" r:id="rId6"/>
          <w:headerReference w:type="default" r:id="rId7"/>
          <w:pgSz w:w="11907" w:h="16840" w:code="9"/>
          <w:pgMar w:top="1089" w:right="1089" w:bottom="284" w:left="1089" w:header="567" w:footer="284" w:gutter="0"/>
          <w:pgNumType w:start="1"/>
          <w:cols w:space="720"/>
        </w:sectPr>
      </w:pPr>
    </w:p>
    <w:p w14:paraId="252B3DD3" w14:textId="77777777" w:rsidR="00A243E7" w:rsidRPr="00586EF8" w:rsidRDefault="00A243E7" w:rsidP="00A243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06EFA11F" w14:textId="77777777" w:rsidR="00A243E7" w:rsidRDefault="00A243E7" w:rsidP="00A243E7">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3204D118" w14:textId="77777777" w:rsidR="00A243E7" w:rsidRDefault="00A243E7" w:rsidP="00A243E7">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DD64D59" w14:textId="77777777" w:rsidR="00A243E7" w:rsidRPr="00B714F3" w:rsidRDefault="00A243E7" w:rsidP="00A243E7">
      <w:pPr>
        <w:pStyle w:val="Heading1"/>
        <w:spacing w:before="680"/>
        <w:jc w:val="center"/>
        <w:rPr>
          <w:szCs w:val="24"/>
          <w:lang w:val="en-US"/>
        </w:rPr>
      </w:pPr>
      <w:r w:rsidRPr="00B714F3">
        <w:rPr>
          <w:szCs w:val="24"/>
          <w:lang w:val="en-US"/>
        </w:rPr>
        <w:t>Policy on Intellectual Property Right (IPR)</w:t>
      </w:r>
    </w:p>
    <w:p w14:paraId="2162420D" w14:textId="630F924E" w:rsidR="00A243E7" w:rsidRPr="00B714F3" w:rsidRDefault="00A243E7" w:rsidP="00A243E7">
      <w:pPr>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518CA3CB" w14:textId="77777777" w:rsidR="00A243E7" w:rsidRDefault="00A243E7" w:rsidP="00A243E7">
      <w:pPr>
        <w:jc w:val="center"/>
        <w:rPr>
          <w:sz w:val="22"/>
          <w:lang w:val="en-US"/>
        </w:rPr>
      </w:pPr>
    </w:p>
    <w:p w14:paraId="1B748FFE" w14:textId="77777777" w:rsidR="00A243E7" w:rsidRDefault="00A243E7" w:rsidP="00A243E7">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243E7" w:rsidRPr="00B708D3" w14:paraId="6E9FFF0B" w14:textId="77777777" w:rsidTr="00ED040B">
        <w:tc>
          <w:tcPr>
            <w:tcW w:w="9360" w:type="dxa"/>
            <w:gridSpan w:val="2"/>
          </w:tcPr>
          <w:p w14:paraId="61C4D6AB" w14:textId="77777777" w:rsidR="00A243E7" w:rsidRPr="00036EE3" w:rsidRDefault="00A243E7" w:rsidP="00ED040B">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576C3E54" w14:textId="77777777" w:rsidR="00A243E7" w:rsidRPr="00036EE3" w:rsidRDefault="00A243E7" w:rsidP="00ED04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A243E7" w:rsidRPr="00036EE3" w14:paraId="475F3AA4" w14:textId="77777777" w:rsidTr="00ED040B">
        <w:tc>
          <w:tcPr>
            <w:tcW w:w="1140" w:type="dxa"/>
          </w:tcPr>
          <w:p w14:paraId="0B0843BB" w14:textId="77777777" w:rsidR="00A243E7" w:rsidRPr="00036EE3" w:rsidRDefault="00A243E7" w:rsidP="00ED040B">
            <w:pPr>
              <w:spacing w:before="200" w:after="100"/>
              <w:ind w:left="57"/>
              <w:rPr>
                <w:b/>
                <w:bCs/>
                <w:sz w:val="20"/>
                <w:lang w:val="en-US"/>
              </w:rPr>
            </w:pPr>
            <w:r w:rsidRPr="00036EE3">
              <w:rPr>
                <w:b/>
                <w:bCs/>
                <w:sz w:val="20"/>
                <w:lang w:val="en-US"/>
              </w:rPr>
              <w:t>Series</w:t>
            </w:r>
          </w:p>
        </w:tc>
        <w:tc>
          <w:tcPr>
            <w:tcW w:w="8220" w:type="dxa"/>
          </w:tcPr>
          <w:p w14:paraId="571B24CA" w14:textId="77777777" w:rsidR="00A243E7" w:rsidRPr="00036EE3" w:rsidRDefault="00A243E7" w:rsidP="00ED04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243E7" w:rsidRPr="00036EE3" w14:paraId="458BC7CA" w14:textId="77777777" w:rsidTr="00ED040B">
        <w:tc>
          <w:tcPr>
            <w:tcW w:w="1140" w:type="dxa"/>
          </w:tcPr>
          <w:p w14:paraId="2B597694" w14:textId="77777777" w:rsidR="00A243E7" w:rsidRPr="00036EE3" w:rsidRDefault="00A243E7" w:rsidP="00ED040B">
            <w:pPr>
              <w:spacing w:before="30" w:after="30"/>
              <w:ind w:left="57"/>
              <w:rPr>
                <w:b/>
                <w:bCs/>
                <w:sz w:val="20"/>
                <w:lang w:val="en-US"/>
              </w:rPr>
            </w:pPr>
            <w:r w:rsidRPr="00036EE3">
              <w:rPr>
                <w:b/>
                <w:bCs/>
                <w:sz w:val="20"/>
                <w:lang w:val="en-US"/>
              </w:rPr>
              <w:t>BO</w:t>
            </w:r>
          </w:p>
        </w:tc>
        <w:tc>
          <w:tcPr>
            <w:tcW w:w="8220" w:type="dxa"/>
          </w:tcPr>
          <w:p w14:paraId="2226CCCE" w14:textId="77777777" w:rsidR="00A243E7" w:rsidRPr="00036EE3" w:rsidRDefault="00A243E7" w:rsidP="00ED04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243E7" w:rsidRPr="00B708D3" w14:paraId="1F60A81B" w14:textId="77777777" w:rsidTr="00ED040B">
        <w:tc>
          <w:tcPr>
            <w:tcW w:w="1140" w:type="dxa"/>
            <w:tcBorders>
              <w:bottom w:val="nil"/>
            </w:tcBorders>
          </w:tcPr>
          <w:p w14:paraId="1E7C58C4" w14:textId="77777777" w:rsidR="00A243E7" w:rsidRPr="00036EE3" w:rsidRDefault="00A243E7" w:rsidP="00ED040B">
            <w:pPr>
              <w:spacing w:before="30" w:after="30"/>
              <w:ind w:left="57"/>
              <w:rPr>
                <w:b/>
                <w:bCs/>
                <w:sz w:val="20"/>
                <w:lang w:val="en-US"/>
              </w:rPr>
            </w:pPr>
            <w:r w:rsidRPr="00036EE3">
              <w:rPr>
                <w:b/>
                <w:bCs/>
                <w:sz w:val="20"/>
                <w:lang w:val="en-US"/>
              </w:rPr>
              <w:t>BR</w:t>
            </w:r>
          </w:p>
        </w:tc>
        <w:tc>
          <w:tcPr>
            <w:tcW w:w="8220" w:type="dxa"/>
            <w:tcBorders>
              <w:bottom w:val="nil"/>
            </w:tcBorders>
          </w:tcPr>
          <w:p w14:paraId="23661C84" w14:textId="77777777" w:rsidR="00A243E7" w:rsidRPr="00036EE3" w:rsidRDefault="00A243E7" w:rsidP="00ED04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243E7" w:rsidRPr="00036EE3" w14:paraId="3B374293" w14:textId="77777777" w:rsidTr="00ED040B">
        <w:tc>
          <w:tcPr>
            <w:tcW w:w="1140" w:type="dxa"/>
            <w:tcBorders>
              <w:top w:val="nil"/>
              <w:bottom w:val="nil"/>
            </w:tcBorders>
            <w:shd w:val="clear" w:color="auto" w:fill="auto"/>
          </w:tcPr>
          <w:p w14:paraId="5A1DD778" w14:textId="77777777" w:rsidR="00A243E7" w:rsidRPr="007D224F" w:rsidRDefault="00A243E7" w:rsidP="00ED040B">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45DFF142" w14:textId="77777777" w:rsidR="00A243E7" w:rsidRPr="007D224F" w:rsidRDefault="00A243E7" w:rsidP="00ED04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243E7" w:rsidRPr="00ED2695" w14:paraId="3C2D8361" w14:textId="77777777" w:rsidTr="00ED040B">
        <w:tc>
          <w:tcPr>
            <w:tcW w:w="1140" w:type="dxa"/>
            <w:tcBorders>
              <w:top w:val="nil"/>
              <w:bottom w:val="nil"/>
            </w:tcBorders>
            <w:shd w:val="clear" w:color="auto" w:fill="auto"/>
          </w:tcPr>
          <w:p w14:paraId="5201D3D3" w14:textId="77777777" w:rsidR="00A243E7" w:rsidRPr="00ED2695" w:rsidRDefault="00A243E7" w:rsidP="00ED040B">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2B281800" w14:textId="77777777" w:rsidR="00A243E7" w:rsidRPr="00ED2695" w:rsidRDefault="00A243E7" w:rsidP="00ED04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243E7" w:rsidRPr="007D224F" w14:paraId="68AD95AA" w14:textId="77777777" w:rsidTr="00ED040B">
        <w:tc>
          <w:tcPr>
            <w:tcW w:w="1140" w:type="dxa"/>
            <w:tcBorders>
              <w:top w:val="nil"/>
              <w:bottom w:val="nil"/>
            </w:tcBorders>
            <w:shd w:val="clear" w:color="auto" w:fill="F3F3F3"/>
          </w:tcPr>
          <w:p w14:paraId="3915EFBD" w14:textId="77777777" w:rsidR="00A243E7" w:rsidRPr="007D224F" w:rsidRDefault="00A243E7" w:rsidP="00ED040B">
            <w:pPr>
              <w:spacing w:before="30" w:after="30"/>
              <w:ind w:left="57"/>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14:paraId="199AF4C9" w14:textId="77777777" w:rsidR="00A243E7" w:rsidRPr="007D224F" w:rsidRDefault="00A243E7" w:rsidP="00ED040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243E7" w:rsidRPr="00036EE3" w14:paraId="60D3186E" w14:textId="77777777" w:rsidTr="00ED040B">
        <w:tc>
          <w:tcPr>
            <w:tcW w:w="1140" w:type="dxa"/>
            <w:tcBorders>
              <w:top w:val="nil"/>
            </w:tcBorders>
            <w:shd w:val="clear" w:color="auto" w:fill="auto"/>
          </w:tcPr>
          <w:p w14:paraId="66538202" w14:textId="77777777" w:rsidR="00A243E7" w:rsidRPr="00906589" w:rsidRDefault="00A243E7" w:rsidP="00ED040B">
            <w:pPr>
              <w:spacing w:before="30" w:after="30"/>
              <w:ind w:left="57"/>
              <w:rPr>
                <w:b/>
                <w:bCs/>
                <w:sz w:val="20"/>
                <w:lang w:val="en-US"/>
              </w:rPr>
            </w:pPr>
            <w:r w:rsidRPr="00906589">
              <w:rPr>
                <w:b/>
                <w:bCs/>
                <w:sz w:val="20"/>
                <w:lang w:val="en-US"/>
              </w:rPr>
              <w:t>M</w:t>
            </w:r>
          </w:p>
        </w:tc>
        <w:tc>
          <w:tcPr>
            <w:tcW w:w="8220" w:type="dxa"/>
            <w:tcBorders>
              <w:top w:val="nil"/>
            </w:tcBorders>
            <w:shd w:val="clear" w:color="auto" w:fill="auto"/>
          </w:tcPr>
          <w:p w14:paraId="2CAF6C1B" w14:textId="77777777" w:rsidR="00A243E7" w:rsidRPr="00906589" w:rsidRDefault="00A243E7" w:rsidP="00ED04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243E7" w:rsidRPr="00036EE3" w14:paraId="1ABE0AE8" w14:textId="77777777" w:rsidTr="00ED040B">
        <w:tc>
          <w:tcPr>
            <w:tcW w:w="1140" w:type="dxa"/>
          </w:tcPr>
          <w:p w14:paraId="1D5D1EE3" w14:textId="77777777" w:rsidR="00A243E7" w:rsidRPr="00036EE3" w:rsidRDefault="00A243E7" w:rsidP="00ED040B">
            <w:pPr>
              <w:spacing w:before="30" w:after="30"/>
              <w:ind w:left="57"/>
              <w:rPr>
                <w:b/>
                <w:bCs/>
                <w:sz w:val="20"/>
                <w:lang w:val="fr-CH"/>
              </w:rPr>
            </w:pPr>
            <w:r w:rsidRPr="00036EE3">
              <w:rPr>
                <w:b/>
                <w:bCs/>
                <w:sz w:val="20"/>
                <w:lang w:val="fr-CH"/>
              </w:rPr>
              <w:t>P</w:t>
            </w:r>
          </w:p>
        </w:tc>
        <w:tc>
          <w:tcPr>
            <w:tcW w:w="8220" w:type="dxa"/>
          </w:tcPr>
          <w:p w14:paraId="1876A5A9" w14:textId="77777777" w:rsidR="00A243E7" w:rsidRPr="00036EE3" w:rsidRDefault="00A243E7" w:rsidP="00ED040B">
            <w:pPr>
              <w:spacing w:before="30" w:after="30"/>
              <w:rPr>
                <w:sz w:val="20"/>
                <w:lang w:val="fr-CH"/>
              </w:rPr>
            </w:pPr>
            <w:r w:rsidRPr="00036EE3">
              <w:rPr>
                <w:sz w:val="20"/>
                <w:lang w:val="fr-CH"/>
              </w:rPr>
              <w:t>Radiowave propagation</w:t>
            </w:r>
          </w:p>
        </w:tc>
      </w:tr>
      <w:tr w:rsidR="00A243E7" w:rsidRPr="00036EE3" w14:paraId="4C0DDE75" w14:textId="77777777" w:rsidTr="00ED040B">
        <w:tc>
          <w:tcPr>
            <w:tcW w:w="1140" w:type="dxa"/>
          </w:tcPr>
          <w:p w14:paraId="07B516D7" w14:textId="77777777" w:rsidR="00A243E7" w:rsidRPr="00036EE3" w:rsidRDefault="00A243E7" w:rsidP="00ED040B">
            <w:pPr>
              <w:spacing w:before="30" w:after="30"/>
              <w:ind w:left="57"/>
              <w:rPr>
                <w:b/>
                <w:bCs/>
                <w:sz w:val="20"/>
                <w:lang w:val="en-US"/>
              </w:rPr>
            </w:pPr>
            <w:r w:rsidRPr="00036EE3">
              <w:rPr>
                <w:b/>
                <w:bCs/>
                <w:sz w:val="20"/>
                <w:lang w:val="en-US"/>
              </w:rPr>
              <w:t>RA</w:t>
            </w:r>
          </w:p>
        </w:tc>
        <w:tc>
          <w:tcPr>
            <w:tcW w:w="8220" w:type="dxa"/>
          </w:tcPr>
          <w:p w14:paraId="4939DE31" w14:textId="77777777" w:rsidR="00A243E7" w:rsidRPr="00036EE3" w:rsidRDefault="00A243E7" w:rsidP="00ED040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243E7" w:rsidRPr="00036EE3" w14:paraId="3B371441" w14:textId="77777777" w:rsidTr="00ED040B">
        <w:tc>
          <w:tcPr>
            <w:tcW w:w="1140" w:type="dxa"/>
          </w:tcPr>
          <w:p w14:paraId="4B1C147B" w14:textId="77777777" w:rsidR="00A243E7" w:rsidRPr="00036EE3" w:rsidRDefault="00A243E7" w:rsidP="00ED040B">
            <w:pPr>
              <w:spacing w:before="30" w:after="30"/>
              <w:ind w:left="57"/>
              <w:rPr>
                <w:b/>
                <w:bCs/>
                <w:sz w:val="20"/>
                <w:lang w:val="en-US"/>
              </w:rPr>
            </w:pPr>
            <w:r w:rsidRPr="00036EE3">
              <w:rPr>
                <w:b/>
                <w:bCs/>
                <w:sz w:val="20"/>
                <w:lang w:val="en-US"/>
              </w:rPr>
              <w:t>RS</w:t>
            </w:r>
          </w:p>
        </w:tc>
        <w:tc>
          <w:tcPr>
            <w:tcW w:w="8220" w:type="dxa"/>
          </w:tcPr>
          <w:p w14:paraId="0F4A94B1" w14:textId="77777777" w:rsidR="00A243E7" w:rsidRPr="00036EE3" w:rsidRDefault="00A243E7" w:rsidP="00ED040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243E7" w:rsidRPr="00036EE3" w14:paraId="50F6A551" w14:textId="77777777" w:rsidTr="00ED040B">
        <w:tc>
          <w:tcPr>
            <w:tcW w:w="1140" w:type="dxa"/>
          </w:tcPr>
          <w:p w14:paraId="4B10E62B" w14:textId="77777777" w:rsidR="00A243E7" w:rsidRPr="00036EE3" w:rsidRDefault="00A243E7" w:rsidP="00ED040B">
            <w:pPr>
              <w:spacing w:before="30" w:after="30"/>
              <w:ind w:left="57"/>
              <w:rPr>
                <w:b/>
                <w:bCs/>
                <w:sz w:val="20"/>
                <w:lang w:val="en-US"/>
              </w:rPr>
            </w:pPr>
            <w:r w:rsidRPr="00036EE3">
              <w:rPr>
                <w:b/>
                <w:bCs/>
                <w:sz w:val="20"/>
                <w:lang w:val="en-US"/>
              </w:rPr>
              <w:t>S</w:t>
            </w:r>
          </w:p>
        </w:tc>
        <w:tc>
          <w:tcPr>
            <w:tcW w:w="8220" w:type="dxa"/>
          </w:tcPr>
          <w:p w14:paraId="625AD051" w14:textId="77777777" w:rsidR="00A243E7" w:rsidRPr="00036EE3" w:rsidRDefault="00A243E7" w:rsidP="00ED040B">
            <w:pPr>
              <w:spacing w:before="30" w:after="30"/>
              <w:rPr>
                <w:sz w:val="20"/>
                <w:lang w:val="en-US"/>
              </w:rPr>
            </w:pPr>
            <w:r w:rsidRPr="00036EE3">
              <w:rPr>
                <w:sz w:val="20"/>
                <w:lang w:val="en-US"/>
              </w:rPr>
              <w:t>Fixed-satellite service</w:t>
            </w:r>
          </w:p>
        </w:tc>
      </w:tr>
      <w:tr w:rsidR="00A243E7" w:rsidRPr="00036EE3" w14:paraId="4B17AF04" w14:textId="77777777" w:rsidTr="00ED040B">
        <w:tc>
          <w:tcPr>
            <w:tcW w:w="1140" w:type="dxa"/>
          </w:tcPr>
          <w:p w14:paraId="2130F1DD" w14:textId="77777777" w:rsidR="00A243E7" w:rsidRPr="00036EE3" w:rsidRDefault="00A243E7" w:rsidP="00ED040B">
            <w:pPr>
              <w:spacing w:before="30" w:after="30"/>
              <w:ind w:left="57"/>
              <w:rPr>
                <w:b/>
                <w:bCs/>
                <w:sz w:val="20"/>
                <w:lang w:val="en-US"/>
              </w:rPr>
            </w:pPr>
            <w:r w:rsidRPr="00036EE3">
              <w:rPr>
                <w:b/>
                <w:bCs/>
                <w:sz w:val="20"/>
                <w:lang w:val="en-US"/>
              </w:rPr>
              <w:t>SA</w:t>
            </w:r>
          </w:p>
        </w:tc>
        <w:tc>
          <w:tcPr>
            <w:tcW w:w="8220" w:type="dxa"/>
          </w:tcPr>
          <w:p w14:paraId="6DBB722A" w14:textId="77777777" w:rsidR="00A243E7" w:rsidRPr="00036EE3" w:rsidRDefault="00A243E7" w:rsidP="00ED040B">
            <w:pPr>
              <w:spacing w:before="30" w:after="30"/>
              <w:rPr>
                <w:sz w:val="20"/>
                <w:lang w:val="en-US"/>
              </w:rPr>
            </w:pPr>
            <w:r w:rsidRPr="00036EE3">
              <w:rPr>
                <w:sz w:val="20"/>
                <w:lang w:val="en-US"/>
              </w:rPr>
              <w:t>Space applications and meteorology</w:t>
            </w:r>
          </w:p>
        </w:tc>
      </w:tr>
      <w:tr w:rsidR="00A243E7" w:rsidRPr="00B708D3" w14:paraId="3E4D6F5C" w14:textId="77777777" w:rsidTr="00ED040B">
        <w:tc>
          <w:tcPr>
            <w:tcW w:w="1140" w:type="dxa"/>
            <w:tcBorders>
              <w:bottom w:val="nil"/>
            </w:tcBorders>
          </w:tcPr>
          <w:p w14:paraId="66A20CBC" w14:textId="77777777" w:rsidR="00A243E7" w:rsidRPr="00036EE3" w:rsidRDefault="00A243E7" w:rsidP="00ED040B">
            <w:pPr>
              <w:spacing w:before="30" w:after="30"/>
              <w:ind w:left="57"/>
              <w:rPr>
                <w:b/>
                <w:bCs/>
                <w:sz w:val="20"/>
                <w:lang w:val="en-US"/>
              </w:rPr>
            </w:pPr>
            <w:r w:rsidRPr="00036EE3">
              <w:rPr>
                <w:b/>
                <w:bCs/>
                <w:sz w:val="20"/>
                <w:lang w:val="en-US"/>
              </w:rPr>
              <w:t>SF</w:t>
            </w:r>
          </w:p>
        </w:tc>
        <w:tc>
          <w:tcPr>
            <w:tcW w:w="8220" w:type="dxa"/>
            <w:tcBorders>
              <w:bottom w:val="nil"/>
            </w:tcBorders>
          </w:tcPr>
          <w:p w14:paraId="71CF71CB" w14:textId="77777777" w:rsidR="00A243E7" w:rsidRPr="00036EE3" w:rsidRDefault="00A243E7" w:rsidP="00ED040B">
            <w:pPr>
              <w:spacing w:before="30" w:after="30"/>
              <w:rPr>
                <w:sz w:val="20"/>
                <w:lang w:val="en-US"/>
              </w:rPr>
            </w:pPr>
            <w:r w:rsidRPr="00036EE3">
              <w:rPr>
                <w:sz w:val="20"/>
                <w:lang w:val="en-US"/>
              </w:rPr>
              <w:t>Frequency sharing and coordination between fixed-satellite and fixed service systems</w:t>
            </w:r>
          </w:p>
        </w:tc>
      </w:tr>
      <w:tr w:rsidR="00A243E7" w:rsidRPr="00036EE3" w14:paraId="7095C048" w14:textId="77777777" w:rsidTr="00ED040B">
        <w:tc>
          <w:tcPr>
            <w:tcW w:w="1140" w:type="dxa"/>
            <w:tcBorders>
              <w:top w:val="nil"/>
              <w:bottom w:val="nil"/>
            </w:tcBorders>
            <w:shd w:val="clear" w:color="auto" w:fill="auto"/>
          </w:tcPr>
          <w:p w14:paraId="3BB5E494" w14:textId="77777777" w:rsidR="00A243E7" w:rsidRPr="000A4386" w:rsidRDefault="00A243E7" w:rsidP="00ED040B">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4C0ED888" w14:textId="77777777" w:rsidR="00A243E7" w:rsidRPr="000A4386" w:rsidRDefault="00A243E7" w:rsidP="00ED040B">
            <w:pPr>
              <w:spacing w:before="30" w:after="30"/>
              <w:rPr>
                <w:sz w:val="20"/>
                <w:lang w:val="en-US"/>
              </w:rPr>
            </w:pPr>
            <w:r w:rsidRPr="000A4386">
              <w:rPr>
                <w:sz w:val="20"/>
                <w:lang w:val="en-US"/>
              </w:rPr>
              <w:t>Spectrum management</w:t>
            </w:r>
          </w:p>
        </w:tc>
      </w:tr>
      <w:tr w:rsidR="00A243E7" w:rsidRPr="00036EE3" w14:paraId="6BEE771C" w14:textId="77777777" w:rsidTr="00ED040B">
        <w:tc>
          <w:tcPr>
            <w:tcW w:w="1140" w:type="dxa"/>
            <w:tcBorders>
              <w:top w:val="nil"/>
            </w:tcBorders>
          </w:tcPr>
          <w:p w14:paraId="3BFE730E" w14:textId="77777777" w:rsidR="00A243E7" w:rsidRPr="00036EE3" w:rsidRDefault="00A243E7" w:rsidP="00ED040B">
            <w:pPr>
              <w:spacing w:before="30" w:after="30"/>
              <w:ind w:left="57"/>
              <w:rPr>
                <w:b/>
                <w:bCs/>
                <w:sz w:val="20"/>
                <w:lang w:val="en-US"/>
              </w:rPr>
            </w:pPr>
            <w:r w:rsidRPr="00036EE3">
              <w:rPr>
                <w:b/>
                <w:bCs/>
                <w:sz w:val="20"/>
                <w:lang w:val="en-US"/>
              </w:rPr>
              <w:t>SNG</w:t>
            </w:r>
          </w:p>
        </w:tc>
        <w:tc>
          <w:tcPr>
            <w:tcW w:w="8220" w:type="dxa"/>
            <w:tcBorders>
              <w:top w:val="nil"/>
            </w:tcBorders>
          </w:tcPr>
          <w:p w14:paraId="2B90C551" w14:textId="77777777" w:rsidR="00A243E7" w:rsidRPr="00036EE3" w:rsidRDefault="00A243E7" w:rsidP="00ED040B">
            <w:pPr>
              <w:spacing w:before="30" w:after="30"/>
              <w:rPr>
                <w:sz w:val="20"/>
                <w:lang w:val="en-US"/>
              </w:rPr>
            </w:pPr>
            <w:r w:rsidRPr="00036EE3">
              <w:rPr>
                <w:sz w:val="20"/>
                <w:lang w:val="en-US"/>
              </w:rPr>
              <w:t>Satellite news gathering</w:t>
            </w:r>
          </w:p>
        </w:tc>
      </w:tr>
      <w:tr w:rsidR="00A243E7" w:rsidRPr="00B708D3" w14:paraId="47ED3425" w14:textId="77777777" w:rsidTr="00ED040B">
        <w:tc>
          <w:tcPr>
            <w:tcW w:w="1140" w:type="dxa"/>
          </w:tcPr>
          <w:p w14:paraId="365C6056" w14:textId="77777777" w:rsidR="00A243E7" w:rsidRPr="00036EE3" w:rsidRDefault="00A243E7" w:rsidP="00ED040B">
            <w:pPr>
              <w:spacing w:before="30" w:after="30"/>
              <w:ind w:left="57"/>
              <w:rPr>
                <w:b/>
                <w:bCs/>
                <w:sz w:val="20"/>
                <w:lang w:val="en-US"/>
              </w:rPr>
            </w:pPr>
            <w:r w:rsidRPr="00036EE3">
              <w:rPr>
                <w:b/>
                <w:bCs/>
                <w:sz w:val="20"/>
                <w:lang w:val="en-US"/>
              </w:rPr>
              <w:t>TF</w:t>
            </w:r>
          </w:p>
        </w:tc>
        <w:tc>
          <w:tcPr>
            <w:tcW w:w="8220" w:type="dxa"/>
          </w:tcPr>
          <w:p w14:paraId="10E8A421" w14:textId="77777777" w:rsidR="00A243E7" w:rsidRPr="00036EE3" w:rsidRDefault="00A243E7" w:rsidP="00ED040B">
            <w:pPr>
              <w:spacing w:before="30" w:after="30"/>
              <w:rPr>
                <w:sz w:val="20"/>
                <w:lang w:val="en-US"/>
              </w:rPr>
            </w:pPr>
            <w:r w:rsidRPr="00036EE3">
              <w:rPr>
                <w:sz w:val="20"/>
                <w:lang w:val="en-US"/>
              </w:rPr>
              <w:t>Time signals and frequency standards emissions</w:t>
            </w:r>
          </w:p>
        </w:tc>
      </w:tr>
      <w:tr w:rsidR="00A243E7" w:rsidRPr="00036EE3" w14:paraId="199F14AE" w14:textId="77777777" w:rsidTr="00ED040B">
        <w:tc>
          <w:tcPr>
            <w:tcW w:w="1140" w:type="dxa"/>
          </w:tcPr>
          <w:p w14:paraId="71F64515" w14:textId="77777777" w:rsidR="00A243E7" w:rsidRPr="00036EE3" w:rsidRDefault="00A243E7" w:rsidP="00ED040B">
            <w:pPr>
              <w:spacing w:before="30" w:after="30"/>
              <w:ind w:left="57"/>
              <w:rPr>
                <w:b/>
                <w:bCs/>
                <w:sz w:val="20"/>
                <w:lang w:val="en-US"/>
              </w:rPr>
            </w:pPr>
            <w:r w:rsidRPr="00036EE3">
              <w:rPr>
                <w:b/>
                <w:bCs/>
                <w:sz w:val="20"/>
                <w:lang w:val="en-US"/>
              </w:rPr>
              <w:t>V</w:t>
            </w:r>
          </w:p>
        </w:tc>
        <w:tc>
          <w:tcPr>
            <w:tcW w:w="8220" w:type="dxa"/>
          </w:tcPr>
          <w:p w14:paraId="0FC52813" w14:textId="77777777" w:rsidR="00A243E7" w:rsidRPr="00036EE3" w:rsidRDefault="00A243E7" w:rsidP="00ED040B">
            <w:pPr>
              <w:spacing w:before="30" w:after="180"/>
              <w:rPr>
                <w:sz w:val="20"/>
                <w:lang w:val="en-US"/>
              </w:rPr>
            </w:pPr>
            <w:r w:rsidRPr="00036EE3">
              <w:rPr>
                <w:sz w:val="20"/>
                <w:lang w:val="en-US"/>
              </w:rPr>
              <w:t>Vocabulary and related subjects</w:t>
            </w:r>
          </w:p>
        </w:tc>
      </w:tr>
    </w:tbl>
    <w:p w14:paraId="06E91E66" w14:textId="77777777" w:rsidR="00A243E7" w:rsidRPr="00036EE3" w:rsidRDefault="00A243E7" w:rsidP="00A243E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243E7" w14:paraId="0358AA4F" w14:textId="77777777" w:rsidTr="00ED040B">
        <w:tc>
          <w:tcPr>
            <w:tcW w:w="720" w:type="dxa"/>
          </w:tcPr>
          <w:p w14:paraId="383FD199" w14:textId="77777777" w:rsidR="00A243E7" w:rsidRDefault="00A243E7" w:rsidP="00ED040B">
            <w:pPr>
              <w:jc w:val="center"/>
              <w:rPr>
                <w:sz w:val="22"/>
                <w:lang w:val="en-US"/>
              </w:rPr>
            </w:pPr>
          </w:p>
        </w:tc>
      </w:tr>
    </w:tbl>
    <w:p w14:paraId="7B8A565D" w14:textId="77777777" w:rsidR="00A243E7" w:rsidRPr="00036EE3" w:rsidRDefault="00A243E7" w:rsidP="00A243E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243E7" w:rsidRPr="00B708D3" w14:paraId="3BA2D67D" w14:textId="77777777" w:rsidTr="00ED040B">
        <w:tc>
          <w:tcPr>
            <w:tcW w:w="9360" w:type="dxa"/>
          </w:tcPr>
          <w:p w14:paraId="05201A6F" w14:textId="77777777" w:rsidR="00A243E7" w:rsidRPr="002F5199" w:rsidRDefault="00A243E7" w:rsidP="00ED040B">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710B3BCB" w14:textId="77777777" w:rsidR="00A243E7" w:rsidRDefault="00A243E7" w:rsidP="00A243E7">
      <w:pPr>
        <w:spacing w:before="0"/>
        <w:jc w:val="center"/>
        <w:rPr>
          <w:sz w:val="22"/>
          <w:lang w:val="en-US"/>
        </w:rPr>
      </w:pPr>
    </w:p>
    <w:p w14:paraId="5701D866" w14:textId="77777777" w:rsidR="00A243E7" w:rsidRDefault="00A243E7" w:rsidP="00A243E7">
      <w:pPr>
        <w:spacing w:before="0"/>
        <w:jc w:val="center"/>
        <w:rPr>
          <w:sz w:val="22"/>
          <w:lang w:val="en-US"/>
        </w:rPr>
      </w:pPr>
    </w:p>
    <w:p w14:paraId="7CD7B26B" w14:textId="77777777" w:rsidR="00A243E7" w:rsidRPr="002F5199" w:rsidRDefault="00A243E7" w:rsidP="00A243E7">
      <w:pPr>
        <w:spacing w:before="0"/>
        <w:jc w:val="right"/>
        <w:rPr>
          <w:i/>
          <w:iCs/>
          <w:sz w:val="20"/>
          <w:lang w:val="en-US"/>
        </w:rPr>
      </w:pPr>
      <w:r w:rsidRPr="002F5199">
        <w:rPr>
          <w:i/>
          <w:iCs/>
          <w:sz w:val="20"/>
          <w:lang w:val="en-US"/>
        </w:rPr>
        <w:t>Electronic Publication</w:t>
      </w:r>
    </w:p>
    <w:p w14:paraId="79E4AC40" w14:textId="77777777" w:rsidR="00A243E7" w:rsidRPr="002F5199" w:rsidRDefault="00A243E7" w:rsidP="00A243E7">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12</w:t>
      </w:r>
    </w:p>
    <w:p w14:paraId="54B11D58" w14:textId="77777777" w:rsidR="00A243E7" w:rsidRDefault="00A243E7" w:rsidP="00A243E7">
      <w:pPr>
        <w:jc w:val="center"/>
        <w:rPr>
          <w:sz w:val="22"/>
          <w:lang w:val="en-US"/>
        </w:rPr>
      </w:pPr>
    </w:p>
    <w:p w14:paraId="29BF89D1" w14:textId="77777777" w:rsidR="00A243E7" w:rsidRPr="00470E28" w:rsidRDefault="00A243E7" w:rsidP="00A243E7">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12</w:t>
      </w:r>
    </w:p>
    <w:p w14:paraId="3416F064" w14:textId="77777777" w:rsidR="00A243E7" w:rsidRPr="00470E28" w:rsidRDefault="00A243E7" w:rsidP="00A243E7">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6F110185" w14:textId="77777777" w:rsidR="00A243E7" w:rsidRDefault="00A243E7" w:rsidP="00A243E7">
      <w:pPr>
        <w:spacing w:before="160"/>
        <w:rPr>
          <w:i/>
          <w:sz w:val="20"/>
          <w:lang w:val="en-US"/>
        </w:rPr>
        <w:sectPr w:rsidR="00A243E7"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7A74394F" w14:textId="77777777" w:rsidR="00A243E7" w:rsidRPr="00A243E7" w:rsidRDefault="00A243E7" w:rsidP="00A243E7">
      <w:pPr>
        <w:pStyle w:val="RecNo"/>
        <w:spacing w:before="0"/>
        <w:rPr>
          <w:lang w:val="en-US"/>
        </w:rPr>
      </w:pPr>
      <w:bookmarkStart w:id="2" w:name="irecnoe"/>
      <w:bookmarkEnd w:id="2"/>
      <w:r w:rsidRPr="00A243E7">
        <w:rPr>
          <w:lang w:val="en-US"/>
        </w:rPr>
        <w:lastRenderedPageBreak/>
        <w:t xml:space="preserve">RECOMMENDATION </w:t>
      </w:r>
      <w:r w:rsidRPr="00A243E7">
        <w:rPr>
          <w:rStyle w:val="href"/>
          <w:lang w:val="en-US"/>
        </w:rPr>
        <w:t>ITU-R F.1495-2</w:t>
      </w:r>
    </w:p>
    <w:p w14:paraId="57C77E6A" w14:textId="77777777" w:rsidR="00A243E7" w:rsidRPr="00845248" w:rsidRDefault="00A243E7" w:rsidP="00A243E7">
      <w:pPr>
        <w:pStyle w:val="Rectitle"/>
        <w:rPr>
          <w:lang w:val="en-US"/>
        </w:rPr>
      </w:pPr>
      <w:r w:rsidRPr="00845248">
        <w:rPr>
          <w:lang w:val="en-US"/>
        </w:rPr>
        <w:t xml:space="preserve">Interference criteria to protect the fixed service from time varying aggregate interference from other radiocommunication services sharing </w:t>
      </w:r>
      <w:r w:rsidRPr="00845248">
        <w:rPr>
          <w:lang w:val="en-US"/>
        </w:rPr>
        <w:br/>
        <w:t>the 17.7-19.3 GHz band on a co-primary basis</w:t>
      </w:r>
    </w:p>
    <w:p w14:paraId="1B4985F2" w14:textId="77777777" w:rsidR="00A243E7" w:rsidRDefault="00A243E7" w:rsidP="00A243E7">
      <w:pPr>
        <w:tabs>
          <w:tab w:val="right" w:pos="9498"/>
        </w:tabs>
        <w:rPr>
          <w:lang w:val="en-US"/>
        </w:rPr>
      </w:pPr>
    </w:p>
    <w:p w14:paraId="6EA45BCB" w14:textId="77777777" w:rsidR="00A243E7" w:rsidRPr="00C67D6F" w:rsidRDefault="00A243E7" w:rsidP="00A243E7">
      <w:pPr>
        <w:pStyle w:val="Recdate"/>
        <w:rPr>
          <w:lang w:val="en-US"/>
        </w:rPr>
      </w:pPr>
      <w:r w:rsidRPr="00A243E7">
        <w:rPr>
          <w:lang w:val="en-US"/>
        </w:rPr>
        <w:t>(2000-2007-2012)</w:t>
      </w:r>
    </w:p>
    <w:p w14:paraId="32627481" w14:textId="77777777" w:rsidR="00A243E7" w:rsidRDefault="00A243E7" w:rsidP="00A243E7">
      <w:pPr>
        <w:rPr>
          <w:lang w:val="en-US" w:eastAsia="ja-JP"/>
        </w:rPr>
      </w:pPr>
    </w:p>
    <w:p w14:paraId="061C5926" w14:textId="77777777" w:rsidR="00A243E7" w:rsidRPr="00A243E7" w:rsidRDefault="00A243E7" w:rsidP="00A243E7">
      <w:pPr>
        <w:pStyle w:val="HeadingSum"/>
        <w:rPr>
          <w:lang w:val="en-US" w:eastAsia="ja-JP"/>
        </w:rPr>
      </w:pPr>
      <w:r w:rsidRPr="00A243E7">
        <w:rPr>
          <w:lang w:val="en-US" w:eastAsia="ja-JP"/>
        </w:rPr>
        <w:t>Scope</w:t>
      </w:r>
    </w:p>
    <w:p w14:paraId="0894C9F2" w14:textId="77777777" w:rsidR="00A243E7" w:rsidRPr="00A243E7" w:rsidRDefault="00A243E7" w:rsidP="00A243E7">
      <w:pPr>
        <w:pStyle w:val="Summary"/>
        <w:rPr>
          <w:lang w:val="en-US"/>
        </w:rPr>
      </w:pPr>
      <w:r w:rsidRPr="00A243E7">
        <w:rPr>
          <w:lang w:val="en-US"/>
        </w:rPr>
        <w:t>This Recommendation defines the interference criteria necessary to protect the fixed service from time varying aggregate interference from other radiocommunication services sharing the 17.7-19.3 GHz band on a co-primary basis.</w:t>
      </w:r>
    </w:p>
    <w:p w14:paraId="4F13F2CC" w14:textId="77777777" w:rsidR="00A243E7" w:rsidRPr="00A243E7" w:rsidRDefault="00A243E7" w:rsidP="00A243E7">
      <w:pPr>
        <w:pStyle w:val="Normalaftertitle"/>
        <w:rPr>
          <w:lang w:val="en-US"/>
        </w:rPr>
      </w:pPr>
      <w:r w:rsidRPr="00A243E7">
        <w:rPr>
          <w:lang w:val="en-US"/>
        </w:rPr>
        <w:t>The ITU Radiocommunication Assembly,</w:t>
      </w:r>
    </w:p>
    <w:p w14:paraId="4B566A8E" w14:textId="77777777" w:rsidR="00A243E7" w:rsidRPr="00845248" w:rsidRDefault="00A243E7" w:rsidP="00A243E7">
      <w:pPr>
        <w:pStyle w:val="Call"/>
        <w:rPr>
          <w:lang w:val="en-US"/>
        </w:rPr>
      </w:pPr>
      <w:r w:rsidRPr="00845248">
        <w:rPr>
          <w:lang w:val="en-US"/>
        </w:rPr>
        <w:t>considering</w:t>
      </w:r>
    </w:p>
    <w:p w14:paraId="4D429962" w14:textId="77777777" w:rsidR="00A243E7" w:rsidRPr="002B4D17" w:rsidRDefault="00A243E7" w:rsidP="00E81772">
      <w:pPr>
        <w:tabs>
          <w:tab w:val="left" w:pos="794"/>
        </w:tabs>
        <w:jc w:val="both"/>
      </w:pPr>
      <w:r w:rsidRPr="002B4D17">
        <w:t>a)</w:t>
      </w:r>
      <w:r w:rsidRPr="002B4D17">
        <w:tab/>
        <w:t>that it is desirable to determine the protection criteria of FS systems operating in the 18 GHz (17.7-19.3 GHz) band with respect to aggregate interference from systems operating co</w:t>
      </w:r>
      <w:r w:rsidRPr="002B4D17">
        <w:noBreakHyphen/>
        <w:t>primary, especially short-term interference;</w:t>
      </w:r>
    </w:p>
    <w:p w14:paraId="0F032F9A" w14:textId="77777777" w:rsidR="00A243E7" w:rsidRPr="002B4D17" w:rsidRDefault="00A243E7" w:rsidP="00E81772">
      <w:pPr>
        <w:tabs>
          <w:tab w:val="left" w:pos="794"/>
        </w:tabs>
        <w:jc w:val="both"/>
      </w:pPr>
      <w:r w:rsidRPr="002B4D17">
        <w:t>b)</w:t>
      </w:r>
      <w:r w:rsidRPr="002B4D17">
        <w:tab/>
        <w:t xml:space="preserve">that in interference situations involving non-GSO space stations, FS systems are potentially exposed to high levels of interference for short periods of time which could affect the error performance objectives (EPO) or availability </w:t>
      </w:r>
      <w:r>
        <w:t xml:space="preserve">performance </w:t>
      </w:r>
      <w:r w:rsidRPr="002B4D17">
        <w:t>objectives (APO) of these systems;</w:t>
      </w:r>
    </w:p>
    <w:p w14:paraId="0845E91C" w14:textId="77777777" w:rsidR="00A243E7" w:rsidRPr="002B4D17" w:rsidRDefault="00A243E7" w:rsidP="00E81772">
      <w:pPr>
        <w:tabs>
          <w:tab w:val="left" w:pos="794"/>
        </w:tabs>
        <w:jc w:val="both"/>
      </w:pPr>
      <w:r w:rsidRPr="002B4D17">
        <w:t>c)</w:t>
      </w:r>
      <w:r w:rsidRPr="002B4D17">
        <w:tab/>
        <w:t>that the FS link design in the 18 GHz band is controlled by rain attenuation, which can be mo</w:t>
      </w:r>
      <w:r>
        <w:t>delled using Recommendation ITU-</w:t>
      </w:r>
      <w:r w:rsidRPr="002B4D17">
        <w:t>R P.530;</w:t>
      </w:r>
    </w:p>
    <w:p w14:paraId="7D0C998E" w14:textId="77777777" w:rsidR="00A243E7" w:rsidRPr="002B4D17" w:rsidRDefault="00A243E7" w:rsidP="00E81772">
      <w:pPr>
        <w:tabs>
          <w:tab w:val="left" w:pos="794"/>
        </w:tabs>
        <w:jc w:val="both"/>
      </w:pPr>
      <w:r w:rsidRPr="002B4D17">
        <w:t>d)</w:t>
      </w:r>
      <w:r w:rsidRPr="002B4D17">
        <w:tab/>
        <w:t>that in the 18 GHz band, some administrations employ automatic transmit power control (ATPC) on some FS links and that the use of ATPC will increase the susceptibility of FS systems especially with regard to short-term interference;</w:t>
      </w:r>
    </w:p>
    <w:p w14:paraId="676BDA3D" w14:textId="77777777" w:rsidR="00A243E7" w:rsidRPr="002B4D17" w:rsidRDefault="00A243E7" w:rsidP="00E81772">
      <w:pPr>
        <w:tabs>
          <w:tab w:val="left" w:pos="794"/>
        </w:tabs>
        <w:jc w:val="both"/>
      </w:pPr>
      <w:r w:rsidRPr="002B4D17">
        <w:t>e)</w:t>
      </w:r>
      <w:r w:rsidRPr="002B4D17">
        <w:tab/>
        <w:t>that some FS systems employing small net fade margins may not be fully protected from interference from non-GSO satellite systems without unduly constraining those services;</w:t>
      </w:r>
    </w:p>
    <w:p w14:paraId="2FA04787" w14:textId="77777777" w:rsidR="00A243E7" w:rsidRPr="002B4D17" w:rsidRDefault="00A243E7" w:rsidP="00E81772">
      <w:pPr>
        <w:tabs>
          <w:tab w:val="left" w:pos="794"/>
        </w:tabs>
        <w:jc w:val="both"/>
      </w:pPr>
      <w:r w:rsidRPr="002B4D17">
        <w:t>f)</w:t>
      </w:r>
      <w:r w:rsidRPr="002B4D17">
        <w:tab/>
        <w:t>that typical FS links using ATPC will require tighter protection criteria than those needed for FS links with large fade margin that do not use ATPC;</w:t>
      </w:r>
    </w:p>
    <w:p w14:paraId="32E4D911" w14:textId="77777777" w:rsidR="00A243E7" w:rsidRPr="002B4D17" w:rsidRDefault="00A243E7" w:rsidP="00E81772">
      <w:pPr>
        <w:tabs>
          <w:tab w:val="left" w:pos="794"/>
        </w:tabs>
        <w:jc w:val="both"/>
      </w:pPr>
      <w:r w:rsidRPr="002B4D17">
        <w:t>g)</w:t>
      </w:r>
      <w:r w:rsidRPr="002B4D17">
        <w:tab/>
        <w:t xml:space="preserve">that the generic long-term criterion assumed for not exceeding the maximum APO </w:t>
      </w:r>
      <w:r w:rsidRPr="00C3767D">
        <w:t xml:space="preserve">apportionment </w:t>
      </w:r>
      <w:r w:rsidRPr="002B4D17">
        <w:t xml:space="preserve">(10%) due to other services sharing the same frequency band on a co-primary basis, is defined as </w:t>
      </w:r>
      <w:r w:rsidRPr="002B4D17">
        <w:rPr>
          <w:i/>
          <w:iCs/>
        </w:rPr>
        <w:t>I</w:t>
      </w:r>
      <w:r w:rsidRPr="002B4D17">
        <w:t>/</w:t>
      </w:r>
      <w:r w:rsidRPr="002B4D17">
        <w:rPr>
          <w:i/>
          <w:iCs/>
        </w:rPr>
        <w:t>N</w:t>
      </w:r>
      <w:r w:rsidRPr="002B4D17">
        <w:t xml:space="preserve"> at the input of the FS receiver not exceeding −10 dB for more than 20% of the year (see Recommendation ITU-R F.758); however, when time varying levels of interference are concerned, additional care should be taken for evaluating shorter duration interference contributions;</w:t>
      </w:r>
    </w:p>
    <w:p w14:paraId="10681E8C" w14:textId="77777777" w:rsidR="00A243E7" w:rsidRPr="002B4D17" w:rsidRDefault="00A243E7" w:rsidP="00E81772">
      <w:pPr>
        <w:tabs>
          <w:tab w:val="left" w:pos="794"/>
        </w:tabs>
        <w:jc w:val="both"/>
      </w:pPr>
      <w:r w:rsidRPr="002B4D17">
        <w:rPr>
          <w:lang w:eastAsia="ja-JP"/>
        </w:rPr>
        <w:t>h</w:t>
      </w:r>
      <w:r w:rsidRPr="002B4D17">
        <w:t>)</w:t>
      </w:r>
      <w:r w:rsidRPr="002B4D17">
        <w:tab/>
        <w:t xml:space="preserve">that it is desirable to derive the aggregate FS protection criteria based on the calculation of the allowable </w:t>
      </w:r>
      <w:r w:rsidRPr="00C3767D">
        <w:t>apportionment</w:t>
      </w:r>
      <w:r w:rsidRPr="002B4D17">
        <w:t xml:space="preserve"> of EPO due to interference, considering typical FS links using ATPC features;</w:t>
      </w:r>
    </w:p>
    <w:p w14:paraId="05688B46" w14:textId="77777777" w:rsidR="00A243E7" w:rsidRPr="002B4D17" w:rsidRDefault="00A243E7" w:rsidP="00E81772">
      <w:pPr>
        <w:tabs>
          <w:tab w:val="left" w:pos="794"/>
        </w:tabs>
        <w:jc w:val="both"/>
      </w:pPr>
      <w:r w:rsidRPr="002B4D17">
        <w:rPr>
          <w:lang w:eastAsia="ja-JP"/>
        </w:rPr>
        <w:t>j</w:t>
      </w:r>
      <w:r w:rsidRPr="002B4D17">
        <w:t>)</w:t>
      </w:r>
      <w:r w:rsidRPr="002B4D17">
        <w:tab/>
        <w:t xml:space="preserve">that the determination of the maximum </w:t>
      </w:r>
      <w:r w:rsidRPr="00C3767D">
        <w:t>apportionment</w:t>
      </w:r>
      <w:r w:rsidRPr="002B4D17">
        <w:t xml:space="preserve"> of EPO (10%) allowable to interference from other services sharing the same frequency band on a co-primary basis is given in Recommendation ITU</w:t>
      </w:r>
      <w:r w:rsidRPr="002B4D17">
        <w:noBreakHyphen/>
        <w:t>R F.1094;</w:t>
      </w:r>
    </w:p>
    <w:p w14:paraId="16B3A891" w14:textId="77777777" w:rsidR="00A243E7" w:rsidRPr="002B4D17" w:rsidRDefault="00A243E7" w:rsidP="00E81772">
      <w:pPr>
        <w:tabs>
          <w:tab w:val="left" w:pos="794"/>
        </w:tabs>
        <w:jc w:val="both"/>
      </w:pPr>
      <w:r w:rsidRPr="002B4D17">
        <w:rPr>
          <w:lang w:eastAsia="ja-JP"/>
        </w:rPr>
        <w:t>k</w:t>
      </w:r>
      <w:r w:rsidRPr="002B4D17">
        <w:t>)</w:t>
      </w:r>
      <w:r w:rsidRPr="002B4D17">
        <w:tab/>
        <w:t>that Recommendation ITU</w:t>
      </w:r>
      <w:r w:rsidRPr="002B4D17">
        <w:noBreakHyphen/>
        <w:t>R F.1668 gives the EPO allowable for real digital fixed wireless links used in 27</w:t>
      </w:r>
      <w:r w:rsidRPr="002B4D17">
        <w:rPr>
          <w:rFonts w:ascii="Tms Rmn" w:hAnsi="Tms Rmn"/>
          <w:sz w:val="12"/>
        </w:rPr>
        <w:t> </w:t>
      </w:r>
      <w:r w:rsidRPr="002B4D17">
        <w:t>500 km hypothetical reference paths (HRP) and connections;</w:t>
      </w:r>
    </w:p>
    <w:p w14:paraId="055675A2" w14:textId="77777777" w:rsidR="00A243E7" w:rsidRPr="002B4D17" w:rsidRDefault="00A243E7" w:rsidP="00E81772">
      <w:pPr>
        <w:tabs>
          <w:tab w:val="left" w:pos="794"/>
        </w:tabs>
        <w:jc w:val="both"/>
      </w:pPr>
      <w:r w:rsidRPr="002B4D17">
        <w:rPr>
          <w:lang w:eastAsia="ja-JP"/>
        </w:rPr>
        <w:t>l</w:t>
      </w:r>
      <w:r w:rsidRPr="002B4D17">
        <w:t>)</w:t>
      </w:r>
      <w:r w:rsidRPr="002B4D17">
        <w:tab/>
        <w:t>that the allowable degradation in performance of FS systems due to interference from other services sharing the same frequency bands on a primary basis, expressed as a permissible fraction of the total EPO is defined in Recommendation ITU</w:t>
      </w:r>
      <w:r w:rsidRPr="002B4D17">
        <w:noBreakHyphen/>
        <w:t>R F.1565 for real digital fixed wireless links used in the international and national portions of a 27</w:t>
      </w:r>
      <w:r w:rsidRPr="002B4D17">
        <w:rPr>
          <w:rFonts w:ascii="Tms Rmn" w:hAnsi="Tms Rmn"/>
          <w:sz w:val="12"/>
        </w:rPr>
        <w:t> </w:t>
      </w:r>
      <w:r w:rsidRPr="002B4D17">
        <w:t>500 km HRP at or above the primary rate,</w:t>
      </w:r>
    </w:p>
    <w:p w14:paraId="60EB68BE" w14:textId="77777777" w:rsidR="00A243E7" w:rsidRPr="00845248" w:rsidRDefault="00A243E7" w:rsidP="00A243E7">
      <w:pPr>
        <w:pStyle w:val="Call"/>
        <w:rPr>
          <w:lang w:val="en-US"/>
        </w:rPr>
      </w:pPr>
      <w:r w:rsidRPr="00845248">
        <w:rPr>
          <w:lang w:val="en-US"/>
        </w:rPr>
        <w:t>noting</w:t>
      </w:r>
    </w:p>
    <w:p w14:paraId="421E3743" w14:textId="77777777" w:rsidR="00A243E7" w:rsidRPr="002B4D17" w:rsidRDefault="00A243E7" w:rsidP="00E81772">
      <w:pPr>
        <w:tabs>
          <w:tab w:val="left" w:pos="794"/>
        </w:tabs>
        <w:jc w:val="both"/>
      </w:pPr>
      <w:r w:rsidRPr="002B4D17">
        <w:t>a)</w:t>
      </w:r>
      <w:r w:rsidRPr="002B4D17">
        <w:tab/>
        <w:t>that the application of the criteria in this Recommendation may be subject to further consideration within sharing studies with other services;</w:t>
      </w:r>
    </w:p>
    <w:p w14:paraId="1C3AD0F2" w14:textId="77777777" w:rsidR="00A243E7" w:rsidRPr="002B4D17" w:rsidRDefault="00A243E7" w:rsidP="00E81772">
      <w:pPr>
        <w:tabs>
          <w:tab w:val="left" w:pos="794"/>
        </w:tabs>
        <w:jc w:val="both"/>
      </w:pPr>
      <w:r w:rsidRPr="002B4D17">
        <w:t>b)</w:t>
      </w:r>
      <w:r w:rsidRPr="002B4D17">
        <w:tab/>
        <w:t>that any further development of this Recommendation that may be necessary is unlikely to require further study of the appropriateness of the non-GSO satellite FSS pfd limits in this band,</w:t>
      </w:r>
    </w:p>
    <w:p w14:paraId="176E91F5" w14:textId="77777777" w:rsidR="00A243E7" w:rsidRPr="00845248" w:rsidRDefault="00A243E7" w:rsidP="00A243E7">
      <w:pPr>
        <w:pStyle w:val="Call"/>
        <w:rPr>
          <w:lang w:val="en-US"/>
        </w:rPr>
      </w:pPr>
      <w:r w:rsidRPr="00845248">
        <w:rPr>
          <w:lang w:val="en-US"/>
        </w:rPr>
        <w:t>recommends</w:t>
      </w:r>
    </w:p>
    <w:p w14:paraId="07E226C5" w14:textId="77777777" w:rsidR="00A243E7" w:rsidRPr="00845248" w:rsidRDefault="00A243E7" w:rsidP="00E81772">
      <w:pPr>
        <w:tabs>
          <w:tab w:val="left" w:pos="794"/>
        </w:tabs>
        <w:jc w:val="both"/>
      </w:pPr>
      <w:r w:rsidRPr="00845248">
        <w:rPr>
          <w:b/>
          <w:bCs/>
        </w:rPr>
        <w:t>1</w:t>
      </w:r>
      <w:r w:rsidRPr="00845248">
        <w:tab/>
        <w:t>that the following interference criteria should be used to protect the FS from time varying aggregate interference from other services in the 17.7-19.3 GHz band on a co-primary basis:</w:t>
      </w:r>
    </w:p>
    <w:p w14:paraId="09F600FA" w14:textId="77777777" w:rsidR="00A243E7" w:rsidRPr="00845248" w:rsidRDefault="00A243E7" w:rsidP="00E81772">
      <w:pPr>
        <w:tabs>
          <w:tab w:val="left" w:pos="794"/>
        </w:tabs>
        <w:jc w:val="both"/>
      </w:pPr>
      <w:r w:rsidRPr="00845248">
        <w:rPr>
          <w:b/>
          <w:bCs/>
        </w:rPr>
        <w:t>1.1</w:t>
      </w:r>
      <w:r w:rsidRPr="00845248">
        <w:tab/>
        <w:t xml:space="preserve">for the long-term evaluation of the APO apportionment, the </w:t>
      </w:r>
      <w:r w:rsidRPr="00845248">
        <w:rPr>
          <w:i/>
          <w:iCs/>
        </w:rPr>
        <w:t>I</w:t>
      </w:r>
      <w:r w:rsidRPr="00845248">
        <w:t>/</w:t>
      </w:r>
      <w:r w:rsidRPr="00845248">
        <w:rPr>
          <w:i/>
          <w:iCs/>
        </w:rPr>
        <w:t>N</w:t>
      </w:r>
      <w:r w:rsidRPr="00845248">
        <w:t xml:space="preserve"> at the input of the FS receiver should be considered not exceeding –10 dB for more than </w:t>
      </w:r>
      <w:r w:rsidR="00E81772">
        <w:t xml:space="preserve">20% </w:t>
      </w:r>
      <w:r w:rsidRPr="00845248">
        <w:t>of the time in any year (Note</w:t>
      </w:r>
      <w:r>
        <w:t> </w:t>
      </w:r>
      <w:r w:rsidRPr="00845248">
        <w:t>1);</w:t>
      </w:r>
    </w:p>
    <w:p w14:paraId="3D902D25" w14:textId="77777777" w:rsidR="00A243E7" w:rsidRPr="00845248" w:rsidRDefault="00A243E7" w:rsidP="00E81772">
      <w:pPr>
        <w:tabs>
          <w:tab w:val="left" w:pos="794"/>
        </w:tabs>
        <w:jc w:val="both"/>
      </w:pPr>
      <w:r w:rsidRPr="00845248">
        <w:rPr>
          <w:b/>
        </w:rPr>
        <w:t>1.2</w:t>
      </w:r>
      <w:r w:rsidRPr="00845248">
        <w:tab/>
        <w:t xml:space="preserve">for the evaluation of the long-term interference contribution to EPO apportionment, the same assumption of </w:t>
      </w:r>
      <w:r w:rsidRPr="00845248">
        <w:rPr>
          <w:i/>
          <w:iCs/>
        </w:rPr>
        <w:t>recommends</w:t>
      </w:r>
      <w:r w:rsidRPr="00845248">
        <w:t xml:space="preserve"> 1.1 should be used also for any month;</w:t>
      </w:r>
    </w:p>
    <w:p w14:paraId="5F20B25E" w14:textId="77777777" w:rsidR="00A243E7" w:rsidRPr="00845248" w:rsidRDefault="00A243E7" w:rsidP="00E81772">
      <w:pPr>
        <w:tabs>
          <w:tab w:val="left" w:pos="794"/>
        </w:tabs>
        <w:jc w:val="both"/>
      </w:pPr>
      <w:r w:rsidRPr="00845248">
        <w:rPr>
          <w:b/>
          <w:bCs/>
        </w:rPr>
        <w:t>1.3</w:t>
      </w:r>
      <w:r w:rsidRPr="00845248">
        <w:tab/>
        <w:t xml:space="preserve">for the short-term, the </w:t>
      </w:r>
      <w:r w:rsidRPr="00845248">
        <w:rPr>
          <w:i/>
          <w:iCs/>
        </w:rPr>
        <w:t>I</w:t>
      </w:r>
      <w:r w:rsidRPr="00845248">
        <w:t>/</w:t>
      </w:r>
      <w:r w:rsidRPr="00845248">
        <w:rPr>
          <w:i/>
          <w:iCs/>
        </w:rPr>
        <w:t>N</w:t>
      </w:r>
      <w:r w:rsidRPr="00845248">
        <w:t xml:space="preserve"> at the input of the FS receiver should not exceed </w:t>
      </w:r>
      <w:r w:rsidRPr="00845248">
        <w:rPr>
          <w:lang w:val="en-US"/>
        </w:rPr>
        <w:t>+</w:t>
      </w:r>
      <w:r w:rsidRPr="00845248">
        <w:t xml:space="preserve">14 dB for more than </w:t>
      </w:r>
      <w:r w:rsidR="00E81772">
        <w:t xml:space="preserve">0.01% </w:t>
      </w:r>
      <w:r w:rsidRPr="00845248">
        <w:t>of the time in any month;</w:t>
      </w:r>
    </w:p>
    <w:p w14:paraId="04679665" w14:textId="77777777" w:rsidR="00A243E7" w:rsidRPr="00845248" w:rsidRDefault="00A243E7" w:rsidP="00E81772">
      <w:pPr>
        <w:tabs>
          <w:tab w:val="left" w:pos="794"/>
        </w:tabs>
        <w:jc w:val="both"/>
      </w:pPr>
      <w:r w:rsidRPr="00845248">
        <w:rPr>
          <w:b/>
          <w:bCs/>
        </w:rPr>
        <w:t>1.4</w:t>
      </w:r>
      <w:r w:rsidRPr="00845248">
        <w:tab/>
        <w:t xml:space="preserve">for the short-term, the </w:t>
      </w:r>
      <w:r w:rsidRPr="00845248">
        <w:rPr>
          <w:i/>
          <w:iCs/>
        </w:rPr>
        <w:t>I</w:t>
      </w:r>
      <w:r w:rsidRPr="00845248">
        <w:t>/</w:t>
      </w:r>
      <w:r w:rsidRPr="00845248">
        <w:rPr>
          <w:i/>
          <w:iCs/>
        </w:rPr>
        <w:t>N</w:t>
      </w:r>
      <w:r w:rsidRPr="00845248">
        <w:t xml:space="preserve"> at the input of the FS receiver should not exceed +18 dB for more than </w:t>
      </w:r>
      <w:r w:rsidR="00E81772">
        <w:t xml:space="preserve">0.0003% </w:t>
      </w:r>
      <w:r w:rsidRPr="00845248">
        <w:t>of the time in any month;</w:t>
      </w:r>
    </w:p>
    <w:p w14:paraId="150156CB" w14:textId="77777777" w:rsidR="00A243E7" w:rsidRPr="00845248" w:rsidRDefault="00A243E7" w:rsidP="00E81772">
      <w:pPr>
        <w:tabs>
          <w:tab w:val="left" w:pos="794"/>
        </w:tabs>
        <w:jc w:val="both"/>
      </w:pPr>
      <w:r w:rsidRPr="00845248">
        <w:rPr>
          <w:b/>
          <w:bCs/>
        </w:rPr>
        <w:t>2</w:t>
      </w:r>
      <w:r w:rsidRPr="00845248">
        <w:tab/>
        <w:t>that total apportionment of EPOs from long- and short-term interference should not exceed 10% (see Recommendation ITU-R F.1094);</w:t>
      </w:r>
    </w:p>
    <w:p w14:paraId="6F6B62C4" w14:textId="77777777" w:rsidR="00A243E7" w:rsidRPr="00845248" w:rsidRDefault="00A243E7" w:rsidP="00E81772">
      <w:pPr>
        <w:tabs>
          <w:tab w:val="left" w:pos="794"/>
        </w:tabs>
        <w:jc w:val="both"/>
      </w:pPr>
      <w:r w:rsidRPr="00845248">
        <w:rPr>
          <w:b/>
          <w:bCs/>
        </w:rPr>
        <w:t>3</w:t>
      </w:r>
      <w:r w:rsidRPr="00845248">
        <w:tab/>
        <w:t>that the information contained in Annex 1 should be used as guidance for the use of this Recommendation.</w:t>
      </w:r>
    </w:p>
    <w:p w14:paraId="05B8DBD0" w14:textId="77777777" w:rsidR="00A243E7" w:rsidRPr="00845248" w:rsidRDefault="00A243E7" w:rsidP="00A243E7">
      <w:pPr>
        <w:pStyle w:val="Note"/>
        <w:rPr>
          <w:sz w:val="24"/>
          <w:szCs w:val="24"/>
          <w:lang w:val="en-US"/>
        </w:rPr>
      </w:pPr>
      <w:r w:rsidRPr="00845248">
        <w:rPr>
          <w:sz w:val="24"/>
          <w:szCs w:val="24"/>
          <w:lang w:val="en-US"/>
        </w:rPr>
        <w:t xml:space="preserve">NOTE 1 – When time varying interference is concerned, AP apportionment may, in principle, be experienced at any time the </w:t>
      </w:r>
      <w:r w:rsidRPr="00845248">
        <w:rPr>
          <w:i/>
          <w:sz w:val="24"/>
          <w:szCs w:val="24"/>
          <w:lang w:val="en-GB"/>
        </w:rPr>
        <w:t>I</w:t>
      </w:r>
      <w:r w:rsidRPr="00845248">
        <w:rPr>
          <w:iCs/>
          <w:sz w:val="24"/>
          <w:szCs w:val="24"/>
          <w:lang w:val="en-GB"/>
        </w:rPr>
        <w:t>/</w:t>
      </w:r>
      <w:r w:rsidRPr="00845248">
        <w:rPr>
          <w:i/>
          <w:sz w:val="24"/>
          <w:szCs w:val="24"/>
          <w:lang w:val="en-GB"/>
        </w:rPr>
        <w:t>N</w:t>
      </w:r>
      <w:r w:rsidRPr="00845248">
        <w:rPr>
          <w:sz w:val="24"/>
          <w:szCs w:val="24"/>
          <w:lang w:val="en-US"/>
        </w:rPr>
        <w:t xml:space="preserve"> exceeds this value for more than 10 consecutive seconds; complex time/level integration might be needed for an overall evaluation. However, in the case considered in this Recommendation, the EP apportionment is considered predominant and the AP impact is not further considered.</w:t>
      </w:r>
    </w:p>
    <w:p w14:paraId="1FD56F8A" w14:textId="77777777" w:rsidR="00A243E7" w:rsidRDefault="00A243E7" w:rsidP="00A243E7"/>
    <w:p w14:paraId="5A24C4B8" w14:textId="77777777" w:rsidR="00A243E7" w:rsidRDefault="00A243E7" w:rsidP="00A243E7">
      <w:pPr>
        <w:tabs>
          <w:tab w:val="clear" w:pos="1134"/>
          <w:tab w:val="clear" w:pos="1871"/>
          <w:tab w:val="clear" w:pos="2268"/>
        </w:tabs>
        <w:overflowPunct/>
        <w:autoSpaceDE/>
        <w:autoSpaceDN/>
        <w:adjustRightInd/>
        <w:spacing w:before="0"/>
        <w:textAlignment w:val="auto"/>
        <w:rPr>
          <w:rFonts w:ascii="Times New Roman Bold" w:hAnsi="Times New Roman Bold"/>
          <w:b/>
          <w:sz w:val="28"/>
        </w:rPr>
      </w:pPr>
      <w:r>
        <w:br w:type="page"/>
      </w:r>
    </w:p>
    <w:p w14:paraId="4F9B9A8A" w14:textId="77777777" w:rsidR="00A243E7" w:rsidRPr="00E81772" w:rsidRDefault="00A243E7" w:rsidP="000A6772">
      <w:pPr>
        <w:pStyle w:val="AnnexNoTitle"/>
        <w:rPr>
          <w:lang w:val="en-US"/>
        </w:rPr>
      </w:pPr>
      <w:r w:rsidRPr="00E81772">
        <w:rPr>
          <w:lang w:val="en-US"/>
        </w:rPr>
        <w:t>Annex 1</w:t>
      </w:r>
      <w:r w:rsidRPr="00E81772">
        <w:rPr>
          <w:lang w:val="en-US"/>
        </w:rPr>
        <w:br/>
      </w:r>
      <w:r w:rsidRPr="00E81772">
        <w:rPr>
          <w:lang w:val="en-US"/>
        </w:rPr>
        <w:br/>
        <w:t xml:space="preserve">Derivation of FS aggregate protection criteria </w:t>
      </w:r>
      <w:r w:rsidRPr="00E81772">
        <w:rPr>
          <w:lang w:val="en-US"/>
        </w:rPr>
        <w:br/>
        <w:t>in the 17.7-19.3 GH</w:t>
      </w:r>
      <w:r w:rsidRPr="00E81772">
        <w:rPr>
          <w:sz w:val="22"/>
          <w:szCs w:val="22"/>
          <w:lang w:val="en-US"/>
        </w:rPr>
        <w:t>z</w:t>
      </w:r>
      <w:r w:rsidRPr="00E81772">
        <w:rPr>
          <w:lang w:val="en-US"/>
        </w:rPr>
        <w:t xml:space="preserve"> band</w:t>
      </w:r>
    </w:p>
    <w:p w14:paraId="1F8475DA" w14:textId="77777777" w:rsidR="00A243E7" w:rsidRPr="00845248" w:rsidRDefault="00A243E7" w:rsidP="00A243E7">
      <w:pPr>
        <w:pStyle w:val="Heading1"/>
        <w:rPr>
          <w:lang w:val="en-US"/>
        </w:rPr>
      </w:pPr>
      <w:r w:rsidRPr="00845248">
        <w:rPr>
          <w:lang w:val="en-US"/>
        </w:rPr>
        <w:t>1</w:t>
      </w:r>
      <w:r w:rsidRPr="00845248">
        <w:rPr>
          <w:lang w:val="en-US"/>
        </w:rPr>
        <w:tab/>
        <w:t>Introduction</w:t>
      </w:r>
    </w:p>
    <w:p w14:paraId="37A9FE3E" w14:textId="77777777" w:rsidR="00A243E7" w:rsidRPr="002B4D17" w:rsidRDefault="00A243E7" w:rsidP="00A243E7">
      <w:pPr>
        <w:jc w:val="both"/>
      </w:pPr>
      <w:r w:rsidRPr="002B4D17">
        <w:t>The methodology presented in this Annex is based on the assump</w:t>
      </w:r>
      <w:r>
        <w:t>tions that the fading in the 18 </w:t>
      </w:r>
      <w:r w:rsidRPr="002B4D17">
        <w:t xml:space="preserve">GHz band is dominated by rain and that, therefore, even if long-term interference has an effect on the error performance of the link, the main way to produce </w:t>
      </w:r>
      <w:r>
        <w:t>severely errored seconds (</w:t>
      </w:r>
      <w:r w:rsidRPr="002B4D17">
        <w:t>SES</w:t>
      </w:r>
      <w:r>
        <w:t>)</w:t>
      </w:r>
      <w:r w:rsidRPr="002B4D17">
        <w:t xml:space="preserve"> events on the FS link is to have an interference level higher than the noise level by more than the fade margin of the link, whatever the propagation conditions may be. </w:t>
      </w:r>
      <w:r>
        <w:t>Errored seconds (</w:t>
      </w:r>
      <w:r w:rsidRPr="002B4D17">
        <w:t>ES</w:t>
      </w:r>
      <w:r>
        <w:t>)</w:t>
      </w:r>
      <w:r w:rsidRPr="002B4D17">
        <w:t xml:space="preserve"> events can be experienced also with lower interference levels.</w:t>
      </w:r>
    </w:p>
    <w:p w14:paraId="0F8B6665" w14:textId="77777777" w:rsidR="00A243E7" w:rsidRPr="002B4D17" w:rsidRDefault="00A243E7" w:rsidP="00A243E7">
      <w:pPr>
        <w:jc w:val="both"/>
      </w:pPr>
      <w:r w:rsidRPr="002B4D17">
        <w:t xml:space="preserve">On this basis, the following apportionment of the effect of interference on the EPO </w:t>
      </w:r>
      <w:r w:rsidRPr="00C3767D">
        <w:t>apportionment</w:t>
      </w:r>
      <w:r w:rsidRPr="002B4D17">
        <w:t xml:space="preserve"> of the link has been assumed:</w:t>
      </w:r>
    </w:p>
    <w:p w14:paraId="71E3EA4F" w14:textId="77777777" w:rsidR="00A243E7" w:rsidRPr="00845248" w:rsidRDefault="00A243E7" w:rsidP="00A243E7">
      <w:pPr>
        <w:pStyle w:val="enumlev1"/>
        <w:rPr>
          <w:lang w:val="en-US"/>
        </w:rPr>
      </w:pPr>
      <w:r w:rsidRPr="00845248">
        <w:rPr>
          <w:lang w:val="en-US"/>
        </w:rPr>
        <w:t>–</w:t>
      </w:r>
      <w:r w:rsidRPr="00845248">
        <w:rPr>
          <w:lang w:val="en-US"/>
        </w:rPr>
        <w:tab/>
        <w:t>20</w:t>
      </w:r>
      <w:r w:rsidRPr="00A243E7">
        <w:rPr>
          <w:lang w:val="en-US"/>
        </w:rPr>
        <w:t>%</w:t>
      </w:r>
      <w:r w:rsidRPr="00845248">
        <w:rPr>
          <w:lang w:val="en-US"/>
        </w:rPr>
        <w:t xml:space="preserve"> of FS link apportionment due to long-term interference;</w:t>
      </w:r>
    </w:p>
    <w:p w14:paraId="4FA0CCB0" w14:textId="77777777" w:rsidR="00A243E7" w:rsidRPr="00845248" w:rsidRDefault="00A243E7" w:rsidP="00A243E7">
      <w:pPr>
        <w:pStyle w:val="enumlev1"/>
        <w:rPr>
          <w:lang w:val="en-US"/>
        </w:rPr>
      </w:pPr>
      <w:r w:rsidRPr="00845248">
        <w:rPr>
          <w:lang w:val="en-US"/>
        </w:rPr>
        <w:t>–</w:t>
      </w:r>
      <w:r w:rsidRPr="00845248">
        <w:rPr>
          <w:lang w:val="en-US"/>
        </w:rPr>
        <w:tab/>
        <w:t>80</w:t>
      </w:r>
      <w:r w:rsidRPr="00A243E7">
        <w:rPr>
          <w:lang w:val="en-US"/>
        </w:rPr>
        <w:t>%</w:t>
      </w:r>
      <w:r w:rsidRPr="00845248">
        <w:rPr>
          <w:lang w:val="en-US"/>
        </w:rPr>
        <w:t xml:space="preserve"> of FS link apportionment due to short-term interference.</w:t>
      </w:r>
    </w:p>
    <w:p w14:paraId="66D95CAB" w14:textId="77777777" w:rsidR="00A243E7" w:rsidRPr="00845248" w:rsidRDefault="00A243E7" w:rsidP="00A243E7">
      <w:pPr>
        <w:pStyle w:val="Heading1"/>
        <w:rPr>
          <w:lang w:val="en-US"/>
        </w:rPr>
      </w:pPr>
      <w:r w:rsidRPr="00845248">
        <w:rPr>
          <w:lang w:val="en-US"/>
        </w:rPr>
        <w:t>2</w:t>
      </w:r>
      <w:r w:rsidRPr="00845248">
        <w:rPr>
          <w:lang w:val="en-US"/>
        </w:rPr>
        <w:tab/>
        <w:t>Error performance objective</w:t>
      </w:r>
    </w:p>
    <w:p w14:paraId="3BC4F911" w14:textId="77777777" w:rsidR="00A243E7" w:rsidRPr="002B4D17" w:rsidRDefault="00A243E7" w:rsidP="00A243E7">
      <w:pPr>
        <w:jc w:val="both"/>
      </w:pPr>
      <w:r w:rsidRPr="002B4D17">
        <w:t>The allowable degradation in performance of FS systems due to interference from other services sharing the same frequency bands on a primary basis are expressed as a permissible fraction (10</w:t>
      </w:r>
      <w:r w:rsidRPr="00845248">
        <w:t>%</w:t>
      </w:r>
      <w:r w:rsidRPr="002B4D17">
        <w:t>) of the total EPO and ar</w:t>
      </w:r>
      <w:r>
        <w:t>e defined in Recommendation ITU-</w:t>
      </w:r>
      <w:r w:rsidRPr="002B4D17">
        <w:t>R F.1565 for the real FS systems which may form part of the national portion of a 27</w:t>
      </w:r>
      <w:r w:rsidRPr="002B4D17">
        <w:rPr>
          <w:rFonts w:ascii="Tms Rmn" w:hAnsi="Tms Rmn"/>
          <w:sz w:val="12"/>
        </w:rPr>
        <w:t> </w:t>
      </w:r>
      <w:r w:rsidRPr="002B4D17">
        <w:t>500 km HRP, assumed to be representative of the 18 GHz FS links, usually used in the access networks or mobile telephone infrastructure networks.</w:t>
      </w:r>
    </w:p>
    <w:p w14:paraId="0E93DF10" w14:textId="77777777" w:rsidR="00A243E7" w:rsidRPr="002B4D17" w:rsidRDefault="00A243E7" w:rsidP="00A243E7">
      <w:pPr>
        <w:jc w:val="both"/>
      </w:pPr>
      <w:r w:rsidRPr="002B4D17">
        <w:t>The corresponding values are given in Table 1, and correspond to the following assumptions:</w:t>
      </w:r>
    </w:p>
    <w:p w14:paraId="59E13324" w14:textId="6A08BDA3" w:rsidR="00A243E7" w:rsidRPr="00845248" w:rsidRDefault="00A243E7" w:rsidP="00A243E7">
      <w:pPr>
        <w:pStyle w:val="enumlev1"/>
        <w:rPr>
          <w:lang w:val="en-US"/>
        </w:rPr>
      </w:pPr>
      <w:bookmarkStart w:id="3" w:name="dsgno"/>
      <w:bookmarkEnd w:id="3"/>
      <w:r w:rsidRPr="00845248">
        <w:rPr>
          <w:lang w:val="en-US"/>
        </w:rPr>
        <w:t>–</w:t>
      </w:r>
      <w:r w:rsidRPr="00845248">
        <w:rPr>
          <w:lang w:val="en-US"/>
        </w:rPr>
        <w:tab/>
        <w:t>short haul inter-exchange network section (see Table </w:t>
      </w:r>
      <w:r w:rsidR="00A826EC">
        <w:rPr>
          <w:lang w:val="en-US"/>
        </w:rPr>
        <w:t xml:space="preserve">7 (previously named Table </w:t>
      </w:r>
      <w:r w:rsidRPr="00845248">
        <w:rPr>
          <w:lang w:val="en-US"/>
        </w:rPr>
        <w:t>4a</w:t>
      </w:r>
      <w:r w:rsidR="00A826EC">
        <w:rPr>
          <w:lang w:val="en-US"/>
        </w:rPr>
        <w:t>)</w:t>
      </w:r>
      <w:r w:rsidRPr="00845248">
        <w:rPr>
          <w:lang w:val="en-US"/>
        </w:rPr>
        <w:t xml:space="preserve"> of Recommendation ITU</w:t>
      </w:r>
      <w:r w:rsidRPr="00845248">
        <w:rPr>
          <w:lang w:val="en-US"/>
        </w:rPr>
        <w:noBreakHyphen/>
        <w:t>R F.1565) composed of five hops of 8 km;</w:t>
      </w:r>
    </w:p>
    <w:p w14:paraId="2F73CD1D" w14:textId="77777777" w:rsidR="00A243E7" w:rsidRPr="00845248" w:rsidRDefault="00A243E7" w:rsidP="00A243E7">
      <w:pPr>
        <w:pStyle w:val="enumlev1"/>
        <w:rPr>
          <w:lang w:val="en-US"/>
        </w:rPr>
      </w:pPr>
      <w:r w:rsidRPr="00845248">
        <w:rPr>
          <w:lang w:val="en-US"/>
        </w:rPr>
        <w:t>–</w:t>
      </w:r>
      <w:r w:rsidRPr="00845248">
        <w:rPr>
          <w:lang w:val="en-US"/>
        </w:rPr>
        <w:tab/>
        <w:t>rate from 15 to 55 Mbit/s;</w:t>
      </w:r>
    </w:p>
    <w:p w14:paraId="08908DA2" w14:textId="77777777" w:rsidR="00A243E7" w:rsidRPr="002B4D17" w:rsidRDefault="00A243E7" w:rsidP="00A243E7">
      <w:pPr>
        <w:pStyle w:val="enumlev1"/>
      </w:pPr>
      <w:r w:rsidRPr="002B4D17">
        <w:t>–</w:t>
      </w:r>
      <w:r w:rsidRPr="002B4D17">
        <w:tab/>
      </w:r>
      <w:r w:rsidRPr="002B4D17">
        <w:rPr>
          <w:i/>
          <w:iCs/>
        </w:rPr>
        <w:t xml:space="preserve">B = </w:t>
      </w:r>
      <w:r w:rsidRPr="002B4D17">
        <w:t>8</w:t>
      </w:r>
      <w:r w:rsidRPr="00845248">
        <w:t>%</w:t>
      </w:r>
      <w:r w:rsidRPr="002B4D17">
        <w:t>.</w:t>
      </w:r>
    </w:p>
    <w:p w14:paraId="2C9626E4" w14:textId="77777777" w:rsidR="00A243E7" w:rsidRPr="002B4D17" w:rsidRDefault="00A243E7" w:rsidP="00A243E7">
      <w:pPr>
        <w:pStyle w:val="TableNo"/>
        <w:keepNext w:val="0"/>
      </w:pPr>
      <w:r w:rsidRPr="002B4D17">
        <w:t>TABLE 1</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41"/>
        <w:gridCol w:w="1866"/>
        <w:gridCol w:w="1866"/>
        <w:gridCol w:w="1866"/>
      </w:tblGrid>
      <w:tr w:rsidR="00A243E7" w:rsidRPr="002B4D17" w14:paraId="27F5DA95" w14:textId="77777777" w:rsidTr="00ED040B">
        <w:trPr>
          <w:cantSplit/>
          <w:jc w:val="center"/>
        </w:trPr>
        <w:tc>
          <w:tcPr>
            <w:tcW w:w="4041" w:type="dxa"/>
            <w:tcBorders>
              <w:top w:val="nil"/>
              <w:left w:val="nil"/>
              <w:bottom w:val="nil"/>
            </w:tcBorders>
          </w:tcPr>
          <w:p w14:paraId="175EC4A9" w14:textId="77777777" w:rsidR="00A243E7" w:rsidRPr="002B4D17" w:rsidRDefault="00A243E7" w:rsidP="000A6772">
            <w:pPr>
              <w:pStyle w:val="Tabletext"/>
            </w:pPr>
          </w:p>
        </w:tc>
        <w:tc>
          <w:tcPr>
            <w:tcW w:w="5598" w:type="dxa"/>
            <w:gridSpan w:val="3"/>
          </w:tcPr>
          <w:p w14:paraId="29AB33FB" w14:textId="77777777" w:rsidR="00A243E7" w:rsidRPr="00EA6994" w:rsidRDefault="00A243E7" w:rsidP="00ED040B">
            <w:pPr>
              <w:pStyle w:val="Tablehead"/>
              <w:rPr>
                <w:lang w:val="en-US"/>
              </w:rPr>
            </w:pPr>
            <w:r w:rsidRPr="00EA6994">
              <w:rPr>
                <w:lang w:val="en-US"/>
              </w:rPr>
              <w:t>EPO (fraction of any month)</w:t>
            </w:r>
          </w:p>
        </w:tc>
      </w:tr>
      <w:tr w:rsidR="00A243E7" w:rsidRPr="002B4D17" w14:paraId="6BC6E9CF" w14:textId="77777777" w:rsidTr="00ED040B">
        <w:trPr>
          <w:cantSplit/>
          <w:jc w:val="center"/>
        </w:trPr>
        <w:tc>
          <w:tcPr>
            <w:tcW w:w="4041" w:type="dxa"/>
            <w:tcBorders>
              <w:top w:val="nil"/>
              <w:left w:val="nil"/>
              <w:bottom w:val="nil"/>
            </w:tcBorders>
          </w:tcPr>
          <w:p w14:paraId="1DCF5B06" w14:textId="77777777" w:rsidR="00A243E7" w:rsidRPr="00E81772" w:rsidRDefault="00A243E7" w:rsidP="000A6772">
            <w:pPr>
              <w:pStyle w:val="Tabletext"/>
              <w:rPr>
                <w:lang w:val="en-US"/>
              </w:rPr>
            </w:pPr>
          </w:p>
        </w:tc>
        <w:tc>
          <w:tcPr>
            <w:tcW w:w="1866" w:type="dxa"/>
            <w:vAlign w:val="center"/>
          </w:tcPr>
          <w:p w14:paraId="36E3C74D" w14:textId="77777777" w:rsidR="00A243E7" w:rsidRPr="00EA6994" w:rsidRDefault="00A243E7" w:rsidP="00ED040B">
            <w:pPr>
              <w:pStyle w:val="Tablehead"/>
            </w:pPr>
            <w:r w:rsidRPr="00EA6994">
              <w:t>Total allowable to interference</w:t>
            </w:r>
          </w:p>
        </w:tc>
        <w:tc>
          <w:tcPr>
            <w:tcW w:w="1866" w:type="dxa"/>
            <w:vAlign w:val="center"/>
          </w:tcPr>
          <w:p w14:paraId="5B61B1CF" w14:textId="77777777" w:rsidR="00A243E7" w:rsidRPr="00EA6994" w:rsidRDefault="00A243E7" w:rsidP="00ED040B">
            <w:pPr>
              <w:pStyle w:val="Tablehead"/>
            </w:pPr>
            <w:r w:rsidRPr="00EA6994">
              <w:t xml:space="preserve">Long-term interference </w:t>
            </w:r>
            <w:r w:rsidRPr="00EA6994">
              <w:br/>
              <w:t>(20%)</w:t>
            </w:r>
          </w:p>
        </w:tc>
        <w:tc>
          <w:tcPr>
            <w:tcW w:w="1866" w:type="dxa"/>
            <w:vAlign w:val="center"/>
          </w:tcPr>
          <w:p w14:paraId="4DEF2E10" w14:textId="77777777" w:rsidR="00A243E7" w:rsidRPr="00EA6994" w:rsidRDefault="00A243E7" w:rsidP="00ED040B">
            <w:pPr>
              <w:pStyle w:val="Tablehead"/>
            </w:pPr>
            <w:r w:rsidRPr="00EA6994">
              <w:t>Short-term interference</w:t>
            </w:r>
            <w:r w:rsidRPr="00EA6994">
              <w:br/>
              <w:t>(80%)</w:t>
            </w:r>
          </w:p>
        </w:tc>
      </w:tr>
      <w:tr w:rsidR="00A243E7" w:rsidRPr="002B4D17" w14:paraId="7058B964" w14:textId="77777777" w:rsidTr="00ED040B">
        <w:trPr>
          <w:cantSplit/>
          <w:jc w:val="center"/>
        </w:trPr>
        <w:tc>
          <w:tcPr>
            <w:tcW w:w="4041" w:type="dxa"/>
            <w:tcBorders>
              <w:top w:val="single" w:sz="6" w:space="0" w:color="auto"/>
              <w:left w:val="single" w:sz="6" w:space="0" w:color="auto"/>
            </w:tcBorders>
          </w:tcPr>
          <w:p w14:paraId="4904ADC6" w14:textId="77777777" w:rsidR="00A243E7" w:rsidRPr="00EA6994" w:rsidRDefault="00A243E7" w:rsidP="00ED040B">
            <w:pPr>
              <w:pStyle w:val="Tabletext"/>
            </w:pPr>
            <w:r w:rsidRPr="00EA6994">
              <w:t>Errored second ratio (ESR)</w:t>
            </w:r>
          </w:p>
        </w:tc>
        <w:tc>
          <w:tcPr>
            <w:tcW w:w="1866" w:type="dxa"/>
          </w:tcPr>
          <w:p w14:paraId="538B5D45" w14:textId="77777777" w:rsidR="00A243E7" w:rsidRPr="00EA6994" w:rsidRDefault="00A243E7" w:rsidP="00ED040B">
            <w:pPr>
              <w:pStyle w:val="Tabletext"/>
              <w:jc w:val="center"/>
            </w:pPr>
            <w:r w:rsidRPr="00EA6994">
              <w:t>1.2 × 10</w:t>
            </w:r>
            <w:r w:rsidRPr="000A6772">
              <w:rPr>
                <w:vertAlign w:val="superscript"/>
              </w:rPr>
              <w:t>–4</w:t>
            </w:r>
          </w:p>
        </w:tc>
        <w:tc>
          <w:tcPr>
            <w:tcW w:w="1866" w:type="dxa"/>
          </w:tcPr>
          <w:p w14:paraId="2485FFD4" w14:textId="77777777" w:rsidR="00A243E7" w:rsidRPr="00EA6994" w:rsidRDefault="00A243E7" w:rsidP="00ED040B">
            <w:pPr>
              <w:pStyle w:val="Tabletext"/>
              <w:jc w:val="center"/>
            </w:pPr>
            <w:r w:rsidRPr="00EA6994">
              <w:t>2.4 × 10</w:t>
            </w:r>
            <w:r w:rsidRPr="000A6772">
              <w:rPr>
                <w:vertAlign w:val="superscript"/>
              </w:rPr>
              <w:t>–5</w:t>
            </w:r>
          </w:p>
        </w:tc>
        <w:tc>
          <w:tcPr>
            <w:tcW w:w="1866" w:type="dxa"/>
          </w:tcPr>
          <w:p w14:paraId="43B420BD" w14:textId="77777777" w:rsidR="00A243E7" w:rsidRPr="00EA6994" w:rsidRDefault="00A243E7" w:rsidP="00ED040B">
            <w:pPr>
              <w:pStyle w:val="Tabletext"/>
              <w:jc w:val="center"/>
            </w:pPr>
            <w:r w:rsidRPr="00EA6994">
              <w:t>9.6 × 10</w:t>
            </w:r>
            <w:r w:rsidRPr="000A6772">
              <w:rPr>
                <w:vertAlign w:val="superscript"/>
              </w:rPr>
              <w:t>–5</w:t>
            </w:r>
          </w:p>
        </w:tc>
      </w:tr>
      <w:tr w:rsidR="00A243E7" w:rsidRPr="002B4D17" w14:paraId="7A2EF290" w14:textId="77777777" w:rsidTr="00ED040B">
        <w:trPr>
          <w:cantSplit/>
          <w:jc w:val="center"/>
        </w:trPr>
        <w:tc>
          <w:tcPr>
            <w:tcW w:w="4041" w:type="dxa"/>
            <w:tcBorders>
              <w:top w:val="single" w:sz="6" w:space="0" w:color="auto"/>
              <w:left w:val="single" w:sz="6" w:space="0" w:color="auto"/>
            </w:tcBorders>
          </w:tcPr>
          <w:p w14:paraId="16CD1D27" w14:textId="77777777" w:rsidR="00A243E7" w:rsidRPr="00A243E7" w:rsidRDefault="00A243E7" w:rsidP="00ED040B">
            <w:pPr>
              <w:pStyle w:val="Tabletext"/>
              <w:rPr>
                <w:lang w:val="en-US"/>
              </w:rPr>
            </w:pPr>
            <w:r w:rsidRPr="00A243E7">
              <w:rPr>
                <w:lang w:val="en-US"/>
              </w:rPr>
              <w:t>Severely errored seconds ratio (SESR)</w:t>
            </w:r>
          </w:p>
        </w:tc>
        <w:tc>
          <w:tcPr>
            <w:tcW w:w="1866" w:type="dxa"/>
          </w:tcPr>
          <w:p w14:paraId="55E42354" w14:textId="77777777" w:rsidR="00A243E7" w:rsidRPr="00EA6994" w:rsidRDefault="00A243E7" w:rsidP="00ED040B">
            <w:pPr>
              <w:pStyle w:val="Tabletext"/>
              <w:jc w:val="center"/>
            </w:pPr>
            <w:r w:rsidRPr="00EA6994">
              <w:t>3.2 × 10</w:t>
            </w:r>
            <w:r w:rsidRPr="000A6772">
              <w:rPr>
                <w:vertAlign w:val="superscript"/>
              </w:rPr>
              <w:t>–6</w:t>
            </w:r>
          </w:p>
        </w:tc>
        <w:tc>
          <w:tcPr>
            <w:tcW w:w="1866" w:type="dxa"/>
          </w:tcPr>
          <w:p w14:paraId="2C2C3644" w14:textId="77777777" w:rsidR="00A243E7" w:rsidRPr="00EA6994" w:rsidRDefault="00A243E7" w:rsidP="00ED040B">
            <w:pPr>
              <w:pStyle w:val="Tabletext"/>
              <w:jc w:val="center"/>
            </w:pPr>
            <w:r w:rsidRPr="00EA6994">
              <w:t>6.4 × 10</w:t>
            </w:r>
            <w:r w:rsidRPr="000A6772">
              <w:rPr>
                <w:vertAlign w:val="superscript"/>
              </w:rPr>
              <w:t>–7</w:t>
            </w:r>
          </w:p>
        </w:tc>
        <w:tc>
          <w:tcPr>
            <w:tcW w:w="1866" w:type="dxa"/>
          </w:tcPr>
          <w:p w14:paraId="372AA5FF" w14:textId="77777777" w:rsidR="00A243E7" w:rsidRPr="00EA6994" w:rsidRDefault="00A243E7" w:rsidP="00ED040B">
            <w:pPr>
              <w:pStyle w:val="Tabletext"/>
              <w:jc w:val="center"/>
            </w:pPr>
            <w:r w:rsidRPr="00EA6994">
              <w:t>2.6 × 10</w:t>
            </w:r>
            <w:r w:rsidRPr="000A6772">
              <w:rPr>
                <w:vertAlign w:val="superscript"/>
              </w:rPr>
              <w:t>–6</w:t>
            </w:r>
          </w:p>
        </w:tc>
      </w:tr>
      <w:tr w:rsidR="00A243E7" w:rsidRPr="002B4D17" w14:paraId="24F6A2AA" w14:textId="77777777" w:rsidTr="00ED040B">
        <w:trPr>
          <w:cantSplit/>
          <w:jc w:val="center"/>
        </w:trPr>
        <w:tc>
          <w:tcPr>
            <w:tcW w:w="4041" w:type="dxa"/>
            <w:tcBorders>
              <w:top w:val="single" w:sz="6" w:space="0" w:color="auto"/>
              <w:left w:val="single" w:sz="6" w:space="0" w:color="auto"/>
            </w:tcBorders>
          </w:tcPr>
          <w:p w14:paraId="761C70BA" w14:textId="77777777" w:rsidR="00A243E7" w:rsidRPr="00A243E7" w:rsidRDefault="00A243E7" w:rsidP="00ED040B">
            <w:pPr>
              <w:pStyle w:val="Tabletext"/>
              <w:rPr>
                <w:lang w:val="en-US"/>
              </w:rPr>
            </w:pPr>
            <w:r w:rsidRPr="00A243E7">
              <w:rPr>
                <w:lang w:val="en-US"/>
              </w:rPr>
              <w:t>Background block error ratio (BBER)</w:t>
            </w:r>
          </w:p>
        </w:tc>
        <w:tc>
          <w:tcPr>
            <w:tcW w:w="1866" w:type="dxa"/>
          </w:tcPr>
          <w:p w14:paraId="3C1D777F" w14:textId="77777777" w:rsidR="00A243E7" w:rsidRPr="00EA6994" w:rsidRDefault="00A243E7" w:rsidP="00ED040B">
            <w:pPr>
              <w:pStyle w:val="Tabletext"/>
              <w:jc w:val="center"/>
            </w:pPr>
            <w:r w:rsidRPr="00EA6994">
              <w:t>3.2 × 10</w:t>
            </w:r>
            <w:r w:rsidRPr="000A6772">
              <w:rPr>
                <w:vertAlign w:val="superscript"/>
              </w:rPr>
              <w:t>–7</w:t>
            </w:r>
          </w:p>
        </w:tc>
        <w:tc>
          <w:tcPr>
            <w:tcW w:w="1866" w:type="dxa"/>
          </w:tcPr>
          <w:p w14:paraId="517E1A94" w14:textId="77777777" w:rsidR="00A243E7" w:rsidRPr="00EA6994" w:rsidRDefault="00A243E7" w:rsidP="00ED040B">
            <w:pPr>
              <w:pStyle w:val="Tabletext"/>
              <w:jc w:val="center"/>
            </w:pPr>
            <w:r w:rsidRPr="00EA6994">
              <w:t>6.4 × 10</w:t>
            </w:r>
            <w:r w:rsidRPr="000A6772">
              <w:rPr>
                <w:vertAlign w:val="superscript"/>
              </w:rPr>
              <w:t>–8</w:t>
            </w:r>
          </w:p>
        </w:tc>
        <w:tc>
          <w:tcPr>
            <w:tcW w:w="1866" w:type="dxa"/>
          </w:tcPr>
          <w:p w14:paraId="6DCE78A1" w14:textId="77777777" w:rsidR="00A243E7" w:rsidRPr="00EA6994" w:rsidRDefault="00A243E7" w:rsidP="00ED040B">
            <w:pPr>
              <w:pStyle w:val="Tabletext"/>
              <w:jc w:val="center"/>
            </w:pPr>
            <w:r w:rsidRPr="00EA6994">
              <w:t>2.6 × 10</w:t>
            </w:r>
            <w:r w:rsidRPr="000A6772">
              <w:rPr>
                <w:vertAlign w:val="superscript"/>
              </w:rPr>
              <w:t>–7</w:t>
            </w:r>
          </w:p>
        </w:tc>
      </w:tr>
    </w:tbl>
    <w:p w14:paraId="24CB1612" w14:textId="77777777" w:rsidR="00A243E7" w:rsidRPr="002B4D17" w:rsidRDefault="00A243E7" w:rsidP="00A243E7">
      <w:pPr>
        <w:pStyle w:val="Tablefin"/>
      </w:pPr>
    </w:p>
    <w:p w14:paraId="1E1A80DD" w14:textId="77777777" w:rsidR="00A243E7" w:rsidRDefault="00A243E7" w:rsidP="00A243E7">
      <w:pPr>
        <w:tabs>
          <w:tab w:val="clear" w:pos="1134"/>
          <w:tab w:val="clear" w:pos="1871"/>
          <w:tab w:val="clear" w:pos="2268"/>
        </w:tabs>
        <w:overflowPunct/>
        <w:autoSpaceDE/>
        <w:autoSpaceDN/>
        <w:adjustRightInd/>
        <w:spacing w:before="0"/>
        <w:textAlignment w:val="auto"/>
        <w:rPr>
          <w:b/>
          <w:lang w:val="fr-FR"/>
        </w:rPr>
      </w:pPr>
      <w:r>
        <w:br w:type="page"/>
      </w:r>
    </w:p>
    <w:p w14:paraId="79CE6D55" w14:textId="77777777" w:rsidR="00A243E7" w:rsidRPr="002B4D17" w:rsidRDefault="00A243E7" w:rsidP="00A243E7">
      <w:pPr>
        <w:pStyle w:val="Heading1"/>
      </w:pPr>
      <w:r w:rsidRPr="002B4D17">
        <w:t>3</w:t>
      </w:r>
      <w:r w:rsidRPr="002B4D17">
        <w:tab/>
        <w:t>Short-term criteria</w:t>
      </w:r>
    </w:p>
    <w:p w14:paraId="7F4547EB" w14:textId="77777777" w:rsidR="00A243E7" w:rsidRPr="002B4D17" w:rsidRDefault="00A243E7" w:rsidP="00A243E7">
      <w:pPr>
        <w:jc w:val="both"/>
        <w:rPr>
          <w:lang w:eastAsia="ja-JP"/>
        </w:rPr>
      </w:pPr>
      <w:r w:rsidRPr="002B4D17">
        <w:t xml:space="preserve">As explained in § 1, the main way to produce SES events on the FS link considering short-term interference is to have an interference level higher than </w:t>
      </w:r>
      <w:r w:rsidR="00E81772">
        <w:t xml:space="preserve">the </w:t>
      </w:r>
      <w:r w:rsidRPr="002B4D17">
        <w:t>noise level by more than the fade margin of the link, whatever the propagation conditions may be, and ES events can be experienced also with lower interference levels.</w:t>
      </w:r>
    </w:p>
    <w:p w14:paraId="1FE4EDE5" w14:textId="77777777" w:rsidR="00A243E7" w:rsidRPr="002B4D17" w:rsidRDefault="00A243E7" w:rsidP="00A243E7">
      <w:pPr>
        <w:jc w:val="both"/>
      </w:pPr>
      <w:r w:rsidRPr="002B4D17">
        <w:t>The definition of short-term criteria is then linked to both values of fade margins (or net fade margins considering ATPC (see Note 1)) and EPO allocated to short-term interference as defined in Table 1, considering that the fade margin is allocated to the short-term criteria.</w:t>
      </w:r>
    </w:p>
    <w:p w14:paraId="2C8736D8" w14:textId="77777777" w:rsidR="00A243E7" w:rsidRPr="00EA6994" w:rsidRDefault="00A243E7" w:rsidP="00A243E7">
      <w:pPr>
        <w:jc w:val="both"/>
        <w:rPr>
          <w:szCs w:val="24"/>
        </w:rPr>
      </w:pPr>
      <w:r w:rsidRPr="00EA6994">
        <w:rPr>
          <w:szCs w:val="24"/>
        </w:rPr>
        <w:t>The following criteria definition has been based on a 19 dB (for a BER of 1 × 10</w:t>
      </w:r>
      <w:r w:rsidRPr="00EA6994">
        <w:rPr>
          <w:szCs w:val="24"/>
          <w:vertAlign w:val="superscript"/>
        </w:rPr>
        <w:t>–3</w:t>
      </w:r>
      <w:r w:rsidRPr="00EA6994">
        <w:rPr>
          <w:szCs w:val="24"/>
        </w:rPr>
        <w:t>) fade margin. In the United Kingdom and France there are respectively 23% and 20% of the 18 GHz links with fade margins (or net fade margin (see Note 1)) lower than 19 dB.</w:t>
      </w:r>
    </w:p>
    <w:p w14:paraId="5A4FCF57" w14:textId="77777777" w:rsidR="00A243E7" w:rsidRPr="00EA6994" w:rsidRDefault="00A243E7" w:rsidP="00A243E7">
      <w:pPr>
        <w:pStyle w:val="Note"/>
        <w:rPr>
          <w:sz w:val="24"/>
          <w:szCs w:val="24"/>
          <w:lang w:val="en-US"/>
        </w:rPr>
      </w:pPr>
      <w:r w:rsidRPr="00EA6994">
        <w:rPr>
          <w:sz w:val="24"/>
          <w:szCs w:val="24"/>
          <w:lang w:val="en-US"/>
        </w:rPr>
        <w:t xml:space="preserve">NOTE 1 – For an FS link using ATPC, the net fade margin </w:t>
      </w:r>
      <w:r w:rsidRPr="00A243E7">
        <w:rPr>
          <w:sz w:val="24"/>
          <w:szCs w:val="24"/>
          <w:lang w:val="en-US"/>
        </w:rPr>
        <w:t>=</w:t>
      </w:r>
      <w:r w:rsidRPr="00EA6994">
        <w:rPr>
          <w:sz w:val="24"/>
          <w:szCs w:val="24"/>
          <w:lang w:val="en-US"/>
        </w:rPr>
        <w:t xml:space="preserve"> total fade margin – ATPC range.</w:t>
      </w:r>
    </w:p>
    <w:p w14:paraId="42D21266" w14:textId="77777777" w:rsidR="00A243E7" w:rsidRPr="002B4D17" w:rsidRDefault="00A243E7" w:rsidP="00E81772">
      <w:pPr>
        <w:jc w:val="both"/>
      </w:pPr>
      <w:r w:rsidRPr="00EA6994">
        <w:rPr>
          <w:szCs w:val="24"/>
        </w:rPr>
        <w:t>As this fade margin is given for a BER of 1 × 10</w:t>
      </w:r>
      <w:r w:rsidRPr="00EA6994">
        <w:rPr>
          <w:szCs w:val="24"/>
          <w:vertAlign w:val="superscript"/>
        </w:rPr>
        <w:t>–3</w:t>
      </w:r>
      <w:r w:rsidRPr="00EA6994">
        <w:rPr>
          <w:szCs w:val="24"/>
        </w:rPr>
        <w:t xml:space="preserve"> which is a </w:t>
      </w:r>
      <w:r w:rsidR="00E81772">
        <w:rPr>
          <w:szCs w:val="24"/>
        </w:rPr>
        <w:t xml:space="preserve">triggered </w:t>
      </w:r>
      <w:r w:rsidRPr="00EA6994">
        <w:rPr>
          <w:szCs w:val="24"/>
        </w:rPr>
        <w:t>SES event in Recommendation </w:t>
      </w:r>
      <w:r w:rsidR="00E81772" w:rsidRPr="00EA6994">
        <w:rPr>
          <w:szCs w:val="24"/>
        </w:rPr>
        <w:t>ITU</w:t>
      </w:r>
      <w:r w:rsidR="00E81772" w:rsidRPr="00EA6994">
        <w:rPr>
          <w:szCs w:val="24"/>
        </w:rPr>
        <w:noBreakHyphen/>
        <w:t>T </w:t>
      </w:r>
      <w:r w:rsidRPr="00EA6994">
        <w:rPr>
          <w:szCs w:val="24"/>
        </w:rPr>
        <w:t>G.821 and as the EPO are referenced to Recommendation </w:t>
      </w:r>
      <w:r w:rsidR="00E81772" w:rsidRPr="00EA6994">
        <w:rPr>
          <w:szCs w:val="24"/>
        </w:rPr>
        <w:t>ITU</w:t>
      </w:r>
      <w:r w:rsidR="00E81772" w:rsidRPr="00EA6994">
        <w:rPr>
          <w:szCs w:val="24"/>
        </w:rPr>
        <w:noBreakHyphen/>
        <w:t>T</w:t>
      </w:r>
      <w:r w:rsidR="00E81772">
        <w:rPr>
          <w:szCs w:val="24"/>
        </w:rPr>
        <w:t> </w:t>
      </w:r>
      <w:r w:rsidRPr="00EA6994">
        <w:rPr>
          <w:szCs w:val="24"/>
        </w:rPr>
        <w:t>G.826 definition, it is necessary to extrapolate the fade margin corresponding to ES and SES levels. On the basis of the agreed assumptions that the fade margins (FM) for ES and SES are respectively 5 dB and 1 dB lower than the FM referenced to the BER 1 × 10</w:t>
      </w:r>
      <w:r w:rsidRPr="00EA6994">
        <w:rPr>
          <w:szCs w:val="24"/>
          <w:vertAlign w:val="superscript"/>
        </w:rPr>
        <w:t>–3</w:t>
      </w:r>
      <w:r w:rsidRPr="00EA6994">
        <w:rPr>
          <w:szCs w:val="24"/>
        </w:rPr>
        <w:t xml:space="preserve"> level which is 2 dB higher than the FM referenced to the BER 1 × 10</w:t>
      </w:r>
      <w:r w:rsidRPr="00EA6994">
        <w:rPr>
          <w:szCs w:val="24"/>
          <w:vertAlign w:val="superscript"/>
        </w:rPr>
        <w:t>–6</w:t>
      </w:r>
      <w:r w:rsidRPr="00EA6994">
        <w:rPr>
          <w:szCs w:val="24"/>
        </w:rPr>
        <w:t xml:space="preserve"> level, Table 2 summarizes these different values of fade margins and, associated with the correspondent EPO ratios, allows</w:t>
      </w:r>
      <w:r w:rsidRPr="002B4D17">
        <w:t xml:space="preserve"> to define two short-term criteria for the FS in the bands.</w:t>
      </w:r>
    </w:p>
    <w:p w14:paraId="1018AC13" w14:textId="77777777" w:rsidR="00A243E7" w:rsidRPr="002B4D17" w:rsidRDefault="00A243E7" w:rsidP="00A243E7">
      <w:pPr>
        <w:pStyle w:val="TableNo"/>
        <w:keepNext w:val="0"/>
      </w:pPr>
      <w:r w:rsidRPr="002B4D17">
        <w:t>TABLE 2</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35"/>
        <w:gridCol w:w="3352"/>
        <w:gridCol w:w="3352"/>
      </w:tblGrid>
      <w:tr w:rsidR="00A243E7" w:rsidRPr="002B4D17" w14:paraId="704057AB" w14:textId="77777777" w:rsidTr="00ED040B">
        <w:trPr>
          <w:cantSplit/>
          <w:jc w:val="center"/>
        </w:trPr>
        <w:tc>
          <w:tcPr>
            <w:tcW w:w="1985" w:type="dxa"/>
            <w:tcBorders>
              <w:top w:val="nil"/>
              <w:left w:val="nil"/>
            </w:tcBorders>
          </w:tcPr>
          <w:p w14:paraId="1D8E004A" w14:textId="77777777" w:rsidR="00A243E7" w:rsidRPr="002B4D17" w:rsidRDefault="00A243E7" w:rsidP="000A6772">
            <w:pPr>
              <w:pStyle w:val="Tabletext"/>
            </w:pPr>
          </w:p>
        </w:tc>
        <w:tc>
          <w:tcPr>
            <w:tcW w:w="2268" w:type="dxa"/>
            <w:vAlign w:val="center"/>
          </w:tcPr>
          <w:p w14:paraId="6BADD0E0" w14:textId="77777777" w:rsidR="00A243E7" w:rsidRPr="00EA6994" w:rsidRDefault="00A243E7" w:rsidP="00ED040B">
            <w:pPr>
              <w:pStyle w:val="Tablehead"/>
            </w:pPr>
            <w:r w:rsidRPr="00EA6994">
              <w:t xml:space="preserve">Fade margin </w:t>
            </w:r>
            <w:r w:rsidRPr="00EA6994">
              <w:br/>
              <w:t>(dB)</w:t>
            </w:r>
          </w:p>
        </w:tc>
        <w:tc>
          <w:tcPr>
            <w:tcW w:w="2268" w:type="dxa"/>
            <w:vAlign w:val="center"/>
          </w:tcPr>
          <w:p w14:paraId="063311D9" w14:textId="77777777" w:rsidR="00A243E7" w:rsidRPr="00EA6994" w:rsidRDefault="00A243E7" w:rsidP="00ED040B">
            <w:pPr>
              <w:pStyle w:val="Tablehead"/>
            </w:pPr>
            <w:r w:rsidRPr="00EA6994">
              <w:t>EPO ratio</w:t>
            </w:r>
          </w:p>
        </w:tc>
      </w:tr>
      <w:tr w:rsidR="00A243E7" w:rsidRPr="002B4D17" w14:paraId="30B38FE9" w14:textId="77777777" w:rsidTr="00ED040B">
        <w:trPr>
          <w:cantSplit/>
          <w:jc w:val="center"/>
        </w:trPr>
        <w:tc>
          <w:tcPr>
            <w:tcW w:w="1985" w:type="dxa"/>
          </w:tcPr>
          <w:p w14:paraId="6F7030E8" w14:textId="77777777" w:rsidR="00A243E7" w:rsidRPr="00EA6994" w:rsidRDefault="00A243E7" w:rsidP="00ED040B">
            <w:pPr>
              <w:pStyle w:val="Tabletext"/>
            </w:pPr>
            <w:r w:rsidRPr="00EA6994">
              <w:t>ES</w:t>
            </w:r>
          </w:p>
        </w:tc>
        <w:tc>
          <w:tcPr>
            <w:tcW w:w="2268" w:type="dxa"/>
          </w:tcPr>
          <w:p w14:paraId="3E1122CD" w14:textId="77777777" w:rsidR="00A243E7" w:rsidRPr="00E81772" w:rsidRDefault="00A243E7" w:rsidP="00ED040B">
            <w:pPr>
              <w:pStyle w:val="Tabletext"/>
              <w:jc w:val="center"/>
              <w:rPr>
                <w:b/>
                <w:bCs/>
              </w:rPr>
            </w:pPr>
            <w:r w:rsidRPr="00E81772">
              <w:rPr>
                <w:b/>
                <w:bCs/>
              </w:rPr>
              <w:t>14</w:t>
            </w:r>
          </w:p>
        </w:tc>
        <w:tc>
          <w:tcPr>
            <w:tcW w:w="2268" w:type="dxa"/>
          </w:tcPr>
          <w:p w14:paraId="3270E951" w14:textId="77777777" w:rsidR="00A243E7" w:rsidRPr="00EA6994" w:rsidRDefault="00A243E7" w:rsidP="00ED040B">
            <w:pPr>
              <w:pStyle w:val="Tabletext"/>
              <w:jc w:val="center"/>
            </w:pPr>
            <w:r w:rsidRPr="00EA6994">
              <w:t>9.6 × 10</w:t>
            </w:r>
            <w:r w:rsidRPr="000A6772">
              <w:rPr>
                <w:vertAlign w:val="superscript"/>
              </w:rPr>
              <w:t>–5</w:t>
            </w:r>
          </w:p>
        </w:tc>
      </w:tr>
      <w:tr w:rsidR="00A243E7" w:rsidRPr="002B4D17" w14:paraId="1BD706D0" w14:textId="77777777" w:rsidTr="00ED040B">
        <w:trPr>
          <w:cantSplit/>
          <w:jc w:val="center"/>
        </w:trPr>
        <w:tc>
          <w:tcPr>
            <w:tcW w:w="1985" w:type="dxa"/>
          </w:tcPr>
          <w:p w14:paraId="73A49C0F" w14:textId="77777777" w:rsidR="00A243E7" w:rsidRPr="00EA6994" w:rsidRDefault="00A243E7" w:rsidP="00ED040B">
            <w:pPr>
              <w:pStyle w:val="Tabletext"/>
            </w:pPr>
            <w:r w:rsidRPr="00EA6994">
              <w:t>BER 1 × 10</w:t>
            </w:r>
            <w:r w:rsidRPr="000A6772">
              <w:rPr>
                <w:vertAlign w:val="superscript"/>
              </w:rPr>
              <w:t>–6</w:t>
            </w:r>
          </w:p>
        </w:tc>
        <w:tc>
          <w:tcPr>
            <w:tcW w:w="2268" w:type="dxa"/>
          </w:tcPr>
          <w:p w14:paraId="0D03D10E" w14:textId="77777777" w:rsidR="00A243E7" w:rsidRPr="00EA6994" w:rsidRDefault="00A243E7" w:rsidP="00ED040B">
            <w:pPr>
              <w:pStyle w:val="Tabletext"/>
              <w:jc w:val="center"/>
            </w:pPr>
            <w:r w:rsidRPr="00EA6994">
              <w:t>17</w:t>
            </w:r>
          </w:p>
        </w:tc>
        <w:tc>
          <w:tcPr>
            <w:tcW w:w="2268" w:type="dxa"/>
          </w:tcPr>
          <w:p w14:paraId="6677C540" w14:textId="77777777" w:rsidR="00A243E7" w:rsidRPr="00EA6994" w:rsidRDefault="00A243E7" w:rsidP="00ED040B">
            <w:pPr>
              <w:pStyle w:val="Tabletext"/>
              <w:jc w:val="center"/>
            </w:pPr>
          </w:p>
        </w:tc>
      </w:tr>
      <w:tr w:rsidR="00A243E7" w:rsidRPr="002B4D17" w14:paraId="74A944B8" w14:textId="77777777" w:rsidTr="00ED040B">
        <w:trPr>
          <w:cantSplit/>
          <w:jc w:val="center"/>
        </w:trPr>
        <w:tc>
          <w:tcPr>
            <w:tcW w:w="1985" w:type="dxa"/>
          </w:tcPr>
          <w:p w14:paraId="232D15E2" w14:textId="77777777" w:rsidR="00A243E7" w:rsidRPr="00EA6994" w:rsidRDefault="00A243E7" w:rsidP="00ED040B">
            <w:pPr>
              <w:pStyle w:val="Tabletext"/>
            </w:pPr>
            <w:r w:rsidRPr="00EA6994">
              <w:t>SES</w:t>
            </w:r>
          </w:p>
        </w:tc>
        <w:tc>
          <w:tcPr>
            <w:tcW w:w="2268" w:type="dxa"/>
          </w:tcPr>
          <w:p w14:paraId="13AD3B0C" w14:textId="77777777" w:rsidR="00A243E7" w:rsidRPr="00E81772" w:rsidRDefault="00A243E7" w:rsidP="00ED040B">
            <w:pPr>
              <w:pStyle w:val="Tabletext"/>
              <w:jc w:val="center"/>
              <w:rPr>
                <w:b/>
                <w:bCs/>
              </w:rPr>
            </w:pPr>
            <w:r w:rsidRPr="00E81772">
              <w:rPr>
                <w:b/>
                <w:bCs/>
              </w:rPr>
              <w:t>18</w:t>
            </w:r>
          </w:p>
        </w:tc>
        <w:tc>
          <w:tcPr>
            <w:tcW w:w="2268" w:type="dxa"/>
          </w:tcPr>
          <w:p w14:paraId="77BEFAD2" w14:textId="77777777" w:rsidR="00A243E7" w:rsidRPr="00EA6994" w:rsidRDefault="00A243E7" w:rsidP="00ED040B">
            <w:pPr>
              <w:pStyle w:val="Tabletext"/>
              <w:jc w:val="center"/>
            </w:pPr>
            <w:r w:rsidRPr="00EA6994">
              <w:t>2.6 × 10</w:t>
            </w:r>
            <w:r w:rsidRPr="000A6772">
              <w:rPr>
                <w:vertAlign w:val="superscript"/>
              </w:rPr>
              <w:t>–6</w:t>
            </w:r>
          </w:p>
        </w:tc>
      </w:tr>
      <w:tr w:rsidR="00A243E7" w:rsidRPr="002B4D17" w14:paraId="50C11473" w14:textId="77777777" w:rsidTr="00ED040B">
        <w:trPr>
          <w:cantSplit/>
          <w:jc w:val="center"/>
        </w:trPr>
        <w:tc>
          <w:tcPr>
            <w:tcW w:w="1985" w:type="dxa"/>
          </w:tcPr>
          <w:p w14:paraId="1CBE3F8E" w14:textId="77777777" w:rsidR="00A243E7" w:rsidRPr="00EA6994" w:rsidRDefault="00A243E7" w:rsidP="00ED040B">
            <w:pPr>
              <w:pStyle w:val="Tabletext"/>
            </w:pPr>
            <w:r w:rsidRPr="00EA6994">
              <w:t>BER 1 × 10</w:t>
            </w:r>
            <w:r w:rsidRPr="000A6772">
              <w:rPr>
                <w:vertAlign w:val="superscript"/>
              </w:rPr>
              <w:t>–3</w:t>
            </w:r>
          </w:p>
        </w:tc>
        <w:tc>
          <w:tcPr>
            <w:tcW w:w="2268" w:type="dxa"/>
          </w:tcPr>
          <w:p w14:paraId="4998F60A" w14:textId="77777777" w:rsidR="00A243E7" w:rsidRPr="00EA6994" w:rsidRDefault="00A243E7" w:rsidP="00ED040B">
            <w:pPr>
              <w:pStyle w:val="Tabletext"/>
              <w:jc w:val="center"/>
            </w:pPr>
            <w:r w:rsidRPr="00EA6994">
              <w:t>19</w:t>
            </w:r>
          </w:p>
        </w:tc>
        <w:tc>
          <w:tcPr>
            <w:tcW w:w="2268" w:type="dxa"/>
          </w:tcPr>
          <w:p w14:paraId="0C23B41B" w14:textId="77777777" w:rsidR="00A243E7" w:rsidRPr="00EA6994" w:rsidRDefault="00A243E7" w:rsidP="00ED040B">
            <w:pPr>
              <w:pStyle w:val="Tabletext"/>
              <w:jc w:val="center"/>
            </w:pPr>
          </w:p>
        </w:tc>
      </w:tr>
    </w:tbl>
    <w:p w14:paraId="1A3A52CD" w14:textId="77777777" w:rsidR="00A243E7" w:rsidRPr="002B4D17" w:rsidRDefault="00A243E7" w:rsidP="00A243E7">
      <w:pPr>
        <w:pStyle w:val="Tablefin"/>
      </w:pPr>
    </w:p>
    <w:p w14:paraId="4A873FD7" w14:textId="77777777" w:rsidR="00A243E7" w:rsidRPr="002B4D17" w:rsidRDefault="00A243E7" w:rsidP="00A243E7">
      <w:pPr>
        <w:jc w:val="both"/>
      </w:pPr>
      <w:r w:rsidRPr="002B4D17">
        <w:t xml:space="preserve">Thus, the short-term criteria proposed to be used in the 18 GHz band have been defined associating the ES and SES EPO (see Table 2) and the corresponding </w:t>
      </w:r>
      <w:r w:rsidRPr="002B4D17">
        <w:rPr>
          <w:i/>
          <w:iCs/>
        </w:rPr>
        <w:t>I</w:t>
      </w:r>
      <w:r w:rsidRPr="002B4D17">
        <w:t>/</w:t>
      </w:r>
      <w:r w:rsidRPr="002B4D17">
        <w:rPr>
          <w:i/>
          <w:iCs/>
        </w:rPr>
        <w:t>N</w:t>
      </w:r>
      <w:r w:rsidRPr="002B4D17">
        <w:t xml:space="preserve"> as defined in Table 3.</w:t>
      </w:r>
    </w:p>
    <w:p w14:paraId="41A8EBE1" w14:textId="77777777" w:rsidR="00A243E7" w:rsidRPr="002B4D17" w:rsidRDefault="00A243E7" w:rsidP="00A243E7">
      <w:pPr>
        <w:pStyle w:val="TableNo"/>
      </w:pPr>
      <w:r w:rsidRPr="002B4D17">
        <w:t>TABLE 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86"/>
        <w:gridCol w:w="2986"/>
        <w:gridCol w:w="3667"/>
      </w:tblGrid>
      <w:tr w:rsidR="00A243E7" w:rsidRPr="002B4D17" w14:paraId="5B0BDAB1" w14:textId="77777777" w:rsidTr="00ED040B">
        <w:trPr>
          <w:cantSplit/>
          <w:jc w:val="center"/>
        </w:trPr>
        <w:tc>
          <w:tcPr>
            <w:tcW w:w="1985" w:type="dxa"/>
            <w:tcBorders>
              <w:top w:val="nil"/>
              <w:left w:val="nil"/>
            </w:tcBorders>
          </w:tcPr>
          <w:p w14:paraId="086DE93D" w14:textId="77777777" w:rsidR="00A243E7" w:rsidRPr="002B4D17" w:rsidRDefault="00A243E7" w:rsidP="000A6772">
            <w:pPr>
              <w:pStyle w:val="Tabletext"/>
            </w:pPr>
          </w:p>
        </w:tc>
        <w:tc>
          <w:tcPr>
            <w:tcW w:w="1985" w:type="dxa"/>
            <w:vAlign w:val="center"/>
          </w:tcPr>
          <w:p w14:paraId="7B997C1C" w14:textId="77777777" w:rsidR="00A243E7" w:rsidRPr="00EA6994" w:rsidRDefault="00A243E7" w:rsidP="00ED040B">
            <w:pPr>
              <w:pStyle w:val="Tablehead"/>
            </w:pPr>
            <w:r w:rsidRPr="00EA6994">
              <w:rPr>
                <w:i/>
                <w:iCs/>
              </w:rPr>
              <w:t>I/N</w:t>
            </w:r>
            <w:r w:rsidRPr="00EA6994">
              <w:t xml:space="preserve"> </w:t>
            </w:r>
            <w:r w:rsidRPr="00EA6994">
              <w:br/>
              <w:t>(dB)</w:t>
            </w:r>
          </w:p>
        </w:tc>
        <w:tc>
          <w:tcPr>
            <w:tcW w:w="2438" w:type="dxa"/>
            <w:vAlign w:val="center"/>
          </w:tcPr>
          <w:p w14:paraId="4A3B2BCB" w14:textId="77777777" w:rsidR="00A243E7" w:rsidRPr="00A243E7" w:rsidRDefault="00A243E7" w:rsidP="00ED040B">
            <w:pPr>
              <w:pStyle w:val="Tablehead"/>
              <w:rPr>
                <w:lang w:val="en-US"/>
              </w:rPr>
            </w:pPr>
            <w:r w:rsidRPr="00A243E7">
              <w:rPr>
                <w:lang w:val="en-US"/>
              </w:rPr>
              <w:t xml:space="preserve">Percentage of time not </w:t>
            </w:r>
            <w:r w:rsidRPr="00A243E7">
              <w:rPr>
                <w:lang w:val="en-US"/>
              </w:rPr>
              <w:br/>
              <w:t>to be exceeded</w:t>
            </w:r>
            <w:r w:rsidRPr="00A243E7">
              <w:rPr>
                <w:lang w:val="en-US"/>
              </w:rPr>
              <w:br/>
              <w:t>(%)</w:t>
            </w:r>
          </w:p>
        </w:tc>
      </w:tr>
      <w:tr w:rsidR="00A243E7" w:rsidRPr="002B4D17" w14:paraId="40D61A53" w14:textId="77777777" w:rsidTr="00ED040B">
        <w:trPr>
          <w:cantSplit/>
          <w:jc w:val="center"/>
        </w:trPr>
        <w:tc>
          <w:tcPr>
            <w:tcW w:w="1985" w:type="dxa"/>
          </w:tcPr>
          <w:p w14:paraId="70D1B13B" w14:textId="77777777" w:rsidR="00A243E7" w:rsidRPr="002B4D17" w:rsidRDefault="00A243E7" w:rsidP="00ED040B">
            <w:pPr>
              <w:pStyle w:val="Tabletext"/>
            </w:pPr>
            <w:r w:rsidRPr="002B4D17">
              <w:t>Criterion 1</w:t>
            </w:r>
          </w:p>
        </w:tc>
        <w:tc>
          <w:tcPr>
            <w:tcW w:w="1985" w:type="dxa"/>
          </w:tcPr>
          <w:p w14:paraId="37892B15" w14:textId="77777777" w:rsidR="00A243E7" w:rsidRPr="002B4D17" w:rsidRDefault="00A243E7" w:rsidP="00ED040B">
            <w:pPr>
              <w:pStyle w:val="Tabletext"/>
              <w:jc w:val="center"/>
            </w:pPr>
            <w:r w:rsidRPr="002B4D17">
              <w:t>14</w:t>
            </w:r>
          </w:p>
        </w:tc>
        <w:tc>
          <w:tcPr>
            <w:tcW w:w="2438" w:type="dxa"/>
          </w:tcPr>
          <w:p w14:paraId="244687D7" w14:textId="77777777" w:rsidR="00A243E7" w:rsidRPr="002B4D17" w:rsidRDefault="00A243E7" w:rsidP="00ED040B">
            <w:pPr>
              <w:pStyle w:val="Tabletext"/>
              <w:jc w:val="center"/>
            </w:pPr>
            <w:r w:rsidRPr="002B4D17">
              <w:t>0.01</w:t>
            </w:r>
          </w:p>
        </w:tc>
      </w:tr>
      <w:tr w:rsidR="00A243E7" w:rsidRPr="002B4D17" w14:paraId="140F9C19" w14:textId="77777777" w:rsidTr="00ED040B">
        <w:trPr>
          <w:cantSplit/>
          <w:jc w:val="center"/>
        </w:trPr>
        <w:tc>
          <w:tcPr>
            <w:tcW w:w="1985" w:type="dxa"/>
          </w:tcPr>
          <w:p w14:paraId="70BCA61C" w14:textId="77777777" w:rsidR="00A243E7" w:rsidRPr="002B4D17" w:rsidRDefault="00A243E7" w:rsidP="00ED040B">
            <w:pPr>
              <w:pStyle w:val="Tabletext"/>
            </w:pPr>
            <w:r w:rsidRPr="002B4D17">
              <w:t>Criterion 2</w:t>
            </w:r>
          </w:p>
        </w:tc>
        <w:tc>
          <w:tcPr>
            <w:tcW w:w="1985" w:type="dxa"/>
          </w:tcPr>
          <w:p w14:paraId="103D76B6" w14:textId="77777777" w:rsidR="00A243E7" w:rsidRPr="002B4D17" w:rsidRDefault="00A243E7" w:rsidP="00ED040B">
            <w:pPr>
              <w:pStyle w:val="Tabletext"/>
              <w:jc w:val="center"/>
            </w:pPr>
            <w:r w:rsidRPr="002B4D17">
              <w:t>18</w:t>
            </w:r>
          </w:p>
        </w:tc>
        <w:tc>
          <w:tcPr>
            <w:tcW w:w="2438" w:type="dxa"/>
          </w:tcPr>
          <w:p w14:paraId="20FFE562" w14:textId="77777777" w:rsidR="00A243E7" w:rsidRPr="002B4D17" w:rsidRDefault="00A243E7" w:rsidP="00ED040B">
            <w:pPr>
              <w:pStyle w:val="Tabletext"/>
              <w:jc w:val="center"/>
            </w:pPr>
            <w:r w:rsidRPr="002B4D17">
              <w:t>0.0003</w:t>
            </w:r>
          </w:p>
        </w:tc>
      </w:tr>
    </w:tbl>
    <w:p w14:paraId="35E4271A" w14:textId="77777777" w:rsidR="00A243E7" w:rsidRPr="002B4D17" w:rsidRDefault="00A243E7" w:rsidP="00A243E7">
      <w:pPr>
        <w:pStyle w:val="Tablefin"/>
        <w:rPr>
          <w:lang w:eastAsia="ja-JP"/>
        </w:rPr>
      </w:pPr>
    </w:p>
    <w:p w14:paraId="0CBCD6E2" w14:textId="77777777" w:rsidR="00A243E7" w:rsidRDefault="00A243E7" w:rsidP="00A243E7">
      <w:pPr>
        <w:tabs>
          <w:tab w:val="clear" w:pos="1134"/>
          <w:tab w:val="clear" w:pos="1871"/>
          <w:tab w:val="clear" w:pos="2268"/>
        </w:tabs>
        <w:overflowPunct/>
        <w:autoSpaceDE/>
        <w:autoSpaceDN/>
        <w:adjustRightInd/>
        <w:spacing w:before="0"/>
        <w:textAlignment w:val="auto"/>
        <w:rPr>
          <w:b/>
          <w:lang w:val="fr-FR"/>
        </w:rPr>
      </w:pPr>
      <w:r>
        <w:br w:type="page"/>
      </w:r>
    </w:p>
    <w:p w14:paraId="438C45B0" w14:textId="77777777" w:rsidR="00A243E7" w:rsidRPr="002B4D17" w:rsidRDefault="00A243E7" w:rsidP="000A6772">
      <w:pPr>
        <w:pStyle w:val="Heading1"/>
      </w:pPr>
      <w:r w:rsidRPr="002B4D17">
        <w:t>4</w:t>
      </w:r>
      <w:r w:rsidRPr="002B4D17">
        <w:tab/>
        <w:t>Long-term criteria</w:t>
      </w:r>
    </w:p>
    <w:p w14:paraId="775A4381" w14:textId="77777777" w:rsidR="00A243E7" w:rsidRPr="002B4D17" w:rsidRDefault="00A243E7" w:rsidP="00E81772">
      <w:pPr>
        <w:tabs>
          <w:tab w:val="left" w:pos="794"/>
        </w:tabs>
      </w:pPr>
      <w:r w:rsidRPr="002B4D17">
        <w:rPr>
          <w:b/>
          <w:bCs/>
        </w:rPr>
        <w:t>4.1</w:t>
      </w:r>
      <w:r w:rsidRPr="002B4D17">
        <w:tab/>
        <w:t xml:space="preserve">The long-term criterion </w:t>
      </w:r>
      <w:r>
        <w:t>specified in Recommendation ITU-</w:t>
      </w:r>
      <w:r w:rsidRPr="002B4D17">
        <w:t xml:space="preserve">R F.758 to be used for the 18 GHz band is </w:t>
      </w:r>
      <w:r w:rsidRPr="002B4D17">
        <w:rPr>
          <w:i/>
          <w:iCs/>
        </w:rPr>
        <w:t>I</w:t>
      </w:r>
      <w:r w:rsidRPr="002B4D17">
        <w:t>/</w:t>
      </w:r>
      <w:r w:rsidRPr="002B4D17">
        <w:rPr>
          <w:i/>
          <w:iCs/>
        </w:rPr>
        <w:t>N</w:t>
      </w:r>
      <w:r w:rsidRPr="002B4D17">
        <w:t> </w:t>
      </w:r>
      <w:r w:rsidRPr="00845248">
        <w:t>=</w:t>
      </w:r>
      <w:r w:rsidRPr="002B4D17">
        <w:t> –10 dB (which gives a 0.5 dB degradation of the fade margin) not to be exceeded for more than 20</w:t>
      </w:r>
      <w:r w:rsidRPr="00845248">
        <w:t>%</w:t>
      </w:r>
      <w:r w:rsidRPr="002B4D17">
        <w:t xml:space="preserve"> of the time. But in some cases only one threshold point for the long</w:t>
      </w:r>
      <w:r>
        <w:noBreakHyphen/>
      </w:r>
      <w:r w:rsidRPr="002B4D17">
        <w:t xml:space="preserve">term criterion is not enough to protect FS systems and the </w:t>
      </w:r>
      <w:r w:rsidRPr="002B4D17">
        <w:rPr>
          <w:i/>
          <w:iCs/>
        </w:rPr>
        <w:t>I</w:t>
      </w:r>
      <w:r w:rsidRPr="002B4D17">
        <w:t>/</w:t>
      </w:r>
      <w:r w:rsidRPr="002B4D17">
        <w:rPr>
          <w:i/>
          <w:iCs/>
        </w:rPr>
        <w:t>N</w:t>
      </w:r>
      <w:r w:rsidRPr="002B4D17">
        <w:t xml:space="preserve"> distribution up to the first short-term criterion should be also taken into account to be sure that total </w:t>
      </w:r>
      <w:r w:rsidRPr="009866AE">
        <w:t>apportionment</w:t>
      </w:r>
      <w:r w:rsidRPr="002B4D17">
        <w:t xml:space="preserve"> of EPOs will not exceed 10%.</w:t>
      </w:r>
    </w:p>
    <w:p w14:paraId="5CDCB282" w14:textId="77777777" w:rsidR="00A243E7" w:rsidRPr="002B4D17" w:rsidRDefault="00A243E7" w:rsidP="000A6772">
      <w:r w:rsidRPr="002B4D17">
        <w:t>Finally, considering low net fade margin, and based on the information provided by Radiocommunication Working Party 3M that, under clear air conditions, multipath effects would have to be considered, it has been acknowledged that some performance degradation could occur due to the simultaneous effect of interference and multipath</w:t>
      </w:r>
      <w:r>
        <w:t xml:space="preserve"> fading using, for example, the </w:t>
      </w:r>
      <w:r w:rsidRPr="002B4D17">
        <w:t xml:space="preserve">fractional degradation in performance (FDP) approach (see </w:t>
      </w:r>
      <w:r>
        <w:t>Recommendation ITU-R F.1108) or </w:t>
      </w:r>
      <w:r w:rsidRPr="002B4D17">
        <w:t>the following formula:</w:t>
      </w:r>
    </w:p>
    <w:p w14:paraId="19B90ECE" w14:textId="77777777" w:rsidR="00A243E7" w:rsidRPr="002B4D17" w:rsidRDefault="00A243E7" w:rsidP="00A243E7">
      <w:pPr>
        <w:pStyle w:val="Equation"/>
      </w:pPr>
      <w:r w:rsidRPr="00845248">
        <w:rPr>
          <w:lang w:val="en-US"/>
        </w:rPr>
        <w:tab/>
      </w:r>
      <w:r w:rsidRPr="00845248">
        <w:rPr>
          <w:lang w:val="en-US"/>
        </w:rPr>
        <w:tab/>
      </w:r>
      <w:r w:rsidRPr="002B4D17">
        <w:object w:dxaOrig="3580" w:dyaOrig="960" w14:anchorId="41354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95pt;height:47.8pt" o:ole="">
            <v:imagedata r:id="rId12" o:title=""/>
          </v:shape>
          <o:OLEObject Type="Embed" ProgID="Equation.3" ShapeID="_x0000_i1025" DrawAspect="Content" ObjectID="_1660476482" r:id="rId13"/>
        </w:object>
      </w:r>
    </w:p>
    <w:p w14:paraId="6B79A5B0" w14:textId="77777777" w:rsidR="00A243E7" w:rsidRPr="002B4D17" w:rsidRDefault="00A243E7" w:rsidP="00A243E7">
      <w:pPr>
        <w:jc w:val="both"/>
      </w:pPr>
      <w:r w:rsidRPr="002B4D17">
        <w:t>where:</w:t>
      </w:r>
    </w:p>
    <w:p w14:paraId="34D63B43" w14:textId="77777777" w:rsidR="00A243E7" w:rsidRPr="002B4D17" w:rsidRDefault="00A243E7" w:rsidP="00A243E7">
      <w:pPr>
        <w:pStyle w:val="Equationlegend"/>
      </w:pPr>
      <w:r w:rsidRPr="002B4D17">
        <w:rPr>
          <w:i/>
        </w:rPr>
        <w:tab/>
        <w:t>D</w:t>
      </w:r>
      <w:r w:rsidRPr="002B4D17">
        <w:rPr>
          <w:i/>
          <w:vertAlign w:val="subscript"/>
        </w:rPr>
        <w:t>lt</w:t>
      </w:r>
      <w:r w:rsidRPr="002B4D17">
        <w:rPr>
          <w:i/>
          <w:iCs/>
          <w:position w:val="-4"/>
          <w:sz w:val="16"/>
        </w:rPr>
        <w:t>EPO</w:t>
      </w:r>
      <w:r w:rsidRPr="002B4D17">
        <w:rPr>
          <w:rFonts w:ascii="Tms Rmn" w:hAnsi="Tms Rmn"/>
          <w:sz w:val="12"/>
        </w:rPr>
        <w:t> </w:t>
      </w:r>
      <w:r w:rsidRPr="002B4D17">
        <w:t>:</w:t>
      </w:r>
      <w:r w:rsidRPr="002B4D17">
        <w:tab/>
      </w:r>
      <w:r w:rsidRPr="00C3767D">
        <w:t xml:space="preserve">apportionment </w:t>
      </w:r>
      <w:r w:rsidRPr="002B4D17">
        <w:t>on error performance objectives</w:t>
      </w:r>
      <w:r>
        <w:t>.</w:t>
      </w:r>
    </w:p>
    <w:p w14:paraId="19AC4997" w14:textId="77777777" w:rsidR="00A243E7" w:rsidRPr="002B4D17" w:rsidRDefault="00A243E7" w:rsidP="00A243E7">
      <w:pPr>
        <w:rPr>
          <w:lang w:eastAsia="ja-JP"/>
        </w:rPr>
      </w:pPr>
      <w:r w:rsidRPr="002B4D17">
        <w:t>The significance of degradation to availability may also need to be assessed.</w:t>
      </w:r>
    </w:p>
    <w:p w14:paraId="018FEDF1" w14:textId="77777777" w:rsidR="00A243E7" w:rsidRPr="002B4D17" w:rsidRDefault="00A243E7" w:rsidP="00E81772">
      <w:pPr>
        <w:tabs>
          <w:tab w:val="left" w:pos="794"/>
        </w:tabs>
        <w:jc w:val="both"/>
      </w:pPr>
      <w:r w:rsidRPr="002B4D17">
        <w:rPr>
          <w:b/>
          <w:bCs/>
        </w:rPr>
        <w:t>4.2</w:t>
      </w:r>
      <w:r w:rsidRPr="002B4D17">
        <w:tab/>
        <w:t>Although FDP as provided in Recommendation ITU-R F.1108 may be sufficient for receivers without ATPC, the FDP for receivers employing ATPC req</w:t>
      </w:r>
      <w:r>
        <w:t>uires additional consideration.</w:t>
      </w:r>
    </w:p>
    <w:p w14:paraId="09A7DFFD" w14:textId="77777777" w:rsidR="00A243E7" w:rsidRPr="002B4D17" w:rsidRDefault="00A243E7" w:rsidP="00A243E7">
      <w:pPr>
        <w:spacing w:before="60"/>
        <w:ind w:right="-142"/>
        <w:jc w:val="both"/>
      </w:pPr>
      <w:r w:rsidRPr="002B4D17">
        <w:t xml:space="preserve">Consider a system equipped with ATPC. It operates at a reduced transmit power until the desired signal fades more than a threshold amount, </w:t>
      </w:r>
      <w:r w:rsidRPr="002B4D17">
        <w:rPr>
          <w:i/>
        </w:rPr>
        <w:t>A</w:t>
      </w:r>
      <w:r w:rsidRPr="002B4D17">
        <w:rPr>
          <w:i/>
          <w:vertAlign w:val="subscript"/>
        </w:rPr>
        <w:t>T</w:t>
      </w:r>
      <w:r w:rsidRPr="002B4D17">
        <w:t xml:space="preserve"> (dB). For fading </w:t>
      </w:r>
      <w:r>
        <w:t>beyond the threshold value, the </w:t>
      </w:r>
      <w:r w:rsidRPr="002B4D17">
        <w:t xml:space="preserve">transmit power is increased to maintain essentially a constant power level at the receiver until the signal is faded by </w:t>
      </w:r>
      <w:r w:rsidRPr="002B4D17">
        <w:rPr>
          <w:i/>
        </w:rPr>
        <w:t>A</w:t>
      </w:r>
      <w:r w:rsidRPr="002B4D17">
        <w:rPr>
          <w:i/>
          <w:vertAlign w:val="subscript"/>
        </w:rPr>
        <w:t>M</w:t>
      </w:r>
      <w:r w:rsidRPr="002B4D17">
        <w:t xml:space="preserve"> (dB). For fade depths greater than </w:t>
      </w:r>
      <w:r w:rsidRPr="002B4D17">
        <w:rPr>
          <w:i/>
        </w:rPr>
        <w:t>A</w:t>
      </w:r>
      <w:r w:rsidRPr="002B4D17">
        <w:rPr>
          <w:i/>
          <w:vertAlign w:val="subscript"/>
        </w:rPr>
        <w:t>M</w:t>
      </w:r>
      <w:r w:rsidRPr="002B4D17">
        <w:t xml:space="preserve"> the transmitter operates at maximum power. Thus, the ATPC range is </w:t>
      </w:r>
      <w:r w:rsidRPr="002B4D17">
        <w:rPr>
          <w:i/>
        </w:rPr>
        <w:t>A</w:t>
      </w:r>
      <w:r w:rsidRPr="002B4D17">
        <w:rPr>
          <w:i/>
          <w:vertAlign w:val="subscript"/>
        </w:rPr>
        <w:t>R</w:t>
      </w:r>
      <w:r w:rsidRPr="002B4D17">
        <w:t xml:space="preserve"> where</w:t>
      </w:r>
      <w:r w:rsidRPr="002B4D17">
        <w:rPr>
          <w:position w:val="-10"/>
        </w:rPr>
        <w:object w:dxaOrig="1400" w:dyaOrig="340" w14:anchorId="337851A5">
          <v:shape id="_x0000_i1026" type="#_x0000_t75" style="width:69.85pt;height:18.25pt" o:ole="">
            <v:imagedata r:id="rId14" o:title=""/>
          </v:shape>
          <o:OLEObject Type="Embed" ProgID="Equation.3" ShapeID="_x0000_i1026" DrawAspect="Content" ObjectID="_1660476483" r:id="rId15"/>
        </w:object>
      </w:r>
      <w:r w:rsidRPr="002B4D17">
        <w:t xml:space="preserve">. Denoting the fade margin as </w:t>
      </w:r>
      <w:r w:rsidRPr="002B4D17">
        <w:rPr>
          <w:i/>
        </w:rPr>
        <w:t>A</w:t>
      </w:r>
      <w:r w:rsidRPr="002B4D17">
        <w:rPr>
          <w:i/>
          <w:vertAlign w:val="subscript"/>
        </w:rPr>
        <w:t>FM</w:t>
      </w:r>
      <w:r>
        <w:t>, the </w:t>
      </w:r>
      <w:r w:rsidRPr="002B4D17">
        <w:t xml:space="preserve">difference between the fade margin and the full-power fade depth is denoted as </w:t>
      </w:r>
      <w:r w:rsidRPr="002B4D17">
        <w:rPr>
          <w:position w:val="-12"/>
        </w:rPr>
        <w:object w:dxaOrig="1660" w:dyaOrig="360" w14:anchorId="29E0E5CF">
          <v:shape id="_x0000_i1027" type="#_x0000_t75" style="width:83.3pt;height:18.25pt" o:ole="">
            <v:imagedata r:id="rId16" o:title=""/>
          </v:shape>
          <o:OLEObject Type="Embed" ProgID="Equation.3" ShapeID="_x0000_i1027" DrawAspect="Content" ObjectID="_1660476484" r:id="rId17"/>
        </w:object>
      </w:r>
      <w:r w:rsidRPr="002B4D17">
        <w:t>.</w:t>
      </w:r>
    </w:p>
    <w:p w14:paraId="0848B18D" w14:textId="77777777" w:rsidR="00A243E7" w:rsidRPr="002B4D17" w:rsidRDefault="00A243E7" w:rsidP="00A243E7">
      <w:pPr>
        <w:jc w:val="both"/>
      </w:pPr>
      <w:r w:rsidRPr="002B4D17">
        <w:t>For receivers employing ATPC, it can be shown that the FDP may be expressed as:</w:t>
      </w:r>
    </w:p>
    <w:p w14:paraId="67D01585" w14:textId="77777777" w:rsidR="00A243E7" w:rsidRPr="002B4D17" w:rsidRDefault="00A243E7" w:rsidP="00A243E7">
      <w:pPr>
        <w:pStyle w:val="Equation"/>
      </w:pPr>
      <w:r w:rsidRPr="00845248">
        <w:rPr>
          <w:lang w:val="en-US"/>
        </w:rPr>
        <w:tab/>
      </w:r>
      <w:r w:rsidRPr="00845248">
        <w:rPr>
          <w:lang w:val="en-US"/>
        </w:rPr>
        <w:tab/>
      </w:r>
      <w:r w:rsidRPr="002B4D17">
        <w:rPr>
          <w:noProof/>
          <w:lang w:val="en-US" w:eastAsia="zh-CN"/>
        </w:rPr>
        <w:drawing>
          <wp:inline distT="0" distB="0" distL="0" distR="0" wp14:anchorId="33DCF8E3" wp14:editId="3F44E944">
            <wp:extent cx="1456690" cy="226695"/>
            <wp:effectExtent l="1905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456690" cy="226695"/>
                    </a:xfrm>
                    <a:prstGeom prst="rect">
                      <a:avLst/>
                    </a:prstGeom>
                    <a:noFill/>
                    <a:ln w="9525">
                      <a:noFill/>
                      <a:miter lim="800000"/>
                      <a:headEnd/>
                      <a:tailEnd/>
                    </a:ln>
                  </pic:spPr>
                </pic:pic>
              </a:graphicData>
            </a:graphic>
          </wp:inline>
        </w:drawing>
      </w:r>
    </w:p>
    <w:p w14:paraId="34D686B7" w14:textId="77777777" w:rsidR="00A243E7" w:rsidRPr="002B4D17" w:rsidRDefault="00A243E7" w:rsidP="00A243E7">
      <w:r w:rsidRPr="002B4D17">
        <w:t xml:space="preserve">where </w:t>
      </w:r>
      <w:r w:rsidRPr="002B4D17">
        <w:rPr>
          <w:i/>
          <w:iCs/>
        </w:rPr>
        <w:t>FDP</w:t>
      </w:r>
      <w:r w:rsidRPr="002B4D17">
        <w:rPr>
          <w:vertAlign w:val="subscript"/>
        </w:rPr>
        <w:t>0</w:t>
      </w:r>
      <w:r w:rsidRPr="002B4D17">
        <w:t xml:space="preserve"> is the usual FDP as derived in Recommendation ITU-R F.1108 and given here as:</w:t>
      </w:r>
    </w:p>
    <w:p w14:paraId="24FAF226" w14:textId="77777777" w:rsidR="00A243E7" w:rsidRPr="002B4D17" w:rsidRDefault="00A243E7" w:rsidP="00A243E7">
      <w:pPr>
        <w:pStyle w:val="Equation"/>
      </w:pPr>
      <w:r w:rsidRPr="00845248">
        <w:rPr>
          <w:lang w:val="en-US"/>
        </w:rPr>
        <w:tab/>
      </w:r>
      <w:r w:rsidRPr="00845248">
        <w:rPr>
          <w:lang w:val="en-US"/>
        </w:rPr>
        <w:tab/>
      </w:r>
      <w:r w:rsidRPr="002B4D17">
        <w:rPr>
          <w:noProof/>
          <w:lang w:val="en-US" w:eastAsia="zh-CN"/>
        </w:rPr>
        <w:drawing>
          <wp:inline distT="0" distB="0" distL="0" distR="0" wp14:anchorId="51B5B682" wp14:editId="43278D24">
            <wp:extent cx="1375410" cy="4127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1375410" cy="412750"/>
                    </a:xfrm>
                    <a:prstGeom prst="rect">
                      <a:avLst/>
                    </a:prstGeom>
                    <a:noFill/>
                    <a:ln w="9525">
                      <a:noFill/>
                      <a:miter lim="800000"/>
                      <a:headEnd/>
                      <a:tailEnd/>
                    </a:ln>
                  </pic:spPr>
                </pic:pic>
              </a:graphicData>
            </a:graphic>
          </wp:inline>
        </w:drawing>
      </w:r>
    </w:p>
    <w:p w14:paraId="4A286336" w14:textId="77777777" w:rsidR="00A243E7" w:rsidRPr="002B4D17" w:rsidRDefault="00A243E7" w:rsidP="00A243E7">
      <w:r w:rsidRPr="002B4D17">
        <w:t>and the contribution due to ATPC and interference is given by:</w:t>
      </w:r>
    </w:p>
    <w:p w14:paraId="0A72EC6E" w14:textId="77777777" w:rsidR="00A243E7" w:rsidRPr="002B4D17" w:rsidRDefault="00A243E7" w:rsidP="00A243E7">
      <w:pPr>
        <w:pStyle w:val="Equation"/>
      </w:pPr>
      <w:r w:rsidRPr="00845248">
        <w:rPr>
          <w:lang w:val="en-US"/>
        </w:rPr>
        <w:tab/>
      </w:r>
      <w:r w:rsidRPr="00845248">
        <w:rPr>
          <w:lang w:val="en-US"/>
        </w:rPr>
        <w:tab/>
      </w:r>
      <w:r w:rsidRPr="002B4D17">
        <w:rPr>
          <w:noProof/>
          <w:lang w:val="en-US" w:eastAsia="zh-CN"/>
        </w:rPr>
        <w:drawing>
          <wp:inline distT="0" distB="0" distL="0" distR="0" wp14:anchorId="5F5E77D7" wp14:editId="4628642C">
            <wp:extent cx="2597785" cy="46101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2597785" cy="461010"/>
                    </a:xfrm>
                    <a:prstGeom prst="rect">
                      <a:avLst/>
                    </a:prstGeom>
                    <a:noFill/>
                    <a:ln w="9525">
                      <a:noFill/>
                      <a:miter lim="800000"/>
                      <a:headEnd/>
                      <a:tailEnd/>
                    </a:ln>
                  </pic:spPr>
                </pic:pic>
              </a:graphicData>
            </a:graphic>
          </wp:inline>
        </w:drawing>
      </w:r>
    </w:p>
    <w:p w14:paraId="75E4FB52" w14:textId="77777777" w:rsidR="00A243E7" w:rsidRPr="002B4D17" w:rsidRDefault="00A243E7" w:rsidP="00A243E7">
      <w:pPr>
        <w:jc w:val="both"/>
      </w:pPr>
      <w:r w:rsidRPr="002B4D17">
        <w:t>It is assumed here that (</w:t>
      </w:r>
      <w:r w:rsidRPr="002B4D17">
        <w:rPr>
          <w:i/>
          <w:iCs/>
        </w:rPr>
        <w:t>i</w:t>
      </w:r>
      <w:r w:rsidRPr="002B4D17">
        <w:t>/</w:t>
      </w:r>
      <w:r w:rsidRPr="002B4D17">
        <w:rPr>
          <w:i/>
          <w:iCs/>
        </w:rPr>
        <w:t>n</w:t>
      </w:r>
      <w:r w:rsidRPr="002B4D17">
        <w:t>)</w:t>
      </w:r>
      <w:r w:rsidRPr="002B4D17">
        <w:rPr>
          <w:i/>
          <w:iCs/>
          <w:vertAlign w:val="subscript"/>
        </w:rPr>
        <w:t>k</w:t>
      </w:r>
      <w:r w:rsidRPr="002B4D17">
        <w:rPr>
          <w:vertAlign w:val="subscript"/>
        </w:rPr>
        <w:t>+1</w:t>
      </w:r>
      <w:r w:rsidRPr="002B4D17">
        <w:t xml:space="preserve"> is greater than (</w:t>
      </w:r>
      <w:r w:rsidRPr="002B4D17">
        <w:rPr>
          <w:i/>
          <w:iCs/>
        </w:rPr>
        <w:t>i</w:t>
      </w:r>
      <w:r w:rsidRPr="002B4D17">
        <w:t>/</w:t>
      </w:r>
      <w:r w:rsidRPr="002B4D17">
        <w:rPr>
          <w:i/>
          <w:iCs/>
        </w:rPr>
        <w:t>n</w:t>
      </w:r>
      <w:r w:rsidRPr="002B4D17">
        <w:t>)</w:t>
      </w:r>
      <w:r w:rsidRPr="002B4D17">
        <w:rPr>
          <w:i/>
          <w:iCs/>
          <w:vertAlign w:val="subscript"/>
        </w:rPr>
        <w:t>k</w:t>
      </w:r>
      <w:r w:rsidRPr="002B4D17">
        <w:t xml:space="preserve"> and that </w:t>
      </w:r>
      <w:r w:rsidRPr="002B4D17">
        <w:rPr>
          <w:i/>
          <w:iCs/>
        </w:rPr>
        <w:t>k</w:t>
      </w:r>
      <w:r w:rsidRPr="002B4D17">
        <w:rPr>
          <w:i/>
          <w:iCs/>
          <w:vertAlign w:val="subscript"/>
        </w:rPr>
        <w:t>c</w:t>
      </w:r>
      <w:r w:rsidRPr="002B4D17">
        <w:t xml:space="preserve"> is the largest index for which:</w:t>
      </w:r>
    </w:p>
    <w:p w14:paraId="6C8A5DF1" w14:textId="77777777" w:rsidR="00A243E7" w:rsidRPr="002B4D17" w:rsidRDefault="00A243E7" w:rsidP="00A243E7">
      <w:pPr>
        <w:pStyle w:val="Equation"/>
      </w:pPr>
      <w:r w:rsidRPr="00845248">
        <w:rPr>
          <w:lang w:val="en-US"/>
        </w:rPr>
        <w:tab/>
      </w:r>
      <w:r w:rsidRPr="00845248">
        <w:rPr>
          <w:lang w:val="en-US"/>
        </w:rPr>
        <w:tab/>
      </w:r>
      <w:r w:rsidRPr="002B4D17">
        <w:rPr>
          <w:noProof/>
          <w:lang w:val="en-US" w:eastAsia="zh-CN"/>
        </w:rPr>
        <w:drawing>
          <wp:inline distT="0" distB="0" distL="0" distR="0" wp14:anchorId="1697C97F" wp14:editId="5819DAFC">
            <wp:extent cx="1448435" cy="226695"/>
            <wp:effectExtent l="1905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1448435" cy="226695"/>
                    </a:xfrm>
                    <a:prstGeom prst="rect">
                      <a:avLst/>
                    </a:prstGeom>
                    <a:noFill/>
                    <a:ln w="9525">
                      <a:noFill/>
                      <a:miter lim="800000"/>
                      <a:headEnd/>
                      <a:tailEnd/>
                    </a:ln>
                  </pic:spPr>
                </pic:pic>
              </a:graphicData>
            </a:graphic>
          </wp:inline>
        </w:drawing>
      </w:r>
    </w:p>
    <w:p w14:paraId="1342C8C9" w14:textId="77777777" w:rsidR="00A243E7" w:rsidRDefault="00A243E7" w:rsidP="00A243E7">
      <w:pPr>
        <w:tabs>
          <w:tab w:val="clear" w:pos="1134"/>
          <w:tab w:val="clear" w:pos="1871"/>
          <w:tab w:val="clear" w:pos="2268"/>
        </w:tabs>
        <w:overflowPunct/>
        <w:autoSpaceDE/>
        <w:autoSpaceDN/>
        <w:adjustRightInd/>
        <w:spacing w:before="0"/>
        <w:textAlignment w:val="auto"/>
      </w:pPr>
      <w:r>
        <w:br w:type="page"/>
      </w:r>
    </w:p>
    <w:p w14:paraId="041D7F98" w14:textId="77777777" w:rsidR="00A243E7" w:rsidRPr="002B4D17" w:rsidRDefault="00A243E7" w:rsidP="00A243E7">
      <w:pPr>
        <w:jc w:val="both"/>
      </w:pPr>
      <w:r w:rsidRPr="002B4D17">
        <w:t xml:space="preserve">An alternative approach to determining </w:t>
      </w:r>
      <w:r w:rsidRPr="002B4D17">
        <w:rPr>
          <w:i/>
          <w:iCs/>
        </w:rPr>
        <w:t>D</w:t>
      </w:r>
      <w:r w:rsidRPr="002B4D17">
        <w:rPr>
          <w:i/>
          <w:iCs/>
          <w:vertAlign w:val="subscript"/>
        </w:rPr>
        <w:t>ltEPO</w:t>
      </w:r>
      <w:r w:rsidRPr="002B4D17">
        <w:t xml:space="preserve"> for receivers employing ATPC is given as follows:</w:t>
      </w:r>
    </w:p>
    <w:p w14:paraId="7AB4A303" w14:textId="77777777" w:rsidR="00A243E7" w:rsidRPr="00845248" w:rsidRDefault="00A243E7" w:rsidP="00A243E7">
      <w:pPr>
        <w:pStyle w:val="Equation"/>
        <w:rPr>
          <w:lang w:val="en-US"/>
        </w:rPr>
      </w:pPr>
      <w:r w:rsidRPr="00845248">
        <w:rPr>
          <w:lang w:val="en-US"/>
        </w:rPr>
        <w:tab/>
      </w:r>
      <w:r w:rsidRPr="00845248">
        <w:rPr>
          <w:lang w:val="en-US"/>
        </w:rPr>
        <w:tab/>
      </w:r>
      <w:r w:rsidRPr="00845248">
        <w:rPr>
          <w:i/>
          <w:iCs/>
          <w:lang w:val="en-US"/>
        </w:rPr>
        <w:t>D</w:t>
      </w:r>
      <w:r w:rsidRPr="00845248">
        <w:rPr>
          <w:i/>
          <w:iCs/>
          <w:position w:val="-4"/>
          <w:sz w:val="18"/>
          <w:lang w:val="en-US"/>
        </w:rPr>
        <w:t>ltEPO</w:t>
      </w:r>
      <w:r w:rsidRPr="00845248">
        <w:rPr>
          <w:lang w:val="en-US"/>
        </w:rPr>
        <w:t>  </w:t>
      </w:r>
      <w:r w:rsidRPr="00845248">
        <w:sym w:font="Symbol" w:char="F0BB"/>
      </w:r>
      <w:r w:rsidRPr="00845248">
        <w:rPr>
          <w:lang w:val="en-US"/>
        </w:rPr>
        <w:t>  </w:t>
      </w:r>
      <w:r w:rsidRPr="002B4D17">
        <w:rPr>
          <w:position w:val="-50"/>
          <w:sz w:val="20"/>
        </w:rPr>
        <w:object w:dxaOrig="5520" w:dyaOrig="1120" w14:anchorId="72F2EB2E">
          <v:shape id="_x0000_i1028" type="#_x0000_t75" style="width:269.75pt;height:56.4pt" o:ole="">
            <v:imagedata r:id="rId22" o:title=""/>
          </v:shape>
          <o:OLEObject Type="Embed" ProgID="Equation.3" ShapeID="_x0000_i1028" DrawAspect="Content" ObjectID="_1660476485" r:id="rId23"/>
        </w:object>
      </w:r>
      <w:r w:rsidRPr="00845248">
        <w:rPr>
          <w:lang w:val="en-US"/>
        </w:rPr>
        <w:t xml:space="preserve"> </w:t>
      </w:r>
    </w:p>
    <w:p w14:paraId="7EDE9E26" w14:textId="77777777" w:rsidR="00A243E7" w:rsidRPr="002B4D17" w:rsidRDefault="00A243E7" w:rsidP="00A243E7">
      <w:r w:rsidRPr="002B4D17">
        <w:t>where:</w:t>
      </w:r>
    </w:p>
    <w:p w14:paraId="3D6625F2" w14:textId="77777777" w:rsidR="00A243E7" w:rsidRPr="002B4D17" w:rsidRDefault="00A243E7" w:rsidP="00A243E7">
      <w:pPr>
        <w:pStyle w:val="Equationlegend"/>
      </w:pPr>
      <w:r w:rsidRPr="002B4D17">
        <w:rPr>
          <w:i/>
          <w:iCs/>
        </w:rPr>
        <w:tab/>
        <w:t>I</w:t>
      </w:r>
      <w:r w:rsidRPr="002B4D17">
        <w:t>(</w:t>
      </w:r>
      <w:r w:rsidRPr="002B4D17">
        <w:rPr>
          <w:i/>
          <w:iCs/>
        </w:rPr>
        <w:t>t</w:t>
      </w:r>
      <w:r w:rsidRPr="002B4D17">
        <w:t>):</w:t>
      </w:r>
      <w:r w:rsidRPr="002B4D17">
        <w:tab/>
        <w:t xml:space="preserve">interference power (W) that is exceeded for the fraction of time </w:t>
      </w:r>
      <w:r w:rsidRPr="002B4D17">
        <w:rPr>
          <w:i/>
          <w:iCs/>
        </w:rPr>
        <w:t>t</w:t>
      </w:r>
      <w:r>
        <w:rPr>
          <w:i/>
          <w:iCs/>
        </w:rPr>
        <w:t>;</w:t>
      </w:r>
    </w:p>
    <w:p w14:paraId="12CA7E6C" w14:textId="77777777" w:rsidR="00A243E7" w:rsidRPr="002B4D17" w:rsidRDefault="00A243E7" w:rsidP="00A243E7">
      <w:pPr>
        <w:pStyle w:val="Equationlegend"/>
      </w:pPr>
      <w:r w:rsidRPr="002B4D17">
        <w:rPr>
          <w:i/>
          <w:iCs/>
        </w:rPr>
        <w:tab/>
        <w:t>t</w:t>
      </w:r>
      <w:r w:rsidRPr="002B4D17">
        <w:rPr>
          <w:i/>
          <w:iCs/>
          <w:vertAlign w:val="subscript"/>
        </w:rPr>
        <w:t>f</w:t>
      </w:r>
      <w:r w:rsidRPr="002B4D17">
        <w:t>:</w:t>
      </w:r>
      <w:r w:rsidRPr="002B4D17">
        <w:tab/>
        <w:t xml:space="preserve">fraction of time that </w:t>
      </w:r>
      <w:r w:rsidRPr="002B4D17">
        <w:rPr>
          <w:i/>
          <w:iCs/>
        </w:rPr>
        <w:t>I</w:t>
      </w:r>
      <w:r w:rsidRPr="002B4D17">
        <w:t>(</w:t>
      </w:r>
      <w:r w:rsidRPr="002B4D17">
        <w:rPr>
          <w:i/>
          <w:iCs/>
        </w:rPr>
        <w:t>t</w:t>
      </w:r>
      <w:r w:rsidRPr="002B4D17">
        <w:t>)/</w:t>
      </w:r>
      <w:r w:rsidRPr="002B4D17">
        <w:rPr>
          <w:i/>
          <w:iCs/>
        </w:rPr>
        <w:t>N</w:t>
      </w:r>
      <w:r w:rsidRPr="002B4D17">
        <w:t xml:space="preserve"> (dB) exceeds </w:t>
      </w:r>
      <w:r w:rsidRPr="002B4D17">
        <w:rPr>
          <w:i/>
          <w:iCs/>
        </w:rPr>
        <w:t>A</w:t>
      </w:r>
      <w:r w:rsidRPr="002B4D17">
        <w:rPr>
          <w:i/>
          <w:iCs/>
          <w:vertAlign w:val="subscript"/>
        </w:rPr>
        <w:t>w</w:t>
      </w:r>
      <w:r w:rsidRPr="002B4D17">
        <w:t>.</w:t>
      </w:r>
    </w:p>
    <w:p w14:paraId="7D60AFFA" w14:textId="77777777" w:rsidR="00A243E7" w:rsidRDefault="00A243E7" w:rsidP="00E81772">
      <w:pPr>
        <w:tabs>
          <w:tab w:val="left" w:pos="794"/>
        </w:tabs>
        <w:jc w:val="both"/>
      </w:pPr>
      <w:r w:rsidRPr="002B4D17">
        <w:rPr>
          <w:b/>
          <w:bCs/>
        </w:rPr>
        <w:t>4.3</w:t>
      </w:r>
      <w:r w:rsidRPr="002B4D17">
        <w:tab/>
        <w:t xml:space="preserve">It should be noted that in some of these cases where high </w:t>
      </w:r>
      <w:r w:rsidRPr="002B4D17">
        <w:rPr>
          <w:i/>
          <w:iCs/>
        </w:rPr>
        <w:t>I</w:t>
      </w:r>
      <w:r w:rsidRPr="002B4D17">
        <w:t>/</w:t>
      </w:r>
      <w:r w:rsidRPr="002B4D17">
        <w:rPr>
          <w:i/>
          <w:iCs/>
        </w:rPr>
        <w:t>N</w:t>
      </w:r>
      <w:r>
        <w:t xml:space="preserve"> values are considered, the </w:t>
      </w:r>
      <w:r w:rsidRPr="002B4D17">
        <w:t>long-term criteria as described in § 4.1 may provide the required FS protection. Reallocation of degradations from long- and short-term interference inside the total allowable EPOs</w:t>
      </w:r>
      <w:r>
        <w:t xml:space="preserve"> </w:t>
      </w:r>
      <w:r w:rsidRPr="00C3767D">
        <w:t>apportionment</w:t>
      </w:r>
      <w:r w:rsidRPr="002B4D17">
        <w:t xml:space="preserve"> of 10% also could be considered.</w:t>
      </w:r>
    </w:p>
    <w:p w14:paraId="014BF340" w14:textId="77777777" w:rsidR="00A243E7" w:rsidRDefault="00A243E7" w:rsidP="00A243E7">
      <w:pPr>
        <w:jc w:val="both"/>
      </w:pPr>
    </w:p>
    <w:p w14:paraId="59BF813E" w14:textId="77777777" w:rsidR="00A243E7" w:rsidRDefault="00A243E7" w:rsidP="00A243E7">
      <w:pPr>
        <w:jc w:val="both"/>
      </w:pPr>
    </w:p>
    <w:p w14:paraId="22CDFAB2" w14:textId="77777777" w:rsidR="00A243E7" w:rsidRPr="002B4D17" w:rsidRDefault="00A243E7" w:rsidP="00A243E7">
      <w:pPr>
        <w:pStyle w:val="Line"/>
      </w:pPr>
      <w:bookmarkStart w:id="4" w:name="_GoBack"/>
      <w:bookmarkEnd w:id="4"/>
    </w:p>
    <w:sectPr w:rsidR="00A243E7" w:rsidRPr="002B4D17" w:rsidSect="000A6772">
      <w:headerReference w:type="even" r:id="rId24"/>
      <w:headerReference w:type="default" r:id="rId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2580B" w14:textId="77777777" w:rsidR="00A243E7" w:rsidRDefault="00A243E7">
      <w:r>
        <w:separator/>
      </w:r>
    </w:p>
  </w:endnote>
  <w:endnote w:type="continuationSeparator" w:id="0">
    <w:p w14:paraId="59197246" w14:textId="77777777" w:rsidR="00A243E7" w:rsidRDefault="00A24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354AA8" w14:textId="77777777" w:rsidR="00A243E7" w:rsidRDefault="00A243E7">
      <w:r>
        <w:separator/>
      </w:r>
    </w:p>
  </w:footnote>
  <w:footnote w:type="continuationSeparator" w:id="0">
    <w:p w14:paraId="2124BBB5" w14:textId="77777777" w:rsidR="00A243E7" w:rsidRDefault="00A243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F2179" w14:textId="77777777" w:rsidR="00A243E7" w:rsidRDefault="00A243E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940A3" w14:textId="77777777" w:rsidR="00A243E7" w:rsidRDefault="00A243E7" w:rsidP="00B033C8">
    <w:pPr>
      <w:pStyle w:val="Header"/>
      <w:ind w:right="360" w:firstLine="360"/>
    </w:pPr>
    <w:r>
      <w:rPr>
        <w:noProof/>
        <w:lang w:val="en-US" w:eastAsia="zh-CN"/>
      </w:rPr>
      <w:drawing>
        <wp:anchor distT="0" distB="0" distL="114300" distR="114300" simplePos="0" relativeHeight="251659264" behindDoc="1" locked="0" layoutInCell="1" allowOverlap="1" wp14:anchorId="51E496BA" wp14:editId="49772FB1">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F2DCB" w14:textId="135F5D38" w:rsidR="00A243E7" w:rsidRPr="00FC42AF" w:rsidRDefault="00A243E7">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E444C">
      <w:rPr>
        <w:rStyle w:val="PageNumber"/>
        <w:b/>
        <w:bCs/>
        <w:noProof/>
      </w:rPr>
      <w:t>ii</w:t>
    </w:r>
    <w:r>
      <w:rPr>
        <w:rStyle w:val="PageNumber"/>
        <w:b/>
        <w:bCs/>
      </w:rPr>
      <w:fldChar w:fldCharType="end"/>
    </w:r>
    <w:r w:rsidRPr="00FC42AF">
      <w:tab/>
    </w:r>
    <w:r w:rsidR="000B7948">
      <w:fldChar w:fldCharType="begin"/>
    </w:r>
    <w:r w:rsidR="000B7948">
      <w:instrText xml:space="preserve"> DOCPROPERTY "Header" \* MERGEFORMAT </w:instrText>
    </w:r>
    <w:r w:rsidR="000B7948">
      <w:fldChar w:fldCharType="separate"/>
    </w:r>
    <w:r w:rsidRPr="00A243E7">
      <w:rPr>
        <w:b/>
        <w:bCs/>
      </w:rPr>
      <w:t xml:space="preserve">Rec. </w:t>
    </w:r>
    <w:r w:rsidR="000B7948">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0B7948">
      <w:rPr>
        <w:b/>
        <w:bCs/>
        <w:noProof/>
      </w:rPr>
      <w:t>ITU-R F.1495-2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E9D87" w14:textId="77777777" w:rsidR="00A243E7" w:rsidRDefault="00A243E7">
    <w:pPr>
      <w:pStyle w:val="Header"/>
    </w:pPr>
    <w:r>
      <w:tab/>
    </w:r>
    <w:r w:rsidR="000B7948">
      <w:fldChar w:fldCharType="begin"/>
    </w:r>
    <w:r w:rsidR="000B7948">
      <w:instrText xml:space="preserve"> DOCPROPERTY "Header" \* MERGEFORMAT </w:instrText>
    </w:r>
    <w:r w:rsidR="000B7948">
      <w:fldChar w:fldCharType="separate"/>
    </w:r>
    <w:r w:rsidRPr="00A243E7">
      <w:rPr>
        <w:b/>
        <w:bCs/>
      </w:rPr>
      <w:t xml:space="preserve">Rec. </w:t>
    </w:r>
    <w:r w:rsidR="000B7948">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F.1495-2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7070E" w14:textId="0AE5D344"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E444C">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A243E7" w:rsidRPr="00A243E7">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B7948">
      <w:rPr>
        <w:b/>
        <w:bCs/>
        <w:noProof/>
        <w:lang w:val="en-US"/>
      </w:rPr>
      <w:t>ITU-R F.1495-2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963CB" w14:textId="02CC1A7D" w:rsidR="00607D68" w:rsidRDefault="00607D68">
    <w:pPr>
      <w:pStyle w:val="Header"/>
    </w:pPr>
    <w:r>
      <w:tab/>
    </w:r>
    <w:r w:rsidR="000B7948">
      <w:fldChar w:fldCharType="begin"/>
    </w:r>
    <w:r w:rsidR="000B7948">
      <w:instrText xml:space="preserve"> DOCPROPERTY "Header" \* MERGEFORMAT </w:instrText>
    </w:r>
    <w:r w:rsidR="000B7948">
      <w:fldChar w:fldCharType="separate"/>
    </w:r>
    <w:r w:rsidR="00A243E7" w:rsidRPr="00A243E7">
      <w:rPr>
        <w:b/>
        <w:bCs/>
      </w:rPr>
      <w:t xml:space="preserve">Rec. </w:t>
    </w:r>
    <w:r w:rsidR="000B7948">
      <w:rPr>
        <w:b/>
        <w:bCs/>
      </w:rPr>
      <w:fldChar w:fldCharType="end"/>
    </w:r>
    <w:r>
      <w:rPr>
        <w:b/>
        <w:bCs/>
      </w:rPr>
      <w:t xml:space="preserve"> </w:t>
    </w:r>
    <w:r>
      <w:rPr>
        <w:b/>
        <w:bCs/>
      </w:rPr>
      <w:fldChar w:fldCharType="begin"/>
    </w:r>
    <w:r>
      <w:rPr>
        <w:b/>
        <w:bCs/>
      </w:rPr>
      <w:instrText>styleref href</w:instrText>
    </w:r>
    <w:r>
      <w:rPr>
        <w:b/>
        <w:bCs/>
      </w:rPr>
      <w:fldChar w:fldCharType="separate"/>
    </w:r>
    <w:r w:rsidR="000B7948">
      <w:rPr>
        <w:b/>
        <w:bCs/>
        <w:noProof/>
      </w:rPr>
      <w:t>ITU-R F.1495-2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E444C">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43E7"/>
    <w:rsid w:val="000A6772"/>
    <w:rsid w:val="000B7948"/>
    <w:rsid w:val="00217EBF"/>
    <w:rsid w:val="00242AEE"/>
    <w:rsid w:val="002D76C4"/>
    <w:rsid w:val="003E444C"/>
    <w:rsid w:val="00485B34"/>
    <w:rsid w:val="0052529D"/>
    <w:rsid w:val="00607D68"/>
    <w:rsid w:val="007468DA"/>
    <w:rsid w:val="009E00A8"/>
    <w:rsid w:val="00A243E7"/>
    <w:rsid w:val="00A6617B"/>
    <w:rsid w:val="00A826EC"/>
    <w:rsid w:val="00AB0DC8"/>
    <w:rsid w:val="00B44E24"/>
    <w:rsid w:val="00DF4176"/>
    <w:rsid w:val="00E817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30"/>
    <o:shapelayout v:ext="edit">
      <o:idmap v:ext="edit" data="1"/>
    </o:shapelayout>
  </w:shapeDefaults>
  <w:decimalSymbol w:val="."/>
  <w:listSeparator w:val=","/>
  <w14:docId w14:val="0E59F895"/>
  <w15:docId w15:val="{28AD1D73-398D-4410-977E-7D76B384D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43E7"/>
    <w:pPr>
      <w:tabs>
        <w:tab w:val="left" w:pos="1134"/>
        <w:tab w:val="left" w:pos="1871"/>
        <w:tab w:val="left" w:pos="2268"/>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link w:val="Heading1Char"/>
    <w:qFormat/>
    <w:pPr>
      <w:keepNext/>
      <w:keepLines/>
      <w:tabs>
        <w:tab w:val="clear" w:pos="1134"/>
        <w:tab w:val="clear" w:pos="1871"/>
        <w:tab w:val="clear" w:pos="2268"/>
        <w:tab w:val="left" w:pos="794"/>
        <w:tab w:val="left" w:pos="1191"/>
        <w:tab w:val="left" w:pos="1588"/>
        <w:tab w:val="left" w:pos="1985"/>
      </w:tabs>
      <w:spacing w:before="480"/>
      <w:ind w:left="794" w:hanging="794"/>
      <w:jc w:val="both"/>
      <w:outlineLvl w:val="0"/>
    </w:pPr>
    <w:rPr>
      <w:b/>
      <w:lang w:val="fr-FR"/>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1134"/>
        <w:tab w:val="clear" w:pos="1871"/>
        <w:tab w:val="clear" w:pos="2268"/>
        <w:tab w:val="center" w:pos="4848"/>
        <w:tab w:val="right" w:pos="9696"/>
      </w:tabs>
      <w:spacing w:before="0"/>
      <w:jc w:val="center"/>
    </w:pPr>
    <w:rPr>
      <w:lang w:val="fr-FR"/>
    </w:rPr>
  </w:style>
  <w:style w:type="paragraph" w:styleId="Footer">
    <w:name w:val="footer"/>
    <w:basedOn w:val="Normal"/>
    <w:pPr>
      <w:tabs>
        <w:tab w:val="clear" w:pos="1134"/>
        <w:tab w:val="clear" w:pos="1871"/>
        <w:tab w:val="clear" w:pos="2268"/>
      </w:tabs>
      <w:spacing w:before="0"/>
      <w:jc w:val="both"/>
    </w:pPr>
    <w:rPr>
      <w:noProof/>
      <w:sz w:val="18"/>
      <w:lang w:val="fr-FR"/>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tabs>
        <w:tab w:val="clear" w:pos="1134"/>
        <w:tab w:val="clear" w:pos="1871"/>
        <w:tab w:val="clear" w:pos="2268"/>
        <w:tab w:val="left" w:pos="794"/>
        <w:tab w:val="left" w:pos="1191"/>
        <w:tab w:val="left" w:pos="1588"/>
        <w:tab w:val="left" w:pos="1985"/>
      </w:tabs>
      <w:spacing w:before="80"/>
      <w:ind w:left="794" w:hanging="794"/>
      <w:jc w:val="both"/>
    </w:pPr>
    <w:rPr>
      <w:lang w:val="fr-FR"/>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tabs>
        <w:tab w:val="clear" w:pos="1134"/>
        <w:tab w:val="clear" w:pos="1871"/>
        <w:tab w:val="clear" w:pos="2268"/>
        <w:tab w:val="left" w:pos="794"/>
        <w:tab w:val="left" w:pos="1191"/>
        <w:tab w:val="left" w:pos="1588"/>
        <w:tab w:val="left" w:pos="1985"/>
      </w:tabs>
      <w:spacing w:before="320"/>
      <w:jc w:val="both"/>
    </w:pPr>
    <w:rPr>
      <w:lang w:val="fr-FR"/>
    </w:rPr>
  </w:style>
  <w:style w:type="paragraph" w:customStyle="1" w:styleId="Note">
    <w:name w:val="Note"/>
    <w:basedOn w:val="Normal"/>
    <w:pPr>
      <w:tabs>
        <w:tab w:val="clear" w:pos="1134"/>
        <w:tab w:val="clear" w:pos="1871"/>
        <w:tab w:val="clear" w:pos="2268"/>
      </w:tabs>
      <w:spacing w:before="80"/>
      <w:jc w:val="both"/>
    </w:pPr>
    <w:rPr>
      <w:sz w:val="22"/>
      <w:lang w:val="fr-FR"/>
    </w:rPr>
  </w:style>
  <w:style w:type="paragraph" w:customStyle="1" w:styleId="RecNo">
    <w:name w:val="Rec_No"/>
    <w:basedOn w:val="Normal"/>
    <w:next w:val="Rectitle"/>
    <w:link w:val="RecNoChar"/>
    <w:pPr>
      <w:keepNext/>
      <w:keepLines/>
      <w:tabs>
        <w:tab w:val="clear" w:pos="1134"/>
        <w:tab w:val="clear" w:pos="1871"/>
        <w:tab w:val="clear" w:pos="2268"/>
      </w:tabs>
      <w:spacing w:before="480"/>
      <w:jc w:val="center"/>
    </w:pPr>
    <w:rPr>
      <w:sz w:val="28"/>
      <w:lang w:val="fr-FR"/>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tabs>
        <w:tab w:val="clear" w:pos="1134"/>
        <w:tab w:val="clear" w:pos="1871"/>
        <w:tab w:val="clear" w:pos="2268"/>
        <w:tab w:val="left" w:pos="794"/>
        <w:tab w:val="left" w:pos="1191"/>
        <w:tab w:val="left" w:pos="1588"/>
        <w:tab w:val="left" w:pos="1985"/>
      </w:tabs>
      <w:jc w:val="center"/>
    </w:pPr>
    <w:rPr>
      <w:lang w:val="fr-FR"/>
    </w:r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AppendixNoTitle">
    <w:name w:val="Appendix_NoTitle"/>
    <w:basedOn w:val="AnnexNoTitle"/>
    <w:next w:val="Normal"/>
  </w:style>
  <w:style w:type="paragraph" w:customStyle="1" w:styleId="Tablefin">
    <w:name w:val="Table_fin"/>
    <w:basedOn w:val="Normal"/>
    <w:next w:val="Normal"/>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ablehead">
    <w:name w:val="Table_head"/>
    <w:basedOn w:val="Normal"/>
    <w:next w:val="Normal"/>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Tablelegend">
    <w:name w:val="Table_legend"/>
    <w:basedOn w:val="Normal"/>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jc w:val="both"/>
    </w:pPr>
    <w:rPr>
      <w:sz w:val="22"/>
      <w:lang w:val="fr-FR"/>
    </w:rPr>
  </w:style>
  <w:style w:type="paragraph" w:customStyle="1" w:styleId="TableNo">
    <w:name w:val="Table_No"/>
    <w:basedOn w:val="Normal"/>
    <w:next w:val="Normal"/>
    <w:pPr>
      <w:keepNext/>
      <w:tabs>
        <w:tab w:val="clear" w:pos="1134"/>
        <w:tab w:val="clear" w:pos="1871"/>
        <w:tab w:val="clear" w:pos="2268"/>
        <w:tab w:val="left" w:pos="794"/>
        <w:tab w:val="left" w:pos="1191"/>
        <w:tab w:val="left" w:pos="1588"/>
        <w:tab w:val="left" w:pos="1985"/>
      </w:tabs>
      <w:spacing w:before="360" w:after="120"/>
      <w:jc w:val="center"/>
    </w:pPr>
    <w:rPr>
      <w:lang w:val="fr-FR"/>
    </w:rPr>
  </w:style>
  <w:style w:type="paragraph" w:customStyle="1" w:styleId="Tabletext">
    <w:name w:val="Table_text"/>
    <w:basedOn w:val="Normal"/>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pPr>
    <w:rPr>
      <w:sz w:val="22"/>
      <w:lang w:val="fr-FR"/>
    </w:rPr>
  </w:style>
  <w:style w:type="paragraph" w:customStyle="1" w:styleId="Equation">
    <w:name w:val="Equation"/>
    <w:basedOn w:val="Normal"/>
    <w:pPr>
      <w:tabs>
        <w:tab w:val="clear" w:pos="1134"/>
        <w:tab w:val="clear" w:pos="1871"/>
        <w:tab w:val="clear" w:pos="2268"/>
        <w:tab w:val="left" w:pos="794"/>
        <w:tab w:val="center" w:pos="4820"/>
        <w:tab w:val="right" w:pos="9639"/>
      </w:tabs>
      <w:jc w:val="both"/>
    </w:pPr>
    <w:rPr>
      <w:lang w:val="fr-FR"/>
    </w:rPr>
  </w:style>
  <w:style w:type="paragraph" w:customStyle="1" w:styleId="Equationlegend">
    <w:name w:val="Equation_legend"/>
    <w:basedOn w:val="NormalIndent"/>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tabs>
        <w:tab w:val="clear" w:pos="1134"/>
        <w:tab w:val="clear" w:pos="1871"/>
        <w:tab w:val="clear" w:pos="2268"/>
        <w:tab w:val="left" w:pos="794"/>
        <w:tab w:val="left" w:pos="1191"/>
        <w:tab w:val="left" w:pos="1588"/>
        <w:tab w:val="left" w:pos="1985"/>
      </w:tabs>
      <w:ind w:left="794"/>
      <w:jc w:val="both"/>
    </w:pPr>
    <w:rPr>
      <w:lang w:val="fr-FR"/>
    </w:rPr>
  </w:style>
  <w:style w:type="paragraph" w:customStyle="1" w:styleId="Figurelegend">
    <w:name w:val="Figure_legend"/>
    <w:basedOn w:val="Normal"/>
    <w:pPr>
      <w:keepNext/>
      <w:keepLines/>
      <w:tabs>
        <w:tab w:val="clear" w:pos="1134"/>
        <w:tab w:val="clear" w:pos="1871"/>
        <w:tab w:val="clear" w:pos="2268"/>
      </w:tabs>
      <w:spacing w:before="20" w:after="20"/>
      <w:jc w:val="both"/>
    </w:pPr>
    <w:rPr>
      <w:sz w:val="18"/>
      <w:lang w:val="fr-FR"/>
    </w:rPr>
  </w:style>
  <w:style w:type="paragraph" w:customStyle="1" w:styleId="FigureNo">
    <w:name w:val="Figure_No"/>
    <w:basedOn w:val="Normal"/>
    <w:next w:val="Figuretitle"/>
    <w:rsid w:val="00DF4176"/>
    <w:pPr>
      <w:keepNext/>
      <w:keepLines/>
      <w:tabs>
        <w:tab w:val="clear" w:pos="1134"/>
        <w:tab w:val="clear" w:pos="1871"/>
        <w:tab w:val="clear" w:pos="2268"/>
        <w:tab w:val="left" w:pos="794"/>
        <w:tab w:val="left" w:pos="1191"/>
        <w:tab w:val="left" w:pos="1588"/>
        <w:tab w:val="left" w:pos="1985"/>
      </w:tabs>
      <w:spacing w:before="480" w:after="80"/>
      <w:jc w:val="center"/>
    </w:pPr>
    <w:rPr>
      <w:caps/>
      <w:sz w:val="18"/>
      <w:lang w:val="fr-FR"/>
    </w:rPr>
  </w:style>
  <w:style w:type="paragraph" w:customStyle="1" w:styleId="tocpart">
    <w:name w:val="tocpart"/>
    <w:basedOn w:val="Normal"/>
    <w:pPr>
      <w:tabs>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spacing w:before="0"/>
    </w:pPr>
    <w:rPr>
      <w:sz w:val="16"/>
    </w:rPr>
  </w:style>
  <w:style w:type="paragraph" w:customStyle="1" w:styleId="ASN1">
    <w:name w:val="ASN.1"/>
    <w:basedOn w:val="Normal"/>
    <w:next w:val="Normal"/>
    <w:pPr>
      <w:tabs>
        <w:tab w:val="left" w:pos="567"/>
        <w:tab w:val="left" w:pos="1701"/>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clear" w:pos="1134"/>
        <w:tab w:val="clear" w:pos="1871"/>
        <w:tab w:val="clear" w:pos="2268"/>
        <w:tab w:val="left" w:pos="255"/>
        <w:tab w:val="left" w:pos="794"/>
        <w:tab w:val="left" w:pos="1191"/>
        <w:tab w:val="left" w:pos="1588"/>
        <w:tab w:val="left" w:pos="1985"/>
      </w:tabs>
      <w:ind w:left="255" w:hanging="255"/>
      <w:jc w:val="both"/>
    </w:pPr>
    <w:rPr>
      <w:sz w:val="22"/>
      <w:lang w:val="fr-FR"/>
    </w:rPr>
  </w:style>
  <w:style w:type="paragraph" w:styleId="Index1">
    <w:name w:val="index 1"/>
    <w:basedOn w:val="Normal"/>
    <w:next w:val="Normal"/>
    <w:semiHidden/>
    <w:pPr>
      <w:tabs>
        <w:tab w:val="clear" w:pos="1134"/>
        <w:tab w:val="clear" w:pos="1871"/>
        <w:tab w:val="clear" w:pos="2268"/>
        <w:tab w:val="left" w:pos="794"/>
        <w:tab w:val="left" w:pos="1191"/>
        <w:tab w:val="left" w:pos="1588"/>
        <w:tab w:val="left" w:pos="1985"/>
      </w:tabs>
      <w:jc w:val="both"/>
    </w:pPr>
    <w:rPr>
      <w:lang w:val="fr-FR"/>
    </w:rPr>
  </w:style>
  <w:style w:type="paragraph" w:styleId="Index2">
    <w:name w:val="index 2"/>
    <w:basedOn w:val="Normal"/>
    <w:next w:val="Normal"/>
    <w:semiHidden/>
    <w:pPr>
      <w:tabs>
        <w:tab w:val="clear" w:pos="1134"/>
        <w:tab w:val="clear" w:pos="1871"/>
        <w:tab w:val="clear" w:pos="2268"/>
        <w:tab w:val="left" w:pos="794"/>
        <w:tab w:val="left" w:pos="1191"/>
        <w:tab w:val="left" w:pos="1588"/>
        <w:tab w:val="left" w:pos="1985"/>
      </w:tabs>
      <w:ind w:left="283"/>
      <w:jc w:val="both"/>
    </w:pPr>
    <w:rPr>
      <w:lang w:val="fr-FR"/>
    </w:rPr>
  </w:style>
  <w:style w:type="paragraph" w:styleId="Index3">
    <w:name w:val="index 3"/>
    <w:basedOn w:val="Normal"/>
    <w:next w:val="Normal"/>
    <w:semiHidden/>
    <w:pPr>
      <w:tabs>
        <w:tab w:val="clear" w:pos="1134"/>
        <w:tab w:val="clear" w:pos="1871"/>
        <w:tab w:val="clear" w:pos="2268"/>
        <w:tab w:val="left" w:pos="794"/>
        <w:tab w:val="left" w:pos="1191"/>
        <w:tab w:val="left" w:pos="1588"/>
        <w:tab w:val="left" w:pos="1985"/>
      </w:tabs>
      <w:ind w:left="566"/>
      <w:jc w:val="both"/>
    </w:pPr>
    <w:rPr>
      <w:lang w:val="fr-FR"/>
    </w:rPr>
  </w:style>
  <w:style w:type="paragraph" w:styleId="IndexHeading">
    <w:name w:val="index heading"/>
    <w:basedOn w:val="Normal"/>
    <w:next w:val="Index1"/>
    <w:semiHidden/>
    <w:pPr>
      <w:tabs>
        <w:tab w:val="clear" w:pos="1134"/>
        <w:tab w:val="clear" w:pos="1871"/>
        <w:tab w:val="clear" w:pos="2268"/>
        <w:tab w:val="left" w:pos="794"/>
        <w:tab w:val="left" w:pos="1191"/>
        <w:tab w:val="left" w:pos="1588"/>
        <w:tab w:val="left" w:pos="1985"/>
      </w:tabs>
      <w:jc w:val="both"/>
    </w:pPr>
    <w:rPr>
      <w:lang w:val="fr-FR"/>
    </w:rPr>
  </w:style>
  <w:style w:type="paragraph" w:customStyle="1" w:styleId="Line">
    <w:name w:val="Line"/>
    <w:basedOn w:val="Normal"/>
    <w:next w:val="Normal"/>
    <w:pPr>
      <w:pBdr>
        <w:top w:val="single" w:sz="6" w:space="1" w:color="auto"/>
      </w:pBdr>
      <w:spacing w:before="240"/>
      <w:ind w:left="3997" w:right="3997"/>
      <w:jc w:val="center"/>
    </w:pPr>
    <w:rPr>
      <w:sz w:val="20"/>
    </w:rPr>
  </w:style>
  <w:style w:type="paragraph" w:customStyle="1" w:styleId="toctemp">
    <w:name w:val="toctemp"/>
    <w:basedOn w:val="Normal"/>
    <w:pPr>
      <w:tabs>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spacing w:before="280" w:after="40"/>
      <w:jc w:val="center"/>
    </w:pPr>
    <w:rPr>
      <w:b/>
      <w:sz w:val="28"/>
    </w:rPr>
  </w:style>
  <w:style w:type="paragraph" w:customStyle="1" w:styleId="toc0">
    <w:name w:val="toc 0"/>
    <w:basedOn w:val="Normal"/>
    <w:next w:val="TOC1"/>
    <w:pPr>
      <w:tabs>
        <w:tab w:val="right" w:pos="9611"/>
      </w:tabs>
    </w:pPr>
    <w:rPr>
      <w:i/>
    </w:rPr>
  </w:style>
  <w:style w:type="paragraph" w:styleId="TOC1">
    <w:name w:val="toc 1"/>
    <w:basedOn w:val="Normal"/>
    <w:semiHidden/>
    <w:pPr>
      <w:keepLines/>
      <w:tabs>
        <w:tab w:val="clear" w:pos="1134"/>
        <w:tab w:val="clear" w:pos="1871"/>
        <w:tab w:val="clear" w:pos="2268"/>
        <w:tab w:val="left" w:pos="567"/>
        <w:tab w:val="left" w:leader="dot" w:pos="8789"/>
        <w:tab w:val="right" w:pos="9611"/>
      </w:tabs>
      <w:spacing w:before="240"/>
      <w:ind w:left="567" w:right="851" w:hanging="567"/>
      <w:jc w:val="both"/>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uiPriority w:val="99"/>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243E7"/>
    <w:rPr>
      <w:b/>
      <w:sz w:val="24"/>
      <w:lang w:val="fr-FR" w:eastAsia="en-US"/>
    </w:rPr>
  </w:style>
  <w:style w:type="character" w:customStyle="1" w:styleId="HeaderChar">
    <w:name w:val="Header Char"/>
    <w:basedOn w:val="DefaultParagraphFont"/>
    <w:link w:val="Header"/>
    <w:rsid w:val="00A243E7"/>
    <w:rPr>
      <w:sz w:val="24"/>
      <w:lang w:val="fr-FR" w:eastAsia="en-US"/>
    </w:rPr>
  </w:style>
  <w:style w:type="paragraph" w:styleId="BalloonText">
    <w:name w:val="Balloon Text"/>
    <w:basedOn w:val="Normal"/>
    <w:link w:val="BalloonTextChar"/>
    <w:rsid w:val="000A6772"/>
    <w:pPr>
      <w:spacing w:before="0"/>
    </w:pPr>
    <w:rPr>
      <w:rFonts w:ascii="Tahoma" w:hAnsi="Tahoma" w:cs="Tahoma"/>
      <w:sz w:val="16"/>
      <w:szCs w:val="16"/>
    </w:rPr>
  </w:style>
  <w:style w:type="character" w:customStyle="1" w:styleId="RectitleChar">
    <w:name w:val="Rec_title Char"/>
    <w:basedOn w:val="DefaultParagraphFont"/>
    <w:link w:val="Rectitle"/>
    <w:uiPriority w:val="99"/>
    <w:locked/>
    <w:rsid w:val="00A243E7"/>
    <w:rPr>
      <w:b/>
      <w:sz w:val="28"/>
      <w:lang w:val="en-GB" w:eastAsia="en-US"/>
    </w:rPr>
  </w:style>
  <w:style w:type="character" w:customStyle="1" w:styleId="RecNoChar">
    <w:name w:val="Rec_No Char"/>
    <w:basedOn w:val="DefaultParagraphFont"/>
    <w:link w:val="RecNo"/>
    <w:locked/>
    <w:rsid w:val="00A243E7"/>
    <w:rPr>
      <w:sz w:val="28"/>
      <w:lang w:val="fr-FR" w:eastAsia="en-US"/>
    </w:rPr>
  </w:style>
  <w:style w:type="character" w:customStyle="1" w:styleId="BalloonTextChar">
    <w:name w:val="Balloon Text Char"/>
    <w:basedOn w:val="DefaultParagraphFont"/>
    <w:link w:val="BalloonText"/>
    <w:rsid w:val="000A6772"/>
    <w:rPr>
      <w:rFonts w:ascii="Tahoma" w:hAnsi="Tahoma" w:cs="Tahoma"/>
      <w:sz w:val="16"/>
      <w:szCs w:val="16"/>
      <w:lang w:val="en-GB" w:eastAsia="en-US"/>
    </w:rPr>
  </w:style>
  <w:style w:type="character" w:styleId="Hyperlink">
    <w:name w:val="Hyperlink"/>
    <w:basedOn w:val="DefaultParagraphFont"/>
    <w:rsid w:val="00A243E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8.wmf"/><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image" Target="media/image7.w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4.bin"/><Relationship Id="rId10" Type="http://schemas.openxmlformats.org/officeDocument/2006/relationships/header" Target="header3.xml"/><Relationship Id="rId19" Type="http://schemas.openxmlformats.org/officeDocument/2006/relationships/image" Target="media/image6.wmf"/><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3.wmf"/><Relationship Id="rId22" Type="http://schemas.openxmlformats.org/officeDocument/2006/relationships/image" Target="media/image9.w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TotalTime>
  <Pages>8</Pages>
  <Words>2270</Words>
  <Characters>11724</Characters>
  <Application>Microsoft Office Word</Application>
  <DocSecurity>0</DocSecurity>
  <Lines>321</Lines>
  <Paragraphs>157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F.1495-2 - Interference criteria to protect the fixed service from time varying aggregate interference from other radiocommunication services sharing  the 17.7-19.3 GHz band on a co-primary basis</dc:title>
  <dc:subject>F Series = Fixed service</dc:subject>
  <dc:creator>ITU Radiocommunication Bureau (BR)</dc:creator>
  <cp:keywords>F,1495-2</cp:keywords>
  <dc:description>Gachetc, 01/09/2020, ITU51013811</dc:description>
  <cp:lastModifiedBy>Christelle Gachet</cp:lastModifiedBy>
  <cp:revision>4</cp:revision>
  <cp:lastPrinted>2005-02-10T15:54:00Z</cp:lastPrinted>
  <dcterms:created xsi:type="dcterms:W3CDTF">2020-09-01T12:25:00Z</dcterms:created>
  <dcterms:modified xsi:type="dcterms:W3CDTF">2020-09-01T12:32:00Z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01 September 2020</vt:lpwstr>
  </property>
</Properties>
</file>