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38C" w:rsidRDefault="00DB138C"/>
    <w:p w:rsidR="00DB138C" w:rsidRDefault="00DB138C"/>
    <w:p w:rsidR="00DB138C" w:rsidRDefault="00DB138C"/>
    <w:p w:rsidR="00DB138C" w:rsidRDefault="00DB138C"/>
    <w:p w:rsidR="00DB138C" w:rsidRDefault="00DB138C"/>
    <w:p w:rsidR="00DB138C" w:rsidRDefault="00DB138C"/>
    <w:p w:rsidR="00DB138C" w:rsidRDefault="00DB138C"/>
    <w:p w:rsidR="00DB138C" w:rsidRDefault="00DB138C"/>
    <w:p w:rsidR="00DB138C" w:rsidRDefault="00DB138C"/>
    <w:p w:rsidR="00DB138C" w:rsidRDefault="00DB138C"/>
    <w:p w:rsidR="00DB138C" w:rsidRDefault="00DB138C"/>
    <w:p w:rsidR="00DB138C" w:rsidRDefault="00DB138C"/>
    <w:tbl>
      <w:tblPr>
        <w:tblW w:w="10089" w:type="dxa"/>
        <w:tblLook w:val="01E0"/>
      </w:tblPr>
      <w:tblGrid>
        <w:gridCol w:w="10089"/>
      </w:tblGrid>
      <w:tr w:rsidR="00DB138C" w:rsidRPr="00A443C2">
        <w:tc>
          <w:tcPr>
            <w:tcW w:w="10089" w:type="dxa"/>
          </w:tcPr>
          <w:p w:rsidR="00DB138C" w:rsidRPr="00B033C8" w:rsidRDefault="00DB138C" w:rsidP="00FB309A">
            <w:pPr>
              <w:spacing w:before="380" w:line="280" w:lineRule="exact"/>
              <w:jc w:val="right"/>
              <w:rPr>
                <w:rFonts w:ascii="Tahoma" w:hAnsi="Tahoma" w:cs="Tahoma"/>
                <w:b/>
                <w:bCs/>
                <w:iCs/>
                <w:color w:val="243285"/>
                <w:sz w:val="32"/>
                <w:szCs w:val="32"/>
                <w:lang w:val="en-US"/>
              </w:rPr>
            </w:pPr>
          </w:p>
          <w:p w:rsidR="00DB138C" w:rsidRPr="00A443C2" w:rsidRDefault="00DB138C" w:rsidP="00DB138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Pr>
                <w:rFonts w:ascii="Tahoma" w:hAnsi="Tahoma" w:cs="Tahoma"/>
                <w:b/>
                <w:bCs/>
                <w:iCs/>
                <w:color w:val="243285"/>
                <w:sz w:val="36"/>
                <w:szCs w:val="36"/>
              </w:rPr>
              <w:t>1487</w:t>
            </w:r>
          </w:p>
          <w:p w:rsidR="00DB138C" w:rsidRPr="00A443C2" w:rsidRDefault="00DB138C" w:rsidP="00DB138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5</w:t>
            </w:r>
            <w:r w:rsidRPr="00A443C2">
              <w:rPr>
                <w:rFonts w:ascii="Tahoma" w:hAnsi="Tahoma" w:cs="Tahoma"/>
                <w:b/>
                <w:bCs/>
                <w:iCs/>
                <w:color w:val="243285"/>
                <w:szCs w:val="24"/>
              </w:rPr>
              <w:t>/</w:t>
            </w:r>
            <w:r>
              <w:rPr>
                <w:rFonts w:ascii="Tahoma" w:hAnsi="Tahoma" w:cs="Tahoma"/>
                <w:b/>
                <w:bCs/>
                <w:iCs/>
                <w:color w:val="243285"/>
                <w:szCs w:val="24"/>
              </w:rPr>
              <w:t>2000</w:t>
            </w:r>
            <w:r w:rsidRPr="00A443C2">
              <w:rPr>
                <w:rFonts w:ascii="Tahoma" w:hAnsi="Tahoma" w:cs="Tahoma"/>
                <w:b/>
                <w:bCs/>
                <w:iCs/>
                <w:color w:val="243285"/>
                <w:szCs w:val="24"/>
              </w:rPr>
              <w:t>)</w:t>
            </w:r>
          </w:p>
        </w:tc>
      </w:tr>
      <w:tr w:rsidR="00DB138C" w:rsidRPr="00F54FBD">
        <w:tc>
          <w:tcPr>
            <w:tcW w:w="10089" w:type="dxa"/>
          </w:tcPr>
          <w:p w:rsidR="00DB138C" w:rsidRDefault="00DB138C" w:rsidP="00FB309A">
            <w:pPr>
              <w:spacing w:before="80" w:line="500" w:lineRule="exact"/>
              <w:jc w:val="right"/>
              <w:rPr>
                <w:rFonts w:ascii="Tahoma" w:hAnsi="Tahoma" w:cs="Tahoma"/>
                <w:b/>
                <w:bCs/>
                <w:iCs/>
                <w:color w:val="243285"/>
                <w:sz w:val="44"/>
                <w:szCs w:val="44"/>
              </w:rPr>
            </w:pPr>
          </w:p>
          <w:p w:rsidR="00DB138C" w:rsidRDefault="00DB138C" w:rsidP="00FB309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Essais de modems à ondes décamétriques fonctionnant dans des largeurs de bande allant jusqu'à environ 12 kHz au moyen de simulateurs de canal ionosphérique</w:t>
            </w:r>
          </w:p>
          <w:p w:rsidR="00DB138C" w:rsidRPr="00F54FBD" w:rsidRDefault="00DB138C" w:rsidP="00FB309A">
            <w:pPr>
              <w:spacing w:before="80" w:line="500" w:lineRule="exact"/>
              <w:jc w:val="right"/>
              <w:rPr>
                <w:rFonts w:ascii="Tahoma" w:hAnsi="Tahoma" w:cs="Tahoma"/>
                <w:b/>
                <w:bCs/>
                <w:iCs/>
                <w:color w:val="243285"/>
                <w:sz w:val="44"/>
                <w:szCs w:val="44"/>
              </w:rPr>
            </w:pPr>
          </w:p>
        </w:tc>
      </w:tr>
      <w:tr w:rsidR="00DB138C" w:rsidRPr="00F54FBD">
        <w:tc>
          <w:tcPr>
            <w:tcW w:w="10089" w:type="dxa"/>
          </w:tcPr>
          <w:p w:rsidR="00DB138C" w:rsidRPr="00F54FBD" w:rsidRDefault="00DB138C" w:rsidP="00FB309A">
            <w:pPr>
              <w:spacing w:before="80" w:line="280" w:lineRule="exact"/>
              <w:ind w:right="640"/>
              <w:rPr>
                <w:rFonts w:ascii="Tahoma" w:hAnsi="Tahoma" w:cs="Tahoma"/>
                <w:b/>
                <w:bCs/>
                <w:iCs/>
                <w:color w:val="243285"/>
                <w:sz w:val="32"/>
                <w:szCs w:val="32"/>
              </w:rPr>
            </w:pPr>
          </w:p>
          <w:p w:rsidR="00DB138C" w:rsidRPr="00F54FBD" w:rsidRDefault="00DB138C" w:rsidP="00FB309A">
            <w:pPr>
              <w:spacing w:before="80" w:line="280" w:lineRule="exact"/>
              <w:ind w:right="640"/>
              <w:rPr>
                <w:rFonts w:ascii="Tahoma" w:hAnsi="Tahoma" w:cs="Tahoma"/>
                <w:b/>
                <w:bCs/>
                <w:iCs/>
                <w:color w:val="243285"/>
                <w:sz w:val="32"/>
                <w:szCs w:val="32"/>
              </w:rPr>
            </w:pPr>
          </w:p>
          <w:p w:rsidR="00DB138C" w:rsidRPr="00F54FBD" w:rsidRDefault="00DB138C" w:rsidP="00FB309A">
            <w:pPr>
              <w:spacing w:before="80" w:after="180" w:line="360" w:lineRule="exact"/>
              <w:ind w:right="720"/>
              <w:rPr>
                <w:rFonts w:ascii="Tahoma" w:hAnsi="Tahoma" w:cs="Tahoma"/>
                <w:b/>
                <w:bCs/>
                <w:iCs/>
                <w:color w:val="243285"/>
                <w:sz w:val="36"/>
                <w:szCs w:val="36"/>
              </w:rPr>
            </w:pPr>
          </w:p>
          <w:p w:rsidR="00DB138C" w:rsidRPr="00F54FBD" w:rsidRDefault="00DB138C" w:rsidP="00FB309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DB138C" w:rsidRPr="00F54FBD" w:rsidRDefault="00DB138C" w:rsidP="00FB309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DB138C" w:rsidRPr="00F54FBD" w:rsidRDefault="00DB138C" w:rsidP="00FB309A">
      <w:pPr>
        <w:spacing w:before="80"/>
        <w:rPr>
          <w:i/>
          <w:sz w:val="22"/>
        </w:rPr>
      </w:pPr>
    </w:p>
    <w:p w:rsidR="00DB138C" w:rsidRPr="00F54FBD" w:rsidRDefault="00DB138C" w:rsidP="00FB309A">
      <w:pPr>
        <w:spacing w:before="80"/>
        <w:rPr>
          <w:i/>
          <w:sz w:val="22"/>
        </w:rPr>
      </w:pPr>
    </w:p>
    <w:p w:rsidR="00DB138C" w:rsidRPr="00F54FBD" w:rsidRDefault="00DB138C" w:rsidP="00FB309A">
      <w:pPr>
        <w:spacing w:before="80"/>
        <w:rPr>
          <w:i/>
          <w:sz w:val="22"/>
        </w:rPr>
      </w:pPr>
    </w:p>
    <w:p w:rsidR="00DB138C" w:rsidRPr="00F54FBD" w:rsidRDefault="00DB138C" w:rsidP="00FB309A">
      <w:pPr>
        <w:spacing w:before="80"/>
        <w:rPr>
          <w:i/>
          <w:sz w:val="22"/>
        </w:rPr>
      </w:pPr>
    </w:p>
    <w:p w:rsidR="00DB138C" w:rsidRPr="00F54FBD" w:rsidRDefault="00DB138C" w:rsidP="00FB309A">
      <w:pPr>
        <w:spacing w:before="80"/>
        <w:rPr>
          <w:i/>
          <w:sz w:val="22"/>
        </w:rPr>
      </w:pPr>
    </w:p>
    <w:p w:rsidR="00DB138C" w:rsidRPr="00F54FBD" w:rsidRDefault="00DB138C" w:rsidP="00FB309A">
      <w:pPr>
        <w:spacing w:before="80"/>
        <w:rPr>
          <w:i/>
          <w:sz w:val="22"/>
        </w:rPr>
      </w:pPr>
    </w:p>
    <w:p w:rsidR="00DB138C" w:rsidRPr="00F54FBD" w:rsidRDefault="00DB138C" w:rsidP="00FB309A">
      <w:pPr>
        <w:pStyle w:val="Equation"/>
        <w:tabs>
          <w:tab w:val="clear" w:pos="4820"/>
          <w:tab w:val="clear" w:pos="9639"/>
          <w:tab w:val="left" w:pos="1191"/>
          <w:tab w:val="left" w:pos="1588"/>
          <w:tab w:val="left" w:pos="1985"/>
        </w:tabs>
        <w:rPr>
          <w:rFonts w:ascii="Palatino Linotype" w:hAnsi="Palatino Linotype"/>
        </w:rPr>
        <w:sectPr w:rsidR="00DB138C" w:rsidRPr="00F54FBD" w:rsidSect="00FB309A">
          <w:headerReference w:type="even" r:id="rId7"/>
          <w:headerReference w:type="default" r:id="rId8"/>
          <w:pgSz w:w="11907" w:h="16834" w:code="9"/>
          <w:pgMar w:top="1418" w:right="1134" w:bottom="1134" w:left="1134" w:header="720" w:footer="482" w:gutter="0"/>
          <w:paperSrc w:first="15" w:other="15"/>
          <w:cols w:space="720"/>
        </w:sectPr>
      </w:pPr>
    </w:p>
    <w:p w:rsidR="00DB138C" w:rsidRPr="00F54FBD" w:rsidRDefault="00DB138C" w:rsidP="00FB3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DB138C" w:rsidRPr="00F54FBD" w:rsidRDefault="00DB138C" w:rsidP="00FB309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B138C" w:rsidRPr="00F54FBD" w:rsidRDefault="00DB138C" w:rsidP="00FB309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B138C" w:rsidRPr="00E44CBB" w:rsidRDefault="00DB138C" w:rsidP="00FB309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DB138C" w:rsidRPr="00E44CBB" w:rsidRDefault="00DB138C" w:rsidP="00FB309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B138C" w:rsidRPr="00DB138C" w:rsidRDefault="00DB138C" w:rsidP="00FB309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B138C" w:rsidRPr="009454F8">
        <w:tc>
          <w:tcPr>
            <w:tcW w:w="9360" w:type="dxa"/>
            <w:gridSpan w:val="2"/>
          </w:tcPr>
          <w:p w:rsidR="00DB138C" w:rsidRPr="009454F8" w:rsidRDefault="00DB138C" w:rsidP="00FB309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B138C" w:rsidRPr="009454F8" w:rsidRDefault="00DB138C" w:rsidP="00FB3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DB138C" w:rsidRPr="00036EE3" w:rsidTr="00FB309A">
        <w:tc>
          <w:tcPr>
            <w:tcW w:w="1140" w:type="dxa"/>
            <w:tcBorders>
              <w:bottom w:val="nil"/>
            </w:tcBorders>
          </w:tcPr>
          <w:p w:rsidR="00DB138C" w:rsidRPr="00614CC6" w:rsidRDefault="00DB138C" w:rsidP="00FB309A">
            <w:pPr>
              <w:spacing w:before="90" w:after="100"/>
              <w:ind w:left="57"/>
              <w:rPr>
                <w:b/>
                <w:bCs/>
                <w:sz w:val="20"/>
                <w:lang w:val="en-US"/>
              </w:rPr>
            </w:pPr>
            <w:r w:rsidRPr="00614CC6">
              <w:rPr>
                <w:b/>
                <w:bCs/>
                <w:sz w:val="20"/>
                <w:lang w:val="en-US"/>
              </w:rPr>
              <w:t>Séries</w:t>
            </w:r>
          </w:p>
        </w:tc>
        <w:tc>
          <w:tcPr>
            <w:tcW w:w="8220" w:type="dxa"/>
            <w:tcBorders>
              <w:bottom w:val="nil"/>
            </w:tcBorders>
          </w:tcPr>
          <w:p w:rsidR="00DB138C" w:rsidRPr="00614CC6" w:rsidRDefault="00DB138C" w:rsidP="00FB3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B138C" w:rsidRPr="005E427C" w:rsidTr="00FB309A">
        <w:tc>
          <w:tcPr>
            <w:tcW w:w="1140" w:type="dxa"/>
            <w:tcBorders>
              <w:top w:val="nil"/>
              <w:bottom w:val="nil"/>
            </w:tcBorders>
            <w:shd w:val="clear" w:color="auto" w:fill="auto"/>
          </w:tcPr>
          <w:p w:rsidR="00DB138C" w:rsidRPr="005E427C" w:rsidRDefault="00DB138C" w:rsidP="00FB309A">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DB138C" w:rsidRPr="005E427C" w:rsidRDefault="00DB138C" w:rsidP="00FB3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DB138C" w:rsidRPr="009454F8" w:rsidTr="00FB309A">
        <w:tc>
          <w:tcPr>
            <w:tcW w:w="1140" w:type="dxa"/>
            <w:tcBorders>
              <w:top w:val="nil"/>
              <w:bottom w:val="nil"/>
            </w:tcBorders>
          </w:tcPr>
          <w:p w:rsidR="00DB138C" w:rsidRPr="00614CC6" w:rsidRDefault="00DB138C" w:rsidP="00FB309A">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DB138C" w:rsidRPr="00614CC6" w:rsidRDefault="00DB138C" w:rsidP="00FB3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DB138C" w:rsidRPr="00E80F1D" w:rsidTr="00FB309A">
        <w:tc>
          <w:tcPr>
            <w:tcW w:w="1140" w:type="dxa"/>
            <w:tcBorders>
              <w:top w:val="nil"/>
              <w:bottom w:val="nil"/>
            </w:tcBorders>
            <w:shd w:val="clear" w:color="auto" w:fill="auto"/>
          </w:tcPr>
          <w:p w:rsidR="00DB138C" w:rsidRPr="00E80F1D" w:rsidRDefault="00DB138C" w:rsidP="00FB309A">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DB138C" w:rsidRPr="00E80F1D" w:rsidRDefault="00DB138C" w:rsidP="00FB3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DB138C" w:rsidRPr="00ED2695" w:rsidTr="00FB309A">
        <w:tc>
          <w:tcPr>
            <w:tcW w:w="1140" w:type="dxa"/>
            <w:tcBorders>
              <w:top w:val="nil"/>
              <w:bottom w:val="nil"/>
            </w:tcBorders>
            <w:shd w:val="clear" w:color="auto" w:fill="auto"/>
          </w:tcPr>
          <w:p w:rsidR="00DB138C" w:rsidRPr="00614CC6" w:rsidRDefault="00DB138C" w:rsidP="00FB309A">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DB138C" w:rsidRPr="00614CC6" w:rsidRDefault="00DB138C" w:rsidP="00FB3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DB138C" w:rsidRPr="00E80F1D" w:rsidTr="00FB309A">
        <w:tc>
          <w:tcPr>
            <w:tcW w:w="1140" w:type="dxa"/>
            <w:tcBorders>
              <w:top w:val="nil"/>
              <w:bottom w:val="nil"/>
            </w:tcBorders>
            <w:shd w:val="clear" w:color="auto" w:fill="F3F3F3"/>
          </w:tcPr>
          <w:p w:rsidR="00DB138C" w:rsidRPr="00E80F1D" w:rsidRDefault="00DB138C" w:rsidP="00FB309A">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DB138C" w:rsidRPr="00E80F1D" w:rsidRDefault="00DB138C" w:rsidP="00FB30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DB138C" w:rsidRPr="00B21066" w:rsidTr="00FB309A">
        <w:tc>
          <w:tcPr>
            <w:tcW w:w="1140" w:type="dxa"/>
            <w:tcBorders>
              <w:top w:val="nil"/>
              <w:bottom w:val="nil"/>
            </w:tcBorders>
            <w:shd w:val="clear" w:color="auto" w:fill="auto"/>
          </w:tcPr>
          <w:p w:rsidR="00DB138C" w:rsidRPr="00B21066" w:rsidRDefault="00DB138C" w:rsidP="00FB309A">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DB138C" w:rsidRPr="00B21066" w:rsidRDefault="00DB138C" w:rsidP="00FB309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DB138C" w:rsidRPr="00036EE3" w:rsidTr="00FB309A">
        <w:tc>
          <w:tcPr>
            <w:tcW w:w="1140" w:type="dxa"/>
            <w:tcBorders>
              <w:top w:val="nil"/>
            </w:tcBorders>
          </w:tcPr>
          <w:p w:rsidR="00DB138C" w:rsidRPr="00614CC6" w:rsidRDefault="00DB138C" w:rsidP="00FB309A">
            <w:pPr>
              <w:spacing w:before="30" w:after="30"/>
              <w:ind w:left="57"/>
              <w:jc w:val="left"/>
              <w:rPr>
                <w:b/>
                <w:bCs/>
                <w:sz w:val="20"/>
                <w:lang w:val="fr-CH"/>
              </w:rPr>
            </w:pPr>
            <w:r w:rsidRPr="00614CC6">
              <w:rPr>
                <w:b/>
                <w:bCs/>
                <w:sz w:val="20"/>
                <w:lang w:val="fr-CH"/>
              </w:rPr>
              <w:t>P</w:t>
            </w:r>
          </w:p>
        </w:tc>
        <w:tc>
          <w:tcPr>
            <w:tcW w:w="8220" w:type="dxa"/>
            <w:tcBorders>
              <w:top w:val="nil"/>
            </w:tcBorders>
          </w:tcPr>
          <w:p w:rsidR="00DB138C" w:rsidRPr="00614CC6" w:rsidRDefault="00DB138C" w:rsidP="00FB309A">
            <w:pPr>
              <w:spacing w:before="30" w:after="30"/>
              <w:jc w:val="left"/>
              <w:rPr>
                <w:sz w:val="20"/>
                <w:lang w:val="fr-CH"/>
              </w:rPr>
            </w:pPr>
            <w:r w:rsidRPr="00614CC6">
              <w:rPr>
                <w:sz w:val="20"/>
              </w:rPr>
              <w:t>Propagation des ondes radioélectriques</w:t>
            </w:r>
          </w:p>
        </w:tc>
      </w:tr>
      <w:tr w:rsidR="00DB138C" w:rsidRPr="00036EE3">
        <w:tc>
          <w:tcPr>
            <w:tcW w:w="1140" w:type="dxa"/>
          </w:tcPr>
          <w:p w:rsidR="00DB138C" w:rsidRPr="00614CC6" w:rsidRDefault="00DB138C" w:rsidP="00FB309A">
            <w:pPr>
              <w:spacing w:before="30" w:after="30"/>
              <w:ind w:left="57"/>
              <w:jc w:val="left"/>
              <w:rPr>
                <w:b/>
                <w:bCs/>
                <w:sz w:val="20"/>
                <w:lang w:val="en-US"/>
              </w:rPr>
            </w:pPr>
            <w:r w:rsidRPr="00614CC6">
              <w:rPr>
                <w:b/>
                <w:bCs/>
                <w:sz w:val="20"/>
                <w:lang w:val="en-US"/>
              </w:rPr>
              <w:t>RA</w:t>
            </w:r>
          </w:p>
        </w:tc>
        <w:tc>
          <w:tcPr>
            <w:tcW w:w="8220" w:type="dxa"/>
          </w:tcPr>
          <w:p w:rsidR="00DB138C" w:rsidRPr="00614CC6" w:rsidRDefault="00DB138C" w:rsidP="00FB30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B138C" w:rsidRPr="00036EE3">
        <w:tc>
          <w:tcPr>
            <w:tcW w:w="1140" w:type="dxa"/>
          </w:tcPr>
          <w:p w:rsidR="00DB138C" w:rsidRPr="00614CC6" w:rsidRDefault="00DB138C" w:rsidP="00FB309A">
            <w:pPr>
              <w:spacing w:before="30" w:after="30"/>
              <w:ind w:left="57"/>
              <w:jc w:val="left"/>
              <w:rPr>
                <w:b/>
                <w:bCs/>
                <w:sz w:val="20"/>
                <w:lang w:val="en-US"/>
              </w:rPr>
            </w:pPr>
            <w:r w:rsidRPr="00614CC6">
              <w:rPr>
                <w:b/>
                <w:bCs/>
                <w:sz w:val="20"/>
                <w:lang w:val="en-US"/>
              </w:rPr>
              <w:t>RS</w:t>
            </w:r>
          </w:p>
        </w:tc>
        <w:tc>
          <w:tcPr>
            <w:tcW w:w="8220" w:type="dxa"/>
          </w:tcPr>
          <w:p w:rsidR="00DB138C" w:rsidRPr="00614CC6" w:rsidRDefault="00DB138C" w:rsidP="00FB309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B138C" w:rsidRPr="00036EE3">
        <w:tc>
          <w:tcPr>
            <w:tcW w:w="1140" w:type="dxa"/>
          </w:tcPr>
          <w:p w:rsidR="00DB138C" w:rsidRPr="00614CC6" w:rsidRDefault="00DB138C" w:rsidP="00FB309A">
            <w:pPr>
              <w:spacing w:before="30" w:after="30"/>
              <w:ind w:left="57"/>
              <w:jc w:val="left"/>
              <w:rPr>
                <w:b/>
                <w:bCs/>
                <w:sz w:val="20"/>
                <w:lang w:val="en-US"/>
              </w:rPr>
            </w:pPr>
            <w:r w:rsidRPr="00614CC6">
              <w:rPr>
                <w:b/>
                <w:bCs/>
                <w:sz w:val="20"/>
                <w:lang w:val="en-US"/>
              </w:rPr>
              <w:t>S</w:t>
            </w:r>
          </w:p>
        </w:tc>
        <w:tc>
          <w:tcPr>
            <w:tcW w:w="8220" w:type="dxa"/>
          </w:tcPr>
          <w:p w:rsidR="00DB138C" w:rsidRPr="00614CC6" w:rsidRDefault="00DB138C" w:rsidP="00FB309A">
            <w:pPr>
              <w:spacing w:before="30" w:after="30"/>
              <w:jc w:val="left"/>
              <w:rPr>
                <w:sz w:val="20"/>
                <w:lang w:val="en-US"/>
              </w:rPr>
            </w:pPr>
            <w:r w:rsidRPr="00614CC6">
              <w:rPr>
                <w:sz w:val="20"/>
              </w:rPr>
              <w:t>Service fixe par satellite</w:t>
            </w:r>
          </w:p>
        </w:tc>
      </w:tr>
      <w:tr w:rsidR="00DB138C" w:rsidRPr="00036EE3">
        <w:tc>
          <w:tcPr>
            <w:tcW w:w="1140" w:type="dxa"/>
          </w:tcPr>
          <w:p w:rsidR="00DB138C" w:rsidRPr="00614CC6" w:rsidRDefault="00DB138C" w:rsidP="00FB309A">
            <w:pPr>
              <w:spacing w:before="30" w:after="30"/>
              <w:ind w:left="57"/>
              <w:jc w:val="left"/>
              <w:rPr>
                <w:b/>
                <w:bCs/>
                <w:sz w:val="20"/>
                <w:lang w:val="en-US"/>
              </w:rPr>
            </w:pPr>
            <w:r w:rsidRPr="00614CC6">
              <w:rPr>
                <w:b/>
                <w:bCs/>
                <w:sz w:val="20"/>
                <w:lang w:val="en-US"/>
              </w:rPr>
              <w:t>SA</w:t>
            </w:r>
          </w:p>
        </w:tc>
        <w:tc>
          <w:tcPr>
            <w:tcW w:w="8220" w:type="dxa"/>
          </w:tcPr>
          <w:p w:rsidR="00DB138C" w:rsidRPr="00614CC6" w:rsidRDefault="00DB138C" w:rsidP="00FB309A">
            <w:pPr>
              <w:spacing w:before="30" w:after="30"/>
              <w:jc w:val="left"/>
              <w:rPr>
                <w:sz w:val="20"/>
                <w:lang w:val="en-US"/>
              </w:rPr>
            </w:pPr>
            <w:r w:rsidRPr="00614CC6">
              <w:rPr>
                <w:sz w:val="20"/>
              </w:rPr>
              <w:t>Applications spatiales et météorologie</w:t>
            </w:r>
          </w:p>
        </w:tc>
      </w:tr>
      <w:tr w:rsidR="00DB138C" w:rsidRPr="00614CC6">
        <w:tc>
          <w:tcPr>
            <w:tcW w:w="1140" w:type="dxa"/>
          </w:tcPr>
          <w:p w:rsidR="00DB138C" w:rsidRPr="00614CC6" w:rsidRDefault="00DB138C" w:rsidP="00FB309A">
            <w:pPr>
              <w:spacing w:before="30" w:after="30"/>
              <w:ind w:left="57"/>
              <w:jc w:val="left"/>
              <w:rPr>
                <w:b/>
                <w:bCs/>
                <w:sz w:val="20"/>
                <w:lang w:val="en-US"/>
              </w:rPr>
            </w:pPr>
            <w:r w:rsidRPr="00614CC6">
              <w:rPr>
                <w:b/>
                <w:bCs/>
                <w:sz w:val="20"/>
                <w:lang w:val="en-US"/>
              </w:rPr>
              <w:t>SF</w:t>
            </w:r>
          </w:p>
        </w:tc>
        <w:tc>
          <w:tcPr>
            <w:tcW w:w="8220" w:type="dxa"/>
          </w:tcPr>
          <w:p w:rsidR="00DB138C" w:rsidRPr="00614CC6" w:rsidRDefault="00DB138C" w:rsidP="00FB309A">
            <w:pPr>
              <w:spacing w:before="30" w:after="30"/>
              <w:jc w:val="left"/>
              <w:rPr>
                <w:sz w:val="20"/>
              </w:rPr>
            </w:pPr>
            <w:r w:rsidRPr="00614CC6">
              <w:rPr>
                <w:sz w:val="20"/>
              </w:rPr>
              <w:t>Partage des fréquences et coordination entre les systèmes du service fixe par satellite et du service fixe</w:t>
            </w:r>
          </w:p>
        </w:tc>
      </w:tr>
      <w:tr w:rsidR="00DB138C" w:rsidRPr="00036EE3">
        <w:tc>
          <w:tcPr>
            <w:tcW w:w="1140" w:type="dxa"/>
            <w:shd w:val="clear" w:color="auto" w:fill="auto"/>
          </w:tcPr>
          <w:p w:rsidR="00DB138C" w:rsidRPr="00592F9F" w:rsidRDefault="00DB138C" w:rsidP="00FB309A">
            <w:pPr>
              <w:spacing w:before="30" w:after="30"/>
              <w:ind w:left="57"/>
              <w:jc w:val="left"/>
              <w:rPr>
                <w:b/>
                <w:bCs/>
                <w:sz w:val="20"/>
                <w:lang w:val="en-US"/>
              </w:rPr>
            </w:pPr>
            <w:r w:rsidRPr="00592F9F">
              <w:rPr>
                <w:b/>
                <w:bCs/>
                <w:sz w:val="20"/>
                <w:lang w:val="en-US"/>
              </w:rPr>
              <w:t>SM</w:t>
            </w:r>
          </w:p>
        </w:tc>
        <w:tc>
          <w:tcPr>
            <w:tcW w:w="8220" w:type="dxa"/>
            <w:shd w:val="clear" w:color="auto" w:fill="auto"/>
          </w:tcPr>
          <w:p w:rsidR="00DB138C" w:rsidRPr="00592F9F" w:rsidRDefault="00DB138C" w:rsidP="00FB309A">
            <w:pPr>
              <w:spacing w:before="30" w:after="30"/>
              <w:jc w:val="left"/>
              <w:rPr>
                <w:sz w:val="20"/>
                <w:lang w:val="en-US"/>
              </w:rPr>
            </w:pPr>
            <w:r w:rsidRPr="00592F9F">
              <w:rPr>
                <w:sz w:val="20"/>
              </w:rPr>
              <w:t>Gestion du spectre</w:t>
            </w:r>
          </w:p>
        </w:tc>
      </w:tr>
      <w:tr w:rsidR="00DB138C" w:rsidRPr="00036EE3">
        <w:tc>
          <w:tcPr>
            <w:tcW w:w="1140" w:type="dxa"/>
          </w:tcPr>
          <w:p w:rsidR="00DB138C" w:rsidRPr="00614CC6" w:rsidRDefault="00DB138C" w:rsidP="00FB309A">
            <w:pPr>
              <w:spacing w:before="30" w:after="30"/>
              <w:ind w:left="57"/>
              <w:jc w:val="left"/>
              <w:rPr>
                <w:b/>
                <w:bCs/>
                <w:sz w:val="20"/>
                <w:lang w:val="en-US"/>
              </w:rPr>
            </w:pPr>
            <w:r w:rsidRPr="00614CC6">
              <w:rPr>
                <w:b/>
                <w:bCs/>
                <w:sz w:val="20"/>
                <w:lang w:val="en-US"/>
              </w:rPr>
              <w:t>SNG</w:t>
            </w:r>
          </w:p>
        </w:tc>
        <w:tc>
          <w:tcPr>
            <w:tcW w:w="8220" w:type="dxa"/>
          </w:tcPr>
          <w:p w:rsidR="00DB138C" w:rsidRPr="00614CC6" w:rsidRDefault="00DB138C" w:rsidP="00FB309A">
            <w:pPr>
              <w:spacing w:before="30" w:after="30"/>
              <w:jc w:val="left"/>
              <w:rPr>
                <w:sz w:val="20"/>
                <w:lang w:val="en-US"/>
              </w:rPr>
            </w:pPr>
            <w:r w:rsidRPr="00614CC6">
              <w:rPr>
                <w:sz w:val="20"/>
              </w:rPr>
              <w:t>Reportage d'actualités par satellite</w:t>
            </w:r>
          </w:p>
        </w:tc>
      </w:tr>
      <w:tr w:rsidR="00DB138C" w:rsidRPr="00614CC6">
        <w:tc>
          <w:tcPr>
            <w:tcW w:w="1140" w:type="dxa"/>
          </w:tcPr>
          <w:p w:rsidR="00DB138C" w:rsidRPr="00614CC6" w:rsidRDefault="00DB138C" w:rsidP="00FB309A">
            <w:pPr>
              <w:spacing w:before="30" w:after="30"/>
              <w:ind w:left="57"/>
              <w:jc w:val="left"/>
              <w:rPr>
                <w:b/>
                <w:bCs/>
                <w:sz w:val="20"/>
                <w:lang w:val="en-US"/>
              </w:rPr>
            </w:pPr>
            <w:r w:rsidRPr="00614CC6">
              <w:rPr>
                <w:b/>
                <w:bCs/>
                <w:sz w:val="20"/>
                <w:lang w:val="en-US"/>
              </w:rPr>
              <w:t>TF</w:t>
            </w:r>
          </w:p>
        </w:tc>
        <w:tc>
          <w:tcPr>
            <w:tcW w:w="8220" w:type="dxa"/>
          </w:tcPr>
          <w:p w:rsidR="00DB138C" w:rsidRPr="00614CC6" w:rsidRDefault="00DB138C" w:rsidP="00FB309A">
            <w:pPr>
              <w:spacing w:before="30" w:after="30"/>
              <w:jc w:val="left"/>
              <w:rPr>
                <w:sz w:val="20"/>
              </w:rPr>
            </w:pPr>
            <w:r w:rsidRPr="00614CC6">
              <w:rPr>
                <w:sz w:val="20"/>
              </w:rPr>
              <w:t>Emissions de fréquences étalon et de signaux horaires</w:t>
            </w:r>
          </w:p>
        </w:tc>
      </w:tr>
      <w:tr w:rsidR="00DB138C" w:rsidRPr="00036EE3">
        <w:tc>
          <w:tcPr>
            <w:tcW w:w="1140" w:type="dxa"/>
          </w:tcPr>
          <w:p w:rsidR="00DB138C" w:rsidRPr="00614CC6" w:rsidRDefault="00DB138C" w:rsidP="00FB309A">
            <w:pPr>
              <w:spacing w:before="30" w:after="30"/>
              <w:ind w:left="57"/>
              <w:jc w:val="left"/>
              <w:rPr>
                <w:b/>
                <w:bCs/>
                <w:sz w:val="20"/>
                <w:lang w:val="en-US"/>
              </w:rPr>
            </w:pPr>
            <w:r w:rsidRPr="00614CC6">
              <w:rPr>
                <w:b/>
                <w:bCs/>
                <w:sz w:val="20"/>
                <w:lang w:val="en-US"/>
              </w:rPr>
              <w:t>V</w:t>
            </w:r>
          </w:p>
        </w:tc>
        <w:tc>
          <w:tcPr>
            <w:tcW w:w="8220" w:type="dxa"/>
          </w:tcPr>
          <w:p w:rsidR="00DB138C" w:rsidRPr="00614CC6" w:rsidRDefault="00DB138C" w:rsidP="00FB309A">
            <w:pPr>
              <w:spacing w:before="30" w:after="140"/>
              <w:jc w:val="left"/>
              <w:rPr>
                <w:sz w:val="20"/>
                <w:lang w:val="en-US"/>
              </w:rPr>
            </w:pPr>
            <w:r w:rsidRPr="00614CC6">
              <w:rPr>
                <w:sz w:val="20"/>
              </w:rPr>
              <w:t>Vocabulaire et sujets associés</w:t>
            </w:r>
          </w:p>
        </w:tc>
      </w:tr>
    </w:tbl>
    <w:p w:rsidR="00DB138C" w:rsidRPr="00036EE3" w:rsidRDefault="00DB138C" w:rsidP="00FB309A">
      <w:pPr>
        <w:spacing w:before="0"/>
        <w:jc w:val="center"/>
        <w:rPr>
          <w:sz w:val="20"/>
          <w:lang w:val="en-US"/>
        </w:rPr>
      </w:pPr>
    </w:p>
    <w:p w:rsidR="00DB138C" w:rsidRPr="00036EE3" w:rsidRDefault="00DB138C" w:rsidP="00FB309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DB138C" w:rsidRPr="00756B4D">
        <w:tc>
          <w:tcPr>
            <w:tcW w:w="9360" w:type="dxa"/>
          </w:tcPr>
          <w:p w:rsidR="00DB138C" w:rsidRPr="00756B4D" w:rsidRDefault="00DB138C" w:rsidP="00FB309A">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DB138C" w:rsidRPr="00756B4D" w:rsidRDefault="00DB138C" w:rsidP="00FB309A">
      <w:pPr>
        <w:spacing w:before="0"/>
        <w:jc w:val="center"/>
        <w:rPr>
          <w:sz w:val="22"/>
        </w:rPr>
      </w:pPr>
    </w:p>
    <w:p w:rsidR="00DB138C" w:rsidRPr="00614CC6" w:rsidRDefault="00DB138C" w:rsidP="00FB309A">
      <w:pPr>
        <w:spacing w:before="100"/>
        <w:jc w:val="right"/>
        <w:rPr>
          <w:i/>
          <w:iCs/>
          <w:sz w:val="20"/>
        </w:rPr>
      </w:pPr>
      <w:r w:rsidRPr="00614CC6">
        <w:rPr>
          <w:i/>
          <w:iCs/>
          <w:sz w:val="20"/>
        </w:rPr>
        <w:t>Publication électronique</w:t>
      </w:r>
    </w:p>
    <w:p w:rsidR="00DB138C" w:rsidRPr="00614CC6" w:rsidRDefault="00DB138C" w:rsidP="00826768">
      <w:pPr>
        <w:spacing w:before="0"/>
        <w:jc w:val="right"/>
        <w:rPr>
          <w:sz w:val="20"/>
        </w:rPr>
      </w:pPr>
      <w:r w:rsidRPr="00614CC6">
        <w:rPr>
          <w:sz w:val="20"/>
        </w:rPr>
        <w:t>Genève, 20</w:t>
      </w:r>
      <w:r>
        <w:rPr>
          <w:sz w:val="20"/>
        </w:rPr>
        <w:t>1</w:t>
      </w:r>
      <w:r w:rsidR="00826768">
        <w:rPr>
          <w:sz w:val="20"/>
        </w:rPr>
        <w:t>1</w:t>
      </w:r>
    </w:p>
    <w:p w:rsidR="00DB138C" w:rsidRPr="00614CC6" w:rsidRDefault="00DB138C" w:rsidP="0082676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826768">
        <w:rPr>
          <w:sz w:val="20"/>
        </w:rPr>
        <w:t>1</w:t>
      </w:r>
    </w:p>
    <w:p w:rsidR="00DB138C" w:rsidRPr="00614CC6" w:rsidRDefault="00DB138C" w:rsidP="00FB309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B138C" w:rsidRPr="00614CC6" w:rsidRDefault="00DB138C" w:rsidP="00FB309A">
      <w:pPr>
        <w:spacing w:before="160"/>
        <w:rPr>
          <w:i/>
          <w:sz w:val="20"/>
          <w:highlight w:val="yellow"/>
        </w:rPr>
        <w:sectPr w:rsidR="00DB138C" w:rsidRPr="00614CC6" w:rsidSect="00FB309A">
          <w:headerReference w:type="even" r:id="rId11"/>
          <w:headerReference w:type="default" r:id="rId12"/>
          <w:pgSz w:w="11907" w:h="16834" w:code="9"/>
          <w:pgMar w:top="1418" w:right="1134" w:bottom="1134" w:left="1134" w:header="720" w:footer="482" w:gutter="0"/>
          <w:pgNumType w:fmt="lowerRoman" w:start="2"/>
          <w:cols w:space="720"/>
        </w:sectPr>
      </w:pPr>
    </w:p>
    <w:p w:rsidR="00DB138C" w:rsidRPr="00756B4D" w:rsidRDefault="00DB138C" w:rsidP="008A7343">
      <w:pPr>
        <w:pStyle w:val="RecNo"/>
        <w:spacing w:before="0"/>
      </w:pPr>
      <w:bookmarkStart w:id="2" w:name="irecnoe"/>
      <w:bookmarkEnd w:id="2"/>
      <w:r w:rsidRPr="00FB309A">
        <w:rPr>
          <w:sz w:val="20"/>
        </w:rPr>
        <w:lastRenderedPageBreak/>
        <w:t xml:space="preserve">RECOMMANDATION  </w:t>
      </w:r>
      <w:r w:rsidRPr="00FB309A">
        <w:rPr>
          <w:rStyle w:val="href"/>
          <w:sz w:val="20"/>
        </w:rPr>
        <w:t>UIT-R  F.1487</w:t>
      </w:r>
      <w:r w:rsidR="008A7343">
        <w:rPr>
          <w:rStyle w:val="FootnoteReference"/>
        </w:rPr>
        <w:footnoteReference w:customMarkFollows="1" w:id="1"/>
        <w:t>*</w:t>
      </w:r>
      <w:r w:rsidR="008A7343" w:rsidRPr="008A7343">
        <w:rPr>
          <w:vertAlign w:val="superscript"/>
        </w:rPr>
        <w:t xml:space="preserve">, </w:t>
      </w:r>
      <w:r w:rsidR="008A7343">
        <w:rPr>
          <w:rStyle w:val="FootnoteReference"/>
        </w:rPr>
        <w:footnoteReference w:customMarkFollows="1" w:id="2"/>
        <w:t>**</w:t>
      </w:r>
    </w:p>
    <w:p w:rsidR="00DB138C" w:rsidRDefault="00DB138C" w:rsidP="00DB138C">
      <w:pPr>
        <w:pStyle w:val="RecTitle0"/>
        <w:rPr>
          <w:lang w:val="fr-FR"/>
        </w:rPr>
      </w:pPr>
      <w:r>
        <w:rPr>
          <w:lang w:val="fr-FR"/>
        </w:rPr>
        <w:t>ESSAIS  DE  MODEMS  À  ONDES  DÉCAMÉTRIQUES  FONCTIONNANT  DANS  DES  LARGEURS</w:t>
      </w:r>
      <w:r>
        <w:rPr>
          <w:lang w:val="fr-FR"/>
        </w:rPr>
        <w:br/>
        <w:t>DE  BANDES  ALLANT  JUSQU'À  ENVIRON  12  kHz  AU  MOYEN  DE  SIMULATEURS</w:t>
      </w:r>
      <w:r>
        <w:rPr>
          <w:lang w:val="fr-FR"/>
        </w:rPr>
        <w:br/>
        <w:t>DE  CANAL  IONOSPHÉRIQUE</w:t>
      </w:r>
    </w:p>
    <w:p w:rsidR="00DB138C" w:rsidRDefault="00DB138C" w:rsidP="00DB138C">
      <w:pPr>
        <w:pStyle w:val="RecTitleDate"/>
        <w:rPr>
          <w:lang w:val="fr-FR"/>
        </w:rPr>
      </w:pPr>
      <w:r>
        <w:rPr>
          <w:lang w:val="fr-FR"/>
        </w:rPr>
        <w:t>(2000)</w:t>
      </w:r>
    </w:p>
    <w:p w:rsidR="008A7343" w:rsidRDefault="008A7343" w:rsidP="008A7343">
      <w:pPr>
        <w:pStyle w:val="headfoot"/>
        <w:rPr>
          <w:lang w:val="fr-FR"/>
        </w:rPr>
      </w:pPr>
    </w:p>
    <w:p w:rsidR="00DB138C" w:rsidRPr="008A7343" w:rsidRDefault="00DB138C" w:rsidP="00FB309A">
      <w:pPr>
        <w:pStyle w:val="HeadingSum"/>
        <w:rPr>
          <w:sz w:val="18"/>
          <w:szCs w:val="18"/>
          <w:lang w:val="fr-CH"/>
        </w:rPr>
      </w:pPr>
      <w:bookmarkStart w:id="3" w:name="recibido"/>
      <w:bookmarkEnd w:id="3"/>
      <w:r w:rsidRPr="008A7343">
        <w:rPr>
          <w:sz w:val="18"/>
          <w:szCs w:val="18"/>
          <w:lang w:val="fr-CH"/>
        </w:rPr>
        <w:t>Champ d'application</w:t>
      </w:r>
    </w:p>
    <w:p w:rsidR="00DB138C" w:rsidRPr="00E0017E" w:rsidRDefault="00DB138C" w:rsidP="008A7343">
      <w:pPr>
        <w:pStyle w:val="Summary"/>
        <w:rPr>
          <w:lang w:val="fr-CH"/>
        </w:rPr>
      </w:pPr>
      <w:r w:rsidRPr="008A7343">
        <w:rPr>
          <w:sz w:val="18"/>
          <w:szCs w:val="18"/>
          <w:lang w:val="fr-CH"/>
        </w:rPr>
        <w:t>La présente Recommandation décrit une méthode permettant de tester</w:t>
      </w:r>
      <w:r w:rsidR="008A7343">
        <w:rPr>
          <w:sz w:val="18"/>
          <w:szCs w:val="18"/>
          <w:lang w:val="fr-CH"/>
        </w:rPr>
        <w:t xml:space="preserve"> </w:t>
      </w:r>
      <w:r w:rsidRPr="008A7343">
        <w:rPr>
          <w:sz w:val="18"/>
          <w:szCs w:val="18"/>
          <w:lang w:val="fr-CH"/>
        </w:rPr>
        <w:t>la transmission ionosphérique</w:t>
      </w:r>
      <w:r w:rsidR="008A7343" w:rsidRPr="008A7343">
        <w:rPr>
          <w:sz w:val="18"/>
          <w:szCs w:val="18"/>
          <w:lang w:val="fr-CH"/>
        </w:rPr>
        <w:t xml:space="preserve"> </w:t>
      </w:r>
      <w:r w:rsidRPr="008A7343">
        <w:rPr>
          <w:sz w:val="18"/>
          <w:szCs w:val="18"/>
          <w:lang w:val="fr-CH"/>
        </w:rPr>
        <w:t xml:space="preserve">en ondes décamétriques pour des systèmes fonctionnant dans des largeurs de bandes allant jusqu'à environ 12 kHz. </w:t>
      </w:r>
      <w:r w:rsidRPr="00E0017E">
        <w:rPr>
          <w:sz w:val="18"/>
          <w:szCs w:val="18"/>
          <w:lang w:val="fr-CH"/>
        </w:rPr>
        <w:t>Elle contient également des essais comparatifs et des essais quantitatifs de modems à ondes décamétriques.</w:t>
      </w:r>
    </w:p>
    <w:p w:rsidR="00DB138C" w:rsidRPr="00FB309A" w:rsidRDefault="00DB138C" w:rsidP="00DB138C">
      <w:pPr>
        <w:pStyle w:val="Normalaftertitle0"/>
        <w:rPr>
          <w:lang w:val="fr-FR"/>
        </w:rPr>
      </w:pPr>
      <w:r w:rsidRPr="00FB309A">
        <w:rPr>
          <w:lang w:val="fr-FR"/>
        </w:rPr>
        <w:t>L'Assemblée des radiocommunications de l'UIT,</w:t>
      </w:r>
    </w:p>
    <w:p w:rsidR="00DB138C" w:rsidRPr="00FB309A" w:rsidRDefault="00DB138C" w:rsidP="00DB138C">
      <w:pPr>
        <w:pStyle w:val="call0"/>
        <w:rPr>
          <w:lang w:val="fr-FR"/>
        </w:rPr>
      </w:pPr>
      <w:r w:rsidRPr="00FB309A">
        <w:rPr>
          <w:lang w:val="fr-FR"/>
        </w:rPr>
        <w:t>considérant</w:t>
      </w:r>
    </w:p>
    <w:p w:rsidR="00DB138C" w:rsidRPr="00FB309A" w:rsidRDefault="00DB138C" w:rsidP="00DB138C">
      <w:pPr>
        <w:rPr>
          <w:sz w:val="20"/>
        </w:rPr>
      </w:pPr>
      <w:r w:rsidRPr="00FB309A">
        <w:rPr>
          <w:sz w:val="20"/>
        </w:rPr>
        <w:t>a)</w:t>
      </w:r>
      <w:r w:rsidRPr="00FB309A">
        <w:rPr>
          <w:sz w:val="20"/>
        </w:rPr>
        <w:tab/>
        <w:t>que les radiocommunications ionosphériques dans les bandes des ondes décamétriques sont un moyen de transmission économiquement rentable pour de nombreux services exigeant un fonctionnement à des distances supérieures à celle de visibilité directe;</w:t>
      </w:r>
    </w:p>
    <w:p w:rsidR="00DB138C" w:rsidRPr="00FB309A" w:rsidRDefault="00DB138C" w:rsidP="00DB138C">
      <w:pPr>
        <w:rPr>
          <w:sz w:val="20"/>
        </w:rPr>
      </w:pPr>
      <w:r w:rsidRPr="00FB309A">
        <w:rPr>
          <w:sz w:val="20"/>
        </w:rPr>
        <w:t>b)</w:t>
      </w:r>
      <w:r w:rsidRPr="00FB309A">
        <w:rPr>
          <w:sz w:val="20"/>
        </w:rPr>
        <w:tab/>
        <w:t>que la simulation d'un canal de propagation ionosphérique permettrait de réduire les délais et les débours qu'impliquent l'étude et la mise à l'essai de tels systèmes de service;</w:t>
      </w:r>
    </w:p>
    <w:p w:rsidR="00DB138C" w:rsidRPr="00FB309A" w:rsidRDefault="00DB138C" w:rsidP="00DB138C">
      <w:pPr>
        <w:rPr>
          <w:sz w:val="20"/>
        </w:rPr>
      </w:pPr>
      <w:r w:rsidRPr="00FB309A">
        <w:rPr>
          <w:sz w:val="20"/>
        </w:rPr>
        <w:t>c)</w:t>
      </w:r>
      <w:r w:rsidRPr="00FB309A">
        <w:rPr>
          <w:sz w:val="20"/>
        </w:rPr>
        <w:tab/>
        <w:t>que certaines administrations ont signalé une concordance satisfaisante entre les résultats des essais effectués en laboratoire au moyen de simulateurs et les résultats des essais sur des modems de données en exploitation,</w:t>
      </w:r>
    </w:p>
    <w:p w:rsidR="00DB138C" w:rsidRPr="00FB309A" w:rsidRDefault="00DB138C" w:rsidP="00DB138C">
      <w:pPr>
        <w:pStyle w:val="call0"/>
        <w:rPr>
          <w:lang w:val="fr-FR"/>
        </w:rPr>
      </w:pPr>
      <w:r w:rsidRPr="00FB309A">
        <w:rPr>
          <w:lang w:val="fr-FR"/>
        </w:rPr>
        <w:t>recommande</w:t>
      </w:r>
    </w:p>
    <w:p w:rsidR="00DB138C" w:rsidRPr="00FB309A" w:rsidRDefault="00DB138C" w:rsidP="00DB138C">
      <w:pPr>
        <w:rPr>
          <w:sz w:val="20"/>
        </w:rPr>
      </w:pPr>
      <w:r w:rsidRPr="00FB309A">
        <w:rPr>
          <w:b/>
          <w:sz w:val="20"/>
        </w:rPr>
        <w:t>1</w:t>
      </w:r>
      <w:r w:rsidRPr="00FB309A">
        <w:rPr>
          <w:sz w:val="20"/>
        </w:rPr>
        <w:tab/>
        <w:t>que pour la simulation d'une transmission ionosphérique en ondes décamétriques pour des systèmes fonctionnant dans des bandes allant jusqu'à environ 12 kHz, les méthodes décrites à l'Annexe 1 soient préférées;</w:t>
      </w:r>
    </w:p>
    <w:p w:rsidR="00DB138C" w:rsidRPr="00FB309A" w:rsidRDefault="00DB138C" w:rsidP="00DB138C">
      <w:pPr>
        <w:rPr>
          <w:sz w:val="20"/>
        </w:rPr>
      </w:pPr>
      <w:r w:rsidRPr="00FB309A">
        <w:rPr>
          <w:b/>
          <w:sz w:val="20"/>
        </w:rPr>
        <w:t>2</w:t>
      </w:r>
      <w:r w:rsidRPr="00FB309A">
        <w:rPr>
          <w:sz w:val="20"/>
        </w:rPr>
        <w:tab/>
        <w:t>que la méthode décrite à l'Annexe 2 soit prise en considération pour des essais comparatifs de modems à ondes décamétriques;</w:t>
      </w:r>
    </w:p>
    <w:p w:rsidR="00DB138C" w:rsidRPr="00FB309A" w:rsidRDefault="00DB138C" w:rsidP="00DB138C">
      <w:pPr>
        <w:rPr>
          <w:sz w:val="20"/>
        </w:rPr>
      </w:pPr>
      <w:r w:rsidRPr="00FB309A">
        <w:rPr>
          <w:b/>
          <w:sz w:val="20"/>
        </w:rPr>
        <w:t>3</w:t>
      </w:r>
      <w:r w:rsidRPr="00FB309A">
        <w:rPr>
          <w:sz w:val="20"/>
        </w:rPr>
        <w:tab/>
        <w:t>lorsqu'on utilise des simulateurs pour prévoir, de manière quantitative, la qualité de fonctionnement d'un modem à ondes décamétriques donné sur des circuits à ondes décamétriques, de tenir compte, à titre provisoire, des paramètres de canal complémentaires énumérés à l'Annexe 3.</w:t>
      </w:r>
    </w:p>
    <w:p w:rsidR="00DB138C" w:rsidRDefault="00DB138C" w:rsidP="00DB138C"/>
    <w:p w:rsidR="00DB138C" w:rsidRDefault="00DB138C" w:rsidP="00DB138C"/>
    <w:p w:rsidR="00DB138C" w:rsidRDefault="00DB138C" w:rsidP="00DB138C"/>
    <w:p w:rsidR="00DB138C" w:rsidRPr="00FB309A" w:rsidRDefault="00DB138C" w:rsidP="00DB138C">
      <w:pPr>
        <w:pStyle w:val="AnnexTitle"/>
        <w:rPr>
          <w:b w:val="0"/>
          <w:bCs/>
          <w:sz w:val="20"/>
          <w:lang w:val="fr-FR"/>
        </w:rPr>
      </w:pPr>
      <w:r w:rsidRPr="00FB309A">
        <w:rPr>
          <w:b w:val="0"/>
          <w:bCs/>
          <w:sz w:val="20"/>
          <w:lang w:val="fr-FR"/>
        </w:rPr>
        <w:t>ANNEXE  1</w:t>
      </w:r>
    </w:p>
    <w:p w:rsidR="00DB138C" w:rsidRDefault="00DB138C" w:rsidP="00DB138C">
      <w:pPr>
        <w:pStyle w:val="AnnexTitle"/>
        <w:rPr>
          <w:lang w:val="fr-FR"/>
        </w:rPr>
      </w:pPr>
      <w:r>
        <w:rPr>
          <w:lang w:val="fr-FR"/>
        </w:rPr>
        <w:t>Simulations de canal ionosphérique sur ondes décamétriques</w:t>
      </w:r>
    </w:p>
    <w:p w:rsidR="00DB138C" w:rsidRDefault="00DB138C" w:rsidP="00DB138C">
      <w:pPr>
        <w:pStyle w:val="Heading1"/>
        <w:rPr>
          <w:sz w:val="22"/>
        </w:rPr>
      </w:pPr>
      <w:r>
        <w:t>1</w:t>
      </w:r>
      <w:r>
        <w:tab/>
        <w:t>Introduction</w:t>
      </w:r>
    </w:p>
    <w:p w:rsidR="00DB138C" w:rsidRPr="00FB309A" w:rsidRDefault="00DB138C" w:rsidP="00DB138C">
      <w:pPr>
        <w:rPr>
          <w:sz w:val="20"/>
        </w:rPr>
      </w:pPr>
      <w:r w:rsidRPr="00FB309A">
        <w:rPr>
          <w:sz w:val="20"/>
        </w:rPr>
        <w:t xml:space="preserve">La propagation par trajets multiples et les évanouissements sont des caractéristiques types de radiocommunications sur ondes décamétriques par l'ionosphère. Le signal émis se propage habituellement vers le récepteur selon plusieurs modes ou trajets en subissant une ou plusieurs réflexions sur les couches E et F. Etant donné que les temps de propagation ne sont pas les mêmes sur les différents trajets, le signal parvenu à l'antenne de réception peut être formé de plusieurs composantes, qui ont emprunté des trajets différents et sont étalées dans le temps sur un intervalle pouvant atteindre plusieurs millisecondes. En général, les hauteurs moyennes des couches ionosphériques augmentent ou diminuent avec </w:t>
      </w:r>
      <w:r w:rsidRPr="00FB309A">
        <w:rPr>
          <w:sz w:val="20"/>
        </w:rPr>
        <w:lastRenderedPageBreak/>
        <w:t>le temps, provoquant ainsi différentes déviations de fréquence (effet Doppler) sur chacune des composantes du trajet multiple. De plus, l'ionosphère est turbulente, ce qui impose des évanouissements aux diverses composantes et un évanouissement résultant du signal composite reçu. Tous ces effets se conjuguent pour produire une distorsion muliplicative du signal et dégrader la qualité du service assuré par les systèmes de télécommunication.</w:t>
      </w:r>
    </w:p>
    <w:p w:rsidR="00DB138C" w:rsidRDefault="00DB138C" w:rsidP="00B65A09">
      <w:pPr>
        <w:rPr>
          <w:sz w:val="20"/>
        </w:rPr>
      </w:pPr>
      <w:r w:rsidRPr="00FB309A">
        <w:rPr>
          <w:sz w:val="20"/>
        </w:rPr>
        <w:t>Si l'on émet un signal en ondes entretenues sur une liaison à ondes décamétriques, le spectre des composantes du trajet multiple apparaîtra à la réception sous la forme représentée par l'exemple expérimental de la Fig. 1. On constate la présence de quatre trajets selon les modes suivants: mode E à un bond (1E), mode F à un bond (1F), mode F à deux bonds (2F) et mode mixte (par exemple 1E </w:t>
      </w:r>
      <w:r w:rsidR="00B65A09" w:rsidRPr="00B65A09">
        <w:rPr>
          <w:sz w:val="20"/>
        </w:rPr>
        <w:t>+</w:t>
      </w:r>
      <w:r w:rsidRPr="00FB309A">
        <w:rPr>
          <w:sz w:val="20"/>
        </w:rPr>
        <w:t> 1F). Alors que dans le mode 1E les étalements de fréquence (et les taux d'évanouissement) des deux composantes magnétoioniques, a et b, sont à peu près les mêmes, leurs déviations de fréquence sont, en revanche, sensiblement différentes, ce qui permet de les distinguer l'une de l'autre par la fréquence. Dans chacun des trois autres modes, les deux composantes magnétoioniques ont des étalements et des déviations de fréquence pratiquement de mêmes valeurs, de sorte qu'elles ne se distinguent pas l'une de l'autre. Les caractéristiques de la distorsion multiplicative, dans un canal en ondes décamétriques, pendant une courte période, peuvent donc être décrites à l'aide de paramètres qui spécifient les caractéristiques de l'étalement du temps de propagation et de l'étalement de la fréquence, c'est</w:t>
      </w:r>
      <w:r w:rsidRPr="00FB309A">
        <w:rPr>
          <w:sz w:val="20"/>
        </w:rPr>
        <w:noBreakHyphen/>
        <w:t>à</w:t>
      </w:r>
      <w:r w:rsidRPr="00FB309A">
        <w:rPr>
          <w:sz w:val="20"/>
        </w:rPr>
        <w:noBreakHyphen/>
        <w:t>dire les temps différentiels de propagation sur les multiples trajets, les intensités, les déviations et les étalements de la fréquence sur chaque trajet. Ces paramètres sont, bien entendu, sujets à modification suivant le jour et la saison, de même qu'ils diffèrent en général selon l'emplacement géographique des liaisons.</w:t>
      </w:r>
    </w:p>
    <w:p w:rsidR="00E0017E" w:rsidRDefault="00E0017E" w:rsidP="00B65A09">
      <w:pPr>
        <w:rPr>
          <w:sz w:val="20"/>
        </w:rPr>
      </w:pPr>
    </w:p>
    <w:p w:rsidR="00DB138C" w:rsidRDefault="00DB138C" w:rsidP="00E0017E">
      <w:pPr>
        <w:pStyle w:val="FigureNo"/>
      </w:pPr>
      <w:r>
        <w:rPr>
          <w:noProof/>
          <w:lang w:val="en-US" w:eastAsia="zh-CN"/>
        </w:rPr>
        <w:drawing>
          <wp:inline distT="0" distB="0" distL="0" distR="0">
            <wp:extent cx="3848100" cy="5010150"/>
            <wp:effectExtent l="0" t="0" r="0" b="0"/>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3848100" cy="5010150"/>
                    </a:xfrm>
                    <a:prstGeom prst="rect">
                      <a:avLst/>
                    </a:prstGeom>
                    <a:noFill/>
                    <a:ln w="9525">
                      <a:noFill/>
                      <a:miter lim="800000"/>
                      <a:headEnd/>
                      <a:tailEnd/>
                    </a:ln>
                  </pic:spPr>
                </pic:pic>
              </a:graphicData>
            </a:graphic>
          </wp:inline>
        </w:drawing>
      </w:r>
    </w:p>
    <w:p w:rsidR="00DB138C" w:rsidRPr="00E0017E" w:rsidRDefault="00DB138C" w:rsidP="00FB309A">
      <w:pPr>
        <w:pStyle w:val="Normalaftertitle0"/>
        <w:rPr>
          <w:lang w:val="fr-CH"/>
        </w:rPr>
      </w:pPr>
      <w:r w:rsidRPr="00E0017E">
        <w:rPr>
          <w:lang w:val="fr-CH"/>
        </w:rPr>
        <w:t xml:space="preserve">La comparaison des performances de deux ou de plusieurs systèmes nécessite des essais simultanés, car les conditions de la propagation ou celles des canaux ionosphériques varient d'une manière incontrôlable et ne peuvent pas être répétées avec précision à d'autres moments ou sur d'autres liaisons. L'emploi d'un simulateur de canal présente des avantages: précision, régularité des caractéristiques, possibilité de répéter les expériences, disponibilité, gamme étendue </w:t>
      </w:r>
      <w:r w:rsidRPr="00E0017E">
        <w:rPr>
          <w:lang w:val="fr-CH"/>
        </w:rPr>
        <w:lastRenderedPageBreak/>
        <w:t>de modalités des canaux, bas prix de revient; ces avantages sont cependant limités si le modèle de canal d'après lequel le simulateur a été construit n'est pas valable. La présente Recommandation décrit un modèle stationnaire de canaux sur ondes décamétriques à dispersion gaussienne. Il est valable pour des canaux de 3 kHz et peut être appliqué à des bandes allant jusqu'à 12 kHz. Une installation réelle de ce modèle peut fonctionner à des fréquences (audio) de bande de base et, par conséquent, agir directement sur la sortie d'un modem à ondes décamétriques émetteur et fournir directement des signaux à un modem à ondes décamétriques récepteur. Toutefois, lorsque l'on examine la qualité de fonctionnement de systèmes à ondes décamétriques, les effets produits par d'autres composants du système doivent toujours être pris en compte (par exemple, les filtres d'émission et de réception et les commandes de niveau ou de gain).</w:t>
      </w:r>
    </w:p>
    <w:p w:rsidR="00DB138C" w:rsidRDefault="00DB138C" w:rsidP="00DB138C">
      <w:pPr>
        <w:pStyle w:val="Heading1"/>
      </w:pPr>
      <w:r>
        <w:t>2</w:t>
      </w:r>
      <w:r>
        <w:tab/>
        <w:t>Modèle à dispersion gaussienne</w:t>
      </w:r>
    </w:p>
    <w:p w:rsidR="00DB138C" w:rsidRPr="00FB309A" w:rsidRDefault="00DB138C" w:rsidP="00DB138C">
      <w:pPr>
        <w:rPr>
          <w:sz w:val="20"/>
        </w:rPr>
      </w:pPr>
      <w:r w:rsidRPr="00FB309A">
        <w:rPr>
          <w:sz w:val="20"/>
        </w:rPr>
        <w:t xml:space="preserve">La Fig. 2 représente le schéma simplifié du modèle stationnaire de canal ionosphérique sur ondes décamétriques, à dispersion gaussienne. Ceci est communément connu sous le nom de modèle de Watterson. Le signal d'entrée (signal émis) est appliqué à une ligne à retard idéale, munie de plusieurs prises réglables où il peut être prélevé. Ces prises, numérotées 1, 2, …, </w:t>
      </w:r>
      <w:r w:rsidRPr="00FB309A">
        <w:rPr>
          <w:i/>
          <w:iCs/>
          <w:sz w:val="20"/>
        </w:rPr>
        <w:t>i</w:t>
      </w:r>
      <w:r w:rsidRPr="00FB309A">
        <w:rPr>
          <w:sz w:val="20"/>
        </w:rPr>
        <w:t xml:space="preserve">, …, </w:t>
      </w:r>
      <w:r w:rsidRPr="00FB309A">
        <w:rPr>
          <w:i/>
          <w:iCs/>
          <w:sz w:val="20"/>
        </w:rPr>
        <w:t>n</w:t>
      </w:r>
      <w:r w:rsidRPr="00FB309A">
        <w:rPr>
          <w:sz w:val="20"/>
        </w:rPr>
        <w:t xml:space="preserve">, correspondent chacune à un mode ou trajet de propagation ionosphérique. A chaque prise, le signal est modulé en amplitude et en phase par une fonction aléatoire complexe appropriée du gain selon la position de la prise, </w:t>
      </w:r>
      <w:r w:rsidRPr="00FB309A">
        <w:rPr>
          <w:i/>
          <w:iCs/>
          <w:sz w:val="20"/>
        </w:rPr>
        <w:t>G</w:t>
      </w:r>
      <w:r w:rsidRPr="00FB309A">
        <w:rPr>
          <w:i/>
          <w:iCs/>
          <w:position w:val="-4"/>
          <w:sz w:val="20"/>
        </w:rPr>
        <w:t>i</w:t>
      </w:r>
      <w:r w:rsidRPr="00FB309A">
        <w:rPr>
          <w:sz w:val="20"/>
        </w:rPr>
        <w:t>(</w:t>
      </w:r>
      <w:r w:rsidRPr="00FB309A">
        <w:rPr>
          <w:i/>
          <w:iCs/>
          <w:sz w:val="20"/>
        </w:rPr>
        <w:t>t</w:t>
      </w:r>
      <w:r w:rsidRPr="00FB309A">
        <w:rPr>
          <w:sz w:val="20"/>
        </w:rPr>
        <w:t>), ci-après désignée par fonction «gain-prise». Les signaux retardés et modulés sont additionnés de brio (gaussien, atmosphérique et/ou artificiel) et/ou de brouillage (signaux non désirés) pour constituer le signal de sortie (signal reçu). Pour le modèle de canal de dispersion gaussienne, chaque fonction «gain-prise» a pour expression:</w:t>
      </w:r>
    </w:p>
    <w:p w:rsidR="00FB309A" w:rsidRPr="00E0017E" w:rsidRDefault="00FB309A" w:rsidP="00FB309A">
      <w:pPr>
        <w:pStyle w:val="Blanc"/>
        <w:rPr>
          <w:lang w:val="fr-CH"/>
        </w:rPr>
      </w:pPr>
    </w:p>
    <w:p w:rsidR="00DB138C" w:rsidRPr="00FB309A" w:rsidRDefault="00DB138C" w:rsidP="00DB138C">
      <w:pPr>
        <w:pStyle w:val="Equation"/>
        <w:rPr>
          <w:sz w:val="20"/>
          <w:lang w:val="fr-CH"/>
        </w:rPr>
      </w:pPr>
      <w:r w:rsidRPr="00FB309A">
        <w:rPr>
          <w:sz w:val="20"/>
        </w:rPr>
        <w:tab/>
      </w:r>
      <w:r w:rsidRPr="00FB309A">
        <w:rPr>
          <w:sz w:val="20"/>
        </w:rPr>
        <w:tab/>
      </w:r>
      <w:r w:rsidRPr="00FB309A">
        <w:rPr>
          <w:position w:val="-10"/>
          <w:sz w:val="20"/>
        </w:rPr>
        <w:object w:dxaOrig="468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25pt;height:24.8pt" o:ole="">
            <v:imagedata r:id="rId14" o:title=""/>
          </v:shape>
          <o:OLEObject Type="Embed" ProgID="Equation.3" ShapeID="_x0000_i1025" DrawAspect="Content" ObjectID="_1356435765" r:id="rId15"/>
        </w:object>
      </w:r>
      <w:r w:rsidRPr="00FB309A">
        <w:rPr>
          <w:sz w:val="20"/>
          <w:lang w:val="fr-CH"/>
        </w:rPr>
        <w:tab/>
        <w:t>(1)</w:t>
      </w:r>
    </w:p>
    <w:p w:rsidR="00FB309A" w:rsidRPr="00E0017E" w:rsidRDefault="00FB309A" w:rsidP="00FB309A">
      <w:pPr>
        <w:pStyle w:val="Blanc"/>
        <w:rPr>
          <w:lang w:val="fr-CH"/>
        </w:rPr>
      </w:pPr>
    </w:p>
    <w:p w:rsidR="00DB138C" w:rsidRDefault="00DB138C" w:rsidP="00B65A09">
      <w:pPr>
        <w:spacing w:line="240" w:lineRule="exact"/>
        <w:rPr>
          <w:sz w:val="20"/>
        </w:rPr>
      </w:pPr>
      <w:r w:rsidRPr="00FB309A">
        <w:rPr>
          <w:sz w:val="20"/>
        </w:rPr>
        <w:t xml:space="preserve">où les indices </w:t>
      </w:r>
      <w:r w:rsidRPr="00FB309A">
        <w:rPr>
          <w:i/>
          <w:iCs/>
          <w:sz w:val="20"/>
        </w:rPr>
        <w:t>a</w:t>
      </w:r>
      <w:r w:rsidRPr="00FB309A">
        <w:rPr>
          <w:sz w:val="20"/>
        </w:rPr>
        <w:t xml:space="preserve"> et </w:t>
      </w:r>
      <w:r w:rsidRPr="00FB309A">
        <w:rPr>
          <w:i/>
          <w:iCs/>
          <w:sz w:val="20"/>
        </w:rPr>
        <w:t xml:space="preserve">b </w:t>
      </w:r>
      <w:r w:rsidRPr="00FB309A">
        <w:rPr>
          <w:sz w:val="20"/>
        </w:rPr>
        <w:t>identifient les deux composantes magnétoioniques qui sont en général présentes dans chaque mode ou trajet. Les tildes indiquent que</w:t>
      </w:r>
      <w:r w:rsidRPr="00FB309A">
        <w:rPr>
          <w:sz w:val="20"/>
          <w:lang w:val="fr-CH"/>
        </w:rPr>
        <w:t xml:space="preserve"> </w:t>
      </w:r>
      <w:r w:rsidRPr="00FB309A">
        <w:rPr>
          <w:position w:val="-10"/>
          <w:sz w:val="20"/>
        </w:rPr>
        <w:object w:dxaOrig="560" w:dyaOrig="340">
          <v:shape id="_x0000_i1026" type="#_x0000_t75" style="width:27.6pt;height:17.3pt" o:ole="">
            <v:imagedata r:id="rId16" o:title=""/>
          </v:shape>
          <o:OLEObject Type="Embed" ProgID="Equation.3" ShapeID="_x0000_i1026" DrawAspect="Content" ObjectID="_1356435766" r:id="rId17"/>
        </w:object>
      </w:r>
      <w:r w:rsidRPr="00FB309A">
        <w:rPr>
          <w:sz w:val="20"/>
          <w:lang w:val="fr-CH"/>
        </w:rPr>
        <w:t xml:space="preserve"> et </w:t>
      </w:r>
      <w:r w:rsidRPr="00FB309A">
        <w:rPr>
          <w:position w:val="-10"/>
          <w:sz w:val="20"/>
        </w:rPr>
        <w:object w:dxaOrig="560" w:dyaOrig="340">
          <v:shape id="_x0000_i1027" type="#_x0000_t75" style="width:27.6pt;height:17.3pt" o:ole="">
            <v:imagedata r:id="rId18" o:title=""/>
          </v:shape>
          <o:OLEObject Type="Embed" ProgID="Equation.3" ShapeID="_x0000_i1027" DrawAspect="Content" ObjectID="_1356435767" r:id="rId19"/>
        </w:object>
      </w:r>
      <w:r w:rsidRPr="00FB309A">
        <w:rPr>
          <w:sz w:val="20"/>
          <w:lang w:val="fr-CH"/>
        </w:rPr>
        <w:t xml:space="preserve"> </w:t>
      </w:r>
      <w:r w:rsidRPr="00FB309A">
        <w:rPr>
          <w:sz w:val="20"/>
        </w:rPr>
        <w:t>sont des fonctions échantillons de deux modes gaussiens aléatoires, complexes (bivariants) et indépendants, dont la moyenne de chacun est égale à zéro et dont les composantes réelles et imaginaires ont des valeurs quadratiques égales qui produisent des évanouissements de Rayleigh (c'est</w:t>
      </w:r>
      <w:r w:rsidRPr="00FB309A">
        <w:rPr>
          <w:sz w:val="20"/>
        </w:rPr>
        <w:noBreakHyphen/>
        <w:t>à</w:t>
      </w:r>
      <w:r w:rsidRPr="00FB309A">
        <w:rPr>
          <w:sz w:val="20"/>
        </w:rPr>
        <w:noBreakHyphen/>
        <w:t xml:space="preserve">dire que ce sont des fonctions à dispersion gaussienne). Les termes exponentiels ont été traduits dans l'équation (1) afin de fournir les déviations de fréquence (par effet Doppler) désirées, </w:t>
      </w:r>
      <w:r w:rsidR="00B65A09" w:rsidRPr="00B65A09">
        <w:rPr>
          <w:sz w:val="20"/>
        </w:rPr>
        <w:sym w:font="Symbol" w:char="F06E"/>
      </w:r>
      <w:r w:rsidRPr="002D2ADA">
        <w:rPr>
          <w:i/>
          <w:iCs/>
          <w:vertAlign w:val="subscript"/>
        </w:rPr>
        <w:t>ia</w:t>
      </w:r>
      <w:r w:rsidRPr="00FB309A">
        <w:rPr>
          <w:sz w:val="20"/>
        </w:rPr>
        <w:t xml:space="preserve"> et </w:t>
      </w:r>
      <w:r w:rsidR="00B65A09" w:rsidRPr="00B65A09">
        <w:rPr>
          <w:sz w:val="20"/>
        </w:rPr>
        <w:sym w:font="Symbol" w:char="F06E"/>
      </w:r>
      <w:r w:rsidRPr="002D2ADA">
        <w:rPr>
          <w:i/>
          <w:iCs/>
          <w:vertAlign w:val="subscript"/>
        </w:rPr>
        <w:t>ib</w:t>
      </w:r>
      <w:r w:rsidRPr="00FB309A">
        <w:rPr>
          <w:sz w:val="20"/>
        </w:rPr>
        <w:t>, aux composantes magnétoioniques du spectre «gain</w:t>
      </w:r>
      <w:r w:rsidRPr="00FB309A">
        <w:rPr>
          <w:sz w:val="20"/>
        </w:rPr>
        <w:noBreakHyphen/>
        <w:t>prise».</w:t>
      </w:r>
    </w:p>
    <w:p w:rsidR="00826768" w:rsidRPr="00FB309A" w:rsidRDefault="00826768" w:rsidP="00B65A09">
      <w:pPr>
        <w:spacing w:line="240" w:lineRule="exact"/>
        <w:rPr>
          <w:sz w:val="20"/>
        </w:rPr>
      </w:pPr>
    </w:p>
    <w:p w:rsidR="00DB138C" w:rsidRDefault="00DB138C" w:rsidP="00D82D21">
      <w:pPr>
        <w:pStyle w:val="FigureNo"/>
        <w:keepNext w:val="0"/>
        <w:keepLines w:val="0"/>
      </w:pPr>
      <w:r>
        <w:rPr>
          <w:noProof/>
          <w:lang w:eastAsia="zh-CN"/>
        </w:rPr>
        <w:drawing>
          <wp:inline distT="0" distB="0" distL="0" distR="0">
            <wp:extent cx="5286375" cy="30384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5286375" cy="3038475"/>
                    </a:xfrm>
                    <a:prstGeom prst="rect">
                      <a:avLst/>
                    </a:prstGeom>
                    <a:noFill/>
                    <a:ln w="9525">
                      <a:noFill/>
                      <a:miter lim="800000"/>
                      <a:headEnd/>
                      <a:tailEnd/>
                    </a:ln>
                  </pic:spPr>
                </pic:pic>
              </a:graphicData>
            </a:graphic>
          </wp:inline>
        </w:drawing>
      </w:r>
    </w:p>
    <w:p w:rsidR="00DB138C" w:rsidRPr="00D82D21" w:rsidRDefault="00DB138C" w:rsidP="00D82D21">
      <w:pPr>
        <w:keepNext/>
        <w:keepLines/>
        <w:rPr>
          <w:sz w:val="20"/>
          <w:lang w:val="fr-CH"/>
        </w:rPr>
      </w:pPr>
      <w:r w:rsidRPr="00D82D21">
        <w:rPr>
          <w:sz w:val="20"/>
          <w:lang w:val="fr-CH"/>
        </w:rPr>
        <w:lastRenderedPageBreak/>
        <w:t xml:space="preserve">Chaque fonction «gain-prise» a un spectre, </w:t>
      </w:r>
      <w:r w:rsidRPr="00D82D21">
        <w:rPr>
          <w:i/>
          <w:iCs/>
          <w:sz w:val="20"/>
          <w:lang w:val="fr-CH"/>
        </w:rPr>
        <w:t>f</w:t>
      </w:r>
      <w:r w:rsidRPr="00D82D21">
        <w:rPr>
          <w:i/>
          <w:iCs/>
          <w:position w:val="-4"/>
          <w:sz w:val="20"/>
          <w:lang w:val="fr-CH"/>
        </w:rPr>
        <w:t>i</w:t>
      </w:r>
      <w:r w:rsidRPr="00D82D21">
        <w:rPr>
          <w:rFonts w:ascii="Tms Rmn" w:hAnsi="Tms Rmn"/>
          <w:i/>
          <w:iCs/>
          <w:sz w:val="20"/>
          <w:lang w:val="fr-CH"/>
        </w:rPr>
        <w:t> </w:t>
      </w:r>
      <w:r w:rsidRPr="00D82D21">
        <w:rPr>
          <w:sz w:val="20"/>
          <w:lang w:val="fr-CH"/>
        </w:rPr>
        <w:t>(</w:t>
      </w:r>
      <w:r w:rsidR="00B65A09" w:rsidRPr="00D82D21">
        <w:rPr>
          <w:sz w:val="20"/>
        </w:rPr>
        <w:sym w:font="Symbol" w:char="F06E"/>
      </w:r>
      <w:r w:rsidRPr="00D82D21">
        <w:rPr>
          <w:sz w:val="20"/>
          <w:lang w:val="fr-CH"/>
        </w:rPr>
        <w:t xml:space="preserve">), qui est en général constitué par la somme de deux composantes magnétoioniques, chacune étant une fonction gaussienne de la fréquence, </w:t>
      </w:r>
      <w:r w:rsidR="00B65A09" w:rsidRPr="00D82D21">
        <w:rPr>
          <w:sz w:val="20"/>
        </w:rPr>
        <w:sym w:font="Symbol" w:char="F06E"/>
      </w:r>
      <w:r w:rsidRPr="00D82D21">
        <w:rPr>
          <w:sz w:val="20"/>
          <w:lang w:val="fr-CH"/>
        </w:rPr>
        <w:t>, comme spécifiée par:</w:t>
      </w:r>
    </w:p>
    <w:p w:rsidR="00FB309A" w:rsidRPr="00B65A09" w:rsidRDefault="00FB309A" w:rsidP="00D82D21">
      <w:pPr>
        <w:pStyle w:val="Blanc"/>
        <w:rPr>
          <w:lang w:val="fr-CH"/>
        </w:rPr>
      </w:pPr>
    </w:p>
    <w:p w:rsidR="00DB138C" w:rsidRPr="00FB309A" w:rsidRDefault="00DB138C" w:rsidP="00D82D21">
      <w:pPr>
        <w:pStyle w:val="Equation"/>
        <w:keepNext/>
        <w:keepLines/>
        <w:rPr>
          <w:sz w:val="20"/>
        </w:rPr>
      </w:pPr>
      <w:r w:rsidRPr="00FB309A">
        <w:rPr>
          <w:sz w:val="20"/>
        </w:rPr>
        <w:tab/>
      </w:r>
      <w:r w:rsidRPr="00FB309A">
        <w:rPr>
          <w:sz w:val="20"/>
        </w:rPr>
        <w:tab/>
      </w:r>
      <w:r w:rsidRPr="00FB309A">
        <w:rPr>
          <w:position w:val="-44"/>
          <w:sz w:val="20"/>
        </w:rPr>
        <w:object w:dxaOrig="6720" w:dyaOrig="880">
          <v:shape id="_x0000_i1028" type="#_x0000_t75" style="width:336.15pt;height:44.4pt" o:ole="">
            <v:imagedata r:id="rId21" o:title=""/>
          </v:shape>
          <o:OLEObject Type="Embed" ProgID="Equation.3" ShapeID="_x0000_i1028" DrawAspect="Content" ObjectID="_1356435768" r:id="rId22"/>
        </w:object>
      </w:r>
      <w:r w:rsidRPr="00FB309A">
        <w:rPr>
          <w:sz w:val="20"/>
        </w:rPr>
        <w:tab/>
        <w:t>(2)</w:t>
      </w:r>
    </w:p>
    <w:p w:rsidR="00FB309A" w:rsidRPr="00E0017E" w:rsidRDefault="00FB309A" w:rsidP="00FB309A">
      <w:pPr>
        <w:pStyle w:val="Blanc"/>
        <w:rPr>
          <w:lang w:val="fr-CH"/>
        </w:rPr>
      </w:pPr>
    </w:p>
    <w:p w:rsidR="00DB138C" w:rsidRPr="00FB309A" w:rsidRDefault="00DB138C" w:rsidP="00B65A09">
      <w:pPr>
        <w:spacing w:line="240" w:lineRule="exact"/>
        <w:rPr>
          <w:sz w:val="20"/>
        </w:rPr>
      </w:pPr>
      <w:r w:rsidRPr="00FB309A">
        <w:rPr>
          <w:sz w:val="20"/>
        </w:rPr>
        <w:t xml:space="preserve">où </w:t>
      </w:r>
      <w:r w:rsidRPr="00FB309A">
        <w:rPr>
          <w:position w:val="-10"/>
          <w:sz w:val="20"/>
        </w:rPr>
        <w:object w:dxaOrig="340" w:dyaOrig="340">
          <v:shape id="_x0000_i1029" type="#_x0000_t75" style="width:17.3pt;height:17.3pt" o:ole="">
            <v:imagedata r:id="rId23" o:title=""/>
          </v:shape>
          <o:OLEObject Type="Embed" ProgID="Equation.3" ShapeID="_x0000_i1029" DrawAspect="Content" ObjectID="_1356435769" r:id="rId24"/>
        </w:object>
      </w:r>
      <w:r w:rsidRPr="00FB309A">
        <w:rPr>
          <w:sz w:val="20"/>
        </w:rPr>
        <w:t xml:space="preserve"> et </w:t>
      </w:r>
      <w:r w:rsidRPr="00FB309A">
        <w:rPr>
          <w:position w:val="-10"/>
          <w:sz w:val="20"/>
        </w:rPr>
        <w:object w:dxaOrig="320" w:dyaOrig="340">
          <v:shape id="_x0000_i1030" type="#_x0000_t75" style="width:15.45pt;height:17.3pt" o:ole="">
            <v:imagedata r:id="rId25" o:title=""/>
          </v:shape>
          <o:OLEObject Type="Embed" ProgID="Equation.3" ShapeID="_x0000_i1030" DrawAspect="Content" ObjectID="_1356435770" r:id="rId26"/>
        </w:object>
      </w:r>
      <w:r w:rsidRPr="00FB309A">
        <w:rPr>
          <w:sz w:val="20"/>
        </w:rPr>
        <w:t xml:space="preserve"> sont les affaiblissements</w:t>
      </w:r>
      <w:r w:rsidRPr="00FB309A">
        <w:rPr>
          <w:i/>
          <w:iCs/>
          <w:sz w:val="20"/>
        </w:rPr>
        <w:t xml:space="preserve"> </w:t>
      </w:r>
      <w:r w:rsidRPr="00FB309A">
        <w:rPr>
          <w:sz w:val="20"/>
        </w:rPr>
        <w:t>de composantes et sont habituellement déterminés par leurs étalements de fréquence 2</w:t>
      </w:r>
      <w:r w:rsidR="00B65A09" w:rsidRPr="00B65A09">
        <w:rPr>
          <w:sz w:val="20"/>
        </w:rPr>
        <w:sym w:font="Symbol" w:char="F073"/>
      </w:r>
      <w:r w:rsidRPr="00FB309A">
        <w:rPr>
          <w:i/>
          <w:iCs/>
          <w:sz w:val="20"/>
          <w:vertAlign w:val="subscript"/>
        </w:rPr>
        <w:t>ia</w:t>
      </w:r>
      <w:r w:rsidRPr="00FB309A">
        <w:rPr>
          <w:sz w:val="20"/>
        </w:rPr>
        <w:t xml:space="preserve"> et 2</w:t>
      </w:r>
      <w:r w:rsidR="00B65A09" w:rsidRPr="00B65A09">
        <w:rPr>
          <w:sz w:val="20"/>
        </w:rPr>
        <w:sym w:font="Symbol" w:char="F073"/>
      </w:r>
      <w:r w:rsidRPr="00FB309A">
        <w:rPr>
          <w:i/>
          <w:iCs/>
          <w:sz w:val="20"/>
          <w:vertAlign w:val="subscript"/>
        </w:rPr>
        <w:t>ib</w:t>
      </w:r>
      <w:r w:rsidRPr="00FB309A">
        <w:rPr>
          <w:sz w:val="20"/>
        </w:rPr>
        <w:t xml:space="preserve">. L'équation (2) est illustrée par la Fig. 3a). Six paramètres indépendants déterminent une fonction «gain-prise» et son spectre: les deux affaiblissements, </w:t>
      </w:r>
      <w:r w:rsidRPr="00FB309A">
        <w:rPr>
          <w:position w:val="-10"/>
          <w:sz w:val="20"/>
        </w:rPr>
        <w:object w:dxaOrig="340" w:dyaOrig="340">
          <v:shape id="_x0000_i1031" type="#_x0000_t75" style="width:17.3pt;height:17.3pt" o:ole="">
            <v:imagedata r:id="rId23" o:title=""/>
          </v:shape>
          <o:OLEObject Type="Embed" ProgID="Equation.3" ShapeID="_x0000_i1031" DrawAspect="Content" ObjectID="_1356435771" r:id="rId27"/>
        </w:object>
      </w:r>
      <w:r w:rsidRPr="00FB309A">
        <w:rPr>
          <w:sz w:val="20"/>
        </w:rPr>
        <w:t xml:space="preserve"> et </w:t>
      </w:r>
      <w:r w:rsidRPr="00FB309A">
        <w:rPr>
          <w:position w:val="-10"/>
          <w:sz w:val="20"/>
          <w:lang w:val="es-ES_tradnl"/>
        </w:rPr>
        <w:object w:dxaOrig="380" w:dyaOrig="340">
          <v:shape id="_x0000_i1032" type="#_x0000_t75" style="width:18.7pt;height:17.3pt" o:ole="">
            <v:imagedata r:id="rId28" o:title=""/>
          </v:shape>
          <o:OLEObject Type="Embed" ProgID="Equation.3" ShapeID="_x0000_i1032" DrawAspect="Content" ObjectID="_1356435772" r:id="rId29"/>
        </w:object>
      </w:r>
      <w:r w:rsidRPr="00FB309A">
        <w:rPr>
          <w:sz w:val="20"/>
          <w:lang w:val="fr-CH"/>
        </w:rPr>
        <w:t xml:space="preserve"> </w:t>
      </w:r>
      <w:r w:rsidRPr="00FB309A">
        <w:rPr>
          <w:sz w:val="20"/>
        </w:rPr>
        <w:t xml:space="preserve">les deux déviations de fréquence, </w:t>
      </w:r>
      <w:r w:rsidR="00B65A09" w:rsidRPr="00B65A09">
        <w:rPr>
          <w:sz w:val="20"/>
        </w:rPr>
        <w:sym w:font="Symbol" w:char="F06E"/>
      </w:r>
      <w:r w:rsidRPr="00FB309A">
        <w:rPr>
          <w:i/>
          <w:iCs/>
          <w:sz w:val="20"/>
          <w:vertAlign w:val="subscript"/>
        </w:rPr>
        <w:t>ia</w:t>
      </w:r>
      <w:r w:rsidRPr="00FB309A">
        <w:rPr>
          <w:sz w:val="20"/>
        </w:rPr>
        <w:t xml:space="preserve"> et </w:t>
      </w:r>
      <w:r w:rsidR="00B65A09" w:rsidRPr="00B65A09">
        <w:rPr>
          <w:sz w:val="20"/>
        </w:rPr>
        <w:sym w:font="Symbol" w:char="F06E"/>
      </w:r>
      <w:r w:rsidRPr="00FB309A">
        <w:rPr>
          <w:i/>
          <w:iCs/>
          <w:sz w:val="20"/>
          <w:vertAlign w:val="subscript"/>
        </w:rPr>
        <w:t>ib</w:t>
      </w:r>
      <w:r w:rsidRPr="00FB309A">
        <w:rPr>
          <w:sz w:val="20"/>
        </w:rPr>
        <w:t>, et les deux étalements de fréquence, 2</w:t>
      </w:r>
      <w:r w:rsidR="00B65A09" w:rsidRPr="00B65A09">
        <w:rPr>
          <w:sz w:val="20"/>
        </w:rPr>
        <w:sym w:font="Symbol" w:char="F073"/>
      </w:r>
      <w:r w:rsidRPr="00FB309A">
        <w:rPr>
          <w:i/>
          <w:iCs/>
          <w:sz w:val="20"/>
          <w:vertAlign w:val="subscript"/>
        </w:rPr>
        <w:t>ia</w:t>
      </w:r>
      <w:r w:rsidRPr="00FB309A">
        <w:rPr>
          <w:sz w:val="20"/>
        </w:rPr>
        <w:t xml:space="preserve"> et 2</w:t>
      </w:r>
      <w:r w:rsidR="00B65A09" w:rsidRPr="00B65A09">
        <w:rPr>
          <w:sz w:val="20"/>
        </w:rPr>
        <w:sym w:font="Symbol" w:char="F073"/>
      </w:r>
      <w:r w:rsidRPr="00FB309A">
        <w:rPr>
          <w:i/>
          <w:iCs/>
          <w:sz w:val="20"/>
          <w:vertAlign w:val="subscript"/>
        </w:rPr>
        <w:t>ib</w:t>
      </w:r>
      <w:r w:rsidRPr="00B65A09">
        <w:rPr>
          <w:sz w:val="20"/>
        </w:rPr>
        <w:t>.</w:t>
      </w:r>
    </w:p>
    <w:p w:rsidR="00DB138C" w:rsidRPr="00FB309A" w:rsidRDefault="00DB138C" w:rsidP="00DB138C">
      <w:pPr>
        <w:rPr>
          <w:sz w:val="20"/>
        </w:rPr>
      </w:pPr>
      <w:r w:rsidRPr="00FB309A">
        <w:rPr>
          <w:sz w:val="20"/>
        </w:rPr>
        <w:t>La fonction «gain-prise» représentée par les équations (1) et (2) est générale, par le fait qu'elle s'applique quand les spectres des deux composantes magnétoioniques sont sensiblement différents et que la différence entre leurs temps de propagation est négligeable. Dans les deux cas suivants, un seul des deux termes des équations (1) et (2) est nécessaire:</w:t>
      </w:r>
    </w:p>
    <w:p w:rsidR="00DB138C" w:rsidRPr="00FB309A" w:rsidRDefault="00DB138C" w:rsidP="00DB138C">
      <w:pPr>
        <w:pStyle w:val="enumlev1"/>
        <w:rPr>
          <w:sz w:val="20"/>
        </w:rPr>
      </w:pPr>
      <w:r w:rsidRPr="00FB309A">
        <w:rPr>
          <w:sz w:val="20"/>
        </w:rPr>
        <w:t>–</w:t>
      </w:r>
      <w:r w:rsidRPr="00FB309A">
        <w:rPr>
          <w:sz w:val="20"/>
        </w:rPr>
        <w:tab/>
        <w:t>lorsque les rayons se propagent à basse altitude, les déviations et les étalements de fréquence des deux composantes magnétoioniques sont presque égaux, leurs spectres coïncident presque et un seul terme peut être utilisé avec le spectre «gain-prise» représenté par la Fig. 3b);</w:t>
      </w:r>
    </w:p>
    <w:p w:rsidR="00DB138C" w:rsidRPr="00FB309A" w:rsidRDefault="00DB138C" w:rsidP="00DB138C">
      <w:pPr>
        <w:pStyle w:val="enumlev1"/>
        <w:rPr>
          <w:sz w:val="20"/>
        </w:rPr>
      </w:pPr>
      <w:r w:rsidRPr="00FB309A">
        <w:rPr>
          <w:sz w:val="20"/>
        </w:rPr>
        <w:t>–</w:t>
      </w:r>
      <w:r w:rsidRPr="00FB309A">
        <w:rPr>
          <w:sz w:val="20"/>
        </w:rPr>
        <w:tab/>
        <w:t>les deux composantes magnétoioniques des rayons à haute altitude présentent souvent une notable différence dans leurs retards; dans ce cas, il convient d'utiliser sur la ligne à retard des prises adéquatement espacées, avec un seul terme pour représenter chacune des deux fonctions «gain-prise» correspondantes et leurs spectres, ainsi que le montre la Fig. 3b).</w:t>
      </w:r>
    </w:p>
    <w:p w:rsidR="00DB138C" w:rsidRDefault="00DB138C" w:rsidP="00826768">
      <w:pPr>
        <w:pStyle w:val="FigureNo"/>
      </w:pPr>
      <w:r>
        <w:rPr>
          <w:noProof/>
          <w:lang w:eastAsia="zh-CN"/>
        </w:rPr>
        <w:lastRenderedPageBreak/>
        <w:drawing>
          <wp:inline distT="0" distB="0" distL="0" distR="0">
            <wp:extent cx="3514725" cy="63817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srcRect/>
                    <a:stretch>
                      <a:fillRect/>
                    </a:stretch>
                  </pic:blipFill>
                  <pic:spPr bwMode="auto">
                    <a:xfrm>
                      <a:off x="0" y="0"/>
                      <a:ext cx="3514725" cy="6381750"/>
                    </a:xfrm>
                    <a:prstGeom prst="rect">
                      <a:avLst/>
                    </a:prstGeom>
                    <a:noFill/>
                    <a:ln w="9525">
                      <a:noFill/>
                      <a:miter lim="800000"/>
                      <a:headEnd/>
                      <a:tailEnd/>
                    </a:ln>
                  </pic:spPr>
                </pic:pic>
              </a:graphicData>
            </a:graphic>
          </wp:inline>
        </w:drawing>
      </w:r>
    </w:p>
    <w:p w:rsidR="00DB138C" w:rsidRDefault="00DB138C" w:rsidP="00DB138C">
      <w:pPr>
        <w:pStyle w:val="Heading1"/>
      </w:pPr>
      <w:r>
        <w:t>3</w:t>
      </w:r>
      <w:r>
        <w:tab/>
        <w:t>Modes spéculaires</w:t>
      </w:r>
    </w:p>
    <w:p w:rsidR="00DB138C" w:rsidRPr="00FB309A" w:rsidRDefault="00DB138C" w:rsidP="00B65A09">
      <w:pPr>
        <w:rPr>
          <w:sz w:val="20"/>
        </w:rPr>
      </w:pPr>
      <w:r w:rsidRPr="00FB309A">
        <w:rPr>
          <w:sz w:val="20"/>
        </w:rPr>
        <w:t xml:space="preserve">Le modèle à dispersion gaussienne peut représenter de manière précise la majorité des liaisons ionosphériques types sur ondes décamétriques. On peut aisément simuler une composante spéculaire dans un mode à onde ionosphérique en ajoutant une prise retardée non sujette à évanouissements présentant la même déviation de fréquence que le spectre du mode correspondant. C'est ainsi qu'à la Fig. 3, les composantes spéculaires apparaîtraient comme des fonctions delta de Dirac en </w:t>
      </w:r>
      <w:r w:rsidR="00B65A09" w:rsidRPr="00B65A09">
        <w:rPr>
          <w:sz w:val="20"/>
        </w:rPr>
        <w:sym w:font="Symbol" w:char="F06E"/>
      </w:r>
      <w:r w:rsidRPr="00FB309A">
        <w:rPr>
          <w:i/>
          <w:iCs/>
          <w:sz w:val="20"/>
          <w:vertAlign w:val="subscript"/>
        </w:rPr>
        <w:t>ia</w:t>
      </w:r>
      <w:r w:rsidRPr="00FB309A">
        <w:rPr>
          <w:sz w:val="20"/>
        </w:rPr>
        <w:t xml:space="preserve">, </w:t>
      </w:r>
      <w:r w:rsidR="00B65A09" w:rsidRPr="00B65A09">
        <w:rPr>
          <w:sz w:val="20"/>
        </w:rPr>
        <w:sym w:font="Symbol" w:char="F06E"/>
      </w:r>
      <w:r w:rsidRPr="00FB309A">
        <w:rPr>
          <w:i/>
          <w:iCs/>
          <w:sz w:val="20"/>
          <w:vertAlign w:val="subscript"/>
        </w:rPr>
        <w:t>ib</w:t>
      </w:r>
      <w:r w:rsidRPr="00FB309A">
        <w:rPr>
          <w:sz w:val="20"/>
        </w:rPr>
        <w:t xml:space="preserve"> et </w:t>
      </w:r>
      <w:r w:rsidR="00B65A09" w:rsidRPr="00B65A09">
        <w:rPr>
          <w:sz w:val="20"/>
        </w:rPr>
        <w:sym w:font="Symbol" w:char="F06E"/>
      </w:r>
      <w:r w:rsidRPr="00FB309A">
        <w:rPr>
          <w:i/>
          <w:iCs/>
          <w:sz w:val="20"/>
          <w:vertAlign w:val="subscript"/>
        </w:rPr>
        <w:t>i</w:t>
      </w:r>
      <w:r w:rsidRPr="00FB309A">
        <w:rPr>
          <w:sz w:val="20"/>
        </w:rPr>
        <w:t>, selon le</w:t>
      </w:r>
      <w:r w:rsidR="00FB309A">
        <w:rPr>
          <w:sz w:val="20"/>
        </w:rPr>
        <w:t xml:space="preserve"> </w:t>
      </w:r>
      <w:r w:rsidRPr="00FB309A">
        <w:rPr>
          <w:sz w:val="20"/>
        </w:rPr>
        <w:t>cas.</w:t>
      </w:r>
    </w:p>
    <w:p w:rsidR="00DB138C" w:rsidRPr="00FB309A" w:rsidRDefault="00DB138C" w:rsidP="00DB138C">
      <w:pPr>
        <w:rPr>
          <w:sz w:val="20"/>
        </w:rPr>
      </w:pPr>
      <w:r w:rsidRPr="00FB309A">
        <w:rPr>
          <w:sz w:val="20"/>
        </w:rPr>
        <w:t>L'onde de sol qui est présente dans une liaison à courte distance est essentiellement non sujette à évanouissements et peut également être représentée par une prise non sujette à évanouissements sur le retard de groupe approprié.</w:t>
      </w:r>
    </w:p>
    <w:p w:rsidR="00DB138C" w:rsidRDefault="00DB138C" w:rsidP="00DB138C">
      <w:pPr>
        <w:pStyle w:val="Heading1"/>
      </w:pPr>
      <w:r>
        <w:lastRenderedPageBreak/>
        <w:t>4</w:t>
      </w:r>
      <w:r>
        <w:tab/>
        <w:t>Modèles pour canaux en ondes décamétriques avec largeur de bande dépassant les 12 kHz</w:t>
      </w:r>
    </w:p>
    <w:p w:rsidR="00DB138C" w:rsidRPr="00FB309A" w:rsidRDefault="00DB138C" w:rsidP="00DB138C">
      <w:pPr>
        <w:rPr>
          <w:sz w:val="20"/>
        </w:rPr>
      </w:pPr>
      <w:r w:rsidRPr="00FB309A">
        <w:rPr>
          <w:sz w:val="20"/>
        </w:rPr>
        <w:t xml:space="preserve">Si le modèle à dispersion gaussienne mentionné ci-dessus a été validé pour une utilisation sur des canaux en ondes décamétriques de 3 kHz et peut être utilisable sur des canaux pouvant atteindre une largeur de 12 kHz, sa validité pour des bandes d'une largeur supérieure (à savoir des bandes élargies entre 12 kHz et 1 MHz environ) est problématique pour au moins deux raisons. En premier lieu, la spécification d'un modèle susceptible de caractériser de tels canaux à bande élargie s'est avérée difficile du fait d'un manque d'informations de canal pour ce mode de fonctionnement. En second lieu, parce qu'il y a pénurie de modems à bande élargie, qui sont les mieux adaptés à la validation de ce modèle. </w:t>
      </w:r>
    </w:p>
    <w:p w:rsidR="00DB138C" w:rsidRDefault="00DB138C" w:rsidP="00DB138C">
      <w:pPr>
        <w:rPr>
          <w:sz w:val="20"/>
        </w:rPr>
      </w:pPr>
      <w:r w:rsidRPr="00FB309A">
        <w:rPr>
          <w:sz w:val="20"/>
        </w:rPr>
        <w:t>En dépit des difficultés de généralisation, une extension du modèle de canal à 3 kHz est actuellement envisagée. Elle repose sur la conviction qu'un tel modèle pourrait être nécessaire dans un proche avenir. En conséquence, on a entrepris des études visant à prendre en compte des largeurs de bande de canal dépassant les 12 kHz environ en utilisant des extensions logiques du présent modèle gaussien. Si la logique est généralement valable, des études et des travaux de validation plus approfondis sont nécessaires avant qu'il ne soit possible de recommander un modèle de canal à bande élargie. Pour des simulations portant sur de très larges bandes, cette approche étendue risque d'être intenable puisque les conditions des canaux peuvent varier à l'intérieur de la largeur de bande de transmission.</w:t>
      </w:r>
    </w:p>
    <w:p w:rsidR="008A7343" w:rsidRDefault="008A7343" w:rsidP="00DB138C">
      <w:pPr>
        <w:rPr>
          <w:sz w:val="20"/>
        </w:rPr>
      </w:pPr>
    </w:p>
    <w:p w:rsidR="008A7343" w:rsidRPr="00FB309A" w:rsidRDefault="008A7343" w:rsidP="00DB138C">
      <w:pPr>
        <w:rPr>
          <w:sz w:val="20"/>
        </w:rPr>
      </w:pPr>
    </w:p>
    <w:p w:rsidR="00DB138C" w:rsidRDefault="00DB138C" w:rsidP="00DB138C">
      <w:pPr>
        <w:pStyle w:val="Annex"/>
        <w:rPr>
          <w:lang w:val="fr-FR"/>
        </w:rPr>
      </w:pPr>
      <w:r>
        <w:rPr>
          <w:lang w:val="fr-FR"/>
        </w:rPr>
        <w:t>ANNEXE  2</w:t>
      </w:r>
    </w:p>
    <w:p w:rsidR="00DB138C" w:rsidRDefault="00DB138C" w:rsidP="00DB138C">
      <w:pPr>
        <w:pStyle w:val="AnnexTitle"/>
        <w:rPr>
          <w:lang w:val="fr-FR"/>
        </w:rPr>
      </w:pPr>
      <w:r>
        <w:rPr>
          <w:lang w:val="fr-FR"/>
        </w:rPr>
        <w:t>Essais comparatifs de modems à ondes décamétriques</w:t>
      </w:r>
    </w:p>
    <w:p w:rsidR="00DB138C" w:rsidRDefault="00DB138C" w:rsidP="00DB138C">
      <w:pPr>
        <w:pStyle w:val="Heading1"/>
      </w:pPr>
      <w:r>
        <w:t>1</w:t>
      </w:r>
      <w:r>
        <w:tab/>
        <w:t>Introduction</w:t>
      </w:r>
    </w:p>
    <w:p w:rsidR="00DB138C" w:rsidRPr="00FB309A" w:rsidRDefault="00DB138C" w:rsidP="00DB138C">
      <w:pPr>
        <w:rPr>
          <w:sz w:val="20"/>
        </w:rPr>
      </w:pPr>
      <w:r w:rsidRPr="00FB309A">
        <w:rPr>
          <w:sz w:val="20"/>
        </w:rPr>
        <w:t>La portée générale de l'architecture de simulateur décrite à l'Annexe 1 permet de simuler un éventail extrêmement large de conditions de canal ionosphérique en ondes décamétriques. Elle peut être source de problèmes lorsqu'il est nécessaire d'effectuer une comparaison générale entre différents modems à ondes décamétriques. La présente Annexe décrit une technique ayant recours à une simulation simplifiée de canal en ondes décamétriques dans le but d'obtenir une spécification globale de la qualité de fonctionnement de modems à ondes décamétriques sous forme graphique.</w:t>
      </w:r>
    </w:p>
    <w:p w:rsidR="00DB138C" w:rsidRDefault="00DB138C" w:rsidP="00DB138C">
      <w:pPr>
        <w:pStyle w:val="Heading1"/>
        <w:rPr>
          <w:sz w:val="22"/>
        </w:rPr>
      </w:pPr>
      <w:r>
        <w:t>2</w:t>
      </w:r>
      <w:r>
        <w:tab/>
        <w:t>Technique de spécification de modem</w:t>
      </w:r>
    </w:p>
    <w:p w:rsidR="00DB138C" w:rsidRPr="00FB309A" w:rsidRDefault="00DB138C" w:rsidP="00DB138C">
      <w:pPr>
        <w:rPr>
          <w:sz w:val="20"/>
        </w:rPr>
      </w:pPr>
      <w:r w:rsidRPr="00FB309A">
        <w:rPr>
          <w:sz w:val="20"/>
        </w:rPr>
        <w:t>La présente technique de spécification s'appuie sur une simulation de deux modes d'onde ionosphérique décamétrique avec évanouissements indépendants. Le dédoublement magnéto</w:t>
      </w:r>
      <w:r w:rsidRPr="00FB309A">
        <w:rPr>
          <w:sz w:val="20"/>
        </w:rPr>
        <w:noBreakHyphen/>
        <w:t xml:space="preserve">ionique est négligé, c'est-à-dire qu'un terme seulement des équations (1) et (2) de l'Annexe 1 est utilisé. Les deux modes présentent un affaiblissement moyen égal, des décalages et étalements de fréquence dus à l'effet Doppler égaux et sont séparés par une propagation sur des trajets multiples. Le rapport </w:t>
      </w:r>
      <w:r w:rsidRPr="00FB309A">
        <w:rPr>
          <w:i/>
          <w:iCs/>
          <w:sz w:val="20"/>
        </w:rPr>
        <w:t>S</w:t>
      </w:r>
      <w:r w:rsidRPr="00FB309A">
        <w:rPr>
          <w:sz w:val="20"/>
        </w:rPr>
        <w:t>/</w:t>
      </w:r>
      <w:r w:rsidRPr="00FB309A">
        <w:rPr>
          <w:i/>
          <w:iCs/>
          <w:sz w:val="20"/>
        </w:rPr>
        <w:t>N</w:t>
      </w:r>
      <w:r w:rsidRPr="00FB309A">
        <w:rPr>
          <w:sz w:val="20"/>
        </w:rPr>
        <w:t xml:space="preserve"> est défini par l'ajout d'un bruit gaussien à largeur de bande limitée.</w:t>
      </w:r>
    </w:p>
    <w:p w:rsidR="00DB138C" w:rsidRPr="00FB309A" w:rsidRDefault="00DB138C" w:rsidP="00FB309A">
      <w:pPr>
        <w:rPr>
          <w:sz w:val="20"/>
        </w:rPr>
      </w:pPr>
      <w:r w:rsidRPr="00FB309A">
        <w:rPr>
          <w:sz w:val="20"/>
        </w:rPr>
        <w:t xml:space="preserve">Le décalage de fréquence dû à l'effet Doppler étant maintenu sur une valeur fixe (généralement nulle), la qualité de fonctionnement d'un modem est mesurée d'après un ensemble courant de critères d'essai tels que ceux énumérés au Tableau 1. Le TEB sert à mesurer la qualité de fonctionnement du modem. Pour chaque combinaison étalement de fréquence Doppler/propagation sur trajets multiples, le rapport </w:t>
      </w:r>
      <w:r w:rsidRPr="00FB309A">
        <w:rPr>
          <w:i/>
          <w:iCs/>
          <w:sz w:val="20"/>
        </w:rPr>
        <w:t>S</w:t>
      </w:r>
      <w:r w:rsidRPr="00FB309A">
        <w:rPr>
          <w:sz w:val="20"/>
        </w:rPr>
        <w:t>/</w:t>
      </w:r>
      <w:r w:rsidRPr="00FB309A">
        <w:rPr>
          <w:i/>
          <w:iCs/>
          <w:sz w:val="20"/>
        </w:rPr>
        <w:t>N</w:t>
      </w:r>
      <w:r w:rsidRPr="00FB309A">
        <w:rPr>
          <w:sz w:val="20"/>
        </w:rPr>
        <w:t xml:space="preserve"> produisant un TEB situé dans l'intervalle acceptable est déter</w:t>
      </w:r>
      <w:r w:rsidRPr="00FB309A">
        <w:rPr>
          <w:sz w:val="20"/>
        </w:rPr>
        <w:softHyphen/>
        <w:t xml:space="preserve">miné (la durée de chaque essai doit être déterminée par le même algorithme, par exemple celui présenté à l'Annexe 3, § 6; ces durées d'essai se sont avérées satisfaisantes dans la pratique). Les données obtenues peuvent être représentées sous la forme d'un tracé à trois dimensions, pour lequel le rapport </w:t>
      </w:r>
      <w:r w:rsidRPr="00FB309A">
        <w:rPr>
          <w:i/>
          <w:iCs/>
          <w:sz w:val="20"/>
        </w:rPr>
        <w:t>S</w:t>
      </w:r>
      <w:r w:rsidRPr="00FB309A">
        <w:rPr>
          <w:sz w:val="20"/>
        </w:rPr>
        <w:t>/</w:t>
      </w:r>
      <w:r w:rsidRPr="00FB309A">
        <w:rPr>
          <w:i/>
          <w:iCs/>
          <w:sz w:val="20"/>
        </w:rPr>
        <w:t>N</w:t>
      </w:r>
      <w:r w:rsidRPr="00FB309A">
        <w:rPr>
          <w:sz w:val="20"/>
        </w:rPr>
        <w:t xml:space="preserve"> (jusqu'à une valeur maximale élevée autorisée), l'étalement Doppler et la propagation sur trajets multiples sont attribués aux trois axes orthogonaux. Dans cet espace à trois dimensions, le lieu géométrique des points de TEB constant décrit une surface qui représente la qualité de fonctionnement du modem dans l'intervalle des conditions de canal soumises à essai.</w:t>
      </w:r>
    </w:p>
    <w:p w:rsidR="00DB138C" w:rsidRDefault="00DB138C" w:rsidP="00DB138C">
      <w:pPr>
        <w:pStyle w:val="Table"/>
        <w:rPr>
          <w:lang w:val="fr-FR"/>
        </w:rPr>
      </w:pPr>
      <w:r>
        <w:rPr>
          <w:lang w:val="fr-FR"/>
        </w:rPr>
        <w:lastRenderedPageBreak/>
        <w:t>TABLEAU  1</w:t>
      </w:r>
    </w:p>
    <w:p w:rsidR="00DB138C" w:rsidRDefault="00DB138C" w:rsidP="00DB138C">
      <w:pPr>
        <w:pStyle w:val="TableTitle0"/>
        <w:rPr>
          <w:lang w:val="fr-FR"/>
        </w:rPr>
      </w:pPr>
      <w:r>
        <w:rPr>
          <w:lang w:val="fr-FR"/>
        </w:rPr>
        <w:t>Critères conseillés pour des essais comparatifs de modems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536"/>
        <w:gridCol w:w="2268"/>
        <w:gridCol w:w="1701"/>
      </w:tblGrid>
      <w:tr w:rsidR="00DB138C" w:rsidTr="00FB309A">
        <w:trPr>
          <w:cantSplit/>
          <w:jc w:val="center"/>
        </w:trPr>
        <w:tc>
          <w:tcPr>
            <w:tcW w:w="4536" w:type="dxa"/>
          </w:tcPr>
          <w:p w:rsidR="00DB138C" w:rsidRDefault="00DB138C" w:rsidP="00FB309A">
            <w:pPr>
              <w:pStyle w:val="TableText0"/>
              <w:framePr w:hSpace="181" w:wrap="notBeside" w:vAnchor="text" w:hAnchor="text" w:xAlign="center" w:y="1"/>
              <w:jc w:val="center"/>
              <w:rPr>
                <w:lang w:val="fr-FR"/>
              </w:rPr>
            </w:pPr>
            <w:r>
              <w:rPr>
                <w:lang w:val="fr-FR"/>
              </w:rPr>
              <w:t>Paramètre d'entrée</w:t>
            </w:r>
          </w:p>
        </w:tc>
        <w:tc>
          <w:tcPr>
            <w:tcW w:w="2268" w:type="dxa"/>
          </w:tcPr>
          <w:p w:rsidR="00DB138C" w:rsidRDefault="00DB138C" w:rsidP="00FB309A">
            <w:pPr>
              <w:pStyle w:val="TableText0"/>
              <w:framePr w:hSpace="181" w:wrap="notBeside" w:vAnchor="text" w:hAnchor="text" w:xAlign="center" w:y="1"/>
              <w:jc w:val="center"/>
              <w:rPr>
                <w:lang w:val="fr-FR"/>
              </w:rPr>
            </w:pPr>
            <w:r>
              <w:rPr>
                <w:lang w:val="fr-FR"/>
              </w:rPr>
              <w:t>Intervalle</w:t>
            </w:r>
          </w:p>
        </w:tc>
        <w:tc>
          <w:tcPr>
            <w:tcW w:w="1701" w:type="dxa"/>
          </w:tcPr>
          <w:p w:rsidR="00DB138C" w:rsidRDefault="00DB138C" w:rsidP="00FB309A">
            <w:pPr>
              <w:pStyle w:val="TableText0"/>
              <w:framePr w:hSpace="181" w:wrap="notBeside" w:vAnchor="text" w:hAnchor="text" w:xAlign="center" w:y="1"/>
              <w:jc w:val="center"/>
              <w:rPr>
                <w:lang w:val="fr-FR"/>
              </w:rPr>
            </w:pPr>
            <w:r>
              <w:rPr>
                <w:lang w:val="fr-FR"/>
              </w:rPr>
              <w:t>Incrément</w:t>
            </w:r>
          </w:p>
        </w:tc>
      </w:tr>
      <w:tr w:rsidR="00DB138C" w:rsidTr="00FB309A">
        <w:trPr>
          <w:cantSplit/>
          <w:jc w:val="center"/>
        </w:trPr>
        <w:tc>
          <w:tcPr>
            <w:tcW w:w="4536" w:type="dxa"/>
            <w:tcBorders>
              <w:bottom w:val="nil"/>
            </w:tcBorders>
          </w:tcPr>
          <w:p w:rsidR="00DB138C" w:rsidRDefault="00DB138C" w:rsidP="00FB309A">
            <w:pPr>
              <w:pStyle w:val="TableText0"/>
              <w:framePr w:hSpace="181" w:wrap="notBeside" w:vAnchor="text" w:hAnchor="text" w:xAlign="center" w:y="1"/>
              <w:jc w:val="left"/>
              <w:rPr>
                <w:lang w:val="fr-FR"/>
              </w:rPr>
            </w:pPr>
            <w:r>
              <w:rPr>
                <w:lang w:val="fr-FR"/>
              </w:rPr>
              <w:t>Temps de propagation différentiel sur plusieurs trajets (ms)</w:t>
            </w:r>
          </w:p>
        </w:tc>
        <w:tc>
          <w:tcPr>
            <w:tcW w:w="2268" w:type="dxa"/>
            <w:tcBorders>
              <w:left w:val="nil"/>
              <w:bottom w:val="nil"/>
            </w:tcBorders>
          </w:tcPr>
          <w:p w:rsidR="00DB138C" w:rsidRDefault="00DB138C" w:rsidP="00FB309A">
            <w:pPr>
              <w:pStyle w:val="TableText0"/>
              <w:framePr w:hSpace="181" w:wrap="notBeside" w:vAnchor="text" w:hAnchor="text" w:xAlign="center" w:y="1"/>
              <w:jc w:val="center"/>
              <w:rPr>
                <w:lang w:val="fr-FR"/>
              </w:rPr>
            </w:pPr>
            <w:r>
              <w:rPr>
                <w:lang w:val="fr-FR"/>
              </w:rPr>
              <w:t>0-4</w:t>
            </w:r>
          </w:p>
          <w:p w:rsidR="00DB138C" w:rsidRDefault="00DB138C" w:rsidP="00FB309A">
            <w:pPr>
              <w:pStyle w:val="TableText0"/>
              <w:framePr w:hSpace="181" w:wrap="notBeside" w:vAnchor="text" w:hAnchor="text" w:xAlign="center" w:y="1"/>
              <w:spacing w:before="0"/>
              <w:jc w:val="center"/>
              <w:rPr>
                <w:lang w:val="fr-FR"/>
              </w:rPr>
            </w:pPr>
            <w:r>
              <w:rPr>
                <w:lang w:val="fr-FR"/>
              </w:rPr>
              <w:t>4-12</w:t>
            </w:r>
          </w:p>
          <w:p w:rsidR="00DB138C" w:rsidRDefault="00DB138C" w:rsidP="00FB309A">
            <w:pPr>
              <w:pStyle w:val="TableText0"/>
              <w:framePr w:hSpace="181" w:wrap="notBeside" w:vAnchor="text" w:hAnchor="text" w:xAlign="center" w:y="1"/>
              <w:spacing w:before="0"/>
              <w:jc w:val="center"/>
              <w:rPr>
                <w:lang w:val="fr-FR"/>
              </w:rPr>
            </w:pPr>
            <w:r>
              <w:rPr>
                <w:lang w:val="fr-FR"/>
              </w:rPr>
              <w:t>12-20</w:t>
            </w:r>
          </w:p>
        </w:tc>
        <w:tc>
          <w:tcPr>
            <w:tcW w:w="1701" w:type="dxa"/>
            <w:tcBorders>
              <w:left w:val="nil"/>
              <w:bottom w:val="nil"/>
            </w:tcBorders>
          </w:tcPr>
          <w:p w:rsidR="00DB138C" w:rsidRDefault="00DB138C" w:rsidP="00FB309A">
            <w:pPr>
              <w:pStyle w:val="TableText0"/>
              <w:framePr w:hSpace="181" w:wrap="notBeside" w:vAnchor="text" w:hAnchor="text" w:xAlign="center" w:y="1"/>
              <w:jc w:val="center"/>
              <w:rPr>
                <w:lang w:val="fr-FR"/>
              </w:rPr>
            </w:pPr>
            <w:r>
              <w:rPr>
                <w:lang w:val="fr-FR"/>
              </w:rPr>
              <w:t>0,5</w:t>
            </w:r>
          </w:p>
          <w:p w:rsidR="00DB138C" w:rsidRDefault="00DB138C" w:rsidP="00FB309A">
            <w:pPr>
              <w:pStyle w:val="TableText0"/>
              <w:framePr w:hSpace="181" w:wrap="notBeside" w:vAnchor="text" w:hAnchor="text" w:xAlign="center" w:y="1"/>
              <w:spacing w:before="0"/>
              <w:jc w:val="center"/>
              <w:rPr>
                <w:lang w:val="fr-FR"/>
              </w:rPr>
            </w:pPr>
            <w:r>
              <w:rPr>
                <w:lang w:val="fr-FR"/>
              </w:rPr>
              <w:t>1,0</w:t>
            </w:r>
          </w:p>
          <w:p w:rsidR="00DB138C" w:rsidRDefault="00DB138C" w:rsidP="00FB309A">
            <w:pPr>
              <w:pStyle w:val="TableText0"/>
              <w:framePr w:hSpace="181" w:wrap="notBeside" w:vAnchor="text" w:hAnchor="text" w:xAlign="center" w:y="1"/>
              <w:spacing w:before="0"/>
              <w:jc w:val="center"/>
              <w:rPr>
                <w:lang w:val="fr-FR"/>
              </w:rPr>
            </w:pPr>
            <w:r>
              <w:rPr>
                <w:lang w:val="fr-FR"/>
              </w:rPr>
              <w:t>2,0</w:t>
            </w:r>
          </w:p>
        </w:tc>
      </w:tr>
      <w:tr w:rsidR="00DB138C" w:rsidTr="00FB309A">
        <w:trPr>
          <w:cantSplit/>
          <w:jc w:val="center"/>
        </w:trPr>
        <w:tc>
          <w:tcPr>
            <w:tcW w:w="4536" w:type="dxa"/>
            <w:tcBorders>
              <w:bottom w:val="single" w:sz="6" w:space="0" w:color="auto"/>
            </w:tcBorders>
          </w:tcPr>
          <w:p w:rsidR="00DB138C" w:rsidRDefault="00DB138C" w:rsidP="00FB309A">
            <w:pPr>
              <w:pStyle w:val="TableText0"/>
              <w:framePr w:hSpace="181" w:wrap="notBeside" w:vAnchor="text" w:hAnchor="text" w:xAlign="center" w:y="1"/>
              <w:jc w:val="left"/>
              <w:rPr>
                <w:lang w:val="fr-FR"/>
              </w:rPr>
            </w:pPr>
            <w:r>
              <w:rPr>
                <w:lang w:val="fr-FR"/>
              </w:rPr>
              <w:t>Étalement de fréquence dû à l'effet Doppler (Hz)</w:t>
            </w:r>
          </w:p>
        </w:tc>
        <w:tc>
          <w:tcPr>
            <w:tcW w:w="2268" w:type="dxa"/>
            <w:tcBorders>
              <w:left w:val="nil"/>
              <w:bottom w:val="single" w:sz="6" w:space="0" w:color="auto"/>
            </w:tcBorders>
          </w:tcPr>
          <w:p w:rsidR="00DB138C" w:rsidRDefault="00DB138C" w:rsidP="00FB309A">
            <w:pPr>
              <w:pStyle w:val="TableText0"/>
              <w:framePr w:hSpace="181" w:wrap="notBeside" w:vAnchor="text" w:hAnchor="text" w:xAlign="center" w:y="1"/>
              <w:jc w:val="center"/>
              <w:rPr>
                <w:lang w:val="fr-FR"/>
              </w:rPr>
            </w:pPr>
            <w:r>
              <w:rPr>
                <w:lang w:val="fr-FR"/>
              </w:rPr>
              <w:t>0,1</w:t>
            </w:r>
          </w:p>
          <w:p w:rsidR="00DB138C" w:rsidRDefault="00DB138C" w:rsidP="00FB309A">
            <w:pPr>
              <w:pStyle w:val="TableText0"/>
              <w:framePr w:hSpace="181" w:wrap="notBeside" w:vAnchor="text" w:hAnchor="text" w:xAlign="center" w:y="1"/>
              <w:spacing w:before="0"/>
              <w:jc w:val="center"/>
              <w:rPr>
                <w:lang w:val="fr-FR"/>
              </w:rPr>
            </w:pPr>
            <w:r>
              <w:rPr>
                <w:lang w:val="fr-FR"/>
              </w:rPr>
              <w:t>0,5-4,0</w:t>
            </w:r>
          </w:p>
          <w:p w:rsidR="00DB138C" w:rsidRDefault="00DB138C" w:rsidP="00FB309A">
            <w:pPr>
              <w:pStyle w:val="TableText0"/>
              <w:framePr w:hSpace="181" w:wrap="notBeside" w:vAnchor="text" w:hAnchor="text" w:xAlign="center" w:y="1"/>
              <w:spacing w:before="0"/>
              <w:jc w:val="center"/>
              <w:rPr>
                <w:lang w:val="fr-FR"/>
              </w:rPr>
            </w:pPr>
            <w:r>
              <w:rPr>
                <w:lang w:val="fr-FR"/>
              </w:rPr>
              <w:t>4-20</w:t>
            </w:r>
          </w:p>
          <w:p w:rsidR="00DB138C" w:rsidRDefault="00DB138C" w:rsidP="00FB309A">
            <w:pPr>
              <w:pStyle w:val="TableText0"/>
              <w:framePr w:hSpace="181" w:wrap="notBeside" w:vAnchor="text" w:hAnchor="text" w:xAlign="center" w:y="1"/>
              <w:spacing w:before="0"/>
              <w:jc w:val="center"/>
              <w:rPr>
                <w:lang w:val="fr-FR"/>
              </w:rPr>
            </w:pPr>
            <w:r>
              <w:rPr>
                <w:lang w:val="fr-FR"/>
              </w:rPr>
              <w:t>20-40</w:t>
            </w:r>
          </w:p>
        </w:tc>
        <w:tc>
          <w:tcPr>
            <w:tcW w:w="1701" w:type="dxa"/>
            <w:tcBorders>
              <w:left w:val="nil"/>
              <w:bottom w:val="single" w:sz="6" w:space="0" w:color="auto"/>
            </w:tcBorders>
          </w:tcPr>
          <w:p w:rsidR="00DB138C" w:rsidRDefault="00DB138C" w:rsidP="00FB309A">
            <w:pPr>
              <w:pStyle w:val="TableText0"/>
              <w:framePr w:hSpace="181" w:wrap="notBeside" w:vAnchor="text" w:hAnchor="text" w:xAlign="center" w:y="1"/>
              <w:jc w:val="center"/>
              <w:rPr>
                <w:lang w:val="fr-FR"/>
              </w:rPr>
            </w:pPr>
            <w:r>
              <w:rPr>
                <w:lang w:val="fr-FR"/>
              </w:rPr>
              <w:t>Sans objet</w:t>
            </w:r>
          </w:p>
          <w:p w:rsidR="00DB138C" w:rsidRDefault="00DB138C" w:rsidP="00FB309A">
            <w:pPr>
              <w:pStyle w:val="TableText0"/>
              <w:framePr w:hSpace="181" w:wrap="notBeside" w:vAnchor="text" w:hAnchor="text" w:xAlign="center" w:y="1"/>
              <w:spacing w:before="0"/>
              <w:jc w:val="center"/>
              <w:rPr>
                <w:lang w:val="fr-FR"/>
              </w:rPr>
            </w:pPr>
            <w:r>
              <w:rPr>
                <w:lang w:val="fr-FR"/>
              </w:rPr>
              <w:t>0,5</w:t>
            </w:r>
          </w:p>
          <w:p w:rsidR="00DB138C" w:rsidRDefault="00DB138C" w:rsidP="00FB309A">
            <w:pPr>
              <w:pStyle w:val="TableText0"/>
              <w:framePr w:hSpace="181" w:wrap="notBeside" w:vAnchor="text" w:hAnchor="text" w:xAlign="center" w:y="1"/>
              <w:spacing w:before="0"/>
              <w:jc w:val="center"/>
              <w:rPr>
                <w:lang w:val="fr-FR"/>
              </w:rPr>
            </w:pPr>
            <w:r>
              <w:rPr>
                <w:lang w:val="fr-FR"/>
              </w:rPr>
              <w:t>2</w:t>
            </w:r>
          </w:p>
          <w:p w:rsidR="00DB138C" w:rsidRDefault="00DB138C" w:rsidP="00FB309A">
            <w:pPr>
              <w:pStyle w:val="TableText0"/>
              <w:framePr w:hSpace="181" w:wrap="notBeside" w:vAnchor="text" w:hAnchor="text" w:xAlign="center" w:y="1"/>
              <w:spacing w:before="0"/>
              <w:jc w:val="center"/>
              <w:rPr>
                <w:lang w:val="fr-FR"/>
              </w:rPr>
            </w:pPr>
            <w:r>
              <w:rPr>
                <w:lang w:val="fr-FR"/>
              </w:rPr>
              <w:t>4</w:t>
            </w:r>
          </w:p>
        </w:tc>
      </w:tr>
      <w:tr w:rsidR="00DB138C" w:rsidTr="00FB309A">
        <w:trPr>
          <w:cantSplit/>
          <w:jc w:val="center"/>
        </w:trPr>
        <w:tc>
          <w:tcPr>
            <w:tcW w:w="4536" w:type="dxa"/>
            <w:tcBorders>
              <w:top w:val="single" w:sz="6" w:space="0" w:color="auto"/>
            </w:tcBorders>
          </w:tcPr>
          <w:p w:rsidR="00DB138C" w:rsidRDefault="00DB138C" w:rsidP="00FB309A">
            <w:pPr>
              <w:pStyle w:val="TableText0"/>
              <w:framePr w:hSpace="181" w:wrap="notBeside" w:vAnchor="text" w:hAnchor="text" w:xAlign="center" w:y="1"/>
              <w:rPr>
                <w:lang w:val="fr-FR"/>
              </w:rPr>
            </w:pPr>
            <w:r>
              <w:rPr>
                <w:lang w:val="fr-FR"/>
              </w:rPr>
              <w:t xml:space="preserve">Rapport </w:t>
            </w:r>
            <w:r>
              <w:rPr>
                <w:i/>
                <w:iCs/>
                <w:lang w:val="fr-FR"/>
              </w:rPr>
              <w:t>S</w:t>
            </w:r>
            <w:r>
              <w:rPr>
                <w:lang w:val="fr-FR"/>
              </w:rPr>
              <w:t>/</w:t>
            </w:r>
            <w:r>
              <w:rPr>
                <w:i/>
                <w:iCs/>
                <w:lang w:val="fr-FR"/>
              </w:rPr>
              <w:t>N</w:t>
            </w:r>
            <w:r>
              <w:rPr>
                <w:lang w:val="fr-FR"/>
              </w:rPr>
              <w:t xml:space="preserve"> (dB)</w:t>
            </w:r>
          </w:p>
        </w:tc>
        <w:tc>
          <w:tcPr>
            <w:tcW w:w="2268" w:type="dxa"/>
            <w:tcBorders>
              <w:top w:val="single" w:sz="6" w:space="0" w:color="auto"/>
            </w:tcBorders>
          </w:tcPr>
          <w:p w:rsidR="00DB138C" w:rsidRDefault="00DB138C" w:rsidP="00FB309A">
            <w:pPr>
              <w:pStyle w:val="TableText0"/>
              <w:framePr w:hSpace="181" w:wrap="notBeside" w:vAnchor="text" w:hAnchor="text" w:xAlign="center" w:y="1"/>
              <w:jc w:val="center"/>
              <w:rPr>
                <w:lang w:val="fr-FR"/>
              </w:rPr>
            </w:pPr>
            <w:r>
              <w:rPr>
                <w:lang w:val="fr-FR"/>
              </w:rPr>
              <w:t>–10 à 50</w:t>
            </w:r>
          </w:p>
        </w:tc>
        <w:tc>
          <w:tcPr>
            <w:tcW w:w="1701" w:type="dxa"/>
            <w:tcBorders>
              <w:top w:val="single" w:sz="6" w:space="0" w:color="auto"/>
            </w:tcBorders>
          </w:tcPr>
          <w:p w:rsidR="00DB138C" w:rsidRDefault="00DB138C" w:rsidP="00FB309A">
            <w:pPr>
              <w:pStyle w:val="TableText0"/>
              <w:framePr w:hSpace="181" w:wrap="notBeside" w:vAnchor="text" w:hAnchor="text" w:xAlign="center" w:y="1"/>
              <w:jc w:val="center"/>
              <w:rPr>
                <w:lang w:val="fr-FR"/>
              </w:rPr>
            </w:pPr>
            <w:r>
              <w:rPr>
                <w:lang w:val="fr-FR"/>
              </w:rPr>
              <w:t>1</w:t>
            </w:r>
          </w:p>
        </w:tc>
      </w:tr>
      <w:tr w:rsidR="00DB138C" w:rsidTr="00FB309A">
        <w:trPr>
          <w:cantSplit/>
          <w:jc w:val="center"/>
        </w:trPr>
        <w:tc>
          <w:tcPr>
            <w:tcW w:w="4536" w:type="dxa"/>
          </w:tcPr>
          <w:p w:rsidR="00DB138C" w:rsidRDefault="00DB138C" w:rsidP="00FB309A">
            <w:pPr>
              <w:pStyle w:val="TableText0"/>
              <w:framePr w:hSpace="181" w:wrap="notBeside" w:vAnchor="text" w:hAnchor="text" w:xAlign="center" w:y="1"/>
              <w:rPr>
                <w:lang w:val="fr-FR"/>
              </w:rPr>
            </w:pPr>
            <w:r>
              <w:rPr>
                <w:lang w:val="fr-FR"/>
              </w:rPr>
              <w:t>Intervalle de TEB acceptable</w:t>
            </w:r>
            <w:r>
              <w:rPr>
                <w:position w:val="6"/>
                <w:sz w:val="14"/>
                <w:lang w:val="fr-FR"/>
              </w:rPr>
              <w:t>(1)</w:t>
            </w:r>
          </w:p>
        </w:tc>
        <w:tc>
          <w:tcPr>
            <w:tcW w:w="2268" w:type="dxa"/>
          </w:tcPr>
          <w:p w:rsidR="00DB138C" w:rsidRDefault="00DB138C" w:rsidP="00B65A09">
            <w:pPr>
              <w:pStyle w:val="TableText0"/>
              <w:framePr w:hSpace="181" w:wrap="notBeside" w:vAnchor="text" w:hAnchor="text" w:xAlign="center" w:y="1"/>
              <w:jc w:val="center"/>
              <w:rPr>
                <w:lang w:val="fr-FR"/>
              </w:rPr>
            </w:pPr>
            <w:r>
              <w:rPr>
                <w:lang w:val="fr-FR"/>
              </w:rPr>
              <w:t>2 </w:t>
            </w:r>
            <w:r w:rsidR="00B65A09" w:rsidRPr="00B65A09">
              <w:sym w:font="Symbol" w:char="F0B4"/>
            </w:r>
            <w:r>
              <w:rPr>
                <w:lang w:val="fr-FR"/>
              </w:rPr>
              <w:t> 10</w:t>
            </w:r>
            <w:r>
              <w:rPr>
                <w:position w:val="6"/>
                <w:sz w:val="14"/>
                <w:lang w:val="fr-FR"/>
              </w:rPr>
              <w:t>–3</w:t>
            </w:r>
            <w:r>
              <w:rPr>
                <w:lang w:val="fr-FR"/>
              </w:rPr>
              <w:t xml:space="preserve"> à 0,5 </w:t>
            </w:r>
            <w:r w:rsidR="00B65A09" w:rsidRPr="00B65A09">
              <w:sym w:font="Symbol" w:char="F0B4"/>
            </w:r>
            <w:r>
              <w:rPr>
                <w:lang w:val="fr-FR"/>
              </w:rPr>
              <w:t> 10</w:t>
            </w:r>
            <w:r>
              <w:rPr>
                <w:position w:val="6"/>
                <w:sz w:val="14"/>
                <w:lang w:val="fr-FR"/>
              </w:rPr>
              <w:t>–3</w:t>
            </w:r>
          </w:p>
        </w:tc>
        <w:tc>
          <w:tcPr>
            <w:tcW w:w="1701" w:type="dxa"/>
          </w:tcPr>
          <w:p w:rsidR="00DB138C" w:rsidRDefault="00DB138C" w:rsidP="00FB309A">
            <w:pPr>
              <w:pStyle w:val="TableText0"/>
              <w:framePr w:hSpace="181" w:wrap="notBeside" w:vAnchor="text" w:hAnchor="text" w:xAlign="center" w:y="1"/>
              <w:rPr>
                <w:lang w:val="fr-FR"/>
              </w:rPr>
            </w:pPr>
          </w:p>
        </w:tc>
      </w:tr>
      <w:tr w:rsidR="00DB138C" w:rsidTr="00FB30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3"/>
          </w:tcPr>
          <w:p w:rsidR="00DB138C" w:rsidRDefault="00DB138C" w:rsidP="00FB309A">
            <w:pPr>
              <w:pStyle w:val="TableLegend0"/>
              <w:framePr w:hSpace="181" w:wrap="notBeside" w:vAnchor="text" w:hAnchor="text" w:xAlign="center" w:y="1"/>
              <w:tabs>
                <w:tab w:val="clear" w:pos="794"/>
                <w:tab w:val="clear" w:pos="1191"/>
                <w:tab w:val="clear" w:pos="1588"/>
                <w:tab w:val="clear" w:pos="1985"/>
                <w:tab w:val="left" w:pos="284"/>
              </w:tabs>
              <w:rPr>
                <w:lang w:val="fr-FR"/>
              </w:rPr>
            </w:pPr>
            <w:r>
              <w:rPr>
                <w:position w:val="6"/>
                <w:sz w:val="14"/>
                <w:lang w:val="fr-FR"/>
              </w:rPr>
              <w:t>(1)</w:t>
            </w:r>
            <w:r>
              <w:rPr>
                <w:lang w:val="fr-FR"/>
              </w:rPr>
              <w:tab/>
              <w:t>L'intervalle de TEB peut être modifié en fonction des exigences de l'application de l'utilisateur.</w:t>
            </w:r>
          </w:p>
          <w:p w:rsidR="00DB138C" w:rsidRDefault="00DB138C" w:rsidP="00FB309A">
            <w:pPr>
              <w:pStyle w:val="TableLegend0"/>
              <w:framePr w:hSpace="181" w:wrap="notBeside" w:vAnchor="text" w:hAnchor="text" w:xAlign="center" w:y="1"/>
              <w:tabs>
                <w:tab w:val="clear" w:pos="794"/>
                <w:tab w:val="clear" w:pos="1191"/>
                <w:tab w:val="clear" w:pos="1588"/>
                <w:tab w:val="clear" w:pos="1985"/>
                <w:tab w:val="left" w:pos="284"/>
              </w:tabs>
              <w:rPr>
                <w:lang w:val="fr-FR"/>
              </w:rPr>
            </w:pPr>
            <w:r>
              <w:rPr>
                <w:lang w:val="fr-FR"/>
              </w:rPr>
              <w:t>NOTE 1 – La durée de chaque essai est fixée conformément aux prescriptions de l'Annexe 3, § 6.</w:t>
            </w:r>
          </w:p>
        </w:tc>
      </w:tr>
    </w:tbl>
    <w:p w:rsidR="00DB138C" w:rsidRDefault="00DB138C" w:rsidP="00DB138C">
      <w:pPr>
        <w:pStyle w:val="Tablefin"/>
        <w:rPr>
          <w:lang w:val="fr-FR"/>
        </w:rPr>
      </w:pPr>
    </w:p>
    <w:p w:rsidR="00DB138C" w:rsidRPr="00FB309A" w:rsidRDefault="00DB138C" w:rsidP="00DB138C">
      <w:pPr>
        <w:rPr>
          <w:sz w:val="20"/>
        </w:rPr>
      </w:pPr>
      <w:r w:rsidRPr="00FB309A">
        <w:rPr>
          <w:sz w:val="20"/>
        </w:rPr>
        <w:t xml:space="preserve">En règle générale, les surfaces de qualité de fonctionnement de modem produites par cette technique se présentent sous la forme d'une zone relativement plane et peu élevée dans laquelle le modem atteint le TEB requis. Cette vallée est bordée par deux flancs très pentus qui atteignent rapidement le rapport </w:t>
      </w:r>
      <w:r w:rsidRPr="00FB309A">
        <w:rPr>
          <w:i/>
          <w:iCs/>
          <w:sz w:val="20"/>
        </w:rPr>
        <w:t>S</w:t>
      </w:r>
      <w:r w:rsidRPr="00FB309A">
        <w:rPr>
          <w:sz w:val="20"/>
        </w:rPr>
        <w:t>/</w:t>
      </w:r>
      <w:r w:rsidRPr="00FB309A">
        <w:rPr>
          <w:i/>
          <w:iCs/>
          <w:sz w:val="20"/>
        </w:rPr>
        <w:t>N</w:t>
      </w:r>
      <w:r w:rsidRPr="00FB309A">
        <w:rPr>
          <w:sz w:val="20"/>
        </w:rPr>
        <w:t xml:space="preserve"> maximal utilisé dans les simulations, produisant ainsi un plateau pour lequel le modem n'atteint pas les critères de qualité de fonctionnement souhaités. En fait, ce plateau indique généralement que les étalements de fréquence dus à l'effet Doppler et aux trajets multiples sont si importants qu'un accroissement du rapport </w:t>
      </w:r>
      <w:r w:rsidRPr="00FB309A">
        <w:rPr>
          <w:i/>
          <w:iCs/>
          <w:sz w:val="20"/>
        </w:rPr>
        <w:t>S</w:t>
      </w:r>
      <w:r w:rsidRPr="00FB309A">
        <w:rPr>
          <w:sz w:val="20"/>
        </w:rPr>
        <w:t>/</w:t>
      </w:r>
      <w:r w:rsidRPr="00FB309A">
        <w:rPr>
          <w:i/>
          <w:iCs/>
          <w:sz w:val="20"/>
        </w:rPr>
        <w:t>N</w:t>
      </w:r>
      <w:r w:rsidRPr="00FB309A">
        <w:rPr>
          <w:sz w:val="20"/>
        </w:rPr>
        <w:t xml:space="preserve"> n'améliorerait pas les résultats.</w:t>
      </w:r>
    </w:p>
    <w:p w:rsidR="00DB138C" w:rsidRPr="00FB309A" w:rsidRDefault="00DB138C" w:rsidP="00FB309A">
      <w:pPr>
        <w:rPr>
          <w:sz w:val="20"/>
        </w:rPr>
      </w:pPr>
      <w:r w:rsidRPr="00FB309A">
        <w:rPr>
          <w:sz w:val="20"/>
        </w:rPr>
        <w:t>Les Fig. 4 à 6 illustrent une série d'exemples de surfaces de qualité de fonctionnement pour un modem à signal série MDP</w:t>
      </w:r>
      <w:r w:rsidRPr="00FB309A">
        <w:rPr>
          <w:sz w:val="20"/>
        </w:rPr>
        <w:noBreakHyphen/>
        <w:t>8 donné fonctionnant à des débits utilisateur de 2</w:t>
      </w:r>
      <w:r w:rsidRPr="00FB309A">
        <w:rPr>
          <w:rFonts w:ascii="Tms Rmn" w:hAnsi="Tms Rmn"/>
          <w:sz w:val="20"/>
        </w:rPr>
        <w:t> </w:t>
      </w:r>
      <w:r w:rsidRPr="00FB309A">
        <w:rPr>
          <w:sz w:val="20"/>
        </w:rPr>
        <w:t>400, 1</w:t>
      </w:r>
      <w:r w:rsidRPr="00FB309A">
        <w:rPr>
          <w:rFonts w:ascii="Tms Rmn" w:hAnsi="Tms Rmn"/>
          <w:sz w:val="20"/>
        </w:rPr>
        <w:t> </w:t>
      </w:r>
      <w:r w:rsidRPr="00FB309A">
        <w:rPr>
          <w:sz w:val="20"/>
        </w:rPr>
        <w:t>200 et 300 bit/s. Les tracés indiquent que le modem peut fournir une qualité de fonctionnement stable sur un intervalle donné de conditions Doppler et trajets multiples mais que, dès que certaines limites sont atteintes (par exemple, environ 4 Hz et environ 10 ms pour le débit de 2</w:t>
      </w:r>
      <w:r w:rsidRPr="00FB309A">
        <w:rPr>
          <w:rFonts w:ascii="Tms Rmn" w:hAnsi="Tms Rmn"/>
          <w:sz w:val="20"/>
        </w:rPr>
        <w:t> </w:t>
      </w:r>
      <w:r w:rsidRPr="00FB309A">
        <w:rPr>
          <w:sz w:val="20"/>
        </w:rPr>
        <w:t>400 bit/s), la qualité de fonctionnement du modem se dégrade rapidement. La montée, puis la descente, du niveau de la vallée à mesure que l'on réduit le débit est une excellente illustration de la manière dont on peut comparer la qualité de fonctionnement de divers modems à ondes décamétriques au moyen de cette technique. Lors de l'établissement des résultats des essais de modems, il est important d'indiquer tous les paramètres de modems appliqués, puisque le débit, la CED et l'entrelacement peuvent avoir une influence significative sur le</w:t>
      </w:r>
      <w:r w:rsidR="00FB309A">
        <w:rPr>
          <w:sz w:val="20"/>
        </w:rPr>
        <w:t xml:space="preserve"> </w:t>
      </w:r>
      <w:r w:rsidRPr="00FB309A">
        <w:rPr>
          <w:sz w:val="20"/>
        </w:rPr>
        <w:t>TEB.</w:t>
      </w:r>
    </w:p>
    <w:p w:rsidR="00DB138C" w:rsidRDefault="00DB138C" w:rsidP="00826768">
      <w:pPr>
        <w:pStyle w:val="FigureNo"/>
      </w:pPr>
      <w:r>
        <w:rPr>
          <w:noProof/>
          <w:lang w:eastAsia="zh-CN"/>
        </w:rPr>
        <w:lastRenderedPageBreak/>
        <w:drawing>
          <wp:inline distT="0" distB="0" distL="0" distR="0">
            <wp:extent cx="4429125" cy="54673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4429125" cy="5467350"/>
                    </a:xfrm>
                    <a:prstGeom prst="rect">
                      <a:avLst/>
                    </a:prstGeom>
                    <a:noFill/>
                    <a:ln w="9525">
                      <a:noFill/>
                      <a:miter lim="800000"/>
                      <a:headEnd/>
                      <a:tailEnd/>
                    </a:ln>
                  </pic:spPr>
                </pic:pic>
              </a:graphicData>
            </a:graphic>
          </wp:inline>
        </w:drawing>
      </w:r>
    </w:p>
    <w:p w:rsidR="00DB138C" w:rsidRDefault="00DB138C" w:rsidP="00826768">
      <w:pPr>
        <w:pStyle w:val="FigureNo"/>
      </w:pPr>
      <w:r>
        <w:rPr>
          <w:noProof/>
          <w:lang w:eastAsia="zh-CN"/>
        </w:rPr>
        <w:lastRenderedPageBreak/>
        <w:drawing>
          <wp:inline distT="0" distB="0" distL="0" distR="0">
            <wp:extent cx="4448175" cy="574357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4448175" cy="5743575"/>
                    </a:xfrm>
                    <a:prstGeom prst="rect">
                      <a:avLst/>
                    </a:prstGeom>
                    <a:noFill/>
                    <a:ln w="9525">
                      <a:noFill/>
                      <a:miter lim="800000"/>
                      <a:headEnd/>
                      <a:tailEnd/>
                    </a:ln>
                  </pic:spPr>
                </pic:pic>
              </a:graphicData>
            </a:graphic>
          </wp:inline>
        </w:drawing>
      </w:r>
    </w:p>
    <w:p w:rsidR="00DB138C" w:rsidRDefault="00DB138C" w:rsidP="00DB138C">
      <w:pPr>
        <w:pStyle w:val="Fig"/>
        <w:rPr>
          <w:lang w:val="fr-FR"/>
        </w:rPr>
      </w:pPr>
      <w:r>
        <w:rPr>
          <w:noProof/>
          <w:lang w:eastAsia="zh-CN"/>
        </w:rPr>
        <w:lastRenderedPageBreak/>
        <w:drawing>
          <wp:inline distT="0" distB="0" distL="0" distR="0">
            <wp:extent cx="4410075" cy="5743575"/>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4410075" cy="5743575"/>
                    </a:xfrm>
                    <a:prstGeom prst="rect">
                      <a:avLst/>
                    </a:prstGeom>
                    <a:noFill/>
                    <a:ln w="9525">
                      <a:noFill/>
                      <a:miter lim="800000"/>
                      <a:headEnd/>
                      <a:tailEnd/>
                    </a:ln>
                  </pic:spPr>
                </pic:pic>
              </a:graphicData>
            </a:graphic>
          </wp:inline>
        </w:drawing>
      </w:r>
    </w:p>
    <w:p w:rsidR="00DB138C" w:rsidRDefault="00DB138C" w:rsidP="00DB138C"/>
    <w:p w:rsidR="00FB309A" w:rsidRDefault="00FB309A" w:rsidP="00DB138C"/>
    <w:p w:rsidR="00DB138C" w:rsidRDefault="00DB138C" w:rsidP="00DB138C">
      <w:pPr>
        <w:pStyle w:val="Annex"/>
        <w:rPr>
          <w:lang w:val="fr-FR"/>
        </w:rPr>
      </w:pPr>
      <w:r>
        <w:rPr>
          <w:lang w:val="fr-FR"/>
        </w:rPr>
        <w:t>ANNEXE  3</w:t>
      </w:r>
    </w:p>
    <w:p w:rsidR="00DB138C" w:rsidRDefault="00DB138C" w:rsidP="00DB138C">
      <w:pPr>
        <w:pStyle w:val="AnnexTitle"/>
        <w:rPr>
          <w:lang w:val="fr-FR"/>
        </w:rPr>
      </w:pPr>
      <w:r>
        <w:rPr>
          <w:lang w:val="fr-FR"/>
        </w:rPr>
        <w:t>Essais quantitatifs de modems à ondes décamétriques</w:t>
      </w:r>
    </w:p>
    <w:p w:rsidR="00DB138C" w:rsidRDefault="00DB138C" w:rsidP="00DB138C">
      <w:pPr>
        <w:pStyle w:val="Heading1"/>
      </w:pPr>
      <w:r>
        <w:t>1</w:t>
      </w:r>
      <w:r>
        <w:tab/>
        <w:t>Essais exécutés avec des combinaisons représentatives des paramètres de canal</w:t>
      </w:r>
    </w:p>
    <w:p w:rsidR="00DB138C" w:rsidRPr="00FB309A" w:rsidRDefault="00DB138C" w:rsidP="00B65A09">
      <w:pPr>
        <w:rPr>
          <w:sz w:val="20"/>
        </w:rPr>
      </w:pPr>
      <w:r w:rsidRPr="00FB309A">
        <w:rPr>
          <w:sz w:val="20"/>
        </w:rPr>
        <w:t xml:space="preserve">La qualité de fonctionnement d'un modem peut être définie comme le rapport TEB sur rapport </w:t>
      </w:r>
      <w:r w:rsidRPr="00FB309A">
        <w:rPr>
          <w:i/>
          <w:iCs/>
          <w:sz w:val="20"/>
        </w:rPr>
        <w:t>S</w:t>
      </w:r>
      <w:r w:rsidRPr="00FB309A">
        <w:rPr>
          <w:sz w:val="20"/>
        </w:rPr>
        <w:t>/</w:t>
      </w:r>
      <w:r w:rsidRPr="00FB309A">
        <w:rPr>
          <w:i/>
          <w:iCs/>
          <w:sz w:val="20"/>
        </w:rPr>
        <w:t>N</w:t>
      </w:r>
      <w:r w:rsidRPr="00FB309A">
        <w:rPr>
          <w:sz w:val="20"/>
        </w:rPr>
        <w:t xml:space="preserve"> de deux trajets à évanouissements indépendants avec un affaiblissement moyen égal, des étalements de fréquence égaux et sans décalage de fréquence. Le temps de propagation différentiel indiqué dans les paragraphes ci-après est défini par le temps de propagation sur plusieurs trajets entre les deux modes, l'étalement de fréquence étant la valeur 2</w:t>
      </w:r>
      <w:r w:rsidR="00B65A09" w:rsidRPr="00B65A09">
        <w:rPr>
          <w:sz w:val="20"/>
        </w:rPr>
        <w:sym w:font="Symbol" w:char="F073"/>
      </w:r>
      <w:r w:rsidRPr="00FB309A">
        <w:rPr>
          <w:sz w:val="20"/>
        </w:rPr>
        <w:t xml:space="preserve"> utilisée dans l'équation (2) de l'Annexe 1.</w:t>
      </w:r>
    </w:p>
    <w:p w:rsidR="00DB138C" w:rsidRPr="00FB309A" w:rsidRDefault="00DB138C" w:rsidP="00FB309A">
      <w:pPr>
        <w:rPr>
          <w:sz w:val="20"/>
        </w:rPr>
      </w:pPr>
      <w:r w:rsidRPr="00FB309A">
        <w:rPr>
          <w:sz w:val="20"/>
        </w:rPr>
        <w:t>Lorsque des valeurs représentatives de ces paramètres sont utilisées à des fins d'essais comparatifs, il est recommandé d'indiquer les valeurs de ces paramètres. Pour plus de renseignements sur les régions situées à différentes latitudes, reportez-vous au Manuel UIT-R sur L'ionosphère et ses effets sur la propagation des ondes radioélectriques</w:t>
      </w:r>
      <w:r w:rsidR="00FB309A">
        <w:rPr>
          <w:sz w:val="20"/>
        </w:rPr>
        <w:t xml:space="preserve"> </w:t>
      </w:r>
      <w:r w:rsidRPr="00FB309A">
        <w:rPr>
          <w:sz w:val="20"/>
        </w:rPr>
        <w:t>(1998).</w:t>
      </w:r>
    </w:p>
    <w:p w:rsidR="00DB138C" w:rsidRDefault="00DB138C" w:rsidP="00DB138C">
      <w:pPr>
        <w:pStyle w:val="Heading1"/>
      </w:pPr>
      <w:r>
        <w:lastRenderedPageBreak/>
        <w:t>2</w:t>
      </w:r>
      <w:r>
        <w:tab/>
        <w:t>Basses latitudes</w:t>
      </w:r>
    </w:p>
    <w:p w:rsidR="00DB138C" w:rsidRPr="00FB309A" w:rsidRDefault="00DB138C" w:rsidP="00DB138C">
      <w:pPr>
        <w:pStyle w:val="Heading2"/>
        <w:rPr>
          <w:sz w:val="22"/>
          <w:szCs w:val="22"/>
        </w:rPr>
      </w:pPr>
      <w:r w:rsidRPr="00FB309A">
        <w:rPr>
          <w:sz w:val="22"/>
          <w:szCs w:val="22"/>
        </w:rPr>
        <w:t>2.1</w:t>
      </w:r>
      <w:r w:rsidRPr="00FB309A">
        <w:rPr>
          <w:sz w:val="22"/>
          <w:szCs w:val="22"/>
        </w:rPr>
        <w:tab/>
        <w:t>Bonnes conditions de propagation</w:t>
      </w:r>
    </w:p>
    <w:p w:rsidR="00DB138C" w:rsidRPr="00FB309A" w:rsidRDefault="00DB138C" w:rsidP="00DB138C">
      <w:pPr>
        <w:tabs>
          <w:tab w:val="clear" w:pos="794"/>
          <w:tab w:val="clear" w:pos="1191"/>
          <w:tab w:val="clear" w:pos="1588"/>
          <w:tab w:val="clear" w:pos="1985"/>
          <w:tab w:val="left" w:pos="3402"/>
        </w:tabs>
        <w:rPr>
          <w:sz w:val="20"/>
        </w:rPr>
      </w:pPr>
      <w:r w:rsidRPr="00FB309A">
        <w:rPr>
          <w:sz w:val="20"/>
        </w:rPr>
        <w:t>Temps de propagation différentiel:</w:t>
      </w:r>
      <w:r w:rsidRPr="00FB309A">
        <w:rPr>
          <w:sz w:val="20"/>
        </w:rPr>
        <w:tab/>
        <w:t>0,5 ms</w:t>
      </w:r>
    </w:p>
    <w:p w:rsidR="00DB138C" w:rsidRPr="00FB309A" w:rsidRDefault="00DB138C" w:rsidP="00DB138C">
      <w:pPr>
        <w:tabs>
          <w:tab w:val="clear" w:pos="794"/>
          <w:tab w:val="clear" w:pos="1191"/>
          <w:tab w:val="clear" w:pos="1588"/>
          <w:tab w:val="clear" w:pos="1985"/>
          <w:tab w:val="left" w:pos="3402"/>
        </w:tabs>
        <w:rPr>
          <w:sz w:val="20"/>
        </w:rPr>
      </w:pPr>
      <w:r w:rsidRPr="00FB309A">
        <w:rPr>
          <w:sz w:val="20"/>
        </w:rPr>
        <w:t>Etalement de fréquence:</w:t>
      </w:r>
      <w:r w:rsidRPr="00FB309A">
        <w:rPr>
          <w:sz w:val="20"/>
        </w:rPr>
        <w:tab/>
        <w:t>0,5 Hz</w:t>
      </w:r>
    </w:p>
    <w:p w:rsidR="00DB138C" w:rsidRPr="00FB309A" w:rsidRDefault="00DB138C" w:rsidP="00DB138C">
      <w:pPr>
        <w:pStyle w:val="Heading2"/>
        <w:rPr>
          <w:sz w:val="22"/>
          <w:szCs w:val="22"/>
        </w:rPr>
      </w:pPr>
      <w:r w:rsidRPr="00FB309A">
        <w:rPr>
          <w:sz w:val="22"/>
          <w:szCs w:val="22"/>
        </w:rPr>
        <w:t>2.2</w:t>
      </w:r>
      <w:r w:rsidRPr="00FB309A">
        <w:rPr>
          <w:sz w:val="22"/>
          <w:szCs w:val="22"/>
        </w:rPr>
        <w:tab/>
        <w:t>Conditions de propagation moyennes</w:t>
      </w:r>
      <w:r w:rsidRPr="00FB309A">
        <w:rPr>
          <w:b w:val="0"/>
          <w:bCs/>
          <w:sz w:val="22"/>
          <w:szCs w:val="22"/>
        </w:rPr>
        <w:t xml:space="preserve"> (voir la Note 1)</w:t>
      </w:r>
    </w:p>
    <w:p w:rsidR="00DB138C" w:rsidRPr="00FB309A" w:rsidRDefault="00DB138C" w:rsidP="00DB138C">
      <w:pPr>
        <w:pStyle w:val="Index1"/>
        <w:tabs>
          <w:tab w:val="clear" w:pos="794"/>
          <w:tab w:val="clear" w:pos="1191"/>
          <w:tab w:val="clear" w:pos="1588"/>
          <w:tab w:val="clear" w:pos="1985"/>
          <w:tab w:val="left" w:pos="3402"/>
        </w:tabs>
        <w:rPr>
          <w:sz w:val="20"/>
        </w:rPr>
      </w:pPr>
      <w:r w:rsidRPr="00FB309A">
        <w:rPr>
          <w:sz w:val="20"/>
        </w:rPr>
        <w:t>Temps de propagation différentiel:</w:t>
      </w:r>
      <w:r w:rsidRPr="00FB309A">
        <w:rPr>
          <w:sz w:val="20"/>
        </w:rPr>
        <w:tab/>
        <w:t>2 ms</w:t>
      </w:r>
    </w:p>
    <w:p w:rsidR="00DB138C" w:rsidRPr="00FB309A" w:rsidRDefault="00DB138C" w:rsidP="00DB138C">
      <w:pPr>
        <w:tabs>
          <w:tab w:val="clear" w:pos="794"/>
          <w:tab w:val="clear" w:pos="1191"/>
          <w:tab w:val="clear" w:pos="1588"/>
          <w:tab w:val="clear" w:pos="1985"/>
          <w:tab w:val="left" w:pos="3402"/>
        </w:tabs>
        <w:rPr>
          <w:sz w:val="20"/>
        </w:rPr>
      </w:pPr>
      <w:r w:rsidRPr="00FB309A">
        <w:rPr>
          <w:sz w:val="20"/>
        </w:rPr>
        <w:t>Etalement de fréquence:</w:t>
      </w:r>
      <w:r w:rsidRPr="00FB309A">
        <w:rPr>
          <w:sz w:val="20"/>
        </w:rPr>
        <w:tab/>
        <w:t>1,5 Hz</w:t>
      </w:r>
    </w:p>
    <w:p w:rsidR="00DB138C" w:rsidRPr="00FB309A" w:rsidRDefault="00DB138C" w:rsidP="00DB138C">
      <w:pPr>
        <w:pStyle w:val="Note"/>
        <w:rPr>
          <w:sz w:val="20"/>
        </w:rPr>
      </w:pPr>
      <w:r w:rsidRPr="00FB309A">
        <w:rPr>
          <w:sz w:val="20"/>
        </w:rPr>
        <w:t>NOTE 1 – Ces valeurs correspondent aux valeurs d'un canal dans de «mauvaises conditions de propagation» d'après la définition donnée dans l'ancienne Recommandation UIT-R F.520.</w:t>
      </w:r>
    </w:p>
    <w:p w:rsidR="00DB138C" w:rsidRPr="00FB309A" w:rsidRDefault="00DB138C" w:rsidP="00DB138C">
      <w:pPr>
        <w:pStyle w:val="Heading2"/>
        <w:rPr>
          <w:sz w:val="22"/>
          <w:szCs w:val="22"/>
        </w:rPr>
      </w:pPr>
      <w:r w:rsidRPr="00FB309A">
        <w:rPr>
          <w:sz w:val="22"/>
          <w:szCs w:val="22"/>
        </w:rPr>
        <w:t>2.3</w:t>
      </w:r>
      <w:r w:rsidRPr="00FB309A">
        <w:rPr>
          <w:sz w:val="22"/>
          <w:szCs w:val="22"/>
        </w:rPr>
        <w:tab/>
        <w:t>Conditions de propagation perturbées</w:t>
      </w:r>
    </w:p>
    <w:p w:rsidR="00DB138C" w:rsidRPr="00FB309A" w:rsidRDefault="00DB138C" w:rsidP="00DB138C">
      <w:pPr>
        <w:tabs>
          <w:tab w:val="clear" w:pos="794"/>
          <w:tab w:val="clear" w:pos="1191"/>
          <w:tab w:val="clear" w:pos="1588"/>
          <w:tab w:val="clear" w:pos="1985"/>
          <w:tab w:val="left" w:pos="3402"/>
        </w:tabs>
        <w:rPr>
          <w:sz w:val="20"/>
        </w:rPr>
      </w:pPr>
      <w:r w:rsidRPr="00FB309A">
        <w:rPr>
          <w:sz w:val="20"/>
        </w:rPr>
        <w:t>Temps de propagation différentiel:</w:t>
      </w:r>
      <w:r w:rsidRPr="00FB309A">
        <w:rPr>
          <w:sz w:val="20"/>
        </w:rPr>
        <w:tab/>
        <w:t>6 ms</w:t>
      </w:r>
    </w:p>
    <w:p w:rsidR="00DB138C" w:rsidRPr="00FB309A" w:rsidRDefault="00DB138C" w:rsidP="00DB138C">
      <w:pPr>
        <w:tabs>
          <w:tab w:val="clear" w:pos="794"/>
          <w:tab w:val="clear" w:pos="1191"/>
          <w:tab w:val="clear" w:pos="1588"/>
          <w:tab w:val="clear" w:pos="1985"/>
          <w:tab w:val="left" w:pos="3402"/>
        </w:tabs>
        <w:rPr>
          <w:sz w:val="20"/>
        </w:rPr>
      </w:pPr>
      <w:r w:rsidRPr="00FB309A">
        <w:rPr>
          <w:sz w:val="20"/>
        </w:rPr>
        <w:t>Etalement de fréquence:</w:t>
      </w:r>
      <w:r w:rsidRPr="00FB309A">
        <w:rPr>
          <w:sz w:val="20"/>
        </w:rPr>
        <w:tab/>
        <w:t>10 Hz</w:t>
      </w:r>
    </w:p>
    <w:p w:rsidR="00DB138C" w:rsidRDefault="00DB138C" w:rsidP="00DB138C">
      <w:pPr>
        <w:pStyle w:val="Heading1"/>
      </w:pPr>
      <w:r>
        <w:t>3</w:t>
      </w:r>
      <w:r>
        <w:tab/>
        <w:t xml:space="preserve">Latitudes moyennes </w:t>
      </w:r>
    </w:p>
    <w:p w:rsidR="00DB138C" w:rsidRPr="00FB309A" w:rsidRDefault="00DB138C" w:rsidP="00DB138C">
      <w:pPr>
        <w:pStyle w:val="Heading2"/>
        <w:rPr>
          <w:sz w:val="22"/>
          <w:szCs w:val="22"/>
        </w:rPr>
      </w:pPr>
      <w:r w:rsidRPr="00FB309A">
        <w:rPr>
          <w:sz w:val="22"/>
          <w:szCs w:val="22"/>
        </w:rPr>
        <w:t>3.1</w:t>
      </w:r>
      <w:r w:rsidRPr="00FB309A">
        <w:rPr>
          <w:sz w:val="22"/>
          <w:szCs w:val="22"/>
        </w:rPr>
        <w:tab/>
        <w:t>Bonnes conditions de propagation</w:t>
      </w:r>
      <w:r w:rsidRPr="00FB309A">
        <w:rPr>
          <w:b w:val="0"/>
          <w:bCs/>
          <w:sz w:val="22"/>
          <w:szCs w:val="22"/>
        </w:rPr>
        <w:t xml:space="preserve"> (voir la Note 1)</w:t>
      </w:r>
    </w:p>
    <w:p w:rsidR="00DB138C" w:rsidRPr="00FB309A" w:rsidRDefault="00DB138C" w:rsidP="00DB138C">
      <w:pPr>
        <w:tabs>
          <w:tab w:val="clear" w:pos="794"/>
          <w:tab w:val="clear" w:pos="1191"/>
          <w:tab w:val="clear" w:pos="1588"/>
          <w:tab w:val="clear" w:pos="1985"/>
          <w:tab w:val="left" w:pos="3402"/>
        </w:tabs>
        <w:rPr>
          <w:sz w:val="20"/>
        </w:rPr>
      </w:pPr>
      <w:r w:rsidRPr="00FB309A">
        <w:rPr>
          <w:sz w:val="20"/>
        </w:rPr>
        <w:t>Temps de propagation différentiel:</w:t>
      </w:r>
      <w:r w:rsidRPr="00FB309A">
        <w:rPr>
          <w:sz w:val="20"/>
        </w:rPr>
        <w:tab/>
        <w:t>0,5 ms</w:t>
      </w:r>
    </w:p>
    <w:p w:rsidR="00DB138C" w:rsidRPr="00FB309A" w:rsidRDefault="00DB138C" w:rsidP="00DB138C">
      <w:pPr>
        <w:tabs>
          <w:tab w:val="clear" w:pos="794"/>
          <w:tab w:val="clear" w:pos="1191"/>
          <w:tab w:val="clear" w:pos="1588"/>
          <w:tab w:val="clear" w:pos="1985"/>
          <w:tab w:val="left" w:pos="3402"/>
        </w:tabs>
        <w:rPr>
          <w:sz w:val="20"/>
        </w:rPr>
      </w:pPr>
      <w:r w:rsidRPr="00FB309A">
        <w:rPr>
          <w:sz w:val="20"/>
        </w:rPr>
        <w:t>Etalement de fréquence:</w:t>
      </w:r>
      <w:r w:rsidRPr="00FB309A">
        <w:rPr>
          <w:sz w:val="20"/>
        </w:rPr>
        <w:tab/>
        <w:t>0,1 Hz</w:t>
      </w:r>
    </w:p>
    <w:p w:rsidR="00DB138C" w:rsidRPr="00FB309A" w:rsidRDefault="00DB138C" w:rsidP="00DB138C">
      <w:pPr>
        <w:pStyle w:val="Note"/>
        <w:rPr>
          <w:sz w:val="20"/>
        </w:rPr>
      </w:pPr>
      <w:r w:rsidRPr="00FB309A">
        <w:rPr>
          <w:sz w:val="20"/>
        </w:rPr>
        <w:t>NOTE 1 – Ces valeurs correspondent aux valeurs d'un canal dans de «bonnes conditions de propagation» d'après la définition donnée dans l'ancienne Recommandation UIT</w:t>
      </w:r>
      <w:r w:rsidRPr="00FB309A">
        <w:rPr>
          <w:sz w:val="20"/>
        </w:rPr>
        <w:noBreakHyphen/>
        <w:t>R F.520.</w:t>
      </w:r>
    </w:p>
    <w:p w:rsidR="00DB138C" w:rsidRPr="00FB309A" w:rsidRDefault="00DB138C" w:rsidP="00DB138C">
      <w:pPr>
        <w:pStyle w:val="Heading2"/>
        <w:rPr>
          <w:sz w:val="22"/>
          <w:szCs w:val="22"/>
        </w:rPr>
      </w:pPr>
      <w:r w:rsidRPr="00FB309A">
        <w:rPr>
          <w:sz w:val="22"/>
          <w:szCs w:val="22"/>
        </w:rPr>
        <w:t>3.2</w:t>
      </w:r>
      <w:r w:rsidRPr="00FB309A">
        <w:rPr>
          <w:sz w:val="22"/>
          <w:szCs w:val="22"/>
        </w:rPr>
        <w:tab/>
        <w:t>Conditions de propagation moyennes</w:t>
      </w:r>
      <w:r w:rsidRPr="00FB309A">
        <w:rPr>
          <w:b w:val="0"/>
          <w:bCs/>
          <w:sz w:val="22"/>
          <w:szCs w:val="22"/>
        </w:rPr>
        <w:t xml:space="preserve"> (voir la Note 1)</w:t>
      </w:r>
    </w:p>
    <w:p w:rsidR="00DB138C" w:rsidRPr="00FB309A" w:rsidRDefault="00DB138C" w:rsidP="00DB138C">
      <w:pPr>
        <w:tabs>
          <w:tab w:val="clear" w:pos="794"/>
          <w:tab w:val="clear" w:pos="1191"/>
          <w:tab w:val="clear" w:pos="1588"/>
          <w:tab w:val="clear" w:pos="1985"/>
          <w:tab w:val="left" w:pos="3402"/>
        </w:tabs>
        <w:rPr>
          <w:sz w:val="20"/>
        </w:rPr>
      </w:pPr>
      <w:r w:rsidRPr="00FB309A">
        <w:rPr>
          <w:sz w:val="20"/>
        </w:rPr>
        <w:t>Temps de propagation différentiel:</w:t>
      </w:r>
      <w:r w:rsidRPr="00FB309A">
        <w:rPr>
          <w:sz w:val="20"/>
        </w:rPr>
        <w:tab/>
        <w:t>1 ms</w:t>
      </w:r>
    </w:p>
    <w:p w:rsidR="00DB138C" w:rsidRPr="00FB309A" w:rsidRDefault="00DB138C" w:rsidP="00DB138C">
      <w:pPr>
        <w:tabs>
          <w:tab w:val="clear" w:pos="794"/>
          <w:tab w:val="clear" w:pos="1191"/>
          <w:tab w:val="clear" w:pos="1588"/>
          <w:tab w:val="clear" w:pos="1985"/>
          <w:tab w:val="left" w:pos="3402"/>
        </w:tabs>
        <w:rPr>
          <w:sz w:val="20"/>
        </w:rPr>
      </w:pPr>
      <w:r w:rsidRPr="00FB309A">
        <w:rPr>
          <w:sz w:val="20"/>
        </w:rPr>
        <w:t>Etalement de fréquence:</w:t>
      </w:r>
      <w:r w:rsidRPr="00FB309A">
        <w:rPr>
          <w:sz w:val="20"/>
        </w:rPr>
        <w:tab/>
        <w:t>0,5 Hz</w:t>
      </w:r>
    </w:p>
    <w:p w:rsidR="00DB138C" w:rsidRPr="00FB309A" w:rsidRDefault="00DB138C" w:rsidP="00DB138C">
      <w:pPr>
        <w:pStyle w:val="Note"/>
        <w:rPr>
          <w:sz w:val="20"/>
        </w:rPr>
      </w:pPr>
      <w:r w:rsidRPr="00FB309A">
        <w:rPr>
          <w:sz w:val="20"/>
        </w:rPr>
        <w:t>NOTE 1 – Ces valeurs correspondent aux valeurs d'un canal dans des «conditions de propagation moyennes» d'après la définition donnée dans l'ancienne Recommandation UIT-R F.520.</w:t>
      </w:r>
    </w:p>
    <w:p w:rsidR="00DB138C" w:rsidRPr="00FB309A" w:rsidRDefault="00DB138C" w:rsidP="00DB138C">
      <w:pPr>
        <w:pStyle w:val="Heading2"/>
        <w:rPr>
          <w:sz w:val="22"/>
          <w:szCs w:val="22"/>
        </w:rPr>
      </w:pPr>
      <w:r w:rsidRPr="00FB309A">
        <w:rPr>
          <w:sz w:val="22"/>
          <w:szCs w:val="22"/>
        </w:rPr>
        <w:t>3.3</w:t>
      </w:r>
      <w:r w:rsidRPr="00FB309A">
        <w:rPr>
          <w:sz w:val="22"/>
          <w:szCs w:val="22"/>
        </w:rPr>
        <w:tab/>
        <w:t>Conditions de propagation perturbées</w:t>
      </w:r>
      <w:r w:rsidRPr="00FB309A">
        <w:rPr>
          <w:b w:val="0"/>
          <w:bCs/>
          <w:sz w:val="22"/>
          <w:szCs w:val="22"/>
        </w:rPr>
        <w:t xml:space="preserve"> (voir la Note 1 du § 2.2)</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Temps de propagation différentiel:</w:t>
      </w:r>
      <w:r w:rsidRPr="00A80871">
        <w:rPr>
          <w:sz w:val="20"/>
        </w:rPr>
        <w:tab/>
        <w:t>2 ms</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Etalement de fréquence:</w:t>
      </w:r>
      <w:r w:rsidRPr="00A80871">
        <w:rPr>
          <w:sz w:val="20"/>
        </w:rPr>
        <w:tab/>
        <w:t>1 Hz</w:t>
      </w:r>
    </w:p>
    <w:p w:rsidR="00DB138C" w:rsidRPr="00A80871" w:rsidRDefault="00DB138C" w:rsidP="00DB138C">
      <w:pPr>
        <w:pStyle w:val="Heading2"/>
        <w:rPr>
          <w:sz w:val="22"/>
          <w:szCs w:val="22"/>
        </w:rPr>
      </w:pPr>
      <w:r w:rsidRPr="00A80871">
        <w:rPr>
          <w:sz w:val="22"/>
          <w:szCs w:val="22"/>
        </w:rPr>
        <w:t>3.4</w:t>
      </w:r>
      <w:r w:rsidRPr="00A80871">
        <w:rPr>
          <w:sz w:val="22"/>
          <w:szCs w:val="22"/>
        </w:rPr>
        <w:tab/>
        <w:t>Perturbation au voisinage de l'incidence verticale (la composante onde de sol doit être ajoutée si nécessaire)</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Temps de propagation différentiel:</w:t>
      </w:r>
      <w:r w:rsidRPr="00A80871">
        <w:rPr>
          <w:sz w:val="20"/>
        </w:rPr>
        <w:tab/>
        <w:t>7 ms</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Etalement de fréquence:</w:t>
      </w:r>
      <w:r w:rsidRPr="00A80871">
        <w:rPr>
          <w:sz w:val="20"/>
        </w:rPr>
        <w:tab/>
        <w:t>1 Hz</w:t>
      </w:r>
    </w:p>
    <w:p w:rsidR="00DB138C" w:rsidRDefault="00DB138C" w:rsidP="00DB138C">
      <w:pPr>
        <w:pStyle w:val="Heading1"/>
      </w:pPr>
      <w:r>
        <w:t>4</w:t>
      </w:r>
      <w:r>
        <w:tab/>
        <w:t>Hautes latitudes</w:t>
      </w:r>
    </w:p>
    <w:p w:rsidR="00DB138C" w:rsidRPr="00A80871" w:rsidRDefault="00DB138C" w:rsidP="00DB138C">
      <w:pPr>
        <w:pStyle w:val="Heading2"/>
        <w:rPr>
          <w:sz w:val="22"/>
          <w:szCs w:val="22"/>
        </w:rPr>
      </w:pPr>
      <w:r w:rsidRPr="00A80871">
        <w:rPr>
          <w:sz w:val="22"/>
          <w:szCs w:val="22"/>
        </w:rPr>
        <w:t>4.1</w:t>
      </w:r>
      <w:r w:rsidRPr="00A80871">
        <w:rPr>
          <w:sz w:val="22"/>
          <w:szCs w:val="22"/>
        </w:rPr>
        <w:tab/>
        <w:t>Bonnes conditions de propagation</w:t>
      </w:r>
      <w:r w:rsidRPr="00A80871">
        <w:rPr>
          <w:b w:val="0"/>
          <w:bCs/>
          <w:sz w:val="22"/>
          <w:szCs w:val="22"/>
        </w:rPr>
        <w:t xml:space="preserve"> (voir la Note 1 du § 3.2)</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Temps de propagation différentiel:</w:t>
      </w:r>
      <w:r w:rsidRPr="00A80871">
        <w:rPr>
          <w:sz w:val="20"/>
        </w:rPr>
        <w:tab/>
        <w:t>1 ms</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Etalement de fréquence:</w:t>
      </w:r>
      <w:r w:rsidRPr="00A80871">
        <w:rPr>
          <w:sz w:val="20"/>
        </w:rPr>
        <w:tab/>
        <w:t>0,5 Hz</w:t>
      </w:r>
    </w:p>
    <w:p w:rsidR="00DB138C" w:rsidRPr="00A80871" w:rsidRDefault="00DB138C" w:rsidP="00DB138C">
      <w:pPr>
        <w:pStyle w:val="Heading2"/>
        <w:rPr>
          <w:sz w:val="22"/>
          <w:szCs w:val="22"/>
        </w:rPr>
      </w:pPr>
      <w:r w:rsidRPr="00A80871">
        <w:rPr>
          <w:sz w:val="22"/>
          <w:szCs w:val="22"/>
        </w:rPr>
        <w:lastRenderedPageBreak/>
        <w:t>4.2</w:t>
      </w:r>
      <w:r w:rsidRPr="00A80871">
        <w:rPr>
          <w:sz w:val="22"/>
          <w:szCs w:val="22"/>
        </w:rPr>
        <w:tab/>
        <w:t>Conditions de propagation moyennes</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Temps de propagation différentiel:</w:t>
      </w:r>
      <w:r w:rsidRPr="00A80871">
        <w:rPr>
          <w:sz w:val="20"/>
        </w:rPr>
        <w:tab/>
        <w:t>3 ms</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Etalement de fréquence:</w:t>
      </w:r>
      <w:r w:rsidRPr="00A80871">
        <w:rPr>
          <w:sz w:val="20"/>
        </w:rPr>
        <w:tab/>
        <w:t>10 Hz</w:t>
      </w:r>
    </w:p>
    <w:p w:rsidR="00DB138C" w:rsidRPr="00A80871" w:rsidRDefault="00DB138C" w:rsidP="00DB138C">
      <w:pPr>
        <w:pStyle w:val="Heading2"/>
        <w:rPr>
          <w:sz w:val="22"/>
          <w:szCs w:val="22"/>
        </w:rPr>
      </w:pPr>
      <w:r w:rsidRPr="00A80871">
        <w:rPr>
          <w:sz w:val="22"/>
          <w:szCs w:val="22"/>
        </w:rPr>
        <w:t>4.3</w:t>
      </w:r>
      <w:r w:rsidRPr="00A80871">
        <w:rPr>
          <w:sz w:val="22"/>
          <w:szCs w:val="22"/>
        </w:rPr>
        <w:tab/>
        <w:t>Conditions de propagation perturbées</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Temps de propagation différentiel:</w:t>
      </w:r>
      <w:r w:rsidRPr="00A80871">
        <w:rPr>
          <w:sz w:val="20"/>
        </w:rPr>
        <w:tab/>
        <w:t>7 ms</w:t>
      </w:r>
    </w:p>
    <w:p w:rsidR="00DB138C" w:rsidRPr="00A80871" w:rsidRDefault="00DB138C" w:rsidP="00DB138C">
      <w:pPr>
        <w:tabs>
          <w:tab w:val="clear" w:pos="794"/>
          <w:tab w:val="clear" w:pos="1191"/>
          <w:tab w:val="clear" w:pos="1588"/>
          <w:tab w:val="clear" w:pos="1985"/>
          <w:tab w:val="left" w:pos="3402"/>
        </w:tabs>
        <w:rPr>
          <w:sz w:val="20"/>
        </w:rPr>
      </w:pPr>
      <w:r w:rsidRPr="00A80871">
        <w:rPr>
          <w:sz w:val="20"/>
        </w:rPr>
        <w:t>Etalement de fréquence:</w:t>
      </w:r>
      <w:r w:rsidRPr="00A80871">
        <w:rPr>
          <w:sz w:val="20"/>
        </w:rPr>
        <w:tab/>
        <w:t>30 Hz</w:t>
      </w:r>
    </w:p>
    <w:p w:rsidR="00DB138C" w:rsidRDefault="00DB138C" w:rsidP="00DB138C">
      <w:pPr>
        <w:pStyle w:val="Heading1"/>
      </w:pPr>
      <w:r>
        <w:t>5</w:t>
      </w:r>
      <w:r>
        <w:tab/>
        <w:t>Statistiques d'occurrence</w:t>
      </w:r>
    </w:p>
    <w:p w:rsidR="00DB138C" w:rsidRPr="00A80871" w:rsidRDefault="00A80871" w:rsidP="00DB138C">
      <w:pPr>
        <w:rPr>
          <w:sz w:val="20"/>
        </w:rPr>
      </w:pPr>
      <w:r>
        <w:rPr>
          <w:sz w:val="20"/>
        </w:rPr>
        <w:t>A</w:t>
      </w:r>
      <w:r w:rsidR="00DB138C" w:rsidRPr="00A80871">
        <w:rPr>
          <w:sz w:val="20"/>
        </w:rPr>
        <w:t xml:space="preserve"> titre d'indication de la probabilité d'occurrence des conditions perturbées, on peut noter les statistiques indiquées ci</w:t>
      </w:r>
      <w:r w:rsidR="00DB138C" w:rsidRPr="00A80871">
        <w:rPr>
          <w:sz w:val="20"/>
        </w:rPr>
        <w:noBreakHyphen/>
        <w:t>après:</w:t>
      </w:r>
    </w:p>
    <w:p w:rsidR="00DB138C" w:rsidRPr="00A80871" w:rsidRDefault="00DB138C" w:rsidP="00DB138C">
      <w:pPr>
        <w:pStyle w:val="Heading2"/>
        <w:rPr>
          <w:sz w:val="22"/>
          <w:szCs w:val="22"/>
        </w:rPr>
      </w:pPr>
      <w:r w:rsidRPr="00A80871">
        <w:rPr>
          <w:sz w:val="22"/>
          <w:szCs w:val="22"/>
        </w:rPr>
        <w:t>5.1</w:t>
      </w:r>
      <w:r w:rsidRPr="00A80871">
        <w:rPr>
          <w:sz w:val="22"/>
          <w:szCs w:val="22"/>
        </w:rPr>
        <w:tab/>
        <w:t>Basses latitudes</w:t>
      </w:r>
    </w:p>
    <w:p w:rsidR="00DB138C" w:rsidRPr="00A80871" w:rsidRDefault="00DB138C" w:rsidP="00DB138C">
      <w:pPr>
        <w:rPr>
          <w:sz w:val="20"/>
        </w:rPr>
      </w:pPr>
      <w:r w:rsidRPr="00A80871">
        <w:rPr>
          <w:sz w:val="20"/>
        </w:rPr>
        <w:t>Le temps de propagation différentiel de 4 ms sera dépassé pendant environ 5% du temps.</w:t>
      </w:r>
    </w:p>
    <w:p w:rsidR="00DB138C" w:rsidRPr="00A80871" w:rsidRDefault="00DB138C" w:rsidP="00DB138C">
      <w:pPr>
        <w:rPr>
          <w:sz w:val="20"/>
        </w:rPr>
      </w:pPr>
      <w:r w:rsidRPr="00A80871">
        <w:rPr>
          <w:sz w:val="20"/>
        </w:rPr>
        <w:t>L'étalement de fréquence dû à l'effet Doppler de 3 Hz sera dépassé pendant environ 5% du temps.</w:t>
      </w:r>
    </w:p>
    <w:p w:rsidR="00DB138C" w:rsidRPr="00A80871" w:rsidRDefault="00DB138C" w:rsidP="00DB138C">
      <w:pPr>
        <w:pStyle w:val="Heading2"/>
        <w:rPr>
          <w:sz w:val="22"/>
          <w:szCs w:val="22"/>
        </w:rPr>
      </w:pPr>
      <w:r w:rsidRPr="00A80871">
        <w:rPr>
          <w:sz w:val="22"/>
          <w:szCs w:val="22"/>
        </w:rPr>
        <w:t>5.2</w:t>
      </w:r>
      <w:r w:rsidRPr="00A80871">
        <w:rPr>
          <w:sz w:val="22"/>
          <w:szCs w:val="22"/>
        </w:rPr>
        <w:tab/>
        <w:t>Hautes latitudes</w:t>
      </w:r>
    </w:p>
    <w:p w:rsidR="00DB138C" w:rsidRPr="00A80871" w:rsidRDefault="00DB138C" w:rsidP="00DB138C">
      <w:pPr>
        <w:rPr>
          <w:sz w:val="20"/>
        </w:rPr>
      </w:pPr>
      <w:r w:rsidRPr="00A80871">
        <w:rPr>
          <w:sz w:val="20"/>
        </w:rPr>
        <w:t>Le temps de propagation différentiel de 5 ms sera dépassé pendant environ 5% du temps.</w:t>
      </w:r>
    </w:p>
    <w:p w:rsidR="00DB138C" w:rsidRPr="00A80871" w:rsidRDefault="00DB138C" w:rsidP="00DB138C">
      <w:pPr>
        <w:rPr>
          <w:sz w:val="20"/>
        </w:rPr>
      </w:pPr>
      <w:r w:rsidRPr="00A80871">
        <w:rPr>
          <w:sz w:val="20"/>
        </w:rPr>
        <w:t>L'étalement de fréquence dû à l'effet Doppler de 25 Hz sera dépassé pendant environ 5% du temps.</w:t>
      </w:r>
    </w:p>
    <w:p w:rsidR="00DB138C" w:rsidRDefault="00DB138C" w:rsidP="00DB138C">
      <w:pPr>
        <w:pStyle w:val="Heading1"/>
      </w:pPr>
      <w:r>
        <w:t>6</w:t>
      </w:r>
      <w:r>
        <w:tab/>
        <w:t>Durée des essais</w:t>
      </w:r>
    </w:p>
    <w:p w:rsidR="00DB138C" w:rsidRPr="00A80871" w:rsidRDefault="00DB138C" w:rsidP="00DB138C">
      <w:pPr>
        <w:rPr>
          <w:sz w:val="20"/>
        </w:rPr>
      </w:pPr>
      <w:r w:rsidRPr="00A80871">
        <w:rPr>
          <w:sz w:val="20"/>
        </w:rPr>
        <w:t>La durée des essais est fonction de l'étalement de fréquence, du débit de données utilisateur et du niveau de TEB à mesurer. Il est recommandé de retenir comme durée des essais la durée la plus longue des deux durées suivantes, 3</w:t>
      </w:r>
      <w:r w:rsidRPr="00A80871">
        <w:rPr>
          <w:rFonts w:ascii="Tms Rmn" w:hAnsi="Tms Rmn"/>
          <w:sz w:val="20"/>
        </w:rPr>
        <w:t> </w:t>
      </w:r>
      <w:r w:rsidRPr="00A80871">
        <w:rPr>
          <w:sz w:val="20"/>
        </w:rPr>
        <w:t>000 fois l'inverse de l'étalement Doppler ou 100 fois l'inverse du produit TEB multiplié par débit de données. Quelques exemples sont présentés au Tableau 2.</w:t>
      </w:r>
    </w:p>
    <w:p w:rsidR="00DB138C" w:rsidRDefault="00DB138C" w:rsidP="00DB138C">
      <w:pPr>
        <w:pStyle w:val="Table"/>
        <w:rPr>
          <w:lang w:val="fr-FR"/>
        </w:rPr>
      </w:pPr>
      <w:r>
        <w:rPr>
          <w:lang w:val="fr-FR"/>
        </w:rPr>
        <w:t>TABLEAU  2</w:t>
      </w:r>
    </w:p>
    <w:p w:rsidR="00DB138C" w:rsidRDefault="00DB138C" w:rsidP="00DB138C">
      <w:pPr>
        <w:pStyle w:val="TableTitle0"/>
        <w:rPr>
          <w:lang w:val="fr-FR"/>
        </w:rPr>
      </w:pPr>
      <w:r>
        <w:rPr>
          <w:lang w:val="fr-FR"/>
        </w:rPr>
        <w:t>Exemples de durées d'essai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18"/>
        <w:gridCol w:w="1701"/>
        <w:gridCol w:w="1134"/>
        <w:gridCol w:w="1134"/>
        <w:gridCol w:w="1985"/>
        <w:gridCol w:w="1701"/>
      </w:tblGrid>
      <w:tr w:rsidR="00DB138C" w:rsidTr="00A80871">
        <w:trPr>
          <w:cantSplit/>
          <w:jc w:val="center"/>
        </w:trPr>
        <w:tc>
          <w:tcPr>
            <w:tcW w:w="1418" w:type="dxa"/>
            <w:vAlign w:val="center"/>
          </w:tcPr>
          <w:p w:rsidR="00DB138C" w:rsidRDefault="00DB138C" w:rsidP="00FB309A">
            <w:pPr>
              <w:pStyle w:val="TableText0"/>
              <w:framePr w:hSpace="181" w:wrap="notBeside" w:vAnchor="text" w:hAnchor="text" w:xAlign="center" w:y="1"/>
              <w:jc w:val="center"/>
              <w:rPr>
                <w:lang w:val="fr-FR"/>
              </w:rPr>
            </w:pPr>
            <w:r>
              <w:rPr>
                <w:lang w:val="fr-FR"/>
              </w:rPr>
              <w:t>Etalement Doppler</w:t>
            </w:r>
            <w:r>
              <w:rPr>
                <w:lang w:val="fr-FR"/>
              </w:rPr>
              <w:br/>
              <w:t>(Hz)</w:t>
            </w:r>
          </w:p>
        </w:tc>
        <w:tc>
          <w:tcPr>
            <w:tcW w:w="1701" w:type="dxa"/>
            <w:vAlign w:val="center"/>
          </w:tcPr>
          <w:p w:rsidR="00DB138C" w:rsidRDefault="00DB138C" w:rsidP="00FB309A">
            <w:pPr>
              <w:pStyle w:val="TableText0"/>
              <w:framePr w:hSpace="181" w:wrap="notBeside" w:vAnchor="text" w:hAnchor="text" w:xAlign="center" w:y="1"/>
              <w:jc w:val="center"/>
              <w:rPr>
                <w:lang w:val="fr-FR"/>
              </w:rPr>
            </w:pPr>
            <w:r>
              <w:rPr>
                <w:lang w:val="fr-FR"/>
              </w:rPr>
              <w:t>3</w:t>
            </w:r>
            <w:r>
              <w:rPr>
                <w:rFonts w:ascii="Tms Rmn" w:hAnsi="Tms Rmn"/>
                <w:sz w:val="12"/>
                <w:lang w:val="fr-FR"/>
              </w:rPr>
              <w:t> </w:t>
            </w:r>
            <w:r>
              <w:rPr>
                <w:lang w:val="fr-FR"/>
              </w:rPr>
              <w:t>000/étalement Doppler</w:t>
            </w:r>
            <w:r>
              <w:rPr>
                <w:lang w:val="fr-FR"/>
              </w:rPr>
              <w:br/>
              <w:t>(s)</w:t>
            </w:r>
          </w:p>
        </w:tc>
        <w:tc>
          <w:tcPr>
            <w:tcW w:w="1134" w:type="dxa"/>
            <w:vAlign w:val="center"/>
          </w:tcPr>
          <w:p w:rsidR="00DB138C" w:rsidRDefault="00DB138C" w:rsidP="00FB309A">
            <w:pPr>
              <w:pStyle w:val="TableText0"/>
              <w:framePr w:hSpace="181" w:wrap="notBeside" w:vAnchor="text" w:hAnchor="text" w:xAlign="center" w:y="1"/>
              <w:jc w:val="center"/>
              <w:rPr>
                <w:lang w:val="fr-FR"/>
              </w:rPr>
            </w:pPr>
            <w:r>
              <w:rPr>
                <w:lang w:val="fr-FR"/>
              </w:rPr>
              <w:t>TEB</w:t>
            </w:r>
          </w:p>
        </w:tc>
        <w:tc>
          <w:tcPr>
            <w:tcW w:w="1134" w:type="dxa"/>
            <w:vAlign w:val="center"/>
          </w:tcPr>
          <w:p w:rsidR="00DB138C" w:rsidRDefault="00DB138C" w:rsidP="00FB309A">
            <w:pPr>
              <w:pStyle w:val="TableText0"/>
              <w:framePr w:hSpace="181" w:wrap="notBeside" w:vAnchor="text" w:hAnchor="text" w:xAlign="center" w:y="1"/>
              <w:jc w:val="center"/>
              <w:rPr>
                <w:lang w:val="fr-FR"/>
              </w:rPr>
            </w:pPr>
            <w:r>
              <w:rPr>
                <w:lang w:val="fr-FR"/>
              </w:rPr>
              <w:t>Débit</w:t>
            </w:r>
            <w:r>
              <w:rPr>
                <w:lang w:val="fr-FR"/>
              </w:rPr>
              <w:br/>
              <w:t>(bit/s)</w:t>
            </w:r>
          </w:p>
        </w:tc>
        <w:tc>
          <w:tcPr>
            <w:tcW w:w="1985" w:type="dxa"/>
            <w:vAlign w:val="center"/>
          </w:tcPr>
          <w:p w:rsidR="00DB138C" w:rsidRDefault="00DB138C" w:rsidP="00B65A09">
            <w:pPr>
              <w:pStyle w:val="TableText0"/>
              <w:framePr w:hSpace="181" w:wrap="notBeside" w:vAnchor="text" w:hAnchor="text" w:xAlign="center" w:y="1"/>
              <w:jc w:val="center"/>
              <w:rPr>
                <w:lang w:val="fr-FR"/>
              </w:rPr>
            </w:pPr>
            <w:r>
              <w:rPr>
                <w:lang w:val="fr-FR"/>
              </w:rPr>
              <w:t xml:space="preserve">100/(TEB </w:t>
            </w:r>
            <w:r w:rsidR="00B65A09" w:rsidRPr="00B65A09">
              <w:sym w:font="Symbol" w:char="F0B4"/>
            </w:r>
            <w:r>
              <w:rPr>
                <w:lang w:val="fr-FR"/>
              </w:rPr>
              <w:t xml:space="preserve"> débit)</w:t>
            </w:r>
            <w:r>
              <w:rPr>
                <w:lang w:val="fr-FR"/>
              </w:rPr>
              <w:br/>
              <w:t>(s)</w:t>
            </w:r>
          </w:p>
        </w:tc>
        <w:tc>
          <w:tcPr>
            <w:tcW w:w="1701" w:type="dxa"/>
            <w:vAlign w:val="center"/>
          </w:tcPr>
          <w:p w:rsidR="00DB138C" w:rsidRDefault="00DB138C" w:rsidP="00FB309A">
            <w:pPr>
              <w:pStyle w:val="TableText0"/>
              <w:framePr w:hSpace="181" w:wrap="notBeside" w:vAnchor="text" w:hAnchor="text" w:xAlign="center" w:y="1"/>
              <w:jc w:val="center"/>
              <w:rPr>
                <w:lang w:val="fr-FR"/>
              </w:rPr>
            </w:pPr>
            <w:r>
              <w:rPr>
                <w:lang w:val="fr-FR"/>
              </w:rPr>
              <w:t>Durée d'essai retenue</w:t>
            </w:r>
            <w:r>
              <w:rPr>
                <w:lang w:val="fr-FR"/>
              </w:rPr>
              <w:br/>
              <w:t>(s)</w:t>
            </w:r>
          </w:p>
        </w:tc>
      </w:tr>
      <w:tr w:rsidR="00DB138C" w:rsidTr="00A80871">
        <w:trPr>
          <w:cantSplit/>
          <w:jc w:val="center"/>
        </w:trPr>
        <w:tc>
          <w:tcPr>
            <w:tcW w:w="1418"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 w:val="decimal" w:pos="567"/>
              </w:tabs>
              <w:jc w:val="left"/>
              <w:rPr>
                <w:lang w:val="fr-FR"/>
              </w:rPr>
            </w:pPr>
            <w:r>
              <w:rPr>
                <w:lang w:val="fr-FR"/>
              </w:rPr>
              <w:t>0,5</w:t>
            </w:r>
          </w:p>
        </w:tc>
        <w:tc>
          <w:tcPr>
            <w:tcW w:w="1701" w:type="dxa"/>
          </w:tcPr>
          <w:p w:rsidR="00DB138C" w:rsidRDefault="00DB138C" w:rsidP="00FB309A">
            <w:pPr>
              <w:pStyle w:val="TableText0"/>
              <w:framePr w:hSpace="181" w:wrap="notBeside" w:vAnchor="text" w:hAnchor="text" w:xAlign="center" w:y="1"/>
              <w:jc w:val="center"/>
              <w:rPr>
                <w:lang w:val="fr-FR"/>
              </w:rPr>
            </w:pPr>
            <w:r>
              <w:rPr>
                <w:lang w:val="fr-FR"/>
              </w:rPr>
              <w:t>6</w:t>
            </w:r>
            <w:r>
              <w:rPr>
                <w:rFonts w:ascii="Tms Rmn" w:hAnsi="Tms Rmn"/>
                <w:sz w:val="12"/>
                <w:lang w:val="fr-FR"/>
              </w:rPr>
              <w:t> </w:t>
            </w:r>
            <w:r>
              <w:rPr>
                <w:lang w:val="fr-FR"/>
              </w:rPr>
              <w:t>000</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1 </w:t>
            </w:r>
            <w:r w:rsidR="00B65A09" w:rsidRPr="00B65A09">
              <w:sym w:font="Symbol" w:char="F0B4"/>
            </w:r>
            <w:r>
              <w:rPr>
                <w:lang w:val="fr-FR"/>
              </w:rPr>
              <w:t> 10</w:t>
            </w:r>
            <w:r>
              <w:rPr>
                <w:position w:val="6"/>
                <w:sz w:val="14"/>
                <w:lang w:val="fr-FR"/>
              </w:rPr>
              <w:t>–3</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600</w:t>
            </w:r>
          </w:p>
        </w:tc>
        <w:tc>
          <w:tcPr>
            <w:tcW w:w="1985" w:type="dxa"/>
          </w:tcPr>
          <w:p w:rsidR="00DB138C" w:rsidRDefault="00DB138C" w:rsidP="00FB309A">
            <w:pPr>
              <w:pStyle w:val="TableText0"/>
              <w:framePr w:hSpace="181" w:wrap="notBeside" w:vAnchor="text" w:hAnchor="text" w:xAlign="center" w:y="1"/>
              <w:jc w:val="center"/>
              <w:rPr>
                <w:lang w:val="fr-FR"/>
              </w:rPr>
            </w:pPr>
            <w:r>
              <w:rPr>
                <w:lang w:val="fr-FR"/>
              </w:rPr>
              <w:t>167</w:t>
            </w:r>
          </w:p>
        </w:tc>
        <w:tc>
          <w:tcPr>
            <w:tcW w:w="1701"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s>
              <w:jc w:val="center"/>
              <w:rPr>
                <w:lang w:val="fr-FR"/>
              </w:rPr>
            </w:pPr>
            <w:r>
              <w:rPr>
                <w:lang w:val="fr-FR"/>
              </w:rPr>
              <w:t>6</w:t>
            </w:r>
            <w:r>
              <w:rPr>
                <w:rFonts w:ascii="Tms Rmn" w:hAnsi="Tms Rmn"/>
                <w:sz w:val="12"/>
                <w:lang w:val="fr-FR"/>
              </w:rPr>
              <w:t> </w:t>
            </w:r>
            <w:r>
              <w:rPr>
                <w:lang w:val="fr-FR"/>
              </w:rPr>
              <w:t>000</w:t>
            </w:r>
          </w:p>
        </w:tc>
      </w:tr>
      <w:tr w:rsidR="00DB138C" w:rsidTr="00A80871">
        <w:trPr>
          <w:cantSplit/>
          <w:jc w:val="center"/>
        </w:trPr>
        <w:tc>
          <w:tcPr>
            <w:tcW w:w="1418"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 w:val="decimal" w:pos="567"/>
              </w:tabs>
              <w:jc w:val="left"/>
              <w:rPr>
                <w:lang w:val="fr-FR"/>
              </w:rPr>
            </w:pPr>
            <w:r>
              <w:rPr>
                <w:lang w:val="fr-FR"/>
              </w:rPr>
              <w:t>2</w:t>
            </w:r>
          </w:p>
        </w:tc>
        <w:tc>
          <w:tcPr>
            <w:tcW w:w="1701" w:type="dxa"/>
          </w:tcPr>
          <w:p w:rsidR="00DB138C" w:rsidRDefault="00DB138C" w:rsidP="00FB309A">
            <w:pPr>
              <w:pStyle w:val="TableText0"/>
              <w:framePr w:hSpace="181" w:wrap="notBeside" w:vAnchor="text" w:hAnchor="text" w:xAlign="center" w:y="1"/>
              <w:jc w:val="center"/>
              <w:rPr>
                <w:lang w:val="fr-FR"/>
              </w:rPr>
            </w:pPr>
            <w:r>
              <w:rPr>
                <w:lang w:val="fr-FR"/>
              </w:rPr>
              <w:t>1</w:t>
            </w:r>
            <w:r>
              <w:rPr>
                <w:rFonts w:ascii="Tms Rmn" w:hAnsi="Tms Rmn"/>
                <w:sz w:val="12"/>
                <w:lang w:val="fr-FR"/>
              </w:rPr>
              <w:t> </w:t>
            </w:r>
            <w:r>
              <w:rPr>
                <w:lang w:val="fr-FR"/>
              </w:rPr>
              <w:t>500</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1 </w:t>
            </w:r>
            <w:r w:rsidR="00B65A09" w:rsidRPr="00B65A09">
              <w:sym w:font="Symbol" w:char="F0B4"/>
            </w:r>
            <w:r>
              <w:rPr>
                <w:lang w:val="fr-FR"/>
              </w:rPr>
              <w:t> 10</w:t>
            </w:r>
            <w:r>
              <w:rPr>
                <w:position w:val="6"/>
                <w:sz w:val="14"/>
                <w:lang w:val="fr-FR"/>
              </w:rPr>
              <w:t>–3</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600</w:t>
            </w:r>
          </w:p>
        </w:tc>
        <w:tc>
          <w:tcPr>
            <w:tcW w:w="1985" w:type="dxa"/>
          </w:tcPr>
          <w:p w:rsidR="00DB138C" w:rsidRDefault="00DB138C" w:rsidP="00FB309A">
            <w:pPr>
              <w:pStyle w:val="TableText0"/>
              <w:framePr w:hSpace="181" w:wrap="notBeside" w:vAnchor="text" w:hAnchor="text" w:xAlign="center" w:y="1"/>
              <w:jc w:val="center"/>
              <w:rPr>
                <w:lang w:val="fr-FR"/>
              </w:rPr>
            </w:pPr>
            <w:r>
              <w:rPr>
                <w:lang w:val="fr-FR"/>
              </w:rPr>
              <w:t>167</w:t>
            </w:r>
          </w:p>
        </w:tc>
        <w:tc>
          <w:tcPr>
            <w:tcW w:w="1701"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s>
              <w:jc w:val="center"/>
              <w:rPr>
                <w:lang w:val="fr-FR"/>
              </w:rPr>
            </w:pPr>
            <w:r>
              <w:rPr>
                <w:lang w:val="fr-FR"/>
              </w:rPr>
              <w:t>1</w:t>
            </w:r>
            <w:r>
              <w:rPr>
                <w:rFonts w:ascii="Tms Rmn" w:hAnsi="Tms Rmn"/>
                <w:sz w:val="12"/>
                <w:lang w:val="fr-FR"/>
              </w:rPr>
              <w:t> </w:t>
            </w:r>
            <w:r>
              <w:rPr>
                <w:lang w:val="fr-FR"/>
              </w:rPr>
              <w:t>500</w:t>
            </w:r>
          </w:p>
        </w:tc>
      </w:tr>
      <w:tr w:rsidR="00DB138C" w:rsidTr="00A80871">
        <w:trPr>
          <w:cantSplit/>
          <w:jc w:val="center"/>
        </w:trPr>
        <w:tc>
          <w:tcPr>
            <w:tcW w:w="1418"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 w:val="decimal" w:pos="567"/>
              </w:tabs>
              <w:jc w:val="left"/>
              <w:rPr>
                <w:lang w:val="fr-FR"/>
              </w:rPr>
            </w:pPr>
            <w:r>
              <w:rPr>
                <w:lang w:val="fr-FR"/>
              </w:rPr>
              <w:t>5</w:t>
            </w:r>
          </w:p>
        </w:tc>
        <w:tc>
          <w:tcPr>
            <w:tcW w:w="1701" w:type="dxa"/>
          </w:tcPr>
          <w:p w:rsidR="00DB138C" w:rsidRDefault="00DB138C" w:rsidP="00FB309A">
            <w:pPr>
              <w:pStyle w:val="TableText0"/>
              <w:framePr w:hSpace="181" w:wrap="notBeside" w:vAnchor="text" w:hAnchor="text" w:xAlign="center" w:y="1"/>
              <w:jc w:val="center"/>
              <w:rPr>
                <w:lang w:val="fr-FR"/>
              </w:rPr>
            </w:pPr>
            <w:r>
              <w:rPr>
                <w:lang w:val="fr-FR"/>
              </w:rPr>
              <w:t> </w:t>
            </w:r>
            <w:r>
              <w:rPr>
                <w:rFonts w:ascii="Tms Rmn" w:hAnsi="Tms Rmn"/>
                <w:sz w:val="12"/>
                <w:lang w:val="fr-FR"/>
              </w:rPr>
              <w:t> </w:t>
            </w:r>
            <w:r>
              <w:rPr>
                <w:lang w:val="fr-FR"/>
              </w:rPr>
              <w:t>600</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1 </w:t>
            </w:r>
            <w:r w:rsidR="00B65A09" w:rsidRPr="00B65A09">
              <w:sym w:font="Symbol" w:char="F0B4"/>
            </w:r>
            <w:r>
              <w:rPr>
                <w:lang w:val="fr-FR"/>
              </w:rPr>
              <w:t> 10</w:t>
            </w:r>
            <w:r>
              <w:rPr>
                <w:position w:val="6"/>
                <w:sz w:val="14"/>
                <w:lang w:val="fr-FR"/>
              </w:rPr>
              <w:t>–3</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600</w:t>
            </w:r>
          </w:p>
        </w:tc>
        <w:tc>
          <w:tcPr>
            <w:tcW w:w="1985" w:type="dxa"/>
          </w:tcPr>
          <w:p w:rsidR="00DB138C" w:rsidRDefault="00DB138C" w:rsidP="00FB309A">
            <w:pPr>
              <w:pStyle w:val="TableText0"/>
              <w:framePr w:hSpace="181" w:wrap="notBeside" w:vAnchor="text" w:hAnchor="text" w:xAlign="center" w:y="1"/>
              <w:jc w:val="center"/>
              <w:rPr>
                <w:lang w:val="fr-FR"/>
              </w:rPr>
            </w:pPr>
            <w:r>
              <w:rPr>
                <w:lang w:val="fr-FR"/>
              </w:rPr>
              <w:t>167</w:t>
            </w:r>
          </w:p>
        </w:tc>
        <w:tc>
          <w:tcPr>
            <w:tcW w:w="1701"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s>
              <w:jc w:val="center"/>
              <w:rPr>
                <w:lang w:val="fr-FR"/>
              </w:rPr>
            </w:pPr>
            <w:r>
              <w:rPr>
                <w:lang w:val="fr-FR"/>
              </w:rPr>
              <w:t> </w:t>
            </w:r>
            <w:r>
              <w:rPr>
                <w:rFonts w:ascii="Tms Rmn" w:hAnsi="Tms Rmn"/>
                <w:sz w:val="12"/>
                <w:lang w:val="fr-FR"/>
              </w:rPr>
              <w:t> </w:t>
            </w:r>
            <w:r>
              <w:rPr>
                <w:lang w:val="fr-FR"/>
              </w:rPr>
              <w:t>600</w:t>
            </w:r>
          </w:p>
        </w:tc>
      </w:tr>
      <w:tr w:rsidR="00DB138C" w:rsidTr="00A80871">
        <w:trPr>
          <w:cantSplit/>
          <w:jc w:val="center"/>
        </w:trPr>
        <w:tc>
          <w:tcPr>
            <w:tcW w:w="1418"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 w:val="decimal" w:pos="567"/>
              </w:tabs>
              <w:jc w:val="left"/>
              <w:rPr>
                <w:lang w:val="fr-FR"/>
              </w:rPr>
            </w:pPr>
            <w:r>
              <w:rPr>
                <w:lang w:val="fr-FR"/>
              </w:rPr>
              <w:t>10</w:t>
            </w:r>
          </w:p>
        </w:tc>
        <w:tc>
          <w:tcPr>
            <w:tcW w:w="1701" w:type="dxa"/>
          </w:tcPr>
          <w:p w:rsidR="00DB138C" w:rsidRDefault="00DB138C" w:rsidP="00FB309A">
            <w:pPr>
              <w:pStyle w:val="TableText0"/>
              <w:framePr w:hSpace="181" w:wrap="notBeside" w:vAnchor="text" w:hAnchor="text" w:xAlign="center" w:y="1"/>
              <w:jc w:val="center"/>
              <w:rPr>
                <w:lang w:val="fr-FR"/>
              </w:rPr>
            </w:pPr>
            <w:r>
              <w:rPr>
                <w:lang w:val="fr-FR"/>
              </w:rPr>
              <w:t> </w:t>
            </w:r>
            <w:r>
              <w:rPr>
                <w:rFonts w:ascii="Tms Rmn" w:hAnsi="Tms Rmn"/>
                <w:sz w:val="12"/>
                <w:lang w:val="fr-FR"/>
              </w:rPr>
              <w:t> </w:t>
            </w:r>
            <w:r>
              <w:rPr>
                <w:lang w:val="fr-FR"/>
              </w:rPr>
              <w:t>300</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1 </w:t>
            </w:r>
            <w:r w:rsidR="00B65A09" w:rsidRPr="00B65A09">
              <w:sym w:font="Symbol" w:char="F0B4"/>
            </w:r>
            <w:r>
              <w:rPr>
                <w:lang w:val="fr-FR"/>
              </w:rPr>
              <w:t> 10</w:t>
            </w:r>
            <w:r>
              <w:rPr>
                <w:position w:val="6"/>
                <w:sz w:val="14"/>
                <w:lang w:val="fr-FR"/>
              </w:rPr>
              <w:t>–3</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600</w:t>
            </w:r>
          </w:p>
        </w:tc>
        <w:tc>
          <w:tcPr>
            <w:tcW w:w="1985" w:type="dxa"/>
          </w:tcPr>
          <w:p w:rsidR="00DB138C" w:rsidRDefault="00DB138C" w:rsidP="00FB309A">
            <w:pPr>
              <w:pStyle w:val="TableText0"/>
              <w:framePr w:hSpace="181" w:wrap="notBeside" w:vAnchor="text" w:hAnchor="text" w:xAlign="center" w:y="1"/>
              <w:jc w:val="center"/>
              <w:rPr>
                <w:lang w:val="fr-FR"/>
              </w:rPr>
            </w:pPr>
            <w:r>
              <w:rPr>
                <w:lang w:val="fr-FR"/>
              </w:rPr>
              <w:t>167</w:t>
            </w:r>
          </w:p>
        </w:tc>
        <w:tc>
          <w:tcPr>
            <w:tcW w:w="1701"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s>
              <w:jc w:val="center"/>
              <w:rPr>
                <w:lang w:val="fr-FR"/>
              </w:rPr>
            </w:pPr>
            <w:r>
              <w:rPr>
                <w:lang w:val="fr-FR"/>
              </w:rPr>
              <w:t> </w:t>
            </w:r>
            <w:r>
              <w:rPr>
                <w:rFonts w:ascii="Tms Rmn" w:hAnsi="Tms Rmn"/>
                <w:sz w:val="12"/>
                <w:lang w:val="fr-FR"/>
              </w:rPr>
              <w:t> </w:t>
            </w:r>
            <w:r>
              <w:rPr>
                <w:lang w:val="fr-FR"/>
              </w:rPr>
              <w:t>300</w:t>
            </w:r>
          </w:p>
        </w:tc>
      </w:tr>
      <w:tr w:rsidR="00DB138C" w:rsidTr="00A80871">
        <w:trPr>
          <w:cantSplit/>
          <w:jc w:val="center"/>
        </w:trPr>
        <w:tc>
          <w:tcPr>
            <w:tcW w:w="1418"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 w:val="decimal" w:pos="567"/>
              </w:tabs>
              <w:jc w:val="left"/>
              <w:rPr>
                <w:lang w:val="fr-FR"/>
              </w:rPr>
            </w:pPr>
            <w:r>
              <w:rPr>
                <w:lang w:val="fr-FR"/>
              </w:rPr>
              <w:t>20</w:t>
            </w:r>
          </w:p>
        </w:tc>
        <w:tc>
          <w:tcPr>
            <w:tcW w:w="1701" w:type="dxa"/>
          </w:tcPr>
          <w:p w:rsidR="00DB138C" w:rsidRDefault="00DB138C" w:rsidP="00FB309A">
            <w:pPr>
              <w:pStyle w:val="TableText0"/>
              <w:framePr w:hSpace="181" w:wrap="notBeside" w:vAnchor="text" w:hAnchor="text" w:xAlign="center" w:y="1"/>
              <w:jc w:val="center"/>
              <w:rPr>
                <w:lang w:val="fr-FR"/>
              </w:rPr>
            </w:pPr>
            <w:r>
              <w:rPr>
                <w:lang w:val="fr-FR"/>
              </w:rPr>
              <w:t> </w:t>
            </w:r>
            <w:r>
              <w:rPr>
                <w:rFonts w:ascii="Tms Rmn" w:hAnsi="Tms Rmn"/>
                <w:sz w:val="12"/>
                <w:lang w:val="fr-FR"/>
              </w:rPr>
              <w:t> </w:t>
            </w:r>
            <w:r>
              <w:rPr>
                <w:lang w:val="fr-FR"/>
              </w:rPr>
              <w:t>150</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1 </w:t>
            </w:r>
            <w:r w:rsidR="00B65A09" w:rsidRPr="00B65A09">
              <w:sym w:font="Symbol" w:char="F0B4"/>
            </w:r>
            <w:r>
              <w:rPr>
                <w:lang w:val="fr-FR"/>
              </w:rPr>
              <w:t> 10</w:t>
            </w:r>
            <w:r>
              <w:rPr>
                <w:position w:val="6"/>
                <w:sz w:val="14"/>
                <w:lang w:val="fr-FR"/>
              </w:rPr>
              <w:t>–3</w:t>
            </w:r>
          </w:p>
        </w:tc>
        <w:tc>
          <w:tcPr>
            <w:tcW w:w="1134" w:type="dxa"/>
          </w:tcPr>
          <w:p w:rsidR="00DB138C" w:rsidRDefault="00DB138C" w:rsidP="00FB309A">
            <w:pPr>
              <w:pStyle w:val="TableText0"/>
              <w:framePr w:hSpace="181" w:wrap="notBeside" w:vAnchor="text" w:hAnchor="text" w:xAlign="center" w:y="1"/>
              <w:jc w:val="center"/>
              <w:rPr>
                <w:lang w:val="fr-FR"/>
              </w:rPr>
            </w:pPr>
            <w:r>
              <w:rPr>
                <w:lang w:val="fr-FR"/>
              </w:rPr>
              <w:t>600</w:t>
            </w:r>
          </w:p>
        </w:tc>
        <w:tc>
          <w:tcPr>
            <w:tcW w:w="1985" w:type="dxa"/>
          </w:tcPr>
          <w:p w:rsidR="00DB138C" w:rsidRDefault="00DB138C" w:rsidP="00FB309A">
            <w:pPr>
              <w:pStyle w:val="TableText0"/>
              <w:framePr w:hSpace="181" w:wrap="notBeside" w:vAnchor="text" w:hAnchor="text" w:xAlign="center" w:y="1"/>
              <w:jc w:val="center"/>
              <w:rPr>
                <w:lang w:val="fr-FR"/>
              </w:rPr>
            </w:pPr>
            <w:r>
              <w:rPr>
                <w:lang w:val="fr-FR"/>
              </w:rPr>
              <w:t>167</w:t>
            </w:r>
          </w:p>
        </w:tc>
        <w:tc>
          <w:tcPr>
            <w:tcW w:w="1701" w:type="dxa"/>
          </w:tcPr>
          <w:p w:rsidR="00DB138C" w:rsidRDefault="00DB138C" w:rsidP="00FB309A">
            <w:pPr>
              <w:pStyle w:val="TableText0"/>
              <w:framePr w:hSpace="181" w:wrap="notBeside" w:vAnchor="text" w:hAnchor="text" w:xAlign="center" w:y="1"/>
              <w:tabs>
                <w:tab w:val="clear" w:pos="794"/>
                <w:tab w:val="clear" w:pos="1191"/>
                <w:tab w:val="clear" w:pos="1588"/>
                <w:tab w:val="clear" w:pos="1985"/>
              </w:tabs>
              <w:jc w:val="center"/>
              <w:rPr>
                <w:lang w:val="fr-FR"/>
              </w:rPr>
            </w:pPr>
            <w:r>
              <w:rPr>
                <w:lang w:val="fr-FR"/>
              </w:rPr>
              <w:t> </w:t>
            </w:r>
            <w:r>
              <w:rPr>
                <w:rFonts w:ascii="Tms Rmn" w:hAnsi="Tms Rmn"/>
                <w:sz w:val="12"/>
                <w:lang w:val="fr-FR"/>
              </w:rPr>
              <w:t> </w:t>
            </w:r>
            <w:r>
              <w:rPr>
                <w:lang w:val="fr-FR"/>
              </w:rPr>
              <w:t>167</w:t>
            </w:r>
          </w:p>
        </w:tc>
      </w:tr>
    </w:tbl>
    <w:p w:rsidR="00DB138C" w:rsidRDefault="00DB138C" w:rsidP="00DB138C">
      <w:pPr>
        <w:pStyle w:val="Tablefin"/>
        <w:rPr>
          <w:lang w:val="fr-FR"/>
        </w:rPr>
      </w:pPr>
    </w:p>
    <w:p w:rsidR="00EB6A47" w:rsidRPr="00EB6A47" w:rsidRDefault="00EB6A47" w:rsidP="00EB6A47">
      <w:pPr>
        <w:pStyle w:val="Line"/>
      </w:pPr>
    </w:p>
    <w:sectPr w:rsidR="00EB6A47" w:rsidRPr="00EB6A47" w:rsidSect="006C3A4F">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622" w:rsidRDefault="00F45622">
      <w:r>
        <w:separator/>
      </w:r>
    </w:p>
  </w:endnote>
  <w:endnote w:type="continuationSeparator" w:id="0">
    <w:p w:rsidR="00F45622" w:rsidRDefault="00F456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622" w:rsidRDefault="00F45622">
      <w:r>
        <w:separator/>
      </w:r>
    </w:p>
  </w:footnote>
  <w:footnote w:type="continuationSeparator" w:id="0">
    <w:p w:rsidR="00F45622" w:rsidRDefault="00F45622">
      <w:r>
        <w:continuationSeparator/>
      </w:r>
    </w:p>
  </w:footnote>
  <w:footnote w:id="1">
    <w:p w:rsidR="00F45622" w:rsidRPr="008A7343" w:rsidRDefault="00F45622">
      <w:pPr>
        <w:pStyle w:val="FootnoteText"/>
        <w:rPr>
          <w:lang w:val="fr-CH"/>
        </w:rPr>
      </w:pPr>
      <w:r>
        <w:rPr>
          <w:rStyle w:val="FootnoteReference"/>
        </w:rPr>
        <w:t>*</w:t>
      </w:r>
      <w:r>
        <w:t xml:space="preserve"> </w:t>
      </w:r>
      <w:r>
        <w:rPr>
          <w:lang w:val="fr-CH"/>
        </w:rPr>
        <w:tab/>
      </w:r>
      <w:r w:rsidRPr="008A7343">
        <w:rPr>
          <w:sz w:val="18"/>
          <w:szCs w:val="18"/>
        </w:rPr>
        <w:t>Cette Recommandation doit être portée à l'attention de la Commissions d'études 3 des radiocommunications.</w:t>
      </w:r>
    </w:p>
  </w:footnote>
  <w:footnote w:id="2">
    <w:p w:rsidR="00F45622" w:rsidRPr="008A7343" w:rsidRDefault="00F45622">
      <w:pPr>
        <w:pStyle w:val="FootnoteText"/>
        <w:rPr>
          <w:lang w:val="fr-CH"/>
        </w:rPr>
      </w:pPr>
      <w:r>
        <w:rPr>
          <w:rStyle w:val="FootnoteReference"/>
        </w:rPr>
        <w:t>**</w:t>
      </w:r>
      <w:r>
        <w:t xml:space="preserve"> </w:t>
      </w:r>
      <w:r>
        <w:rPr>
          <w:lang w:val="fr-CH"/>
        </w:rPr>
        <w:tab/>
      </w:r>
      <w:r w:rsidRPr="008A7343">
        <w:rPr>
          <w:sz w:val="18"/>
          <w:szCs w:val="18"/>
        </w:rPr>
        <w:t>La Commission d'études 5 des radiocommunications a apporté des modifications rédactionnelles à cette Recommandation en décembre 2009 conformément aux dispositions de la Résolution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22" w:rsidRDefault="00F45622">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22" w:rsidRDefault="00F45622" w:rsidP="00FB309A">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22" w:rsidRPr="00837CB5" w:rsidRDefault="00F4562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F4562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F.1487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22" w:rsidRDefault="00F45622">
    <w:pPr>
      <w:pStyle w:val="Header"/>
    </w:pPr>
    <w:r>
      <w:tab/>
    </w:r>
    <w:fldSimple w:instr=" DOCPROPERTY &quot;Header&quot; \* MERGEFORMAT ">
      <w:r w:rsidRPr="00F45622">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F.1487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22" w:rsidRDefault="00F4562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fldSimple w:instr=" DOCPROPERTY &quot;Header&quot; \* MERGEFORMAT ">
      <w:r w:rsidRPr="00F45622">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F.1487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22" w:rsidRDefault="00F45622">
    <w:pPr>
      <w:pStyle w:val="Header"/>
    </w:pPr>
    <w:r>
      <w:tab/>
    </w:r>
    <w:fldSimple w:instr=" DOCPROPERTY &quot;Header&quot; \* MERGEFORMAT ">
      <w:r w:rsidRPr="00F45622">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F.1487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6C3A4F"/>
    <w:rsid w:val="001F1F72"/>
    <w:rsid w:val="00217EBF"/>
    <w:rsid w:val="002D2ADA"/>
    <w:rsid w:val="002D76C4"/>
    <w:rsid w:val="00607D68"/>
    <w:rsid w:val="006C3A4F"/>
    <w:rsid w:val="007468DA"/>
    <w:rsid w:val="00826768"/>
    <w:rsid w:val="008A7343"/>
    <w:rsid w:val="00990643"/>
    <w:rsid w:val="00A6617B"/>
    <w:rsid w:val="00A80871"/>
    <w:rsid w:val="00AB0DC8"/>
    <w:rsid w:val="00B44E24"/>
    <w:rsid w:val="00B65A09"/>
    <w:rsid w:val="00D82D21"/>
    <w:rsid w:val="00DB138C"/>
    <w:rsid w:val="00DF4176"/>
    <w:rsid w:val="00E0017E"/>
    <w:rsid w:val="00E157DD"/>
    <w:rsid w:val="00EB6A47"/>
    <w:rsid w:val="00F45622"/>
    <w:rsid w:val="00FB309A"/>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6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90643"/>
    <w:pPr>
      <w:keepNext/>
      <w:keepLines/>
      <w:spacing w:before="480"/>
      <w:ind w:left="794" w:hanging="794"/>
      <w:outlineLvl w:val="0"/>
    </w:pPr>
    <w:rPr>
      <w:b/>
    </w:rPr>
  </w:style>
  <w:style w:type="paragraph" w:styleId="Heading2">
    <w:name w:val="heading 2"/>
    <w:basedOn w:val="Heading1"/>
    <w:next w:val="Normal"/>
    <w:qFormat/>
    <w:rsid w:val="00990643"/>
    <w:pPr>
      <w:spacing w:before="320"/>
      <w:outlineLvl w:val="1"/>
    </w:pPr>
  </w:style>
  <w:style w:type="paragraph" w:styleId="Heading3">
    <w:name w:val="heading 3"/>
    <w:basedOn w:val="Heading1"/>
    <w:next w:val="Normal"/>
    <w:qFormat/>
    <w:rsid w:val="00990643"/>
    <w:pPr>
      <w:spacing w:before="200"/>
      <w:outlineLvl w:val="2"/>
    </w:pPr>
  </w:style>
  <w:style w:type="paragraph" w:styleId="Heading4">
    <w:name w:val="heading 4"/>
    <w:basedOn w:val="Heading3"/>
    <w:next w:val="Normal"/>
    <w:qFormat/>
    <w:rsid w:val="00990643"/>
    <w:pPr>
      <w:tabs>
        <w:tab w:val="clear" w:pos="794"/>
        <w:tab w:val="left" w:pos="992"/>
      </w:tabs>
      <w:ind w:left="992" w:hanging="992"/>
      <w:outlineLvl w:val="3"/>
    </w:pPr>
  </w:style>
  <w:style w:type="paragraph" w:styleId="Heading5">
    <w:name w:val="heading 5"/>
    <w:basedOn w:val="Heading4"/>
    <w:next w:val="Normal"/>
    <w:qFormat/>
    <w:rsid w:val="00990643"/>
    <w:pPr>
      <w:outlineLvl w:val="4"/>
    </w:pPr>
  </w:style>
  <w:style w:type="paragraph" w:styleId="Heading6">
    <w:name w:val="heading 6"/>
    <w:basedOn w:val="Heading4"/>
    <w:next w:val="Normal"/>
    <w:qFormat/>
    <w:rsid w:val="00990643"/>
    <w:pPr>
      <w:tabs>
        <w:tab w:val="clear" w:pos="992"/>
        <w:tab w:val="clear" w:pos="1191"/>
      </w:tabs>
      <w:ind w:left="1588" w:hanging="1588"/>
      <w:outlineLvl w:val="5"/>
    </w:pPr>
  </w:style>
  <w:style w:type="paragraph" w:styleId="Heading7">
    <w:name w:val="heading 7"/>
    <w:basedOn w:val="Heading6"/>
    <w:next w:val="Normal"/>
    <w:qFormat/>
    <w:rsid w:val="00990643"/>
    <w:pPr>
      <w:outlineLvl w:val="6"/>
    </w:pPr>
  </w:style>
  <w:style w:type="paragraph" w:styleId="Heading8">
    <w:name w:val="heading 8"/>
    <w:basedOn w:val="Heading6"/>
    <w:next w:val="Normal"/>
    <w:qFormat/>
    <w:rsid w:val="00990643"/>
    <w:pPr>
      <w:outlineLvl w:val="7"/>
    </w:pPr>
  </w:style>
  <w:style w:type="paragraph" w:styleId="Heading9">
    <w:name w:val="heading 9"/>
    <w:basedOn w:val="Heading6"/>
    <w:next w:val="Normal"/>
    <w:qFormat/>
    <w:rsid w:val="0099064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9064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9064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90643"/>
  </w:style>
  <w:style w:type="paragraph" w:customStyle="1" w:styleId="Headingb">
    <w:name w:val="Heading_b"/>
    <w:basedOn w:val="Heading3"/>
    <w:next w:val="Normal"/>
    <w:rsid w:val="00990643"/>
    <w:pPr>
      <w:spacing w:before="160"/>
      <w:ind w:left="0" w:firstLine="0"/>
      <w:outlineLvl w:val="9"/>
    </w:pPr>
  </w:style>
  <w:style w:type="paragraph" w:customStyle="1" w:styleId="Headingi">
    <w:name w:val="Heading_i"/>
    <w:basedOn w:val="Heading3"/>
    <w:next w:val="Normal"/>
    <w:rsid w:val="00990643"/>
    <w:pPr>
      <w:spacing w:before="160"/>
      <w:ind w:left="0" w:firstLine="0"/>
    </w:pPr>
    <w:rPr>
      <w:b w:val="0"/>
      <w:i/>
    </w:rPr>
  </w:style>
  <w:style w:type="character" w:customStyle="1" w:styleId="href">
    <w:name w:val="href"/>
    <w:basedOn w:val="DefaultParagraphFont"/>
    <w:rsid w:val="00990643"/>
  </w:style>
  <w:style w:type="paragraph" w:customStyle="1" w:styleId="enumlev1">
    <w:name w:val="enumlev1"/>
    <w:basedOn w:val="Normal"/>
    <w:rsid w:val="00990643"/>
    <w:pPr>
      <w:spacing w:before="80"/>
      <w:ind w:left="794" w:hanging="794"/>
    </w:pPr>
  </w:style>
  <w:style w:type="paragraph" w:customStyle="1" w:styleId="enumlev2">
    <w:name w:val="enumlev2"/>
    <w:basedOn w:val="enumlev1"/>
    <w:rsid w:val="00990643"/>
    <w:pPr>
      <w:ind w:left="1191" w:hanging="397"/>
    </w:pPr>
  </w:style>
  <w:style w:type="paragraph" w:customStyle="1" w:styleId="enumlev3">
    <w:name w:val="enumlev3"/>
    <w:basedOn w:val="enumlev2"/>
    <w:rsid w:val="00990643"/>
    <w:pPr>
      <w:ind w:left="1588"/>
    </w:pPr>
  </w:style>
  <w:style w:type="paragraph" w:customStyle="1" w:styleId="Normalaftertitle">
    <w:name w:val="Normal_after_title"/>
    <w:basedOn w:val="Normal"/>
    <w:next w:val="Normal"/>
    <w:rsid w:val="00990643"/>
    <w:pPr>
      <w:spacing w:before="320"/>
    </w:pPr>
  </w:style>
  <w:style w:type="paragraph" w:customStyle="1" w:styleId="Note">
    <w:name w:val="Note"/>
    <w:basedOn w:val="Normal"/>
    <w:rsid w:val="0099064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9064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90643"/>
    <w:pPr>
      <w:spacing w:before="240"/>
    </w:pPr>
    <w:rPr>
      <w:sz w:val="22"/>
      <w:lang w:val="es-ES_tradnl"/>
    </w:rPr>
  </w:style>
  <w:style w:type="paragraph" w:customStyle="1" w:styleId="Recref">
    <w:name w:val="Rec_ref"/>
    <w:basedOn w:val="Normal"/>
    <w:next w:val="Recdate"/>
    <w:rsid w:val="00990643"/>
    <w:pPr>
      <w:jc w:val="center"/>
    </w:pPr>
  </w:style>
  <w:style w:type="paragraph" w:customStyle="1" w:styleId="Recdate">
    <w:name w:val="Rec_date"/>
    <w:basedOn w:val="Recref"/>
    <w:next w:val="Normalaftertitle"/>
    <w:rsid w:val="00990643"/>
    <w:pPr>
      <w:jc w:val="right"/>
    </w:pPr>
  </w:style>
  <w:style w:type="paragraph" w:customStyle="1" w:styleId="AnnexNoTitle">
    <w:name w:val="Annex_NoTitle"/>
    <w:basedOn w:val="Normal"/>
    <w:next w:val="Normalaftertitle"/>
    <w:rsid w:val="00990643"/>
    <w:pPr>
      <w:keepNext/>
      <w:keepLines/>
      <w:spacing w:before="480" w:after="80"/>
      <w:jc w:val="center"/>
    </w:pPr>
    <w:rPr>
      <w:b/>
      <w:sz w:val="28"/>
    </w:rPr>
  </w:style>
  <w:style w:type="paragraph" w:customStyle="1" w:styleId="AppendixNoTitle">
    <w:name w:val="Appendix_NoTitle"/>
    <w:basedOn w:val="AnnexNoTitle"/>
    <w:next w:val="Normal"/>
    <w:rsid w:val="00990643"/>
  </w:style>
  <w:style w:type="paragraph" w:customStyle="1" w:styleId="Tablefin">
    <w:name w:val="Table_fin"/>
    <w:basedOn w:val="Normal"/>
    <w:next w:val="Normal"/>
    <w:rsid w:val="00990643"/>
    <w:pPr>
      <w:spacing w:before="0"/>
    </w:pPr>
    <w:rPr>
      <w:sz w:val="20"/>
      <w:lang w:val="en-GB"/>
    </w:rPr>
  </w:style>
  <w:style w:type="paragraph" w:customStyle="1" w:styleId="Tablehead">
    <w:name w:val="Table_head"/>
    <w:basedOn w:val="Normal"/>
    <w:next w:val="Normal"/>
    <w:rsid w:val="0099064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906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90643"/>
    <w:pPr>
      <w:keepNext/>
      <w:spacing w:before="360" w:after="120"/>
      <w:jc w:val="center"/>
    </w:pPr>
  </w:style>
  <w:style w:type="paragraph" w:customStyle="1" w:styleId="Tabletext">
    <w:name w:val="Table_text"/>
    <w:basedOn w:val="Normal"/>
    <w:rsid w:val="009906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90643"/>
    <w:pPr>
      <w:tabs>
        <w:tab w:val="clear" w:pos="1191"/>
        <w:tab w:val="clear" w:pos="1588"/>
        <w:tab w:val="clear" w:pos="1985"/>
        <w:tab w:val="center" w:pos="4820"/>
        <w:tab w:val="right" w:pos="9639"/>
      </w:tabs>
    </w:pPr>
  </w:style>
  <w:style w:type="paragraph" w:customStyle="1" w:styleId="Equationlegend">
    <w:name w:val="Equation_legend"/>
    <w:basedOn w:val="NormalIndent"/>
    <w:rsid w:val="0099064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90643"/>
    <w:pPr>
      <w:ind w:left="794"/>
    </w:pPr>
  </w:style>
  <w:style w:type="paragraph" w:customStyle="1" w:styleId="Figurelegend">
    <w:name w:val="Figure_legend"/>
    <w:basedOn w:val="Normal"/>
    <w:rsid w:val="0099064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9064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90643"/>
    <w:pPr>
      <w:keepNext/>
      <w:keepLines/>
      <w:spacing w:before="480"/>
      <w:jc w:val="center"/>
    </w:pPr>
    <w:rPr>
      <w:sz w:val="28"/>
    </w:rPr>
  </w:style>
  <w:style w:type="paragraph" w:customStyle="1" w:styleId="Arttitle">
    <w:name w:val="Art_title"/>
    <w:basedOn w:val="Normal"/>
    <w:next w:val="Normalaftertitle"/>
    <w:rsid w:val="00990643"/>
    <w:pPr>
      <w:keepNext/>
      <w:keepLines/>
      <w:spacing w:before="240"/>
      <w:jc w:val="center"/>
    </w:pPr>
    <w:rPr>
      <w:b/>
      <w:sz w:val="28"/>
    </w:rPr>
  </w:style>
  <w:style w:type="paragraph" w:customStyle="1" w:styleId="Blanc">
    <w:name w:val="Blanc"/>
    <w:basedOn w:val="Normal"/>
    <w:next w:val="Tabletext"/>
    <w:rsid w:val="0099064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9064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90643"/>
    <w:pPr>
      <w:keepNext/>
      <w:keepLines/>
      <w:spacing w:before="160"/>
      <w:ind w:left="794"/>
    </w:pPr>
    <w:rPr>
      <w:i/>
    </w:rPr>
  </w:style>
  <w:style w:type="paragraph" w:customStyle="1" w:styleId="ChapNo">
    <w:name w:val="Chap_No"/>
    <w:basedOn w:val="ArtNo"/>
    <w:next w:val="Chaptitle"/>
    <w:rsid w:val="00990643"/>
    <w:rPr>
      <w:b/>
    </w:rPr>
  </w:style>
  <w:style w:type="paragraph" w:customStyle="1" w:styleId="Chaptitle">
    <w:name w:val="Chap_title"/>
    <w:basedOn w:val="Arttitle"/>
    <w:next w:val="Normalaftertitle"/>
    <w:rsid w:val="00990643"/>
  </w:style>
  <w:style w:type="character" w:styleId="FootnoteReference">
    <w:name w:val="footnote reference"/>
    <w:basedOn w:val="DefaultParagraphFont"/>
    <w:semiHidden/>
    <w:rsid w:val="00990643"/>
    <w:rPr>
      <w:position w:val="6"/>
      <w:sz w:val="18"/>
    </w:rPr>
  </w:style>
  <w:style w:type="paragraph" w:styleId="FootnoteText">
    <w:name w:val="footnote text"/>
    <w:basedOn w:val="Normal"/>
    <w:semiHidden/>
    <w:rsid w:val="00990643"/>
    <w:pPr>
      <w:keepLines/>
      <w:tabs>
        <w:tab w:val="left" w:pos="255"/>
      </w:tabs>
      <w:ind w:left="255" w:hanging="255"/>
    </w:pPr>
    <w:rPr>
      <w:sz w:val="22"/>
    </w:rPr>
  </w:style>
  <w:style w:type="paragraph" w:styleId="Index1">
    <w:name w:val="index 1"/>
    <w:basedOn w:val="Normal"/>
    <w:next w:val="Normal"/>
    <w:semiHidden/>
    <w:rsid w:val="00990643"/>
  </w:style>
  <w:style w:type="paragraph" w:styleId="Index2">
    <w:name w:val="index 2"/>
    <w:basedOn w:val="Normal"/>
    <w:next w:val="Normal"/>
    <w:semiHidden/>
    <w:rsid w:val="00990643"/>
    <w:pPr>
      <w:ind w:left="283"/>
    </w:pPr>
  </w:style>
  <w:style w:type="paragraph" w:styleId="Index3">
    <w:name w:val="index 3"/>
    <w:basedOn w:val="Normal"/>
    <w:next w:val="Normal"/>
    <w:semiHidden/>
    <w:rsid w:val="00990643"/>
    <w:pPr>
      <w:ind w:left="566"/>
    </w:pPr>
  </w:style>
  <w:style w:type="paragraph" w:styleId="IndexHeading">
    <w:name w:val="index heading"/>
    <w:basedOn w:val="Normal"/>
    <w:next w:val="Index1"/>
    <w:semiHidden/>
    <w:rsid w:val="00990643"/>
  </w:style>
  <w:style w:type="paragraph" w:customStyle="1" w:styleId="Line">
    <w:name w:val="Line"/>
    <w:basedOn w:val="Normal"/>
    <w:next w:val="Normal"/>
    <w:rsid w:val="0099064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9064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90643"/>
  </w:style>
  <w:style w:type="paragraph" w:customStyle="1" w:styleId="Partref">
    <w:name w:val="Part_ref"/>
    <w:basedOn w:val="Normal"/>
    <w:next w:val="Normal"/>
    <w:rsid w:val="00990643"/>
    <w:pPr>
      <w:keepNext/>
      <w:keepLines/>
      <w:spacing w:after="280"/>
      <w:jc w:val="center"/>
    </w:pPr>
  </w:style>
  <w:style w:type="paragraph" w:customStyle="1" w:styleId="Parttitle">
    <w:name w:val="Part_title"/>
    <w:basedOn w:val="Normal"/>
    <w:next w:val="Normalaftertitle"/>
    <w:rsid w:val="0099064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90643"/>
  </w:style>
  <w:style w:type="paragraph" w:customStyle="1" w:styleId="QuestionNo">
    <w:name w:val="Question_No"/>
    <w:basedOn w:val="RecNo"/>
    <w:next w:val="Normal"/>
    <w:rsid w:val="00990643"/>
  </w:style>
  <w:style w:type="paragraph" w:customStyle="1" w:styleId="Questionref">
    <w:name w:val="Question_ref"/>
    <w:basedOn w:val="Recref"/>
    <w:next w:val="Questiondate"/>
    <w:rsid w:val="00990643"/>
  </w:style>
  <w:style w:type="paragraph" w:customStyle="1" w:styleId="Questiontitle">
    <w:name w:val="Question_title"/>
    <w:basedOn w:val="Normal"/>
    <w:next w:val="Questionref"/>
    <w:rsid w:val="00990643"/>
  </w:style>
  <w:style w:type="paragraph" w:customStyle="1" w:styleId="Reftext">
    <w:name w:val="Ref_text"/>
    <w:basedOn w:val="Normal"/>
    <w:rsid w:val="00990643"/>
    <w:pPr>
      <w:ind w:left="794" w:hanging="794"/>
    </w:pPr>
    <w:rPr>
      <w:sz w:val="22"/>
    </w:rPr>
  </w:style>
  <w:style w:type="paragraph" w:customStyle="1" w:styleId="Reftitle">
    <w:name w:val="Ref_title"/>
    <w:basedOn w:val="Normal"/>
    <w:next w:val="Reftext"/>
    <w:rsid w:val="0099064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90643"/>
  </w:style>
  <w:style w:type="paragraph" w:customStyle="1" w:styleId="RepNo">
    <w:name w:val="Rep_No"/>
    <w:basedOn w:val="RecNo"/>
    <w:next w:val="Reptitle"/>
    <w:rsid w:val="00990643"/>
  </w:style>
  <w:style w:type="paragraph" w:customStyle="1" w:styleId="Repref">
    <w:name w:val="Rep_ref"/>
    <w:basedOn w:val="Recref"/>
    <w:next w:val="Repdate"/>
    <w:rsid w:val="00990643"/>
  </w:style>
  <w:style w:type="paragraph" w:customStyle="1" w:styleId="Reptitle">
    <w:name w:val="Rep_title"/>
    <w:basedOn w:val="Rectitle"/>
    <w:next w:val="Repref"/>
    <w:rsid w:val="00990643"/>
  </w:style>
  <w:style w:type="paragraph" w:customStyle="1" w:styleId="Resdate">
    <w:name w:val="Res_date"/>
    <w:basedOn w:val="Recdate"/>
    <w:next w:val="Normalaftertitle"/>
    <w:rsid w:val="00990643"/>
  </w:style>
  <w:style w:type="paragraph" w:customStyle="1" w:styleId="ResNo">
    <w:name w:val="Res_No"/>
    <w:basedOn w:val="RecNo"/>
    <w:next w:val="Restitle"/>
    <w:rsid w:val="00990643"/>
  </w:style>
  <w:style w:type="paragraph" w:customStyle="1" w:styleId="Resref">
    <w:name w:val="Res_ref"/>
    <w:basedOn w:val="Recref"/>
    <w:next w:val="Resdate"/>
    <w:rsid w:val="00990643"/>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90643"/>
  </w:style>
  <w:style w:type="paragraph" w:customStyle="1" w:styleId="Sectiontitle">
    <w:name w:val="Section_title"/>
    <w:basedOn w:val="Normal"/>
    <w:next w:val="Normalaftertitle"/>
    <w:rsid w:val="0099064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90643"/>
    <w:pPr>
      <w:tabs>
        <w:tab w:val="clear" w:pos="794"/>
        <w:tab w:val="clear" w:pos="1191"/>
        <w:tab w:val="clear" w:pos="1588"/>
        <w:tab w:val="clear" w:pos="1985"/>
        <w:tab w:val="right" w:pos="9611"/>
      </w:tabs>
    </w:pPr>
    <w:rPr>
      <w:i/>
    </w:rPr>
  </w:style>
  <w:style w:type="paragraph" w:styleId="TOC1">
    <w:name w:val="toc 1"/>
    <w:basedOn w:val="Normal"/>
    <w:semiHidden/>
    <w:rsid w:val="0099064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90643"/>
    <w:pPr>
      <w:tabs>
        <w:tab w:val="clear" w:pos="567"/>
        <w:tab w:val="left" w:pos="1276"/>
      </w:tabs>
      <w:spacing w:before="160"/>
      <w:ind w:left="1276" w:hanging="709"/>
    </w:pPr>
  </w:style>
  <w:style w:type="paragraph" w:styleId="TOC3">
    <w:name w:val="toc 3"/>
    <w:basedOn w:val="TOC2"/>
    <w:semiHidden/>
    <w:rsid w:val="00990643"/>
    <w:pPr>
      <w:tabs>
        <w:tab w:val="clear" w:pos="1276"/>
        <w:tab w:val="left" w:pos="2155"/>
      </w:tabs>
      <w:ind w:left="2155" w:hanging="879"/>
    </w:pPr>
  </w:style>
  <w:style w:type="paragraph" w:styleId="TOC4">
    <w:name w:val="toc 4"/>
    <w:basedOn w:val="TOC3"/>
    <w:semiHidden/>
    <w:rsid w:val="00990643"/>
    <w:pPr>
      <w:tabs>
        <w:tab w:val="left" w:pos="3261"/>
      </w:tabs>
      <w:spacing w:before="80"/>
      <w:ind w:left="3261" w:hanging="993"/>
    </w:pPr>
  </w:style>
  <w:style w:type="paragraph" w:styleId="TOC5">
    <w:name w:val="toc 5"/>
    <w:basedOn w:val="TOC4"/>
    <w:semiHidden/>
    <w:rsid w:val="00990643"/>
  </w:style>
  <w:style w:type="paragraph" w:styleId="TOC6">
    <w:name w:val="toc 6"/>
    <w:basedOn w:val="TOC4"/>
    <w:semiHidden/>
    <w:rsid w:val="00990643"/>
  </w:style>
  <w:style w:type="paragraph" w:styleId="TOC7">
    <w:name w:val="toc 7"/>
    <w:basedOn w:val="TOC4"/>
    <w:semiHidden/>
    <w:rsid w:val="00990643"/>
  </w:style>
  <w:style w:type="paragraph" w:styleId="TOC8">
    <w:name w:val="toc 8"/>
    <w:basedOn w:val="TOC4"/>
    <w:semiHidden/>
    <w:rsid w:val="00990643"/>
  </w:style>
  <w:style w:type="paragraph" w:customStyle="1" w:styleId="Rectitle">
    <w:name w:val="Rec_title"/>
    <w:basedOn w:val="Normal"/>
    <w:next w:val="Recref"/>
    <w:rsid w:val="00990643"/>
    <w:pPr>
      <w:keepNext/>
      <w:keepLines/>
      <w:spacing w:before="240"/>
      <w:jc w:val="center"/>
    </w:pPr>
    <w:rPr>
      <w:b/>
      <w:sz w:val="28"/>
    </w:rPr>
  </w:style>
  <w:style w:type="paragraph" w:customStyle="1" w:styleId="Annexref">
    <w:name w:val="Annex_ref"/>
    <w:basedOn w:val="Normal"/>
    <w:next w:val="Normalaftertitle"/>
    <w:rsid w:val="00990643"/>
    <w:pPr>
      <w:keepNext/>
      <w:keepLines/>
      <w:spacing w:after="280"/>
      <w:jc w:val="center"/>
    </w:pPr>
  </w:style>
  <w:style w:type="paragraph" w:customStyle="1" w:styleId="Appendixref">
    <w:name w:val="Appendix_ref"/>
    <w:basedOn w:val="Annexref"/>
    <w:next w:val="Normalaftertitle"/>
    <w:rsid w:val="00990643"/>
  </w:style>
  <w:style w:type="paragraph" w:customStyle="1" w:styleId="Figuretitle">
    <w:name w:val="Figure_title"/>
    <w:basedOn w:val="Normal"/>
    <w:next w:val="Figure"/>
    <w:rsid w:val="0099064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90643"/>
    <w:pPr>
      <w:keepNext/>
      <w:spacing w:before="0" w:after="120"/>
      <w:jc w:val="center"/>
    </w:pPr>
    <w:rPr>
      <w:b/>
    </w:rPr>
  </w:style>
  <w:style w:type="paragraph" w:customStyle="1" w:styleId="Summary">
    <w:name w:val="Summary"/>
    <w:basedOn w:val="Normal"/>
    <w:next w:val="Normalaftertitle"/>
    <w:rsid w:val="0099064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B138C"/>
    <w:rPr>
      <w:color w:val="0000FF"/>
      <w:u w:val="single"/>
    </w:rPr>
  </w:style>
  <w:style w:type="paragraph" w:customStyle="1" w:styleId="TableLegend0">
    <w:name w:val="Table_Legend"/>
    <w:basedOn w:val="Normal"/>
    <w:next w:val="Normal"/>
    <w:rsid w:val="00DB138C"/>
    <w:pPr>
      <w:keepNext/>
      <w:spacing w:before="86" w:line="199" w:lineRule="exact"/>
      <w:ind w:left="-85" w:right="-85"/>
    </w:pPr>
    <w:rPr>
      <w:sz w:val="18"/>
      <w:lang w:val="en-GB"/>
    </w:rPr>
  </w:style>
  <w:style w:type="paragraph" w:customStyle="1" w:styleId="TableTitle0">
    <w:name w:val="Table_Title"/>
    <w:basedOn w:val="Table"/>
    <w:next w:val="Blanc"/>
    <w:rsid w:val="00DB138C"/>
    <w:pPr>
      <w:spacing w:before="0"/>
    </w:pPr>
    <w:rPr>
      <w:b/>
    </w:rPr>
  </w:style>
  <w:style w:type="paragraph" w:customStyle="1" w:styleId="Table">
    <w:name w:val="Table_#"/>
    <w:basedOn w:val="Normal"/>
    <w:next w:val="TableTitle0"/>
    <w:rsid w:val="00DB138C"/>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DB138C"/>
    <w:pPr>
      <w:spacing w:before="100" w:after="100" w:line="190" w:lineRule="exact"/>
      <w:ind w:left="0" w:right="0"/>
    </w:pPr>
  </w:style>
  <w:style w:type="paragraph" w:customStyle="1" w:styleId="Annex">
    <w:name w:val="Annex_#"/>
    <w:basedOn w:val="Normal"/>
    <w:next w:val="Annexref"/>
    <w:rsid w:val="00DB138C"/>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DB138C"/>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DB138C"/>
    <w:pPr>
      <w:spacing w:before="480"/>
    </w:pPr>
    <w:rPr>
      <w:sz w:val="20"/>
      <w:lang w:val="en-GB"/>
    </w:rPr>
  </w:style>
  <w:style w:type="paragraph" w:customStyle="1" w:styleId="RecTitle0">
    <w:name w:val="Rec_Title"/>
    <w:basedOn w:val="Normal"/>
    <w:next w:val="Normal"/>
    <w:rsid w:val="00DB138C"/>
    <w:pPr>
      <w:keepNext/>
      <w:keepLines/>
      <w:tabs>
        <w:tab w:val="clear" w:pos="794"/>
        <w:tab w:val="clear" w:pos="1191"/>
        <w:tab w:val="clear" w:pos="1588"/>
        <w:tab w:val="clear" w:pos="1985"/>
        <w:tab w:val="center" w:pos="4849"/>
        <w:tab w:val="right" w:pos="9696"/>
      </w:tabs>
      <w:spacing w:before="180"/>
      <w:jc w:val="center"/>
    </w:pPr>
    <w:rPr>
      <w:b/>
      <w:sz w:val="20"/>
      <w:lang w:val="en-GB"/>
    </w:rPr>
  </w:style>
  <w:style w:type="paragraph" w:customStyle="1" w:styleId="RecTitleDate">
    <w:name w:val="Rec_Title/Date"/>
    <w:basedOn w:val="Normal"/>
    <w:next w:val="headfoot"/>
    <w:rsid w:val="00DB138C"/>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aftertitle0"/>
    <w:rsid w:val="00DB138C"/>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DB138C"/>
    <w:pPr>
      <w:keepNext/>
      <w:keepLines/>
      <w:tabs>
        <w:tab w:val="clear" w:pos="1191"/>
        <w:tab w:val="clear" w:pos="1588"/>
        <w:tab w:val="clear" w:pos="1985"/>
      </w:tabs>
      <w:spacing w:before="227"/>
      <w:ind w:left="794"/>
      <w:jc w:val="left"/>
    </w:pPr>
    <w:rPr>
      <w:i/>
      <w:sz w:val="20"/>
      <w:lang w:val="en-GB"/>
    </w:rPr>
  </w:style>
  <w:style w:type="paragraph" w:customStyle="1" w:styleId="Fig">
    <w:name w:val="Fig"/>
    <w:basedOn w:val="Figure"/>
    <w:next w:val="Fig0"/>
    <w:rsid w:val="00DB138C"/>
    <w:pPr>
      <w:keepLines w:val="0"/>
      <w:spacing w:before="136" w:after="0"/>
    </w:pPr>
    <w:rPr>
      <w:caps w:val="0"/>
      <w:sz w:val="20"/>
      <w:lang w:val="en-US"/>
    </w:rPr>
  </w:style>
  <w:style w:type="paragraph" w:customStyle="1" w:styleId="Fig0">
    <w:name w:val="Fig_#"/>
    <w:basedOn w:val="Fig"/>
    <w:next w:val="Normal"/>
    <w:rsid w:val="00DB138C"/>
    <w:pPr>
      <w:jc w:val="left"/>
    </w:pPr>
    <w:rPr>
      <w:color w:val="FFFFFF"/>
    </w:rPr>
  </w:style>
  <w:style w:type="paragraph" w:styleId="EndnoteText">
    <w:name w:val="endnote text"/>
    <w:basedOn w:val="Normal"/>
    <w:link w:val="EndnoteTextChar"/>
    <w:rsid w:val="008A7343"/>
    <w:pPr>
      <w:spacing w:before="0"/>
    </w:pPr>
    <w:rPr>
      <w:sz w:val="20"/>
    </w:rPr>
  </w:style>
  <w:style w:type="character" w:customStyle="1" w:styleId="EndnoteTextChar">
    <w:name w:val="Endnote Text Char"/>
    <w:basedOn w:val="DefaultParagraphFont"/>
    <w:link w:val="EndnoteText"/>
    <w:rsid w:val="008A7343"/>
    <w:rPr>
      <w:lang w:val="fr-FR" w:eastAsia="en-US"/>
    </w:rPr>
  </w:style>
  <w:style w:type="character" w:styleId="EndnoteReference">
    <w:name w:val="endnote reference"/>
    <w:basedOn w:val="DefaultParagraphFont"/>
    <w:rsid w:val="008A7343"/>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image" Target="media/image9.wmf"/><Relationship Id="rId33"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image" Target="media/image13.w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oleObject" Target="embeddings/oleObject3.bin"/><Relationship Id="rId31"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wmf"/><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74015-AEF9-41FB-8334-17A7E0832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172</TotalTime>
  <Pages>14</Pages>
  <Words>3550</Words>
  <Characters>20058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11</cp:revision>
  <cp:lastPrinted>2011-01-13T13:35:00Z</cp:lastPrinted>
  <dcterms:created xsi:type="dcterms:W3CDTF">2011-01-10T13:12:00Z</dcterms:created>
  <dcterms:modified xsi:type="dcterms:W3CDTF">2011-01-13T13:54:00Z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