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F1D" w:rsidRPr="00575CB8" w:rsidRDefault="005D1F1D" w:rsidP="00E300B9">
      <w:pPr>
        <w:rPr>
          <w:lang w:val="en-US"/>
        </w:rPr>
      </w:pPr>
      <w:bookmarkStart w:id="0" w:name="dbreak"/>
      <w:bookmarkEnd w:id="0"/>
    </w:p>
    <w:p w:rsidR="005D1F1D" w:rsidRDefault="005D1F1D" w:rsidP="00E300B9"/>
    <w:p w:rsidR="005D1F1D" w:rsidRDefault="005D1F1D" w:rsidP="00E300B9"/>
    <w:p w:rsidR="005D1F1D" w:rsidRDefault="005D1F1D" w:rsidP="00E300B9"/>
    <w:p w:rsidR="005D1F1D" w:rsidRDefault="005D1F1D" w:rsidP="00E300B9"/>
    <w:p w:rsidR="005D1F1D" w:rsidRDefault="005D1F1D" w:rsidP="00E300B9"/>
    <w:p w:rsidR="005D1F1D" w:rsidRDefault="005D1F1D" w:rsidP="00E300B9"/>
    <w:p w:rsidR="005D1F1D" w:rsidRDefault="005D1F1D" w:rsidP="00E300B9"/>
    <w:p w:rsidR="005D1F1D" w:rsidRDefault="005D1F1D" w:rsidP="00E300B9"/>
    <w:p w:rsidR="005D1F1D" w:rsidRDefault="005D1F1D" w:rsidP="00E300B9"/>
    <w:p w:rsidR="005D1F1D" w:rsidRDefault="005D1F1D" w:rsidP="00E300B9"/>
    <w:p w:rsidR="005D1F1D" w:rsidRDefault="005D1F1D" w:rsidP="00E300B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5D1F1D" w:rsidRPr="00C1061D" w:rsidTr="00E300B9">
        <w:tc>
          <w:tcPr>
            <w:tcW w:w="10089" w:type="dxa"/>
          </w:tcPr>
          <w:p w:rsidR="005D1F1D" w:rsidRPr="0010336F" w:rsidRDefault="005D1F1D" w:rsidP="00E300B9">
            <w:pPr>
              <w:spacing w:before="380" w:line="280" w:lineRule="exact"/>
              <w:jc w:val="right"/>
              <w:rPr>
                <w:rFonts w:ascii="Tahoma" w:hAnsi="Tahoma" w:cs="Tahoma"/>
                <w:b/>
                <w:bCs/>
                <w:iCs/>
                <w:color w:val="243285"/>
                <w:sz w:val="32"/>
                <w:szCs w:val="32"/>
                <w:lang w:val="en-US"/>
              </w:rPr>
            </w:pPr>
          </w:p>
          <w:p w:rsidR="005D1F1D" w:rsidRPr="0010336F" w:rsidRDefault="005D1F1D" w:rsidP="00C1061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C1061D">
              <w:rPr>
                <w:rFonts w:ascii="Tahoma" w:hAnsi="Tahoma" w:cs="Tahoma"/>
                <w:b/>
                <w:bCs/>
                <w:iCs/>
                <w:color w:val="243285"/>
                <w:sz w:val="36"/>
                <w:szCs w:val="36"/>
                <w:lang w:val="es-ES_tradnl"/>
              </w:rPr>
              <w:t>1332-1</w:t>
            </w:r>
          </w:p>
          <w:p w:rsidR="005D1F1D" w:rsidRPr="0010336F" w:rsidRDefault="005D1F1D" w:rsidP="00C1061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1061D">
              <w:rPr>
                <w:rFonts w:ascii="Tahoma" w:hAnsi="Tahoma" w:cs="Tahoma"/>
                <w:b/>
                <w:bCs/>
                <w:iCs/>
                <w:color w:val="243285"/>
                <w:szCs w:val="24"/>
                <w:lang w:val="es-ES_tradnl"/>
              </w:rPr>
              <w:t>05/1999</w:t>
            </w:r>
            <w:r w:rsidRPr="0010336F">
              <w:rPr>
                <w:rFonts w:ascii="Tahoma" w:hAnsi="Tahoma" w:cs="Tahoma"/>
                <w:b/>
                <w:bCs/>
                <w:iCs/>
                <w:color w:val="243285"/>
                <w:szCs w:val="24"/>
                <w:lang w:val="es-ES_tradnl"/>
              </w:rPr>
              <w:t>)</w:t>
            </w:r>
          </w:p>
        </w:tc>
      </w:tr>
      <w:tr w:rsidR="005D1F1D" w:rsidRPr="00A721F8" w:rsidTr="00E300B9">
        <w:tc>
          <w:tcPr>
            <w:tcW w:w="10089" w:type="dxa"/>
          </w:tcPr>
          <w:p w:rsidR="005D1F1D" w:rsidRPr="0010336F" w:rsidRDefault="005D1F1D" w:rsidP="00E300B9">
            <w:pPr>
              <w:spacing w:before="80" w:line="500" w:lineRule="exact"/>
              <w:jc w:val="right"/>
              <w:rPr>
                <w:rFonts w:ascii="Tahoma" w:hAnsi="Tahoma" w:cs="Tahoma"/>
                <w:b/>
                <w:bCs/>
                <w:iCs/>
                <w:color w:val="243285"/>
                <w:sz w:val="44"/>
                <w:szCs w:val="44"/>
                <w:lang w:val="es-ES_tradnl"/>
              </w:rPr>
            </w:pPr>
          </w:p>
          <w:p w:rsidR="005D1F1D" w:rsidRDefault="00C1061D" w:rsidP="00C1061D">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Transporte de señales radioeléctricas </w:t>
            </w:r>
            <w:r>
              <w:rPr>
                <w:rFonts w:ascii="Tahoma" w:hAnsi="Tahoma" w:cs="Tahoma"/>
                <w:b/>
                <w:bCs/>
                <w:color w:val="243285"/>
                <w:sz w:val="44"/>
                <w:szCs w:val="44"/>
                <w:lang w:val="es-ES_tradnl"/>
              </w:rPr>
              <w:br/>
              <w:t>por fibras ópticas</w:t>
            </w:r>
          </w:p>
          <w:p w:rsidR="005D1F1D" w:rsidRPr="0010336F" w:rsidRDefault="005D1F1D" w:rsidP="00E300B9">
            <w:pPr>
              <w:spacing w:before="80" w:line="500" w:lineRule="exact"/>
              <w:jc w:val="right"/>
              <w:rPr>
                <w:rFonts w:ascii="Tahoma" w:hAnsi="Tahoma" w:cs="Tahoma"/>
                <w:b/>
                <w:bCs/>
                <w:iCs/>
                <w:color w:val="243285"/>
                <w:sz w:val="44"/>
                <w:szCs w:val="44"/>
                <w:lang w:val="es-ES_tradnl"/>
              </w:rPr>
            </w:pPr>
          </w:p>
        </w:tc>
      </w:tr>
      <w:tr w:rsidR="005D1F1D" w:rsidRPr="0026666F" w:rsidTr="00E300B9">
        <w:tc>
          <w:tcPr>
            <w:tcW w:w="10089" w:type="dxa"/>
          </w:tcPr>
          <w:p w:rsidR="005D1F1D" w:rsidRPr="0010336F" w:rsidRDefault="005D1F1D" w:rsidP="00E300B9">
            <w:pPr>
              <w:spacing w:before="80" w:line="280" w:lineRule="exact"/>
              <w:ind w:right="640"/>
              <w:rPr>
                <w:rFonts w:ascii="Tahoma" w:hAnsi="Tahoma" w:cs="Tahoma"/>
                <w:b/>
                <w:bCs/>
                <w:iCs/>
                <w:color w:val="243285"/>
                <w:sz w:val="32"/>
                <w:szCs w:val="32"/>
                <w:lang w:val="es-ES_tradnl"/>
              </w:rPr>
            </w:pPr>
          </w:p>
          <w:p w:rsidR="005D1F1D" w:rsidRPr="0010336F" w:rsidRDefault="005D1F1D" w:rsidP="00E300B9">
            <w:pPr>
              <w:spacing w:before="80" w:line="280" w:lineRule="exact"/>
              <w:ind w:right="640"/>
              <w:rPr>
                <w:rFonts w:ascii="Tahoma" w:hAnsi="Tahoma" w:cs="Tahoma"/>
                <w:b/>
                <w:bCs/>
                <w:iCs/>
                <w:color w:val="243285"/>
                <w:sz w:val="32"/>
                <w:szCs w:val="32"/>
                <w:lang w:val="es-ES_tradnl"/>
              </w:rPr>
            </w:pPr>
          </w:p>
          <w:p w:rsidR="005D1F1D" w:rsidRPr="0010336F" w:rsidRDefault="005D1F1D" w:rsidP="00E300B9">
            <w:pPr>
              <w:spacing w:before="80" w:after="180" w:line="360" w:lineRule="exact"/>
              <w:ind w:right="720"/>
              <w:rPr>
                <w:rFonts w:ascii="Tahoma" w:hAnsi="Tahoma" w:cs="Tahoma"/>
                <w:b/>
                <w:bCs/>
                <w:iCs/>
                <w:color w:val="243285"/>
                <w:sz w:val="36"/>
                <w:szCs w:val="36"/>
                <w:lang w:val="es-ES_tradnl"/>
              </w:rPr>
            </w:pPr>
          </w:p>
          <w:p w:rsidR="005D1F1D" w:rsidRPr="0010336F" w:rsidRDefault="005D1F1D" w:rsidP="00E300B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5D1F1D" w:rsidRPr="0010336F" w:rsidRDefault="005D1F1D" w:rsidP="00E300B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5D1F1D" w:rsidRPr="0026666F" w:rsidRDefault="005D1F1D" w:rsidP="00E300B9">
      <w:pPr>
        <w:spacing w:before="80"/>
        <w:rPr>
          <w:i/>
          <w:sz w:val="22"/>
          <w:lang w:val="es-ES_tradnl"/>
        </w:rPr>
      </w:pPr>
    </w:p>
    <w:p w:rsidR="005D1F1D" w:rsidRPr="0026666F" w:rsidRDefault="005D1F1D" w:rsidP="00E300B9">
      <w:pPr>
        <w:spacing w:before="80"/>
        <w:rPr>
          <w:i/>
          <w:sz w:val="22"/>
          <w:lang w:val="es-ES_tradnl"/>
        </w:rPr>
      </w:pPr>
    </w:p>
    <w:p w:rsidR="005D1F1D" w:rsidRPr="0026666F" w:rsidRDefault="005D1F1D" w:rsidP="00E300B9">
      <w:pPr>
        <w:spacing w:before="80"/>
        <w:rPr>
          <w:i/>
          <w:sz w:val="22"/>
          <w:lang w:val="es-ES_tradnl"/>
        </w:rPr>
      </w:pPr>
    </w:p>
    <w:p w:rsidR="005D1F1D" w:rsidRPr="0026666F" w:rsidRDefault="005D1F1D" w:rsidP="00E300B9">
      <w:pPr>
        <w:spacing w:before="80"/>
        <w:rPr>
          <w:i/>
          <w:sz w:val="22"/>
          <w:lang w:val="es-ES_tradnl"/>
        </w:rPr>
      </w:pPr>
    </w:p>
    <w:p w:rsidR="005D1F1D" w:rsidRPr="0026666F" w:rsidRDefault="005D1F1D" w:rsidP="00E300B9">
      <w:pPr>
        <w:spacing w:before="80"/>
        <w:rPr>
          <w:i/>
          <w:sz w:val="22"/>
          <w:lang w:val="es-ES_tradnl"/>
        </w:rPr>
      </w:pPr>
    </w:p>
    <w:p w:rsidR="005D1F1D" w:rsidRPr="0026666F" w:rsidRDefault="005D1F1D" w:rsidP="00E300B9">
      <w:pPr>
        <w:spacing w:before="80"/>
        <w:rPr>
          <w:i/>
          <w:sz w:val="22"/>
          <w:lang w:val="es-ES_tradnl"/>
        </w:rPr>
      </w:pPr>
    </w:p>
    <w:p w:rsidR="005D1F1D" w:rsidRPr="0026666F" w:rsidRDefault="005D1F1D" w:rsidP="00E300B9">
      <w:pPr>
        <w:pStyle w:val="Equation"/>
        <w:tabs>
          <w:tab w:val="clear" w:pos="4820"/>
          <w:tab w:val="clear" w:pos="9639"/>
          <w:tab w:val="left" w:pos="1191"/>
          <w:tab w:val="left" w:pos="1588"/>
          <w:tab w:val="left" w:pos="1985"/>
        </w:tabs>
        <w:rPr>
          <w:rFonts w:ascii="Palatino Linotype" w:hAnsi="Palatino Linotype"/>
          <w:lang w:val="es-ES_tradnl"/>
        </w:rPr>
        <w:sectPr w:rsidR="005D1F1D" w:rsidRPr="0026666F" w:rsidSect="00E300B9">
          <w:headerReference w:type="even" r:id="rId7"/>
          <w:headerReference w:type="default" r:id="rId8"/>
          <w:pgSz w:w="11907" w:h="16834" w:code="9"/>
          <w:pgMar w:top="1418" w:right="1134" w:bottom="1134" w:left="1134" w:header="720" w:footer="482" w:gutter="0"/>
          <w:paperSrc w:first="15" w:other="15"/>
          <w:cols w:space="720"/>
        </w:sectPr>
      </w:pPr>
    </w:p>
    <w:p w:rsidR="005D1F1D" w:rsidRPr="006C718C" w:rsidRDefault="005D1F1D" w:rsidP="00E30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D1F1D" w:rsidRPr="006C718C" w:rsidRDefault="005D1F1D" w:rsidP="00E300B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D1F1D" w:rsidRPr="006C718C" w:rsidRDefault="005D1F1D" w:rsidP="00E300B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D1F1D" w:rsidRPr="00021E8A" w:rsidRDefault="005D1F1D" w:rsidP="00E300B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D1F1D" w:rsidRPr="00021E8A" w:rsidRDefault="005D1F1D" w:rsidP="00E300B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D1F1D" w:rsidRPr="007C36CA" w:rsidRDefault="005D1F1D" w:rsidP="00E300B9">
      <w:pPr>
        <w:spacing w:before="0"/>
        <w:jc w:val="center"/>
        <w:rPr>
          <w:sz w:val="22"/>
          <w:lang w:val="es-ES_tradnl"/>
        </w:rPr>
      </w:pPr>
    </w:p>
    <w:p w:rsidR="005D1F1D" w:rsidRPr="007C36CA" w:rsidRDefault="005D1F1D" w:rsidP="00E300B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D1F1D" w:rsidRPr="00A721F8" w:rsidTr="00E300B9">
        <w:tc>
          <w:tcPr>
            <w:tcW w:w="9360" w:type="dxa"/>
            <w:gridSpan w:val="2"/>
          </w:tcPr>
          <w:p w:rsidR="005D1F1D" w:rsidRPr="00021E8A" w:rsidRDefault="005D1F1D" w:rsidP="00E300B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D1F1D" w:rsidRPr="00763D08" w:rsidRDefault="005D1F1D" w:rsidP="00E30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D1F1D" w:rsidRPr="00036EE3" w:rsidTr="00E300B9">
        <w:tc>
          <w:tcPr>
            <w:tcW w:w="1140" w:type="dxa"/>
            <w:tcBorders>
              <w:bottom w:val="nil"/>
            </w:tcBorders>
          </w:tcPr>
          <w:p w:rsidR="005D1F1D" w:rsidRPr="00036EE3" w:rsidRDefault="005D1F1D" w:rsidP="00E300B9">
            <w:pPr>
              <w:spacing w:before="180" w:after="100"/>
              <w:ind w:left="57"/>
              <w:rPr>
                <w:b/>
                <w:bCs/>
                <w:sz w:val="20"/>
                <w:lang w:val="en-US"/>
              </w:rPr>
            </w:pPr>
            <w:r w:rsidRPr="00036EE3">
              <w:rPr>
                <w:b/>
                <w:bCs/>
                <w:sz w:val="20"/>
                <w:lang w:val="en-US"/>
              </w:rPr>
              <w:t>Series</w:t>
            </w:r>
          </w:p>
        </w:tc>
        <w:tc>
          <w:tcPr>
            <w:tcW w:w="8220" w:type="dxa"/>
            <w:tcBorders>
              <w:bottom w:val="nil"/>
            </w:tcBorders>
          </w:tcPr>
          <w:p w:rsidR="005D1F1D" w:rsidRPr="00036EE3" w:rsidRDefault="005D1F1D" w:rsidP="00E30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D1F1D" w:rsidRPr="004532F7" w:rsidTr="00E300B9">
        <w:tc>
          <w:tcPr>
            <w:tcW w:w="1140" w:type="dxa"/>
            <w:tcBorders>
              <w:top w:val="nil"/>
              <w:bottom w:val="nil"/>
            </w:tcBorders>
            <w:shd w:val="clear" w:color="auto" w:fill="auto"/>
          </w:tcPr>
          <w:p w:rsidR="005D1F1D" w:rsidRPr="004532F7" w:rsidRDefault="005D1F1D" w:rsidP="00E300B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D1F1D" w:rsidRPr="004532F7" w:rsidRDefault="005D1F1D" w:rsidP="00E30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D1F1D" w:rsidRPr="00A721F8" w:rsidTr="00E300B9">
        <w:tc>
          <w:tcPr>
            <w:tcW w:w="1140" w:type="dxa"/>
            <w:tcBorders>
              <w:top w:val="nil"/>
              <w:bottom w:val="nil"/>
            </w:tcBorders>
            <w:shd w:val="clear" w:color="auto" w:fill="auto"/>
          </w:tcPr>
          <w:p w:rsidR="005D1F1D" w:rsidRPr="006B22C3" w:rsidRDefault="005D1F1D" w:rsidP="00E300B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D1F1D" w:rsidRPr="006B22C3" w:rsidRDefault="005D1F1D" w:rsidP="00E30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D1F1D" w:rsidRPr="00847DD5" w:rsidTr="00E300B9">
        <w:tc>
          <w:tcPr>
            <w:tcW w:w="1140" w:type="dxa"/>
            <w:tcBorders>
              <w:top w:val="nil"/>
              <w:bottom w:val="nil"/>
            </w:tcBorders>
            <w:shd w:val="clear" w:color="auto" w:fill="auto"/>
          </w:tcPr>
          <w:p w:rsidR="005D1F1D" w:rsidRPr="00847DD5" w:rsidRDefault="005D1F1D" w:rsidP="00E300B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D1F1D" w:rsidRPr="00847DD5" w:rsidRDefault="005D1F1D" w:rsidP="00E30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5D1F1D" w:rsidRPr="00ED2695" w:rsidTr="00E300B9">
        <w:tc>
          <w:tcPr>
            <w:tcW w:w="1140" w:type="dxa"/>
            <w:tcBorders>
              <w:top w:val="nil"/>
              <w:bottom w:val="nil"/>
            </w:tcBorders>
            <w:shd w:val="clear" w:color="auto" w:fill="auto"/>
          </w:tcPr>
          <w:p w:rsidR="005D1F1D" w:rsidRPr="00ED2695" w:rsidRDefault="005D1F1D" w:rsidP="00E300B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D1F1D" w:rsidRPr="00021E8A" w:rsidRDefault="005D1F1D" w:rsidP="00E30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D1F1D" w:rsidRPr="00847DD5" w:rsidTr="00E300B9">
        <w:tc>
          <w:tcPr>
            <w:tcW w:w="1140" w:type="dxa"/>
            <w:tcBorders>
              <w:top w:val="nil"/>
              <w:bottom w:val="nil"/>
            </w:tcBorders>
            <w:shd w:val="clear" w:color="auto" w:fill="F3F3F3"/>
          </w:tcPr>
          <w:p w:rsidR="005D1F1D" w:rsidRPr="00847DD5" w:rsidRDefault="005D1F1D" w:rsidP="00E300B9">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5D1F1D" w:rsidRPr="00847DD5" w:rsidRDefault="005D1F1D" w:rsidP="00E30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5D1F1D" w:rsidRPr="00A721F8" w:rsidTr="00E300B9">
        <w:tc>
          <w:tcPr>
            <w:tcW w:w="1140" w:type="dxa"/>
            <w:tcBorders>
              <w:top w:val="nil"/>
              <w:bottom w:val="nil"/>
            </w:tcBorders>
            <w:shd w:val="clear" w:color="auto" w:fill="auto"/>
          </w:tcPr>
          <w:p w:rsidR="005D1F1D" w:rsidRPr="0010336F" w:rsidRDefault="005D1F1D" w:rsidP="00E300B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D1F1D" w:rsidRPr="0010336F" w:rsidRDefault="005D1F1D" w:rsidP="00D865CF">
            <w:pPr>
              <w:pStyle w:val="TableText0"/>
              <w:rPr>
                <w:rFonts w:hAnsi="Times New Roman Bold"/>
                <w:b/>
                <w:sz w:val="20"/>
                <w:lang w:val="es-ES_tradnl"/>
              </w:rPr>
            </w:pPr>
            <w:r w:rsidRPr="0010336F">
              <w:rPr>
                <w:rFonts w:hAnsi="Times New Roman Bold"/>
                <w:sz w:val="20"/>
                <w:lang w:val="es-ES_tradnl"/>
              </w:rPr>
              <w:t>Servicios m</w:t>
            </w:r>
            <w:r w:rsidRPr="0010336F">
              <w:rPr>
                <w:rFonts w:hAnsi="Times New Roman Bold"/>
                <w:sz w:val="20"/>
                <w:lang w:val="es-ES_tradnl"/>
              </w:rPr>
              <w:t>ó</w:t>
            </w:r>
            <w:r w:rsidRPr="0010336F">
              <w:rPr>
                <w:rFonts w:hAnsi="Times New Roman Bold"/>
                <w:sz w:val="20"/>
                <w:lang w:val="es-ES_tradnl"/>
              </w:rPr>
              <w:t>viles, de radiodeterminaci</w:t>
            </w:r>
            <w:r w:rsidRPr="00D865CF">
              <w:rPr>
                <w:sz w:val="20"/>
                <w:szCs w:val="20"/>
                <w:lang w:val="es-ES_tradnl"/>
              </w:rPr>
              <w:t>ó</w:t>
            </w:r>
            <w:r w:rsidRPr="0010336F">
              <w:rPr>
                <w:rFonts w:hAnsi="Times New Roman Bold"/>
                <w:sz w:val="20"/>
                <w:lang w:val="es-ES_tradnl"/>
              </w:rPr>
              <w:t>n, de aficionados y otros servicios por sat</w:t>
            </w:r>
            <w:r w:rsidRPr="00D865CF">
              <w:rPr>
                <w:sz w:val="20"/>
                <w:lang w:val="es-ES_tradnl"/>
              </w:rPr>
              <w:t>é</w:t>
            </w:r>
            <w:r w:rsidRPr="0010336F">
              <w:rPr>
                <w:rFonts w:hAnsi="Times New Roman Bold"/>
                <w:sz w:val="20"/>
                <w:lang w:val="es-ES_tradnl"/>
              </w:rPr>
              <w:t>lite conexos</w:t>
            </w:r>
          </w:p>
        </w:tc>
      </w:tr>
      <w:tr w:rsidR="005D1F1D" w:rsidRPr="00A721F8" w:rsidTr="00E300B9">
        <w:tc>
          <w:tcPr>
            <w:tcW w:w="1140" w:type="dxa"/>
            <w:tcBorders>
              <w:top w:val="nil"/>
            </w:tcBorders>
          </w:tcPr>
          <w:p w:rsidR="005D1F1D" w:rsidRPr="00036EE3" w:rsidRDefault="005D1F1D" w:rsidP="00E300B9">
            <w:pPr>
              <w:spacing w:before="30" w:after="30"/>
              <w:ind w:left="57"/>
              <w:jc w:val="left"/>
              <w:rPr>
                <w:b/>
                <w:bCs/>
                <w:sz w:val="20"/>
                <w:lang w:val="fr-CH"/>
              </w:rPr>
            </w:pPr>
            <w:r w:rsidRPr="00036EE3">
              <w:rPr>
                <w:b/>
                <w:bCs/>
                <w:sz w:val="20"/>
                <w:lang w:val="fr-CH"/>
              </w:rPr>
              <w:t>P</w:t>
            </w:r>
          </w:p>
        </w:tc>
        <w:tc>
          <w:tcPr>
            <w:tcW w:w="8220" w:type="dxa"/>
            <w:tcBorders>
              <w:top w:val="nil"/>
            </w:tcBorders>
          </w:tcPr>
          <w:p w:rsidR="005D1F1D" w:rsidRPr="00021E8A" w:rsidRDefault="005D1F1D" w:rsidP="00E300B9">
            <w:pPr>
              <w:spacing w:before="30" w:after="30"/>
              <w:jc w:val="left"/>
              <w:rPr>
                <w:bCs/>
                <w:sz w:val="20"/>
                <w:lang w:val="es-ES_tradnl"/>
              </w:rPr>
            </w:pPr>
            <w:r w:rsidRPr="00021E8A">
              <w:rPr>
                <w:bCs/>
                <w:sz w:val="20"/>
                <w:lang w:val="es-ES_tradnl"/>
              </w:rPr>
              <w:t>Propagación de las ondas radioeléctricas</w:t>
            </w:r>
          </w:p>
        </w:tc>
      </w:tr>
      <w:tr w:rsidR="005D1F1D" w:rsidRPr="00036EE3"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RA</w:t>
            </w:r>
          </w:p>
        </w:tc>
        <w:tc>
          <w:tcPr>
            <w:tcW w:w="8220" w:type="dxa"/>
          </w:tcPr>
          <w:p w:rsidR="005D1F1D" w:rsidRPr="00021E8A" w:rsidRDefault="005D1F1D" w:rsidP="00E30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5D1F1D" w:rsidRPr="00A721F8"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RS</w:t>
            </w:r>
          </w:p>
        </w:tc>
        <w:tc>
          <w:tcPr>
            <w:tcW w:w="8220" w:type="dxa"/>
          </w:tcPr>
          <w:p w:rsidR="005D1F1D" w:rsidRPr="00021E8A" w:rsidRDefault="005D1F1D" w:rsidP="00E30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D1F1D" w:rsidRPr="00036EE3"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S</w:t>
            </w:r>
          </w:p>
        </w:tc>
        <w:tc>
          <w:tcPr>
            <w:tcW w:w="8220" w:type="dxa"/>
          </w:tcPr>
          <w:p w:rsidR="005D1F1D" w:rsidRPr="00021E8A" w:rsidRDefault="005D1F1D" w:rsidP="00E300B9">
            <w:pPr>
              <w:spacing w:before="30" w:after="30"/>
              <w:jc w:val="left"/>
              <w:rPr>
                <w:bCs/>
                <w:sz w:val="20"/>
                <w:lang w:val="en-US"/>
              </w:rPr>
            </w:pPr>
            <w:r w:rsidRPr="00021E8A">
              <w:rPr>
                <w:bCs/>
                <w:sz w:val="20"/>
              </w:rPr>
              <w:t>Servicio fijo por satélite</w:t>
            </w:r>
          </w:p>
        </w:tc>
      </w:tr>
      <w:tr w:rsidR="005D1F1D" w:rsidRPr="00036EE3"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SA</w:t>
            </w:r>
          </w:p>
        </w:tc>
        <w:tc>
          <w:tcPr>
            <w:tcW w:w="8220" w:type="dxa"/>
          </w:tcPr>
          <w:p w:rsidR="005D1F1D" w:rsidRPr="00021E8A" w:rsidRDefault="005D1F1D" w:rsidP="00E300B9">
            <w:pPr>
              <w:spacing w:before="30" w:after="30"/>
              <w:jc w:val="left"/>
              <w:rPr>
                <w:bCs/>
                <w:sz w:val="20"/>
                <w:lang w:val="en-US"/>
              </w:rPr>
            </w:pPr>
            <w:r w:rsidRPr="00021E8A">
              <w:rPr>
                <w:bCs/>
                <w:sz w:val="20"/>
              </w:rPr>
              <w:t>Aplicaciones espaciales y meteorología</w:t>
            </w:r>
          </w:p>
        </w:tc>
      </w:tr>
      <w:tr w:rsidR="005D1F1D" w:rsidRPr="00A721F8"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SF</w:t>
            </w:r>
          </w:p>
        </w:tc>
        <w:tc>
          <w:tcPr>
            <w:tcW w:w="8220" w:type="dxa"/>
          </w:tcPr>
          <w:p w:rsidR="005D1F1D" w:rsidRPr="00021E8A" w:rsidRDefault="005D1F1D" w:rsidP="00E300B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D1F1D" w:rsidRPr="00036EE3" w:rsidTr="00E300B9">
        <w:tc>
          <w:tcPr>
            <w:tcW w:w="1140" w:type="dxa"/>
            <w:shd w:val="clear" w:color="auto" w:fill="auto"/>
          </w:tcPr>
          <w:p w:rsidR="005D1F1D" w:rsidRPr="001240BC" w:rsidRDefault="005D1F1D" w:rsidP="00E300B9">
            <w:pPr>
              <w:spacing w:before="30" w:after="30"/>
              <w:ind w:left="57"/>
              <w:jc w:val="left"/>
              <w:rPr>
                <w:b/>
                <w:bCs/>
                <w:sz w:val="20"/>
                <w:lang w:val="en-US"/>
              </w:rPr>
            </w:pPr>
            <w:r w:rsidRPr="001240BC">
              <w:rPr>
                <w:b/>
                <w:bCs/>
                <w:sz w:val="20"/>
                <w:lang w:val="en-US"/>
              </w:rPr>
              <w:t>SM</w:t>
            </w:r>
          </w:p>
        </w:tc>
        <w:tc>
          <w:tcPr>
            <w:tcW w:w="8220" w:type="dxa"/>
            <w:shd w:val="clear" w:color="auto" w:fill="auto"/>
          </w:tcPr>
          <w:p w:rsidR="005D1F1D" w:rsidRPr="001240BC" w:rsidRDefault="005D1F1D" w:rsidP="00E300B9">
            <w:pPr>
              <w:spacing w:before="30" w:after="30"/>
              <w:jc w:val="left"/>
              <w:rPr>
                <w:sz w:val="20"/>
                <w:lang w:val="en-US"/>
              </w:rPr>
            </w:pPr>
            <w:r w:rsidRPr="001240BC">
              <w:rPr>
                <w:sz w:val="20"/>
              </w:rPr>
              <w:t>Gestión del espectro</w:t>
            </w:r>
          </w:p>
        </w:tc>
      </w:tr>
      <w:tr w:rsidR="005D1F1D" w:rsidRPr="00036EE3"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SNG</w:t>
            </w:r>
          </w:p>
        </w:tc>
        <w:tc>
          <w:tcPr>
            <w:tcW w:w="8220" w:type="dxa"/>
          </w:tcPr>
          <w:p w:rsidR="005D1F1D" w:rsidRPr="00021E8A" w:rsidRDefault="005D1F1D" w:rsidP="00E300B9">
            <w:pPr>
              <w:spacing w:before="30" w:after="30"/>
              <w:jc w:val="left"/>
              <w:rPr>
                <w:bCs/>
                <w:sz w:val="20"/>
                <w:lang w:val="en-US"/>
              </w:rPr>
            </w:pPr>
            <w:r w:rsidRPr="00021E8A">
              <w:rPr>
                <w:bCs/>
                <w:sz w:val="20"/>
              </w:rPr>
              <w:t>Periodismo electrónico por satélite</w:t>
            </w:r>
          </w:p>
        </w:tc>
      </w:tr>
      <w:tr w:rsidR="005D1F1D" w:rsidRPr="00A721F8"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TF</w:t>
            </w:r>
          </w:p>
        </w:tc>
        <w:tc>
          <w:tcPr>
            <w:tcW w:w="8220" w:type="dxa"/>
          </w:tcPr>
          <w:p w:rsidR="005D1F1D" w:rsidRPr="00021E8A" w:rsidRDefault="005D1F1D" w:rsidP="00E300B9">
            <w:pPr>
              <w:spacing w:before="30" w:after="30"/>
              <w:jc w:val="left"/>
              <w:rPr>
                <w:bCs/>
                <w:sz w:val="20"/>
                <w:lang w:val="es-ES_tradnl"/>
              </w:rPr>
            </w:pPr>
            <w:r w:rsidRPr="00021E8A">
              <w:rPr>
                <w:bCs/>
                <w:sz w:val="20"/>
                <w:lang w:val="es-ES_tradnl"/>
              </w:rPr>
              <w:t>Emisiones de frecuencias patrón y señales horarias</w:t>
            </w:r>
          </w:p>
        </w:tc>
      </w:tr>
      <w:tr w:rsidR="005D1F1D" w:rsidRPr="00036EE3" w:rsidTr="00E300B9">
        <w:tc>
          <w:tcPr>
            <w:tcW w:w="1140" w:type="dxa"/>
          </w:tcPr>
          <w:p w:rsidR="005D1F1D" w:rsidRPr="00036EE3" w:rsidRDefault="005D1F1D" w:rsidP="00E300B9">
            <w:pPr>
              <w:spacing w:before="30" w:after="30"/>
              <w:ind w:left="57"/>
              <w:jc w:val="left"/>
              <w:rPr>
                <w:b/>
                <w:bCs/>
                <w:sz w:val="20"/>
                <w:lang w:val="en-US"/>
              </w:rPr>
            </w:pPr>
            <w:r w:rsidRPr="00036EE3">
              <w:rPr>
                <w:b/>
                <w:bCs/>
                <w:sz w:val="20"/>
                <w:lang w:val="en-US"/>
              </w:rPr>
              <w:t>V</w:t>
            </w:r>
          </w:p>
        </w:tc>
        <w:tc>
          <w:tcPr>
            <w:tcW w:w="8220" w:type="dxa"/>
          </w:tcPr>
          <w:p w:rsidR="005D1F1D" w:rsidRPr="00021E8A" w:rsidRDefault="005D1F1D" w:rsidP="00E300B9">
            <w:pPr>
              <w:spacing w:before="30" w:after="140"/>
              <w:jc w:val="left"/>
              <w:rPr>
                <w:bCs/>
                <w:sz w:val="20"/>
                <w:lang w:val="en-US"/>
              </w:rPr>
            </w:pPr>
            <w:r w:rsidRPr="00021E8A">
              <w:rPr>
                <w:bCs/>
                <w:sz w:val="20"/>
              </w:rPr>
              <w:t>Vocabulario y cuestiones afines</w:t>
            </w:r>
          </w:p>
        </w:tc>
      </w:tr>
    </w:tbl>
    <w:p w:rsidR="005D1F1D" w:rsidRPr="00D865CF" w:rsidRDefault="005D1F1D" w:rsidP="00E300B9">
      <w:pPr>
        <w:spacing w:before="0" w:after="140"/>
        <w:jc w:val="center"/>
        <w:rPr>
          <w:sz w:val="10"/>
          <w:szCs w:val="10"/>
          <w:lang w:val="en-US"/>
        </w:rPr>
      </w:pPr>
    </w:p>
    <w:tbl>
      <w:tblPr>
        <w:tblpPr w:leftFromText="180" w:rightFromText="180" w:vertAnchor="text" w:tblpX="-5771" w:tblpY="-4031"/>
        <w:tblW w:w="0" w:type="auto"/>
        <w:tblLook w:val="0000"/>
      </w:tblPr>
      <w:tblGrid>
        <w:gridCol w:w="720"/>
      </w:tblGrid>
      <w:tr w:rsidR="005D1F1D" w:rsidTr="00E300B9">
        <w:tc>
          <w:tcPr>
            <w:tcW w:w="720" w:type="dxa"/>
          </w:tcPr>
          <w:p w:rsidR="005D1F1D" w:rsidRDefault="005D1F1D" w:rsidP="00E300B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5D1F1D" w:rsidRPr="00A721F8" w:rsidTr="00E300B9">
        <w:tc>
          <w:tcPr>
            <w:tcW w:w="9360" w:type="dxa"/>
          </w:tcPr>
          <w:p w:rsidR="005D1F1D" w:rsidRPr="00763D08" w:rsidRDefault="005D1F1D" w:rsidP="00E300B9">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5D1F1D" w:rsidRPr="00763D08" w:rsidRDefault="005D1F1D" w:rsidP="00E300B9">
      <w:pPr>
        <w:spacing w:before="0"/>
        <w:jc w:val="center"/>
        <w:rPr>
          <w:sz w:val="22"/>
          <w:lang w:val="es-ES_tradnl"/>
        </w:rPr>
      </w:pPr>
    </w:p>
    <w:p w:rsidR="005D1F1D" w:rsidRPr="00763D08" w:rsidRDefault="005D1F1D" w:rsidP="00E300B9">
      <w:pPr>
        <w:spacing w:before="60"/>
        <w:jc w:val="right"/>
        <w:rPr>
          <w:i/>
          <w:iCs/>
          <w:sz w:val="20"/>
          <w:lang w:val="es-ES_tradnl"/>
        </w:rPr>
      </w:pPr>
      <w:r w:rsidRPr="00763D08">
        <w:rPr>
          <w:i/>
          <w:iCs/>
          <w:sz w:val="20"/>
          <w:lang w:val="es-ES_tradnl"/>
        </w:rPr>
        <w:t>Publicación electrónica</w:t>
      </w:r>
    </w:p>
    <w:p w:rsidR="005D1F1D" w:rsidRPr="00763D08" w:rsidRDefault="005D1F1D" w:rsidP="00E300B9">
      <w:pPr>
        <w:spacing w:before="0" w:after="40"/>
        <w:jc w:val="right"/>
        <w:rPr>
          <w:sz w:val="20"/>
          <w:lang w:val="es-ES_tradnl"/>
        </w:rPr>
      </w:pPr>
      <w:r w:rsidRPr="00763D08">
        <w:rPr>
          <w:sz w:val="20"/>
          <w:lang w:val="es-ES_tradnl"/>
        </w:rPr>
        <w:t>Ginebra, 20</w:t>
      </w:r>
      <w:r>
        <w:rPr>
          <w:sz w:val="20"/>
          <w:lang w:val="es-ES_tradnl"/>
        </w:rPr>
        <w:t>10</w:t>
      </w:r>
    </w:p>
    <w:p w:rsidR="005D1F1D" w:rsidRPr="00763D08" w:rsidRDefault="005D1F1D" w:rsidP="00E300B9">
      <w:pPr>
        <w:spacing w:before="0"/>
        <w:jc w:val="center"/>
        <w:rPr>
          <w:sz w:val="22"/>
          <w:lang w:val="es-ES_tradnl"/>
        </w:rPr>
      </w:pPr>
    </w:p>
    <w:p w:rsidR="005D1F1D" w:rsidRPr="00763D08" w:rsidRDefault="005D1F1D" w:rsidP="00E300B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5D1F1D" w:rsidRPr="006C718C" w:rsidRDefault="005D1F1D" w:rsidP="00E300B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D1F1D" w:rsidRPr="006C718C" w:rsidRDefault="005D1F1D" w:rsidP="00E300B9">
      <w:pPr>
        <w:spacing w:before="160"/>
        <w:rPr>
          <w:i/>
          <w:sz w:val="20"/>
          <w:highlight w:val="yellow"/>
          <w:lang w:val="es-ES_tradnl"/>
        </w:rPr>
        <w:sectPr w:rsidR="005D1F1D" w:rsidRPr="006C718C" w:rsidSect="00E300B9">
          <w:headerReference w:type="even" r:id="rId11"/>
          <w:headerReference w:type="default" r:id="rId12"/>
          <w:pgSz w:w="11907" w:h="16834" w:code="9"/>
          <w:pgMar w:top="1418" w:right="1134" w:bottom="1134" w:left="1134" w:header="720" w:footer="482" w:gutter="0"/>
          <w:pgNumType w:fmt="lowerRoman" w:start="2"/>
          <w:cols w:space="720"/>
        </w:sectPr>
      </w:pPr>
    </w:p>
    <w:p w:rsidR="00EB14D5" w:rsidRDefault="00EB14D5" w:rsidP="00F5549D">
      <w:pPr>
        <w:pStyle w:val="Rec"/>
        <w:spacing w:before="0"/>
        <w:rPr>
          <w:lang w:val="es-ES_tradnl"/>
        </w:rPr>
      </w:pPr>
      <w:bookmarkStart w:id="3" w:name="irecnoe"/>
      <w:bookmarkEnd w:id="3"/>
      <w:r>
        <w:rPr>
          <w:lang w:val="es-ES_tradnl"/>
        </w:rPr>
        <w:lastRenderedPageBreak/>
        <w:t xml:space="preserve">RECOMENDACIÓN  </w:t>
      </w:r>
      <w:r w:rsidRPr="00AE21E3">
        <w:rPr>
          <w:rStyle w:val="href"/>
          <w:lang w:val="es-ES_tradnl"/>
        </w:rPr>
        <w:t>UIT-R  F.1332-1</w:t>
      </w:r>
      <w:r w:rsidR="00505478" w:rsidRPr="00505478">
        <w:rPr>
          <w:rStyle w:val="FootnoteReference"/>
          <w:lang w:val="es-ES_tradnl"/>
        </w:rPr>
        <w:footnoteReference w:customMarkFollows="1" w:id="1"/>
        <w:sym w:font="Symbol" w:char="F02A"/>
      </w:r>
      <w:r w:rsidR="00505478" w:rsidRPr="00505478">
        <w:rPr>
          <w:vertAlign w:val="superscript"/>
          <w:lang w:val="es-ES_tradnl"/>
        </w:rPr>
        <w:t>,</w:t>
      </w:r>
      <w:r w:rsidR="00505478">
        <w:rPr>
          <w:vertAlign w:val="superscript"/>
          <w:lang w:val="es-ES_tradnl"/>
        </w:rPr>
        <w:t xml:space="preserve"> </w:t>
      </w:r>
      <w:r w:rsidR="00505478" w:rsidRPr="00505478">
        <w:rPr>
          <w:rStyle w:val="FootnoteReference"/>
          <w:lang w:val="es-ES_tradnl"/>
        </w:rPr>
        <w:footnoteReference w:customMarkFollows="1" w:id="2"/>
        <w:sym w:font="Symbol" w:char="F02A"/>
      </w:r>
      <w:r w:rsidR="00505478" w:rsidRPr="00505478">
        <w:rPr>
          <w:rStyle w:val="FootnoteReference"/>
          <w:lang w:val="es-ES_tradnl"/>
        </w:rPr>
        <w:sym w:font="Symbol" w:char="F02A"/>
      </w:r>
    </w:p>
    <w:p w:rsidR="00EB14D5" w:rsidRDefault="00EB14D5" w:rsidP="00EC501B">
      <w:pPr>
        <w:pStyle w:val="RecTitle0"/>
        <w:rPr>
          <w:lang w:val="es-ES_tradnl"/>
        </w:rPr>
      </w:pPr>
      <w:r>
        <w:rPr>
          <w:lang w:val="es-ES_tradnl"/>
        </w:rPr>
        <w:t>TRANSPORTE  DE  SEÑALES  RADIOELÉCTRICAS</w:t>
      </w:r>
      <w:r w:rsidR="00EC501B">
        <w:rPr>
          <w:lang w:val="es-ES_tradnl"/>
        </w:rPr>
        <w:t xml:space="preserve"> </w:t>
      </w:r>
      <w:r>
        <w:rPr>
          <w:lang w:val="es-ES_tradnl"/>
        </w:rPr>
        <w:t>POR  FIBRAS</w:t>
      </w:r>
      <w:r>
        <w:rPr>
          <w:b w:val="0"/>
          <w:lang w:val="es-ES_tradnl"/>
        </w:rPr>
        <w:t xml:space="preserve">  </w:t>
      </w:r>
      <w:r>
        <w:rPr>
          <w:lang w:val="es-ES_tradnl"/>
        </w:rPr>
        <w:t>ÓPTICAS</w:t>
      </w:r>
    </w:p>
    <w:p w:rsidR="00EB14D5" w:rsidRDefault="00EB14D5" w:rsidP="00EB14D5">
      <w:pPr>
        <w:pStyle w:val="RecTitleRef"/>
        <w:rPr>
          <w:lang w:val="es-ES_tradnl"/>
        </w:rPr>
      </w:pPr>
      <w:r>
        <w:rPr>
          <w:lang w:val="es-ES_tradnl"/>
        </w:rPr>
        <w:t>(Cuestión UIT-R 204/9)</w:t>
      </w:r>
    </w:p>
    <w:p w:rsidR="00EC501B" w:rsidRPr="00EC501B" w:rsidRDefault="00EC501B" w:rsidP="00EC501B">
      <w:pPr>
        <w:pStyle w:val="RecTitleDate"/>
        <w:rPr>
          <w:lang w:val="es-ES_tradnl"/>
        </w:rPr>
      </w:pPr>
    </w:p>
    <w:p w:rsidR="00EB14D5" w:rsidRDefault="00EB14D5" w:rsidP="00EB14D5">
      <w:pPr>
        <w:pStyle w:val="RecTitleDate"/>
        <w:rPr>
          <w:lang w:val="es-ES_tradnl"/>
        </w:rPr>
      </w:pPr>
      <w:r>
        <w:rPr>
          <w:lang w:val="es-ES_tradnl"/>
        </w:rPr>
        <w:t>(1997-1999)</w:t>
      </w:r>
    </w:p>
    <w:p w:rsidR="00EC501B" w:rsidRPr="00A721F8" w:rsidRDefault="00EC501B" w:rsidP="00DC1FEE">
      <w:pPr>
        <w:pStyle w:val="Blanc"/>
        <w:rPr>
          <w:lang w:val="es-ES_tradnl"/>
        </w:rPr>
      </w:pPr>
    </w:p>
    <w:p w:rsidR="00B015E9" w:rsidRPr="00B015E9" w:rsidRDefault="00B015E9" w:rsidP="00B015E9">
      <w:pPr>
        <w:pStyle w:val="HeadingSum"/>
        <w:rPr>
          <w:sz w:val="18"/>
          <w:szCs w:val="18"/>
        </w:rPr>
      </w:pPr>
      <w:r w:rsidRPr="00B015E9">
        <w:rPr>
          <w:sz w:val="18"/>
          <w:szCs w:val="18"/>
        </w:rPr>
        <w:t>Cometido</w:t>
      </w:r>
    </w:p>
    <w:p w:rsidR="00B015E9" w:rsidRPr="00B015E9" w:rsidRDefault="00B015E9" w:rsidP="00505478">
      <w:pPr>
        <w:pStyle w:val="Summary"/>
        <w:rPr>
          <w:sz w:val="18"/>
          <w:szCs w:val="18"/>
        </w:rPr>
      </w:pPr>
      <w:r w:rsidRPr="00B015E9">
        <w:rPr>
          <w:sz w:val="18"/>
          <w:szCs w:val="18"/>
        </w:rPr>
        <w:t xml:space="preserve">La presente Recomendación versa sobre el transporte de señales </w:t>
      </w:r>
      <w:r w:rsidR="00505478">
        <w:rPr>
          <w:sz w:val="18"/>
          <w:szCs w:val="18"/>
        </w:rPr>
        <w:t xml:space="preserve">radioeléctricas </w:t>
      </w:r>
      <w:r w:rsidRPr="00B015E9">
        <w:rPr>
          <w:sz w:val="18"/>
          <w:szCs w:val="18"/>
        </w:rPr>
        <w:t>por fibras ópticas. El texto se ha ampliado considerablemente con la incorporación del concepto de sistema híbrido radioeléctrico.óptico (HFR). Se ha añadido información sobre el HFR, la configuración del sistema, la aplicación de servicio y la tecnología de transmisión a frecuencia intermedia. Además, se ha introducido la técnica de compresión del nivel de la señal para mejorar la gama dinámica del enlace óptico.</w:t>
      </w:r>
    </w:p>
    <w:p w:rsidR="00EB14D5" w:rsidRDefault="00EB14D5" w:rsidP="00505478">
      <w:pPr>
        <w:pStyle w:val="Normalaftertitle0"/>
        <w:rPr>
          <w:lang w:val="es-ES_tradnl"/>
        </w:rPr>
      </w:pPr>
      <w:r>
        <w:rPr>
          <w:lang w:val="es-ES_tradnl"/>
        </w:rPr>
        <w:t>La Asamblea de Radiocomunicaciones de la UIT,</w:t>
      </w:r>
    </w:p>
    <w:p w:rsidR="00EB14D5" w:rsidRDefault="00EB14D5" w:rsidP="00EB14D5">
      <w:pPr>
        <w:pStyle w:val="call0"/>
        <w:rPr>
          <w:lang w:val="es-ES_tradnl"/>
        </w:rPr>
      </w:pPr>
      <w:r>
        <w:rPr>
          <w:lang w:val="es-ES_tradnl"/>
        </w:rPr>
        <w:t>considerando</w:t>
      </w:r>
    </w:p>
    <w:p w:rsidR="00EB14D5" w:rsidRPr="00B015E9" w:rsidRDefault="00EB14D5" w:rsidP="00EB14D5">
      <w:pPr>
        <w:rPr>
          <w:sz w:val="20"/>
          <w:lang w:val="es-ES_tradnl"/>
        </w:rPr>
      </w:pPr>
      <w:r w:rsidRPr="00B015E9">
        <w:rPr>
          <w:sz w:val="20"/>
          <w:lang w:val="es-ES_tradnl"/>
        </w:rPr>
        <w:t>a)</w:t>
      </w:r>
      <w:r w:rsidRPr="00B015E9">
        <w:rPr>
          <w:sz w:val="20"/>
          <w:lang w:val="es-ES_tradnl"/>
        </w:rPr>
        <w:tab/>
        <w:t>que las fibras ópticas se utilizan ampliamente en las redes de abonado o en el cableado de los edificios;</w:t>
      </w:r>
    </w:p>
    <w:p w:rsidR="00EB14D5" w:rsidRPr="00B015E9" w:rsidRDefault="00EB14D5" w:rsidP="00EB14D5">
      <w:pPr>
        <w:rPr>
          <w:sz w:val="20"/>
          <w:lang w:val="es-ES_tradnl"/>
        </w:rPr>
      </w:pPr>
      <w:r w:rsidRPr="00B015E9">
        <w:rPr>
          <w:sz w:val="20"/>
          <w:lang w:val="es-ES_tradnl"/>
        </w:rPr>
        <w:t>b)</w:t>
      </w:r>
      <w:r w:rsidRPr="00B015E9">
        <w:rPr>
          <w:sz w:val="20"/>
          <w:lang w:val="es-ES_tradnl"/>
        </w:rPr>
        <w:tab/>
        <w:t>que el transporte de las señales radioeléctricas por medio de fibras ópticas se puede utilizar en los enlaces de acceso a las estaciones radioeléctricas de base en muchas aplicaciones inalámbricas;</w:t>
      </w:r>
    </w:p>
    <w:p w:rsidR="00EB14D5" w:rsidRPr="00B015E9" w:rsidRDefault="00EB14D5" w:rsidP="00EB14D5">
      <w:pPr>
        <w:rPr>
          <w:sz w:val="20"/>
          <w:lang w:val="es-ES_tradnl"/>
        </w:rPr>
      </w:pPr>
      <w:r w:rsidRPr="00B015E9">
        <w:rPr>
          <w:sz w:val="20"/>
          <w:lang w:val="es-ES_tradnl"/>
        </w:rPr>
        <w:t>c)</w:t>
      </w:r>
      <w:r w:rsidRPr="00B015E9">
        <w:rPr>
          <w:sz w:val="20"/>
          <w:lang w:val="es-ES_tradnl"/>
        </w:rPr>
        <w:tab/>
        <w:t>que se espera que la utilización de sistemas radioeléctricos de fibra híbridos (HFR) presente las siguientes ventajas:</w:t>
      </w:r>
    </w:p>
    <w:p w:rsidR="00EB14D5" w:rsidRPr="00B015E9" w:rsidRDefault="00EB14D5" w:rsidP="00EB14D5">
      <w:pPr>
        <w:pStyle w:val="enumlev1"/>
        <w:rPr>
          <w:sz w:val="20"/>
          <w:lang w:val="es-ES_tradnl"/>
        </w:rPr>
      </w:pPr>
      <w:r w:rsidRPr="00B015E9">
        <w:rPr>
          <w:sz w:val="20"/>
          <w:lang w:val="es-ES_tradnl"/>
        </w:rPr>
        <w:t>–</w:t>
      </w:r>
      <w:r w:rsidRPr="00B015E9">
        <w:rPr>
          <w:sz w:val="20"/>
          <w:lang w:val="es-ES_tradnl"/>
        </w:rPr>
        <w:tab/>
        <w:t>la instalación intensiva de moduladores y demoduladores y otros equipos funcionales en una terminación de línea óptica en frente de un sistema de línea de alimentación óptica contribuye a simplificar el equipo en las unidades de antenas distantes, así como a reducir los costos de mantenimiento y explotación;</w:t>
      </w:r>
    </w:p>
    <w:p w:rsidR="00EB14D5" w:rsidRPr="00B015E9" w:rsidRDefault="00EB14D5" w:rsidP="00EB14D5">
      <w:pPr>
        <w:pStyle w:val="enumlev1"/>
        <w:rPr>
          <w:sz w:val="20"/>
          <w:lang w:val="es-ES_tradnl"/>
        </w:rPr>
      </w:pPr>
      <w:r w:rsidRPr="00B015E9">
        <w:rPr>
          <w:sz w:val="20"/>
          <w:lang w:val="es-ES_tradnl"/>
        </w:rPr>
        <w:t>–</w:t>
      </w:r>
      <w:r w:rsidRPr="00B015E9">
        <w:rPr>
          <w:sz w:val="20"/>
          <w:lang w:val="es-ES_tradnl"/>
        </w:rPr>
        <w:tab/>
        <w:t xml:space="preserve">la utilización eficaz de la anchura de banda espectral disponible en el radioenlace; </w:t>
      </w:r>
    </w:p>
    <w:p w:rsidR="00EB14D5" w:rsidRPr="00B015E9" w:rsidRDefault="00EB14D5" w:rsidP="00EB14D5">
      <w:pPr>
        <w:rPr>
          <w:sz w:val="20"/>
          <w:lang w:val="es-ES_tradnl"/>
        </w:rPr>
      </w:pPr>
      <w:r w:rsidRPr="00B015E9">
        <w:rPr>
          <w:sz w:val="20"/>
          <w:lang w:val="es-ES_tradnl"/>
        </w:rPr>
        <w:t>d)</w:t>
      </w:r>
      <w:r w:rsidRPr="00B015E9">
        <w:rPr>
          <w:sz w:val="20"/>
          <w:lang w:val="es-ES_tradnl"/>
        </w:rPr>
        <w:tab/>
        <w:t>que la técnica mencionada permite la reducción del equipo en la estación radioeléctrica de base;</w:t>
      </w:r>
    </w:p>
    <w:p w:rsidR="00EB14D5" w:rsidRPr="00B015E9" w:rsidRDefault="00EB14D5" w:rsidP="00EB14D5">
      <w:pPr>
        <w:rPr>
          <w:sz w:val="20"/>
          <w:lang w:val="es-ES_tradnl"/>
        </w:rPr>
      </w:pPr>
      <w:r w:rsidRPr="00B015E9">
        <w:rPr>
          <w:sz w:val="20"/>
          <w:lang w:val="es-ES_tradnl"/>
        </w:rPr>
        <w:t>e)</w:t>
      </w:r>
      <w:r w:rsidRPr="00B015E9">
        <w:rPr>
          <w:sz w:val="20"/>
          <w:lang w:val="es-ES_tradnl"/>
        </w:rPr>
        <w:tab/>
        <w:t>que la técnica mencionada presenta ventajas en lo que se refiere al mantenimiento y la explotación,</w:t>
      </w:r>
    </w:p>
    <w:p w:rsidR="00EB14D5" w:rsidRDefault="00EB14D5" w:rsidP="00EB14D5">
      <w:pPr>
        <w:pStyle w:val="call0"/>
        <w:rPr>
          <w:lang w:val="es-ES_tradnl"/>
        </w:rPr>
      </w:pPr>
      <w:r>
        <w:rPr>
          <w:lang w:val="es-ES_tradnl"/>
        </w:rPr>
        <w:t>recomienda</w:t>
      </w:r>
    </w:p>
    <w:p w:rsidR="00EB14D5" w:rsidRPr="00B015E9" w:rsidRDefault="00EB14D5" w:rsidP="00EB14D5">
      <w:pPr>
        <w:rPr>
          <w:sz w:val="20"/>
          <w:lang w:val="es-ES_tradnl"/>
        </w:rPr>
      </w:pPr>
      <w:r w:rsidRPr="00B015E9">
        <w:rPr>
          <w:b/>
          <w:sz w:val="20"/>
          <w:lang w:val="es-ES_tradnl"/>
        </w:rPr>
        <w:t>1</w:t>
      </w:r>
      <w:r w:rsidRPr="00B015E9">
        <w:rPr>
          <w:sz w:val="20"/>
          <w:lang w:val="es-ES_tradnl"/>
        </w:rPr>
        <w:tab/>
        <w:t>que para la configuración básica de un sistema HFR en el que las señales radioeléctricas se transportan directamente por fibras ópticas se tome como referencia la Fig. 1;</w:t>
      </w:r>
    </w:p>
    <w:p w:rsidR="00EB14D5" w:rsidRPr="00B015E9" w:rsidRDefault="00EB14D5" w:rsidP="00EB14D5">
      <w:pPr>
        <w:rPr>
          <w:sz w:val="20"/>
          <w:lang w:val="es-ES_tradnl"/>
        </w:rPr>
      </w:pPr>
      <w:r w:rsidRPr="00B015E9">
        <w:rPr>
          <w:b/>
          <w:sz w:val="20"/>
          <w:lang w:val="es-ES_tradnl"/>
        </w:rPr>
        <w:t>2</w:t>
      </w:r>
      <w:r w:rsidRPr="00B015E9">
        <w:rPr>
          <w:sz w:val="20"/>
          <w:lang w:val="es-ES_tradnl"/>
        </w:rPr>
        <w:tab/>
        <w:t>que para las posibles aplicaciones en el servicio fijo que utilizan un sistema HFR se tome como referencia el Cuadro 1;</w:t>
      </w:r>
    </w:p>
    <w:p w:rsidR="00EB14D5" w:rsidRPr="00B015E9" w:rsidRDefault="00EB14D5" w:rsidP="00EB14D5">
      <w:pPr>
        <w:rPr>
          <w:sz w:val="20"/>
          <w:lang w:val="es-ES_tradnl"/>
        </w:rPr>
      </w:pPr>
      <w:r w:rsidRPr="00B015E9">
        <w:rPr>
          <w:b/>
          <w:sz w:val="20"/>
          <w:lang w:val="es-ES_tradnl"/>
        </w:rPr>
        <w:t>3</w:t>
      </w:r>
      <w:r w:rsidRPr="00B015E9">
        <w:rPr>
          <w:sz w:val="20"/>
          <w:lang w:val="es-ES_tradnl"/>
        </w:rPr>
        <w:tab/>
        <w:t>que cuando se utilizan bandas de alta frecuencia por encima de unos 10 GHz, la frecuencia central de un modulador puede seleccionarse en las bandas de frecuencia intermedia;</w:t>
      </w:r>
    </w:p>
    <w:p w:rsidR="00EB14D5" w:rsidRPr="00B015E9" w:rsidRDefault="00EB14D5" w:rsidP="00EB14D5">
      <w:pPr>
        <w:rPr>
          <w:sz w:val="20"/>
          <w:lang w:val="es-ES_tradnl"/>
        </w:rPr>
      </w:pPr>
      <w:r w:rsidRPr="00B015E9">
        <w:rPr>
          <w:b/>
          <w:sz w:val="20"/>
          <w:lang w:val="es-ES_tradnl"/>
        </w:rPr>
        <w:t>4</w:t>
      </w:r>
      <w:r w:rsidRPr="00B015E9">
        <w:rPr>
          <w:sz w:val="20"/>
          <w:lang w:val="es-ES_tradnl"/>
        </w:rPr>
        <w:tab/>
        <w:t>que para la configuración de referencia de un sistema HFR entre nodos de servicio y redes en los locales del cliente se tome como referencia la Fig. 2. Ésta concuerda con la configuración de referencia para redes de acceso ópticas de la Recomendación UIT-T G.983. Para la interoperabilidad del sistema se define el radioenlace de acceso óptico híbrido entre los puntos de referencia V y T o entre la interfaz de nodo de servicio y la interfaz de red de usuario, y comprende los siguientes bloques funcionales:</w:t>
      </w:r>
    </w:p>
    <w:p w:rsidR="00EB14D5" w:rsidRPr="00B015E9" w:rsidRDefault="00EB14D5" w:rsidP="00EB14D5">
      <w:pPr>
        <w:pStyle w:val="enumlev1"/>
        <w:rPr>
          <w:sz w:val="20"/>
          <w:lang w:val="es-ES_tradnl"/>
        </w:rPr>
      </w:pPr>
      <w:r w:rsidRPr="00B015E9">
        <w:rPr>
          <w:sz w:val="20"/>
          <w:lang w:val="es-ES_tradnl"/>
        </w:rPr>
        <w:t>–</w:t>
      </w:r>
      <w:r w:rsidRPr="00B015E9">
        <w:rPr>
          <w:sz w:val="20"/>
          <w:lang w:val="es-ES_tradnl"/>
        </w:rPr>
        <w:tab/>
        <w:t xml:space="preserve">terminación de línea óptica, red de distribución óptica y unidad de antena distante (Parte 1) en el segmento de distribución óptica; y </w:t>
      </w:r>
    </w:p>
    <w:p w:rsidR="00EB14D5" w:rsidRPr="00B015E9" w:rsidRDefault="00EB14D5" w:rsidP="00EB14D5">
      <w:pPr>
        <w:pStyle w:val="enumlev1"/>
        <w:rPr>
          <w:sz w:val="20"/>
          <w:lang w:val="es-ES_tradnl"/>
        </w:rPr>
      </w:pPr>
      <w:r w:rsidRPr="00B015E9">
        <w:rPr>
          <w:sz w:val="20"/>
          <w:lang w:val="es-ES_tradnl"/>
        </w:rPr>
        <w:t>–</w:t>
      </w:r>
      <w:r w:rsidRPr="00B015E9">
        <w:rPr>
          <w:sz w:val="20"/>
          <w:lang w:val="es-ES_tradnl"/>
        </w:rPr>
        <w:tab/>
        <w:t>unidad de antena distante (Parte 2), medio de derivación por radioenlace y unidad de antena de terminación;</w:t>
      </w:r>
    </w:p>
    <w:p w:rsidR="00EB14D5" w:rsidRPr="00B015E9" w:rsidRDefault="00EB14D5" w:rsidP="00C347A6">
      <w:pPr>
        <w:keepNext/>
        <w:keepLines/>
        <w:rPr>
          <w:sz w:val="20"/>
          <w:lang w:val="es-ES_tradnl"/>
        </w:rPr>
      </w:pPr>
      <w:r w:rsidRPr="00B015E9">
        <w:rPr>
          <w:sz w:val="20"/>
          <w:lang w:val="es-ES_tradnl"/>
        </w:rPr>
        <w:lastRenderedPageBreak/>
        <w:t>Para permitir la compatibilidad de sistema transversal (punto medio del tramo), se recomiendan puntos de referencia adicionales (interfaces) dentro del radioenlace de acceso de fibra híbrido:</w:t>
      </w:r>
    </w:p>
    <w:p w:rsidR="00EB14D5" w:rsidRPr="00B015E9" w:rsidRDefault="00EB14D5" w:rsidP="00EB14D5">
      <w:pPr>
        <w:pStyle w:val="enumlev1"/>
        <w:rPr>
          <w:sz w:val="20"/>
          <w:lang w:val="es-ES_tradnl"/>
        </w:rPr>
      </w:pPr>
      <w:r w:rsidRPr="00B015E9">
        <w:rPr>
          <w:sz w:val="20"/>
          <w:lang w:val="es-ES_tradnl"/>
        </w:rPr>
        <w:t>–</w:t>
      </w:r>
      <w:r w:rsidRPr="00B015E9">
        <w:rPr>
          <w:sz w:val="20"/>
          <w:lang w:val="es-ES_tradnl"/>
        </w:rPr>
        <w:tab/>
        <w:t>Puntos de referencia ópticos: O</w:t>
      </w:r>
      <w:r w:rsidRPr="00AE21E3">
        <w:rPr>
          <w:sz w:val="20"/>
          <w:vertAlign w:val="subscript"/>
          <w:lang w:val="es-ES_tradnl"/>
        </w:rPr>
        <w:t>1</w:t>
      </w:r>
      <w:r w:rsidRPr="00B015E9">
        <w:rPr>
          <w:sz w:val="20"/>
          <w:vertAlign w:val="subscript"/>
          <w:lang w:val="es-ES_tradnl"/>
        </w:rPr>
        <w:t xml:space="preserve"> </w:t>
      </w:r>
      <w:r w:rsidRPr="00B015E9">
        <w:rPr>
          <w:sz w:val="20"/>
          <w:lang w:val="es-ES_tradnl"/>
        </w:rPr>
        <w:t>entre la terminación de línea y la red de distribución óptica, O</w:t>
      </w:r>
      <w:r w:rsidRPr="00B015E9">
        <w:rPr>
          <w:position w:val="-4"/>
          <w:sz w:val="20"/>
          <w:lang w:val="es-ES_tradnl"/>
        </w:rPr>
        <w:t>r</w:t>
      </w:r>
      <w:r w:rsidRPr="00B015E9">
        <w:rPr>
          <w:sz w:val="20"/>
          <w:vertAlign w:val="subscript"/>
          <w:lang w:val="es-ES_tradnl"/>
        </w:rPr>
        <w:t xml:space="preserve"> </w:t>
      </w:r>
      <w:r w:rsidRPr="00B015E9">
        <w:rPr>
          <w:sz w:val="20"/>
          <w:lang w:val="es-ES_tradnl"/>
        </w:rPr>
        <w:t>entre la red de distribución óptica y la unidad de antena distante (de acuerdo con la Recomendación UIT-T G.982),</w:t>
      </w:r>
    </w:p>
    <w:p w:rsidR="00EB14D5" w:rsidRPr="00B015E9" w:rsidRDefault="00EB14D5" w:rsidP="00B015E9">
      <w:pPr>
        <w:pStyle w:val="enumlev1"/>
        <w:rPr>
          <w:sz w:val="20"/>
          <w:lang w:val="es-ES_tradnl"/>
        </w:rPr>
      </w:pPr>
      <w:bookmarkStart w:id="4" w:name="asunto"/>
      <w:bookmarkStart w:id="5" w:name="dsgno"/>
      <w:bookmarkEnd w:id="4"/>
      <w:bookmarkEnd w:id="5"/>
      <w:r w:rsidRPr="00B015E9">
        <w:rPr>
          <w:sz w:val="20"/>
          <w:lang w:val="es-ES_tradnl"/>
        </w:rPr>
        <w:t>–</w:t>
      </w:r>
      <w:r w:rsidRPr="00B015E9">
        <w:rPr>
          <w:sz w:val="20"/>
          <w:lang w:val="es-ES_tradnl"/>
        </w:rPr>
        <w:tab/>
        <w:t>Puntos de referencia radioeléctricos: R</w:t>
      </w:r>
      <w:r w:rsidRPr="00AE21E3">
        <w:rPr>
          <w:sz w:val="20"/>
          <w:vertAlign w:val="subscript"/>
          <w:lang w:val="es-ES_tradnl"/>
        </w:rPr>
        <w:t>1</w:t>
      </w:r>
      <w:r w:rsidRPr="00B015E9">
        <w:rPr>
          <w:sz w:val="20"/>
          <w:lang w:val="es-ES_tradnl"/>
        </w:rPr>
        <w:t xml:space="preserve"> entre la unidad de antena distante y el radioenlace del medio de derivación, R</w:t>
      </w:r>
      <w:r w:rsidRPr="00AE21E3">
        <w:rPr>
          <w:sz w:val="20"/>
          <w:vertAlign w:val="subscript"/>
          <w:lang w:val="es-ES_tradnl"/>
        </w:rPr>
        <w:t>2</w:t>
      </w:r>
      <w:r w:rsidRPr="00B015E9">
        <w:rPr>
          <w:sz w:val="20"/>
          <w:lang w:val="es-ES_tradnl"/>
        </w:rPr>
        <w:t xml:space="preserve"> entre el radioenlace del medio de derivación y la unidad de antena de terminación de red; unidad de antena distante y el radioenlace medio de derivación, R</w:t>
      </w:r>
      <w:r w:rsidRPr="00AE21E3">
        <w:rPr>
          <w:sz w:val="20"/>
          <w:vertAlign w:val="subscript"/>
          <w:lang w:val="es-ES_tradnl"/>
        </w:rPr>
        <w:t>2</w:t>
      </w:r>
      <w:r w:rsidRPr="00B015E9">
        <w:rPr>
          <w:sz w:val="20"/>
          <w:lang w:val="es-ES_tradnl"/>
        </w:rPr>
        <w:t xml:space="preserve"> entre el radioenlace del medio de derivación y la unidad de antena de terminación de red;</w:t>
      </w:r>
    </w:p>
    <w:p w:rsidR="00EB14D5" w:rsidRDefault="00EB14D5" w:rsidP="00EB14D5">
      <w:pPr>
        <w:rPr>
          <w:sz w:val="20"/>
          <w:lang w:val="es-ES_tradnl"/>
        </w:rPr>
      </w:pPr>
      <w:r w:rsidRPr="00B015E9">
        <w:rPr>
          <w:b/>
          <w:sz w:val="20"/>
          <w:lang w:val="es-ES_tradnl"/>
        </w:rPr>
        <w:t>5</w:t>
      </w:r>
      <w:r w:rsidRPr="00B015E9">
        <w:rPr>
          <w:sz w:val="20"/>
          <w:lang w:val="es-ES_tradnl"/>
        </w:rPr>
        <w:tab/>
        <w:t>que para el diseño de sistemas HFR se debe hacer referencia a la información técnica recogida en el Anexo 1 para orientación adicional en la aplicación de esta Recomendación.</w:t>
      </w:r>
    </w:p>
    <w:p w:rsidR="00B56E9A" w:rsidRPr="00B015E9" w:rsidRDefault="00B56E9A" w:rsidP="00EB14D5">
      <w:pPr>
        <w:rPr>
          <w:sz w:val="20"/>
          <w:lang w:val="es-ES_tradnl"/>
        </w:rPr>
      </w:pPr>
    </w:p>
    <w:p w:rsidR="00EB14D5" w:rsidRDefault="00EB14D5" w:rsidP="00505478">
      <w:pPr>
        <w:pStyle w:val="FigureNo"/>
        <w:rPr>
          <w:lang w:val="es-ES_tradnl"/>
        </w:rPr>
      </w:pPr>
      <w:r w:rsidRPr="00505478">
        <w:rPr>
          <w:lang w:val="es-ES_tradnl"/>
        </w:rPr>
        <w:object w:dxaOrig="9533" w:dyaOrig="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5pt;height:469.7pt" o:ole="">
            <v:imagedata r:id="rId13" o:title=""/>
          </v:shape>
          <o:OLEObject Type="Embed" ProgID="Word.Document.8" ShapeID="_x0000_i1025" DrawAspect="Content" ObjectID="_1356522487" r:id="rId14"/>
        </w:object>
      </w:r>
    </w:p>
    <w:p w:rsidR="00505478" w:rsidRPr="00505478" w:rsidRDefault="00505478" w:rsidP="00505478">
      <w:pPr>
        <w:rPr>
          <w:sz w:val="20"/>
          <w:lang w:val="es-ES_tradnl"/>
        </w:rPr>
      </w:pPr>
    </w:p>
    <w:p w:rsidR="00EB14D5" w:rsidRDefault="00EB14D5" w:rsidP="00505478">
      <w:pPr>
        <w:pStyle w:val="Table"/>
        <w:spacing w:before="240"/>
        <w:rPr>
          <w:lang w:val="es-ES_tradnl"/>
        </w:rPr>
      </w:pPr>
      <w:r>
        <w:rPr>
          <w:lang w:val="es-ES_tradnl"/>
        </w:rPr>
        <w:lastRenderedPageBreak/>
        <w:t>CUADRO  1</w:t>
      </w:r>
    </w:p>
    <w:p w:rsidR="00EB14D5" w:rsidRDefault="00EB14D5" w:rsidP="00EB14D5">
      <w:pPr>
        <w:pStyle w:val="TableTitle0"/>
        <w:rPr>
          <w:lang w:val="es-ES_tradnl"/>
        </w:rPr>
      </w:pPr>
      <w:r>
        <w:rPr>
          <w:lang w:val="es-ES_tradnl"/>
        </w:rPr>
        <w:t>Posibles aplicaciones en el servicio fijo de sistemas HFR</w:t>
      </w:r>
    </w:p>
    <w:p w:rsidR="00EB14D5" w:rsidRDefault="00EB14D5" w:rsidP="00EB14D5">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381"/>
        <w:gridCol w:w="2438"/>
        <w:gridCol w:w="2438"/>
        <w:gridCol w:w="2439"/>
      </w:tblGrid>
      <w:tr w:rsidR="00EB14D5" w:rsidTr="00505478">
        <w:tc>
          <w:tcPr>
            <w:tcW w:w="2381" w:type="dxa"/>
          </w:tcPr>
          <w:p w:rsidR="00EB14D5" w:rsidRDefault="00EB14D5" w:rsidP="00505478">
            <w:pPr>
              <w:pStyle w:val="TableText0"/>
              <w:jc w:val="center"/>
              <w:rPr>
                <w:lang w:val="es-ES_tradnl"/>
              </w:rPr>
            </w:pPr>
            <w:r>
              <w:rPr>
                <w:lang w:val="es-ES_tradnl"/>
              </w:rPr>
              <w:t>Área de servicio</w:t>
            </w:r>
          </w:p>
        </w:tc>
        <w:tc>
          <w:tcPr>
            <w:tcW w:w="2438" w:type="dxa"/>
          </w:tcPr>
          <w:p w:rsidR="00EB14D5" w:rsidRDefault="00EB14D5" w:rsidP="00505478">
            <w:pPr>
              <w:pStyle w:val="TableText0"/>
              <w:jc w:val="center"/>
              <w:rPr>
                <w:lang w:val="es-ES_tradnl"/>
              </w:rPr>
            </w:pPr>
            <w:r>
              <w:rPr>
                <w:lang w:val="es-ES_tradnl"/>
              </w:rPr>
              <w:t>Interiores</w:t>
            </w:r>
          </w:p>
        </w:tc>
        <w:tc>
          <w:tcPr>
            <w:tcW w:w="4876" w:type="dxa"/>
            <w:gridSpan w:val="2"/>
          </w:tcPr>
          <w:p w:rsidR="00EB14D5" w:rsidRDefault="00EB14D5" w:rsidP="00505478">
            <w:pPr>
              <w:pStyle w:val="TableText0"/>
              <w:jc w:val="center"/>
              <w:rPr>
                <w:lang w:val="es-ES_tradnl"/>
              </w:rPr>
            </w:pPr>
            <w:r>
              <w:rPr>
                <w:lang w:val="es-ES_tradnl"/>
              </w:rPr>
              <w:t>Exteriores</w:t>
            </w:r>
          </w:p>
        </w:tc>
      </w:tr>
      <w:tr w:rsidR="00EB14D5" w:rsidTr="00505478">
        <w:tc>
          <w:tcPr>
            <w:tcW w:w="2381" w:type="dxa"/>
          </w:tcPr>
          <w:p w:rsidR="00EB14D5" w:rsidRDefault="00EB14D5" w:rsidP="00505478">
            <w:pPr>
              <w:pStyle w:val="TableText0"/>
              <w:jc w:val="center"/>
              <w:rPr>
                <w:lang w:val="es-ES_tradnl"/>
              </w:rPr>
            </w:pPr>
            <w:r>
              <w:rPr>
                <w:lang w:val="es-ES_tradnl"/>
              </w:rPr>
              <w:t>Aplicación</w:t>
            </w:r>
          </w:p>
        </w:tc>
        <w:tc>
          <w:tcPr>
            <w:tcW w:w="2438" w:type="dxa"/>
          </w:tcPr>
          <w:p w:rsidR="00EB14D5" w:rsidRDefault="00EB14D5" w:rsidP="00505478">
            <w:pPr>
              <w:pStyle w:val="TableText0"/>
              <w:jc w:val="center"/>
              <w:rPr>
                <w:lang w:val="es-ES_tradnl"/>
              </w:rPr>
            </w:pPr>
            <w:r>
              <w:rPr>
                <w:lang w:val="es-ES_tradnl"/>
              </w:rPr>
              <w:t>RRAL</w:t>
            </w:r>
          </w:p>
        </w:tc>
        <w:tc>
          <w:tcPr>
            <w:tcW w:w="2438" w:type="dxa"/>
          </w:tcPr>
          <w:p w:rsidR="00EB14D5" w:rsidRDefault="00EB14D5" w:rsidP="00505478">
            <w:pPr>
              <w:pStyle w:val="TableText0"/>
              <w:jc w:val="center"/>
              <w:rPr>
                <w:lang w:val="es-ES_tradnl"/>
              </w:rPr>
            </w:pPr>
            <w:r>
              <w:rPr>
                <w:lang w:val="es-ES_tradnl"/>
              </w:rPr>
              <w:t>FWA</w:t>
            </w:r>
          </w:p>
        </w:tc>
        <w:tc>
          <w:tcPr>
            <w:tcW w:w="2438" w:type="dxa"/>
          </w:tcPr>
          <w:p w:rsidR="00EB14D5" w:rsidRDefault="00EB14D5" w:rsidP="00505478">
            <w:pPr>
              <w:pStyle w:val="TableText0"/>
              <w:jc w:val="center"/>
              <w:rPr>
                <w:lang w:val="es-ES_tradnl"/>
              </w:rPr>
            </w:pPr>
            <w:r>
              <w:rPr>
                <w:lang w:val="es-ES_tradnl"/>
              </w:rPr>
              <w:t>Servicio transportable</w:t>
            </w:r>
          </w:p>
        </w:tc>
      </w:tr>
      <w:tr w:rsidR="00EB14D5" w:rsidRPr="00A721F8" w:rsidTr="00505478">
        <w:tc>
          <w:tcPr>
            <w:tcW w:w="2381" w:type="dxa"/>
          </w:tcPr>
          <w:p w:rsidR="00EB14D5" w:rsidRDefault="00EB14D5" w:rsidP="00505478">
            <w:pPr>
              <w:pStyle w:val="TableText0"/>
              <w:jc w:val="center"/>
              <w:rPr>
                <w:lang w:val="es-ES_tradnl"/>
              </w:rPr>
            </w:pPr>
            <w:r>
              <w:rPr>
                <w:lang w:val="es-ES_tradnl"/>
              </w:rPr>
              <w:t>Terminal de usuario</w:t>
            </w:r>
          </w:p>
        </w:tc>
        <w:tc>
          <w:tcPr>
            <w:tcW w:w="2438" w:type="dxa"/>
          </w:tcPr>
          <w:p w:rsidR="00EB14D5" w:rsidRDefault="00EB14D5" w:rsidP="00505478">
            <w:pPr>
              <w:pStyle w:val="TableText0"/>
              <w:jc w:val="center"/>
              <w:rPr>
                <w:lang w:val="es-ES_tradnl"/>
              </w:rPr>
            </w:pPr>
            <w:r>
              <w:rPr>
                <w:lang w:val="es-ES_tradnl"/>
              </w:rPr>
              <w:t>Módulo RAL</w:t>
            </w:r>
          </w:p>
        </w:tc>
        <w:tc>
          <w:tcPr>
            <w:tcW w:w="2438" w:type="dxa"/>
          </w:tcPr>
          <w:p w:rsidR="00EB14D5" w:rsidRDefault="00EB14D5" w:rsidP="00505478">
            <w:pPr>
              <w:pStyle w:val="TableText0"/>
              <w:jc w:val="center"/>
              <w:rPr>
                <w:lang w:val="es-ES_tradnl"/>
              </w:rPr>
            </w:pPr>
            <w:r>
              <w:rPr>
                <w:lang w:val="es-ES_tradnl"/>
              </w:rPr>
              <w:t>Terminal de sistema celular para utilización fija</w:t>
            </w:r>
            <w:r>
              <w:rPr>
                <w:lang w:val="es-ES_tradnl"/>
              </w:rPr>
              <w:br/>
              <w:t>punto-a-punto/</w:t>
            </w:r>
            <w:r>
              <w:rPr>
                <w:lang w:val="es-ES_tradnl"/>
              </w:rPr>
              <w:br/>
              <w:t>punto-a-multipunto</w:t>
            </w:r>
          </w:p>
        </w:tc>
        <w:tc>
          <w:tcPr>
            <w:tcW w:w="2438" w:type="dxa"/>
          </w:tcPr>
          <w:p w:rsidR="00EB14D5" w:rsidRDefault="00EB14D5" w:rsidP="00505478">
            <w:pPr>
              <w:pStyle w:val="TableText0"/>
              <w:jc w:val="center"/>
              <w:rPr>
                <w:lang w:val="es-ES_tradnl"/>
              </w:rPr>
            </w:pPr>
            <w:r>
              <w:rPr>
                <w:lang w:val="es-ES_tradnl"/>
              </w:rPr>
              <w:t>Terminal vídeo/datos/</w:t>
            </w:r>
            <w:r>
              <w:rPr>
                <w:lang w:val="es-ES_tradnl"/>
              </w:rPr>
              <w:br/>
              <w:t>voz transportable</w:t>
            </w:r>
          </w:p>
        </w:tc>
      </w:tr>
      <w:tr w:rsidR="00EB14D5" w:rsidTr="00505478">
        <w:tc>
          <w:tcPr>
            <w:tcW w:w="2381" w:type="dxa"/>
          </w:tcPr>
          <w:p w:rsidR="00EB14D5" w:rsidRDefault="00EB14D5" w:rsidP="00505478">
            <w:pPr>
              <w:pStyle w:val="TableText0"/>
              <w:jc w:val="center"/>
              <w:rPr>
                <w:lang w:val="es-ES_tradnl"/>
              </w:rPr>
            </w:pPr>
            <w:r>
              <w:rPr>
                <w:lang w:val="es-ES_tradnl"/>
              </w:rPr>
              <w:t>Radiofrecuencia</w:t>
            </w:r>
            <w:r>
              <w:rPr>
                <w:lang w:val="es-ES_tradnl"/>
              </w:rPr>
              <w:br/>
              <w:t>posible</w:t>
            </w:r>
            <w:r>
              <w:rPr>
                <w:position w:val="6"/>
                <w:sz w:val="14"/>
                <w:lang w:val="es-ES_tradnl"/>
              </w:rPr>
              <w:t>(1)</w:t>
            </w:r>
          </w:p>
        </w:tc>
        <w:tc>
          <w:tcPr>
            <w:tcW w:w="2438" w:type="dxa"/>
          </w:tcPr>
          <w:p w:rsidR="00EB14D5" w:rsidRDefault="00EB14D5" w:rsidP="00505478">
            <w:pPr>
              <w:pStyle w:val="TableText0"/>
              <w:jc w:val="center"/>
              <w:rPr>
                <w:lang w:val="es-ES_tradnl"/>
              </w:rPr>
            </w:pPr>
            <w:r>
              <w:rPr>
                <w:lang w:val="es-ES_tradnl"/>
              </w:rPr>
              <w:t>Ondas decimétricas/</w:t>
            </w:r>
            <w:r>
              <w:rPr>
                <w:lang w:val="es-ES_tradnl"/>
              </w:rPr>
              <w:br/>
              <w:t>centimétricas/milimétricas</w:t>
            </w:r>
          </w:p>
        </w:tc>
        <w:tc>
          <w:tcPr>
            <w:tcW w:w="2438" w:type="dxa"/>
          </w:tcPr>
          <w:p w:rsidR="00EB14D5" w:rsidRDefault="00EB14D5" w:rsidP="00505478">
            <w:pPr>
              <w:pStyle w:val="TableText0"/>
              <w:jc w:val="center"/>
              <w:rPr>
                <w:lang w:val="es-ES_tradnl"/>
              </w:rPr>
            </w:pPr>
            <w:r>
              <w:rPr>
                <w:lang w:val="es-ES_tradnl"/>
              </w:rPr>
              <w:t>Ondas decimétricas/ centimétricas/milimétricas</w:t>
            </w:r>
          </w:p>
        </w:tc>
        <w:tc>
          <w:tcPr>
            <w:tcW w:w="2438" w:type="dxa"/>
          </w:tcPr>
          <w:p w:rsidR="00EB14D5" w:rsidRDefault="00EB14D5" w:rsidP="00505478">
            <w:pPr>
              <w:pStyle w:val="TableText0"/>
              <w:jc w:val="center"/>
              <w:rPr>
                <w:lang w:val="es-ES_tradnl"/>
              </w:rPr>
            </w:pPr>
            <w:r>
              <w:rPr>
                <w:lang w:val="es-ES_tradnl"/>
              </w:rPr>
              <w:t>Ondas centimétricas/ milimétricas</w:t>
            </w:r>
          </w:p>
        </w:tc>
      </w:tr>
      <w:tr w:rsidR="00EB14D5" w:rsidTr="00505478">
        <w:tc>
          <w:tcPr>
            <w:tcW w:w="2381" w:type="dxa"/>
          </w:tcPr>
          <w:p w:rsidR="00EB14D5" w:rsidRDefault="00EB14D5" w:rsidP="00505478">
            <w:pPr>
              <w:pStyle w:val="TableText0"/>
              <w:jc w:val="center"/>
              <w:rPr>
                <w:lang w:val="es-ES_tradnl"/>
              </w:rPr>
            </w:pPr>
            <w:r>
              <w:rPr>
                <w:lang w:val="es-ES_tradnl"/>
              </w:rPr>
              <w:t>Plan de acceso en</w:t>
            </w:r>
            <w:r>
              <w:rPr>
                <w:lang w:val="es-ES_tradnl"/>
              </w:rPr>
              <w:br/>
              <w:t>el enlace radioeléctrico</w:t>
            </w:r>
          </w:p>
        </w:tc>
        <w:tc>
          <w:tcPr>
            <w:tcW w:w="2438" w:type="dxa"/>
          </w:tcPr>
          <w:p w:rsidR="00EB14D5" w:rsidRDefault="00EB14D5" w:rsidP="00505478">
            <w:pPr>
              <w:pStyle w:val="TableText0"/>
              <w:jc w:val="center"/>
              <w:rPr>
                <w:lang w:val="es-ES_tradnl"/>
              </w:rPr>
            </w:pPr>
            <w:r>
              <w:rPr>
                <w:lang w:val="es-ES_tradnl"/>
              </w:rPr>
              <w:t>AMDT/AMDC/AMDF</w:t>
            </w:r>
          </w:p>
        </w:tc>
        <w:tc>
          <w:tcPr>
            <w:tcW w:w="2438" w:type="dxa"/>
          </w:tcPr>
          <w:p w:rsidR="00EB14D5" w:rsidRDefault="00EB14D5" w:rsidP="00505478">
            <w:pPr>
              <w:pStyle w:val="TableText0"/>
              <w:jc w:val="center"/>
              <w:rPr>
                <w:lang w:val="es-ES_tradnl"/>
              </w:rPr>
            </w:pPr>
            <w:r>
              <w:rPr>
                <w:lang w:val="es-ES_tradnl"/>
              </w:rPr>
              <w:t>AMDT/AMDC/AMDF</w:t>
            </w:r>
          </w:p>
        </w:tc>
        <w:tc>
          <w:tcPr>
            <w:tcW w:w="2438" w:type="dxa"/>
          </w:tcPr>
          <w:p w:rsidR="00EB14D5" w:rsidRDefault="00EB14D5" w:rsidP="00505478">
            <w:pPr>
              <w:pStyle w:val="TableText0"/>
              <w:jc w:val="center"/>
              <w:rPr>
                <w:lang w:val="es-ES_tradnl"/>
              </w:rPr>
            </w:pPr>
            <w:r>
              <w:rPr>
                <w:lang w:val="es-ES_tradnl"/>
              </w:rPr>
              <w:t>AMDT/AMDC/AMDF</w:t>
            </w:r>
          </w:p>
        </w:tc>
      </w:tr>
      <w:tr w:rsidR="00EB14D5" w:rsidRPr="00A721F8" w:rsidTr="00505478">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696" w:type="dxa"/>
            <w:gridSpan w:val="4"/>
          </w:tcPr>
          <w:p w:rsidR="00EB14D5" w:rsidRPr="00505478" w:rsidRDefault="00EB14D5" w:rsidP="00505478">
            <w:pPr>
              <w:pStyle w:val="TableLegend0"/>
              <w:tabs>
                <w:tab w:val="clear" w:pos="794"/>
                <w:tab w:val="clear" w:pos="1191"/>
                <w:tab w:val="clear" w:pos="1588"/>
                <w:tab w:val="clear" w:pos="1985"/>
                <w:tab w:val="left" w:pos="284"/>
              </w:tabs>
              <w:jc w:val="left"/>
              <w:rPr>
                <w:lang w:val="es-ES_tradnl"/>
              </w:rPr>
            </w:pPr>
            <w:r>
              <w:rPr>
                <w:position w:val="6"/>
                <w:sz w:val="14"/>
                <w:lang w:val="es-ES_tradnl"/>
              </w:rPr>
              <w:t>(</w:t>
            </w:r>
            <w:r w:rsidRPr="00505478">
              <w:rPr>
                <w:position w:val="6"/>
                <w:lang w:val="es-ES_tradnl"/>
              </w:rPr>
              <w:t>1)</w:t>
            </w:r>
            <w:r w:rsidRPr="00505478">
              <w:rPr>
                <w:lang w:val="es-ES_tradnl"/>
              </w:rPr>
              <w:tab/>
              <w:t>Ondas decimétricas:</w:t>
            </w:r>
            <w:r w:rsidRPr="00505478">
              <w:rPr>
                <w:lang w:val="es-ES_tradnl"/>
              </w:rPr>
              <w:tab/>
              <w:t>300-3</w:t>
            </w:r>
            <w:r w:rsidRPr="00505478">
              <w:rPr>
                <w:rFonts w:ascii="Tms Rmn" w:hAnsi="Tms Rmn"/>
                <w:lang w:val="es-ES_tradnl"/>
              </w:rPr>
              <w:t> </w:t>
            </w:r>
            <w:r w:rsidRPr="00505478">
              <w:rPr>
                <w:lang w:val="es-ES_tradnl"/>
              </w:rPr>
              <w:t>000 MHz.</w:t>
            </w:r>
            <w:r w:rsidRPr="00505478">
              <w:rPr>
                <w:lang w:val="es-ES_tradnl"/>
              </w:rPr>
              <w:br/>
            </w:r>
            <w:r w:rsidR="00505478">
              <w:rPr>
                <w:lang w:val="es-ES_tradnl"/>
              </w:rPr>
              <w:tab/>
            </w:r>
            <w:r w:rsidRPr="00505478">
              <w:rPr>
                <w:lang w:val="es-ES_tradnl"/>
              </w:rPr>
              <w:t>Ondas centimétricas:</w:t>
            </w:r>
            <w:r w:rsidRPr="00505478">
              <w:rPr>
                <w:lang w:val="es-ES_tradnl"/>
              </w:rPr>
              <w:tab/>
              <w:t>3-30 GHz.</w:t>
            </w:r>
            <w:r w:rsidRPr="00505478">
              <w:rPr>
                <w:lang w:val="es-ES_tradnl"/>
              </w:rPr>
              <w:br/>
            </w:r>
            <w:r w:rsidR="00505478">
              <w:rPr>
                <w:lang w:val="es-ES_tradnl"/>
              </w:rPr>
              <w:tab/>
            </w:r>
            <w:r w:rsidRPr="00505478">
              <w:rPr>
                <w:lang w:val="es-ES_tradnl"/>
              </w:rPr>
              <w:t>Ondas milimétricas:</w:t>
            </w:r>
            <w:r w:rsidRPr="00505478">
              <w:rPr>
                <w:lang w:val="es-ES_tradnl"/>
              </w:rPr>
              <w:tab/>
              <w:t>por encima de 30 GHz.</w:t>
            </w:r>
          </w:p>
          <w:p w:rsidR="00EB14D5" w:rsidRPr="00EB14D5" w:rsidRDefault="00EB14D5" w:rsidP="00505478">
            <w:pPr>
              <w:pStyle w:val="TableLegend0"/>
              <w:tabs>
                <w:tab w:val="clear" w:pos="794"/>
                <w:tab w:val="clear" w:pos="1191"/>
                <w:tab w:val="clear" w:pos="1588"/>
                <w:tab w:val="clear" w:pos="1985"/>
                <w:tab w:val="left" w:pos="284"/>
              </w:tabs>
              <w:jc w:val="left"/>
              <w:rPr>
                <w:lang w:val="es-ES_tradnl"/>
              </w:rPr>
            </w:pPr>
            <w:r w:rsidRPr="00505478">
              <w:rPr>
                <w:lang w:val="es-ES_tradnl"/>
              </w:rPr>
              <w:t>Véanse las abreviaturas en el § 2 del Anexo 1.</w:t>
            </w:r>
          </w:p>
        </w:tc>
      </w:tr>
    </w:tbl>
    <w:p w:rsidR="00EB14D5" w:rsidRDefault="00EB14D5" w:rsidP="00EB14D5">
      <w:pPr>
        <w:pStyle w:val="Tablefin"/>
        <w:rPr>
          <w:lang w:val="es-ES_tradnl"/>
        </w:rPr>
      </w:pPr>
    </w:p>
    <w:p w:rsidR="00B56E9A" w:rsidRPr="00B56E9A" w:rsidRDefault="00B56E9A" w:rsidP="00B56E9A">
      <w:pPr>
        <w:rPr>
          <w:lang w:val="es-ES_tradnl"/>
        </w:rPr>
      </w:pPr>
    </w:p>
    <w:p w:rsidR="00EB14D5" w:rsidRDefault="00EB14D5" w:rsidP="0062597F">
      <w:pPr>
        <w:pStyle w:val="FigureNo"/>
        <w:rPr>
          <w:lang w:val="es-ES_tradnl"/>
        </w:rPr>
      </w:pPr>
      <w:r w:rsidRPr="008F4245">
        <w:rPr>
          <w:lang w:val="es-ES_tradnl"/>
        </w:rPr>
        <w:object w:dxaOrig="8617" w:dyaOrig="4431">
          <v:shape id="_x0000_i1026" type="#_x0000_t75" style="width:430.9pt;height:221.05pt" o:ole="">
            <v:imagedata r:id="rId15" o:title=""/>
          </v:shape>
          <o:OLEObject Type="Embed" ProgID="Word.Picture.8" ShapeID="_x0000_i1026" DrawAspect="Content" ObjectID="_1356522488" r:id="rId16"/>
        </w:object>
      </w:r>
    </w:p>
    <w:p w:rsidR="00EB14D5" w:rsidRPr="0062597F" w:rsidRDefault="00EB14D5" w:rsidP="00EB14D5">
      <w:pPr>
        <w:rPr>
          <w:sz w:val="20"/>
          <w:lang w:val="es-ES_tradnl"/>
        </w:rPr>
      </w:pPr>
    </w:p>
    <w:p w:rsidR="00B56E9A" w:rsidRDefault="00B56E9A">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Pr>
          <w:lang w:val="es-ES_tradnl"/>
        </w:rPr>
        <w:br w:type="page"/>
      </w:r>
    </w:p>
    <w:p w:rsidR="00EB14D5" w:rsidRDefault="00EB14D5" w:rsidP="00EB14D5">
      <w:pPr>
        <w:pStyle w:val="Annex"/>
        <w:rPr>
          <w:lang w:val="es-ES_tradnl"/>
        </w:rPr>
      </w:pPr>
      <w:r>
        <w:rPr>
          <w:lang w:val="es-ES_tradnl"/>
        </w:rPr>
        <w:lastRenderedPageBreak/>
        <w:t>ANEXO  1</w:t>
      </w:r>
    </w:p>
    <w:p w:rsidR="00EB14D5" w:rsidRDefault="00EB14D5" w:rsidP="00EB14D5">
      <w:pPr>
        <w:pStyle w:val="Heading1"/>
        <w:rPr>
          <w:lang w:val="es-ES_tradnl"/>
        </w:rPr>
      </w:pPr>
      <w:r>
        <w:rPr>
          <w:lang w:val="es-ES_tradnl"/>
        </w:rPr>
        <w:t>1</w:t>
      </w:r>
      <w:r>
        <w:rPr>
          <w:lang w:val="es-ES_tradnl"/>
        </w:rPr>
        <w:tab/>
        <w:t>Introducción</w:t>
      </w:r>
    </w:p>
    <w:p w:rsidR="00EB14D5" w:rsidRPr="0062597F" w:rsidRDefault="00EB14D5" w:rsidP="00EB14D5">
      <w:pPr>
        <w:rPr>
          <w:sz w:val="20"/>
          <w:lang w:val="es-ES_tradnl"/>
        </w:rPr>
      </w:pPr>
      <w:r w:rsidRPr="0062597F">
        <w:rPr>
          <w:sz w:val="20"/>
          <w:lang w:val="es-ES_tradnl"/>
        </w:rPr>
        <w:t>En los futuros servicios (interactivos) de banda ancha, las fibras ópticas se introducirán ampliamente en las redes de abonado, llevando a la práctica el concepto de fibra hasta el reborde (FTTC), fibra hasta la oficina (FTTO) o fibra hasta el hogar (FTTH). Por otra parte, los clientes pueden desear utilizar varios servicios proporcionados por diferentes redes de núcleo también en aplicaciones inalámbricas debido a la creciente demanda y competencia, la falta de anchura de banda disponible o a un despliegue rápido y rentable. Esta aplicaciones incluyen los terminales de datos/vídeo/voz transportables FWA o los computadores personales transportables empleados en los módulos de la red radioeléctrica de área local (RRAL). Con el fin de hacer frente a esta demanda, convendría introducir sistemas HFR en los que las señales radioeléctricas se transmitan directamente a través de fibras ópticas.</w:t>
      </w:r>
    </w:p>
    <w:p w:rsidR="00EB14D5" w:rsidRPr="0062597F" w:rsidRDefault="00EB14D5" w:rsidP="00EB14D5">
      <w:pPr>
        <w:rPr>
          <w:sz w:val="20"/>
          <w:lang w:val="es-ES_tradnl"/>
        </w:rPr>
      </w:pPr>
      <w:r w:rsidRPr="0062597F">
        <w:rPr>
          <w:sz w:val="20"/>
          <w:lang w:val="es-ES_tradnl"/>
        </w:rPr>
        <w:t>En este Anexo se aborda el concepto básico y sus fundamentos técnicos de sistemas HFR.</w:t>
      </w:r>
    </w:p>
    <w:p w:rsidR="00EB14D5" w:rsidRDefault="00EB14D5" w:rsidP="00EB14D5">
      <w:pPr>
        <w:pStyle w:val="Heading1"/>
        <w:rPr>
          <w:lang w:val="es-ES_tradnl"/>
        </w:rPr>
      </w:pPr>
      <w:r>
        <w:rPr>
          <w:lang w:val="es-ES_tradnl"/>
        </w:rPr>
        <w:t>2</w:t>
      </w:r>
      <w:r>
        <w:rPr>
          <w:lang w:val="es-ES_tradnl"/>
        </w:rPr>
        <w:tab/>
        <w:t>Abreviaturas</w:t>
      </w:r>
    </w:p>
    <w:p w:rsidR="00EB14D5" w:rsidRPr="0062597F" w:rsidRDefault="00EB14D5" w:rsidP="0062597F">
      <w:pPr>
        <w:rPr>
          <w:sz w:val="20"/>
          <w:lang w:val="es-ES_tradnl"/>
        </w:rPr>
      </w:pPr>
      <w:r w:rsidRPr="0062597F">
        <w:rPr>
          <w:sz w:val="20"/>
          <w:lang w:val="es-ES_tradnl"/>
        </w:rPr>
        <w:t>AMDC</w:t>
      </w:r>
      <w:r w:rsidRPr="0062597F">
        <w:rPr>
          <w:sz w:val="20"/>
          <w:lang w:val="es-ES_tradnl"/>
        </w:rPr>
        <w:tab/>
        <w:t>Acceso múltiple por división de código</w:t>
      </w:r>
    </w:p>
    <w:p w:rsidR="00EB14D5" w:rsidRPr="0062597F" w:rsidRDefault="00EB14D5" w:rsidP="0062597F">
      <w:pPr>
        <w:rPr>
          <w:sz w:val="20"/>
          <w:lang w:val="es-ES_tradnl"/>
        </w:rPr>
      </w:pPr>
      <w:r w:rsidRPr="0062597F">
        <w:rPr>
          <w:sz w:val="20"/>
          <w:lang w:val="es-ES_tradnl"/>
        </w:rPr>
        <w:t>AMDF</w:t>
      </w:r>
      <w:r w:rsidRPr="0062597F">
        <w:rPr>
          <w:sz w:val="20"/>
          <w:lang w:val="es-ES_tradnl"/>
        </w:rPr>
        <w:tab/>
        <w:t>Acceso múltiple por división de frecuencia</w:t>
      </w:r>
    </w:p>
    <w:p w:rsidR="00EB14D5" w:rsidRPr="0062597F" w:rsidRDefault="00EB14D5" w:rsidP="0062597F">
      <w:pPr>
        <w:rPr>
          <w:sz w:val="20"/>
          <w:lang w:val="es-ES_tradnl"/>
        </w:rPr>
      </w:pPr>
      <w:r w:rsidRPr="0062597F">
        <w:rPr>
          <w:sz w:val="20"/>
          <w:lang w:val="es-ES_tradnl"/>
        </w:rPr>
        <w:t>AMDT</w:t>
      </w:r>
      <w:r w:rsidRPr="0062597F">
        <w:rPr>
          <w:sz w:val="20"/>
          <w:lang w:val="es-ES_tradnl"/>
        </w:rPr>
        <w:tab/>
        <w:t>Acceso múltiple por división de tiempo</w:t>
      </w:r>
    </w:p>
    <w:p w:rsidR="00EB14D5" w:rsidRPr="0062597F" w:rsidRDefault="00EB14D5" w:rsidP="0062597F">
      <w:pPr>
        <w:rPr>
          <w:sz w:val="20"/>
          <w:lang w:val="es-ES_tradnl"/>
        </w:rPr>
      </w:pPr>
      <w:r w:rsidRPr="0062597F">
        <w:rPr>
          <w:i/>
          <w:sz w:val="20"/>
          <w:lang w:val="es-ES_tradnl"/>
        </w:rPr>
        <w:t>C/N</w:t>
      </w:r>
      <w:r w:rsidRPr="0062597F">
        <w:rPr>
          <w:sz w:val="20"/>
          <w:lang w:val="es-ES_tradnl"/>
        </w:rPr>
        <w:tab/>
        <w:t>Relación portadora/ruido</w:t>
      </w:r>
    </w:p>
    <w:p w:rsidR="00EB14D5" w:rsidRPr="0062597F" w:rsidRDefault="00EB14D5" w:rsidP="0062597F">
      <w:pPr>
        <w:rPr>
          <w:sz w:val="20"/>
          <w:lang w:val="es-ES_tradnl"/>
        </w:rPr>
      </w:pPr>
      <w:r w:rsidRPr="0062597F">
        <w:rPr>
          <w:sz w:val="20"/>
          <w:lang w:val="es-ES_tradnl"/>
        </w:rPr>
        <w:t>CAG</w:t>
      </w:r>
      <w:r w:rsidRPr="0062597F">
        <w:rPr>
          <w:sz w:val="20"/>
          <w:lang w:val="es-ES_tradnl"/>
        </w:rPr>
        <w:tab/>
        <w:t>Control automático de ganancia</w:t>
      </w:r>
    </w:p>
    <w:p w:rsidR="00EB14D5" w:rsidRPr="0062597F" w:rsidRDefault="00EB14D5" w:rsidP="0062597F">
      <w:pPr>
        <w:rPr>
          <w:sz w:val="20"/>
          <w:lang w:val="es-ES_tradnl"/>
        </w:rPr>
      </w:pPr>
      <w:r w:rsidRPr="0062597F">
        <w:rPr>
          <w:sz w:val="20"/>
          <w:lang w:val="es-ES_tradnl"/>
        </w:rPr>
        <w:t>CPN</w:t>
      </w:r>
      <w:r w:rsidRPr="0062597F">
        <w:rPr>
          <w:sz w:val="20"/>
          <w:lang w:val="es-ES_tradnl"/>
        </w:rPr>
        <w:tab/>
        <w:t>Red en locales de clientes (</w:t>
      </w:r>
      <w:r w:rsidRPr="0062597F">
        <w:rPr>
          <w:i/>
          <w:sz w:val="20"/>
          <w:lang w:val="es-ES_tradnl"/>
        </w:rPr>
        <w:t>customer premises network</w:t>
      </w:r>
      <w:r w:rsidRPr="0062597F">
        <w:rPr>
          <w:sz w:val="20"/>
          <w:lang w:val="es-ES_tradnl"/>
        </w:rPr>
        <w:t>)</w:t>
      </w:r>
    </w:p>
    <w:p w:rsidR="00EB14D5" w:rsidRPr="0062597F" w:rsidRDefault="00EB14D5" w:rsidP="0062597F">
      <w:pPr>
        <w:rPr>
          <w:sz w:val="20"/>
          <w:lang w:val="es-ES_tradnl"/>
        </w:rPr>
      </w:pPr>
      <w:r w:rsidRPr="0062597F">
        <w:rPr>
          <w:sz w:val="20"/>
          <w:lang w:val="es-ES_tradnl"/>
        </w:rPr>
        <w:t>DDT</w:t>
      </w:r>
      <w:r w:rsidRPr="0062597F">
        <w:rPr>
          <w:sz w:val="20"/>
          <w:lang w:val="es-ES_tradnl"/>
        </w:rPr>
        <w:tab/>
        <w:t>Dúplex por división de tiempo</w:t>
      </w:r>
    </w:p>
    <w:p w:rsidR="00EB14D5" w:rsidRPr="0062597F" w:rsidRDefault="00EB14D5" w:rsidP="0062597F">
      <w:pPr>
        <w:rPr>
          <w:sz w:val="20"/>
          <w:lang w:val="es-ES_tradnl"/>
        </w:rPr>
      </w:pPr>
      <w:r w:rsidRPr="0062597F">
        <w:rPr>
          <w:sz w:val="20"/>
          <w:lang w:val="es-ES_tradnl"/>
        </w:rPr>
        <w:t>E/O</w:t>
      </w:r>
      <w:r w:rsidRPr="0062597F">
        <w:rPr>
          <w:sz w:val="20"/>
          <w:lang w:val="es-ES_tradnl"/>
        </w:rPr>
        <w:tab/>
        <w:t>Conversión eléctrica a óptica</w:t>
      </w:r>
    </w:p>
    <w:p w:rsidR="00EB14D5" w:rsidRPr="0062597F" w:rsidRDefault="00EB14D5" w:rsidP="0062597F">
      <w:pPr>
        <w:rPr>
          <w:sz w:val="20"/>
          <w:lang w:val="es-ES_tradnl"/>
        </w:rPr>
      </w:pPr>
      <w:r w:rsidRPr="0062597F">
        <w:rPr>
          <w:sz w:val="20"/>
          <w:lang w:val="es-ES_tradnl"/>
        </w:rPr>
        <w:t>FI</w:t>
      </w:r>
      <w:r w:rsidRPr="0062597F">
        <w:rPr>
          <w:sz w:val="20"/>
          <w:lang w:val="es-ES_tradnl"/>
        </w:rPr>
        <w:tab/>
        <w:t>Frecuencia intermedia</w:t>
      </w:r>
    </w:p>
    <w:p w:rsidR="00EB14D5" w:rsidRPr="0062597F" w:rsidRDefault="00EB14D5" w:rsidP="0062597F">
      <w:pPr>
        <w:rPr>
          <w:sz w:val="20"/>
          <w:lang w:val="es-ES_tradnl"/>
        </w:rPr>
      </w:pPr>
      <w:r w:rsidRPr="0062597F">
        <w:rPr>
          <w:sz w:val="20"/>
          <w:lang w:val="es-ES_tradnl"/>
        </w:rPr>
        <w:t>FTTC</w:t>
      </w:r>
      <w:r w:rsidRPr="0062597F">
        <w:rPr>
          <w:sz w:val="20"/>
          <w:lang w:val="es-ES_tradnl"/>
        </w:rPr>
        <w:tab/>
        <w:t>Fibra hasta el reborde (</w:t>
      </w:r>
      <w:r w:rsidRPr="0062597F">
        <w:rPr>
          <w:i/>
          <w:sz w:val="20"/>
          <w:lang w:val="es-ES_tradnl"/>
        </w:rPr>
        <w:t>fibre to the curb</w:t>
      </w:r>
      <w:r w:rsidRPr="0062597F">
        <w:rPr>
          <w:sz w:val="20"/>
          <w:lang w:val="es-ES_tradnl"/>
        </w:rPr>
        <w:t>)</w:t>
      </w:r>
    </w:p>
    <w:p w:rsidR="00EB14D5" w:rsidRPr="0062597F" w:rsidRDefault="00EB14D5" w:rsidP="0062597F">
      <w:pPr>
        <w:rPr>
          <w:sz w:val="20"/>
          <w:lang w:val="es-ES_tradnl"/>
        </w:rPr>
      </w:pPr>
      <w:r w:rsidRPr="0062597F">
        <w:rPr>
          <w:sz w:val="20"/>
          <w:lang w:val="es-ES_tradnl"/>
        </w:rPr>
        <w:t>FTTH</w:t>
      </w:r>
      <w:r w:rsidRPr="0062597F">
        <w:rPr>
          <w:sz w:val="20"/>
          <w:lang w:val="es-ES_tradnl"/>
        </w:rPr>
        <w:tab/>
        <w:t>Fibra hasta el hogar (</w:t>
      </w:r>
      <w:r w:rsidRPr="0062597F">
        <w:rPr>
          <w:i/>
          <w:sz w:val="20"/>
          <w:lang w:val="es-ES_tradnl"/>
        </w:rPr>
        <w:t>fibre to the home</w:t>
      </w:r>
      <w:r w:rsidRPr="0062597F">
        <w:rPr>
          <w:sz w:val="20"/>
          <w:lang w:val="es-ES_tradnl"/>
        </w:rPr>
        <w:t>)</w:t>
      </w:r>
    </w:p>
    <w:p w:rsidR="00EB14D5" w:rsidRPr="0062597F" w:rsidRDefault="00EB14D5" w:rsidP="0062597F">
      <w:pPr>
        <w:rPr>
          <w:sz w:val="20"/>
          <w:lang w:val="es-ES_tradnl"/>
        </w:rPr>
      </w:pPr>
      <w:r w:rsidRPr="0062597F">
        <w:rPr>
          <w:sz w:val="20"/>
          <w:lang w:val="es-ES_tradnl"/>
        </w:rPr>
        <w:t>FTTO</w:t>
      </w:r>
      <w:r w:rsidRPr="0062597F">
        <w:rPr>
          <w:sz w:val="20"/>
          <w:lang w:val="es-ES_tradnl"/>
        </w:rPr>
        <w:tab/>
        <w:t>Fibra hasta la oficina (</w:t>
      </w:r>
      <w:r w:rsidRPr="0062597F">
        <w:rPr>
          <w:i/>
          <w:sz w:val="20"/>
          <w:lang w:val="es-ES_tradnl"/>
        </w:rPr>
        <w:t>fibre to the office</w:t>
      </w:r>
      <w:r w:rsidRPr="0062597F">
        <w:rPr>
          <w:sz w:val="20"/>
          <w:lang w:val="es-ES_tradnl"/>
        </w:rPr>
        <w:t>)</w:t>
      </w:r>
    </w:p>
    <w:p w:rsidR="00EB14D5" w:rsidRPr="0062597F" w:rsidRDefault="00EB14D5" w:rsidP="0062597F">
      <w:pPr>
        <w:rPr>
          <w:sz w:val="20"/>
          <w:lang w:val="es-ES_tradnl"/>
        </w:rPr>
      </w:pPr>
      <w:r w:rsidRPr="0062597F">
        <w:rPr>
          <w:sz w:val="20"/>
          <w:lang w:val="es-ES_tradnl"/>
        </w:rPr>
        <w:t>FWA</w:t>
      </w:r>
      <w:r w:rsidRPr="0062597F">
        <w:rPr>
          <w:sz w:val="20"/>
          <w:lang w:val="es-ES_tradnl"/>
        </w:rPr>
        <w:tab/>
        <w:t>Acceso inalámbrico fijo (</w:t>
      </w:r>
      <w:r w:rsidRPr="0062597F">
        <w:rPr>
          <w:i/>
          <w:sz w:val="20"/>
          <w:lang w:val="es-ES_tradnl"/>
        </w:rPr>
        <w:t>fixed wireless access</w:t>
      </w:r>
      <w:r w:rsidRPr="0062597F">
        <w:rPr>
          <w:sz w:val="20"/>
          <w:lang w:val="es-ES_tradnl"/>
        </w:rPr>
        <w:t>)</w:t>
      </w:r>
    </w:p>
    <w:p w:rsidR="00EB14D5" w:rsidRPr="0062597F" w:rsidRDefault="00EB14D5" w:rsidP="0062597F">
      <w:pPr>
        <w:rPr>
          <w:sz w:val="20"/>
          <w:lang w:val="es-ES_tradnl"/>
        </w:rPr>
      </w:pPr>
      <w:r w:rsidRPr="0062597F">
        <w:rPr>
          <w:sz w:val="20"/>
          <w:lang w:val="es-ES_tradnl"/>
        </w:rPr>
        <w:t>HFR</w:t>
      </w:r>
      <w:r w:rsidRPr="0062597F">
        <w:rPr>
          <w:sz w:val="20"/>
          <w:lang w:val="es-ES_tradnl"/>
        </w:rPr>
        <w:tab/>
        <w:t>Sistema radioeléctrico de fibra híbrido (</w:t>
      </w:r>
      <w:r w:rsidRPr="0062597F">
        <w:rPr>
          <w:i/>
          <w:sz w:val="20"/>
          <w:lang w:val="es-ES_tradnl"/>
        </w:rPr>
        <w:t>hybrid fibre-radio</w:t>
      </w:r>
      <w:r w:rsidRPr="0062597F">
        <w:rPr>
          <w:sz w:val="20"/>
          <w:lang w:val="es-ES_tradnl"/>
        </w:rPr>
        <w:t>)</w:t>
      </w:r>
    </w:p>
    <w:p w:rsidR="00EB14D5" w:rsidRPr="0062597F" w:rsidRDefault="00EB14D5" w:rsidP="0062597F">
      <w:pPr>
        <w:rPr>
          <w:sz w:val="20"/>
          <w:lang w:val="es-ES_tradnl"/>
        </w:rPr>
      </w:pPr>
      <w:r w:rsidRPr="0062597F">
        <w:rPr>
          <w:sz w:val="20"/>
          <w:lang w:val="es-ES_tradnl"/>
        </w:rPr>
        <w:t>IM</w:t>
      </w:r>
      <w:r w:rsidRPr="0062597F">
        <w:rPr>
          <w:sz w:val="20"/>
          <w:lang w:val="es-ES_tradnl"/>
        </w:rPr>
        <w:tab/>
        <w:t>Intermodulación</w:t>
      </w:r>
    </w:p>
    <w:p w:rsidR="00EB14D5" w:rsidRPr="0062597F" w:rsidRDefault="00EB14D5" w:rsidP="0062597F">
      <w:pPr>
        <w:rPr>
          <w:sz w:val="20"/>
          <w:lang w:val="es-ES_tradnl"/>
        </w:rPr>
      </w:pPr>
      <w:r w:rsidRPr="0062597F">
        <w:rPr>
          <w:sz w:val="20"/>
          <w:lang w:val="es-ES_tradnl"/>
        </w:rPr>
        <w:t>LD</w:t>
      </w:r>
      <w:r w:rsidRPr="0062597F">
        <w:rPr>
          <w:sz w:val="20"/>
          <w:lang w:val="es-ES_tradnl"/>
        </w:rPr>
        <w:tab/>
        <w:t>Diodo láser (</w:t>
      </w:r>
      <w:r w:rsidRPr="0062597F">
        <w:rPr>
          <w:i/>
          <w:sz w:val="20"/>
          <w:lang w:val="es-ES_tradnl"/>
        </w:rPr>
        <w:t>laser diode</w:t>
      </w:r>
      <w:r w:rsidRPr="0062597F">
        <w:rPr>
          <w:sz w:val="20"/>
          <w:lang w:val="es-ES_tradnl"/>
        </w:rPr>
        <w:t>)</w:t>
      </w:r>
    </w:p>
    <w:p w:rsidR="00EB14D5" w:rsidRPr="0062597F" w:rsidRDefault="00EB14D5" w:rsidP="0062597F">
      <w:pPr>
        <w:rPr>
          <w:sz w:val="20"/>
          <w:lang w:val="es-ES_tradnl"/>
        </w:rPr>
      </w:pPr>
      <w:r w:rsidRPr="0062597F">
        <w:rPr>
          <w:sz w:val="20"/>
          <w:lang w:val="es-ES_tradnl"/>
        </w:rPr>
        <w:t>MF</w:t>
      </w:r>
      <w:r w:rsidRPr="0062597F">
        <w:rPr>
          <w:sz w:val="20"/>
          <w:lang w:val="es-ES_tradnl"/>
        </w:rPr>
        <w:tab/>
        <w:t>Modulación de frecuencia</w:t>
      </w:r>
    </w:p>
    <w:p w:rsidR="00EB14D5" w:rsidRPr="0062597F" w:rsidRDefault="00EB14D5" w:rsidP="0062597F">
      <w:pPr>
        <w:rPr>
          <w:sz w:val="20"/>
          <w:lang w:val="es-ES_tradnl"/>
        </w:rPr>
      </w:pPr>
      <w:r w:rsidRPr="0062597F">
        <w:rPr>
          <w:sz w:val="20"/>
          <w:lang w:val="es-ES_tradnl"/>
        </w:rPr>
        <w:t>NTAU</w:t>
      </w:r>
      <w:r w:rsidRPr="0062597F">
        <w:rPr>
          <w:sz w:val="20"/>
          <w:lang w:val="es-ES_tradnl"/>
        </w:rPr>
        <w:tab/>
        <w:t>Unidad de antena de terminación de red (</w:t>
      </w:r>
      <w:r w:rsidRPr="0062597F">
        <w:rPr>
          <w:i/>
          <w:sz w:val="20"/>
          <w:lang w:val="es-ES_tradnl"/>
        </w:rPr>
        <w:t>network termination antenna unit</w:t>
      </w:r>
      <w:r w:rsidRPr="0062597F">
        <w:rPr>
          <w:sz w:val="20"/>
          <w:lang w:val="es-ES_tradnl"/>
        </w:rPr>
        <w:t>)</w:t>
      </w:r>
    </w:p>
    <w:p w:rsidR="00EB14D5" w:rsidRPr="0062597F" w:rsidRDefault="00EB14D5" w:rsidP="0062597F">
      <w:pPr>
        <w:rPr>
          <w:sz w:val="20"/>
          <w:lang w:val="es-ES_tradnl"/>
        </w:rPr>
      </w:pPr>
      <w:r w:rsidRPr="0062597F">
        <w:rPr>
          <w:sz w:val="20"/>
          <w:lang w:val="es-ES_tradnl"/>
        </w:rPr>
        <w:t>ODN</w:t>
      </w:r>
      <w:r w:rsidRPr="0062597F">
        <w:rPr>
          <w:sz w:val="20"/>
          <w:lang w:val="es-ES_tradnl"/>
        </w:rPr>
        <w:tab/>
        <w:t>Red de distribución óptica (</w:t>
      </w:r>
      <w:r w:rsidRPr="0062597F">
        <w:rPr>
          <w:i/>
          <w:sz w:val="20"/>
          <w:lang w:val="es-ES_tradnl"/>
        </w:rPr>
        <w:t>optical distribution network</w:t>
      </w:r>
      <w:r w:rsidRPr="0062597F">
        <w:rPr>
          <w:sz w:val="20"/>
          <w:lang w:val="es-ES_tradnl"/>
        </w:rPr>
        <w:t>)</w:t>
      </w:r>
    </w:p>
    <w:p w:rsidR="00EB14D5" w:rsidRPr="0062597F" w:rsidRDefault="00EB14D5" w:rsidP="0062597F">
      <w:pPr>
        <w:rPr>
          <w:sz w:val="20"/>
          <w:lang w:val="es-ES_tradnl"/>
        </w:rPr>
      </w:pPr>
      <w:r w:rsidRPr="0062597F">
        <w:rPr>
          <w:sz w:val="20"/>
          <w:lang w:val="es-ES_tradnl"/>
        </w:rPr>
        <w:t>O/E</w:t>
      </w:r>
      <w:r w:rsidRPr="0062597F">
        <w:rPr>
          <w:sz w:val="20"/>
          <w:lang w:val="es-ES_tradnl"/>
        </w:rPr>
        <w:tab/>
        <w:t>Conversión óptica a eléctrica</w:t>
      </w:r>
    </w:p>
    <w:p w:rsidR="00EB14D5" w:rsidRPr="0062597F" w:rsidRDefault="00EB14D5" w:rsidP="0062597F">
      <w:pPr>
        <w:rPr>
          <w:sz w:val="20"/>
          <w:lang w:val="es-ES_tradnl"/>
        </w:rPr>
      </w:pPr>
      <w:r w:rsidRPr="0062597F">
        <w:rPr>
          <w:sz w:val="20"/>
          <w:lang w:val="es-ES_tradnl"/>
        </w:rPr>
        <w:t>OLT</w:t>
      </w:r>
      <w:r w:rsidRPr="0062597F">
        <w:rPr>
          <w:sz w:val="20"/>
          <w:lang w:val="es-ES_tradnl"/>
        </w:rPr>
        <w:tab/>
        <w:t>Terminación de línea óptica (</w:t>
      </w:r>
      <w:r w:rsidRPr="0062597F">
        <w:rPr>
          <w:i/>
          <w:sz w:val="20"/>
          <w:lang w:val="es-ES_tradnl"/>
        </w:rPr>
        <w:t>optical line termination</w:t>
      </w:r>
      <w:r w:rsidRPr="0062597F">
        <w:rPr>
          <w:sz w:val="20"/>
          <w:lang w:val="es-ES_tradnl"/>
        </w:rPr>
        <w:t>)</w:t>
      </w:r>
    </w:p>
    <w:p w:rsidR="00EB14D5" w:rsidRPr="0062597F" w:rsidRDefault="00EB14D5" w:rsidP="0062597F">
      <w:pPr>
        <w:rPr>
          <w:sz w:val="20"/>
          <w:lang w:val="es-ES_tradnl"/>
        </w:rPr>
      </w:pPr>
      <w:r w:rsidRPr="0062597F">
        <w:rPr>
          <w:sz w:val="20"/>
          <w:lang w:val="es-ES_tradnl"/>
        </w:rPr>
        <w:t>RAL</w:t>
      </w:r>
      <w:r w:rsidRPr="0062597F">
        <w:rPr>
          <w:sz w:val="20"/>
          <w:lang w:val="es-ES_tradnl"/>
        </w:rPr>
        <w:tab/>
        <w:t>red de área local</w:t>
      </w:r>
    </w:p>
    <w:p w:rsidR="00EB14D5" w:rsidRPr="0062597F" w:rsidRDefault="00EB14D5" w:rsidP="0062597F">
      <w:pPr>
        <w:rPr>
          <w:sz w:val="20"/>
          <w:lang w:val="es-ES_tradnl"/>
        </w:rPr>
      </w:pPr>
      <w:r w:rsidRPr="0062597F">
        <w:rPr>
          <w:sz w:val="20"/>
          <w:lang w:val="es-ES_tradnl"/>
        </w:rPr>
        <w:t>RAU</w:t>
      </w:r>
      <w:r w:rsidRPr="0062597F">
        <w:rPr>
          <w:sz w:val="20"/>
          <w:lang w:val="es-ES_tradnl"/>
        </w:rPr>
        <w:tab/>
        <w:t>Unidad de antena distante (</w:t>
      </w:r>
      <w:r w:rsidRPr="0062597F">
        <w:rPr>
          <w:i/>
          <w:sz w:val="20"/>
          <w:lang w:val="es-ES_tradnl"/>
        </w:rPr>
        <w:t>remote antenna unit</w:t>
      </w:r>
      <w:r w:rsidRPr="0062597F">
        <w:rPr>
          <w:sz w:val="20"/>
          <w:lang w:val="es-ES_tradnl"/>
        </w:rPr>
        <w:t>)</w:t>
      </w:r>
    </w:p>
    <w:p w:rsidR="00EB14D5" w:rsidRPr="0062597F" w:rsidRDefault="00EB14D5" w:rsidP="0062597F">
      <w:pPr>
        <w:rPr>
          <w:sz w:val="20"/>
          <w:lang w:val="es-ES_tradnl"/>
        </w:rPr>
      </w:pPr>
      <w:r w:rsidRPr="0062597F">
        <w:rPr>
          <w:sz w:val="20"/>
          <w:lang w:val="es-ES_tradnl"/>
        </w:rPr>
        <w:t>RF</w:t>
      </w:r>
      <w:r w:rsidRPr="0062597F">
        <w:rPr>
          <w:sz w:val="20"/>
          <w:lang w:val="es-ES_tradnl"/>
        </w:rPr>
        <w:tab/>
        <w:t>Radiofrecuencia</w:t>
      </w:r>
    </w:p>
    <w:p w:rsidR="00EB14D5" w:rsidRPr="0062597F" w:rsidRDefault="00EB14D5" w:rsidP="0062597F">
      <w:pPr>
        <w:rPr>
          <w:sz w:val="20"/>
          <w:lang w:val="es-ES_tradnl"/>
        </w:rPr>
      </w:pPr>
      <w:r w:rsidRPr="0062597F">
        <w:rPr>
          <w:sz w:val="20"/>
          <w:lang w:val="es-ES_tradnl"/>
        </w:rPr>
        <w:t>RRAL</w:t>
      </w:r>
      <w:r w:rsidRPr="0062597F">
        <w:rPr>
          <w:sz w:val="20"/>
          <w:lang w:val="es-ES_tradnl"/>
        </w:rPr>
        <w:tab/>
        <w:t>red radioeléctrica de área local</w:t>
      </w:r>
    </w:p>
    <w:p w:rsidR="00EB14D5" w:rsidRPr="0062597F" w:rsidRDefault="00EB14D5" w:rsidP="0062597F">
      <w:pPr>
        <w:rPr>
          <w:sz w:val="20"/>
          <w:lang w:val="es-ES_tradnl"/>
        </w:rPr>
      </w:pPr>
      <w:r w:rsidRPr="0062597F">
        <w:rPr>
          <w:sz w:val="20"/>
          <w:lang w:val="es-ES_tradnl"/>
        </w:rPr>
        <w:t>SEFA</w:t>
      </w:r>
      <w:r w:rsidRPr="0062597F">
        <w:rPr>
          <w:sz w:val="20"/>
          <w:lang w:val="es-ES_tradnl"/>
        </w:rPr>
        <w:tab/>
        <w:t>Extracción de señal y disposición de frecuencias (</w:t>
      </w:r>
      <w:r w:rsidRPr="0062597F">
        <w:rPr>
          <w:i/>
          <w:sz w:val="20"/>
          <w:lang w:val="es-ES_tradnl"/>
        </w:rPr>
        <w:t>signal extraction and frequency arrangement</w:t>
      </w:r>
      <w:r w:rsidRPr="0062597F">
        <w:rPr>
          <w:sz w:val="20"/>
          <w:lang w:val="es-ES_tradnl"/>
        </w:rPr>
        <w:t>)</w:t>
      </w:r>
    </w:p>
    <w:p w:rsidR="00EB14D5" w:rsidRPr="0062597F" w:rsidRDefault="00EB14D5" w:rsidP="0062597F">
      <w:pPr>
        <w:rPr>
          <w:sz w:val="20"/>
          <w:lang w:val="es-ES_tradnl"/>
        </w:rPr>
      </w:pPr>
      <w:r w:rsidRPr="0062597F">
        <w:rPr>
          <w:sz w:val="20"/>
          <w:lang w:val="es-ES_tradnl"/>
        </w:rPr>
        <w:t>SLC</w:t>
      </w:r>
      <w:r w:rsidRPr="0062597F">
        <w:rPr>
          <w:sz w:val="20"/>
          <w:lang w:val="es-ES_tradnl"/>
        </w:rPr>
        <w:tab/>
        <w:t>Compresión del nivel de la señal (</w:t>
      </w:r>
      <w:r w:rsidRPr="0062597F">
        <w:rPr>
          <w:i/>
          <w:sz w:val="20"/>
          <w:lang w:val="es-ES_tradnl"/>
        </w:rPr>
        <w:t>signal level compression</w:t>
      </w:r>
      <w:r w:rsidRPr="0062597F">
        <w:rPr>
          <w:sz w:val="20"/>
          <w:lang w:val="es-ES_tradnl"/>
        </w:rPr>
        <w:t>)</w:t>
      </w:r>
    </w:p>
    <w:p w:rsidR="00EB14D5" w:rsidRPr="0062597F" w:rsidRDefault="00EB14D5" w:rsidP="0062597F">
      <w:pPr>
        <w:rPr>
          <w:sz w:val="20"/>
          <w:lang w:val="es-ES_tradnl"/>
        </w:rPr>
      </w:pPr>
      <w:r w:rsidRPr="0062597F">
        <w:rPr>
          <w:sz w:val="20"/>
          <w:lang w:val="es-ES_tradnl"/>
        </w:rPr>
        <w:t>SNI</w:t>
      </w:r>
      <w:r w:rsidRPr="0062597F">
        <w:rPr>
          <w:sz w:val="20"/>
          <w:lang w:val="es-ES_tradnl"/>
        </w:rPr>
        <w:tab/>
        <w:t>Interfaz de nodo de servicio (</w:t>
      </w:r>
      <w:r w:rsidRPr="0062597F">
        <w:rPr>
          <w:i/>
          <w:sz w:val="20"/>
          <w:lang w:val="es-ES_tradnl"/>
        </w:rPr>
        <w:t>service node interface</w:t>
      </w:r>
      <w:r w:rsidRPr="0062597F">
        <w:rPr>
          <w:sz w:val="20"/>
          <w:lang w:val="es-ES_tradnl"/>
        </w:rPr>
        <w:t>)</w:t>
      </w:r>
    </w:p>
    <w:p w:rsidR="00EB14D5" w:rsidRPr="0062597F" w:rsidRDefault="00EB14D5" w:rsidP="0062597F">
      <w:pPr>
        <w:rPr>
          <w:sz w:val="20"/>
          <w:lang w:val="es-ES_tradnl"/>
        </w:rPr>
      </w:pPr>
      <w:r w:rsidRPr="0062597F">
        <w:rPr>
          <w:sz w:val="20"/>
          <w:lang w:val="es-ES_tradnl"/>
        </w:rPr>
        <w:t>UNI</w:t>
      </w:r>
      <w:r w:rsidRPr="0062597F">
        <w:rPr>
          <w:sz w:val="20"/>
          <w:lang w:val="es-ES_tradnl"/>
        </w:rPr>
        <w:tab/>
        <w:t>Interfaz de red de usuario (</w:t>
      </w:r>
      <w:r w:rsidRPr="0062597F">
        <w:rPr>
          <w:i/>
          <w:sz w:val="20"/>
          <w:lang w:val="es-ES_tradnl"/>
        </w:rPr>
        <w:t>user network interface</w:t>
      </w:r>
      <w:r w:rsidRPr="0062597F">
        <w:rPr>
          <w:sz w:val="20"/>
          <w:lang w:val="es-ES_tradnl"/>
        </w:rPr>
        <w:t>).</w:t>
      </w:r>
    </w:p>
    <w:p w:rsidR="00EB14D5" w:rsidRDefault="00EB14D5" w:rsidP="00EB14D5">
      <w:pPr>
        <w:pStyle w:val="Heading1"/>
        <w:rPr>
          <w:lang w:val="es-ES_tradnl"/>
        </w:rPr>
      </w:pPr>
      <w:r>
        <w:rPr>
          <w:lang w:val="es-ES_tradnl"/>
        </w:rPr>
        <w:lastRenderedPageBreak/>
        <w:t>3</w:t>
      </w:r>
      <w:r>
        <w:rPr>
          <w:lang w:val="es-ES_tradnl"/>
        </w:rPr>
        <w:tab/>
        <w:t>Configuración básica de los sistemas HFR</w:t>
      </w:r>
    </w:p>
    <w:p w:rsidR="00EB14D5" w:rsidRPr="0062597F" w:rsidRDefault="00EB14D5" w:rsidP="00EB14D5">
      <w:pPr>
        <w:rPr>
          <w:sz w:val="20"/>
          <w:lang w:val="es-ES_tradnl"/>
        </w:rPr>
      </w:pPr>
      <w:r w:rsidRPr="0062597F">
        <w:rPr>
          <w:sz w:val="20"/>
          <w:lang w:val="es-ES_tradnl"/>
        </w:rPr>
        <w:t>Como se muestra en las Figs. 1 y 2, un sistema HFR se compone de OLT, ODN, RAU, NTAU y de enlaces de fibra/ radioeléctricos que conectan estas estaciones. Puede constituir una infraestructura para redes de acceso que proporcionan servicios inalámbricos a la red en el local del cliente que puede incluir muchos terminales diferentes.</w:t>
      </w:r>
    </w:p>
    <w:p w:rsidR="00EB14D5" w:rsidRPr="0062597F" w:rsidRDefault="00EB14D5" w:rsidP="00AE21E3">
      <w:pPr>
        <w:rPr>
          <w:sz w:val="20"/>
          <w:lang w:val="es-ES_tradnl"/>
        </w:rPr>
      </w:pPr>
      <w:r w:rsidRPr="0062597F">
        <w:rPr>
          <w:sz w:val="20"/>
          <w:lang w:val="es-ES_tradnl"/>
        </w:rPr>
        <w:t>En los equipos radioeléctricos digitales convencionales, generalmente se instala en la misma estación un modulador/ demodulador y un amplificador de potencia. Sin embargo, en los sistemas HFR, la OLT y la RAU comprenden muchas funciones de interfuncionamiento dentro de la red que suelen utilizarse para más de una RAU (véase la Fig. 1) dependiendo del factor de separación de la ODN. Como ejemplos de estas funciones de interfuncionamiento dentro de la red cabe citar: modulación/demodulación, multiplexación/demultiplexación, funciones de control y funciones de corrección de errores, éstas últimas son necesarias principalmente debido a la peor calidad de transmisión del radioenlace (compa</w:t>
      </w:r>
      <w:r w:rsidRPr="0062597F">
        <w:rPr>
          <w:sz w:val="20"/>
          <w:lang w:val="es-ES_tradnl"/>
        </w:rPr>
        <w:softHyphen/>
        <w:t>rada con la transmisión por fibra óptica). El sistema presentado en la Fig. 1 requiere una técnica de acceso múltiple para hacer frente a la demanda de tráfico hacia el origen procedente de muchos terminales de clientes. La OLT dispone asimismo de una función para controlar eficazmente la técnica de acceso utilizando el espectro de frecuencias. En estos casos, la relación entre la OLT y la RAU corresponde a la de los sistemas radioeléctricos punto a multipunto de las redes de abonado. Si las señales de radiofrecuencia ya son transportadas ópticamente por ODN, todas estas funciones están situadas en la OLT y las RAU conectadas a una OLT se mantienen pequeñas y simples (véase la parte inferior de la Fig. 1).</w:t>
      </w:r>
    </w:p>
    <w:p w:rsidR="00EB14D5" w:rsidRPr="0062597F" w:rsidRDefault="00EB14D5" w:rsidP="00EB14D5">
      <w:pPr>
        <w:rPr>
          <w:sz w:val="20"/>
          <w:lang w:val="es-ES_tradnl"/>
        </w:rPr>
      </w:pPr>
      <w:r w:rsidRPr="0062597F">
        <w:rPr>
          <w:sz w:val="20"/>
          <w:lang w:val="es-ES_tradnl"/>
        </w:rPr>
        <w:t>No obstante, existe un límite técnico superior para la radiofrecuencia transmitida por fibra óptica, debido a la velocidad de funcionamiento del convertidor E/O (y el O/E). Cuando se necesite un convertidor E/O (y un O/E) económico para utilizar los sistemas HFR, podría convenir una transmisión por FI ya que el convertidor E/O (y el O/E) económico funciona en las bandas FI. Tras haber sido transmitidas a través del enlace de fibra óptica, las portadoras FI se convierten en radiofrecuencias en la RAU (véase la Fig. 3).</w:t>
      </w:r>
    </w:p>
    <w:p w:rsidR="00EB14D5" w:rsidRDefault="00EB14D5" w:rsidP="0062597F">
      <w:pPr>
        <w:pStyle w:val="FigureNo"/>
        <w:rPr>
          <w:lang w:val="es-ES_tradnl"/>
        </w:rPr>
      </w:pPr>
      <w:r w:rsidRPr="008F4245">
        <w:rPr>
          <w:lang w:val="es-ES_tradnl"/>
        </w:rPr>
        <w:object w:dxaOrig="7949" w:dyaOrig="4095">
          <v:shape id="_x0000_i1027" type="#_x0000_t75" style="width:397.7pt;height:204.75pt" o:ole="">
            <v:imagedata r:id="rId17" o:title=""/>
          </v:shape>
          <o:OLEObject Type="Embed" ProgID="Word.Document.8" ShapeID="_x0000_i1027" DrawAspect="Content" ObjectID="_1356522489" r:id="rId18"/>
        </w:object>
      </w:r>
    </w:p>
    <w:p w:rsidR="0062597F" w:rsidRDefault="0062597F" w:rsidP="00EB14D5">
      <w:pPr>
        <w:rPr>
          <w:lang w:val="es-ES_tradnl"/>
        </w:rPr>
      </w:pPr>
    </w:p>
    <w:p w:rsidR="00EB14D5" w:rsidRPr="0062597F" w:rsidRDefault="00EB14D5" w:rsidP="00EB14D5">
      <w:pPr>
        <w:rPr>
          <w:sz w:val="20"/>
          <w:lang w:val="es-ES_tradnl"/>
        </w:rPr>
      </w:pPr>
      <w:r w:rsidRPr="0062597F">
        <w:rPr>
          <w:sz w:val="20"/>
          <w:lang w:val="es-ES_tradnl"/>
        </w:rPr>
        <w:t>Otra razón para utilizar FI es que el filtrado de radiocanales de transmisión (anchura de banda de varias decenas de MHz) es mucho más fácil y menos costoso en la gama FI que permite seleccionar los canales en cada RAU. En este caso, sólo se enviarán los datos pertinentes de una RAU específica incluso si la línea de alimentación óptica incluye una red de distribución óptica pasiva. En los demás casos, se desperdiciaría la anchura de banda limitada del medio de transmisión compartido «aire». Si no es posible el filtrado de los canales FI/RF, cada RAU podría ser direccionada mediante funciones de encaminamiento ópticas en el sistema de alimentación óptico junto con las funciones de filtro óptico dentro de la RAU o mediante una línea de alimentación de fibra punto a punto para mantener la RAU menos compleja. El encaminamiento óptico o la conexión de fibra punto a punto se pueden necesitar también debido a tasas de tráfico elevadas, pues una RAU tiene que servir a más de 10</w:t>
      </w:r>
      <w:r w:rsidRPr="0062597F">
        <w:rPr>
          <w:rFonts w:ascii="Tms Rmn" w:hAnsi="Tms Rmn"/>
          <w:sz w:val="20"/>
          <w:lang w:val="es-ES_tradnl"/>
        </w:rPr>
        <w:t> </w:t>
      </w:r>
      <w:r w:rsidRPr="0062597F">
        <w:rPr>
          <w:sz w:val="20"/>
          <w:lang w:val="es-ES_tradnl"/>
        </w:rPr>
        <w:t>000 abonados con un número cada vez mayor de servicios de banda ancha en el futuro lejano.</w:t>
      </w:r>
    </w:p>
    <w:p w:rsidR="00EB14D5" w:rsidRDefault="00EB14D5" w:rsidP="00EB14D5">
      <w:pPr>
        <w:pStyle w:val="Heading1"/>
        <w:rPr>
          <w:lang w:val="es-ES_tradnl"/>
        </w:rPr>
      </w:pPr>
      <w:r>
        <w:rPr>
          <w:lang w:val="es-ES_tradnl"/>
        </w:rPr>
        <w:lastRenderedPageBreak/>
        <w:t>4</w:t>
      </w:r>
      <w:r>
        <w:rPr>
          <w:lang w:val="es-ES_tradnl"/>
        </w:rPr>
        <w:tab/>
        <w:t>Aplicación de los sistemas HFR</w:t>
      </w:r>
    </w:p>
    <w:p w:rsidR="00EB14D5" w:rsidRPr="0062597F" w:rsidRDefault="00EB14D5" w:rsidP="00B56E9A">
      <w:pPr>
        <w:keepNext/>
        <w:keepLines/>
        <w:rPr>
          <w:sz w:val="20"/>
          <w:lang w:val="es-ES_tradnl"/>
        </w:rPr>
      </w:pPr>
      <w:r w:rsidRPr="0062597F">
        <w:rPr>
          <w:sz w:val="20"/>
          <w:lang w:val="es-ES_tradnl"/>
        </w:rPr>
        <w:t>En la Fig. 4 se ilustran dos aplicaciones específicas de los sistemas HFR. En la Fig. 4a) una RAU funciona como módulo central de una RLAN que funciona en las distintas oficinas, mientras que la OLT controla la asignación de los canales radioeléctricos utilizados por todas las RAU. Como se muestra en esta figura, los sistemas HFR presentan las siguientes ventajas:</w:t>
      </w:r>
    </w:p>
    <w:p w:rsidR="00EB14D5" w:rsidRPr="0062597F" w:rsidRDefault="00EB14D5" w:rsidP="00EB14D5">
      <w:pPr>
        <w:pStyle w:val="enumlev1"/>
        <w:rPr>
          <w:sz w:val="20"/>
          <w:lang w:val="es-ES_tradnl"/>
        </w:rPr>
      </w:pPr>
      <w:r w:rsidRPr="0062597F">
        <w:rPr>
          <w:sz w:val="20"/>
          <w:lang w:val="es-ES_tradnl"/>
        </w:rPr>
        <w:t>–</w:t>
      </w:r>
      <w:r w:rsidRPr="0062597F">
        <w:rPr>
          <w:sz w:val="20"/>
          <w:lang w:val="es-ES_tradnl"/>
        </w:rPr>
        <w:tab/>
        <w:t>como el modulador/demodulador está separado del amplificador de potencia en este sistema, el equipo de la RAU es más pequeño. Por consiguiente, pueden reducirse los esfuerzos de selección de la ubicación de las RAU;</w:t>
      </w:r>
    </w:p>
    <w:p w:rsidR="00EB14D5" w:rsidRPr="0062597F" w:rsidRDefault="00EB14D5" w:rsidP="00EB14D5">
      <w:pPr>
        <w:pStyle w:val="enumlev1"/>
        <w:rPr>
          <w:sz w:val="20"/>
          <w:lang w:val="es-ES_tradnl"/>
        </w:rPr>
      </w:pPr>
      <w:r w:rsidRPr="0062597F">
        <w:rPr>
          <w:sz w:val="20"/>
          <w:lang w:val="es-ES_tradnl"/>
        </w:rPr>
        <w:t>–</w:t>
      </w:r>
      <w:r w:rsidRPr="0062597F">
        <w:rPr>
          <w:sz w:val="20"/>
          <w:lang w:val="es-ES_tradnl"/>
        </w:rPr>
        <w:tab/>
        <w:t>los equipos de la OLT, como las interfaces de red y las unidades de servicios que proporcionan servicio vocal, servicio paquetes digital, etc. se encuentran todos en una sola oficina. Por ello, la labor de mantenimiento y sustitución del equipo se realiza eficazmente en poco tiempo.</w:t>
      </w:r>
    </w:p>
    <w:p w:rsidR="00EB14D5" w:rsidRPr="0062597F" w:rsidRDefault="00EB14D5" w:rsidP="00C347A6">
      <w:pPr>
        <w:keepNext/>
        <w:keepLines/>
        <w:rPr>
          <w:sz w:val="20"/>
          <w:lang w:val="es-ES_tradnl"/>
        </w:rPr>
      </w:pPr>
      <w:r w:rsidRPr="0062597F">
        <w:rPr>
          <w:sz w:val="20"/>
          <w:lang w:val="es-ES_tradnl"/>
        </w:rPr>
        <w:t>La Fig. 4b) ofrece un ejemplo de aplicaciones en exterior. Una RAU proporciona enlace de acceso inalámbrico a las distintas viviendas que cubre el servicio. La función de la OLT es casi la misma que en los sistemas de interiores y también cabe esperar en esta aplicación las ventajas anteriormente mencionadas. En los sistemas convencionales, habida cuenta de que el equipo radioeléctrico se instala normalmente en un poste alto, es inevitable que exista cierto peligro en los trabajos de mantenimiento. Sin embargo, en los sistemas HFR, pueden reducirse en gran medida dichos trabajos.</w:t>
      </w:r>
    </w:p>
    <w:p w:rsidR="00EB14D5" w:rsidRPr="0062597F" w:rsidRDefault="00EB14D5" w:rsidP="00EB14D5">
      <w:pPr>
        <w:rPr>
          <w:sz w:val="20"/>
          <w:lang w:val="es-ES_tradnl"/>
        </w:rPr>
      </w:pPr>
      <w:r w:rsidRPr="0062597F">
        <w:rPr>
          <w:sz w:val="20"/>
          <w:lang w:val="es-ES_tradnl"/>
        </w:rPr>
        <w:t>Se considera que esta aplicación exterior sea una extensión inalámbrica de los últimos 100 m (o en algunos casos los últimos 10 m) de FTTH. Si es posible explotar las bandas de ondas milimétricas por encima de 30 GHz para este uso, el sistema HFR podrá tener una capacidad de hasta 150 a 600 Mbit/s por portadora. Se supone que cada RAU tiene un radio de zona del orden de 300 m para mejorar la eficacia de utilización de la frecuencia y para reducir la potencia del transmisor.</w:t>
      </w:r>
    </w:p>
    <w:p w:rsidR="00EB14D5" w:rsidRPr="0062597F" w:rsidRDefault="00EB14D5" w:rsidP="00EB14D5">
      <w:pPr>
        <w:rPr>
          <w:sz w:val="20"/>
          <w:lang w:val="es-ES_tradnl"/>
        </w:rPr>
      </w:pPr>
      <w:r w:rsidRPr="0062597F">
        <w:rPr>
          <w:sz w:val="20"/>
          <w:lang w:val="es-ES_tradnl"/>
        </w:rPr>
        <w:t>Cuando se utilizan ondas milimétricas, hay que tener en cuenta la atenuación debida a la lluvia. El CAG en la estación de base (RAU) funciona como una medida preventiva efectiva, en particular para el sentido del enlace ascendente (NTAU a RAU), pues el ruido en la sección de fibra óptica puede ser suprimido por la señal RF de entrada con nivel constante.</w:t>
      </w:r>
    </w:p>
    <w:p w:rsidR="00EB14D5" w:rsidRDefault="00EB14D5" w:rsidP="0062597F">
      <w:pPr>
        <w:pStyle w:val="FigureNo"/>
        <w:rPr>
          <w:lang w:val="es-ES_tradnl"/>
        </w:rPr>
      </w:pPr>
      <w:r w:rsidRPr="008F4245">
        <w:rPr>
          <w:lang w:val="es-ES_tradnl"/>
        </w:rPr>
        <w:object w:dxaOrig="8607" w:dyaOrig="13167">
          <v:shape id="_x0000_i1028" type="#_x0000_t75" style="width:429.75pt;height:658.15pt" o:ole="">
            <v:imagedata r:id="rId19" o:title=""/>
          </v:shape>
          <o:OLEObject Type="Embed" ProgID="Word.Document.8" ShapeID="_x0000_i1028" DrawAspect="Content" ObjectID="_1356522490" r:id="rId20"/>
        </w:object>
      </w:r>
    </w:p>
    <w:p w:rsidR="0062597F" w:rsidRPr="0062597F" w:rsidRDefault="0062597F" w:rsidP="0062597F">
      <w:pPr>
        <w:rPr>
          <w:sz w:val="20"/>
          <w:lang w:val="es-ES_tradnl"/>
        </w:rPr>
      </w:pPr>
    </w:p>
    <w:p w:rsidR="00EB14D5" w:rsidRDefault="00EB14D5" w:rsidP="00EB14D5">
      <w:pPr>
        <w:pStyle w:val="Heading1"/>
        <w:rPr>
          <w:lang w:val="es-ES_tradnl"/>
        </w:rPr>
      </w:pPr>
      <w:r>
        <w:rPr>
          <w:lang w:val="es-ES_tradnl"/>
        </w:rPr>
        <w:lastRenderedPageBreak/>
        <w:t>5</w:t>
      </w:r>
      <w:r>
        <w:rPr>
          <w:lang w:val="es-ES_tradnl"/>
        </w:rPr>
        <w:tab/>
        <w:t>Ejemplos de realización</w:t>
      </w:r>
    </w:p>
    <w:p w:rsidR="00EB14D5" w:rsidRPr="0062597F" w:rsidRDefault="00EB14D5" w:rsidP="00EB14D5">
      <w:pPr>
        <w:rPr>
          <w:sz w:val="20"/>
          <w:lang w:val="es-ES_tradnl"/>
        </w:rPr>
      </w:pPr>
      <w:r w:rsidRPr="0062597F">
        <w:rPr>
          <w:sz w:val="20"/>
          <w:lang w:val="es-ES_tradnl"/>
        </w:rPr>
        <w:t>Los sistemas HFR suelen utilizar una técnica de multiplexación de subportadoras. En la parte del convertidor E/O, varias salidas de los moduladores con diferentes frecuencias se multiplexan en el combinador. A continuación, la señal combinada compuesta de varias subportadoras modula directamente el diodo de láser (LD). Así, las subportadoras pueden transmitir simultáneamente a través de la fibra óptica. El diodo de láser produce una señal óptica modulada cuya intensidad es proporcional a la corriente eléctrica de entrada. La frecuencia máxima está limitada por las características del LD.</w:t>
      </w:r>
    </w:p>
    <w:p w:rsidR="00EB14D5" w:rsidRPr="0062597F" w:rsidRDefault="00EB14D5" w:rsidP="00AE21E3">
      <w:pPr>
        <w:rPr>
          <w:sz w:val="20"/>
          <w:lang w:val="es-ES_tradnl"/>
        </w:rPr>
      </w:pPr>
      <w:r w:rsidRPr="0062597F">
        <w:rPr>
          <w:sz w:val="20"/>
          <w:lang w:val="es-ES_tradnl"/>
        </w:rPr>
        <w:t>En el sentido opuesto, un fotodiodo situado en el convertidor O/E convierte la potencia óptica recibida en potencia eléctrica, con una respuesta lineal. Cada canal radioeléctrico deseado es separado tras la fotodetección.</w:t>
      </w:r>
    </w:p>
    <w:p w:rsidR="00EB14D5" w:rsidRPr="0062597F" w:rsidRDefault="00EB14D5" w:rsidP="00EB14D5">
      <w:pPr>
        <w:rPr>
          <w:sz w:val="20"/>
          <w:lang w:val="es-ES_tradnl"/>
        </w:rPr>
      </w:pPr>
      <w:r w:rsidRPr="0062597F">
        <w:rPr>
          <w:sz w:val="20"/>
          <w:lang w:val="es-ES_tradnl"/>
        </w:rPr>
        <w:t>La modulación directa del diodo láser con la señal de radiofrecuencia combinada sólo permite longitudes limitadas de la línea de alimentación de fibra, debido a la pérdida óptica y a la dispersión cromática. Este último factor puede ser compensado suficientemente por la utilización de un amplificador óptico. El problema causado por este factor puede ser eliminado por medio del heterodino, donde dos portadoras ópticas separadas por la radiofrecuencia son transportadas por fibra (véase la Fig. 5). En este caso una portadora óptica se utiliza como oscilador local para la aplicación de la técnica heterodina en la RAU y la otra portadora lleva el tren de información. Con este método se puede lograr longitudes de la línea de alimentación de hasta 100 km, dependiendo de las velocidades de datos y de la calidad de transmisión. Asimismo, la radiofrecuencia no está limitada por la anchura de banda de modulación del LD en este caso. Sin embargo, la utilidad de esta técnica heterodina de la fuente de ondas milimétricas depende de las características del filtro óptico.</w:t>
      </w:r>
    </w:p>
    <w:p w:rsidR="00EB14D5" w:rsidRDefault="00A721F8" w:rsidP="0062597F">
      <w:pPr>
        <w:pStyle w:val="FigureNo"/>
        <w:rPr>
          <w:lang w:val="es-ES_tradnl"/>
        </w:rPr>
      </w:pPr>
      <w:r>
        <w:rPr>
          <w:lang w:val="es-ES_tradnl"/>
        </w:rPr>
        <w:object w:dxaOrig="9399" w:dyaOrig="7743">
          <v:shape id="_x0000_i1044" type="#_x0000_t75" style="width:469.7pt;height:387pt" o:ole="">
            <v:imagedata r:id="rId21" o:title=""/>
          </v:shape>
          <o:OLEObject Type="Embed" ProgID="Word.Document.8" ShapeID="_x0000_i1044" DrawAspect="Content" ObjectID="_1356522491" r:id="rId22"/>
        </w:object>
      </w:r>
    </w:p>
    <w:p w:rsidR="003B7CFA" w:rsidRDefault="003B7CFA" w:rsidP="00EB14D5">
      <w:pPr>
        <w:rPr>
          <w:lang w:val="es-ES_tradnl"/>
        </w:rPr>
      </w:pPr>
    </w:p>
    <w:p w:rsidR="00EB14D5" w:rsidRPr="003B7CFA" w:rsidRDefault="00EB14D5" w:rsidP="003B7CFA">
      <w:pPr>
        <w:keepNext/>
        <w:keepLines/>
        <w:rPr>
          <w:sz w:val="20"/>
          <w:lang w:val="es-ES_tradnl"/>
        </w:rPr>
      </w:pPr>
      <w:r w:rsidRPr="003B7CFA">
        <w:rPr>
          <w:sz w:val="20"/>
          <w:lang w:val="es-ES_tradnl"/>
        </w:rPr>
        <w:lastRenderedPageBreak/>
        <w:t>Para las aplicaciones microcelulares exteriores, la potencia de señal recibida es objeto de un desvanecimiento lento y disminuye de acuerdo con la conocida ley de la cuarta potencia inversa entre una RAU y un terminal inalámbrico. Cuando un terminal móvil pierde la condición de línea de visibilidad directa, la señal recibida decae bruscamente debido a la pérdida por difracción.</w:t>
      </w:r>
    </w:p>
    <w:p w:rsidR="00EB14D5" w:rsidRPr="003B7CFA" w:rsidRDefault="00EB14D5" w:rsidP="00EB14D5">
      <w:pPr>
        <w:rPr>
          <w:sz w:val="20"/>
          <w:lang w:val="es-ES_tradnl"/>
        </w:rPr>
      </w:pPr>
      <w:r w:rsidRPr="003B7CFA">
        <w:rPr>
          <w:sz w:val="20"/>
          <w:lang w:val="es-ES_tradnl"/>
        </w:rPr>
        <w:t>Habida cuenta de que en el receptor de la RAU se reciben normalmente dos o más señales con niveles bastante diferentes, resulta difícil seleccionar una ganancia adecuada para todas las señales. Por tanto, para el enlace ascendente (de la RAU a la OLT) un sistema HFR precisa una amplia gama dinámica. Este aspecto se denomina problema cercanía/lejanía. La gama dinámica viene limitada por el ruido y la no linealidad del enlace en su conjunto. Es importante mejorar la no linealidad de los dispositivos ópticos, así como el equipo radioeléctrico.</w:t>
      </w:r>
    </w:p>
    <w:p w:rsidR="00EB14D5" w:rsidRPr="003B7CFA" w:rsidRDefault="00EB14D5" w:rsidP="00AE21E3">
      <w:pPr>
        <w:rPr>
          <w:sz w:val="20"/>
          <w:lang w:val="es-ES_tradnl"/>
        </w:rPr>
      </w:pPr>
      <w:r w:rsidRPr="003B7CFA">
        <w:rPr>
          <w:sz w:val="20"/>
          <w:lang w:val="es-ES_tradnl"/>
        </w:rPr>
        <w:t xml:space="preserve">La no linealidad del convertidor E/O determina principalmente el límite superior del nivel de entrada del convertidor E/O. En la Fig. 6 el nivel de entrada de </w:t>
      </w:r>
      <w:r w:rsidRPr="003B7CFA">
        <w:rPr>
          <w:i/>
          <w:sz w:val="20"/>
          <w:lang w:val="es-ES_tradnl"/>
        </w:rPr>
        <w:t>A</w:t>
      </w:r>
      <w:r w:rsidRPr="003B7CFA">
        <w:rPr>
          <w:sz w:val="20"/>
          <w:lang w:val="es-ES_tradnl"/>
        </w:rPr>
        <w:t xml:space="preserve"> produce el máximo nivel IM3 admisible de </w:t>
      </w:r>
      <w:r w:rsidRPr="003B7CFA">
        <w:rPr>
          <w:i/>
          <w:sz w:val="20"/>
          <w:lang w:val="es-ES_tradnl"/>
        </w:rPr>
        <w:t>E</w:t>
      </w:r>
      <w:r w:rsidRPr="003B7CFA">
        <w:rPr>
          <w:sz w:val="20"/>
          <w:lang w:val="es-ES_tradnl"/>
        </w:rPr>
        <w:t xml:space="preserve">. Por otra parte, el límite inferior del nivel de entrada del convertidor E/O viene definido por la relación </w:t>
      </w:r>
      <w:r w:rsidRPr="003B7CFA">
        <w:rPr>
          <w:i/>
          <w:sz w:val="20"/>
          <w:lang w:val="es-ES_tradnl"/>
        </w:rPr>
        <w:t>C/N</w:t>
      </w:r>
      <w:r w:rsidRPr="003B7CFA">
        <w:rPr>
          <w:sz w:val="20"/>
          <w:lang w:val="es-ES_tradnl"/>
        </w:rPr>
        <w:t xml:space="preserve">, </w:t>
      </w:r>
      <w:r w:rsidRPr="003B7CFA">
        <w:rPr>
          <w:i/>
          <w:sz w:val="20"/>
          <w:lang w:val="es-ES_tradnl"/>
        </w:rPr>
        <w:t>D</w:t>
      </w:r>
      <w:r w:rsidRPr="003B7CFA">
        <w:rPr>
          <w:sz w:val="20"/>
          <w:lang w:val="es-ES_tradnl"/>
        </w:rPr>
        <w:t xml:space="preserve"> necesaria correspon</w:t>
      </w:r>
      <w:r w:rsidRPr="003B7CFA">
        <w:rPr>
          <w:sz w:val="20"/>
          <w:lang w:val="es-ES_tradnl"/>
        </w:rPr>
        <w:softHyphen/>
        <w:t xml:space="preserve">diente al nivel de </w:t>
      </w:r>
      <w:r w:rsidRPr="003B7CFA">
        <w:rPr>
          <w:i/>
          <w:sz w:val="20"/>
          <w:lang w:val="es-ES_tradnl"/>
        </w:rPr>
        <w:t>B</w:t>
      </w:r>
      <w:r w:rsidRPr="003B7CFA">
        <w:rPr>
          <w:sz w:val="20"/>
          <w:lang w:val="es-ES_tradnl"/>
        </w:rPr>
        <w:t>. En este caso, la gama dinámica del convertidor E/O viene definida por (</w:t>
      </w:r>
      <w:r w:rsidRPr="003B7CFA">
        <w:rPr>
          <w:i/>
          <w:sz w:val="20"/>
          <w:lang w:val="es-ES_tradnl"/>
        </w:rPr>
        <w:t>A</w:t>
      </w:r>
      <w:r w:rsidRPr="003B7CFA">
        <w:rPr>
          <w:sz w:val="20"/>
          <w:lang w:val="es-ES_tradnl"/>
        </w:rPr>
        <w:t> – </w:t>
      </w:r>
      <w:r w:rsidRPr="003B7CFA">
        <w:rPr>
          <w:i/>
          <w:sz w:val="20"/>
          <w:lang w:val="es-ES_tradnl"/>
        </w:rPr>
        <w:t>B</w:t>
      </w:r>
      <w:r w:rsidRPr="003B7CFA">
        <w:rPr>
          <w:sz w:val="20"/>
          <w:lang w:val="es-ES_tradnl"/>
        </w:rPr>
        <w:t>) dB.</w:t>
      </w:r>
    </w:p>
    <w:p w:rsidR="00EB14D5" w:rsidRDefault="00A721F8" w:rsidP="003B7CFA">
      <w:pPr>
        <w:pStyle w:val="FigureNo"/>
        <w:rPr>
          <w:lang w:val="es-ES_tradnl"/>
        </w:rPr>
      </w:pPr>
      <w:r>
        <w:rPr>
          <w:lang w:val="es-ES_tradnl"/>
        </w:rPr>
        <w:object w:dxaOrig="6630" w:dyaOrig="8459">
          <v:shape id="_x0000_i1046" type="#_x0000_t75" style="width:331.3pt;height:423pt" o:ole="">
            <v:imagedata r:id="rId23" o:title=""/>
          </v:shape>
          <o:OLEObject Type="Embed" ProgID="Word.Document.8" ShapeID="_x0000_i1046" DrawAspect="Content" ObjectID="_1356522492" r:id="rId24"/>
        </w:object>
      </w:r>
    </w:p>
    <w:p w:rsidR="003B7CFA" w:rsidRPr="003B7CFA" w:rsidRDefault="003B7CFA" w:rsidP="00EB14D5">
      <w:pPr>
        <w:rPr>
          <w:sz w:val="20"/>
          <w:lang w:val="es-ES_tradnl"/>
        </w:rPr>
      </w:pPr>
    </w:p>
    <w:p w:rsidR="00EB14D5" w:rsidRPr="003B7CFA" w:rsidRDefault="00EB14D5" w:rsidP="00AE21E3">
      <w:pPr>
        <w:rPr>
          <w:sz w:val="20"/>
          <w:lang w:val="es-ES_tradnl"/>
        </w:rPr>
      </w:pPr>
      <w:r w:rsidRPr="003B7CFA">
        <w:rPr>
          <w:sz w:val="20"/>
          <w:lang w:val="es-ES_tradnl"/>
        </w:rPr>
        <w:t xml:space="preserve">Se ha propuesto una técnica de mejora que utiliza un modulador MF para incrementar la gama dinámica. En la Fig. 7 se ilustra esquemáticamente este método. Al utilizar el método convencional, es probable que la portadora de bajo nivel se vea afectada por la interferencia IM3 debida a la no linealidad. En cambio, el nivel de señal de entrada al </w:t>
      </w:r>
      <w:r w:rsidRPr="003B7CFA">
        <w:rPr>
          <w:sz w:val="20"/>
          <w:lang w:val="es-ES_tradnl"/>
        </w:rPr>
        <w:lastRenderedPageBreak/>
        <w:t>convertidor E/O se mantiene constante utilizando un modulador MF. Aunque la anchura de banda de la señal MF varía en función de la frecuencia más alta y la tensión de cresta de la señal de modulación, la corriente inyección de cresta del LD es casi fija.</w:t>
      </w:r>
    </w:p>
    <w:p w:rsidR="00EB14D5" w:rsidRDefault="00951D9A" w:rsidP="003B7CFA">
      <w:pPr>
        <w:pStyle w:val="FigureNo"/>
        <w:rPr>
          <w:lang w:val="es-ES_tradnl"/>
        </w:rPr>
      </w:pPr>
      <w:r>
        <w:rPr>
          <w:lang w:val="es-ES_tradnl"/>
        </w:rPr>
        <w:object w:dxaOrig="8708" w:dyaOrig="11934">
          <v:shape id="_x0000_i1035" type="#_x0000_t75" style="width:435.4pt;height:596.8pt" o:ole="">
            <v:imagedata r:id="rId25" o:title=""/>
          </v:shape>
          <o:OLEObject Type="Embed" ProgID="Word.Document.8" ShapeID="_x0000_i1035" DrawAspect="Content" ObjectID="_1356522493" r:id="rId26"/>
        </w:object>
      </w:r>
    </w:p>
    <w:p w:rsidR="003B7CFA" w:rsidRPr="00922147" w:rsidRDefault="003B7CFA" w:rsidP="00EB14D5">
      <w:pPr>
        <w:rPr>
          <w:sz w:val="16"/>
          <w:szCs w:val="16"/>
          <w:lang w:val="es-ES_tradnl"/>
        </w:rPr>
      </w:pPr>
    </w:p>
    <w:p w:rsidR="00EB14D5" w:rsidRPr="003B7CFA" w:rsidRDefault="00EB14D5" w:rsidP="003B7CFA">
      <w:pPr>
        <w:rPr>
          <w:sz w:val="20"/>
          <w:lang w:val="es-ES_tradnl"/>
        </w:rPr>
      </w:pPr>
      <w:r w:rsidRPr="003B7CFA">
        <w:rPr>
          <w:sz w:val="20"/>
          <w:lang w:val="es-ES_tradnl"/>
        </w:rPr>
        <w:t xml:space="preserve">También se ha propuesto la extracción de la señal y la disposición de frecuencias (SEFA) en la fibra como modo de incrementar la gama dinámica, como se muestra en la Fig. 8. En esta técnica, las señales no deseadas procedentes de otras células son eliminadas antes de la modulación óptica. Extrayendo las señales deseadas cuyas frecuencias son </w:t>
      </w:r>
      <w:r w:rsidRPr="003B7CFA">
        <w:rPr>
          <w:i/>
          <w:sz w:val="20"/>
          <w:lang w:val="es-ES_tradnl"/>
        </w:rPr>
        <w:t>f</w:t>
      </w:r>
      <w:r w:rsidRPr="003B7CFA">
        <w:rPr>
          <w:sz w:val="20"/>
          <w:vertAlign w:val="subscript"/>
          <w:lang w:val="es-ES_tradnl"/>
        </w:rPr>
        <w:t>1</w:t>
      </w:r>
      <w:r w:rsidRPr="003B7CFA">
        <w:rPr>
          <w:sz w:val="20"/>
          <w:lang w:val="es-ES_tradnl"/>
        </w:rPr>
        <w:t xml:space="preserve">, </w:t>
      </w:r>
      <w:r w:rsidRPr="003B7CFA">
        <w:rPr>
          <w:i/>
          <w:sz w:val="20"/>
          <w:lang w:val="es-ES_tradnl"/>
        </w:rPr>
        <w:t>f</w:t>
      </w:r>
      <w:r w:rsidRPr="003B7CFA">
        <w:rPr>
          <w:sz w:val="20"/>
          <w:vertAlign w:val="subscript"/>
          <w:lang w:val="es-ES_tradnl"/>
        </w:rPr>
        <w:t>2</w:t>
      </w:r>
      <w:r w:rsidRPr="003B7CFA">
        <w:rPr>
          <w:sz w:val="20"/>
          <w:lang w:val="es-ES_tradnl"/>
        </w:rPr>
        <w:t xml:space="preserve"> </w:t>
      </w:r>
      <w:r w:rsidRPr="003B7CFA">
        <w:rPr>
          <w:sz w:val="20"/>
          <w:lang w:val="es-ES_tradnl"/>
        </w:rPr>
        <w:lastRenderedPageBreak/>
        <w:t xml:space="preserve">y </w:t>
      </w:r>
      <w:r w:rsidRPr="003B7CFA">
        <w:rPr>
          <w:i/>
          <w:sz w:val="20"/>
          <w:lang w:val="es-ES_tradnl"/>
        </w:rPr>
        <w:t>f</w:t>
      </w:r>
      <w:r w:rsidRPr="003B7CFA">
        <w:rPr>
          <w:sz w:val="20"/>
          <w:vertAlign w:val="subscript"/>
          <w:lang w:val="es-ES_tradnl"/>
        </w:rPr>
        <w:t>3</w:t>
      </w:r>
      <w:r w:rsidRPr="003B7CFA">
        <w:rPr>
          <w:sz w:val="20"/>
          <w:lang w:val="es-ES_tradnl"/>
        </w:rPr>
        <w:t xml:space="preserve"> en la RAU, y convirtiendo a continuación sus frecuencias en </w:t>
      </w:r>
      <w:r w:rsidRPr="003B7CFA">
        <w:rPr>
          <w:i/>
          <w:sz w:val="20"/>
          <w:lang w:val="es-ES_tradnl"/>
        </w:rPr>
        <w:t>f</w:t>
      </w:r>
      <w:r w:rsidRPr="003B7CFA">
        <w:rPr>
          <w:sz w:val="20"/>
          <w:vertAlign w:val="subscript"/>
          <w:lang w:val="es-ES_tradnl"/>
        </w:rPr>
        <w:t>4</w:t>
      </w:r>
      <w:r w:rsidRPr="003B7CFA">
        <w:rPr>
          <w:sz w:val="20"/>
          <w:lang w:val="es-ES_tradnl"/>
        </w:rPr>
        <w:t xml:space="preserve">, </w:t>
      </w:r>
      <w:r w:rsidRPr="003B7CFA">
        <w:rPr>
          <w:i/>
          <w:sz w:val="20"/>
          <w:lang w:val="es-ES_tradnl"/>
        </w:rPr>
        <w:t>f</w:t>
      </w:r>
      <w:r w:rsidRPr="003B7CFA">
        <w:rPr>
          <w:sz w:val="20"/>
          <w:vertAlign w:val="subscript"/>
          <w:lang w:val="es-ES_tradnl"/>
        </w:rPr>
        <w:t>5</w:t>
      </w:r>
      <w:r w:rsidRPr="003B7CFA">
        <w:rPr>
          <w:sz w:val="20"/>
          <w:lang w:val="es-ES_tradnl"/>
        </w:rPr>
        <w:t xml:space="preserve"> y </w:t>
      </w:r>
      <w:r w:rsidRPr="003B7CFA">
        <w:rPr>
          <w:i/>
          <w:sz w:val="20"/>
          <w:lang w:val="es-ES_tradnl"/>
        </w:rPr>
        <w:t>f</w:t>
      </w:r>
      <w:r w:rsidRPr="003B7CFA">
        <w:rPr>
          <w:sz w:val="20"/>
          <w:vertAlign w:val="subscript"/>
          <w:lang w:val="es-ES_tradnl"/>
        </w:rPr>
        <w:t>6</w:t>
      </w:r>
      <w:r w:rsidRPr="003B7CFA">
        <w:rPr>
          <w:sz w:val="20"/>
          <w:lang w:val="es-ES_tradnl"/>
        </w:rPr>
        <w:t xml:space="preserve"> respectivamente, la señal de tipo bitonal de IM3, </w:t>
      </w:r>
      <w:r w:rsidR="007404F1">
        <w:rPr>
          <w:sz w:val="20"/>
          <w:lang w:val="es-ES_tradnl"/>
        </w:rPr>
        <w:fldChar w:fldCharType="begin"/>
      </w:r>
      <w:r w:rsidR="003B7CFA">
        <w:rPr>
          <w:sz w:val="20"/>
          <w:lang w:val="es-ES_tradnl"/>
        </w:rPr>
        <w:instrText xml:space="preserve"> EQ  </w:instrText>
      </w:r>
      <w:r w:rsidR="003B7CFA" w:rsidRPr="003B7CFA">
        <w:rPr>
          <w:sz w:val="20"/>
          <w:lang w:val="es-ES_tradnl"/>
        </w:rPr>
        <w:instrText>2</w:instrText>
      </w:r>
      <w:r w:rsidR="003B7CFA" w:rsidRPr="003B7CFA">
        <w:rPr>
          <w:i/>
          <w:sz w:val="20"/>
          <w:lang w:val="es-ES_tradnl"/>
        </w:rPr>
        <w:instrText>f</w:instrText>
      </w:r>
      <w:r w:rsidR="003B7CFA" w:rsidRPr="003B7CFA">
        <w:rPr>
          <w:sz w:val="20"/>
          <w:vertAlign w:val="subscript"/>
          <w:lang w:val="es-ES_tradnl"/>
        </w:rPr>
        <w:instrText>2</w:instrText>
      </w:r>
      <w:r w:rsidR="003B7CFA" w:rsidRPr="003B7CFA">
        <w:rPr>
          <w:sz w:val="20"/>
          <w:lang w:val="es-ES_tradnl"/>
        </w:rPr>
        <w:instrText> – </w:instrText>
      </w:r>
      <w:r w:rsidR="003B7CFA" w:rsidRPr="003B7CFA">
        <w:rPr>
          <w:i/>
          <w:iCs/>
          <w:lang w:val="es-ES_tradnl"/>
        </w:rPr>
        <w:instrText>f</w:instrText>
      </w:r>
      <w:r w:rsidR="003B7CFA" w:rsidRPr="003B7CFA">
        <w:rPr>
          <w:position w:val="-4"/>
          <w:sz w:val="20"/>
          <w:vertAlign w:val="subscript"/>
          <w:lang w:val="es-ES_tradnl"/>
        </w:rPr>
        <w:instrText>1</w:instrText>
      </w:r>
      <w:r w:rsidR="007404F1">
        <w:rPr>
          <w:sz w:val="20"/>
          <w:lang w:val="es-ES_tradnl"/>
        </w:rPr>
        <w:fldChar w:fldCharType="end"/>
      </w:r>
      <w:r w:rsidRPr="003B7CFA">
        <w:rPr>
          <w:sz w:val="20"/>
          <w:lang w:val="es-ES_tradnl"/>
        </w:rPr>
        <w:t xml:space="preserve">, no puede interferir con la señal de </w:t>
      </w:r>
      <w:r w:rsidRPr="003B7CFA">
        <w:rPr>
          <w:i/>
          <w:sz w:val="20"/>
          <w:lang w:val="es-ES_tradnl"/>
        </w:rPr>
        <w:t>f</w:t>
      </w:r>
      <w:r w:rsidRPr="00F5549D">
        <w:rPr>
          <w:sz w:val="20"/>
          <w:vertAlign w:val="subscript"/>
          <w:lang w:val="es-ES_tradnl"/>
        </w:rPr>
        <w:t>3</w:t>
      </w:r>
      <w:r w:rsidRPr="003B7CFA">
        <w:rPr>
          <w:sz w:val="20"/>
          <w:lang w:val="es-ES_tradnl"/>
        </w:rPr>
        <w:t>. Las señales con conversión de frecuencia modulan el LD. Por supuesto, cada potencia de señal extraída puede ajustarse mediante un CAG o un limitador. Habida cuenta de que puede no tenerse en cuenta la no linealidad del LD, la SEFA puede aumentar el índice de modulación óptica para mejorar la </w:t>
      </w:r>
      <w:r w:rsidRPr="003B7CFA">
        <w:rPr>
          <w:i/>
          <w:sz w:val="20"/>
          <w:lang w:val="es-ES_tradnl"/>
        </w:rPr>
        <w:t>C</w:t>
      </w:r>
      <w:r w:rsidRPr="003B7CFA">
        <w:rPr>
          <w:sz w:val="20"/>
          <w:lang w:val="es-ES_tradnl"/>
        </w:rPr>
        <w:t>/</w:t>
      </w:r>
      <w:r w:rsidRPr="003B7CFA">
        <w:rPr>
          <w:i/>
          <w:sz w:val="20"/>
          <w:lang w:val="es-ES_tradnl"/>
        </w:rPr>
        <w:t>N</w:t>
      </w:r>
      <w:r w:rsidRPr="003B7CFA">
        <w:rPr>
          <w:sz w:val="20"/>
          <w:lang w:val="es-ES_tradnl"/>
        </w:rPr>
        <w:t>.</w:t>
      </w:r>
    </w:p>
    <w:p w:rsidR="00EB14D5" w:rsidRDefault="00951D9A" w:rsidP="003B7CFA">
      <w:pPr>
        <w:pStyle w:val="FigureNo"/>
        <w:rPr>
          <w:lang w:val="es-ES_tradnl"/>
        </w:rPr>
      </w:pPr>
      <w:r>
        <w:rPr>
          <w:lang w:val="es-ES_tradnl"/>
        </w:rPr>
        <w:object w:dxaOrig="9447" w:dyaOrig="5242">
          <v:shape id="_x0000_i1037" type="#_x0000_t75" style="width:472.5pt;height:262.15pt" o:ole="">
            <v:imagedata r:id="rId27" o:title=""/>
          </v:shape>
          <o:OLEObject Type="Embed" ProgID="Word.Document.8" ShapeID="_x0000_i1037" DrawAspect="Content" ObjectID="_1356522494" r:id="rId28"/>
        </w:object>
      </w:r>
    </w:p>
    <w:p w:rsidR="003B7CFA" w:rsidRPr="003B7CFA" w:rsidRDefault="003B7CFA" w:rsidP="00EB14D5">
      <w:pPr>
        <w:rPr>
          <w:sz w:val="20"/>
          <w:lang w:val="es-ES_tradnl"/>
        </w:rPr>
      </w:pPr>
    </w:p>
    <w:p w:rsidR="00EB14D5" w:rsidRPr="003B7CFA" w:rsidRDefault="00EB14D5" w:rsidP="00A721F8">
      <w:pPr>
        <w:rPr>
          <w:sz w:val="20"/>
          <w:lang w:val="es-ES_tradnl"/>
        </w:rPr>
      </w:pPr>
      <w:r w:rsidRPr="003B7CFA">
        <w:rPr>
          <w:sz w:val="20"/>
          <w:lang w:val="es-ES_tradnl"/>
        </w:rPr>
        <w:t xml:space="preserve">La pérdida óptica admisible debe determinarse teniendo en cuenta la pérdida de los conectores ópticos de manera que pueda cumplirse la característica de la relación </w:t>
      </w:r>
      <w:r w:rsidRPr="003B7CFA">
        <w:rPr>
          <w:i/>
          <w:sz w:val="20"/>
          <w:lang w:val="es-ES_tradnl"/>
        </w:rPr>
        <w:t>C/N</w:t>
      </w:r>
      <w:r w:rsidRPr="003B7CFA">
        <w:rPr>
          <w:sz w:val="20"/>
          <w:lang w:val="es-ES_tradnl"/>
        </w:rPr>
        <w:t xml:space="preserve"> total de acuerdo con los diferentes esquemas de modulación radioeléctrica. El retardo de la fibra entre una OLT y las RAU es uno de los parámetros clave, en particular en el caso de los sistemas AMDT</w:t>
      </w:r>
      <w:r w:rsidRPr="003B7CFA">
        <w:rPr>
          <w:sz w:val="20"/>
          <w:lang w:val="es-ES_tradnl"/>
        </w:rPr>
        <w:noBreakHyphen/>
        <w:t>DDT (dúplex por división en tiempo). Una señal radioeléctrica es retardada por la transmisión por fibra aproximadamente unos 5</w:t>
      </w:r>
      <w:r w:rsidR="003B7CFA" w:rsidRPr="003B7CFA">
        <w:rPr>
          <w:sz w:val="20"/>
          <w:lang w:val="es-ES_tradnl"/>
        </w:rPr>
        <w:t> </w:t>
      </w:r>
      <w:r w:rsidRPr="003B7CFA">
        <w:rPr>
          <w:rFonts w:ascii="Symbol" w:hAnsi="Symbol"/>
          <w:sz w:val="20"/>
          <w:lang w:val="es-ES_tradnl"/>
        </w:rPr>
        <w:t></w:t>
      </w:r>
      <w:r w:rsidRPr="003B7CFA">
        <w:rPr>
          <w:sz w:val="20"/>
          <w:lang w:val="es-ES_tradnl"/>
        </w:rPr>
        <w:t>s/km en el caso de una fibra monomodo compatible con las Recomendaciones</w:t>
      </w:r>
      <w:r w:rsidR="00A721F8">
        <w:rPr>
          <w:sz w:val="20"/>
          <w:lang w:val="es-ES_tradnl"/>
        </w:rPr>
        <w:t xml:space="preserve"> </w:t>
      </w:r>
      <w:r w:rsidRPr="003B7CFA">
        <w:rPr>
          <w:sz w:val="20"/>
          <w:lang w:val="es-ES_tradnl"/>
        </w:rPr>
        <w:t>UIT</w:t>
      </w:r>
      <w:r w:rsidRPr="003B7CFA">
        <w:rPr>
          <w:sz w:val="20"/>
          <w:lang w:val="es-ES_tradnl"/>
        </w:rPr>
        <w:noBreakHyphen/>
        <w:t>T G.652, UIT</w:t>
      </w:r>
      <w:r w:rsidRPr="003B7CFA">
        <w:rPr>
          <w:sz w:val="20"/>
          <w:lang w:val="es-ES_tradnl"/>
        </w:rPr>
        <w:noBreakHyphen/>
        <w:t>T G.653 o UIT</w:t>
      </w:r>
      <w:r w:rsidRPr="003B7CFA">
        <w:rPr>
          <w:sz w:val="20"/>
          <w:lang w:val="es-ES_tradnl"/>
        </w:rPr>
        <w:noBreakHyphen/>
        <w:t>T G.655. Este retardo en el enlace bidireccional puede superar el intervalo de guarda entre el tiempo de transmisión y recepción.</w:t>
      </w:r>
    </w:p>
    <w:p w:rsidR="00EB14D5" w:rsidRPr="003B7CFA" w:rsidRDefault="00EB14D5" w:rsidP="00EB14D5">
      <w:pPr>
        <w:rPr>
          <w:sz w:val="20"/>
          <w:lang w:val="es-ES_tradnl"/>
        </w:rPr>
      </w:pPr>
      <w:r w:rsidRPr="003B7CFA">
        <w:rPr>
          <w:sz w:val="20"/>
          <w:lang w:val="es-ES_tradnl"/>
        </w:rPr>
        <w:t xml:space="preserve">Como se muestra en la Fig. 9, se ha propuesto la técnica de compresión del nivel de la señal (SLC) para mejorar la gama dinámica del enlace óptico. En este técnica, el compresor, que está compuesto de amplificadores de control automático de ganancia (CAG-AMP) o limitadores y filtros paso banda, se coloca en frente de E/O. El valor de ganancia más alto del compresor podría ser ajustado si se recibe una señal de nivel más bajo en la antena. La relación </w:t>
      </w:r>
      <w:r w:rsidRPr="003B7CFA">
        <w:rPr>
          <w:i/>
          <w:sz w:val="20"/>
          <w:lang w:val="es-ES_tradnl"/>
        </w:rPr>
        <w:t>C/N</w:t>
      </w:r>
      <w:r w:rsidRPr="003B7CFA">
        <w:rPr>
          <w:sz w:val="20"/>
          <w:lang w:val="es-ES_tradnl"/>
        </w:rPr>
        <w:t xml:space="preserve"> recibida en la O/E depende principalmente del nivel de entrada de E/O que es equivalente a la ganancia del compresor. La alta ganancia del compresor mitiga el factor de ruido del enlace óptico causado por influencia de la pérdida óptica y del factor de ruido en el receptor óptico. Por consiguiente, el uso de la técnica SLC mejora la relación </w:t>
      </w:r>
      <w:r w:rsidRPr="003B7CFA">
        <w:rPr>
          <w:i/>
          <w:sz w:val="20"/>
          <w:lang w:val="es-ES_tradnl"/>
        </w:rPr>
        <w:t>C/N</w:t>
      </w:r>
      <w:r w:rsidRPr="003B7CFA">
        <w:rPr>
          <w:sz w:val="20"/>
          <w:lang w:val="es-ES_tradnl"/>
        </w:rPr>
        <w:t xml:space="preserve"> recibida en la O/E para las señales de bajo nivel recibidas en las antenas. Disminuye también el nivel E/O de entrada mínimo para la relación </w:t>
      </w:r>
      <w:r w:rsidRPr="003B7CFA">
        <w:rPr>
          <w:i/>
          <w:sz w:val="20"/>
          <w:lang w:val="es-ES_tradnl"/>
        </w:rPr>
        <w:t>C/N</w:t>
      </w:r>
      <w:r w:rsidRPr="003B7CFA">
        <w:rPr>
          <w:sz w:val="20"/>
          <w:lang w:val="es-ES_tradnl"/>
        </w:rPr>
        <w:t xml:space="preserve"> requerida y mejora la gama dinámica. Además, cabe esperar que mejore la gama dinámica de SLC combinada con SEFA porque el nivel IM3 admisible máximo causado por la intermodulación es insignificante, como se examina anteriormente.</w:t>
      </w:r>
    </w:p>
    <w:p w:rsidR="00EB14D5" w:rsidRDefault="00A721F8" w:rsidP="003B7CFA">
      <w:pPr>
        <w:pStyle w:val="FigureNo"/>
        <w:rPr>
          <w:lang w:val="es-ES_tradnl"/>
        </w:rPr>
      </w:pPr>
      <w:r>
        <w:rPr>
          <w:lang w:val="es-ES_tradnl"/>
        </w:rPr>
        <w:object w:dxaOrig="8497" w:dyaOrig="6121">
          <v:shape id="_x0000_i1042" type="#_x0000_t75" style="width:424.7pt;height:306pt" o:ole="">
            <v:imagedata r:id="rId29" o:title=""/>
          </v:shape>
          <o:OLEObject Type="Embed" ProgID="Word.Picture.8" ShapeID="_x0000_i1042" DrawAspect="Content" ObjectID="_1356522495" r:id="rId30"/>
        </w:object>
      </w:r>
    </w:p>
    <w:p w:rsidR="003B7CFA" w:rsidRDefault="003B7CFA" w:rsidP="003B7CFA">
      <w:pPr>
        <w:rPr>
          <w:lang w:val="es-ES_tradnl"/>
        </w:rPr>
      </w:pPr>
    </w:p>
    <w:p w:rsidR="00A721F8" w:rsidRDefault="00A721F8" w:rsidP="003B7CFA">
      <w:pPr>
        <w:rPr>
          <w:lang w:val="es-ES_tradnl"/>
        </w:rPr>
      </w:pPr>
    </w:p>
    <w:p w:rsidR="003B7CFA" w:rsidRDefault="003B7CFA" w:rsidP="003B7CFA">
      <w:pPr>
        <w:pStyle w:val="Line"/>
      </w:pPr>
    </w:p>
    <w:sectPr w:rsidR="003B7CFA" w:rsidSect="00DE47A5">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314" w:rsidRDefault="00104314">
      <w:r>
        <w:separator/>
      </w:r>
    </w:p>
  </w:endnote>
  <w:endnote w:type="continuationSeparator" w:id="0">
    <w:p w:rsidR="00104314" w:rsidRDefault="00104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314" w:rsidRDefault="00104314">
      <w:r>
        <w:separator/>
      </w:r>
    </w:p>
  </w:footnote>
  <w:footnote w:type="continuationSeparator" w:id="0">
    <w:p w:rsidR="00104314" w:rsidRDefault="00104314">
      <w:r>
        <w:continuationSeparator/>
      </w:r>
    </w:p>
  </w:footnote>
  <w:footnote w:id="1">
    <w:p w:rsidR="00104314" w:rsidRPr="00505478" w:rsidRDefault="00104314">
      <w:pPr>
        <w:pStyle w:val="FootnoteText"/>
        <w:rPr>
          <w:sz w:val="20"/>
          <w:lang w:val="es-ES_tradnl"/>
        </w:rPr>
      </w:pPr>
      <w:r w:rsidRPr="00505478">
        <w:rPr>
          <w:rStyle w:val="FootnoteReference"/>
          <w:sz w:val="20"/>
        </w:rPr>
        <w:sym w:font="Symbol" w:char="F02A"/>
      </w:r>
      <w:r w:rsidRPr="00505478">
        <w:rPr>
          <w:sz w:val="20"/>
          <w:lang w:val="es-ES_tradnl"/>
        </w:rPr>
        <w:t xml:space="preserve"> </w:t>
      </w:r>
      <w:r w:rsidRPr="00505478">
        <w:rPr>
          <w:sz w:val="20"/>
          <w:lang w:val="es-ES_tradnl"/>
        </w:rPr>
        <w:tab/>
        <w:t>Esta Recomendación debe señalarse a la atención de la Comisión de Estudio 15 de Normalización de las Telecomunicaciones (Grupo de Trabajo 4/15).</w:t>
      </w:r>
    </w:p>
  </w:footnote>
  <w:footnote w:id="2">
    <w:p w:rsidR="00104314" w:rsidRPr="00505478" w:rsidRDefault="00104314" w:rsidP="00505478">
      <w:pPr>
        <w:pStyle w:val="FootnoteText"/>
        <w:rPr>
          <w:lang w:val="es-ES_tradnl"/>
        </w:rPr>
      </w:pPr>
      <w:r w:rsidRPr="00505478">
        <w:rPr>
          <w:rStyle w:val="FootnoteReference"/>
        </w:rPr>
        <w:sym w:font="Symbol" w:char="F02A"/>
      </w:r>
      <w:r w:rsidRPr="00505478">
        <w:rPr>
          <w:rStyle w:val="FootnoteReference"/>
        </w:rPr>
        <w:sym w:font="Symbol" w:char="F02A"/>
      </w:r>
      <w:r w:rsidRPr="00505478">
        <w:rPr>
          <w:lang w:val="es-ES_tradnl"/>
        </w:rPr>
        <w:tab/>
      </w:r>
      <w:r w:rsidRPr="00505478">
        <w:rPr>
          <w:sz w:val="20"/>
          <w:lang w:val="es-ES_tradnl"/>
        </w:rPr>
        <w:t>La Comisión de Estudio 5 de Radiocomunicaciones introdujo cambios de edición en la presente Recomendación en diciembre de 2009, con arreglo a lo dispuesto en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14" w:rsidRDefault="0010431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14" w:rsidRDefault="00104314" w:rsidP="00E300B9">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14" w:rsidRDefault="007404F1" w:rsidP="00E300B9">
    <w:pPr>
      <w:pStyle w:val="Header"/>
      <w:jc w:val="left"/>
    </w:pPr>
    <w:r w:rsidRPr="00E8517A">
      <w:rPr>
        <w:rStyle w:val="PageNumber"/>
        <w:b/>
        <w:bCs/>
        <w:sz w:val="20"/>
      </w:rPr>
      <w:fldChar w:fldCharType="begin"/>
    </w:r>
    <w:r w:rsidR="00104314" w:rsidRPr="00E8517A">
      <w:rPr>
        <w:rStyle w:val="PageNumber"/>
        <w:b/>
        <w:bCs/>
        <w:sz w:val="20"/>
      </w:rPr>
      <w:instrText xml:space="preserve"> PAGE </w:instrText>
    </w:r>
    <w:r w:rsidRPr="00E8517A">
      <w:rPr>
        <w:rStyle w:val="PageNumber"/>
        <w:b/>
        <w:bCs/>
        <w:sz w:val="20"/>
      </w:rPr>
      <w:fldChar w:fldCharType="separate"/>
    </w:r>
    <w:r w:rsidR="00A721F8">
      <w:rPr>
        <w:rStyle w:val="PageNumber"/>
        <w:b/>
        <w:bCs/>
        <w:noProof/>
        <w:sz w:val="20"/>
      </w:rPr>
      <w:t>ii</w:t>
    </w:r>
    <w:r w:rsidRPr="00E8517A">
      <w:rPr>
        <w:rStyle w:val="PageNumber"/>
        <w:b/>
        <w:bCs/>
        <w:sz w:val="20"/>
      </w:rPr>
      <w:fldChar w:fldCharType="end"/>
    </w:r>
    <w:r w:rsidR="00104314">
      <w:tab/>
    </w:r>
    <w:fldSimple w:instr=" DOCPROPERTY &quot;Header&quot; \* MERGEFORMAT ">
      <w:r w:rsidR="00A721F8" w:rsidRPr="00A721F8">
        <w:rPr>
          <w:b/>
          <w:bCs/>
          <w:sz w:val="20"/>
          <w:lang w:val="en-US"/>
        </w:rPr>
        <w:t xml:space="preserve">Rec. </w:t>
      </w:r>
    </w:fldSimple>
    <w:r w:rsidR="00104314" w:rsidRPr="00E8517A">
      <w:rPr>
        <w:b/>
        <w:bCs/>
        <w:sz w:val="20"/>
      </w:rPr>
      <w:t xml:space="preserve"> </w:t>
    </w:r>
    <w:r w:rsidRPr="00E8517A">
      <w:rPr>
        <w:b/>
        <w:bCs/>
        <w:sz w:val="20"/>
      </w:rPr>
      <w:fldChar w:fldCharType="begin"/>
    </w:r>
    <w:r w:rsidR="00104314" w:rsidRPr="00E8517A">
      <w:rPr>
        <w:b/>
        <w:bCs/>
        <w:sz w:val="20"/>
      </w:rPr>
      <w:instrText>styleref href</w:instrText>
    </w:r>
    <w:r w:rsidRPr="00E8517A">
      <w:rPr>
        <w:b/>
        <w:bCs/>
        <w:sz w:val="20"/>
      </w:rPr>
      <w:fldChar w:fldCharType="separate"/>
    </w:r>
    <w:r w:rsidR="00A721F8">
      <w:rPr>
        <w:b/>
        <w:bCs/>
        <w:noProof/>
        <w:sz w:val="20"/>
      </w:rPr>
      <w:t>UIT-R  F.1332-1</w:t>
    </w:r>
    <w:r w:rsidRPr="00E8517A">
      <w:rPr>
        <w:b/>
        <w:bCs/>
        <w:sz w:val="2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14" w:rsidRDefault="00104314">
    <w:pPr>
      <w:pStyle w:val="Header"/>
    </w:pPr>
    <w:r>
      <w:tab/>
    </w:r>
    <w:fldSimple w:instr=" DOCPROPERTY &quot;Header&quot; \* MERGEFORMAT ">
      <w:r w:rsidR="00A721F8" w:rsidRPr="00A721F8">
        <w:rPr>
          <w:lang w:val="en-US"/>
        </w:rPr>
        <w:t xml:space="preserve">Rec. </w:t>
      </w:r>
    </w:fldSimple>
    <w:r w:rsidRPr="00C1061D">
      <w:rPr>
        <w:b/>
        <w:bCs/>
        <w:lang w:val="en-US"/>
      </w:rPr>
      <w:t xml:space="preserve">  </w:t>
    </w:r>
    <w:r w:rsidR="007404F1">
      <w:rPr>
        <w:b/>
        <w:bCs/>
      </w:rPr>
      <w:fldChar w:fldCharType="begin"/>
    </w:r>
    <w:r w:rsidRPr="00C1061D">
      <w:rPr>
        <w:b/>
        <w:bCs/>
        <w:lang w:val="en-US"/>
      </w:rPr>
      <w:instrText>styleref href</w:instrText>
    </w:r>
    <w:r w:rsidR="007404F1">
      <w:rPr>
        <w:b/>
        <w:bCs/>
      </w:rPr>
      <w:fldChar w:fldCharType="separate"/>
    </w:r>
    <w:r w:rsidR="00A721F8">
      <w:rPr>
        <w:b/>
        <w:bCs/>
        <w:noProof/>
      </w:rPr>
      <w:t>UIT-R  F.1332-1</w:t>
    </w:r>
    <w:r w:rsidR="007404F1">
      <w:rPr>
        <w:b/>
        <w:bCs/>
      </w:rPr>
      <w:fldChar w:fldCharType="end"/>
    </w:r>
    <w:r w:rsidRPr="00C1061D">
      <w:rPr>
        <w:lang w:val="en-US"/>
      </w:rPr>
      <w:tab/>
    </w:r>
    <w:r w:rsidR="007404F1">
      <w:rPr>
        <w:rStyle w:val="PageNumber"/>
        <w:b/>
        <w:bCs/>
      </w:rPr>
      <w:fldChar w:fldCharType="begin"/>
    </w:r>
    <w:r w:rsidRPr="00C1061D">
      <w:rPr>
        <w:rStyle w:val="PageNumber"/>
        <w:b/>
        <w:bCs/>
        <w:lang w:val="en-US"/>
      </w:rPr>
      <w:instrText xml:space="preserve"> PAGE </w:instrText>
    </w:r>
    <w:r w:rsidR="007404F1">
      <w:rPr>
        <w:rStyle w:val="PageNumber"/>
        <w:b/>
        <w:bCs/>
      </w:rPr>
      <w:fldChar w:fldCharType="separate"/>
    </w:r>
    <w:r>
      <w:rPr>
        <w:rStyle w:val="PageNumber"/>
        <w:b/>
        <w:bCs/>
        <w:noProof/>
        <w:lang w:val="en-US"/>
      </w:rPr>
      <w:t>iii</w:t>
    </w:r>
    <w:r w:rsidR="007404F1">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14" w:rsidRPr="00E8517A" w:rsidRDefault="007404F1">
    <w:pPr>
      <w:pStyle w:val="Header"/>
      <w:jc w:val="left"/>
      <w:rPr>
        <w:sz w:val="20"/>
        <w:lang w:val="en-US"/>
      </w:rPr>
    </w:pPr>
    <w:r w:rsidRPr="00E8517A">
      <w:rPr>
        <w:rStyle w:val="PageNumber"/>
        <w:b/>
        <w:bCs/>
        <w:sz w:val="20"/>
      </w:rPr>
      <w:fldChar w:fldCharType="begin"/>
    </w:r>
    <w:r w:rsidR="00104314" w:rsidRPr="00E8517A">
      <w:rPr>
        <w:rStyle w:val="PageNumber"/>
        <w:b/>
        <w:bCs/>
        <w:sz w:val="20"/>
        <w:lang w:val="en-US"/>
      </w:rPr>
      <w:instrText xml:space="preserve"> PAGE </w:instrText>
    </w:r>
    <w:r w:rsidRPr="00E8517A">
      <w:rPr>
        <w:rStyle w:val="PageNumber"/>
        <w:b/>
        <w:bCs/>
        <w:sz w:val="20"/>
      </w:rPr>
      <w:fldChar w:fldCharType="separate"/>
    </w:r>
    <w:r w:rsidR="00A721F8">
      <w:rPr>
        <w:rStyle w:val="PageNumber"/>
        <w:b/>
        <w:bCs/>
        <w:noProof/>
        <w:sz w:val="20"/>
        <w:lang w:val="en-US"/>
      </w:rPr>
      <w:t>12</w:t>
    </w:r>
    <w:r w:rsidRPr="00E8517A">
      <w:rPr>
        <w:rStyle w:val="PageNumber"/>
        <w:b/>
        <w:bCs/>
        <w:sz w:val="20"/>
      </w:rPr>
      <w:fldChar w:fldCharType="end"/>
    </w:r>
    <w:r w:rsidR="00104314" w:rsidRPr="00E8517A">
      <w:rPr>
        <w:sz w:val="20"/>
        <w:lang w:val="en-US"/>
      </w:rPr>
      <w:tab/>
    </w:r>
    <w:fldSimple w:instr=" DOCPROPERTY &quot;Header&quot; \* MERGEFORMAT ">
      <w:r w:rsidR="00A721F8" w:rsidRPr="00A721F8">
        <w:rPr>
          <w:b/>
          <w:bCs/>
          <w:sz w:val="20"/>
          <w:lang w:val="en-US"/>
        </w:rPr>
        <w:t xml:space="preserve">Rec. </w:t>
      </w:r>
    </w:fldSimple>
    <w:r w:rsidR="00104314" w:rsidRPr="00E8517A">
      <w:rPr>
        <w:b/>
        <w:bCs/>
        <w:sz w:val="20"/>
      </w:rPr>
      <w:t xml:space="preserve"> </w:t>
    </w:r>
    <w:r w:rsidRPr="00E8517A">
      <w:rPr>
        <w:b/>
        <w:bCs/>
        <w:sz w:val="20"/>
      </w:rPr>
      <w:fldChar w:fldCharType="begin"/>
    </w:r>
    <w:r w:rsidR="00104314" w:rsidRPr="00E8517A">
      <w:rPr>
        <w:b/>
        <w:bCs/>
        <w:sz w:val="20"/>
        <w:lang w:val="en-US"/>
      </w:rPr>
      <w:instrText>styleref href</w:instrText>
    </w:r>
    <w:r w:rsidRPr="00E8517A">
      <w:rPr>
        <w:b/>
        <w:bCs/>
        <w:sz w:val="20"/>
      </w:rPr>
      <w:fldChar w:fldCharType="separate"/>
    </w:r>
    <w:r w:rsidR="00A721F8">
      <w:rPr>
        <w:b/>
        <w:bCs/>
        <w:noProof/>
        <w:sz w:val="20"/>
      </w:rPr>
      <w:t>UIT-R  F.1332-1</w:t>
    </w:r>
    <w:r w:rsidRPr="00E8517A">
      <w:rPr>
        <w:b/>
        <w:bCs/>
        <w:sz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14" w:rsidRPr="00E8517A" w:rsidRDefault="00104314">
    <w:pPr>
      <w:pStyle w:val="Header"/>
      <w:rPr>
        <w:sz w:val="20"/>
      </w:rPr>
    </w:pPr>
    <w:r w:rsidRPr="00E8517A">
      <w:rPr>
        <w:sz w:val="20"/>
      </w:rPr>
      <w:tab/>
    </w:r>
    <w:fldSimple w:instr=" DOCPROPERTY &quot;Header&quot; \* MERGEFORMAT ">
      <w:r w:rsidR="00A721F8" w:rsidRPr="00A721F8">
        <w:rPr>
          <w:b/>
          <w:bCs/>
          <w:sz w:val="20"/>
          <w:lang w:val="en-US"/>
        </w:rPr>
        <w:t xml:space="preserve">Rec. </w:t>
      </w:r>
    </w:fldSimple>
    <w:r w:rsidRPr="00E8517A">
      <w:rPr>
        <w:b/>
        <w:bCs/>
        <w:sz w:val="20"/>
        <w:lang w:val="en-US"/>
      </w:rPr>
      <w:t xml:space="preserve"> </w:t>
    </w:r>
    <w:r w:rsidR="007404F1" w:rsidRPr="00E8517A">
      <w:rPr>
        <w:b/>
        <w:bCs/>
        <w:sz w:val="20"/>
      </w:rPr>
      <w:fldChar w:fldCharType="begin"/>
    </w:r>
    <w:r w:rsidRPr="00E8517A">
      <w:rPr>
        <w:b/>
        <w:bCs/>
        <w:sz w:val="20"/>
        <w:lang w:val="en-US"/>
      </w:rPr>
      <w:instrText>styleref href</w:instrText>
    </w:r>
    <w:r w:rsidR="007404F1" w:rsidRPr="00E8517A">
      <w:rPr>
        <w:b/>
        <w:bCs/>
        <w:sz w:val="20"/>
      </w:rPr>
      <w:fldChar w:fldCharType="separate"/>
    </w:r>
    <w:r w:rsidR="00A721F8">
      <w:rPr>
        <w:b/>
        <w:bCs/>
        <w:noProof/>
        <w:sz w:val="20"/>
      </w:rPr>
      <w:t>UIT-R  F.1332-1</w:t>
    </w:r>
    <w:r w:rsidR="007404F1" w:rsidRPr="00E8517A">
      <w:rPr>
        <w:b/>
        <w:bCs/>
        <w:sz w:val="20"/>
      </w:rPr>
      <w:fldChar w:fldCharType="end"/>
    </w:r>
    <w:r w:rsidRPr="00E8517A">
      <w:rPr>
        <w:sz w:val="20"/>
        <w:lang w:val="en-US"/>
      </w:rPr>
      <w:tab/>
    </w:r>
    <w:r w:rsidR="007404F1" w:rsidRPr="00E8517A">
      <w:rPr>
        <w:b/>
        <w:bCs/>
        <w:sz w:val="20"/>
        <w:lang w:val="en-US"/>
      </w:rPr>
      <w:fldChar w:fldCharType="begin"/>
    </w:r>
    <w:r w:rsidRPr="00E8517A">
      <w:rPr>
        <w:b/>
        <w:bCs/>
        <w:sz w:val="20"/>
        <w:lang w:val="en-US"/>
      </w:rPr>
      <w:instrText xml:space="preserve"> PAGE   \* MERGEFORMAT </w:instrText>
    </w:r>
    <w:r w:rsidR="007404F1" w:rsidRPr="00E8517A">
      <w:rPr>
        <w:b/>
        <w:bCs/>
        <w:sz w:val="20"/>
        <w:lang w:val="en-US"/>
      </w:rPr>
      <w:fldChar w:fldCharType="separate"/>
    </w:r>
    <w:r w:rsidR="00A721F8">
      <w:rPr>
        <w:b/>
        <w:bCs/>
        <w:noProof/>
        <w:sz w:val="20"/>
        <w:lang w:val="en-US"/>
      </w:rPr>
      <w:t>11</w:t>
    </w:r>
    <w:r w:rsidR="007404F1" w:rsidRPr="00E8517A">
      <w:rPr>
        <w:b/>
        <w:bCs/>
        <w:sz w:val="20"/>
        <w:lang w:val="en-U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rsids>
    <w:rsidRoot w:val="00E300B9"/>
    <w:rsid w:val="00104314"/>
    <w:rsid w:val="00217EBF"/>
    <w:rsid w:val="002D76C4"/>
    <w:rsid w:val="00306AD8"/>
    <w:rsid w:val="00316E32"/>
    <w:rsid w:val="0036562C"/>
    <w:rsid w:val="003B7CFA"/>
    <w:rsid w:val="00505478"/>
    <w:rsid w:val="005842EB"/>
    <w:rsid w:val="005D1F1D"/>
    <w:rsid w:val="00607D68"/>
    <w:rsid w:val="00623795"/>
    <w:rsid w:val="0062597F"/>
    <w:rsid w:val="00692551"/>
    <w:rsid w:val="007404F1"/>
    <w:rsid w:val="007468DA"/>
    <w:rsid w:val="007F4B11"/>
    <w:rsid w:val="008E21BC"/>
    <w:rsid w:val="008F4245"/>
    <w:rsid w:val="00922147"/>
    <w:rsid w:val="00951D9A"/>
    <w:rsid w:val="009B0BB4"/>
    <w:rsid w:val="00A2740A"/>
    <w:rsid w:val="00A6617B"/>
    <w:rsid w:val="00A721F8"/>
    <w:rsid w:val="00A75989"/>
    <w:rsid w:val="00AB0DC8"/>
    <w:rsid w:val="00AD4498"/>
    <w:rsid w:val="00AE21E3"/>
    <w:rsid w:val="00B015E9"/>
    <w:rsid w:val="00B44E24"/>
    <w:rsid w:val="00B56E9A"/>
    <w:rsid w:val="00B80858"/>
    <w:rsid w:val="00C1061D"/>
    <w:rsid w:val="00C13996"/>
    <w:rsid w:val="00C20725"/>
    <w:rsid w:val="00C347A6"/>
    <w:rsid w:val="00D865CF"/>
    <w:rsid w:val="00DE47A5"/>
    <w:rsid w:val="00DF4176"/>
    <w:rsid w:val="00E300B9"/>
    <w:rsid w:val="00E8517A"/>
    <w:rsid w:val="00E87BB6"/>
    <w:rsid w:val="00EB14D5"/>
    <w:rsid w:val="00EC501B"/>
    <w:rsid w:val="00F438E0"/>
    <w:rsid w:val="00F5549D"/>
    <w:rsid w:val="00F91D8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6E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16E32"/>
    <w:pPr>
      <w:keepNext/>
      <w:keepLines/>
      <w:spacing w:before="480"/>
      <w:ind w:left="794" w:hanging="794"/>
      <w:outlineLvl w:val="0"/>
    </w:pPr>
    <w:rPr>
      <w:b/>
    </w:rPr>
  </w:style>
  <w:style w:type="paragraph" w:styleId="Heading2">
    <w:name w:val="heading 2"/>
    <w:basedOn w:val="Heading1"/>
    <w:next w:val="Normal"/>
    <w:qFormat/>
    <w:rsid w:val="00316E32"/>
    <w:pPr>
      <w:spacing w:before="320"/>
      <w:outlineLvl w:val="1"/>
    </w:pPr>
  </w:style>
  <w:style w:type="paragraph" w:styleId="Heading3">
    <w:name w:val="heading 3"/>
    <w:basedOn w:val="Heading1"/>
    <w:next w:val="Normal"/>
    <w:qFormat/>
    <w:rsid w:val="00316E32"/>
    <w:pPr>
      <w:spacing w:before="200"/>
      <w:outlineLvl w:val="2"/>
    </w:pPr>
  </w:style>
  <w:style w:type="paragraph" w:styleId="Heading4">
    <w:name w:val="heading 4"/>
    <w:basedOn w:val="Heading3"/>
    <w:next w:val="Normal"/>
    <w:qFormat/>
    <w:rsid w:val="00316E32"/>
    <w:pPr>
      <w:tabs>
        <w:tab w:val="clear" w:pos="794"/>
        <w:tab w:val="left" w:pos="992"/>
      </w:tabs>
      <w:ind w:left="992" w:hanging="992"/>
      <w:outlineLvl w:val="3"/>
    </w:pPr>
  </w:style>
  <w:style w:type="paragraph" w:styleId="Heading5">
    <w:name w:val="heading 5"/>
    <w:basedOn w:val="Heading4"/>
    <w:next w:val="Normal"/>
    <w:qFormat/>
    <w:rsid w:val="00316E32"/>
    <w:pPr>
      <w:outlineLvl w:val="4"/>
    </w:pPr>
  </w:style>
  <w:style w:type="paragraph" w:styleId="Heading6">
    <w:name w:val="heading 6"/>
    <w:basedOn w:val="Heading4"/>
    <w:next w:val="Normal"/>
    <w:qFormat/>
    <w:rsid w:val="00316E32"/>
    <w:pPr>
      <w:tabs>
        <w:tab w:val="clear" w:pos="992"/>
        <w:tab w:val="clear" w:pos="1191"/>
      </w:tabs>
      <w:ind w:left="1588" w:hanging="1588"/>
      <w:outlineLvl w:val="5"/>
    </w:pPr>
  </w:style>
  <w:style w:type="paragraph" w:styleId="Heading7">
    <w:name w:val="heading 7"/>
    <w:basedOn w:val="Heading6"/>
    <w:next w:val="Normal"/>
    <w:qFormat/>
    <w:rsid w:val="00316E32"/>
    <w:pPr>
      <w:outlineLvl w:val="6"/>
    </w:pPr>
  </w:style>
  <w:style w:type="paragraph" w:styleId="Heading8">
    <w:name w:val="heading 8"/>
    <w:basedOn w:val="Heading6"/>
    <w:next w:val="Normal"/>
    <w:qFormat/>
    <w:rsid w:val="00316E32"/>
    <w:pPr>
      <w:outlineLvl w:val="7"/>
    </w:pPr>
  </w:style>
  <w:style w:type="paragraph" w:styleId="Heading9">
    <w:name w:val="heading 9"/>
    <w:basedOn w:val="Heading6"/>
    <w:next w:val="Normal"/>
    <w:qFormat/>
    <w:rsid w:val="00316E3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6E3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16E3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6E32"/>
  </w:style>
  <w:style w:type="paragraph" w:customStyle="1" w:styleId="Headingb">
    <w:name w:val="Heading_b"/>
    <w:basedOn w:val="Heading3"/>
    <w:next w:val="Normal"/>
    <w:rsid w:val="00316E32"/>
    <w:pPr>
      <w:spacing w:before="160"/>
      <w:ind w:left="0" w:firstLine="0"/>
      <w:outlineLvl w:val="9"/>
    </w:pPr>
  </w:style>
  <w:style w:type="paragraph" w:customStyle="1" w:styleId="Headingi">
    <w:name w:val="Heading_i"/>
    <w:basedOn w:val="Heading3"/>
    <w:next w:val="Normal"/>
    <w:rsid w:val="00316E32"/>
    <w:pPr>
      <w:spacing w:before="160"/>
      <w:ind w:left="0" w:firstLine="0"/>
    </w:pPr>
    <w:rPr>
      <w:b w:val="0"/>
      <w:i/>
    </w:rPr>
  </w:style>
  <w:style w:type="character" w:customStyle="1" w:styleId="href">
    <w:name w:val="href"/>
    <w:basedOn w:val="DefaultParagraphFont"/>
    <w:rsid w:val="00316E32"/>
  </w:style>
  <w:style w:type="paragraph" w:customStyle="1" w:styleId="enumlev1">
    <w:name w:val="enumlev1"/>
    <w:basedOn w:val="Normal"/>
    <w:rsid w:val="00316E32"/>
    <w:pPr>
      <w:spacing w:before="80"/>
      <w:ind w:left="794" w:hanging="794"/>
    </w:pPr>
  </w:style>
  <w:style w:type="paragraph" w:customStyle="1" w:styleId="enumlev2">
    <w:name w:val="enumlev2"/>
    <w:basedOn w:val="enumlev1"/>
    <w:rsid w:val="00316E32"/>
    <w:pPr>
      <w:ind w:left="1191" w:hanging="397"/>
    </w:pPr>
  </w:style>
  <w:style w:type="paragraph" w:customStyle="1" w:styleId="enumlev3">
    <w:name w:val="enumlev3"/>
    <w:basedOn w:val="enumlev2"/>
    <w:rsid w:val="00316E32"/>
    <w:pPr>
      <w:ind w:left="1588"/>
    </w:pPr>
  </w:style>
  <w:style w:type="paragraph" w:customStyle="1" w:styleId="Normalaftertitle">
    <w:name w:val="Normal_after_title"/>
    <w:basedOn w:val="Normal"/>
    <w:next w:val="Normal"/>
    <w:rsid w:val="00316E32"/>
    <w:pPr>
      <w:spacing w:before="320"/>
    </w:pPr>
  </w:style>
  <w:style w:type="paragraph" w:customStyle="1" w:styleId="Note">
    <w:name w:val="Note"/>
    <w:basedOn w:val="Normal"/>
    <w:rsid w:val="00316E3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6E3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16E32"/>
    <w:pPr>
      <w:spacing w:before="240"/>
    </w:pPr>
    <w:rPr>
      <w:sz w:val="22"/>
      <w:lang w:val="es-ES_tradnl"/>
    </w:rPr>
  </w:style>
  <w:style w:type="paragraph" w:customStyle="1" w:styleId="Recref">
    <w:name w:val="Rec_ref"/>
    <w:basedOn w:val="Normal"/>
    <w:next w:val="Recdate"/>
    <w:rsid w:val="00316E32"/>
    <w:pPr>
      <w:jc w:val="center"/>
    </w:pPr>
  </w:style>
  <w:style w:type="paragraph" w:customStyle="1" w:styleId="Recdate">
    <w:name w:val="Rec_date"/>
    <w:basedOn w:val="Recref"/>
    <w:next w:val="Normalaftertitle"/>
    <w:rsid w:val="00316E32"/>
    <w:pPr>
      <w:jc w:val="right"/>
    </w:pPr>
  </w:style>
  <w:style w:type="paragraph" w:customStyle="1" w:styleId="AnnexNoTitle">
    <w:name w:val="Annex_NoTitle"/>
    <w:basedOn w:val="Normal"/>
    <w:next w:val="Normalaftertitle"/>
    <w:rsid w:val="00316E32"/>
    <w:pPr>
      <w:keepNext/>
      <w:keepLines/>
      <w:spacing w:before="480" w:after="80"/>
      <w:jc w:val="center"/>
    </w:pPr>
    <w:rPr>
      <w:b/>
      <w:sz w:val="28"/>
    </w:rPr>
  </w:style>
  <w:style w:type="paragraph" w:customStyle="1" w:styleId="AppendixNoTitle">
    <w:name w:val="Appendix_NoTitle"/>
    <w:basedOn w:val="AnnexNoTitle"/>
    <w:next w:val="Normal"/>
    <w:rsid w:val="00316E32"/>
  </w:style>
  <w:style w:type="paragraph" w:customStyle="1" w:styleId="Tablefin">
    <w:name w:val="Table_fin"/>
    <w:basedOn w:val="Normal"/>
    <w:next w:val="Normal"/>
    <w:rsid w:val="00316E32"/>
    <w:pPr>
      <w:spacing w:before="0"/>
    </w:pPr>
    <w:rPr>
      <w:sz w:val="20"/>
      <w:lang w:val="en-GB"/>
    </w:rPr>
  </w:style>
  <w:style w:type="paragraph" w:customStyle="1" w:styleId="Tablehead">
    <w:name w:val="Table_head"/>
    <w:basedOn w:val="Normal"/>
    <w:next w:val="Normal"/>
    <w:rsid w:val="00316E3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6E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16E32"/>
    <w:pPr>
      <w:keepNext/>
      <w:spacing w:before="360" w:after="120"/>
      <w:jc w:val="center"/>
    </w:pPr>
  </w:style>
  <w:style w:type="paragraph" w:customStyle="1" w:styleId="Tabletext">
    <w:name w:val="Table_text"/>
    <w:basedOn w:val="Normal"/>
    <w:rsid w:val="00316E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6E32"/>
    <w:pPr>
      <w:tabs>
        <w:tab w:val="clear" w:pos="1191"/>
        <w:tab w:val="clear" w:pos="1588"/>
        <w:tab w:val="clear" w:pos="1985"/>
        <w:tab w:val="center" w:pos="4820"/>
        <w:tab w:val="right" w:pos="9639"/>
      </w:tabs>
    </w:pPr>
  </w:style>
  <w:style w:type="paragraph" w:customStyle="1" w:styleId="Equationlegend">
    <w:name w:val="Equation_legend"/>
    <w:basedOn w:val="NormalIndent"/>
    <w:rsid w:val="00316E3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6E32"/>
    <w:pPr>
      <w:ind w:left="794"/>
    </w:pPr>
  </w:style>
  <w:style w:type="paragraph" w:customStyle="1" w:styleId="Figurelegend">
    <w:name w:val="Figure_legend"/>
    <w:basedOn w:val="Normal"/>
    <w:rsid w:val="00316E3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16E3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6E32"/>
    <w:pPr>
      <w:keepNext/>
      <w:keepLines/>
      <w:spacing w:before="480"/>
      <w:jc w:val="center"/>
    </w:pPr>
    <w:rPr>
      <w:sz w:val="28"/>
    </w:rPr>
  </w:style>
  <w:style w:type="paragraph" w:customStyle="1" w:styleId="Arttitle">
    <w:name w:val="Art_title"/>
    <w:basedOn w:val="Normal"/>
    <w:next w:val="Normalaftertitle"/>
    <w:rsid w:val="00316E32"/>
    <w:pPr>
      <w:keepNext/>
      <w:keepLines/>
      <w:spacing w:before="240"/>
      <w:jc w:val="center"/>
    </w:pPr>
    <w:rPr>
      <w:b/>
      <w:sz w:val="28"/>
    </w:rPr>
  </w:style>
  <w:style w:type="paragraph" w:customStyle="1" w:styleId="Blanc">
    <w:name w:val="Blanc"/>
    <w:basedOn w:val="Normal"/>
    <w:next w:val="Tabletext"/>
    <w:rsid w:val="00316E3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6E3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6E32"/>
    <w:pPr>
      <w:keepNext/>
      <w:keepLines/>
      <w:spacing w:before="160"/>
      <w:ind w:left="794"/>
    </w:pPr>
    <w:rPr>
      <w:i/>
    </w:rPr>
  </w:style>
  <w:style w:type="paragraph" w:customStyle="1" w:styleId="ChapNo">
    <w:name w:val="Chap_No"/>
    <w:basedOn w:val="ArtNo"/>
    <w:next w:val="Chaptitle"/>
    <w:rsid w:val="00316E32"/>
    <w:rPr>
      <w:b/>
    </w:rPr>
  </w:style>
  <w:style w:type="paragraph" w:customStyle="1" w:styleId="Chaptitle">
    <w:name w:val="Chap_title"/>
    <w:basedOn w:val="Arttitle"/>
    <w:next w:val="Normalaftertitle"/>
    <w:rsid w:val="00316E32"/>
  </w:style>
  <w:style w:type="character" w:styleId="FootnoteReference">
    <w:name w:val="footnote reference"/>
    <w:basedOn w:val="DefaultParagraphFont"/>
    <w:semiHidden/>
    <w:rsid w:val="00316E32"/>
    <w:rPr>
      <w:position w:val="6"/>
      <w:sz w:val="18"/>
    </w:rPr>
  </w:style>
  <w:style w:type="paragraph" w:styleId="FootnoteText">
    <w:name w:val="footnote text"/>
    <w:basedOn w:val="Normal"/>
    <w:link w:val="FootnoteTextChar"/>
    <w:semiHidden/>
    <w:rsid w:val="00316E32"/>
    <w:pPr>
      <w:keepLines/>
      <w:tabs>
        <w:tab w:val="left" w:pos="255"/>
      </w:tabs>
      <w:ind w:left="255" w:hanging="255"/>
    </w:pPr>
    <w:rPr>
      <w:sz w:val="22"/>
    </w:rPr>
  </w:style>
  <w:style w:type="paragraph" w:styleId="Index1">
    <w:name w:val="index 1"/>
    <w:basedOn w:val="Normal"/>
    <w:next w:val="Normal"/>
    <w:semiHidden/>
    <w:rsid w:val="00316E32"/>
  </w:style>
  <w:style w:type="paragraph" w:styleId="Index2">
    <w:name w:val="index 2"/>
    <w:basedOn w:val="Normal"/>
    <w:next w:val="Normal"/>
    <w:semiHidden/>
    <w:rsid w:val="00316E32"/>
    <w:pPr>
      <w:ind w:left="283"/>
    </w:pPr>
  </w:style>
  <w:style w:type="paragraph" w:styleId="Index3">
    <w:name w:val="index 3"/>
    <w:basedOn w:val="Normal"/>
    <w:next w:val="Normal"/>
    <w:semiHidden/>
    <w:rsid w:val="00316E32"/>
    <w:pPr>
      <w:ind w:left="566"/>
    </w:pPr>
  </w:style>
  <w:style w:type="paragraph" w:styleId="IndexHeading">
    <w:name w:val="index heading"/>
    <w:basedOn w:val="Normal"/>
    <w:next w:val="Index1"/>
    <w:semiHidden/>
    <w:rsid w:val="00316E32"/>
  </w:style>
  <w:style w:type="paragraph" w:customStyle="1" w:styleId="Line">
    <w:name w:val="Line"/>
    <w:basedOn w:val="Normal"/>
    <w:next w:val="Normal"/>
    <w:rsid w:val="00316E3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6E3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6E32"/>
  </w:style>
  <w:style w:type="paragraph" w:customStyle="1" w:styleId="Partref">
    <w:name w:val="Part_ref"/>
    <w:basedOn w:val="Normal"/>
    <w:next w:val="Normal"/>
    <w:rsid w:val="00316E32"/>
    <w:pPr>
      <w:keepNext/>
      <w:keepLines/>
      <w:spacing w:after="280"/>
      <w:jc w:val="center"/>
    </w:pPr>
  </w:style>
  <w:style w:type="paragraph" w:customStyle="1" w:styleId="Parttitle">
    <w:name w:val="Part_title"/>
    <w:basedOn w:val="Normal"/>
    <w:next w:val="Normalaftertitle"/>
    <w:rsid w:val="00316E3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6E32"/>
  </w:style>
  <w:style w:type="paragraph" w:customStyle="1" w:styleId="QuestionNo">
    <w:name w:val="Question_No"/>
    <w:basedOn w:val="RecNo"/>
    <w:next w:val="Normal"/>
    <w:rsid w:val="00316E32"/>
  </w:style>
  <w:style w:type="paragraph" w:customStyle="1" w:styleId="Questionref">
    <w:name w:val="Question_ref"/>
    <w:basedOn w:val="Recref"/>
    <w:next w:val="Questiondate"/>
    <w:rsid w:val="00316E32"/>
  </w:style>
  <w:style w:type="paragraph" w:customStyle="1" w:styleId="Questiontitle">
    <w:name w:val="Question_title"/>
    <w:basedOn w:val="Normal"/>
    <w:next w:val="Questionref"/>
    <w:rsid w:val="00316E32"/>
  </w:style>
  <w:style w:type="paragraph" w:customStyle="1" w:styleId="Reftext">
    <w:name w:val="Ref_text"/>
    <w:basedOn w:val="Normal"/>
    <w:rsid w:val="00316E32"/>
    <w:pPr>
      <w:ind w:left="794" w:hanging="794"/>
    </w:pPr>
    <w:rPr>
      <w:sz w:val="22"/>
    </w:rPr>
  </w:style>
  <w:style w:type="paragraph" w:customStyle="1" w:styleId="Reftitle">
    <w:name w:val="Ref_title"/>
    <w:basedOn w:val="Normal"/>
    <w:next w:val="Reftext"/>
    <w:rsid w:val="00316E3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6E32"/>
  </w:style>
  <w:style w:type="paragraph" w:customStyle="1" w:styleId="RepNo">
    <w:name w:val="Rep_No"/>
    <w:basedOn w:val="RecNo"/>
    <w:next w:val="Reptitle"/>
    <w:rsid w:val="00316E32"/>
  </w:style>
  <w:style w:type="paragraph" w:customStyle="1" w:styleId="Repref">
    <w:name w:val="Rep_ref"/>
    <w:basedOn w:val="Recref"/>
    <w:next w:val="Repdate"/>
    <w:rsid w:val="00316E32"/>
  </w:style>
  <w:style w:type="paragraph" w:customStyle="1" w:styleId="Reptitle">
    <w:name w:val="Rep_title"/>
    <w:basedOn w:val="Rectitle"/>
    <w:next w:val="Repref"/>
    <w:rsid w:val="00316E32"/>
  </w:style>
  <w:style w:type="paragraph" w:customStyle="1" w:styleId="Resdate">
    <w:name w:val="Res_date"/>
    <w:basedOn w:val="Recdate"/>
    <w:next w:val="Normalaftertitle"/>
    <w:rsid w:val="00316E32"/>
  </w:style>
  <w:style w:type="paragraph" w:customStyle="1" w:styleId="ResNo">
    <w:name w:val="Res_No"/>
    <w:basedOn w:val="RecNo"/>
    <w:next w:val="Restitle"/>
    <w:rsid w:val="00316E32"/>
  </w:style>
  <w:style w:type="paragraph" w:customStyle="1" w:styleId="Resref">
    <w:name w:val="Res_ref"/>
    <w:basedOn w:val="Recref"/>
    <w:next w:val="Resdate"/>
    <w:rsid w:val="00316E3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16E32"/>
  </w:style>
  <w:style w:type="paragraph" w:customStyle="1" w:styleId="Sectiontitle">
    <w:name w:val="Section_title"/>
    <w:basedOn w:val="Normal"/>
    <w:next w:val="Normalaftertitle"/>
    <w:rsid w:val="00316E3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6E32"/>
    <w:pPr>
      <w:tabs>
        <w:tab w:val="clear" w:pos="794"/>
        <w:tab w:val="clear" w:pos="1191"/>
        <w:tab w:val="clear" w:pos="1588"/>
        <w:tab w:val="clear" w:pos="1985"/>
        <w:tab w:val="right" w:pos="9611"/>
      </w:tabs>
    </w:pPr>
    <w:rPr>
      <w:i/>
    </w:rPr>
  </w:style>
  <w:style w:type="paragraph" w:styleId="TOC1">
    <w:name w:val="toc 1"/>
    <w:basedOn w:val="Normal"/>
    <w:semiHidden/>
    <w:rsid w:val="00316E3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6E32"/>
    <w:pPr>
      <w:tabs>
        <w:tab w:val="clear" w:pos="567"/>
        <w:tab w:val="left" w:pos="1276"/>
      </w:tabs>
      <w:spacing w:before="160"/>
      <w:ind w:left="1276" w:hanging="709"/>
    </w:pPr>
  </w:style>
  <w:style w:type="paragraph" w:styleId="TOC3">
    <w:name w:val="toc 3"/>
    <w:basedOn w:val="TOC2"/>
    <w:semiHidden/>
    <w:rsid w:val="00316E32"/>
    <w:pPr>
      <w:tabs>
        <w:tab w:val="clear" w:pos="1276"/>
        <w:tab w:val="left" w:pos="2155"/>
      </w:tabs>
      <w:ind w:left="2155" w:hanging="879"/>
    </w:pPr>
  </w:style>
  <w:style w:type="paragraph" w:styleId="TOC4">
    <w:name w:val="toc 4"/>
    <w:basedOn w:val="TOC3"/>
    <w:semiHidden/>
    <w:rsid w:val="00316E32"/>
    <w:pPr>
      <w:tabs>
        <w:tab w:val="left" w:pos="3261"/>
      </w:tabs>
      <w:spacing w:before="80"/>
      <w:ind w:left="3261" w:hanging="993"/>
    </w:pPr>
  </w:style>
  <w:style w:type="paragraph" w:styleId="TOC5">
    <w:name w:val="toc 5"/>
    <w:basedOn w:val="TOC4"/>
    <w:semiHidden/>
    <w:rsid w:val="00316E32"/>
  </w:style>
  <w:style w:type="paragraph" w:styleId="TOC6">
    <w:name w:val="toc 6"/>
    <w:basedOn w:val="TOC4"/>
    <w:semiHidden/>
    <w:rsid w:val="00316E32"/>
  </w:style>
  <w:style w:type="paragraph" w:styleId="TOC7">
    <w:name w:val="toc 7"/>
    <w:basedOn w:val="TOC4"/>
    <w:semiHidden/>
    <w:rsid w:val="00316E32"/>
  </w:style>
  <w:style w:type="paragraph" w:styleId="TOC8">
    <w:name w:val="toc 8"/>
    <w:basedOn w:val="TOC4"/>
    <w:semiHidden/>
    <w:rsid w:val="00316E32"/>
  </w:style>
  <w:style w:type="paragraph" w:customStyle="1" w:styleId="Rectitle">
    <w:name w:val="Rec_title"/>
    <w:basedOn w:val="Normal"/>
    <w:next w:val="Recref"/>
    <w:rsid w:val="00316E32"/>
    <w:pPr>
      <w:keepNext/>
      <w:keepLines/>
      <w:spacing w:before="240"/>
      <w:jc w:val="center"/>
    </w:pPr>
    <w:rPr>
      <w:b/>
      <w:sz w:val="28"/>
    </w:rPr>
  </w:style>
  <w:style w:type="paragraph" w:customStyle="1" w:styleId="Annexref">
    <w:name w:val="Annex_ref"/>
    <w:basedOn w:val="Normal"/>
    <w:next w:val="Normalaftertitle"/>
    <w:rsid w:val="00316E32"/>
    <w:pPr>
      <w:keepNext/>
      <w:keepLines/>
      <w:spacing w:after="280"/>
      <w:jc w:val="center"/>
    </w:pPr>
  </w:style>
  <w:style w:type="paragraph" w:customStyle="1" w:styleId="Appendixref">
    <w:name w:val="Appendix_ref"/>
    <w:basedOn w:val="Annexref"/>
    <w:next w:val="Normalaftertitle"/>
    <w:rsid w:val="00316E32"/>
  </w:style>
  <w:style w:type="paragraph" w:customStyle="1" w:styleId="Figuretitle">
    <w:name w:val="Figure_title"/>
    <w:basedOn w:val="Normal"/>
    <w:next w:val="Figure"/>
    <w:rsid w:val="00316E3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16E32"/>
    <w:pPr>
      <w:keepNext/>
      <w:spacing w:before="0" w:after="120"/>
      <w:jc w:val="center"/>
    </w:pPr>
    <w:rPr>
      <w:b/>
    </w:rPr>
  </w:style>
  <w:style w:type="paragraph" w:customStyle="1" w:styleId="Summary">
    <w:name w:val="Summary"/>
    <w:basedOn w:val="Normal"/>
    <w:next w:val="Normalaftertitle"/>
    <w:rsid w:val="00316E3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D1F1D"/>
    <w:rPr>
      <w:color w:val="0000FF"/>
      <w:u w:val="single"/>
    </w:rPr>
  </w:style>
  <w:style w:type="table" w:styleId="TableGrid">
    <w:name w:val="Table Grid"/>
    <w:basedOn w:val="TableNormal"/>
    <w:rsid w:val="005D1F1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0">
    <w:name w:val="Table_Legend"/>
    <w:basedOn w:val="Normal"/>
    <w:next w:val="Normal"/>
    <w:rsid w:val="005D1F1D"/>
    <w:pPr>
      <w:keepNext/>
      <w:spacing w:before="86" w:line="199" w:lineRule="exact"/>
      <w:ind w:left="-85" w:right="-85"/>
    </w:pPr>
    <w:rPr>
      <w:sz w:val="18"/>
      <w:szCs w:val="18"/>
      <w:lang w:val="en-GB" w:eastAsia="zh-CN"/>
    </w:rPr>
  </w:style>
  <w:style w:type="paragraph" w:customStyle="1" w:styleId="TableTitle0">
    <w:name w:val="Table_Title"/>
    <w:basedOn w:val="Table"/>
    <w:next w:val="Blanc"/>
    <w:rsid w:val="005D1F1D"/>
    <w:pPr>
      <w:spacing w:before="0"/>
    </w:pPr>
    <w:rPr>
      <w:b/>
      <w:bCs/>
    </w:rPr>
  </w:style>
  <w:style w:type="paragraph" w:customStyle="1" w:styleId="Table">
    <w:name w:val="Table_#"/>
    <w:basedOn w:val="Normal"/>
    <w:next w:val="TableTitle0"/>
    <w:rsid w:val="005D1F1D"/>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TableText0">
    <w:name w:val="Table_Text"/>
    <w:basedOn w:val="TableLegend0"/>
    <w:rsid w:val="005D1F1D"/>
    <w:pPr>
      <w:spacing w:before="100" w:after="100" w:line="190" w:lineRule="exact"/>
      <w:ind w:left="0" w:right="0"/>
    </w:pPr>
  </w:style>
  <w:style w:type="paragraph" w:customStyle="1" w:styleId="Annex">
    <w:name w:val="Annex_#"/>
    <w:basedOn w:val="Normal"/>
    <w:next w:val="Annexref"/>
    <w:rsid w:val="005D1F1D"/>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Normalaftertitle0">
    <w:name w:val="Normal after title"/>
    <w:basedOn w:val="Normal"/>
    <w:next w:val="Normal"/>
    <w:rsid w:val="005D1F1D"/>
    <w:pPr>
      <w:spacing w:before="480"/>
    </w:pPr>
    <w:rPr>
      <w:sz w:val="20"/>
      <w:lang w:val="en-GB" w:eastAsia="zh-CN"/>
    </w:rPr>
  </w:style>
  <w:style w:type="paragraph" w:customStyle="1" w:styleId="Rec">
    <w:name w:val="Rec_#"/>
    <w:basedOn w:val="Normal"/>
    <w:next w:val="RecTitle0"/>
    <w:rsid w:val="005D1F1D"/>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5D1F1D"/>
    <w:pPr>
      <w:spacing w:before="180"/>
    </w:pPr>
    <w:rPr>
      <w:b/>
      <w:bCs/>
    </w:rPr>
  </w:style>
  <w:style w:type="paragraph" w:customStyle="1" w:styleId="RecTitleRef">
    <w:name w:val="Rec_Title/Ref"/>
    <w:basedOn w:val="RecTitle0"/>
    <w:next w:val="RecTitleDate"/>
    <w:rsid w:val="005D1F1D"/>
    <w:pPr>
      <w:spacing w:before="136"/>
    </w:pPr>
    <w:rPr>
      <w:b w:val="0"/>
      <w:bCs w:val="0"/>
    </w:rPr>
  </w:style>
  <w:style w:type="paragraph" w:customStyle="1" w:styleId="RecTitleDate">
    <w:name w:val="Rec_Title/Date"/>
    <w:basedOn w:val="RecTitleRef"/>
    <w:next w:val="headfoot"/>
    <w:rsid w:val="005D1F1D"/>
    <w:pPr>
      <w:tabs>
        <w:tab w:val="clear" w:pos="4849"/>
      </w:tabs>
      <w:jc w:val="right"/>
    </w:pPr>
  </w:style>
  <w:style w:type="paragraph" w:customStyle="1" w:styleId="headfoot">
    <w:name w:val="head_foot"/>
    <w:basedOn w:val="Normal"/>
    <w:next w:val="Normalaftertitle0"/>
    <w:rsid w:val="005D1F1D"/>
    <w:pPr>
      <w:tabs>
        <w:tab w:val="clear" w:pos="794"/>
        <w:tab w:val="clear" w:pos="1191"/>
        <w:tab w:val="clear" w:pos="1588"/>
        <w:tab w:val="clear" w:pos="1985"/>
      </w:tabs>
      <w:spacing w:before="0"/>
    </w:pPr>
    <w:rPr>
      <w:b/>
      <w:bCs/>
      <w:color w:val="FFFFFF"/>
      <w:sz w:val="8"/>
      <w:szCs w:val="8"/>
      <w:lang w:val="en-GB" w:eastAsia="zh-CN"/>
    </w:rPr>
  </w:style>
  <w:style w:type="paragraph" w:customStyle="1" w:styleId="call0">
    <w:name w:val="call"/>
    <w:basedOn w:val="Normal"/>
    <w:next w:val="Normal"/>
    <w:rsid w:val="005D1F1D"/>
    <w:pPr>
      <w:keepNext/>
      <w:keepLines/>
      <w:tabs>
        <w:tab w:val="clear" w:pos="1191"/>
        <w:tab w:val="clear" w:pos="1588"/>
        <w:tab w:val="clear" w:pos="1985"/>
      </w:tabs>
      <w:spacing w:before="227"/>
      <w:ind w:left="794"/>
      <w:jc w:val="left"/>
    </w:pPr>
    <w:rPr>
      <w:i/>
      <w:iCs/>
      <w:sz w:val="20"/>
      <w:lang w:val="en-GB" w:eastAsia="zh-CN"/>
    </w:rPr>
  </w:style>
  <w:style w:type="paragraph" w:customStyle="1" w:styleId="Fig">
    <w:name w:val="Fig"/>
    <w:basedOn w:val="Figure"/>
    <w:next w:val="Fig0"/>
    <w:rsid w:val="005D1F1D"/>
    <w:pPr>
      <w:keepLines w:val="0"/>
      <w:spacing w:before="136" w:after="0"/>
    </w:pPr>
    <w:rPr>
      <w:caps w:val="0"/>
      <w:sz w:val="20"/>
      <w:lang w:val="en-US" w:eastAsia="zh-CN"/>
    </w:rPr>
  </w:style>
  <w:style w:type="paragraph" w:customStyle="1" w:styleId="Fig0">
    <w:name w:val="Fig_#"/>
    <w:basedOn w:val="Fig"/>
    <w:next w:val="Normal"/>
    <w:rsid w:val="005D1F1D"/>
    <w:pPr>
      <w:jc w:val="left"/>
    </w:pPr>
    <w:rPr>
      <w:color w:val="FFFFFF"/>
    </w:rPr>
  </w:style>
  <w:style w:type="character" w:customStyle="1" w:styleId="FootnoteTextChar">
    <w:name w:val="Footnote Text Char"/>
    <w:basedOn w:val="DefaultParagraphFont"/>
    <w:link w:val="FootnoteText"/>
    <w:semiHidden/>
    <w:rsid w:val="00EB14D5"/>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85C02-B6B4-40A7-BD53-7507F282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147</TotalTime>
  <Pages>14</Pages>
  <Words>3336</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23</cp:revision>
  <cp:lastPrinted>2010-12-16T14:34:00Z</cp:lastPrinted>
  <dcterms:created xsi:type="dcterms:W3CDTF">2010-12-14T09:47:00Z</dcterms:created>
  <dcterms:modified xsi:type="dcterms:W3CDTF">2011-01-14T13:59:00Z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