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C27F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80F1D">
              <w:rPr>
                <w:rFonts w:ascii="Tahoma" w:hAnsi="Tahoma" w:cs="Tahoma"/>
                <w:b/>
                <w:bCs/>
                <w:iCs/>
                <w:color w:val="243285"/>
                <w:sz w:val="36"/>
                <w:szCs w:val="36"/>
              </w:rPr>
              <w:t>F</w:t>
            </w:r>
            <w:r w:rsidRPr="00A443C2">
              <w:rPr>
                <w:rFonts w:ascii="Tahoma" w:hAnsi="Tahoma" w:cs="Tahoma"/>
                <w:b/>
                <w:bCs/>
                <w:iCs/>
                <w:color w:val="243285"/>
                <w:sz w:val="36"/>
                <w:szCs w:val="36"/>
              </w:rPr>
              <w:t>.</w:t>
            </w:r>
            <w:r w:rsidR="00BC27F9">
              <w:rPr>
                <w:rFonts w:ascii="Tahoma" w:hAnsi="Tahoma" w:cs="Tahoma"/>
                <w:b/>
                <w:bCs/>
                <w:iCs/>
                <w:color w:val="243285"/>
                <w:sz w:val="36"/>
                <w:szCs w:val="36"/>
              </w:rPr>
              <w:t>1249-3</w:t>
            </w:r>
          </w:p>
          <w:p w:rsidR="00FE79FE" w:rsidRPr="00A443C2" w:rsidRDefault="00FE79FE" w:rsidP="00BC27F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BC27F9">
              <w:rPr>
                <w:rFonts w:ascii="Tahoma" w:hAnsi="Tahoma" w:cs="Tahoma"/>
                <w:b/>
                <w:bCs/>
                <w:iCs/>
                <w:color w:val="243285"/>
                <w:szCs w:val="24"/>
              </w:rPr>
              <w:t>2</w:t>
            </w:r>
            <w:r w:rsidRPr="00A443C2">
              <w:rPr>
                <w:rFonts w:ascii="Tahoma" w:hAnsi="Tahoma" w:cs="Tahoma"/>
                <w:b/>
                <w:bCs/>
                <w:iCs/>
                <w:color w:val="243285"/>
                <w:szCs w:val="24"/>
              </w:rPr>
              <w:t>/</w:t>
            </w:r>
            <w:r w:rsidR="00BC27F9">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D526D3" w:rsidP="00D526D3">
            <w:pPr>
              <w:spacing w:before="80" w:line="500" w:lineRule="exact"/>
              <w:jc w:val="right"/>
              <w:rPr>
                <w:rFonts w:ascii="Tahoma" w:hAnsi="Tahoma" w:cs="Tahoma"/>
                <w:b/>
                <w:bCs/>
                <w:iCs/>
                <w:color w:val="243285"/>
                <w:sz w:val="44"/>
                <w:szCs w:val="44"/>
              </w:rPr>
            </w:pPr>
            <w:r w:rsidRPr="00D526D3">
              <w:rPr>
                <w:rFonts w:ascii="Tahoma" w:hAnsi="Tahoma" w:cs="Tahoma"/>
                <w:b/>
                <w:bCs/>
                <w:iCs/>
                <w:color w:val="243285"/>
                <w:sz w:val="44"/>
                <w:szCs w:val="44"/>
                <w:lang w:val="fr-CH"/>
              </w:rPr>
              <w:t>Caractéristiques techniques et opérationnelles propres à faciliter le partage entre les systèmes point à point du service fixe et le service</w:t>
            </w:r>
            <w:r>
              <w:rPr>
                <w:rFonts w:ascii="Tahoma" w:hAnsi="Tahoma" w:cs="Tahoma"/>
                <w:b/>
                <w:bCs/>
                <w:iCs/>
                <w:color w:val="243285"/>
                <w:sz w:val="44"/>
                <w:szCs w:val="44"/>
                <w:lang w:val="fr-CH"/>
              </w:rPr>
              <w:t xml:space="preserve"> </w:t>
            </w:r>
            <w:r w:rsidRPr="00D526D3">
              <w:rPr>
                <w:rFonts w:ascii="Tahoma" w:hAnsi="Tahoma" w:cs="Tahoma"/>
                <w:b/>
                <w:bCs/>
                <w:iCs/>
                <w:color w:val="243285"/>
                <w:sz w:val="44"/>
                <w:szCs w:val="44"/>
                <w:lang w:val="fr-CH"/>
              </w:rPr>
              <w:t xml:space="preserve">inter-satellites dans </w:t>
            </w:r>
            <w:r>
              <w:rPr>
                <w:rFonts w:ascii="Tahoma" w:hAnsi="Tahoma" w:cs="Tahoma"/>
                <w:b/>
                <w:bCs/>
                <w:iCs/>
                <w:color w:val="243285"/>
                <w:sz w:val="44"/>
                <w:szCs w:val="44"/>
                <w:lang w:val="fr-CH"/>
              </w:rPr>
              <w:br/>
            </w:r>
            <w:r w:rsidRPr="00D526D3">
              <w:rPr>
                <w:rFonts w:ascii="Tahoma" w:hAnsi="Tahoma" w:cs="Tahoma"/>
                <w:b/>
                <w:bCs/>
                <w:iCs/>
                <w:color w:val="243285"/>
                <w:sz w:val="44"/>
                <w:szCs w:val="44"/>
                <w:lang w:val="fr-CH"/>
              </w:rPr>
              <w:t>la bande 25,25-27,5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80F1D">
              <w:rPr>
                <w:rFonts w:ascii="Tahoma" w:hAnsi="Tahoma" w:cs="Tahoma"/>
                <w:b/>
                <w:bCs/>
                <w:iCs/>
                <w:color w:val="243285"/>
                <w:sz w:val="36"/>
                <w:szCs w:val="36"/>
              </w:rPr>
              <w:t>F</w:t>
            </w:r>
          </w:p>
          <w:p w:rsidR="00FE79FE" w:rsidRPr="00F54FBD" w:rsidRDefault="00E80F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127062"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E80F1D">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E80F1D" w:rsidTr="00E80F1D">
        <w:tc>
          <w:tcPr>
            <w:tcW w:w="1140" w:type="dxa"/>
            <w:tcBorders>
              <w:top w:val="nil"/>
              <w:bottom w:val="nil"/>
            </w:tcBorders>
            <w:shd w:val="clear" w:color="auto" w:fill="F3F3F3"/>
          </w:tcPr>
          <w:p w:rsidR="00F54FBD" w:rsidRPr="00E80F1D" w:rsidRDefault="00F54FBD"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F54FBD" w:rsidRPr="00E80F1D"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3D3531">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724A3">
      <w:pPr>
        <w:spacing w:before="0"/>
        <w:jc w:val="right"/>
        <w:rPr>
          <w:sz w:val="20"/>
        </w:rPr>
      </w:pPr>
      <w:r w:rsidRPr="00614CC6">
        <w:rPr>
          <w:sz w:val="20"/>
        </w:rPr>
        <w:t>G</w:t>
      </w:r>
      <w:r w:rsidR="00614CC6" w:rsidRPr="00614CC6">
        <w:rPr>
          <w:sz w:val="20"/>
        </w:rPr>
        <w:t>enève</w:t>
      </w:r>
      <w:r w:rsidRPr="00614CC6">
        <w:rPr>
          <w:sz w:val="20"/>
        </w:rPr>
        <w:t>, 20</w:t>
      </w:r>
      <w:r w:rsidR="00F50711">
        <w:rPr>
          <w:sz w:val="20"/>
        </w:rPr>
        <w:t>1</w:t>
      </w:r>
      <w:r w:rsidR="00F724A3">
        <w:rPr>
          <w:sz w:val="20"/>
        </w:rPr>
        <w:t>4</w:t>
      </w:r>
    </w:p>
    <w:p w:rsidR="00F54FBD" w:rsidRPr="00614CC6" w:rsidRDefault="00F54FBD" w:rsidP="0039546C">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F50711">
        <w:rPr>
          <w:sz w:val="20"/>
        </w:rPr>
        <w:t>1</w:t>
      </w:r>
      <w:r w:rsidR="00F724A3">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CE4097" w:rsidRPr="00756B4D" w:rsidRDefault="00756B4D" w:rsidP="00FF620A">
      <w:pPr>
        <w:pStyle w:val="RecNo"/>
        <w:spacing w:before="0"/>
      </w:pPr>
      <w:bookmarkStart w:id="2" w:name="irecnoe"/>
      <w:bookmarkEnd w:id="2"/>
      <w:r w:rsidRPr="00756B4D">
        <w:lastRenderedPageBreak/>
        <w:t>RECOMMA</w:t>
      </w:r>
      <w:r w:rsidR="00934ED7" w:rsidRPr="00756B4D">
        <w:t xml:space="preserve">NDATION  </w:t>
      </w:r>
      <w:r w:rsidR="00CE2E0A">
        <w:rPr>
          <w:rStyle w:val="href"/>
        </w:rPr>
        <w:t>UIT</w:t>
      </w:r>
      <w:r w:rsidR="00934ED7" w:rsidRPr="00756B4D">
        <w:rPr>
          <w:rStyle w:val="href"/>
        </w:rPr>
        <w:t xml:space="preserve">-R  </w:t>
      </w:r>
      <w:r w:rsidR="00E80F1D">
        <w:rPr>
          <w:rStyle w:val="href"/>
        </w:rPr>
        <w:t>F</w:t>
      </w:r>
      <w:r w:rsidR="00934ED7" w:rsidRPr="00756B4D">
        <w:rPr>
          <w:rStyle w:val="href"/>
        </w:rPr>
        <w:t>.</w:t>
      </w:r>
      <w:r w:rsidR="00CE4097">
        <w:rPr>
          <w:rStyle w:val="href"/>
        </w:rPr>
        <w:t>1249-3</w:t>
      </w:r>
      <w:r w:rsidR="00FF620A">
        <w:rPr>
          <w:rStyle w:val="FootnoteReference"/>
        </w:rPr>
        <w:footnoteReference w:customMarkFollows="1" w:id="1"/>
        <w:t>*</w:t>
      </w:r>
    </w:p>
    <w:p w:rsidR="00CE4097" w:rsidRDefault="00CE4097" w:rsidP="00CE4097">
      <w:pPr>
        <w:pStyle w:val="Rectitle"/>
        <w:rPr>
          <w:rFonts w:ascii="Times New Roman Bold" w:hAnsi="Times New Roman Bold" w:cs="Times New Roman Bold"/>
          <w:lang w:val="fr-CH"/>
        </w:rPr>
      </w:pPr>
      <w:r w:rsidRPr="000D7582">
        <w:rPr>
          <w:rFonts w:ascii="Times New Roman Bold" w:hAnsi="Times New Roman Bold" w:cs="Times New Roman Bold"/>
          <w:lang w:val="fr-CH"/>
        </w:rPr>
        <w:t xml:space="preserve">Caractéristiques techniques et opérationnelles propres à faciliter le partage entre les systèmes point à point du service fixe et le service </w:t>
      </w:r>
      <w:r w:rsidRPr="000D7582">
        <w:rPr>
          <w:rFonts w:ascii="Times New Roman Bold" w:hAnsi="Times New Roman Bold" w:cs="Times New Roman Bold"/>
          <w:lang w:val="fr-CH"/>
        </w:rPr>
        <w:br/>
        <w:t>inter-satellites dans la bande 25,25-27,5 GHz</w:t>
      </w:r>
    </w:p>
    <w:p w:rsidR="00CE4097" w:rsidRPr="005D61D4" w:rsidRDefault="00CE4097" w:rsidP="00CE4097">
      <w:pPr>
        <w:pStyle w:val="Recref"/>
        <w:spacing w:before="240"/>
        <w:rPr>
          <w:lang w:val="fr-CH"/>
        </w:rPr>
      </w:pPr>
      <w:r w:rsidRPr="005D61D4">
        <w:rPr>
          <w:lang w:val="fr-CH"/>
        </w:rPr>
        <w:t xml:space="preserve">(Questions UIT-R 118/7 et UIT-R </w:t>
      </w:r>
      <w:r w:rsidRPr="005D61D4">
        <w:rPr>
          <w:lang w:val="fr-CH" w:eastAsia="ja-JP"/>
        </w:rPr>
        <w:t>252</w:t>
      </w:r>
      <w:r w:rsidRPr="005D61D4">
        <w:rPr>
          <w:lang w:val="fr-CH"/>
        </w:rPr>
        <w:t>/5)</w:t>
      </w:r>
    </w:p>
    <w:p w:rsidR="00CE4097" w:rsidRDefault="00CE4097" w:rsidP="00CE4097">
      <w:pPr>
        <w:pStyle w:val="Recdate"/>
        <w:rPr>
          <w:lang w:val="fr-CH"/>
        </w:rPr>
      </w:pPr>
      <w:r>
        <w:rPr>
          <w:lang w:val="fr-CH"/>
        </w:rPr>
        <w:t>(1997-2000-2009-2013)</w:t>
      </w:r>
    </w:p>
    <w:p w:rsidR="00CE4097" w:rsidRPr="003E1F80" w:rsidRDefault="00CE4097" w:rsidP="00CE4097">
      <w:pPr>
        <w:pStyle w:val="HeadingSum"/>
        <w:rPr>
          <w:lang w:val="fr-FR"/>
        </w:rPr>
      </w:pPr>
      <w:r w:rsidRPr="003E1F80">
        <w:rPr>
          <w:lang w:val="fr-FR"/>
        </w:rPr>
        <w:t xml:space="preserve">Champ </w:t>
      </w:r>
      <w:r w:rsidRPr="005D61D4">
        <w:rPr>
          <w:lang w:val="fr-CH"/>
        </w:rPr>
        <w:t>d'application</w:t>
      </w:r>
    </w:p>
    <w:p w:rsidR="00CE4097" w:rsidRPr="003E1F80" w:rsidRDefault="00CE4097" w:rsidP="00CE4097">
      <w:pPr>
        <w:pStyle w:val="Summary"/>
        <w:rPr>
          <w:lang w:val="fr-FR"/>
        </w:rPr>
      </w:pPr>
      <w:r w:rsidRPr="003E1F80">
        <w:rPr>
          <w:lang w:val="fr-FR"/>
        </w:rPr>
        <w:t>La présente Recommandation donne la densité de p.i.r.e. maximale des stations d'émission point à point du service fixe en direction de l'orbite des satellites géostationnaires afin de permettre le partage avec le service inter-satellites dans la bande 25,25-27,5 GHz. La densité de p.i.r.e. de référence dans la présente Recommandation prend en compte le besoin de transmission au niveau minimal nécessaire ainsi que l'utilisation de la commande automatique de la puissance d'émission (CAPE) dans les stations du service fixe en cas de précipitations.</w:t>
      </w:r>
    </w:p>
    <w:p w:rsidR="00CE4097" w:rsidRDefault="00CE4097" w:rsidP="00CE4097">
      <w:pPr>
        <w:pStyle w:val="Normalaftertitle"/>
        <w:rPr>
          <w:lang w:val="fr-CH"/>
        </w:rPr>
      </w:pPr>
      <w:r>
        <w:rPr>
          <w:lang w:val="fr-CH"/>
        </w:rPr>
        <w:t>L'Assemblée des radiocommunications de l'UIT,</w:t>
      </w:r>
    </w:p>
    <w:p w:rsidR="00CE4097" w:rsidRDefault="00CE4097" w:rsidP="00CE4097">
      <w:pPr>
        <w:pStyle w:val="Call"/>
        <w:rPr>
          <w:lang w:val="fr-CH"/>
        </w:rPr>
      </w:pPr>
      <w:r>
        <w:rPr>
          <w:lang w:val="fr-CH"/>
        </w:rPr>
        <w:t>considérant</w:t>
      </w:r>
    </w:p>
    <w:p w:rsidR="00CE4097" w:rsidRDefault="00CE4097" w:rsidP="00CE4097">
      <w:pPr>
        <w:rPr>
          <w:lang w:val="fr-CH"/>
        </w:rPr>
      </w:pPr>
      <w:r w:rsidRPr="006A2F21">
        <w:rPr>
          <w:i/>
          <w:iCs/>
          <w:lang w:val="fr-CH"/>
        </w:rPr>
        <w:t>a)</w:t>
      </w:r>
      <w:r>
        <w:rPr>
          <w:lang w:val="fr-CH"/>
        </w:rPr>
        <w:tab/>
        <w:t>que la bande de fréquences 25,25-27,5 GHz est attribuée au service inter-satellites et au service fixe à titre primaire;</w:t>
      </w:r>
    </w:p>
    <w:p w:rsidR="00CE4097" w:rsidRDefault="00CE4097" w:rsidP="00CE4097">
      <w:pPr>
        <w:rPr>
          <w:lang w:val="fr-CH"/>
        </w:rPr>
      </w:pPr>
      <w:r w:rsidRPr="006A2F21">
        <w:rPr>
          <w:i/>
          <w:iCs/>
          <w:lang w:val="fr-CH"/>
        </w:rPr>
        <w:t>b)</w:t>
      </w:r>
      <w:r>
        <w:rPr>
          <w:lang w:val="fr-CH"/>
        </w:rPr>
        <w:tab/>
        <w:t>que cette bande de fréquences est utilisée pour des applications de recherche spatiale et d'exploration de la Terre, et plus précisément pour les liaisons inter-satellites de retour vers les satellites relais de données (SRD) placés sur l'orbite des satellites géostationnaires (OSG);</w:t>
      </w:r>
    </w:p>
    <w:p w:rsidR="00CE4097" w:rsidRDefault="00CE4097" w:rsidP="00CE4097">
      <w:pPr>
        <w:rPr>
          <w:lang w:val="fr-CH"/>
        </w:rPr>
      </w:pPr>
      <w:r w:rsidRPr="006A2F21">
        <w:rPr>
          <w:i/>
          <w:iCs/>
          <w:lang w:val="fr-CH"/>
        </w:rPr>
        <w:t>c)</w:t>
      </w:r>
      <w:r>
        <w:rPr>
          <w:lang w:val="fr-CH"/>
        </w:rPr>
        <w:tab/>
        <w:t>que certaines stations d'émission du service fixe peuvent être dotées d'une commande automatique de puissance d'émission (CAPE) qui permet de réduire leur puissance isotrope rayonnée équivalente (p.i.r.e.) par temps clair;</w:t>
      </w:r>
    </w:p>
    <w:p w:rsidR="00CE4097" w:rsidRDefault="00CE4097" w:rsidP="00CE4097">
      <w:pPr>
        <w:rPr>
          <w:lang w:val="fr-CH"/>
        </w:rPr>
      </w:pPr>
      <w:r w:rsidRPr="006A2F21">
        <w:rPr>
          <w:i/>
          <w:iCs/>
          <w:lang w:val="fr-CH"/>
        </w:rPr>
        <w:t>d)</w:t>
      </w:r>
      <w:r>
        <w:rPr>
          <w:lang w:val="fr-CH"/>
        </w:rPr>
        <w:tab/>
        <w:t xml:space="preserve">qu'il est établi que l'on peut tolérer les brouillages cumulatifs émanant des lobes latéraux des antennes d'un grand nombre de stations d'émission du service fixe ne pointant pas vers un SRD, mais que le phénomène de couplage des faisceaux principaux entre une seule station d'émission du </w:t>
      </w:r>
      <w:r w:rsidRPr="00E10B45">
        <w:rPr>
          <w:lang w:val="fr-CH"/>
        </w:rPr>
        <w:t>service fixe et un SRD, lorsque la station pointe effectivement vers le satellite, pose apparemment un grave problème de brouillage potentiel (voir l</w:t>
      </w:r>
      <w:r>
        <w:rPr>
          <w:lang w:val="fr-CH"/>
        </w:rPr>
        <w:t>'</w:t>
      </w:r>
      <w:r w:rsidRPr="00E10B45">
        <w:rPr>
          <w:lang w:val="fr-CH"/>
        </w:rPr>
        <w:t>Annexe 1);</w:t>
      </w:r>
    </w:p>
    <w:p w:rsidR="00CE4097" w:rsidRDefault="00CE4097" w:rsidP="00CE4097">
      <w:pPr>
        <w:rPr>
          <w:lang w:val="fr-CH"/>
        </w:rPr>
      </w:pPr>
      <w:r w:rsidRPr="006A2F21">
        <w:rPr>
          <w:i/>
          <w:iCs/>
          <w:lang w:val="fr-CH"/>
        </w:rPr>
        <w:t>e)</w:t>
      </w:r>
      <w:r>
        <w:rPr>
          <w:lang w:val="fr-CH"/>
        </w:rPr>
        <w:tab/>
        <w:t>que si certaines liaisons particulièrement longues du service fixe imposent en exploitation des densités de p.i.r.e. élevées, les stations utilisées sur ces liaisons fonctionnent généralement à des angles d'élévation nuls ou quasi nuls, ce qui réduit sensiblement les risques de brouillage en raison de l'affaiblissement dans l'atmosphère;</w:t>
      </w:r>
    </w:p>
    <w:p w:rsidR="00CE4097" w:rsidRDefault="00CE4097" w:rsidP="00CE4097">
      <w:pPr>
        <w:rPr>
          <w:lang w:val="fr-CH"/>
        </w:rPr>
      </w:pPr>
      <w:r w:rsidRPr="006A2F21">
        <w:rPr>
          <w:i/>
          <w:iCs/>
          <w:lang w:val="fr-CH"/>
        </w:rPr>
        <w:t>f)</w:t>
      </w:r>
      <w:r>
        <w:rPr>
          <w:lang w:val="fr-CH"/>
        </w:rPr>
        <w:tab/>
        <w:t>que, dans certaines circonstances, la topographie et certains obstacles artificiels empêchent les rayonnements du service fixe de se propager dans l'espace, ou entraînent un affaiblissement substantiel sur les trajets de brouillage potentiel;</w:t>
      </w:r>
    </w:p>
    <w:p w:rsidR="00CE4097" w:rsidRDefault="00CE4097" w:rsidP="00CE4097">
      <w:pPr>
        <w:rPr>
          <w:lang w:val="fr-CH"/>
        </w:rPr>
      </w:pPr>
      <w:r w:rsidRPr="006A2F21">
        <w:rPr>
          <w:i/>
          <w:iCs/>
          <w:lang w:val="fr-CH"/>
        </w:rPr>
        <w:t>g)</w:t>
      </w:r>
      <w:r>
        <w:rPr>
          <w:lang w:val="fr-CH"/>
        </w:rPr>
        <w:tab/>
        <w:t>que l'on peut utiliser dans les deux services des techniques de réduction des brouillages propres à minimiser les brouillages occasionnés par les systèmes du service fixe aux systèmes à SRD,</w:t>
      </w:r>
    </w:p>
    <w:p w:rsidR="00CE4097" w:rsidRDefault="00CE4097" w:rsidP="00CE4097">
      <w:pPr>
        <w:pStyle w:val="Call"/>
        <w:rPr>
          <w:lang w:val="fr-CH"/>
        </w:rPr>
      </w:pPr>
      <w:r>
        <w:rPr>
          <w:lang w:val="fr-CH"/>
        </w:rPr>
        <w:lastRenderedPageBreak/>
        <w:t>reconnaissant</w:t>
      </w:r>
    </w:p>
    <w:p w:rsidR="00CE4097" w:rsidRDefault="00CE4097" w:rsidP="00CE4097">
      <w:pPr>
        <w:rPr>
          <w:lang w:val="fr-CH"/>
        </w:rPr>
      </w:pPr>
      <w:r w:rsidRPr="006A2F21">
        <w:rPr>
          <w:i/>
          <w:iCs/>
          <w:lang w:val="fr-CH"/>
        </w:rPr>
        <w:t>a)</w:t>
      </w:r>
      <w:r>
        <w:rPr>
          <w:lang w:val="fr-CH"/>
        </w:rPr>
        <w:tab/>
        <w:t>qu'en vertu de la Recommandation UIT-R SA.1155, les niveaux totaux maximum de la densité de puissance spectrale des brouillages occasionnés dans la bande 25,25-27,5 GHz aux SRD géostationnaires du service inter-satellites ne devraient pas dépasser –178 dB(W/kHz) pendant plus de 0,1</w:t>
      </w:r>
      <w:r w:rsidRPr="007011A7">
        <w:t>%</w:t>
      </w:r>
      <w:r>
        <w:rPr>
          <w:lang w:val="fr-CH"/>
        </w:rPr>
        <w:t xml:space="preserve"> du temps;</w:t>
      </w:r>
    </w:p>
    <w:p w:rsidR="00CE4097" w:rsidRDefault="00CE4097" w:rsidP="00CE4097">
      <w:pPr>
        <w:rPr>
          <w:lang w:val="fr-CH"/>
        </w:rPr>
      </w:pPr>
      <w:r w:rsidRPr="006A2F21">
        <w:rPr>
          <w:i/>
          <w:iCs/>
          <w:lang w:val="fr-CH"/>
        </w:rPr>
        <w:t>b)</w:t>
      </w:r>
      <w:r>
        <w:rPr>
          <w:lang w:val="fr-CH"/>
        </w:rPr>
        <w:tab/>
        <w:t>qu'un nombre limité de réseaux à SRD sont utilisés sur l'OSG, et que la liste de ces réseaux figure dans la Recommandation UIT-R SA.1276 (voir la Note 1);</w:t>
      </w:r>
    </w:p>
    <w:p w:rsidR="00CE4097" w:rsidRDefault="00CE4097" w:rsidP="00CE4097">
      <w:pPr>
        <w:rPr>
          <w:lang w:val="fr-CH"/>
        </w:rPr>
      </w:pPr>
      <w:r w:rsidRPr="006A2F21">
        <w:rPr>
          <w:i/>
          <w:iCs/>
          <w:lang w:val="fr-CH"/>
        </w:rPr>
        <w:t>c)</w:t>
      </w:r>
      <w:r>
        <w:rPr>
          <w:lang w:val="fr-CH"/>
        </w:rPr>
        <w:tab/>
        <w:t xml:space="preserve">que la </w:t>
      </w:r>
      <w:r w:rsidRPr="005D61D4">
        <w:rPr>
          <w:lang w:val="fr-CH"/>
        </w:rPr>
        <w:t>Recommandation</w:t>
      </w:r>
      <w:r>
        <w:rPr>
          <w:lang w:val="fr-CH"/>
        </w:rPr>
        <w:t xml:space="preserve"> UIT</w:t>
      </w:r>
      <w:r>
        <w:rPr>
          <w:lang w:val="fr-CH"/>
        </w:rPr>
        <w:noBreakHyphen/>
        <w:t>R F.758 donne une grande diversité de paramètres de systèmes hertziens fixes pouvant être modélisée au moyen de systèmes représentatifs pour certaines gammes de fréquences particulières,</w:t>
      </w:r>
    </w:p>
    <w:p w:rsidR="00CE4097" w:rsidRDefault="00CE4097" w:rsidP="00CE4097">
      <w:pPr>
        <w:pStyle w:val="Call"/>
        <w:rPr>
          <w:lang w:val="fr-CH"/>
        </w:rPr>
      </w:pPr>
      <w:r>
        <w:rPr>
          <w:lang w:val="fr-CH"/>
        </w:rPr>
        <w:t>recommande</w:t>
      </w:r>
    </w:p>
    <w:p w:rsidR="00CE4097" w:rsidRDefault="00CE4097" w:rsidP="00CE4097">
      <w:pPr>
        <w:rPr>
          <w:lang w:val="fr-CH"/>
        </w:rPr>
      </w:pPr>
      <w:r>
        <w:rPr>
          <w:b/>
          <w:lang w:val="fr-CH"/>
        </w:rPr>
        <w:t>1</w:t>
      </w:r>
      <w:r>
        <w:rPr>
          <w:lang w:val="fr-CH"/>
        </w:rPr>
        <w:tab/>
        <w:t>de faire en sorte que la p.i.r.e. maximale présente dans la largeur de bande correspondant au canal attribué à cette station du service fixe soit ramenée, lorsque cela est envisageable dans la pratique, à la valeur minimale nécessaire pour un fonctionnement satisfaisant;</w:t>
      </w:r>
    </w:p>
    <w:p w:rsidR="00CE4097" w:rsidRDefault="00CE4097" w:rsidP="00CE4097">
      <w:pPr>
        <w:rPr>
          <w:lang w:val="fr-CH"/>
        </w:rPr>
      </w:pPr>
      <w:r>
        <w:rPr>
          <w:b/>
          <w:lang w:val="fr-CH"/>
        </w:rPr>
        <w:t>2</w:t>
      </w:r>
      <w:r>
        <w:rPr>
          <w:lang w:val="fr-CH"/>
        </w:rPr>
        <w:tab/>
        <w:t>s'agissant des positions sur l'OSG spécifiées dans la Recommandation UIT-R SA.1276 (voir la Note 1):</w:t>
      </w:r>
    </w:p>
    <w:p w:rsidR="00CE4097" w:rsidRDefault="00CE4097" w:rsidP="00CE4097">
      <w:pPr>
        <w:rPr>
          <w:lang w:val="fr-CH"/>
        </w:rPr>
      </w:pPr>
      <w:r>
        <w:rPr>
          <w:b/>
          <w:lang w:val="fr-CH"/>
        </w:rPr>
        <w:t>2.1</w:t>
      </w:r>
      <w:r>
        <w:rPr>
          <w:lang w:val="fr-CH"/>
        </w:rPr>
        <w:tab/>
        <w:t>de faire en sorte, dans la mesure où cela est envisageable dans la pratique, que la densité de p.i.r.e. rayonnée par une telle station du service fixe en direction des positions ci</w:t>
      </w:r>
      <w:r>
        <w:rPr>
          <w:lang w:val="fr-CH"/>
        </w:rPr>
        <w:noBreakHyphen/>
        <w:t xml:space="preserve">dessus mentionnées ne dépasse pas </w:t>
      </w:r>
      <w:r w:rsidRPr="007011A7">
        <w:t>+</w:t>
      </w:r>
      <w:r>
        <w:rPr>
          <w:lang w:val="fr-CH"/>
        </w:rPr>
        <w:t>24 dBW dans une bande quelconque de 1 MHz (voir la Note 2);</w:t>
      </w:r>
    </w:p>
    <w:p w:rsidR="00CE4097" w:rsidRDefault="00CE4097" w:rsidP="00CE4097">
      <w:pPr>
        <w:rPr>
          <w:lang w:val="fr-CH"/>
        </w:rPr>
      </w:pPr>
      <w:r>
        <w:rPr>
          <w:b/>
          <w:lang w:val="fr-CH"/>
        </w:rPr>
        <w:t>2.2</w:t>
      </w:r>
      <w:r>
        <w:rPr>
          <w:lang w:val="fr-CH"/>
        </w:rPr>
        <w:tab/>
        <w:t xml:space="preserve">en présence de phénomènes d'affaiblissement dû aux précipitations entre les stations d'émission et de réception du service fixe, d'envisager de faire intervenir une CAPE afin d'accroître la puissance rayonnée par la station d'émission d'une valeur ne dépassant pas l'affaiblissement dû aux précipitations, de telle sorte que la densité de p.i.r.e. en direction des positions de l'OSG dont il est question plus haut ne dépasse pas </w:t>
      </w:r>
      <w:r w:rsidRPr="007011A7">
        <w:t>+</w:t>
      </w:r>
      <w:r>
        <w:rPr>
          <w:lang w:val="fr-CH"/>
        </w:rPr>
        <w:t>33 dBW dans une bande quelconque de 1 MHz;</w:t>
      </w:r>
    </w:p>
    <w:p w:rsidR="00CE4097" w:rsidRDefault="00CE4097" w:rsidP="00CE4097">
      <w:pPr>
        <w:rPr>
          <w:lang w:val="fr-CH"/>
        </w:rPr>
      </w:pPr>
      <w:r>
        <w:rPr>
          <w:b/>
          <w:lang w:val="fr-CH"/>
        </w:rPr>
        <w:t>2.3</w:t>
      </w:r>
      <w:r>
        <w:rPr>
          <w:lang w:val="fr-CH"/>
        </w:rPr>
        <w:tab/>
        <w:t>lorsque l'affaiblissement dans l'atmosphère observé en direction des positions sur l'OSG dont il est question plus haut, calculé par application des procédures définies dans l'Annexe 1 à la Recommandation UIT</w:t>
      </w:r>
      <w:r>
        <w:rPr>
          <w:lang w:val="fr-CH"/>
        </w:rPr>
        <w:noBreakHyphen/>
        <w:t>R P.676, compte tenu de l'angle d'élévation en direction de ces positions orbitales, de l'altitude de l'antenne d'émission de la station du service fixe et des données localement disponibles sur la teneur moyenne en vapeur d'eau au cours du mois le plus sec, et d'autres paramètres météorologiques (voir la Note 3), dépasse 3 dB, d'envisager de relever de cette même valeur la densité de p.i.r.e. de la station du service fixe;</w:t>
      </w:r>
    </w:p>
    <w:p w:rsidR="00CE4097" w:rsidRDefault="00CE4097" w:rsidP="00CE4097">
      <w:pPr>
        <w:rPr>
          <w:lang w:val="fr-CH"/>
        </w:rPr>
      </w:pPr>
      <w:r>
        <w:rPr>
          <w:b/>
          <w:lang w:val="fr-CH"/>
        </w:rPr>
        <w:t>2.4</w:t>
      </w:r>
      <w:r>
        <w:rPr>
          <w:lang w:val="fr-CH"/>
        </w:rPr>
        <w:tab/>
        <w:t>lorsque les zones de Fresnel sur le trajet établi à partir d'une telle station d'émission du service fixe en direction des positions orbitales dont il est question plus haut sont totalement ou partiellement occultées, d'envisager de relever la densité de p.i.r.e. dans cette direction d'une valeur calculée par application des méthodes décrites dans la Recommandation UIT</w:t>
      </w:r>
      <w:r>
        <w:rPr>
          <w:lang w:val="fr-CH"/>
        </w:rPr>
        <w:noBreakHyphen/>
        <w:t>R P.526, en tenant dûment compte de la réfraction dans l'atmosphère sur ce trajet (voir la Recommandation UIT-R F.1333);</w:t>
      </w:r>
    </w:p>
    <w:p w:rsidR="00CE4097" w:rsidRDefault="00CE4097" w:rsidP="00CE4097">
      <w:pPr>
        <w:rPr>
          <w:lang w:val="fr-CH"/>
        </w:rPr>
      </w:pPr>
      <w:r>
        <w:rPr>
          <w:b/>
          <w:lang w:val="fr-CH"/>
        </w:rPr>
        <w:t>2.5</w:t>
      </w:r>
      <w:r>
        <w:rPr>
          <w:lang w:val="fr-CH"/>
        </w:rPr>
        <w:tab/>
        <w:t>de tenir compte du fait que l'Annexe 2 décrit une méthode applicable au calcul des séparations angulaires par rapport aux positions spécifiques sur l'OSG;</w:t>
      </w:r>
    </w:p>
    <w:p w:rsidR="00CE4097" w:rsidRDefault="00CE4097" w:rsidP="00CE4097">
      <w:pPr>
        <w:rPr>
          <w:lang w:val="fr-CH"/>
        </w:rPr>
      </w:pPr>
      <w:r>
        <w:rPr>
          <w:b/>
          <w:lang w:val="fr-CH"/>
        </w:rPr>
        <w:t>3</w:t>
      </w:r>
      <w:r>
        <w:rPr>
          <w:lang w:val="fr-CH"/>
        </w:rPr>
        <w:tab/>
        <w:t>pour toutes les autres positions de l'OSG:</w:t>
      </w:r>
    </w:p>
    <w:p w:rsidR="00CE4097" w:rsidRDefault="00CE4097" w:rsidP="00CE4097">
      <w:pPr>
        <w:rPr>
          <w:lang w:val="fr-CH"/>
        </w:rPr>
      </w:pPr>
      <w:r>
        <w:rPr>
          <w:b/>
          <w:lang w:val="fr-CH"/>
        </w:rPr>
        <w:t>3.1</w:t>
      </w:r>
      <w:r>
        <w:rPr>
          <w:lang w:val="fr-CH"/>
        </w:rPr>
        <w:tab/>
        <w:t xml:space="preserve">de faire en sorte que la densité de p.i.r.e. d'une telle station du service fixe en direction de l'OSG ne dépasse pas </w:t>
      </w:r>
      <w:r w:rsidRPr="007011A7">
        <w:t>+</w:t>
      </w:r>
      <w:r>
        <w:rPr>
          <w:lang w:val="fr-CH"/>
        </w:rPr>
        <w:t>33 dBW dans une bande quelconque de 1 MHz;</w:t>
      </w:r>
    </w:p>
    <w:p w:rsidR="00CE4097" w:rsidRDefault="00CE4097" w:rsidP="00CE4097">
      <w:pPr>
        <w:rPr>
          <w:lang w:val="fr-CH"/>
        </w:rPr>
      </w:pPr>
      <w:r>
        <w:rPr>
          <w:b/>
          <w:lang w:val="fr-CH"/>
        </w:rPr>
        <w:t>3.2</w:t>
      </w:r>
      <w:r>
        <w:rPr>
          <w:lang w:val="fr-CH"/>
        </w:rPr>
        <w:tab/>
        <w:t>de tenir compte du fait que l'Annexe 2 à la Recommandation UIT</w:t>
      </w:r>
      <w:r>
        <w:rPr>
          <w:lang w:val="fr-CH"/>
        </w:rPr>
        <w:noBreakHyphen/>
        <w:t>R SF.765 décrit une méthode applicable au calcul des angles de séparation par rapport à l'OSG (voir la Note 4);</w:t>
      </w:r>
    </w:p>
    <w:p w:rsidR="00CE4097" w:rsidRDefault="00CE4097" w:rsidP="00CE4097">
      <w:pPr>
        <w:keepNext/>
        <w:keepLines/>
        <w:rPr>
          <w:lang w:val="fr-CH"/>
        </w:rPr>
      </w:pPr>
      <w:r w:rsidRPr="00D83F40">
        <w:rPr>
          <w:rFonts w:ascii="Times New Roman Bold" w:hAnsi="Times New Roman Bold" w:cs="Times New Roman Bold"/>
          <w:b/>
          <w:lang w:val="fr-CH"/>
        </w:rPr>
        <w:lastRenderedPageBreak/>
        <w:t>4</w:t>
      </w:r>
      <w:r>
        <w:rPr>
          <w:lang w:val="fr-CH"/>
        </w:rPr>
        <w:tab/>
        <w:t>les quatre Notes 1, 2, 3 et 4 suivantes font partie de la présente Recommandation:</w:t>
      </w:r>
    </w:p>
    <w:p w:rsidR="00CE4097" w:rsidRPr="000F1585" w:rsidRDefault="00CE4097" w:rsidP="00CE4097">
      <w:pPr>
        <w:rPr>
          <w:lang w:val="fr-CH"/>
        </w:rPr>
      </w:pPr>
      <w:r w:rsidRPr="000F1585">
        <w:rPr>
          <w:lang w:val="fr-CH"/>
        </w:rPr>
        <w:t>NOTE 1 – La Recommandation UIT-R SA.1276</w:t>
      </w:r>
      <w:r>
        <w:rPr>
          <w:lang w:val="fr-CH"/>
        </w:rPr>
        <w:t>-3</w:t>
      </w:r>
      <w:r w:rsidRPr="000F1585">
        <w:rPr>
          <w:lang w:val="fr-CH"/>
        </w:rPr>
        <w:t xml:space="preserve"> spécifie les positions orbitales suivantes sur l'orbite des satellites géostationnaires:</w:t>
      </w:r>
    </w:p>
    <w:p w:rsidR="00FF620A" w:rsidRDefault="00CE4097" w:rsidP="00CE4097">
      <w:pPr>
        <w:pStyle w:val="enumlev1"/>
        <w:rPr>
          <w:lang w:val="es-ES"/>
        </w:rPr>
      </w:pPr>
      <w:r w:rsidRPr="005D61D4">
        <w:rPr>
          <w:lang w:val="fr-CH"/>
        </w:rPr>
        <w:tab/>
      </w:r>
      <w:r w:rsidRPr="000F1585">
        <w:rPr>
          <w:lang w:val="es-ES"/>
        </w:rPr>
        <w:t>1</w:t>
      </w:r>
      <w:r>
        <w:rPr>
          <w:lang w:val="es-ES"/>
        </w:rPr>
        <w:t>0</w:t>
      </w:r>
      <w:r w:rsidRPr="000F1585">
        <w:rPr>
          <w:lang w:val="es-ES"/>
        </w:rPr>
        <w:t>,</w:t>
      </w:r>
      <w:r>
        <w:rPr>
          <w:lang w:val="es-ES"/>
        </w:rPr>
        <w:t>6</w:t>
      </w:r>
      <w:r w:rsidRPr="0002790D">
        <w:rPr>
          <w:lang w:val="es-ES"/>
        </w:rPr>
        <w:t>°</w:t>
      </w:r>
      <w:r w:rsidRPr="000F1585">
        <w:rPr>
          <w:lang w:val="es-ES"/>
        </w:rPr>
        <w:t xml:space="preserve"> E,</w:t>
      </w:r>
      <w:r w:rsidRPr="005D61D4">
        <w:rPr>
          <w:lang w:val="es-ES_tradnl"/>
        </w:rPr>
        <w:tab/>
      </w:r>
      <w:r w:rsidRPr="000F1585">
        <w:rPr>
          <w:lang w:val="es-ES"/>
        </w:rPr>
        <w:t>16,4</w:t>
      </w:r>
      <w:r w:rsidRPr="0002790D">
        <w:rPr>
          <w:lang w:val="es-ES"/>
        </w:rPr>
        <w:t>°</w:t>
      </w:r>
      <w:r w:rsidRPr="000F1585">
        <w:rPr>
          <w:lang w:val="es-ES"/>
        </w:rPr>
        <w:t xml:space="preserve"> E, 16,</w:t>
      </w:r>
      <w:r>
        <w:rPr>
          <w:lang w:val="es-ES"/>
        </w:rPr>
        <w:t>8</w:t>
      </w:r>
      <w:r w:rsidRPr="0002790D">
        <w:rPr>
          <w:lang w:val="es-ES"/>
        </w:rPr>
        <w:t>°</w:t>
      </w:r>
      <w:r w:rsidRPr="000F1585">
        <w:rPr>
          <w:lang w:val="es-ES"/>
        </w:rPr>
        <w:t xml:space="preserve"> E,</w:t>
      </w:r>
      <w:r>
        <w:rPr>
          <w:lang w:val="es-ES"/>
        </w:rPr>
        <w:t xml:space="preserve"> </w:t>
      </w:r>
      <w:r w:rsidRPr="000F1585">
        <w:rPr>
          <w:lang w:val="es-ES"/>
        </w:rPr>
        <w:t>21,5</w:t>
      </w:r>
      <w:r w:rsidRPr="0002790D">
        <w:rPr>
          <w:lang w:val="es-ES"/>
        </w:rPr>
        <w:t>°</w:t>
      </w:r>
      <w:r w:rsidRPr="000F1585">
        <w:rPr>
          <w:lang w:val="es-ES"/>
        </w:rPr>
        <w:t xml:space="preserve"> E, 47</w:t>
      </w:r>
      <w:r w:rsidRPr="0002790D">
        <w:rPr>
          <w:lang w:val="es-ES"/>
        </w:rPr>
        <w:t>°</w:t>
      </w:r>
      <w:r w:rsidRPr="000F1585">
        <w:rPr>
          <w:lang w:val="es-ES"/>
        </w:rPr>
        <w:t xml:space="preserve"> E, 59</w:t>
      </w:r>
      <w:r w:rsidRPr="0002790D">
        <w:rPr>
          <w:lang w:val="es-ES"/>
        </w:rPr>
        <w:t>°</w:t>
      </w:r>
      <w:r w:rsidRPr="000F1585">
        <w:rPr>
          <w:lang w:val="es-ES"/>
        </w:rPr>
        <w:t xml:space="preserve"> E,</w:t>
      </w:r>
      <w:r w:rsidRPr="00ED2352">
        <w:rPr>
          <w:lang w:val="es-ES"/>
        </w:rPr>
        <w:t xml:space="preserve"> </w:t>
      </w:r>
      <w:r>
        <w:rPr>
          <w:lang w:val="es-ES"/>
        </w:rPr>
        <w:t>77</w:t>
      </w:r>
      <w:r w:rsidRPr="0002790D">
        <w:rPr>
          <w:lang w:val="es-ES"/>
        </w:rPr>
        <w:t>°</w:t>
      </w:r>
      <w:r w:rsidRPr="000F1585">
        <w:rPr>
          <w:lang w:val="es-ES"/>
        </w:rPr>
        <w:t xml:space="preserve"> E, </w:t>
      </w:r>
      <w:r>
        <w:rPr>
          <w:lang w:val="es-ES"/>
        </w:rPr>
        <w:t>80</w:t>
      </w:r>
      <w:r w:rsidRPr="0002790D">
        <w:rPr>
          <w:lang w:val="es-ES"/>
        </w:rPr>
        <w:t>°</w:t>
      </w:r>
      <w:r w:rsidRPr="000F1585">
        <w:rPr>
          <w:lang w:val="es-ES"/>
        </w:rPr>
        <w:t xml:space="preserve"> E,</w:t>
      </w:r>
      <w:r>
        <w:rPr>
          <w:lang w:val="es-ES"/>
        </w:rPr>
        <w:t xml:space="preserve"> </w:t>
      </w:r>
      <w:r w:rsidRPr="000F1585">
        <w:rPr>
          <w:lang w:val="es-ES"/>
        </w:rPr>
        <w:t>85</w:t>
      </w:r>
      <w:r w:rsidRPr="0002790D">
        <w:rPr>
          <w:lang w:val="es-ES"/>
        </w:rPr>
        <w:t>°</w:t>
      </w:r>
      <w:r w:rsidRPr="000F1585">
        <w:rPr>
          <w:lang w:val="es-ES"/>
        </w:rPr>
        <w:t xml:space="preserve"> E, 89° E, 90,75</w:t>
      </w:r>
      <w:r w:rsidRPr="0002790D">
        <w:rPr>
          <w:lang w:val="es-ES"/>
        </w:rPr>
        <w:t>°</w:t>
      </w:r>
      <w:r w:rsidRPr="000F1585">
        <w:rPr>
          <w:lang w:val="es-ES"/>
        </w:rPr>
        <w:t xml:space="preserve"> E, 95</w:t>
      </w:r>
      <w:r w:rsidRPr="0002790D">
        <w:rPr>
          <w:lang w:val="es-ES"/>
        </w:rPr>
        <w:t>°</w:t>
      </w:r>
      <w:r>
        <w:rPr>
          <w:lang w:val="es-ES"/>
        </w:rPr>
        <w:t> </w:t>
      </w:r>
      <w:r w:rsidRPr="000F1585">
        <w:rPr>
          <w:lang w:val="es-ES"/>
        </w:rPr>
        <w:t>E, 113</w:t>
      </w:r>
      <w:r w:rsidRPr="0002790D">
        <w:rPr>
          <w:lang w:val="es-ES"/>
        </w:rPr>
        <w:t>°</w:t>
      </w:r>
      <w:r w:rsidRPr="000F1585">
        <w:rPr>
          <w:lang w:val="es-ES"/>
        </w:rPr>
        <w:t xml:space="preserve"> E, 121</w:t>
      </w:r>
      <w:r w:rsidRPr="0002790D">
        <w:rPr>
          <w:lang w:val="es-ES"/>
        </w:rPr>
        <w:t>°</w:t>
      </w:r>
      <w:r w:rsidRPr="000F1585">
        <w:rPr>
          <w:lang w:val="es-ES"/>
        </w:rPr>
        <w:t xml:space="preserve"> E, 133° E, 160</w:t>
      </w:r>
      <w:r w:rsidRPr="0002790D">
        <w:rPr>
          <w:lang w:val="es-ES"/>
        </w:rPr>
        <w:t>°</w:t>
      </w:r>
      <w:r w:rsidRPr="000F1585">
        <w:rPr>
          <w:lang w:val="es-ES"/>
        </w:rPr>
        <w:t> E, 17</w:t>
      </w:r>
      <w:r>
        <w:rPr>
          <w:lang w:val="es-ES"/>
        </w:rPr>
        <w:t>1</w:t>
      </w:r>
      <w:r w:rsidRPr="0002790D">
        <w:rPr>
          <w:lang w:val="es-ES"/>
        </w:rPr>
        <w:t>°</w:t>
      </w:r>
      <w:r w:rsidRPr="000F1585">
        <w:rPr>
          <w:lang w:val="es-ES"/>
        </w:rPr>
        <w:t xml:space="preserve"> E</w:t>
      </w:r>
      <w:r>
        <w:rPr>
          <w:lang w:val="es-ES"/>
        </w:rPr>
        <w:t xml:space="preserve">, </w:t>
      </w:r>
      <w:r w:rsidRPr="000F1585">
        <w:rPr>
          <w:lang w:val="es-ES"/>
        </w:rPr>
        <w:t>17</w:t>
      </w:r>
      <w:r>
        <w:rPr>
          <w:lang w:val="es-ES"/>
        </w:rPr>
        <w:t>6</w:t>
      </w:r>
      <w:r w:rsidRPr="000F1585">
        <w:rPr>
          <w:lang w:val="es-ES"/>
        </w:rPr>
        <w:t>,</w:t>
      </w:r>
      <w:r>
        <w:rPr>
          <w:lang w:val="es-ES"/>
        </w:rPr>
        <w:t>8</w:t>
      </w:r>
      <w:r w:rsidRPr="0002790D">
        <w:rPr>
          <w:lang w:val="es-ES"/>
        </w:rPr>
        <w:t>°</w:t>
      </w:r>
      <w:r w:rsidRPr="000F1585">
        <w:rPr>
          <w:lang w:val="es-ES"/>
        </w:rPr>
        <w:t xml:space="preserve"> E</w:t>
      </w:r>
      <w:r>
        <w:rPr>
          <w:lang w:val="es-ES"/>
        </w:rPr>
        <w:t xml:space="preserve">, </w:t>
      </w:r>
      <w:r w:rsidRPr="000F1585">
        <w:rPr>
          <w:lang w:val="es-ES"/>
        </w:rPr>
        <w:t>177,5</w:t>
      </w:r>
      <w:r w:rsidRPr="0002790D">
        <w:rPr>
          <w:lang w:val="es-ES"/>
        </w:rPr>
        <w:t>°</w:t>
      </w:r>
      <w:r w:rsidRPr="000F1585">
        <w:rPr>
          <w:lang w:val="es-ES"/>
        </w:rPr>
        <w:t xml:space="preserve"> E, </w:t>
      </w:r>
    </w:p>
    <w:p w:rsidR="00CE4097" w:rsidRPr="00587096" w:rsidRDefault="00FF620A" w:rsidP="00CE4097">
      <w:pPr>
        <w:pStyle w:val="enumlev1"/>
        <w:rPr>
          <w:lang w:val="es-ES_tradnl"/>
        </w:rPr>
      </w:pPr>
      <w:r>
        <w:rPr>
          <w:lang w:val="es-ES"/>
        </w:rPr>
        <w:tab/>
      </w:r>
      <w:r w:rsidR="00CE4097" w:rsidRPr="000F1585">
        <w:rPr>
          <w:lang w:val="es-ES"/>
        </w:rPr>
        <w:t>12° O, 16</w:t>
      </w:r>
      <w:r w:rsidR="00CE4097" w:rsidRPr="0002790D">
        <w:rPr>
          <w:lang w:val="es-ES"/>
        </w:rPr>
        <w:t>°</w:t>
      </w:r>
      <w:r w:rsidR="00CE4097" w:rsidRPr="000F1585">
        <w:rPr>
          <w:lang w:val="es-ES"/>
        </w:rPr>
        <w:t xml:space="preserve"> O, 32</w:t>
      </w:r>
      <w:r w:rsidR="00CE4097" w:rsidRPr="0002790D">
        <w:rPr>
          <w:lang w:val="es-ES"/>
        </w:rPr>
        <w:t>°</w:t>
      </w:r>
      <w:r w:rsidR="00CE4097" w:rsidRPr="000F1585">
        <w:rPr>
          <w:lang w:val="es-ES"/>
        </w:rPr>
        <w:t xml:space="preserve"> O, 41</w:t>
      </w:r>
      <w:r w:rsidR="00CE4097" w:rsidRPr="0002790D">
        <w:rPr>
          <w:lang w:val="es-ES"/>
        </w:rPr>
        <w:t>°</w:t>
      </w:r>
      <w:r w:rsidR="00CE4097" w:rsidRPr="000F1585">
        <w:rPr>
          <w:lang w:val="es-ES"/>
        </w:rPr>
        <w:t xml:space="preserve"> O, 44</w:t>
      </w:r>
      <w:r w:rsidR="00CE4097" w:rsidRPr="0002790D">
        <w:rPr>
          <w:lang w:val="es-ES"/>
        </w:rPr>
        <w:t>°</w:t>
      </w:r>
      <w:r w:rsidR="00CE4097" w:rsidRPr="000F1585">
        <w:rPr>
          <w:lang w:val="es-ES"/>
        </w:rPr>
        <w:t xml:space="preserve"> O, 46</w:t>
      </w:r>
      <w:r w:rsidR="00CE4097" w:rsidRPr="0002790D">
        <w:rPr>
          <w:lang w:val="es-ES"/>
        </w:rPr>
        <w:t>°</w:t>
      </w:r>
      <w:r w:rsidR="00CE4097" w:rsidRPr="000F1585">
        <w:rPr>
          <w:lang w:val="es-ES"/>
        </w:rPr>
        <w:t xml:space="preserve"> O, 49</w:t>
      </w:r>
      <w:r w:rsidR="00CE4097" w:rsidRPr="0002790D">
        <w:rPr>
          <w:lang w:val="es-ES"/>
        </w:rPr>
        <w:t>°</w:t>
      </w:r>
      <w:r w:rsidR="00CE4097" w:rsidRPr="000F1585">
        <w:rPr>
          <w:lang w:val="es-ES"/>
        </w:rPr>
        <w:t xml:space="preserve"> O, 62</w:t>
      </w:r>
      <w:r w:rsidR="00CE4097" w:rsidRPr="0002790D">
        <w:rPr>
          <w:lang w:val="es-ES"/>
        </w:rPr>
        <w:t>°</w:t>
      </w:r>
      <w:r w:rsidR="00CE4097" w:rsidRPr="000F1585">
        <w:rPr>
          <w:lang w:val="es-ES"/>
        </w:rPr>
        <w:t xml:space="preserve"> O, 139</w:t>
      </w:r>
      <w:r w:rsidR="00CE4097" w:rsidRPr="0002790D">
        <w:rPr>
          <w:lang w:val="es-ES"/>
        </w:rPr>
        <w:t>°</w:t>
      </w:r>
      <w:r w:rsidR="00CE4097" w:rsidRPr="000F1585">
        <w:rPr>
          <w:lang w:val="es-ES"/>
        </w:rPr>
        <w:t xml:space="preserve"> O, 160</w:t>
      </w:r>
      <w:r w:rsidR="00CE4097" w:rsidRPr="0002790D">
        <w:rPr>
          <w:lang w:val="es-ES"/>
        </w:rPr>
        <w:t>°</w:t>
      </w:r>
      <w:r w:rsidR="00CE4097">
        <w:rPr>
          <w:lang w:val="es-ES"/>
        </w:rPr>
        <w:t> </w:t>
      </w:r>
      <w:r w:rsidR="00CE4097" w:rsidRPr="000F1585">
        <w:rPr>
          <w:lang w:val="es-ES"/>
        </w:rPr>
        <w:t>O, 170</w:t>
      </w:r>
      <w:r w:rsidR="00CE4097" w:rsidRPr="0002790D">
        <w:rPr>
          <w:lang w:val="es-ES"/>
        </w:rPr>
        <w:t>°</w:t>
      </w:r>
      <w:r w:rsidR="00CE4097" w:rsidRPr="000F1585">
        <w:rPr>
          <w:lang w:val="es-ES"/>
        </w:rPr>
        <w:t xml:space="preserve"> O, 171</w:t>
      </w:r>
      <w:r w:rsidR="00CE4097" w:rsidRPr="0002790D">
        <w:rPr>
          <w:lang w:val="es-ES"/>
        </w:rPr>
        <w:t>°</w:t>
      </w:r>
      <w:r w:rsidR="00CE4097" w:rsidRPr="000F1585">
        <w:rPr>
          <w:lang w:val="es-ES"/>
        </w:rPr>
        <w:t xml:space="preserve"> O, 174</w:t>
      </w:r>
      <w:r w:rsidR="00CE4097" w:rsidRPr="0002790D">
        <w:rPr>
          <w:lang w:val="es-ES"/>
        </w:rPr>
        <w:t>°</w:t>
      </w:r>
      <w:r w:rsidR="00CE4097" w:rsidRPr="000F1585">
        <w:rPr>
          <w:lang w:val="es-ES"/>
        </w:rPr>
        <w:t xml:space="preserve"> O.</w:t>
      </w:r>
    </w:p>
    <w:p w:rsidR="00CE4097" w:rsidRPr="005D61D4" w:rsidRDefault="00CE4097" w:rsidP="00CE4097">
      <w:pPr>
        <w:rPr>
          <w:lang w:val="fr-CH"/>
        </w:rPr>
      </w:pPr>
      <w:r w:rsidRPr="005D61D4">
        <w:rPr>
          <w:lang w:val="fr-CH"/>
        </w:rPr>
        <w:t>Lorsque la Recommandation UIT</w:t>
      </w:r>
      <w:r w:rsidRPr="005D61D4">
        <w:rPr>
          <w:lang w:val="fr-CH"/>
        </w:rPr>
        <w:noBreakHyphen/>
        <w:t>R SA.1276 est révisée afin d'ajouter de n</w:t>
      </w:r>
      <w:r>
        <w:rPr>
          <w:lang w:val="fr-CH"/>
        </w:rPr>
        <w:t>o</w:t>
      </w:r>
      <w:r w:rsidRPr="005D61D4">
        <w:rPr>
          <w:lang w:val="fr-CH"/>
        </w:rPr>
        <w:t>uvelles positions</w:t>
      </w:r>
      <w:r>
        <w:rPr>
          <w:lang w:val="fr-CH"/>
        </w:rPr>
        <w:t xml:space="preserve"> orbitales pour les SRD, la protection de</w:t>
      </w:r>
      <w:r w:rsidR="00537E6B">
        <w:rPr>
          <w:lang w:val="fr-CH"/>
        </w:rPr>
        <w:t>s</w:t>
      </w:r>
      <w:r>
        <w:rPr>
          <w:lang w:val="fr-CH"/>
        </w:rPr>
        <w:t xml:space="preserve"> nouveaux créneaux orbitaux conformément à la révision de la présente </w:t>
      </w:r>
      <w:r w:rsidRPr="005D61D4">
        <w:rPr>
          <w:lang w:val="fr-CH"/>
        </w:rPr>
        <w:t>Recommandation</w:t>
      </w:r>
      <w:r>
        <w:rPr>
          <w:lang w:val="fr-CH"/>
        </w:rPr>
        <w:t xml:space="preserve"> ne s'applique qu'aux stations du service fixe installées après la date d'entrée en vigueur de la </w:t>
      </w:r>
      <w:r w:rsidRPr="005D61D4">
        <w:rPr>
          <w:lang w:val="fr-CH"/>
        </w:rPr>
        <w:t>Recommandation</w:t>
      </w:r>
      <w:r>
        <w:rPr>
          <w:lang w:val="fr-CH"/>
        </w:rPr>
        <w:t xml:space="preserve"> UIT</w:t>
      </w:r>
      <w:r>
        <w:rPr>
          <w:lang w:val="fr-CH"/>
        </w:rPr>
        <w:noBreakHyphen/>
        <w:t>R SA.1276 révisée.</w:t>
      </w:r>
    </w:p>
    <w:p w:rsidR="00CE4097" w:rsidRDefault="00CE4097" w:rsidP="00CE4097">
      <w:pPr>
        <w:rPr>
          <w:lang w:val="fr-CH"/>
        </w:rPr>
      </w:pPr>
      <w:r>
        <w:rPr>
          <w:lang w:val="fr-CH"/>
        </w:rPr>
        <w:t xml:space="preserve">NOTE 2 – Les brouillages pouvant être occasionnés à des SRD par des systèmes hertziens fixes point à point et dépassant les limites de densité de p.i.r.e. définies au </w:t>
      </w:r>
      <w:r>
        <w:rPr>
          <w:i/>
          <w:lang w:val="fr-CH"/>
        </w:rPr>
        <w:t>recommande</w:t>
      </w:r>
      <w:r>
        <w:rPr>
          <w:lang w:val="fr-CH"/>
        </w:rPr>
        <w:t xml:space="preserve"> 2.1 peuvent être réduits si l'on évite d'utiliser les fréquences centrales attribuées à ces satellites, lorsque cela est envisageable dans la pratique. Il conviendra d'étudier plus avant cette technique de réduction.</w:t>
      </w:r>
    </w:p>
    <w:p w:rsidR="00CE4097" w:rsidRDefault="00CE4097" w:rsidP="00CE4097">
      <w:pPr>
        <w:rPr>
          <w:lang w:val="fr-CH"/>
        </w:rPr>
      </w:pPr>
      <w:r>
        <w:rPr>
          <w:lang w:val="fr-CH"/>
        </w:rPr>
        <w:t xml:space="preserve">NOTE 3 </w:t>
      </w:r>
      <w:r w:rsidRPr="00E10B45">
        <w:rPr>
          <w:lang w:val="fr-CH"/>
        </w:rPr>
        <w:t>–</w:t>
      </w:r>
      <w:r>
        <w:rPr>
          <w:lang w:val="fr-CH"/>
        </w:rPr>
        <w:t xml:space="preserve"> La Recommandation UIT-R F.1404 expose une méthode d'estimation des affaiblissements dans l'atmosphère, qui repose sur l'utilisation d'informations détaillées sur les paramètres météorologiques locaux pour la bande 25,5</w:t>
      </w:r>
      <w:r>
        <w:rPr>
          <w:lang w:val="fr-CH"/>
        </w:rPr>
        <w:noBreakHyphen/>
        <w:t>27,5 GHz. Lorsque de telles données ne sont pas disponibles, une méthode simple, reposant sur des modèles climatiques simplifiés, est proposée à titre provisoire. Cette méthode appelle toutefois un complément d'étude. Les administrations disposant de paramètres météorologiques locaux utilisables dans l'estimation des phénomènes d'affaiblissement dû aux gaz sont priées de communiquer ces informations à l'UIT</w:t>
      </w:r>
      <w:r>
        <w:rPr>
          <w:lang w:val="fr-CH"/>
        </w:rPr>
        <w:noBreakHyphen/>
        <w:t>R (notamment aux Commissions d'études 3 et 5 des radiocommunications).</w:t>
      </w:r>
    </w:p>
    <w:p w:rsidR="00CE4097" w:rsidRDefault="00CE4097" w:rsidP="00CE4097">
      <w:pPr>
        <w:rPr>
          <w:lang w:val="fr-CH"/>
        </w:rPr>
      </w:pPr>
      <w:r>
        <w:rPr>
          <w:lang w:val="fr-CH"/>
        </w:rPr>
        <w:t xml:space="preserve">NOTE 4 </w:t>
      </w:r>
      <w:r w:rsidRPr="00E10B45">
        <w:rPr>
          <w:lang w:val="fr-CH"/>
        </w:rPr>
        <w:t>–</w:t>
      </w:r>
      <w:r>
        <w:rPr>
          <w:lang w:val="fr-CH"/>
        </w:rPr>
        <w:t xml:space="preserve"> La Recommandation UIT-R SF.765 devait initialement servir à calculer des valeurs de séparation précises, jusqu'à 2°. Il convient de noter que l'algorithme utilisé dans ladite Recommandation peut également s'appliquer jusqu'à 10° en utilisant la valeur </w:t>
      </w:r>
      <w:r w:rsidRPr="0070751A">
        <w:rPr>
          <w:i/>
          <w:lang w:val="fr-CH"/>
        </w:rPr>
        <w:t>B</w:t>
      </w:r>
      <w:r>
        <w:rPr>
          <w:i/>
          <w:lang w:val="fr-CH"/>
        </w:rPr>
        <w:t xml:space="preserve"> </w:t>
      </w:r>
      <w:r>
        <w:rPr>
          <w:lang w:val="fr-CH"/>
        </w:rPr>
        <w:t>= 10° au § 1 de l'Annexe 2 de la Recommandation UIT-R SF.765.</w:t>
      </w:r>
    </w:p>
    <w:p w:rsidR="00CE4097" w:rsidRDefault="00CE4097" w:rsidP="00CE4097">
      <w:pPr>
        <w:jc w:val="left"/>
        <w:rPr>
          <w:lang w:val="fr-CH"/>
        </w:rPr>
      </w:pPr>
    </w:p>
    <w:p w:rsidR="00CE4097" w:rsidRDefault="00CE4097" w:rsidP="00CE4097">
      <w:pPr>
        <w:jc w:val="left"/>
        <w:rPr>
          <w:lang w:val="fr-CH"/>
        </w:rPr>
      </w:pPr>
    </w:p>
    <w:p w:rsidR="00CE4097" w:rsidRDefault="00CE4097" w:rsidP="00CE4097">
      <w:pPr>
        <w:pStyle w:val="AnnexNoTitle"/>
        <w:rPr>
          <w:lang w:val="fr-CH"/>
        </w:rPr>
      </w:pPr>
      <w:r>
        <w:rPr>
          <w:lang w:val="fr-CH"/>
        </w:rPr>
        <w:t>Annexe 1</w:t>
      </w:r>
      <w:r>
        <w:rPr>
          <w:lang w:val="fr-CH"/>
        </w:rPr>
        <w:br/>
      </w:r>
      <w:r>
        <w:rPr>
          <w:lang w:val="fr-CH"/>
        </w:rPr>
        <w:br/>
        <w:t xml:space="preserve">Densité maximale de p.i.r.e. des émetteurs de systèmes hertziens fixes </w:t>
      </w:r>
      <w:r>
        <w:rPr>
          <w:lang w:val="fr-CH"/>
        </w:rPr>
        <w:br/>
        <w:t xml:space="preserve">point à point exploités dans la bande 25,25-27,5 GHz </w:t>
      </w:r>
      <w:r>
        <w:rPr>
          <w:lang w:val="fr-CH"/>
        </w:rPr>
        <w:br/>
        <w:t>en partage avec le service inter-satellites</w:t>
      </w:r>
    </w:p>
    <w:p w:rsidR="00CE4097" w:rsidRDefault="00CE4097" w:rsidP="00CE4097">
      <w:pPr>
        <w:pStyle w:val="Heading1"/>
        <w:rPr>
          <w:lang w:val="fr-CH"/>
        </w:rPr>
      </w:pPr>
      <w:bookmarkStart w:id="3" w:name="_Toc392920224"/>
      <w:r>
        <w:rPr>
          <w:lang w:val="fr-CH"/>
        </w:rPr>
        <w:t>1</w:t>
      </w:r>
      <w:r>
        <w:rPr>
          <w:lang w:val="fr-CH"/>
        </w:rPr>
        <w:tab/>
        <w:t>Introduction</w:t>
      </w:r>
      <w:bookmarkEnd w:id="3"/>
    </w:p>
    <w:p w:rsidR="00CE4097" w:rsidRDefault="00CE4097" w:rsidP="00CE4097">
      <w:pPr>
        <w:rPr>
          <w:lang w:val="fr-CH"/>
        </w:rPr>
      </w:pPr>
      <w:r>
        <w:rPr>
          <w:lang w:val="fr-CH"/>
        </w:rPr>
        <w:t>La présente Annexe résume un certain nombre d'analyses qui montrent que le critère de protection défini dans la Recommandation UIT</w:t>
      </w:r>
      <w:r>
        <w:rPr>
          <w:lang w:val="fr-CH"/>
        </w:rPr>
        <w:noBreakHyphen/>
        <w:t>R SA.1155 pour les SRD peut être respecté sauf en présence d'un phénomène de couplage de faisceaux principaux dû aux émissions de stations hertziennes fixes point à point.</w:t>
      </w:r>
    </w:p>
    <w:p w:rsidR="00CE4097" w:rsidRDefault="00CE4097" w:rsidP="00CE4097">
      <w:pPr>
        <w:pStyle w:val="Heading1"/>
        <w:rPr>
          <w:lang w:val="fr-CH"/>
        </w:rPr>
      </w:pPr>
      <w:bookmarkStart w:id="4" w:name="_Toc392920242"/>
      <w:r>
        <w:rPr>
          <w:lang w:val="fr-CH"/>
        </w:rPr>
        <w:lastRenderedPageBreak/>
        <w:t>2</w:t>
      </w:r>
      <w:r>
        <w:rPr>
          <w:lang w:val="fr-CH"/>
        </w:rPr>
        <w:tab/>
        <w:t>Modélisation des systèmes</w:t>
      </w:r>
      <w:bookmarkEnd w:id="4"/>
    </w:p>
    <w:p w:rsidR="00CE4097" w:rsidRDefault="00CE4097" w:rsidP="00CE4097">
      <w:pPr>
        <w:pStyle w:val="Heading2"/>
        <w:rPr>
          <w:lang w:val="fr-CH"/>
        </w:rPr>
      </w:pPr>
      <w:bookmarkStart w:id="5" w:name="_Toc392920243"/>
      <w:r>
        <w:rPr>
          <w:lang w:val="fr-CH"/>
        </w:rPr>
        <w:t>2.1</w:t>
      </w:r>
      <w:r>
        <w:rPr>
          <w:lang w:val="fr-CH"/>
        </w:rPr>
        <w:tab/>
        <w:t>Déploiement du service fixe point à point dans la bande 25,25-27,5 GHz</w:t>
      </w:r>
      <w:bookmarkEnd w:id="5"/>
    </w:p>
    <w:p w:rsidR="00CE4097" w:rsidRDefault="00CE4097" w:rsidP="00CE4097">
      <w:pPr>
        <w:rPr>
          <w:lang w:val="fr-CH"/>
        </w:rPr>
      </w:pPr>
      <w:r>
        <w:rPr>
          <w:lang w:val="fr-CH"/>
        </w:rPr>
        <w:t>Les hypothèses suivantes concernant les caractéristiques techniques et opérationnelles des stations point à point du service fixe sont extrapolées à partir des systèmes existants dans la bande des 23 GHz.</w:t>
      </w:r>
    </w:p>
    <w:p w:rsidR="00CE4097" w:rsidRDefault="00CE4097" w:rsidP="00CE4097">
      <w:pPr>
        <w:pStyle w:val="enumlev1"/>
        <w:rPr>
          <w:lang w:val="fr-CH"/>
        </w:rPr>
      </w:pPr>
      <w:r w:rsidRPr="000E3937">
        <w:rPr>
          <w:lang w:val="fr-CH"/>
        </w:rPr>
        <w:t>–</w:t>
      </w:r>
      <w:r>
        <w:rPr>
          <w:lang w:val="fr-CH"/>
        </w:rPr>
        <w:tab/>
        <w:t>On suppose que 100</w:t>
      </w:r>
      <w:r>
        <w:rPr>
          <w:sz w:val="12"/>
          <w:lang w:val="fr-CH"/>
        </w:rPr>
        <w:t> </w:t>
      </w:r>
      <w:r>
        <w:rPr>
          <w:lang w:val="fr-CH"/>
        </w:rPr>
        <w:t>000 émetteurs sont répartis dans le monde dans la bande 25,25</w:t>
      </w:r>
      <w:r>
        <w:rPr>
          <w:lang w:val="fr-CH"/>
        </w:rPr>
        <w:noBreakHyphen/>
        <w:t>27,5 GHz (bande des 26 GHz).</w:t>
      </w:r>
    </w:p>
    <w:p w:rsidR="00CE4097" w:rsidRDefault="00CE4097" w:rsidP="00CE4097">
      <w:pPr>
        <w:pStyle w:val="enumlev1"/>
        <w:keepNext/>
        <w:keepLines/>
        <w:rPr>
          <w:lang w:val="fr-CH"/>
        </w:rPr>
      </w:pPr>
      <w:r>
        <w:rPr>
          <w:lang w:val="fr-CH"/>
        </w:rPr>
        <w:t>–</w:t>
      </w:r>
      <w:r>
        <w:rPr>
          <w:lang w:val="fr-CH"/>
        </w:rPr>
        <w:tab/>
        <w:t>Répartition estimée des niveaux de densité de p.i.r.e. des émetteurs:</w:t>
      </w:r>
    </w:p>
    <w:p w:rsidR="00CE4097" w:rsidRPr="004C1166" w:rsidRDefault="00CE4097" w:rsidP="00CE4097">
      <w:pPr>
        <w:pStyle w:val="enumlev2"/>
      </w:pPr>
      <w:r>
        <w:t>•</w:t>
      </w:r>
      <w:r>
        <w:tab/>
      </w:r>
      <w:r w:rsidRPr="004C1166">
        <w:t>on estime que plus de 70% de la totalité des liaisons du service fixe assurées dans la bande 25,25-27,5 GHz sont exploitées au-dessous de +24 dB(W/MHz);</w:t>
      </w:r>
    </w:p>
    <w:p w:rsidR="00CE4097" w:rsidRPr="004C1166" w:rsidRDefault="00CE4097" w:rsidP="00CE4097">
      <w:pPr>
        <w:pStyle w:val="enumlev2"/>
      </w:pPr>
      <w:r>
        <w:t>•</w:t>
      </w:r>
      <w:r>
        <w:tab/>
      </w:r>
      <w:r w:rsidRPr="004C1166">
        <w:t>on estime que moins de 25% des systèmes sont exploités dans une fourchette comprise entre + 24 et +33 dB(W/MHz);</w:t>
      </w:r>
    </w:p>
    <w:p w:rsidR="00CE4097" w:rsidRPr="004C1166" w:rsidRDefault="00CE4097" w:rsidP="00CE4097">
      <w:pPr>
        <w:pStyle w:val="enumlev2"/>
      </w:pPr>
      <w:bookmarkStart w:id="6" w:name="dsgno"/>
      <w:bookmarkEnd w:id="6"/>
      <w:r>
        <w:t>•</w:t>
      </w:r>
      <w:r>
        <w:tab/>
      </w:r>
      <w:r w:rsidRPr="004C1166">
        <w:t>on estime enfin que moins de 5% de ces liaisons sont exploitées au</w:t>
      </w:r>
      <w:r w:rsidRPr="004C1166">
        <w:noBreakHyphen/>
        <w:t>dessus de +33 dB(W/MHz).</w:t>
      </w:r>
    </w:p>
    <w:p w:rsidR="00CE4097" w:rsidRDefault="00CE4097" w:rsidP="00CE4097">
      <w:pPr>
        <w:pStyle w:val="enumlev1"/>
        <w:rPr>
          <w:lang w:val="fr-CH"/>
        </w:rPr>
      </w:pPr>
      <w:r>
        <w:rPr>
          <w:lang w:val="fr-CH"/>
        </w:rPr>
        <w:t>–</w:t>
      </w:r>
      <w:r>
        <w:rPr>
          <w:lang w:val="fr-CH"/>
        </w:rPr>
        <w:tab/>
        <w:t>Chaque émetteur exploite une seule fréquence, la moitié des émetteurs fonctionnent dans le sens «aller», l'autre moitié dans le sens «retour».</w:t>
      </w:r>
    </w:p>
    <w:p w:rsidR="00CE4097" w:rsidRDefault="00CE4097" w:rsidP="00CE4097">
      <w:pPr>
        <w:pStyle w:val="enumlev1"/>
        <w:rPr>
          <w:lang w:val="fr-CH"/>
        </w:rPr>
      </w:pPr>
      <w:r>
        <w:rPr>
          <w:lang w:val="fr-CH"/>
        </w:rPr>
        <w:t>–</w:t>
      </w:r>
      <w:r>
        <w:rPr>
          <w:lang w:val="fr-CH"/>
        </w:rPr>
        <w:tab/>
        <w:t>La disposition des canaux est conforme à la Recommandation UIT</w:t>
      </w:r>
      <w:r>
        <w:rPr>
          <w:lang w:val="fr-CH"/>
        </w:rPr>
        <w:noBreakHyphen/>
        <w:t>R F.748 (les largeurs de bande recommandées par canal sont comprises entre 112 MHz et 3,5 ou 2,5 MHz, et il serait possible d'ajouter des largeurs de bande de 1,75 ou 1,25 MHz à l'avenir).</w:t>
      </w:r>
    </w:p>
    <w:p w:rsidR="00CE4097" w:rsidRDefault="00CE4097" w:rsidP="00CE4097">
      <w:pPr>
        <w:pStyle w:val="enumlev1"/>
        <w:rPr>
          <w:lang w:val="fr-CH"/>
        </w:rPr>
      </w:pPr>
      <w:r>
        <w:rPr>
          <w:lang w:val="fr-CH"/>
        </w:rPr>
        <w:t>–</w:t>
      </w:r>
      <w:r>
        <w:rPr>
          <w:lang w:val="fr-CH"/>
        </w:rPr>
        <w:tab/>
        <w:t>Les canaux exploités sont répartis sur l'ensemble de la bande.</w:t>
      </w:r>
    </w:p>
    <w:p w:rsidR="00CE4097" w:rsidRDefault="00CE4097" w:rsidP="00CE4097">
      <w:pPr>
        <w:pStyle w:val="enumlev1"/>
        <w:rPr>
          <w:lang w:val="fr-CH"/>
        </w:rPr>
      </w:pPr>
      <w:r>
        <w:rPr>
          <w:lang w:val="fr-CH"/>
        </w:rPr>
        <w:t>–</w:t>
      </w:r>
      <w:r>
        <w:rPr>
          <w:lang w:val="fr-CH"/>
        </w:rPr>
        <w:tab/>
        <w:t>Les angles d'élévation sont en général compris entre 0</w:t>
      </w:r>
      <w:r w:rsidRPr="007011A7">
        <w:t>°</w:t>
      </w:r>
      <w:r>
        <w:rPr>
          <w:lang w:val="fr-CH"/>
        </w:rPr>
        <w:t xml:space="preserve"> et 5</w:t>
      </w:r>
      <w:r w:rsidRPr="007011A7">
        <w:t>°</w:t>
      </w:r>
      <w:r>
        <w:rPr>
          <w:lang w:val="fr-CH"/>
        </w:rPr>
        <w:t>.</w:t>
      </w:r>
    </w:p>
    <w:p w:rsidR="00CE4097" w:rsidRDefault="00CE4097" w:rsidP="00CE4097">
      <w:pPr>
        <w:pStyle w:val="enumlev1"/>
        <w:rPr>
          <w:lang w:val="fr-CH"/>
        </w:rPr>
      </w:pPr>
      <w:r>
        <w:rPr>
          <w:lang w:val="fr-CH"/>
        </w:rPr>
        <w:t>–</w:t>
      </w:r>
      <w:r>
        <w:rPr>
          <w:lang w:val="fr-CH"/>
        </w:rPr>
        <w:tab/>
        <w:t>La longueur des trajets est généralement comprise entre 2 et 5 km.</w:t>
      </w:r>
    </w:p>
    <w:p w:rsidR="00CE4097" w:rsidRDefault="00CE4097" w:rsidP="00CE4097">
      <w:pPr>
        <w:pStyle w:val="enumlev1"/>
        <w:rPr>
          <w:lang w:val="fr-CH"/>
        </w:rPr>
      </w:pPr>
      <w:r>
        <w:rPr>
          <w:lang w:val="fr-CH"/>
        </w:rPr>
        <w:t>–</w:t>
      </w:r>
      <w:r>
        <w:rPr>
          <w:lang w:val="fr-CH"/>
        </w:rPr>
        <w:tab/>
        <w:t>Dans la bande des 26 GHz, il est nécessaire de prévoir d'importantes marges pour tenir compte des évanouissements dus à la pluie et obtenir une disponibilité de 99,999</w:t>
      </w:r>
      <w:r w:rsidRPr="007011A7">
        <w:t>%</w:t>
      </w:r>
      <w:r>
        <w:rPr>
          <w:lang w:val="fr-CH"/>
        </w:rPr>
        <w:t>.</w:t>
      </w:r>
    </w:p>
    <w:p w:rsidR="00CE4097" w:rsidRDefault="00CE4097" w:rsidP="00CE4097">
      <w:pPr>
        <w:pStyle w:val="enumlev1"/>
        <w:rPr>
          <w:lang w:val="fr-CH"/>
        </w:rPr>
      </w:pPr>
      <w:r w:rsidRPr="000E3937">
        <w:rPr>
          <w:lang w:val="fr-CH"/>
        </w:rPr>
        <w:t>–</w:t>
      </w:r>
      <w:r>
        <w:rPr>
          <w:lang w:val="fr-CH"/>
        </w:rPr>
        <w:tab/>
        <w:t>Les principaux fournisseurs du service fixe point à point ont tendance à choisir la plus faible puissance d'émission possible afin de réduire les espacements dans les configurations à réutilisation de fréquences.</w:t>
      </w:r>
    </w:p>
    <w:p w:rsidR="00CE4097" w:rsidRDefault="00CE4097" w:rsidP="00CE4097">
      <w:pPr>
        <w:pStyle w:val="enumlev1"/>
        <w:rPr>
          <w:lang w:val="fr-CH"/>
        </w:rPr>
      </w:pPr>
      <w:r>
        <w:rPr>
          <w:lang w:val="fr-CH"/>
        </w:rPr>
        <w:t>–</w:t>
      </w:r>
      <w:r>
        <w:rPr>
          <w:lang w:val="fr-CH"/>
        </w:rPr>
        <w:tab/>
        <w:t>Dans le parc des équipements disponibles, très rares sont les systèmes dotés d'une commande automatique de puissance.</w:t>
      </w:r>
    </w:p>
    <w:p w:rsidR="00CE4097" w:rsidRDefault="00CE4097" w:rsidP="00CE4097">
      <w:pPr>
        <w:pStyle w:val="Heading2"/>
        <w:rPr>
          <w:lang w:val="fr-CH"/>
        </w:rPr>
      </w:pPr>
      <w:bookmarkStart w:id="7" w:name="_Toc392920244"/>
      <w:r>
        <w:rPr>
          <w:lang w:val="fr-CH"/>
        </w:rPr>
        <w:t>2.2</w:t>
      </w:r>
      <w:r>
        <w:rPr>
          <w:lang w:val="fr-CH"/>
        </w:rPr>
        <w:tab/>
        <w:t>Déploiement des SRD utilisant des liaisons espace</w:t>
      </w:r>
      <w:r>
        <w:rPr>
          <w:lang w:val="fr-CH"/>
        </w:rPr>
        <w:noBreakHyphen/>
        <w:t>espace du service inter-satellites</w:t>
      </w:r>
      <w:bookmarkEnd w:id="7"/>
    </w:p>
    <w:p w:rsidR="00CE4097" w:rsidRDefault="00CE4097" w:rsidP="00CE4097">
      <w:pPr>
        <w:rPr>
          <w:lang w:val="fr-CH"/>
        </w:rPr>
      </w:pPr>
      <w:r>
        <w:rPr>
          <w:lang w:val="fr-CH"/>
        </w:rPr>
        <w:t xml:space="preserve">Les caractéristiques techniques et opérationnelles des SRD qu'envisagent d'exploiter la NASA (Etats-Unis d'Amérique), l'Agence spatiale européenne (ESA), l'Agence spatiale russe et la JAXA (Japan Aerospace Exploration Agency </w:t>
      </w:r>
      <w:r w:rsidRPr="00CE2606">
        <w:rPr>
          <w:lang w:val="fr-CH"/>
        </w:rPr>
        <w:t>–</w:t>
      </w:r>
      <w:r>
        <w:rPr>
          <w:lang w:val="fr-CH"/>
        </w:rPr>
        <w:t xml:space="preserve"> Agence japonaise d'exploration aérospatiale), satellites qui utiliseront des liaisons espace-espace dans la bande des 26 GHz, sont résumées ci</w:t>
      </w:r>
      <w:r>
        <w:rPr>
          <w:lang w:val="fr-CH"/>
        </w:rPr>
        <w:noBreakHyphen/>
        <w:t>après:</w:t>
      </w:r>
    </w:p>
    <w:p w:rsidR="00CE4097" w:rsidRDefault="00CE4097" w:rsidP="00CE4097">
      <w:pPr>
        <w:pStyle w:val="enumlev1"/>
        <w:rPr>
          <w:lang w:val="fr-CH"/>
        </w:rPr>
      </w:pPr>
      <w:r>
        <w:rPr>
          <w:lang w:val="fr-CH"/>
        </w:rPr>
        <w:t>–</w:t>
      </w:r>
      <w:r>
        <w:rPr>
          <w:lang w:val="fr-CH"/>
        </w:rPr>
        <w:tab/>
        <w:t>Les positions orbitales sont indiquées dans la Recommandation UIT-R SA.1276</w:t>
      </w:r>
      <w:r>
        <w:rPr>
          <w:color w:val="000000"/>
          <w:lang w:val="fr-CH"/>
        </w:rPr>
        <w:t>.</w:t>
      </w:r>
    </w:p>
    <w:p w:rsidR="00CE4097" w:rsidRDefault="00CE4097" w:rsidP="00CE4097">
      <w:pPr>
        <w:pStyle w:val="enumlev1"/>
        <w:rPr>
          <w:lang w:val="fr-CH"/>
        </w:rPr>
      </w:pPr>
      <w:r>
        <w:rPr>
          <w:lang w:val="fr-CH"/>
        </w:rPr>
        <w:t>–</w:t>
      </w:r>
      <w:r>
        <w:rPr>
          <w:lang w:val="fr-CH"/>
        </w:rPr>
        <w:tab/>
        <w:t>Caractéristiques types des SRD:</w:t>
      </w:r>
    </w:p>
    <w:p w:rsidR="00CE4097" w:rsidRPr="00926C44" w:rsidRDefault="00CE4097" w:rsidP="00CE4097">
      <w:pPr>
        <w:pStyle w:val="enumlev2"/>
      </w:pPr>
      <w:r>
        <w:t>•</w:t>
      </w:r>
      <w:r>
        <w:tab/>
      </w:r>
      <w:r w:rsidRPr="00926C44">
        <w:t>deux antennes à accès unique et gain élevé (gain maximal: 58 dBi);</w:t>
      </w:r>
    </w:p>
    <w:p w:rsidR="00CE4097" w:rsidRPr="00926C44" w:rsidRDefault="00CE4097" w:rsidP="00CE4097">
      <w:pPr>
        <w:pStyle w:val="enumlev2"/>
      </w:pPr>
      <w:r>
        <w:t>•</w:t>
      </w:r>
      <w:r>
        <w:tab/>
      </w:r>
      <w:r w:rsidRPr="00926C44">
        <w:t>ouverture du faisceau de l'antenne de réception à 3 dB: &lt; 0,2°;</w:t>
      </w:r>
    </w:p>
    <w:p w:rsidR="00CE4097" w:rsidRPr="00926C44" w:rsidRDefault="00CE4097" w:rsidP="00CE4097">
      <w:pPr>
        <w:pStyle w:val="enumlev2"/>
      </w:pPr>
      <w:r>
        <w:t>•</w:t>
      </w:r>
      <w:r>
        <w:tab/>
      </w:r>
      <w:r w:rsidRPr="00926C44">
        <w:t>l'antenne de réception ne traite qu'un signal de retour dans la bande des 20/30 GHz;</w:t>
      </w:r>
    </w:p>
    <w:p w:rsidR="00CE4097" w:rsidRPr="00926C44" w:rsidRDefault="00CE4097" w:rsidP="00CE4097">
      <w:pPr>
        <w:pStyle w:val="enumlev2"/>
      </w:pPr>
      <w:r>
        <w:t>•</w:t>
      </w:r>
      <w:r>
        <w:tab/>
      </w:r>
      <w:r w:rsidRPr="00926C44">
        <w:t>température de bruit du récepteur du satellite: T =</w:t>
      </w:r>
      <w:r>
        <w:t> 703 K (densité de bruit de </w:t>
      </w:r>
      <w:r>
        <w:noBreakHyphen/>
      </w:r>
      <w:r w:rsidRPr="00926C44">
        <w:t>140,13 dB(W/MHz));</w:t>
      </w:r>
    </w:p>
    <w:p w:rsidR="00CE4097" w:rsidRPr="00926C44" w:rsidRDefault="00CE4097" w:rsidP="00CE4097">
      <w:pPr>
        <w:pStyle w:val="enumlev2"/>
      </w:pPr>
      <w:r>
        <w:lastRenderedPageBreak/>
        <w:t>•</w:t>
      </w:r>
      <w:r>
        <w:tab/>
      </w:r>
      <w:r w:rsidRPr="00926C44">
        <w:t>débits de données sur la voie de retour: 1 kbit/s-300 Mbit/s dans une largeur de bande de 225 MHz;</w:t>
      </w:r>
      <w:bookmarkStart w:id="8" w:name="_GoBack"/>
      <w:bookmarkEnd w:id="8"/>
    </w:p>
    <w:p w:rsidR="00CE4097" w:rsidRPr="00926C44" w:rsidRDefault="00CE4097" w:rsidP="00CE4097">
      <w:pPr>
        <w:pStyle w:val="enumlev2"/>
      </w:pPr>
      <w:r>
        <w:t>•</w:t>
      </w:r>
      <w:r>
        <w:tab/>
      </w:r>
      <w:r w:rsidRPr="00926C44">
        <w:t>débits de données sur la voie de retour: 1 kbit/s-800 Mbit/s dans une largeur de bande de 650 MHz;</w:t>
      </w:r>
    </w:p>
    <w:p w:rsidR="00CE4097" w:rsidRPr="00926C44" w:rsidRDefault="00CE4097" w:rsidP="00CE4097">
      <w:pPr>
        <w:pStyle w:val="enumlev2"/>
      </w:pPr>
      <w:r>
        <w:t>•</w:t>
      </w:r>
      <w:r>
        <w:tab/>
      </w:r>
      <w:r w:rsidRPr="00926C44">
        <w:t>fréquence centrale de réception réglable par pas de 25 MHz (ou par valeurs inférieures).</w:t>
      </w:r>
    </w:p>
    <w:p w:rsidR="00CE4097" w:rsidRDefault="00CE4097" w:rsidP="00CE4097">
      <w:pPr>
        <w:pStyle w:val="enumlev1"/>
        <w:keepNext/>
        <w:keepLines/>
        <w:rPr>
          <w:lang w:val="fr-CH"/>
        </w:rPr>
      </w:pPr>
      <w:r>
        <w:rPr>
          <w:lang w:val="fr-CH"/>
        </w:rPr>
        <w:t>–</w:t>
      </w:r>
      <w:r>
        <w:rPr>
          <w:lang w:val="fr-CH"/>
        </w:rPr>
        <w:tab/>
        <w:t>Les fréquences centrales des SRD choisies compte tenu des recommandations du SNIP (</w:t>
      </w:r>
      <w:r>
        <w:rPr>
          <w:i/>
          <w:iCs/>
          <w:lang w:val="fr-CH"/>
        </w:rPr>
        <w:t>Space Network Interoperability Panel</w:t>
      </w:r>
      <w:r>
        <w:rPr>
          <w:lang w:val="fr-CH"/>
        </w:rPr>
        <w:t xml:space="preserve"> – Groupe sur l'interopérabilité des réseaux spatiaux) pour les canaux de retour communs seront les suivantes: 25,60; 25,85; 26,10; 26,35; 26,60; 26,85; 27,10 ou 27,35 GHz.</w:t>
      </w:r>
    </w:p>
    <w:p w:rsidR="00CE4097" w:rsidRDefault="00CE4097" w:rsidP="00CE4097">
      <w:pPr>
        <w:rPr>
          <w:lang w:val="fr-CH"/>
        </w:rPr>
      </w:pPr>
      <w:r>
        <w:rPr>
          <w:lang w:val="fr-CH"/>
        </w:rPr>
        <w:t>Aucune technique de réduction des brouillages n'a été étudiée ou appliquée pour ce qui est de la génération actuelle des SRD fonctionnant dans la bande des 26 GHz.</w:t>
      </w:r>
    </w:p>
    <w:p w:rsidR="00CE4097" w:rsidRDefault="00CE4097" w:rsidP="00CE4097">
      <w:pPr>
        <w:pStyle w:val="Heading1"/>
        <w:rPr>
          <w:lang w:val="fr-CH"/>
        </w:rPr>
      </w:pPr>
      <w:bookmarkStart w:id="9" w:name="_Toc392920245"/>
      <w:r>
        <w:rPr>
          <w:lang w:val="fr-CH"/>
        </w:rPr>
        <w:t>3</w:t>
      </w:r>
      <w:r>
        <w:rPr>
          <w:lang w:val="fr-CH"/>
        </w:rPr>
        <w:tab/>
        <w:t>Evaluation des brouillages</w:t>
      </w:r>
      <w:bookmarkEnd w:id="9"/>
    </w:p>
    <w:p w:rsidR="00CE4097" w:rsidRDefault="00CE4097" w:rsidP="00CE4097">
      <w:pPr>
        <w:pStyle w:val="Heading2"/>
        <w:rPr>
          <w:lang w:val="fr-CH"/>
        </w:rPr>
      </w:pPr>
      <w:bookmarkStart w:id="10" w:name="_Toc392920246"/>
      <w:r>
        <w:rPr>
          <w:lang w:val="fr-CH"/>
        </w:rPr>
        <w:t>3.1</w:t>
      </w:r>
      <w:r>
        <w:rPr>
          <w:lang w:val="fr-CH"/>
        </w:rPr>
        <w:tab/>
        <w:t>Critères de protection applicables aux SRD</w:t>
      </w:r>
      <w:bookmarkEnd w:id="10"/>
    </w:p>
    <w:p w:rsidR="00CE4097" w:rsidRDefault="00CE4097" w:rsidP="00CE4097">
      <w:pPr>
        <w:rPr>
          <w:lang w:val="fr-CH"/>
        </w:rPr>
      </w:pPr>
      <w:r>
        <w:rPr>
          <w:lang w:val="fr-CH"/>
        </w:rPr>
        <w:t>La Recommandation UIT-R SA.1155, intitulée «Critères de protection relatifs à l'exploitation des systèmes à satellites relais de données», recommande que le niveau maximal de densité spectrale de puissance du brouillage cumulatif à ne pas dépasser, pour toutes les sources, pendant plus de 0,1</w:t>
      </w:r>
      <w:r w:rsidRPr="007011A7">
        <w:t>%</w:t>
      </w:r>
      <w:r>
        <w:rPr>
          <w:lang w:val="fr-CH"/>
        </w:rPr>
        <w:t xml:space="preserve"> du temps, soit de –178 dB(W/kHz) dans la bande 25,25</w:t>
      </w:r>
      <w:r>
        <w:rPr>
          <w:lang w:val="fr-CH"/>
        </w:rPr>
        <w:noBreakHyphen/>
        <w:t xml:space="preserve">27,5 GHz (ce qui équivaut à </w:t>
      </w:r>
      <w:r>
        <w:rPr>
          <w:lang w:val="fr-CH"/>
        </w:rPr>
        <w:fldChar w:fldCharType="begin"/>
      </w:r>
      <w:r>
        <w:rPr>
          <w:lang w:val="fr-CH"/>
        </w:rPr>
        <w:instrText xml:space="preserve"> EQ  </w:instrText>
      </w:r>
      <w:r w:rsidRPr="00014E49">
        <w:rPr>
          <w:lang w:val="fr-CH"/>
        </w:rPr>
        <w:instrText>–</w:instrText>
      </w:r>
      <w:r>
        <w:rPr>
          <w:lang w:val="fr-CH"/>
        </w:rPr>
        <w:instrText>148 dB(W/MHz)</w:instrText>
      </w:r>
      <w:r>
        <w:rPr>
          <w:lang w:val="fr-CH"/>
        </w:rPr>
        <w:fldChar w:fldCharType="end"/>
      </w:r>
      <w:r>
        <w:rPr>
          <w:lang w:val="fr-CH"/>
        </w:rPr>
        <w:t xml:space="preserve">). Ce niveau est calculé sur la base d'un rapport signal brouilleur/bruit de </w:t>
      </w:r>
      <w:r>
        <w:rPr>
          <w:lang w:val="fr-CH"/>
        </w:rPr>
        <w:fldChar w:fldCharType="begin"/>
      </w:r>
      <w:r>
        <w:rPr>
          <w:lang w:val="fr-CH"/>
        </w:rPr>
        <w:instrText xml:space="preserve"> EQ  –10 dB </w:instrText>
      </w:r>
      <w:r>
        <w:rPr>
          <w:lang w:val="fr-CH"/>
        </w:rPr>
        <w:fldChar w:fldCharType="end"/>
      </w:r>
      <w:r>
        <w:rPr>
          <w:lang w:val="fr-CH"/>
        </w:rPr>
        <w:t>et d'une dégradation de 0,4 dB de la marge de liaison. La largeur de bande de référence maximale recommandée est de 1 kHz. Le critère de protection donne une densité maximale de p.i.r.e. brouilleuse de 13,5 dB(W/MHz), rayonnée par le système fixe en direction du SRD en présence d'un phénomène de couplage des faisceaux principaux, comme indiqué au Tableau 1.</w:t>
      </w:r>
    </w:p>
    <w:p w:rsidR="00CE4097" w:rsidRPr="000F1585" w:rsidRDefault="00CE4097" w:rsidP="00CE4097">
      <w:pPr>
        <w:pStyle w:val="TableNo"/>
        <w:rPr>
          <w:lang w:val="fr-CH"/>
        </w:rPr>
      </w:pPr>
      <w:r w:rsidRPr="000F1585">
        <w:rPr>
          <w:lang w:val="fr-CH"/>
        </w:rPr>
        <w:t xml:space="preserve">TABLEAU </w:t>
      </w:r>
      <w:r>
        <w:rPr>
          <w:lang w:val="fr-CH"/>
        </w:rPr>
        <w:t xml:space="preserve"> </w:t>
      </w:r>
      <w:r w:rsidRPr="000F1585">
        <w:rPr>
          <w:lang w:val="fr-CH"/>
        </w:rPr>
        <w:t>1</w:t>
      </w:r>
    </w:p>
    <w:p w:rsidR="00CE4097" w:rsidRPr="00B0500A" w:rsidRDefault="00CE4097" w:rsidP="00CE4097">
      <w:pPr>
        <w:pStyle w:val="Tabletitle"/>
        <w:rPr>
          <w:szCs w:val="22"/>
        </w:rPr>
      </w:pPr>
      <w:r w:rsidRPr="00B0500A">
        <w:t>Densité maximale de p.i.r.e. rayonnée par un système du service fixe en direction</w:t>
      </w:r>
      <w:r w:rsidRPr="00B0500A">
        <w:br/>
        <w:t>d'un SRD, en présence d'un phénomène de couplage des faisceaux principaux</w:t>
      </w:r>
    </w:p>
    <w:tbl>
      <w:tblPr>
        <w:tblW w:w="0" w:type="auto"/>
        <w:jc w:val="center"/>
        <w:tblLayout w:type="fixed"/>
        <w:tblCellMar>
          <w:left w:w="107" w:type="dxa"/>
          <w:right w:w="107" w:type="dxa"/>
        </w:tblCellMar>
        <w:tblLook w:val="04A0" w:firstRow="1" w:lastRow="0" w:firstColumn="1" w:lastColumn="0" w:noHBand="0" w:noVBand="1"/>
      </w:tblPr>
      <w:tblGrid>
        <w:gridCol w:w="5670"/>
        <w:gridCol w:w="1701"/>
      </w:tblGrid>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pPr>
            <w:r w:rsidRPr="000E3937">
              <w:rPr>
                <w:szCs w:val="22"/>
              </w:rPr>
              <w:t>Densité de p.i.r.e. rayonnée par le service fixe (dB(W/MHz))</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13,5</w:t>
            </w:r>
          </w:p>
        </w:tc>
      </w:tr>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dans l</w:t>
            </w:r>
            <w:r>
              <w:rPr>
                <w:szCs w:val="22"/>
                <w:lang w:val="fr-CH"/>
              </w:rPr>
              <w:t>'</w:t>
            </w:r>
            <w:r w:rsidRPr="000E3937">
              <w:rPr>
                <w:szCs w:val="22"/>
                <w:lang w:val="fr-CH"/>
              </w:rPr>
              <w:t>atmosphère (dB)</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r>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de polarisation (dB)</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r>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en espace libre (dB)</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213,5</w:t>
            </w:r>
          </w:p>
        </w:tc>
      </w:tr>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Gain maximal de l</w:t>
            </w:r>
            <w:r>
              <w:rPr>
                <w:szCs w:val="22"/>
                <w:lang w:val="fr-CH"/>
              </w:rPr>
              <w:t>'</w:t>
            </w:r>
            <w:r w:rsidRPr="000E3937">
              <w:rPr>
                <w:szCs w:val="22"/>
                <w:lang w:val="fr-CH"/>
              </w:rPr>
              <w:t>antenne de réception du SRD (dBi)</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58</w:t>
            </w:r>
          </w:p>
        </w:tc>
      </w:tr>
      <w:tr w:rsidR="00CE4097" w:rsidRPr="000E3937" w:rsidTr="008E70F1">
        <w:trPr>
          <w:cantSplit/>
          <w:jc w:val="center"/>
        </w:trPr>
        <w:tc>
          <w:tcPr>
            <w:tcW w:w="5670"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Densité maximale de puissance brouilleuse (dB(W/MHz))</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–148</w:t>
            </w:r>
          </w:p>
        </w:tc>
      </w:tr>
    </w:tbl>
    <w:p w:rsidR="00CE4097" w:rsidRDefault="00CE4097" w:rsidP="00CE4097">
      <w:pPr>
        <w:pStyle w:val="Heading2"/>
        <w:rPr>
          <w:lang w:val="fr-CH"/>
        </w:rPr>
      </w:pPr>
      <w:bookmarkStart w:id="11" w:name="_Toc392920247"/>
      <w:r>
        <w:rPr>
          <w:lang w:val="fr-CH"/>
        </w:rPr>
        <w:t>3.2</w:t>
      </w:r>
      <w:r>
        <w:rPr>
          <w:lang w:val="fr-CH"/>
        </w:rPr>
        <w:tab/>
        <w:t>Brouillage par le faisceau principal</w:t>
      </w:r>
      <w:bookmarkEnd w:id="11"/>
    </w:p>
    <w:p w:rsidR="00CE4097" w:rsidRDefault="00CE4097" w:rsidP="00CE4097">
      <w:pPr>
        <w:rPr>
          <w:lang w:val="fr-CH"/>
        </w:rPr>
      </w:pPr>
      <w:r>
        <w:rPr>
          <w:lang w:val="fr-CH"/>
        </w:rPr>
        <w:t>Les critères de brouillage par le faisceau principal couvrent:</w:t>
      </w:r>
    </w:p>
    <w:p w:rsidR="00CE4097" w:rsidRPr="00AA28C8" w:rsidRDefault="00CE4097" w:rsidP="00CE4097">
      <w:pPr>
        <w:pStyle w:val="enumlev1"/>
      </w:pPr>
      <w:r w:rsidRPr="00AA28C8">
        <w:t>–</w:t>
      </w:r>
      <w:r w:rsidRPr="00AA28C8">
        <w:tab/>
        <w:t>la limite tolérable de densité de p.i.r.e. rayonnée par le service fixe, c'</w:t>
      </w:r>
      <w:r>
        <w:t>est-à-dire la valeur qui </w:t>
      </w:r>
      <w:r w:rsidRPr="00AA28C8">
        <w:t>respecte les critères de protection des SRD</w:t>
      </w:r>
      <w:r>
        <w:t xml:space="preserve"> définis dans la Recommandation </w:t>
      </w:r>
      <w:r w:rsidRPr="00AA28C8">
        <w:t>UIT</w:t>
      </w:r>
      <w:r w:rsidRPr="00AA28C8">
        <w:noBreakHyphen/>
        <w:t>R SA.1155;</w:t>
      </w:r>
    </w:p>
    <w:p w:rsidR="00CE4097" w:rsidRPr="00AA28C8" w:rsidRDefault="00CE4097" w:rsidP="00CE4097">
      <w:pPr>
        <w:pStyle w:val="enumlev1"/>
      </w:pPr>
      <w:r w:rsidRPr="00AA28C8">
        <w:t>–</w:t>
      </w:r>
      <w:r w:rsidRPr="00AA28C8">
        <w:tab/>
        <w:t>la probabilité de brouillage par le faisceau principal. La limite tolérable de densité de p.i.r.e. due au service fixe est calculée dans l'hypothèse d'un brouillage occasionné dans le même canal vers une orbite de SRD non inclinée. L'évaluation de la probabilité de brouillage par le faisceau principal est faite d'après les conditions d'exploitation des deux systèmes.</w:t>
      </w:r>
    </w:p>
    <w:p w:rsidR="00CE4097" w:rsidRDefault="00CE4097" w:rsidP="00CE4097">
      <w:pPr>
        <w:rPr>
          <w:lang w:val="fr-CH"/>
        </w:rPr>
      </w:pPr>
      <w:r>
        <w:rPr>
          <w:lang w:val="fr-CH"/>
        </w:rPr>
        <w:lastRenderedPageBreak/>
        <w:t>On considère le cas d'un faisceau hertzien du service fixe rayonnant en direction d'un SRD et occasionnant un phénomène de couplage dans le faisceau principal de l'antenne à gain élevé de ce satellite pour diverses valeurs de niveau de densité de p.i.r.e. Les résultats sont exposés au Tableau 2, qui montre qu'une densité spectrale de p.i.r.e. supérieure à 13,5 dB(W/MHz), avec un affaiblissement dû à l'absorption atmosphérique de 3 dB et un affaiblissement de polarisation de 3 dB, entraîne un niveau de brouillage supérieur à la valeur spécifiée dans la Recommandation UIT</w:t>
      </w:r>
      <w:r>
        <w:rPr>
          <w:lang w:val="fr-CH"/>
        </w:rPr>
        <w:noBreakHyphen/>
        <w:t>R SA.1155 dans le cas d'un alignement direct.</w:t>
      </w:r>
    </w:p>
    <w:p w:rsidR="00CE4097" w:rsidRPr="000E3937" w:rsidRDefault="00CE4097" w:rsidP="00CE4097">
      <w:pPr>
        <w:pStyle w:val="TableNo"/>
        <w:rPr>
          <w:lang w:val="fr-CH"/>
        </w:rPr>
      </w:pPr>
      <w:r>
        <w:rPr>
          <w:lang w:val="fr-CH"/>
        </w:rPr>
        <w:t xml:space="preserve">TABLEAU  </w:t>
      </w:r>
      <w:r w:rsidRPr="000E3937">
        <w:rPr>
          <w:lang w:val="fr-CH"/>
        </w:rPr>
        <w:t>2</w:t>
      </w:r>
    </w:p>
    <w:p w:rsidR="00CE4097" w:rsidRPr="000E3937" w:rsidRDefault="00CE4097" w:rsidP="00CE4097">
      <w:pPr>
        <w:pStyle w:val="Tabletitle"/>
        <w:rPr>
          <w:lang w:val="fr-CH"/>
        </w:rPr>
      </w:pPr>
      <w:r w:rsidRPr="000E3937">
        <w:rPr>
          <w:lang w:val="fr-CH"/>
        </w:rPr>
        <w:t>Dépassement du critère de brouillage en fonction de</w:t>
      </w:r>
      <w:r>
        <w:rPr>
          <w:lang w:val="fr-CH"/>
        </w:rPr>
        <w:t xml:space="preserve"> </w:t>
      </w:r>
      <w:r w:rsidRPr="000E3937">
        <w:rPr>
          <w:lang w:val="fr-CH"/>
        </w:rPr>
        <w:t xml:space="preserve">la densité </w:t>
      </w:r>
      <w:r>
        <w:rPr>
          <w:lang w:val="fr-CH"/>
        </w:rPr>
        <w:br/>
      </w:r>
      <w:r w:rsidRPr="000E3937">
        <w:rPr>
          <w:lang w:val="fr-CH"/>
        </w:rPr>
        <w:t>de p.i.r.e. rayonnée du service fixe vers le SRD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256"/>
        <w:gridCol w:w="1461"/>
        <w:gridCol w:w="1461"/>
        <w:gridCol w:w="1461"/>
      </w:tblGrid>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left"/>
            </w:pPr>
            <w:r w:rsidRPr="000E3937">
              <w:rPr>
                <w:szCs w:val="22"/>
              </w:rPr>
              <w:t>Densité de p.i.r.e. occasionnée par le service fixe (dB(W/MHz))</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pPr>
            <w:r w:rsidRPr="000E3937">
              <w:rPr>
                <w:szCs w:val="22"/>
              </w:rPr>
              <w:t>13,5</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pPr>
            <w:r w:rsidRPr="000E3937">
              <w:rPr>
                <w:szCs w:val="22"/>
              </w:rPr>
              <w:t>24</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pPr>
            <w:r w:rsidRPr="000E3937">
              <w:rPr>
                <w:szCs w:val="22"/>
              </w:rPr>
              <w:t>33</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pPr>
            <w:r w:rsidRPr="000E3937">
              <w:rPr>
                <w:szCs w:val="22"/>
              </w:rPr>
              <w:t>Gain de l</w:t>
            </w:r>
            <w:r>
              <w:rPr>
                <w:szCs w:val="22"/>
              </w:rPr>
              <w:t>'</w:t>
            </w:r>
            <w:r w:rsidRPr="000E3937">
              <w:rPr>
                <w:szCs w:val="22"/>
              </w:rPr>
              <w:t>antenne de réception du SRD (dBi)</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58</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en espace libre (dB)</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213,5</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dans l</w:t>
            </w:r>
            <w:r>
              <w:rPr>
                <w:szCs w:val="22"/>
                <w:lang w:val="fr-CH"/>
              </w:rPr>
              <w:t>'</w:t>
            </w:r>
            <w:r w:rsidRPr="000E3937">
              <w:rPr>
                <w:szCs w:val="22"/>
                <w:lang w:val="fr-CH"/>
              </w:rPr>
              <w:t>atmosphère (dB)</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Affaiblissement de polarisation (dB)</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3</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 xml:space="preserve">Puissance du signal brouilleur, </w:t>
            </w:r>
            <w:r w:rsidRPr="000E3937">
              <w:rPr>
                <w:i/>
                <w:szCs w:val="22"/>
                <w:lang w:val="fr-CH"/>
              </w:rPr>
              <w:t>I</w:t>
            </w:r>
            <w:r w:rsidRPr="000E3937">
              <w:rPr>
                <w:szCs w:val="22"/>
                <w:lang w:val="fr-CH"/>
              </w:rPr>
              <w:t xml:space="preserve"> (dB(W/MHz))</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–137,5</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–128,5</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szCs w:val="22"/>
                <w:lang w:val="fr-CH"/>
              </w:rPr>
              <w:t>Critère de brouillage maximal (dB(W/MHz))</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szCs w:val="22"/>
                <w:lang w:val="fr-CH"/>
              </w:rPr>
              <w:t>–148</w:t>
            </w:r>
          </w:p>
        </w:tc>
      </w:tr>
      <w:tr w:rsidR="00CE4097" w:rsidRPr="000E3937" w:rsidTr="008E70F1">
        <w:trPr>
          <w:jc w:val="center"/>
        </w:trPr>
        <w:tc>
          <w:tcPr>
            <w:tcW w:w="5103" w:type="dxa"/>
            <w:tcBorders>
              <w:top w:val="single" w:sz="6" w:space="0" w:color="auto"/>
              <w:left w:val="single" w:sz="6" w:space="0" w:color="auto"/>
              <w:bottom w:val="single" w:sz="6" w:space="0" w:color="auto"/>
              <w:right w:val="single" w:sz="6" w:space="0" w:color="auto"/>
            </w:tcBorders>
          </w:tcPr>
          <w:p w:rsidR="00CE4097" w:rsidRPr="000E3937" w:rsidRDefault="00CE4097" w:rsidP="008E70F1">
            <w:pPr>
              <w:pStyle w:val="Tabletext"/>
              <w:rPr>
                <w:lang w:val="fr-CH"/>
              </w:rPr>
            </w:pPr>
            <w:r w:rsidRPr="000E3937">
              <w:rPr>
                <w:i/>
                <w:szCs w:val="22"/>
                <w:lang w:val="fr-CH"/>
              </w:rPr>
              <w:t>Dépassement du critère</w:t>
            </w:r>
            <w:r w:rsidRPr="000E3937">
              <w:rPr>
                <w:szCs w:val="22"/>
                <w:lang w:val="fr-CH"/>
              </w:rPr>
              <w:t xml:space="preserve"> </w:t>
            </w:r>
            <w:r w:rsidRPr="000E3937">
              <w:rPr>
                <w:i/>
                <w:szCs w:val="22"/>
                <w:lang w:val="fr-CH"/>
              </w:rPr>
              <w:t>(dB)</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i/>
                <w:szCs w:val="22"/>
                <w:lang w:val="fr-CH"/>
              </w:rPr>
              <w:t>0</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i/>
                <w:szCs w:val="22"/>
                <w:lang w:val="fr-CH"/>
              </w:rPr>
              <w:t>10,5</w:t>
            </w:r>
          </w:p>
        </w:tc>
        <w:tc>
          <w:tcPr>
            <w:tcW w:w="1418" w:type="dxa"/>
            <w:tcBorders>
              <w:top w:val="single" w:sz="6" w:space="0" w:color="auto"/>
              <w:left w:val="single" w:sz="6" w:space="0" w:color="auto"/>
              <w:bottom w:val="single" w:sz="6" w:space="0" w:color="auto"/>
              <w:right w:val="single" w:sz="6" w:space="0" w:color="auto"/>
            </w:tcBorders>
          </w:tcPr>
          <w:p w:rsidR="00CE4097" w:rsidRPr="000E3937" w:rsidRDefault="00CE4097" w:rsidP="00C71069">
            <w:pPr>
              <w:pStyle w:val="Tabletext"/>
              <w:jc w:val="center"/>
              <w:rPr>
                <w:lang w:val="fr-CH"/>
              </w:rPr>
            </w:pPr>
            <w:r w:rsidRPr="000E3937">
              <w:rPr>
                <w:i/>
                <w:szCs w:val="22"/>
                <w:lang w:val="fr-CH"/>
              </w:rPr>
              <w:t>19,5</w:t>
            </w:r>
          </w:p>
        </w:tc>
      </w:tr>
    </w:tbl>
    <w:p w:rsidR="00CE4097" w:rsidRDefault="00CE4097" w:rsidP="00CE4097">
      <w:pPr>
        <w:pStyle w:val="Tablefin"/>
        <w:rPr>
          <w:lang w:val="fr-CH"/>
        </w:rPr>
      </w:pPr>
    </w:p>
    <w:p w:rsidR="00CE4097" w:rsidRDefault="00CE4097" w:rsidP="00CE4097">
      <w:pPr>
        <w:rPr>
          <w:lang w:val="fr-CH"/>
        </w:rPr>
      </w:pPr>
      <w:r>
        <w:rPr>
          <w:lang w:val="fr-CH"/>
        </w:rPr>
        <w:t>On notera que l'affaiblissement dans l'atmosphère peut être inférieur à 3 dB dans certaines conditions climatiques pour des angles d'élévation importants.</w:t>
      </w:r>
    </w:p>
    <w:p w:rsidR="00CE4097" w:rsidRDefault="00CE4097" w:rsidP="00CE4097">
      <w:pPr>
        <w:rPr>
          <w:lang w:val="fr-CH"/>
        </w:rPr>
      </w:pPr>
      <w:r>
        <w:rPr>
          <w:lang w:val="fr-CH"/>
        </w:rPr>
        <w:t>On a procédé à diverses simulations pour évaluer le brouillage en pourcentage du temps dans le cas d'un SRD suivant un satellite en orbite terrestre basse (LEO). Pour analyser le brouillage en pourcentage du temps, il est nécessaire de simuler le vol orbital du satellite LEO. Divers angles d'inclinaison des systèmes LEO ont été considérés. Dans chaque cas, la valeur de longitude de la station de Terre retenue était telle que le SRD se trouvait dans le faisceau principal de l'antenne de la station de Terre, dirigé dans le plan horizontal.</w:t>
      </w:r>
    </w:p>
    <w:p w:rsidR="00CE4097" w:rsidRDefault="00CE4097" w:rsidP="00CE4097">
      <w:pPr>
        <w:rPr>
          <w:lang w:val="fr-CH"/>
        </w:rPr>
      </w:pPr>
      <w:r>
        <w:rPr>
          <w:lang w:val="fr-CH"/>
        </w:rPr>
        <w:t>On a procédé à trois simulations différentes, sur 100 jours, avec un pas de 0,1 min, et l'on a calculé, pour chaque pas considéré, la valeur du brouillage occasionné par rapport à la valeur observée dans le cas d'un couplage en ligne de visée au niveau du récepteur du SRD. Les résultats des séries de simulations sont représentés graphiquement à la Fig. 1. Ces trois configurations étaient les suivantes:</w:t>
      </w:r>
    </w:p>
    <w:p w:rsidR="00CE4097" w:rsidRDefault="00CE4097" w:rsidP="00CE4097">
      <w:pPr>
        <w:pStyle w:val="enumlev1"/>
        <w:rPr>
          <w:lang w:val="fr-CH"/>
        </w:rPr>
      </w:pPr>
      <w:r>
        <w:rPr>
          <w:i/>
          <w:lang w:val="fr-CH"/>
        </w:rPr>
        <w:t>Cas 1</w:t>
      </w:r>
      <w:r>
        <w:rPr>
          <w:lang w:val="fr-CH"/>
        </w:rPr>
        <w:t>:</w:t>
      </w:r>
      <w:r>
        <w:rPr>
          <w:lang w:val="fr-CH"/>
        </w:rPr>
        <w:tab/>
        <w:t>satellite utilisateur en orbite basse, altitude: 300 km; inclinaison: 85</w:t>
      </w:r>
      <w:r w:rsidRPr="007011A7">
        <w:t>°</w:t>
      </w:r>
      <w:r>
        <w:rPr>
          <w:lang w:val="fr-CH"/>
        </w:rPr>
        <w:t>; latitude de la station du service fixe: 50</w:t>
      </w:r>
      <w:r w:rsidRPr="007011A7">
        <w:t>°</w:t>
      </w:r>
      <w:r>
        <w:rPr>
          <w:lang w:val="fr-CH"/>
        </w:rPr>
        <w:t>;</w:t>
      </w:r>
    </w:p>
    <w:p w:rsidR="00CE4097" w:rsidRDefault="00CE4097" w:rsidP="00CE4097">
      <w:pPr>
        <w:pStyle w:val="enumlev1"/>
        <w:rPr>
          <w:lang w:val="fr-CH"/>
        </w:rPr>
      </w:pPr>
      <w:r>
        <w:rPr>
          <w:i/>
          <w:lang w:val="fr-CH"/>
        </w:rPr>
        <w:t>Cas 2</w:t>
      </w:r>
      <w:r>
        <w:rPr>
          <w:lang w:val="fr-CH"/>
        </w:rPr>
        <w:t>:</w:t>
      </w:r>
      <w:r>
        <w:rPr>
          <w:lang w:val="fr-CH"/>
        </w:rPr>
        <w:tab/>
        <w:t>satellite utilisateur en orbite basse, altitude: 300 km; inclinaison: 65</w:t>
      </w:r>
      <w:r w:rsidRPr="007011A7">
        <w:t>°</w:t>
      </w:r>
      <w:r>
        <w:rPr>
          <w:lang w:val="fr-CH"/>
        </w:rPr>
        <w:t>; latitude de la station du service fixe: 60</w:t>
      </w:r>
      <w:r w:rsidRPr="007011A7">
        <w:t>°</w:t>
      </w:r>
      <w:r>
        <w:rPr>
          <w:lang w:val="fr-CH"/>
        </w:rPr>
        <w:t>;</w:t>
      </w:r>
    </w:p>
    <w:p w:rsidR="00CE4097" w:rsidRDefault="00CE4097" w:rsidP="00CE4097">
      <w:pPr>
        <w:pStyle w:val="enumlev1"/>
        <w:rPr>
          <w:lang w:val="fr-CH"/>
        </w:rPr>
      </w:pPr>
      <w:r>
        <w:rPr>
          <w:i/>
          <w:lang w:val="fr-CH"/>
        </w:rPr>
        <w:t>Cas 3</w:t>
      </w:r>
      <w:r>
        <w:rPr>
          <w:lang w:val="fr-CH"/>
        </w:rPr>
        <w:t>:</w:t>
      </w:r>
      <w:r>
        <w:rPr>
          <w:lang w:val="fr-CH"/>
        </w:rPr>
        <w:tab/>
        <w:t>satellite utilisateur en orbite basse, altitude: 300 km; inclinaison: 28,5</w:t>
      </w:r>
      <w:r w:rsidRPr="007011A7">
        <w:t>°</w:t>
      </w:r>
      <w:r>
        <w:rPr>
          <w:lang w:val="fr-CH"/>
        </w:rPr>
        <w:t>; latitude de la station du service fixe: 28,5</w:t>
      </w:r>
      <w:r w:rsidRPr="007011A7">
        <w:t>°</w:t>
      </w:r>
      <w:r>
        <w:rPr>
          <w:lang w:val="fr-CH"/>
        </w:rPr>
        <w:t>.</w:t>
      </w:r>
    </w:p>
    <w:p w:rsidR="00CE4097" w:rsidRDefault="00CE4097" w:rsidP="00CE4097">
      <w:pPr>
        <w:rPr>
          <w:lang w:val="fr-CH"/>
        </w:rPr>
      </w:pPr>
      <w:r>
        <w:rPr>
          <w:lang w:val="fr-CH"/>
        </w:rPr>
        <w:t>Les courbes de la Fig. 1 permettent de déterminer la densité spectrale de p.i.r.e. qui, dans des conditions de propagation en espace libre, garantira que la puissance brouilleuse reçue par le SRD ne dépasse pas la valeur de –148 dB(W/MHz) pendant plus de 0,1</w:t>
      </w:r>
      <w:r w:rsidRPr="007011A7">
        <w:t>%</w:t>
      </w:r>
      <w:r>
        <w:rPr>
          <w:lang w:val="fr-CH"/>
        </w:rPr>
        <w:t xml:space="preserve"> du temps. Les calculs sont résumés au Tableau 3. Ce Tableau montre que la densité spectrale de p.i.r.e. requise pour répondre aux critères est fonction des paramètres orbitaux du satellite LEO que le SRD suit et du lieu où se trouve la station d'émission du service fixe. Les valeurs acceptables de densité spectrale de p.i.r.e. </w:t>
      </w:r>
      <w:r>
        <w:rPr>
          <w:lang w:val="fr-CH"/>
        </w:rPr>
        <w:lastRenderedPageBreak/>
        <w:t>sont comprises entre 31,5 dB(W/MHz) dans le cas 1, et 17,5 dB(W/MHz) pour le cas 3. Aux fins de la présente Recommandation, une valeur unique de 24 dB(W/MHz) est acceptable. La densité spectrale de p.i.r.e. considérée est obtenue dans des conditions de propagation en espace libre.</w:t>
      </w:r>
    </w:p>
    <w:p w:rsidR="00CE4097" w:rsidRDefault="00CE4097" w:rsidP="00CE4097">
      <w:pPr>
        <w:rPr>
          <w:lang w:val="fr-CH"/>
        </w:rPr>
      </w:pPr>
      <w:r>
        <w:rPr>
          <w:lang w:val="fr-CH"/>
        </w:rPr>
        <w:t>Plusieurs conditions d'exploitation réduisent substantiellement la probabilité de brouillage entre le service fixe et les SRD, ainsi que les effets de ce type de brouillage:</w:t>
      </w:r>
    </w:p>
    <w:p w:rsidR="00CE4097" w:rsidRDefault="00CE4097" w:rsidP="00CE4097">
      <w:pPr>
        <w:pStyle w:val="enumlev1"/>
        <w:rPr>
          <w:lang w:val="fr-CH"/>
        </w:rPr>
      </w:pPr>
      <w:r>
        <w:rPr>
          <w:lang w:val="fr-CH"/>
        </w:rPr>
        <w:t>–</w:t>
      </w:r>
      <w:r>
        <w:rPr>
          <w:lang w:val="fr-CH"/>
        </w:rPr>
        <w:tab/>
        <w:t>la répartition des niveaux de densité de p.i.r.e. dans le service fixe (voir le § 2.1), qui donne à penser que, probablement, moins de 30</w:t>
      </w:r>
      <w:r w:rsidRPr="007011A7">
        <w:t>%</w:t>
      </w:r>
      <w:r>
        <w:rPr>
          <w:lang w:val="fr-CH"/>
        </w:rPr>
        <w:t xml:space="preserve"> des systèmes de ce service sont exploités au</w:t>
      </w:r>
      <w:r>
        <w:rPr>
          <w:lang w:val="fr-CH"/>
        </w:rPr>
        <w:noBreakHyphen/>
        <w:t xml:space="preserve">dessus de la limite </w:t>
      </w:r>
      <w:r w:rsidRPr="007011A7">
        <w:t>+</w:t>
      </w:r>
      <w:r>
        <w:rPr>
          <w:lang w:val="fr-CH"/>
        </w:rPr>
        <w:t>24 dB(W/MHz);</w:t>
      </w:r>
    </w:p>
    <w:p w:rsidR="00CE4097" w:rsidRDefault="00CE4097" w:rsidP="00CE4097">
      <w:pPr>
        <w:pStyle w:val="enumlev1"/>
        <w:rPr>
          <w:lang w:val="fr-CH"/>
        </w:rPr>
      </w:pPr>
      <w:r>
        <w:rPr>
          <w:lang w:val="fr-CH"/>
        </w:rPr>
        <w:t>–</w:t>
      </w:r>
      <w:r>
        <w:rPr>
          <w:lang w:val="fr-CH"/>
        </w:rPr>
        <w:tab/>
        <w:t>les différences d'utilisation des bandes de fréquences que l'on peut observer entre les systèmes du service fixe et les SRD (se reporter au Tableau 5), qui indiquent qu'en général seulement 4</w:t>
      </w:r>
      <w:r w:rsidRPr="007011A7">
        <w:t>%</w:t>
      </w:r>
      <w:r>
        <w:rPr>
          <w:lang w:val="fr-CH"/>
        </w:rPr>
        <w:t xml:space="preserve"> des phénomènes de couplage des faisceaux principaux occasionnent des brouillages;</w:t>
      </w:r>
    </w:p>
    <w:p w:rsidR="00CE4097" w:rsidRDefault="00CE4097" w:rsidP="00CE4097">
      <w:pPr>
        <w:pStyle w:val="enumlev1"/>
        <w:rPr>
          <w:lang w:val="fr-CH"/>
        </w:rPr>
      </w:pPr>
      <w:r>
        <w:rPr>
          <w:lang w:val="fr-CH"/>
        </w:rPr>
        <w:t>–</w:t>
      </w:r>
      <w:r>
        <w:rPr>
          <w:lang w:val="fr-CH"/>
        </w:rPr>
        <w:tab/>
        <w:t>le fait que les antennes des émetteurs du service fixe sont pointées à la fois selon un angle d'azimut aléatoire uniformément réparti entre 0</w:t>
      </w:r>
      <w:r w:rsidRPr="007011A7">
        <w:t>°</w:t>
      </w:r>
      <w:r>
        <w:rPr>
          <w:lang w:val="fr-CH"/>
        </w:rPr>
        <w:t xml:space="preserve"> et 360</w:t>
      </w:r>
      <w:r w:rsidRPr="007011A7">
        <w:t>°</w:t>
      </w:r>
      <w:r>
        <w:rPr>
          <w:lang w:val="fr-CH"/>
        </w:rPr>
        <w:t>, et selon un angle d'élévation aléatoire uniformément réparti entre 0</w:t>
      </w:r>
      <w:r w:rsidRPr="007011A7">
        <w:t>°</w:t>
      </w:r>
      <w:r>
        <w:rPr>
          <w:lang w:val="fr-CH"/>
        </w:rPr>
        <w:t xml:space="preserve"> et 5</w:t>
      </w:r>
      <w:r w:rsidRPr="007011A7">
        <w:t>°</w:t>
      </w:r>
      <w:r>
        <w:rPr>
          <w:lang w:val="fr-CH"/>
        </w:rPr>
        <w:t xml:space="preserve"> (se reporter aux § 3.1 et 3.3 de la présente Annexe), ce qui réduit encore la probabilité de couplage direct des faisceaux d'un facteur d'au moins 10</w:t>
      </w:r>
      <w:r w:rsidRPr="00014E49">
        <w:rPr>
          <w:vertAlign w:val="superscript"/>
        </w:rPr>
        <w:t>3</w:t>
      </w:r>
      <w:r>
        <w:rPr>
          <w:lang w:val="fr-CH"/>
        </w:rPr>
        <w:t>.</w:t>
      </w:r>
    </w:p>
    <w:p w:rsidR="00CE4097" w:rsidRDefault="00CE4097" w:rsidP="00CE4097">
      <w:r>
        <w:t>En fait, la probabilité de couplage direct des faisceaux est inférieure à 10</w:t>
      </w:r>
      <w:r>
        <w:rPr>
          <w:vertAlign w:val="superscript"/>
        </w:rPr>
        <w:t>–5</w:t>
      </w:r>
      <w:r>
        <w:t>.</w:t>
      </w:r>
    </w:p>
    <w:p w:rsidR="00587096" w:rsidRPr="00587096" w:rsidRDefault="00587096" w:rsidP="00587096">
      <w:pPr>
        <w:pStyle w:val="FigureNo"/>
        <w:rPr>
          <w:lang w:val="fr-CH"/>
        </w:rPr>
      </w:pPr>
      <w:r w:rsidRPr="00587096">
        <w:rPr>
          <w:lang w:val="fr-CH"/>
        </w:rPr>
        <w:t>figure 1</w:t>
      </w:r>
    </w:p>
    <w:p w:rsidR="00587096" w:rsidRPr="00587096" w:rsidRDefault="00587096" w:rsidP="00587096">
      <w:pPr>
        <w:pStyle w:val="Figuretitle"/>
        <w:rPr>
          <w:lang w:val="fr-CH"/>
        </w:rPr>
      </w:pPr>
      <w:r w:rsidRPr="00587096">
        <w:rPr>
          <w:lang w:val="fr-CH"/>
        </w:rPr>
        <w:t>Pourcentage de temps pendant lequel la puissance brouilleuse</w:t>
      </w:r>
      <w:r w:rsidRPr="00587096">
        <w:rPr>
          <w:lang w:val="fr-CH"/>
        </w:rPr>
        <w:br/>
      </w:r>
      <w:r>
        <w:rPr>
          <w:lang w:val="fr-CH"/>
        </w:rPr>
        <w:t>relative est dépassée</w:t>
      </w:r>
    </w:p>
    <w:p w:rsidR="00587096" w:rsidRPr="00587096" w:rsidRDefault="00587096" w:rsidP="00587096">
      <w:pPr>
        <w:pStyle w:val="Figure"/>
        <w:rPr>
          <w:lang w:val="fr-CH"/>
        </w:rPr>
      </w:pPr>
      <w:r>
        <w:rPr>
          <w:lang w:val="en-US"/>
        </w:rPr>
        <w:object w:dxaOrig="3963" w:dyaOrig="2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238.15pt;mso-position-horizontal:absolute;mso-position-vertical:absolute" o:ole="">
            <v:imagedata r:id="rId14" o:title=""/>
          </v:shape>
          <o:OLEObject Type="Embed" ProgID="CorelDRAW.Graphic.14" ShapeID="_x0000_i1025" DrawAspect="Content" ObjectID="_1470033685" r:id="rId15"/>
        </w:object>
      </w:r>
    </w:p>
    <w:p w:rsidR="00CE4097" w:rsidRDefault="00CE4097" w:rsidP="00CE4097">
      <w:pPr>
        <w:pStyle w:val="TableNo"/>
      </w:pPr>
      <w:bookmarkStart w:id="12" w:name="_Toc392920248"/>
      <w:r>
        <w:lastRenderedPageBreak/>
        <w:t>TABLEAU  3</w:t>
      </w:r>
    </w:p>
    <w:p w:rsidR="00CE4097" w:rsidRDefault="00CE4097" w:rsidP="00CE4097">
      <w:pPr>
        <w:pStyle w:val="Tabletitle"/>
      </w:pPr>
      <w:r>
        <w:t xml:space="preserve">Résumé des calculs permettant de déterminer la valeur acceptable de densité spectrale </w:t>
      </w:r>
      <w:r>
        <w:br/>
        <w:t>de p.i.r.e. des émissions des stations du service fixe en direction d'un SRD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CE4097" w:rsidTr="008E70F1">
        <w:trPr>
          <w:jc w:val="center"/>
        </w:trPr>
        <w:tc>
          <w:tcPr>
            <w:tcW w:w="851" w:type="dxa"/>
            <w:vAlign w:val="center"/>
          </w:tcPr>
          <w:p w:rsidR="00CE4097" w:rsidRPr="00763FEA" w:rsidRDefault="00CE4097" w:rsidP="008E70F1">
            <w:pPr>
              <w:pStyle w:val="Tablehead"/>
              <w:rPr>
                <w:rFonts w:asciiTheme="majorBidi" w:hAnsiTheme="majorBidi" w:cstheme="majorBidi"/>
              </w:rPr>
            </w:pPr>
            <w:r w:rsidRPr="00763FEA">
              <w:rPr>
                <w:rFonts w:asciiTheme="majorBidi" w:hAnsiTheme="majorBidi" w:cstheme="majorBidi"/>
              </w:rPr>
              <w:t>Cas</w:t>
            </w:r>
          </w:p>
        </w:tc>
        <w:tc>
          <w:tcPr>
            <w:tcW w:w="3119" w:type="dxa"/>
            <w:vAlign w:val="center"/>
          </w:tcPr>
          <w:p w:rsidR="00CE4097" w:rsidRPr="00763FEA" w:rsidRDefault="00CE4097" w:rsidP="008E70F1">
            <w:pPr>
              <w:pStyle w:val="Tablehead"/>
              <w:rPr>
                <w:rFonts w:asciiTheme="majorBidi" w:hAnsiTheme="majorBidi" w:cstheme="majorBidi"/>
              </w:rPr>
            </w:pPr>
            <w:r w:rsidRPr="00763FEA">
              <w:rPr>
                <w:rFonts w:asciiTheme="majorBidi" w:hAnsiTheme="majorBidi" w:cstheme="majorBidi"/>
              </w:rPr>
              <w:t>Niveau de puissance par rapport au faisceau principal au percentile 0,1</w:t>
            </w:r>
            <w:r w:rsidRPr="00DC454F">
              <w:rPr>
                <w:rFonts w:ascii="Symbol" w:hAnsi="Symbol" w:cstheme="majorBidi"/>
              </w:rPr>
              <w:t></w:t>
            </w:r>
            <w:r w:rsidRPr="00763FEA">
              <w:rPr>
                <w:rFonts w:asciiTheme="majorBidi" w:hAnsiTheme="majorBidi" w:cstheme="majorBidi"/>
              </w:rPr>
              <w:t xml:space="preserve"> </w:t>
            </w:r>
            <w:r>
              <w:rPr>
                <w:rFonts w:asciiTheme="majorBidi" w:hAnsiTheme="majorBidi" w:cstheme="majorBidi"/>
              </w:rPr>
              <w:br/>
            </w:r>
            <w:r w:rsidRPr="00763FEA">
              <w:rPr>
                <w:rFonts w:asciiTheme="majorBidi" w:hAnsiTheme="majorBidi" w:cstheme="majorBidi"/>
              </w:rPr>
              <w:t xml:space="preserve">(voir la Fig. 1) </w:t>
            </w:r>
            <w:r w:rsidRPr="00763FEA">
              <w:rPr>
                <w:rFonts w:asciiTheme="majorBidi" w:hAnsiTheme="majorBidi" w:cstheme="majorBidi"/>
              </w:rPr>
              <w:br/>
              <w:t>(dB)</w:t>
            </w:r>
          </w:p>
        </w:tc>
        <w:tc>
          <w:tcPr>
            <w:tcW w:w="2552" w:type="dxa"/>
            <w:vAlign w:val="center"/>
          </w:tcPr>
          <w:p w:rsidR="00CE4097" w:rsidRPr="00763FEA" w:rsidRDefault="00CE4097" w:rsidP="008E70F1">
            <w:pPr>
              <w:pStyle w:val="Tablehead"/>
              <w:rPr>
                <w:rFonts w:asciiTheme="majorBidi" w:hAnsiTheme="majorBidi" w:cstheme="majorBidi"/>
              </w:rPr>
            </w:pPr>
            <w:r w:rsidRPr="00763FEA">
              <w:rPr>
                <w:rFonts w:asciiTheme="majorBidi" w:hAnsiTheme="majorBidi" w:cstheme="majorBidi"/>
              </w:rPr>
              <w:t>Densité de p.i.r.e. pour</w:t>
            </w:r>
            <w:r w:rsidRPr="00763FEA">
              <w:rPr>
                <w:rFonts w:asciiTheme="majorBidi" w:hAnsiTheme="majorBidi" w:cstheme="majorBidi"/>
              </w:rPr>
              <w:br/>
            </w:r>
            <w:r w:rsidRPr="00763FEA">
              <w:rPr>
                <w:rFonts w:asciiTheme="majorBidi" w:hAnsiTheme="majorBidi" w:cstheme="majorBidi"/>
                <w:i/>
              </w:rPr>
              <w:t>I</w:t>
            </w:r>
            <w:r w:rsidRPr="00763FEA">
              <w:rPr>
                <w:rFonts w:asciiTheme="majorBidi" w:hAnsiTheme="majorBidi" w:cstheme="majorBidi"/>
              </w:rPr>
              <w:t xml:space="preserve"> </w:t>
            </w:r>
            <w:r w:rsidRPr="00763FEA">
              <w:rPr>
                <w:rFonts w:ascii="Symbol" w:hAnsi="Symbol" w:cstheme="majorBidi"/>
              </w:rPr>
              <w:t></w:t>
            </w:r>
            <w:r w:rsidRPr="00763FEA">
              <w:rPr>
                <w:rFonts w:asciiTheme="majorBidi" w:hAnsiTheme="majorBidi" w:cstheme="majorBidi"/>
              </w:rPr>
              <w:t xml:space="preserve"> –148 dB(W/MHz)</w:t>
            </w:r>
          </w:p>
        </w:tc>
        <w:tc>
          <w:tcPr>
            <w:tcW w:w="2552" w:type="dxa"/>
            <w:vAlign w:val="center"/>
          </w:tcPr>
          <w:p w:rsidR="00CE4097" w:rsidRPr="00763FEA" w:rsidRDefault="00CE4097" w:rsidP="008E70F1">
            <w:pPr>
              <w:pStyle w:val="Tablehead"/>
              <w:rPr>
                <w:rFonts w:asciiTheme="majorBidi" w:hAnsiTheme="majorBidi" w:cstheme="majorBidi"/>
              </w:rPr>
            </w:pPr>
            <w:r w:rsidRPr="00763FEA">
              <w:rPr>
                <w:rFonts w:asciiTheme="majorBidi" w:hAnsiTheme="majorBidi" w:cstheme="majorBidi"/>
              </w:rPr>
              <w:t>Densité</w:t>
            </w:r>
            <w:r w:rsidRPr="00763FEA">
              <w:rPr>
                <w:rFonts w:asciiTheme="majorBidi" w:hAnsiTheme="majorBidi" w:cstheme="majorBidi"/>
              </w:rPr>
              <w:br/>
              <w:t>de p.i.r.e. acceptable</w:t>
            </w:r>
            <w:r w:rsidRPr="00763FEA">
              <w:rPr>
                <w:rFonts w:asciiTheme="majorBidi" w:hAnsiTheme="majorBidi" w:cstheme="majorBidi"/>
              </w:rPr>
              <w:br/>
              <w:t>(dB(W/MHz))</w:t>
            </w:r>
          </w:p>
        </w:tc>
      </w:tr>
      <w:tr w:rsidR="00CE4097" w:rsidTr="008E70F1">
        <w:trPr>
          <w:jc w:val="center"/>
        </w:trPr>
        <w:tc>
          <w:tcPr>
            <w:tcW w:w="851" w:type="dxa"/>
          </w:tcPr>
          <w:p w:rsidR="00CE4097" w:rsidRDefault="00CE4097" w:rsidP="008E70F1">
            <w:pPr>
              <w:pStyle w:val="Tabletext"/>
              <w:jc w:val="center"/>
            </w:pPr>
            <w:r>
              <w:t>1</w:t>
            </w:r>
          </w:p>
        </w:tc>
        <w:tc>
          <w:tcPr>
            <w:tcW w:w="3119" w:type="dxa"/>
          </w:tcPr>
          <w:p w:rsidR="00CE4097" w:rsidRDefault="00CE4097" w:rsidP="008E70F1">
            <w:pPr>
              <w:pStyle w:val="Tabletext"/>
              <w:jc w:val="center"/>
            </w:pPr>
            <w:r>
              <w:t>–18</w:t>
            </w:r>
          </w:p>
        </w:tc>
        <w:tc>
          <w:tcPr>
            <w:tcW w:w="2552" w:type="dxa"/>
          </w:tcPr>
          <w:p w:rsidR="00CE4097" w:rsidRDefault="00CE4097" w:rsidP="008E70F1">
            <w:pPr>
              <w:pStyle w:val="Tabletext"/>
              <w:jc w:val="center"/>
            </w:pPr>
            <w:r>
              <w:t>13,5</w:t>
            </w:r>
          </w:p>
        </w:tc>
        <w:tc>
          <w:tcPr>
            <w:tcW w:w="2552" w:type="dxa"/>
          </w:tcPr>
          <w:p w:rsidR="00CE4097" w:rsidRDefault="00CE4097" w:rsidP="008E70F1">
            <w:pPr>
              <w:pStyle w:val="Tabletext"/>
              <w:jc w:val="center"/>
            </w:pPr>
            <w:r>
              <w:t>31,5</w:t>
            </w:r>
          </w:p>
        </w:tc>
      </w:tr>
      <w:tr w:rsidR="00CE4097" w:rsidTr="008E70F1">
        <w:trPr>
          <w:jc w:val="center"/>
        </w:trPr>
        <w:tc>
          <w:tcPr>
            <w:tcW w:w="851" w:type="dxa"/>
          </w:tcPr>
          <w:p w:rsidR="00CE4097" w:rsidRDefault="00CE4097" w:rsidP="008E70F1">
            <w:pPr>
              <w:pStyle w:val="Tabletext"/>
              <w:jc w:val="center"/>
            </w:pPr>
            <w:r>
              <w:t>2</w:t>
            </w:r>
          </w:p>
        </w:tc>
        <w:tc>
          <w:tcPr>
            <w:tcW w:w="3119" w:type="dxa"/>
          </w:tcPr>
          <w:p w:rsidR="00CE4097" w:rsidRDefault="00CE4097" w:rsidP="008E70F1">
            <w:pPr>
              <w:pStyle w:val="Tabletext"/>
              <w:jc w:val="center"/>
            </w:pPr>
            <w:r>
              <w:t>–9</w:t>
            </w:r>
          </w:p>
        </w:tc>
        <w:tc>
          <w:tcPr>
            <w:tcW w:w="2552" w:type="dxa"/>
          </w:tcPr>
          <w:p w:rsidR="00CE4097" w:rsidRDefault="00CE4097" w:rsidP="008E70F1">
            <w:pPr>
              <w:pStyle w:val="Tabletext"/>
              <w:jc w:val="center"/>
            </w:pPr>
            <w:r>
              <w:t>13,5</w:t>
            </w:r>
          </w:p>
        </w:tc>
        <w:tc>
          <w:tcPr>
            <w:tcW w:w="2552" w:type="dxa"/>
          </w:tcPr>
          <w:p w:rsidR="00CE4097" w:rsidRDefault="00CE4097" w:rsidP="008E70F1">
            <w:pPr>
              <w:pStyle w:val="Tabletext"/>
              <w:jc w:val="center"/>
            </w:pPr>
            <w:r>
              <w:t>22,5</w:t>
            </w:r>
          </w:p>
        </w:tc>
      </w:tr>
      <w:tr w:rsidR="00CE4097" w:rsidTr="008E70F1">
        <w:trPr>
          <w:jc w:val="center"/>
        </w:trPr>
        <w:tc>
          <w:tcPr>
            <w:tcW w:w="851" w:type="dxa"/>
          </w:tcPr>
          <w:p w:rsidR="00CE4097" w:rsidRDefault="00CE4097" w:rsidP="008E70F1">
            <w:pPr>
              <w:pStyle w:val="Tabletext"/>
              <w:jc w:val="center"/>
            </w:pPr>
            <w:r>
              <w:t>3</w:t>
            </w:r>
          </w:p>
        </w:tc>
        <w:tc>
          <w:tcPr>
            <w:tcW w:w="3119" w:type="dxa"/>
          </w:tcPr>
          <w:p w:rsidR="00CE4097" w:rsidRDefault="00CE4097" w:rsidP="008E70F1">
            <w:pPr>
              <w:pStyle w:val="Tabletext"/>
              <w:jc w:val="center"/>
            </w:pPr>
            <w:r>
              <w:t>–4</w:t>
            </w:r>
          </w:p>
        </w:tc>
        <w:tc>
          <w:tcPr>
            <w:tcW w:w="2552" w:type="dxa"/>
          </w:tcPr>
          <w:p w:rsidR="00CE4097" w:rsidRDefault="00CE4097" w:rsidP="008E70F1">
            <w:pPr>
              <w:pStyle w:val="Tabletext"/>
              <w:jc w:val="center"/>
            </w:pPr>
            <w:r>
              <w:t>13,5</w:t>
            </w:r>
          </w:p>
        </w:tc>
        <w:tc>
          <w:tcPr>
            <w:tcW w:w="2552" w:type="dxa"/>
          </w:tcPr>
          <w:p w:rsidR="00CE4097" w:rsidRDefault="00CE4097" w:rsidP="008E70F1">
            <w:pPr>
              <w:pStyle w:val="Tabletext"/>
              <w:jc w:val="center"/>
            </w:pPr>
            <w:r>
              <w:t>17,5</w:t>
            </w:r>
          </w:p>
        </w:tc>
      </w:tr>
    </w:tbl>
    <w:p w:rsidR="00CE4097" w:rsidRPr="00DB53E2" w:rsidRDefault="00CE4097" w:rsidP="00CE4097">
      <w:pPr>
        <w:pStyle w:val="Heading2"/>
      </w:pPr>
      <w:r w:rsidRPr="00AA28C8">
        <w:rPr>
          <w:lang w:val="fr-CH"/>
        </w:rPr>
        <w:t>3.3</w:t>
      </w:r>
      <w:r w:rsidRPr="00AA28C8">
        <w:rPr>
          <w:lang w:val="fr-CH"/>
        </w:rPr>
        <w:tab/>
        <w:t>Brouillage cumulatif</w:t>
      </w:r>
      <w:bookmarkEnd w:id="12"/>
    </w:p>
    <w:p w:rsidR="00CE4097" w:rsidRDefault="00CE4097" w:rsidP="00CE4097">
      <w:r>
        <w:t>La densité maximale de p.i.r.e. a été calculée à partir de la plus élevée des valeurs retenues pour chaque distribution des densités de puissance émise en direction des SRD par les systèmes du service fixe (voir le § 2.1 de la présente Annexe). La moyenne pondérée la plus défavorable donne en l'occurrence un niveau de densité de p.i.r.e. de 36,2 dB(W/MHz), comme l'indique le Tableau 4.</w:t>
      </w:r>
    </w:p>
    <w:p w:rsidR="00CE4097" w:rsidRPr="0041105F" w:rsidRDefault="00CE4097" w:rsidP="00CE4097">
      <w:pPr>
        <w:pStyle w:val="TableNo"/>
      </w:pPr>
      <w:r>
        <w:t xml:space="preserve">TABLEAU  </w:t>
      </w:r>
      <w:r w:rsidRPr="0041105F">
        <w:t>4</w:t>
      </w:r>
    </w:p>
    <w:p w:rsidR="00CE4097" w:rsidRPr="0041105F" w:rsidRDefault="00CE4097" w:rsidP="00CE4097">
      <w:pPr>
        <w:pStyle w:val="Tabletitle"/>
      </w:pPr>
      <w:r w:rsidRPr="0041105F">
        <w:rPr>
          <w:szCs w:val="24"/>
        </w:rPr>
        <w:t>Répartition estimative des niveaux de densité</w:t>
      </w:r>
      <w:r w:rsidRPr="0041105F">
        <w:rPr>
          <w:szCs w:val="24"/>
        </w:rPr>
        <w:br/>
        <w:t>de p.i.r.e. rayonnée par le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68"/>
        <w:gridCol w:w="2268"/>
        <w:gridCol w:w="2268"/>
      </w:tblGrid>
      <w:tr w:rsidR="00CE4097" w:rsidRPr="000E3937" w:rsidTr="008E70F1">
        <w:trPr>
          <w:cantSplit/>
          <w:jc w:val="center"/>
        </w:trPr>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Pr>
                <w:szCs w:val="22"/>
              </w:rPr>
              <w:t>50%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26 dB(W/MHz)</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398 W/MHz</w:t>
            </w:r>
          </w:p>
        </w:tc>
      </w:tr>
      <w:tr w:rsidR="00CE4097" w:rsidRPr="000E3937" w:rsidTr="008E70F1">
        <w:trPr>
          <w:cantSplit/>
          <w:jc w:val="center"/>
        </w:trPr>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Pr>
                <w:szCs w:val="22"/>
              </w:rPr>
              <w:t>40%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33 dB(W/MHz)</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1 995 W/MHz</w:t>
            </w:r>
          </w:p>
        </w:tc>
      </w:tr>
      <w:tr w:rsidR="00CE4097" w:rsidRPr="000E3937" w:rsidTr="008E70F1">
        <w:trPr>
          <w:cantSplit/>
          <w:jc w:val="center"/>
        </w:trPr>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Pr>
                <w:szCs w:val="22"/>
              </w:rPr>
              <w:t>10%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45 dB(W/MHz)</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31 623 W/MHz</w:t>
            </w:r>
          </w:p>
        </w:tc>
      </w:tr>
      <w:tr w:rsidR="00CE4097" w:rsidRPr="000E3937" w:rsidTr="008E70F1">
        <w:trPr>
          <w:cantSplit/>
          <w:jc w:val="center"/>
        </w:trPr>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pPr>
            <w:r w:rsidRPr="000E3937">
              <w:rPr>
                <w:szCs w:val="22"/>
              </w:rPr>
              <w:t>Moyenne pondérée</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jc w:val="center"/>
              <w:rPr>
                <w:sz w:val="22"/>
                <w:szCs w:val="22"/>
              </w:rPr>
            </w:pP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587096">
            <w:pPr>
              <w:pStyle w:val="Tabletext"/>
              <w:jc w:val="center"/>
              <w:rPr>
                <w:lang w:val="en-US"/>
              </w:rPr>
            </w:pPr>
            <w:r w:rsidRPr="000E3937">
              <w:rPr>
                <w:szCs w:val="22"/>
                <w:lang w:val="en-US"/>
              </w:rPr>
              <w:t>36,19 dB(W/MHz)</w:t>
            </w:r>
          </w:p>
        </w:tc>
      </w:tr>
    </w:tbl>
    <w:p w:rsidR="00CE4097" w:rsidRDefault="00CE4097" w:rsidP="00CE4097">
      <w:pPr>
        <w:pStyle w:val="Tablefin"/>
      </w:pPr>
    </w:p>
    <w:p w:rsidR="00587096" w:rsidRDefault="00587096" w:rsidP="00587096">
      <w:r>
        <w:t>Le nombre de signaux brouilleurs présents dans un même canal a été déterminé à partir du modèle de répartition du § 2.1 de la présente Annexe. On estime que pas moins de 100</w:t>
      </w:r>
      <w:r>
        <w:rPr>
          <w:rFonts w:ascii="Tms Rmn" w:hAnsi="Tms Rmn"/>
          <w:sz w:val="12"/>
        </w:rPr>
        <w:t> </w:t>
      </w:r>
      <w:r>
        <w:t>000 émetteurs du service fixe peuvent être en exploitation dans la bande 25,25</w:t>
      </w:r>
      <w:r>
        <w:noBreakHyphen/>
        <w:t>27,5 GHz dans le monde entier. Sur la base du «Plan allemand» pris pour exemple dans la Recommandation UIT</w:t>
      </w:r>
      <w:r>
        <w:noBreakHyphen/>
        <w:t>R F.748, on peut supposer qu'il y a:</w:t>
      </w:r>
    </w:p>
    <w:p w:rsidR="00587096" w:rsidRDefault="00587096" w:rsidP="00587096">
      <w:pPr>
        <w:pStyle w:val="enumlev1"/>
      </w:pPr>
      <w:r>
        <w:t>–</w:t>
      </w:r>
      <w:r>
        <w:tab/>
        <w:t>50</w:t>
      </w:r>
      <w:r>
        <w:rPr>
          <w:rFonts w:ascii="Tms Rmn" w:hAnsi="Tms Rmn"/>
          <w:sz w:val="12"/>
        </w:rPr>
        <w:t> </w:t>
      </w:r>
      <w:r>
        <w:t>000 émetteurs dans la partie inférieure de la bande (25,56-26,06 GHz);</w:t>
      </w:r>
    </w:p>
    <w:p w:rsidR="00587096" w:rsidRDefault="00587096" w:rsidP="00587096">
      <w:pPr>
        <w:pStyle w:val="enumlev1"/>
      </w:pPr>
      <w:r>
        <w:t>–</w:t>
      </w:r>
      <w:r>
        <w:tab/>
        <w:t>50</w:t>
      </w:r>
      <w:r>
        <w:rPr>
          <w:rFonts w:ascii="Tms Rmn" w:hAnsi="Tms Rmn"/>
          <w:sz w:val="12"/>
        </w:rPr>
        <w:t> </w:t>
      </w:r>
      <w:r>
        <w:t>000 émetteurs dans la partie supérieure de la bande (26,68-27,18 GHz).</w:t>
      </w:r>
    </w:p>
    <w:p w:rsidR="00CE4097" w:rsidRDefault="00CE4097" w:rsidP="00CE4097">
      <w:r>
        <w:t>La répartition des canaux utilisés dans les simulations de Monte Carlo est précisée au Tableau 5 pour une largeur de bande totale de 500 MHz dans le «Plan allemand». Sur un nombre total de 100</w:t>
      </w:r>
      <w:r>
        <w:rPr>
          <w:sz w:val="12"/>
        </w:rPr>
        <w:t> </w:t>
      </w:r>
      <w:r>
        <w:t>000 émetteurs en place dans le monde, on pourrait dénombrer au total, dans une bande quelconque de 1 MHz, 2</w:t>
      </w:r>
      <w:r>
        <w:rPr>
          <w:sz w:val="12"/>
        </w:rPr>
        <w:t> </w:t>
      </w:r>
      <w:r>
        <w:t>001 émetteurs fonctionnant dans le même canal.</w:t>
      </w:r>
    </w:p>
    <w:p w:rsidR="00CE4097" w:rsidRPr="0041105F" w:rsidRDefault="00CE4097" w:rsidP="00CE4097">
      <w:pPr>
        <w:pStyle w:val="TableNo"/>
      </w:pPr>
      <w:r w:rsidRPr="0041105F">
        <w:lastRenderedPageBreak/>
        <w:t>TABLEAU</w:t>
      </w:r>
      <w:r>
        <w:t xml:space="preserve"> </w:t>
      </w:r>
      <w:r w:rsidRPr="0041105F">
        <w:t xml:space="preserve"> 5</w:t>
      </w:r>
    </w:p>
    <w:p w:rsidR="00CE4097" w:rsidRPr="0041105F" w:rsidRDefault="00CE4097" w:rsidP="00CE4097">
      <w:pPr>
        <w:pStyle w:val="Tabletitle"/>
      </w:pPr>
      <w:r w:rsidRPr="0041105F">
        <w:rPr>
          <w:szCs w:val="24"/>
        </w:rPr>
        <w:t xml:space="preserve">Répartition estimative des largeurs de bande de canal utilisées </w:t>
      </w:r>
      <w:r>
        <w:rPr>
          <w:szCs w:val="24"/>
        </w:rPr>
        <w:br/>
      </w:r>
      <w:r w:rsidRPr="0041105F">
        <w:rPr>
          <w:szCs w:val="24"/>
        </w:rPr>
        <w:t>par</w:t>
      </w:r>
      <w:r>
        <w:rPr>
          <w:szCs w:val="24"/>
        </w:rPr>
        <w:t xml:space="preserve"> </w:t>
      </w:r>
      <w:r w:rsidRPr="0041105F">
        <w:rPr>
          <w:szCs w:val="24"/>
        </w:rPr>
        <w:t>les stations point à point du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43"/>
        <w:gridCol w:w="1559"/>
        <w:gridCol w:w="1701"/>
        <w:gridCol w:w="2268"/>
      </w:tblGrid>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CE4097" w:rsidRPr="000E3937" w:rsidRDefault="00CE4097" w:rsidP="008E70F1">
            <w:pPr>
              <w:pStyle w:val="Tablehead"/>
            </w:pPr>
            <w:r w:rsidRPr="000E3937">
              <w:t>Largeur de bande par canal</w:t>
            </w:r>
            <w:r w:rsidRPr="000E3937">
              <w:br/>
              <w:t>(MHz)</w:t>
            </w:r>
          </w:p>
        </w:tc>
        <w:tc>
          <w:tcPr>
            <w:tcW w:w="1559" w:type="dxa"/>
            <w:tcBorders>
              <w:top w:val="single" w:sz="6" w:space="0" w:color="auto"/>
              <w:left w:val="single" w:sz="6" w:space="0" w:color="auto"/>
              <w:bottom w:val="single" w:sz="6" w:space="0" w:color="auto"/>
              <w:right w:val="single" w:sz="6" w:space="0" w:color="auto"/>
            </w:tcBorders>
            <w:vAlign w:val="center"/>
          </w:tcPr>
          <w:p w:rsidR="00CE4097" w:rsidRPr="000E3937" w:rsidRDefault="00CE4097" w:rsidP="008E70F1">
            <w:pPr>
              <w:pStyle w:val="Tablehead"/>
            </w:pPr>
            <w:r>
              <w:t>Utilisation estimée</w:t>
            </w:r>
            <w:r>
              <w:br/>
            </w:r>
            <w:r w:rsidRPr="0041105F">
              <w:rPr>
                <w:lang w:val="fr-CH"/>
              </w:rPr>
              <w:t>(%)</w:t>
            </w:r>
          </w:p>
        </w:tc>
        <w:tc>
          <w:tcPr>
            <w:tcW w:w="1701" w:type="dxa"/>
            <w:tcBorders>
              <w:top w:val="single" w:sz="6" w:space="0" w:color="auto"/>
              <w:left w:val="single" w:sz="6" w:space="0" w:color="auto"/>
              <w:bottom w:val="single" w:sz="6" w:space="0" w:color="auto"/>
              <w:right w:val="single" w:sz="6" w:space="0" w:color="auto"/>
            </w:tcBorders>
            <w:vAlign w:val="center"/>
          </w:tcPr>
          <w:p w:rsidR="00CE4097" w:rsidRPr="000E3937" w:rsidRDefault="00CE4097" w:rsidP="008E70F1">
            <w:pPr>
              <w:pStyle w:val="Tablehead"/>
            </w:pPr>
            <w:r w:rsidRPr="000E3937">
              <w:t>Nombre,</w:t>
            </w:r>
            <w:r w:rsidRPr="000E3937">
              <w:br/>
              <w:t>sur 50 000</w:t>
            </w:r>
          </w:p>
        </w:tc>
        <w:tc>
          <w:tcPr>
            <w:tcW w:w="2268" w:type="dxa"/>
            <w:tcBorders>
              <w:top w:val="single" w:sz="6" w:space="0" w:color="auto"/>
              <w:left w:val="single" w:sz="6" w:space="0" w:color="auto"/>
              <w:bottom w:val="single" w:sz="6" w:space="0" w:color="auto"/>
              <w:right w:val="single" w:sz="6" w:space="0" w:color="auto"/>
            </w:tcBorders>
            <w:vAlign w:val="center"/>
          </w:tcPr>
          <w:p w:rsidR="00CE4097" w:rsidRPr="000E3937" w:rsidRDefault="00CE4097" w:rsidP="008E70F1">
            <w:pPr>
              <w:pStyle w:val="Tablehead"/>
            </w:pPr>
            <w:r w:rsidRPr="000E3937">
              <w:t>Nombre de stations</w:t>
            </w:r>
            <w:r w:rsidRPr="000E3937">
              <w:br/>
              <w:t>fonctionnant dans</w:t>
            </w:r>
            <w:r w:rsidRPr="000E3937">
              <w:br/>
              <w:t>le même canal</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112</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625</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56</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312</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28</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10</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5 000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312</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14</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30</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15 000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428</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7</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30</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15 000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210</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3,5</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15</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7 500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106</w:t>
            </w:r>
          </w:p>
        </w:tc>
      </w:tr>
      <w:tr w:rsidR="00CE4097" w:rsidRPr="000E3937" w:rsidTr="008E70F1">
        <w:trPr>
          <w:cantSplit/>
          <w:jc w:val="center"/>
        </w:trPr>
        <w:tc>
          <w:tcPr>
            <w:tcW w:w="1843"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1,75</w:t>
            </w:r>
          </w:p>
        </w:tc>
        <w:tc>
          <w:tcPr>
            <w:tcW w:w="1559"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center"/>
            </w:pPr>
            <w:r w:rsidRPr="000E3937">
              <w:rPr>
                <w:szCs w:val="22"/>
              </w:rPr>
              <w:t>8</w:t>
            </w:r>
          </w:p>
        </w:tc>
      </w:tr>
      <w:tr w:rsidR="00CE4097" w:rsidRPr="000E3937" w:rsidTr="008E70F1">
        <w:trPr>
          <w:cantSplit/>
          <w:jc w:val="center"/>
        </w:trPr>
        <w:tc>
          <w:tcPr>
            <w:tcW w:w="5103" w:type="dxa"/>
            <w:gridSpan w:val="3"/>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Tabletext"/>
              <w:jc w:val="right"/>
            </w:pPr>
            <w:r w:rsidRPr="000E3937">
              <w:rPr>
                <w:szCs w:val="22"/>
              </w:rPr>
              <w:t>Total</w:t>
            </w:r>
          </w:p>
        </w:tc>
        <w:tc>
          <w:tcPr>
            <w:tcW w:w="2268" w:type="dxa"/>
            <w:tcBorders>
              <w:top w:val="single" w:sz="6" w:space="0" w:color="auto"/>
              <w:left w:val="single" w:sz="6" w:space="0" w:color="auto"/>
              <w:bottom w:val="single" w:sz="6" w:space="0" w:color="auto"/>
              <w:right w:val="single" w:sz="6" w:space="0" w:color="auto"/>
            </w:tcBorders>
          </w:tcPr>
          <w:p w:rsidR="00CE4097" w:rsidRPr="000E3937" w:rsidRDefault="00CE4097" w:rsidP="00A76AF8">
            <w:pPr>
              <w:pStyle w:val="Index1"/>
              <w:tabs>
                <w:tab w:val="clear" w:pos="794"/>
                <w:tab w:val="clear" w:pos="1191"/>
                <w:tab w:val="clear" w:pos="1588"/>
                <w:tab w:val="right" w:pos="1311"/>
              </w:tabs>
              <w:jc w:val="center"/>
              <w:rPr>
                <w:sz w:val="22"/>
                <w:szCs w:val="22"/>
              </w:rPr>
            </w:pPr>
            <w:r w:rsidRPr="000E3937">
              <w:rPr>
                <w:sz w:val="22"/>
                <w:szCs w:val="22"/>
              </w:rPr>
              <w:t>2 001</w:t>
            </w:r>
          </w:p>
        </w:tc>
      </w:tr>
    </w:tbl>
    <w:p w:rsidR="00CE4097" w:rsidRDefault="00CE4097" w:rsidP="00CE4097">
      <w:pPr>
        <w:pStyle w:val="Tablefin"/>
      </w:pPr>
    </w:p>
    <w:p w:rsidR="00CE4097" w:rsidRDefault="00CE4097" w:rsidP="00CE4097">
      <w:r>
        <w:t>La répartition spatiale du brouillage est déterminée à partir d'une simulation de Monte Carlo dans laquelle on suppose que l'équivalent de 2</w:t>
      </w:r>
      <w:r>
        <w:rPr>
          <w:sz w:val="12"/>
        </w:rPr>
        <w:t> </w:t>
      </w:r>
      <w:r>
        <w:t>000 émetteurs du service fixe sont répartis autour des principales villes du monde. Les émetteurs fonctionnent dans le même canal avec une densité de p.i.r.e. moyenne de 36 dB(W/MHz), et les antennes du service fixe sont pointées selon des azimuts choisis de façon aléatoire et uniformément répartis entre 0</w:t>
      </w:r>
      <w:r w:rsidRPr="007011A7">
        <w:t>°</w:t>
      </w:r>
      <w:r>
        <w:t xml:space="preserve"> et 360</w:t>
      </w:r>
      <w:r w:rsidRPr="007011A7">
        <w:t>°</w:t>
      </w:r>
      <w:r>
        <w:t>. Les Fig. 2 et 3 représentent la densité cumulative de brouillage au niveau de deux SRD placés respectivement à 41</w:t>
      </w:r>
      <w:r w:rsidRPr="007011A7">
        <w:t>°</w:t>
      </w:r>
      <w:r>
        <w:t> O et à 174</w:t>
      </w:r>
      <w:r w:rsidRPr="007011A7">
        <w:t>°</w:t>
      </w:r>
      <w:r>
        <w:t> O, en fonction de l'angle de pointage de l'antenne du satellite (roulis et tangage).</w:t>
      </w:r>
    </w:p>
    <w:p w:rsidR="00CE4097" w:rsidRDefault="00CE4097" w:rsidP="00CE4097">
      <w:r>
        <w:t>Dans le cas du SRD en orbite à 41</w:t>
      </w:r>
      <w:r w:rsidRPr="007011A7">
        <w:t>°</w:t>
      </w:r>
      <w:r>
        <w:t> O (voir la Fig. 2), le niveau maximal cumulatif de brouillage est de</w:t>
      </w:r>
      <w:r w:rsidRPr="00014E49">
        <w:t xml:space="preserve"> –</w:t>
      </w:r>
      <w:r>
        <w:t>148 dB(W/MHz), de sorte que le critère de protection serait respecté sauf en cas de couplage des faisceaux principaux avec un seul émetteur du service fixe fonctionnant dans le même canal pouvant occasionner un brouillage dépassant le critère.</w:t>
      </w:r>
    </w:p>
    <w:p w:rsidR="00CE4097" w:rsidRDefault="00CE4097" w:rsidP="00CE4097">
      <w:r>
        <w:t>La Fig. 3 montre que dans le cas d'un SRD placé à 174</w:t>
      </w:r>
      <w:r w:rsidRPr="007011A7">
        <w:t>°</w:t>
      </w:r>
      <w:r>
        <w:t> O, le niveau maximal cumulatif de brouillage est de –149,5 dB(W/MHz), niveau inférieur de 1,5 dB au critère. Ici encore, le critère de protection serait respecté sauf en cas de phénomène de couplage des faisceaux principaux.</w:t>
      </w:r>
    </w:p>
    <w:p w:rsidR="00CE4097" w:rsidRDefault="00CE4097" w:rsidP="00CE4097">
      <w:r>
        <w:t xml:space="preserve">Les Fig. 2 et 3 montrent que le niveau cumulatif de brouillage résultant de la répartition aléatoire des faisceaux hertziens prise pour hypothèse dans les simulations de Monte Carlo ne semble pas occasionner de brouillages dépassant les critères définis dans la Recommandation UIT-R SA.1155. Pour conclure, on peut dire que le brouillage cumulatif occasionné aux SRD par les émissions de stations point à point du service fixe réparties de façon aléatoire ne dépassera pas la valeur de </w:t>
      </w:r>
      <w:r>
        <w:fldChar w:fldCharType="begin"/>
      </w:r>
      <w:r>
        <w:instrText xml:space="preserve"> EQ  –148 dB(W/MHz)</w:instrText>
      </w:r>
      <w:r>
        <w:fldChar w:fldCharType="end"/>
      </w:r>
      <w:r>
        <w:t>, et que les phénomènes de couplage des faisceaux principaux évoqués au § 3.2 se traduiront par des brouillages dépassant les critères définis dans la Recommandation UIT</w:t>
      </w:r>
      <w:r>
        <w:noBreakHyphen/>
        <w:t>R SA.1155.</w:t>
      </w:r>
    </w:p>
    <w:p w:rsidR="00447A50" w:rsidRPr="00CE2391" w:rsidRDefault="00447A50" w:rsidP="00447A50">
      <w:pPr>
        <w:pStyle w:val="FigureNo"/>
        <w:rPr>
          <w:noProof/>
          <w:lang w:val="fr-CH" w:eastAsia="zh-CN"/>
        </w:rPr>
      </w:pPr>
      <w:r w:rsidRPr="00CE2391">
        <w:rPr>
          <w:noProof/>
          <w:lang w:val="fr-CH" w:eastAsia="zh-CN"/>
        </w:rPr>
        <w:lastRenderedPageBreak/>
        <w:t>figure 2</w:t>
      </w:r>
    </w:p>
    <w:p w:rsidR="00447A50" w:rsidRPr="00447A50" w:rsidRDefault="00447A50" w:rsidP="00447A50">
      <w:pPr>
        <w:pStyle w:val="Figuretitle"/>
        <w:rPr>
          <w:lang w:val="fr-CH" w:eastAsia="zh-CN"/>
        </w:rPr>
      </w:pPr>
      <w:r w:rsidRPr="00447A50">
        <w:rPr>
          <w:lang w:val="fr-CH" w:eastAsia="zh-CN"/>
        </w:rPr>
        <w:t xml:space="preserve">Brouillage cumulatif (dB(W/MHz)) occasionné à un SRD situé à 41° </w:t>
      </w:r>
      <w:r>
        <w:rPr>
          <w:lang w:val="fr-CH" w:eastAsia="zh-CN"/>
        </w:rPr>
        <w:t>O</w:t>
      </w:r>
      <w:r w:rsidRPr="00447A50">
        <w:rPr>
          <w:lang w:val="fr-CH" w:eastAsia="zh-CN"/>
        </w:rPr>
        <w:t>,</w:t>
      </w:r>
      <w:r w:rsidRPr="00447A50">
        <w:rPr>
          <w:lang w:val="fr-CH" w:eastAsia="zh-CN"/>
        </w:rPr>
        <w:br/>
      </w:r>
      <w:r>
        <w:rPr>
          <w:lang w:val="fr-CH" w:eastAsia="zh-CN"/>
        </w:rPr>
        <w:t>en fonction des angles de pointage de l'antenne du satellite</w:t>
      </w:r>
    </w:p>
    <w:p w:rsidR="00CE4097" w:rsidRDefault="00CE2391" w:rsidP="00447A50">
      <w:pPr>
        <w:pStyle w:val="FigureNo"/>
        <w:keepNext w:val="0"/>
        <w:keepLines w:val="0"/>
        <w:spacing w:before="0"/>
      </w:pPr>
      <w:r>
        <w:rPr>
          <w:lang w:val="en-US" w:eastAsia="zh-CN"/>
        </w:rPr>
        <w:object w:dxaOrig="3984" w:dyaOrig="5652">
          <v:shape id="_x0000_i1050" type="#_x0000_t75" style="width:305.55pt;height:434.75pt;mso-position-horizontal:absolute" o:ole="">
            <v:imagedata r:id="rId16" o:title=""/>
          </v:shape>
          <o:OLEObject Type="Embed" ProgID="CorelDRAW.Graphic.14" ShapeID="_x0000_i1050" DrawAspect="Content" ObjectID="_1470033686" r:id="rId17"/>
        </w:object>
      </w:r>
    </w:p>
    <w:p w:rsidR="00CE4097" w:rsidRDefault="00CE4097" w:rsidP="00CE4097">
      <w:pPr>
        <w:pStyle w:val="Heading1"/>
      </w:pPr>
      <w:bookmarkStart w:id="13" w:name="_Toc392920249"/>
      <w:r>
        <w:t>4</w:t>
      </w:r>
      <w:r>
        <w:tab/>
        <w:t>Techniques de réduction des brouillages</w:t>
      </w:r>
      <w:bookmarkEnd w:id="13"/>
    </w:p>
    <w:p w:rsidR="00CE4097" w:rsidRDefault="00CE4097" w:rsidP="00CE4097">
      <w:pPr>
        <w:pStyle w:val="Heading2"/>
      </w:pPr>
      <w:bookmarkStart w:id="14" w:name="_Toc392920250"/>
      <w:r>
        <w:t>4.1</w:t>
      </w:r>
      <w:r>
        <w:tab/>
        <w:t>Systèmes du service fixe</w:t>
      </w:r>
      <w:bookmarkEnd w:id="14"/>
    </w:p>
    <w:p w:rsidR="00CE4097" w:rsidRDefault="00CE4097" w:rsidP="00CE4097">
      <w:r>
        <w:t>Pour réduire les brouillages, on peut recourir à certaines méthodes fondamentales, et établies, de conception des systèmes ou encore à diverses techniques élaborées spécifiquement à cette fin:</w:t>
      </w:r>
    </w:p>
    <w:p w:rsidR="00CE4097" w:rsidRDefault="00CE4097" w:rsidP="00CE4097">
      <w:pPr>
        <w:pStyle w:val="enumlev1"/>
      </w:pPr>
      <w:r>
        <w:t>–</w:t>
      </w:r>
      <w:r>
        <w:tab/>
        <w:t>Fonctionnement à la valeur minimale de densité de p.i.r.e. nécessaire, utilisé pour des raisons d'économie et d'exploitation, puisqu'une telle technique permet, par exemple, d'abaisser le coût des équipements et celui de leur maintenance, d'adopter des équipements plus petits et plus légers, de réduire la consommation primaire d'énergie ou encore de raccourcir les espacements en cas de réutilisation des fréquences.</w:t>
      </w:r>
    </w:p>
    <w:p w:rsidR="00CE4097" w:rsidRDefault="00CE4097" w:rsidP="00CE4097">
      <w:pPr>
        <w:pStyle w:val="enumlev1"/>
      </w:pPr>
      <w:r>
        <w:t>–</w:t>
      </w:r>
      <w:r>
        <w:tab/>
        <w:t>Adoption de systèmes tenant compte des effets d'affaiblissement dans l'atmosphère.</w:t>
      </w:r>
    </w:p>
    <w:p w:rsidR="00CE4097" w:rsidRDefault="00CE4097" w:rsidP="00CE4097">
      <w:pPr>
        <w:pStyle w:val="enumlev1"/>
      </w:pPr>
      <w:r>
        <w:t>–</w:t>
      </w:r>
      <w:r>
        <w:tab/>
        <w:t xml:space="preserve">Choix des emplacements et des configurations, permettant de réduire substantiellement les rayonnements dépassant la portée de service requise du système fixe considéré, soit par effet de blocage ou d'occultation par des obstacles naturels et/ou artificiels, soit par </w:t>
      </w:r>
      <w:r>
        <w:lastRenderedPageBreak/>
        <w:t>occultation partielle (zone de Fresnel) entraînant un affaiblissement de diffraction (voir l'Annexe 3).</w:t>
      </w:r>
    </w:p>
    <w:p w:rsidR="00CE4097" w:rsidRDefault="00CE4097" w:rsidP="00CE4097">
      <w:pPr>
        <w:pStyle w:val="enumlev1"/>
      </w:pPr>
      <w:r>
        <w:t>–</w:t>
      </w:r>
      <w:r>
        <w:tab/>
        <w:t>Utilisation de systèmes de CAPE.</w:t>
      </w:r>
    </w:p>
    <w:p w:rsidR="00CE2391" w:rsidRPr="00CE2391" w:rsidRDefault="00CE2391" w:rsidP="00CE2391">
      <w:pPr>
        <w:pStyle w:val="FigureNo"/>
        <w:rPr>
          <w:noProof/>
          <w:lang w:val="fr-CH" w:eastAsia="zh-CN"/>
        </w:rPr>
      </w:pPr>
      <w:bookmarkStart w:id="15" w:name="_Toc392920251"/>
      <w:r w:rsidRPr="00CE2391">
        <w:rPr>
          <w:noProof/>
          <w:lang w:val="fr-CH" w:eastAsia="zh-CN"/>
        </w:rPr>
        <w:t>figure 3</w:t>
      </w:r>
    </w:p>
    <w:p w:rsidR="00CE2391" w:rsidRPr="00CE2391" w:rsidRDefault="00CE2391" w:rsidP="00CE2391">
      <w:pPr>
        <w:pStyle w:val="Figuretitle"/>
        <w:rPr>
          <w:lang w:val="fr-CH" w:eastAsia="zh-CN"/>
        </w:rPr>
      </w:pPr>
      <w:r w:rsidRPr="00447A50">
        <w:rPr>
          <w:lang w:val="fr-CH" w:eastAsia="zh-CN"/>
        </w:rPr>
        <w:t xml:space="preserve">Brouillage cumulatif (dB(W/MHz)) occasionné à un SRD situé à </w:t>
      </w:r>
      <w:r>
        <w:rPr>
          <w:lang w:val="fr-CH" w:eastAsia="zh-CN"/>
        </w:rPr>
        <w:t>17</w:t>
      </w:r>
      <w:r w:rsidRPr="00447A50">
        <w:rPr>
          <w:lang w:val="fr-CH" w:eastAsia="zh-CN"/>
        </w:rPr>
        <w:t xml:space="preserve">4° </w:t>
      </w:r>
      <w:r>
        <w:rPr>
          <w:lang w:val="fr-CH" w:eastAsia="zh-CN"/>
        </w:rPr>
        <w:t>O</w:t>
      </w:r>
      <w:r w:rsidRPr="00447A50">
        <w:rPr>
          <w:lang w:val="fr-CH" w:eastAsia="zh-CN"/>
        </w:rPr>
        <w:t>,</w:t>
      </w:r>
      <w:r w:rsidRPr="00447A50">
        <w:rPr>
          <w:lang w:val="fr-CH" w:eastAsia="zh-CN"/>
        </w:rPr>
        <w:br/>
      </w:r>
      <w:r>
        <w:rPr>
          <w:lang w:val="fr-CH" w:eastAsia="zh-CN"/>
        </w:rPr>
        <w:t>en fonction des angles de pointage de l'antenne du satellite</w:t>
      </w:r>
    </w:p>
    <w:p w:rsidR="00CE4097" w:rsidRDefault="00CE2391" w:rsidP="00CE2391">
      <w:pPr>
        <w:pStyle w:val="FigureNo"/>
      </w:pPr>
      <w:r>
        <w:rPr>
          <w:lang w:val="en-US" w:eastAsia="zh-CN"/>
        </w:rPr>
        <w:object w:dxaOrig="3993" w:dyaOrig="5398">
          <v:shape id="_x0000_i1055" type="#_x0000_t75" style="width:309.25pt;height:419.1pt" o:ole="">
            <v:imagedata r:id="rId18" o:title=""/>
          </v:shape>
          <o:OLEObject Type="Embed" ProgID="CorelDRAW.Graphic.14" ShapeID="_x0000_i1055" DrawAspect="Content" ObjectID="_1470033687" r:id="rId19"/>
        </w:object>
      </w:r>
    </w:p>
    <w:p w:rsidR="00CE4097" w:rsidRDefault="00CE4097" w:rsidP="00CE4097">
      <w:pPr>
        <w:pStyle w:val="Heading2"/>
        <w:spacing w:before="480"/>
      </w:pPr>
      <w:r>
        <w:t>4.2</w:t>
      </w:r>
      <w:r>
        <w:tab/>
        <w:t>Systèmes à SRD</w:t>
      </w:r>
      <w:bookmarkEnd w:id="15"/>
    </w:p>
    <w:p w:rsidR="00CE4097" w:rsidRDefault="00CE4097" w:rsidP="00CE4097">
      <w:r>
        <w:t>Les techniques de réduction des brouillages à utiliser dans le cas des SRD couvrent, par exemple, l'agilité en fréquence et la redondance, l'intégration des phénomènes de brouillage et l'annulation adaptative. L'UIT</w:t>
      </w:r>
      <w:r>
        <w:noBreakHyphen/>
        <w:t>R a d'ailleurs amorcé une étude des techniques de réduction des brouillages.</w:t>
      </w:r>
    </w:p>
    <w:p w:rsidR="00CE4097" w:rsidRDefault="00CE4097" w:rsidP="00CE4097">
      <w:pPr>
        <w:pStyle w:val="Heading2"/>
      </w:pPr>
      <w:bookmarkStart w:id="16" w:name="_Toc392920252"/>
      <w:r>
        <w:t>4.3</w:t>
      </w:r>
      <w:r>
        <w:tab/>
        <w:t>Partage des fréquences et coopération</w:t>
      </w:r>
      <w:bookmarkEnd w:id="16"/>
    </w:p>
    <w:p w:rsidR="00CE4097" w:rsidRDefault="00CE4097" w:rsidP="00CE4097">
      <w:r>
        <w:t xml:space="preserve">La coexistence programmée du service fixe et du service par SRD pose un nouvel ensemble de problèmes de partage des fréquences qui appelle une nouvelle approche. En la matière, l'approche la </w:t>
      </w:r>
      <w:r>
        <w:lastRenderedPageBreak/>
        <w:t>plus prometteuse semble passer, au niveau de l'exploitation, par la mise en place d'un cadre de coopération susceptible:</w:t>
      </w:r>
    </w:p>
    <w:p w:rsidR="00CE4097" w:rsidRDefault="00CE4097" w:rsidP="00CE4097">
      <w:pPr>
        <w:pStyle w:val="enumlev1"/>
      </w:pPr>
      <w:r>
        <w:t>–</w:t>
      </w:r>
      <w:r>
        <w:tab/>
        <w:t>de faciliter la compréhension mutuelle des besoins du service et des conditions d'exploitation;</w:t>
      </w:r>
    </w:p>
    <w:p w:rsidR="00CE4097" w:rsidRDefault="00CE4097" w:rsidP="00CE4097">
      <w:pPr>
        <w:pStyle w:val="enumlev1"/>
      </w:pPr>
      <w:r>
        <w:t>–</w:t>
      </w:r>
      <w:r>
        <w:tab/>
        <w:t>de déboucher sur des méthodes de partage appropriées;</w:t>
      </w:r>
    </w:p>
    <w:p w:rsidR="00CE4097" w:rsidRDefault="00CE4097" w:rsidP="00CE4097">
      <w:pPr>
        <w:pStyle w:val="enumlev1"/>
      </w:pPr>
      <w:r>
        <w:t>–</w:t>
      </w:r>
      <w:r>
        <w:tab/>
        <w:t>de favoriser la mise en œuvre de contre</w:t>
      </w:r>
      <w:r>
        <w:noBreakHyphen/>
        <w:t>mesures dans les deux services.</w:t>
      </w:r>
    </w:p>
    <w:p w:rsidR="00CE4097" w:rsidRDefault="00CE4097" w:rsidP="00CE4097">
      <w:pPr>
        <w:pStyle w:val="Heading1"/>
      </w:pPr>
      <w:bookmarkStart w:id="17" w:name="_Toc392920253"/>
      <w:r>
        <w:t>5</w:t>
      </w:r>
      <w:r>
        <w:tab/>
        <w:t>Conclusions</w:t>
      </w:r>
      <w:bookmarkEnd w:id="17"/>
    </w:p>
    <w:p w:rsidR="00CE4097" w:rsidRDefault="00CE4097" w:rsidP="00CE4097">
      <w:r>
        <w:t>Si l'on pose l'hypothèse d'une densité moyenne de p.i.r.e. des stations point à point du service fixe de 36 dB(W/MHz), rayonnée selon de faibles angles d'élévation et des azimuts aléatoires, si on utilise, aussi bien au niveau des stations du service fixe que des SRD, des antennes à faisceaux étroits et gain élevé et si on adopte les plans de disposition des canaux dans le service fixe, il semble que les critères de protection des SRD (voir la Recommandation UIT-R SA.1155) puissent être respectés dans tous les cas, à l'exception des phénomènes de couplage dans l'axe ou au voisinage de l'axe des faisceaux principaux. Il faut limiter à 24 dB(W/MHz) les émissions des stations point à point du service fixe en direction des positions orbitales des SRD pour respecter les critères de protection définis dans la Recommandation UIT</w:t>
      </w:r>
      <w:r>
        <w:noBreakHyphen/>
        <w:t>R SA.1155 (cette valeur s'applique à des conditions de propagation en espace libre).</w:t>
      </w:r>
    </w:p>
    <w:p w:rsidR="00CE4097" w:rsidRDefault="00CE4097" w:rsidP="00CE4097">
      <w:r>
        <w:t>La mise en place d'un cadre de coopération pour le partage des fréquences serait utile pour l'application de la présente Recommandation.</w:t>
      </w:r>
    </w:p>
    <w:p w:rsidR="00CE4097" w:rsidRDefault="00CE4097" w:rsidP="00CE4097"/>
    <w:p w:rsidR="00CE4097" w:rsidRDefault="00CE4097" w:rsidP="00CE4097"/>
    <w:p w:rsidR="00CE4097" w:rsidRDefault="00CE4097" w:rsidP="00CE4097">
      <w:pPr>
        <w:pStyle w:val="AnnexNoTitle"/>
      </w:pPr>
      <w:r>
        <w:t>Annexe 2</w:t>
      </w:r>
      <w:r>
        <w:br/>
      </w:r>
      <w:r>
        <w:br/>
        <w:t xml:space="preserve">Méthode de calcul des séparations angulaires entre les faisceaux des antennes d'émission des stations point à point du service fixe et les directions </w:t>
      </w:r>
      <w:r>
        <w:br/>
        <w:t>des SRD géostationnaires</w:t>
      </w:r>
    </w:p>
    <w:p w:rsidR="00CE4097" w:rsidRDefault="00CE4097" w:rsidP="00CE4097">
      <w:pPr>
        <w:pStyle w:val="Heading1"/>
      </w:pPr>
      <w:bookmarkStart w:id="18" w:name="_Toc392920254"/>
      <w:r>
        <w:t>1</w:t>
      </w:r>
      <w:r>
        <w:tab/>
        <w:t>Introduction</w:t>
      </w:r>
      <w:bookmarkEnd w:id="18"/>
    </w:p>
    <w:p w:rsidR="00CE4097" w:rsidRDefault="00CE4097" w:rsidP="00CE4097">
      <w:pPr>
        <w:rPr>
          <w:lang w:val="fr-CH"/>
        </w:rPr>
      </w:pPr>
      <w:r>
        <w:rPr>
          <w:lang w:val="fr-CH"/>
        </w:rPr>
        <w:t xml:space="preserve">La présente Annexe expose une méthode de calcul des séparations angulaires entre les faisceaux des antennes d'émission du service fixe et les directions des SRD géostationnaires mis en orbite comme spécifié au </w:t>
      </w:r>
      <w:r>
        <w:rPr>
          <w:i/>
          <w:lang w:val="fr-CH"/>
        </w:rPr>
        <w:t>recommande</w:t>
      </w:r>
      <w:r>
        <w:rPr>
          <w:lang w:val="fr-CH"/>
        </w:rPr>
        <w:t> 2, compte tenu des effets de réfraction dans l'atmosphère et de l'horizon local.</w:t>
      </w:r>
      <w:bookmarkStart w:id="19" w:name="_Toc392920255"/>
    </w:p>
    <w:p w:rsidR="00CE4097" w:rsidRDefault="00CE4097" w:rsidP="00CE4097">
      <w:pPr>
        <w:pStyle w:val="Heading1"/>
        <w:rPr>
          <w:lang w:val="fr-CH"/>
        </w:rPr>
      </w:pPr>
      <w:r>
        <w:rPr>
          <w:lang w:val="fr-CH"/>
        </w:rPr>
        <w:t>2</w:t>
      </w:r>
      <w:r>
        <w:rPr>
          <w:lang w:val="fr-CH"/>
        </w:rPr>
        <w:tab/>
        <w:t>Paramètres de la station du service fixe</w:t>
      </w:r>
      <w:bookmarkEnd w:id="19"/>
    </w:p>
    <w:p w:rsidR="00CE4097" w:rsidRDefault="00CE4097" w:rsidP="00CE4097">
      <w:pPr>
        <w:rPr>
          <w:lang w:val="fr-CH"/>
        </w:rPr>
      </w:pPr>
      <w:r>
        <w:rPr>
          <w:lang w:val="fr-CH"/>
        </w:rPr>
        <w:t>Les paramètres de la station du service fixe considérée sont:</w:t>
      </w:r>
    </w:p>
    <w:p w:rsidR="00CE4097" w:rsidRDefault="00CE4097" w:rsidP="00CE4097">
      <w:pPr>
        <w:pStyle w:val="enumlev1"/>
      </w:pPr>
      <w:r w:rsidRPr="007011A7">
        <w:tab/>
      </w:r>
      <w:r w:rsidRPr="007011A7">
        <w:sym w:font="Symbol" w:char="F07A"/>
      </w:r>
      <w:r>
        <w:rPr>
          <w:sz w:val="12"/>
        </w:rPr>
        <w:t> </w:t>
      </w:r>
      <w:r>
        <w:t>:</w:t>
      </w:r>
      <w:r>
        <w:tab/>
        <w:t>latitude de la station (valeur absolue);</w:t>
      </w:r>
    </w:p>
    <w:p w:rsidR="00CE4097" w:rsidRDefault="00CE4097" w:rsidP="00CE4097">
      <w:pPr>
        <w:pStyle w:val="enumlev1"/>
      </w:pPr>
      <w:r>
        <w:tab/>
      </w:r>
      <w:r>
        <w:rPr>
          <w:rFonts w:ascii="Symbol" w:hAnsi="Symbol"/>
        </w:rPr>
        <w:t></w:t>
      </w:r>
      <w:r>
        <w:rPr>
          <w:i/>
          <w:vertAlign w:val="subscript"/>
        </w:rPr>
        <w:t>r</w:t>
      </w:r>
      <w:r>
        <w:rPr>
          <w:rFonts w:hint="eastAsia"/>
          <w:sz w:val="12"/>
        </w:rPr>
        <w:t> </w:t>
      </w:r>
      <w:r>
        <w:t>:</w:t>
      </w:r>
      <w:r>
        <w:tab/>
        <w:t>azimut du faisceau d'antenne mesuré dans le sens trigonométrique à partir du nord;</w:t>
      </w:r>
    </w:p>
    <w:p w:rsidR="00CE4097" w:rsidRDefault="00CE4097" w:rsidP="00CE4097">
      <w:pPr>
        <w:pStyle w:val="enumlev1"/>
      </w:pPr>
      <w:r w:rsidRPr="007011A7">
        <w:tab/>
      </w:r>
      <w:r w:rsidRPr="007011A7">
        <w:sym w:font="Symbol" w:char="F065"/>
      </w:r>
      <w:r>
        <w:rPr>
          <w:i/>
          <w:vertAlign w:val="subscript"/>
        </w:rPr>
        <w:t>r</w:t>
      </w:r>
      <w:r>
        <w:rPr>
          <w:sz w:val="12"/>
        </w:rPr>
        <w:t> </w:t>
      </w:r>
      <w:r>
        <w:t>:</w:t>
      </w:r>
      <w:r>
        <w:tab/>
        <w:t>angle d'élévation du faisceau d'antenne;</w:t>
      </w:r>
    </w:p>
    <w:p w:rsidR="00CE4097" w:rsidRDefault="00CE4097" w:rsidP="00CE4097">
      <w:pPr>
        <w:pStyle w:val="enumlev1"/>
      </w:pPr>
      <w:r w:rsidRPr="007011A7">
        <w:tab/>
      </w:r>
      <w:r>
        <w:rPr>
          <w:i/>
        </w:rPr>
        <w:t>h</w:t>
      </w:r>
      <w:r>
        <w:rPr>
          <w:sz w:val="12"/>
        </w:rPr>
        <w:t> </w:t>
      </w:r>
      <w:r>
        <w:t>:</w:t>
      </w:r>
      <w:r>
        <w:tab/>
        <w:t>altitude de l'antenne par rapport au niveau de la mer (km);</w:t>
      </w:r>
    </w:p>
    <w:p w:rsidR="00CE4097" w:rsidRDefault="00CE4097" w:rsidP="00CE4097">
      <w:pPr>
        <w:pStyle w:val="enumlev1"/>
      </w:pPr>
      <w:r w:rsidRPr="007011A7">
        <w:lastRenderedPageBreak/>
        <w:tab/>
      </w:r>
      <w:r w:rsidRPr="007011A7">
        <w:sym w:font="Symbol" w:char="F064"/>
      </w:r>
      <w:r>
        <w:rPr>
          <w:sz w:val="12"/>
        </w:rPr>
        <w:t> </w:t>
      </w:r>
      <w:r>
        <w:t>:</w:t>
      </w:r>
      <w:r>
        <w:tab/>
        <w:t xml:space="preserve">différence de longitude (valeur absolue) entre la station et l'un des satellites visés au </w:t>
      </w:r>
      <w:r>
        <w:tab/>
      </w:r>
      <w:r>
        <w:rPr>
          <w:i/>
        </w:rPr>
        <w:t>recommande</w:t>
      </w:r>
      <w:r>
        <w:t> 2.</w:t>
      </w:r>
    </w:p>
    <w:p w:rsidR="00CE4097" w:rsidRDefault="00CE4097" w:rsidP="00CE4097">
      <w:pPr>
        <w:rPr>
          <w:lang w:val="fr-CH"/>
        </w:rPr>
      </w:pPr>
      <w:r>
        <w:rPr>
          <w:lang w:val="fr-CH"/>
        </w:rPr>
        <w:t xml:space="preserve">Lorsque </w:t>
      </w:r>
      <w:r w:rsidRPr="007011A7">
        <w:sym w:font="Symbol" w:char="F064"/>
      </w:r>
      <w:r>
        <w:rPr>
          <w:lang w:val="fr-CH"/>
        </w:rPr>
        <w:t xml:space="preserve"> est supérieur à 90</w:t>
      </w:r>
      <w:r w:rsidRPr="007011A7">
        <w:t>°</w:t>
      </w:r>
      <w:r>
        <w:rPr>
          <w:lang w:val="fr-CH"/>
        </w:rPr>
        <w:t xml:space="preserve"> (ou plus précisément, lorsque cos </w:t>
      </w:r>
      <w:r w:rsidRPr="007011A7">
        <w:sym w:font="Symbol" w:char="F064"/>
      </w:r>
      <w:r>
        <w:rPr>
          <w:lang w:val="fr-CH"/>
        </w:rPr>
        <w:t xml:space="preserve"> </w:t>
      </w:r>
      <w:r w:rsidRPr="007011A7">
        <w:t>&lt;</w:t>
      </w:r>
      <w:r>
        <w:rPr>
          <w:lang w:val="fr-CH"/>
        </w:rPr>
        <w:t xml:space="preserve"> 0), le satellite n'est pas visible de la station du service fixe et il n'est donc pas nécessaire de prolonger le calcul (au reste, même lorsque </w:t>
      </w:r>
      <w:r w:rsidRPr="007011A7">
        <w:sym w:font="Symbol" w:char="F064"/>
      </w:r>
      <w:r>
        <w:rPr>
          <w:lang w:val="fr-CH"/>
        </w:rPr>
        <w:t xml:space="preserve"> est légèrement inférieur à 90</w:t>
      </w:r>
      <w:r w:rsidRPr="007011A7">
        <w:t>°</w:t>
      </w:r>
      <w:r>
        <w:rPr>
          <w:lang w:val="fr-CH"/>
        </w:rPr>
        <w:t>, le satellite est parfois invisible, mais cette question sera abordée ultérieurement).</w:t>
      </w:r>
    </w:p>
    <w:p w:rsidR="00CE4097" w:rsidRDefault="00CE4097" w:rsidP="00CE4097">
      <w:pPr>
        <w:pStyle w:val="Heading1"/>
        <w:rPr>
          <w:lang w:val="fr-CH"/>
        </w:rPr>
      </w:pPr>
      <w:bookmarkStart w:id="20" w:name="_Toc392920256"/>
      <w:r>
        <w:rPr>
          <w:lang w:val="fr-CH"/>
        </w:rPr>
        <w:t>3</w:t>
      </w:r>
      <w:r>
        <w:rPr>
          <w:lang w:val="fr-CH"/>
        </w:rPr>
        <w:tab/>
        <w:t>Détermination de l'azimut du satellite</w:t>
      </w:r>
      <w:bookmarkEnd w:id="20"/>
    </w:p>
    <w:p w:rsidR="00CE4097" w:rsidRDefault="00CE4097" w:rsidP="00CE4097">
      <w:pPr>
        <w:rPr>
          <w:lang w:val="fr-CH"/>
        </w:rPr>
      </w:pPr>
      <w:r>
        <w:rPr>
          <w:lang w:val="fr-CH"/>
        </w:rPr>
        <w:t xml:space="preserve">On considère un modèle ellipsoïdal, dans lequel le rayon de la Terre, </w:t>
      </w:r>
      <w:r>
        <w:rPr>
          <w:i/>
          <w:lang w:val="fr-CH"/>
        </w:rPr>
        <w:t>R</w:t>
      </w:r>
      <w:r>
        <w:rPr>
          <w:lang w:val="fr-CH"/>
        </w:rPr>
        <w:t>, est égal à 6</w:t>
      </w:r>
      <w:r>
        <w:rPr>
          <w:sz w:val="12"/>
          <w:lang w:val="fr-CH"/>
        </w:rPr>
        <w:t> </w:t>
      </w:r>
      <w:r>
        <w:rPr>
          <w:lang w:val="fr-CH"/>
        </w:rPr>
        <w:t xml:space="preserve">378,14 km (à l'équateur) et </w:t>
      </w:r>
      <w:r>
        <w:rPr>
          <w:i/>
          <w:lang w:val="fr-CH"/>
        </w:rPr>
        <w:t>f</w:t>
      </w:r>
      <w:r>
        <w:rPr>
          <w:lang w:val="fr-CH"/>
        </w:rPr>
        <w:t xml:space="preserve"> (facteur d'ellipsité de la Terre) est égal à 1/298,25. En conséquence, le rayon de la Terre au pôle s'écrit (1 – </w:t>
      </w:r>
      <w:r>
        <w:rPr>
          <w:i/>
          <w:lang w:val="fr-CH"/>
        </w:rPr>
        <w:t>f</w:t>
      </w:r>
      <w:r>
        <w:rPr>
          <w:rFonts w:ascii="Tms Rmn" w:hAnsi="Tms Rmn"/>
          <w:i/>
          <w:sz w:val="12"/>
          <w:lang w:val="fr-CH"/>
        </w:rPr>
        <w:t> </w:t>
      </w:r>
      <w:r>
        <w:rPr>
          <w:lang w:val="fr-CH"/>
        </w:rPr>
        <w:t>)</w:t>
      </w:r>
      <w:r>
        <w:rPr>
          <w:i/>
          <w:lang w:val="fr-CH"/>
        </w:rPr>
        <w:t>R</w:t>
      </w:r>
      <w:r>
        <w:rPr>
          <w:lang w:val="fr-CH"/>
        </w:rPr>
        <w:t>.</w:t>
      </w:r>
    </w:p>
    <w:p w:rsidR="00CE4097" w:rsidRDefault="00CE4097" w:rsidP="00CE4097">
      <w:pPr>
        <w:rPr>
          <w:lang w:val="fr-CH"/>
        </w:rPr>
      </w:pPr>
      <w:r>
        <w:rPr>
          <w:lang w:val="fr-CH"/>
        </w:rPr>
        <w:t xml:space="preserve">Dans ce cas, la latitude géocentrique </w:t>
      </w:r>
      <w:r w:rsidRPr="007011A7">
        <w:sym w:font="Symbol" w:char="F07A"/>
      </w:r>
      <w:r>
        <w:rPr>
          <w:vertAlign w:val="subscript"/>
          <w:lang w:val="fr-CH"/>
        </w:rPr>
        <w:t>1</w:t>
      </w:r>
      <w:r>
        <w:rPr>
          <w:lang w:val="fr-CH"/>
        </w:rPr>
        <w:t xml:space="preserve"> et le rayon effectif de la Terre </w:t>
      </w:r>
      <w:r>
        <w:rPr>
          <w:i/>
          <w:lang w:val="fr-CH"/>
        </w:rPr>
        <w:t>R</w:t>
      </w:r>
      <w:r>
        <w:rPr>
          <w:vertAlign w:val="subscript"/>
          <w:lang w:val="fr-CH"/>
        </w:rPr>
        <w:t>1</w:t>
      </w:r>
      <w:r>
        <w:rPr>
          <w:lang w:val="fr-CH"/>
        </w:rPr>
        <w:t xml:space="preserve"> à la latitude géographique </w:t>
      </w:r>
      <w:r w:rsidRPr="007011A7">
        <w:sym w:font="Symbol" w:char="F07A"/>
      </w:r>
      <w:r>
        <w:rPr>
          <w:lang w:val="fr-CH"/>
        </w:rPr>
        <w:t xml:space="preserve">, et à l'altitude de l'antenne </w:t>
      </w:r>
      <w:r>
        <w:rPr>
          <w:i/>
          <w:lang w:val="fr-CH"/>
        </w:rPr>
        <w:t xml:space="preserve">h, </w:t>
      </w:r>
      <w:r>
        <w:rPr>
          <w:lang w:val="fr-CH"/>
        </w:rPr>
        <w:t>sont donnés par:</w:t>
      </w:r>
    </w:p>
    <w:p w:rsidR="00CE4097" w:rsidRPr="007011A7" w:rsidRDefault="00CE4097" w:rsidP="00CE4097">
      <w:pPr>
        <w:pStyle w:val="Blanc"/>
        <w:rPr>
          <w:lang w:val="fr-CH"/>
        </w:rPr>
      </w:pPr>
    </w:p>
    <w:p w:rsidR="00CE4097" w:rsidRPr="00AC4297" w:rsidRDefault="00CE4097" w:rsidP="00CE4097">
      <w:pPr>
        <w:pStyle w:val="Equation"/>
        <w:rPr>
          <w:lang w:val="en-US"/>
        </w:rPr>
      </w:pPr>
      <w:r>
        <w:rPr>
          <w:lang w:val="fr-CH"/>
        </w:rPr>
        <w:tab/>
      </w:r>
      <w:r>
        <w:rPr>
          <w:lang w:val="fr-CH"/>
        </w:rPr>
        <w:tab/>
      </w:r>
      <w:r w:rsidRPr="007011A7">
        <w:sym w:font="Symbol" w:char="F07A"/>
      </w:r>
      <w:r w:rsidRPr="00AC4297">
        <w:rPr>
          <w:position w:val="-4"/>
          <w:sz w:val="18"/>
          <w:lang w:val="en-US"/>
        </w:rPr>
        <w:t>1</w:t>
      </w:r>
      <w:r w:rsidRPr="00AC4297">
        <w:rPr>
          <w:lang w:val="en-US"/>
        </w:rPr>
        <w:t xml:space="preserve">  =  arctg [(1  –  </w:t>
      </w:r>
      <w:r w:rsidRPr="00AC4297">
        <w:rPr>
          <w:i/>
          <w:lang w:val="en-US"/>
        </w:rPr>
        <w:t>f</w:t>
      </w:r>
      <w:r w:rsidRPr="00AC4297">
        <w:rPr>
          <w:sz w:val="12"/>
          <w:lang w:val="en-US"/>
        </w:rPr>
        <w:t> </w:t>
      </w:r>
      <w:r w:rsidRPr="00AC4297">
        <w:rPr>
          <w:lang w:val="en-US"/>
        </w:rPr>
        <w:t>)</w:t>
      </w:r>
      <w:r w:rsidRPr="00AC4297">
        <w:rPr>
          <w:position w:val="6"/>
          <w:sz w:val="18"/>
          <w:lang w:val="en-US"/>
        </w:rPr>
        <w:t>2</w:t>
      </w:r>
      <w:r w:rsidRPr="00AC4297">
        <w:rPr>
          <w:lang w:val="en-US"/>
        </w:rPr>
        <w:t xml:space="preserve"> tg </w:t>
      </w:r>
      <w:r w:rsidRPr="007011A7">
        <w:sym w:font="Symbol" w:char="F07A"/>
      </w:r>
      <w:r w:rsidRPr="00AC4297">
        <w:rPr>
          <w:lang w:val="en-US"/>
        </w:rPr>
        <w:t xml:space="preserve"> ]</w:t>
      </w:r>
      <w:r w:rsidRPr="00AC4297">
        <w:rPr>
          <w:lang w:val="en-US"/>
        </w:rPr>
        <w:tab/>
        <w:t>(1)</w:t>
      </w:r>
    </w:p>
    <w:p w:rsidR="00CE4097" w:rsidRPr="00AC4297" w:rsidRDefault="00CE4097" w:rsidP="00CE4097">
      <w:pPr>
        <w:pStyle w:val="Blanc"/>
        <w:rPr>
          <w:lang w:val="en-US"/>
        </w:rPr>
      </w:pPr>
    </w:p>
    <w:p w:rsidR="00CE4097" w:rsidRPr="00AC4297" w:rsidRDefault="00CE4097" w:rsidP="00CE4097">
      <w:pPr>
        <w:pStyle w:val="Equation"/>
        <w:rPr>
          <w:lang w:val="en-US"/>
        </w:rPr>
      </w:pPr>
      <w:r w:rsidRPr="00AC4297">
        <w:rPr>
          <w:lang w:val="en-US"/>
        </w:rPr>
        <w:tab/>
      </w:r>
      <w:r w:rsidRPr="00AC4297">
        <w:rPr>
          <w:lang w:val="en-US"/>
        </w:rPr>
        <w:tab/>
      </w:r>
      <w:r w:rsidRPr="00AC4297">
        <w:rPr>
          <w:i/>
          <w:lang w:val="en-US"/>
        </w:rPr>
        <w:t>R</w:t>
      </w:r>
      <w:r w:rsidRPr="00AC4297">
        <w:rPr>
          <w:position w:val="-4"/>
          <w:sz w:val="18"/>
          <w:lang w:val="en-US"/>
        </w:rPr>
        <w:t>1</w:t>
      </w:r>
      <w:r w:rsidRPr="00AC4297">
        <w:rPr>
          <w:lang w:val="en-US"/>
        </w:rPr>
        <w:t xml:space="preserve">  =  </w:t>
      </w:r>
      <w:r w:rsidRPr="00AC4297">
        <w:rPr>
          <w:i/>
          <w:lang w:val="en-US"/>
        </w:rPr>
        <w:t>R</w:t>
      </w:r>
      <w:r w:rsidRPr="00AC4297">
        <w:rPr>
          <w:lang w:val="en-US"/>
        </w:rPr>
        <w:t xml:space="preserve">(1  –  </w:t>
      </w:r>
      <w:r w:rsidRPr="00AC4297">
        <w:rPr>
          <w:i/>
          <w:lang w:val="en-US"/>
        </w:rPr>
        <w:t>f</w:t>
      </w:r>
      <w:r w:rsidRPr="00AC4297">
        <w:rPr>
          <w:lang w:val="en-US"/>
        </w:rPr>
        <w:t xml:space="preserve"> sin</w:t>
      </w:r>
      <w:r w:rsidRPr="00AC4297">
        <w:rPr>
          <w:position w:val="6"/>
          <w:sz w:val="18"/>
          <w:lang w:val="en-US"/>
        </w:rPr>
        <w:t>2</w:t>
      </w:r>
      <w:r w:rsidRPr="00AC4297">
        <w:rPr>
          <w:lang w:val="en-US"/>
        </w:rPr>
        <w:t xml:space="preserve"> </w:t>
      </w:r>
      <w:r w:rsidRPr="007011A7">
        <w:sym w:font="Symbol" w:char="F07A"/>
      </w:r>
      <w:r w:rsidRPr="00AC4297">
        <w:rPr>
          <w:position w:val="-4"/>
          <w:sz w:val="18"/>
          <w:lang w:val="en-US"/>
        </w:rPr>
        <w:t>1</w:t>
      </w:r>
      <w:r w:rsidRPr="00AC4297">
        <w:rPr>
          <w:lang w:val="en-US"/>
        </w:rPr>
        <w:t xml:space="preserve">)  +  </w:t>
      </w:r>
      <w:r w:rsidRPr="00AC4297">
        <w:rPr>
          <w:i/>
          <w:lang w:val="en-US"/>
        </w:rPr>
        <w:t>h</w:t>
      </w:r>
      <w:r w:rsidRPr="00AC4297">
        <w:rPr>
          <w:lang w:val="en-US"/>
        </w:rPr>
        <w:tab/>
        <w:t>(2)</w:t>
      </w:r>
    </w:p>
    <w:p w:rsidR="00CE4097" w:rsidRPr="00AC4297" w:rsidRDefault="00CE4097" w:rsidP="00CE4097">
      <w:pPr>
        <w:pStyle w:val="Blanc"/>
        <w:rPr>
          <w:lang w:val="en-US"/>
        </w:rPr>
      </w:pPr>
    </w:p>
    <w:p w:rsidR="00CE4097" w:rsidRDefault="00CE4097" w:rsidP="00CE4097">
      <w:pPr>
        <w:rPr>
          <w:lang w:val="fr-CH"/>
        </w:rPr>
      </w:pPr>
      <w:r>
        <w:rPr>
          <w:lang w:val="fr-CH"/>
        </w:rPr>
        <w:t xml:space="preserve">On calcule ensuite la valeur de </w:t>
      </w:r>
      <w:r w:rsidRPr="007011A7">
        <w:sym w:font="Symbol" w:char="F059"/>
      </w:r>
      <w:r>
        <w:rPr>
          <w:lang w:val="fr-CH"/>
        </w:rPr>
        <w:t xml:space="preserve"> (arc de grand cercle compris entre la station du service fixe et le point subsatellite) comme suit:</w:t>
      </w:r>
    </w:p>
    <w:p w:rsidR="00CE4097" w:rsidRPr="007011A7" w:rsidRDefault="00CE4097" w:rsidP="00CE4097">
      <w:pPr>
        <w:pStyle w:val="Blanc"/>
        <w:rPr>
          <w:lang w:val="fr-CH"/>
        </w:rPr>
      </w:pPr>
    </w:p>
    <w:p w:rsidR="00CE4097" w:rsidRDefault="00CE4097" w:rsidP="00CE4097">
      <w:pPr>
        <w:pStyle w:val="Equation"/>
        <w:rPr>
          <w:lang w:val="fr-CH"/>
        </w:rPr>
      </w:pPr>
      <w:r>
        <w:rPr>
          <w:lang w:val="fr-CH"/>
        </w:rPr>
        <w:tab/>
      </w:r>
      <w:r>
        <w:rPr>
          <w:lang w:val="fr-CH"/>
        </w:rPr>
        <w:tab/>
      </w:r>
      <w:r w:rsidRPr="007011A7">
        <w:sym w:font="Symbol" w:char="F059"/>
      </w:r>
      <w:r w:rsidRPr="00370B5B">
        <w:rPr>
          <w:lang w:val="fr-CH"/>
        </w:rPr>
        <w:t xml:space="preserve">  </w:t>
      </w:r>
      <w:r w:rsidRPr="007011A7">
        <w:t>=</w:t>
      </w:r>
      <w:r w:rsidRPr="00370B5B">
        <w:rPr>
          <w:lang w:val="fr-CH"/>
        </w:rPr>
        <w:t xml:space="preserve">  arccos (cos </w:t>
      </w:r>
      <w:r w:rsidRPr="007011A7">
        <w:sym w:font="Symbol" w:char="F07A"/>
      </w:r>
      <w:r w:rsidRPr="00370B5B">
        <w:rPr>
          <w:position w:val="-4"/>
          <w:sz w:val="18"/>
          <w:lang w:val="fr-CH"/>
        </w:rPr>
        <w:t>1</w:t>
      </w:r>
      <w:r w:rsidRPr="00370B5B">
        <w:rPr>
          <w:lang w:val="fr-CH"/>
        </w:rPr>
        <w:t xml:space="preserve"> cos </w:t>
      </w:r>
      <w:r w:rsidRPr="007011A7">
        <w:sym w:font="Symbol" w:char="F064"/>
      </w:r>
      <w:r w:rsidRPr="00370B5B">
        <w:rPr>
          <w:lang w:val="fr-CH"/>
        </w:rPr>
        <w:t>)</w:t>
      </w:r>
      <w:r w:rsidRPr="00370B5B">
        <w:rPr>
          <w:lang w:val="fr-CH"/>
        </w:rPr>
        <w:tab/>
        <w:t>(3)</w:t>
      </w:r>
    </w:p>
    <w:p w:rsidR="00CE4097" w:rsidRPr="007011A7" w:rsidRDefault="00CE4097" w:rsidP="00CE4097">
      <w:pPr>
        <w:pStyle w:val="Blanc"/>
        <w:rPr>
          <w:lang w:val="fr-CH"/>
        </w:rPr>
      </w:pPr>
    </w:p>
    <w:p w:rsidR="00CE4097" w:rsidRDefault="00CE4097" w:rsidP="00CE4097">
      <w:pPr>
        <w:jc w:val="left"/>
        <w:rPr>
          <w:lang w:val="fr-CH"/>
        </w:rPr>
      </w:pPr>
      <w:r>
        <w:rPr>
          <w:lang w:val="fr-CH"/>
        </w:rPr>
        <w:t xml:space="preserve">Ce qui permet d'obtenir l'azimut </w:t>
      </w:r>
      <w:r w:rsidRPr="007011A7">
        <w:sym w:font="Symbol" w:char="F061"/>
      </w:r>
      <w:r>
        <w:rPr>
          <w:i/>
          <w:vertAlign w:val="subscript"/>
          <w:lang w:val="fr-CH"/>
        </w:rPr>
        <w:t>s</w:t>
      </w:r>
      <w:r>
        <w:rPr>
          <w:lang w:val="fr-CH"/>
        </w:rPr>
        <w:t xml:space="preserve"> du satellite vu de la station du service fixe:</w:t>
      </w:r>
    </w:p>
    <w:p w:rsidR="00CE4097" w:rsidRPr="007011A7" w:rsidRDefault="00CE4097" w:rsidP="00CE4097">
      <w:pPr>
        <w:pStyle w:val="Blanc"/>
        <w:rPr>
          <w:lang w:val="fr-CH"/>
        </w:rPr>
      </w:pPr>
    </w:p>
    <w:p w:rsidR="00CE4097" w:rsidRDefault="00CE4097" w:rsidP="00CE4097">
      <w:pPr>
        <w:pStyle w:val="Equation"/>
        <w:rPr>
          <w:lang w:val="fr-CH"/>
        </w:rPr>
      </w:pPr>
      <w:r>
        <w:rPr>
          <w:lang w:val="fr-CH"/>
        </w:rPr>
        <w:tab/>
      </w:r>
      <w:r>
        <w:rPr>
          <w:lang w:val="fr-CH"/>
        </w:rPr>
        <w:tab/>
      </w:r>
      <w:r w:rsidRPr="003F6F1C">
        <w:rPr>
          <w:position w:val="-10"/>
        </w:rPr>
        <w:object w:dxaOrig="300" w:dyaOrig="420">
          <v:shape id="_x0000_i1027" type="#_x0000_t75" style="width:15.25pt;height:21.7pt" o:ole="">
            <v:imagedata r:id="rId20" o:title=""/>
          </v:shape>
          <o:OLEObject Type="Embed" ProgID="Equation.3" ShapeID="_x0000_i1027" DrawAspect="Content" ObjectID="_1470033688" r:id="rId21"/>
        </w:object>
      </w:r>
      <w:r>
        <w:rPr>
          <w:lang w:val="fr-CH"/>
        </w:rPr>
        <w:t xml:space="preserve">  </w:t>
      </w:r>
      <w:r w:rsidRPr="007011A7">
        <w:t>=</w:t>
      </w:r>
      <w:r>
        <w:rPr>
          <w:lang w:val="fr-CH"/>
        </w:rPr>
        <w:t xml:space="preserve">  arccos (tg </w:t>
      </w:r>
      <w:r w:rsidRPr="007011A7">
        <w:sym w:font="Symbol" w:char="F07A"/>
      </w:r>
      <w:r>
        <w:rPr>
          <w:position w:val="-4"/>
          <w:sz w:val="18"/>
          <w:lang w:val="fr-CH"/>
        </w:rPr>
        <w:t>1</w:t>
      </w:r>
      <w:r>
        <w:rPr>
          <w:lang w:val="fr-CH"/>
        </w:rPr>
        <w:t xml:space="preserve"> cotg </w:t>
      </w:r>
      <w:r w:rsidRPr="007011A7">
        <w:sym w:font="Symbol" w:char="F059"/>
      </w:r>
      <w:r>
        <w:rPr>
          <w:lang w:val="fr-CH"/>
        </w:rPr>
        <w:t>)</w:t>
      </w:r>
      <w:r>
        <w:rPr>
          <w:lang w:val="fr-CH"/>
        </w:rPr>
        <w:tab/>
        <w:t>(4)</w:t>
      </w:r>
    </w:p>
    <w:p w:rsidR="00CE4097" w:rsidRPr="005027B1" w:rsidRDefault="00CE4097" w:rsidP="00CE4097">
      <w:pPr>
        <w:pStyle w:val="Blanc"/>
        <w:rPr>
          <w:lang w:val="fr-CH"/>
        </w:rPr>
      </w:pPr>
    </w:p>
    <w:p w:rsidR="00CE4097" w:rsidRDefault="00CE4097" w:rsidP="00CE4097">
      <w:pPr>
        <w:pStyle w:val="Equation"/>
        <w:tabs>
          <w:tab w:val="left" w:pos="2160"/>
        </w:tabs>
        <w:ind w:left="2693" w:hanging="2693"/>
        <w:jc w:val="left"/>
        <w:rPr>
          <w:lang w:val="fr-CH"/>
        </w:rPr>
      </w:pPr>
      <w:r w:rsidRPr="007011A7">
        <w:tab/>
      </w:r>
      <w:r w:rsidRPr="007011A7">
        <w:sym w:font="Symbol" w:char="F061"/>
      </w:r>
      <w:r>
        <w:rPr>
          <w:i/>
          <w:iCs/>
          <w:vertAlign w:val="subscript"/>
        </w:rPr>
        <w:t>s</w:t>
      </w:r>
      <w:r>
        <w:rPr>
          <w:lang w:val="fr-CH"/>
        </w:rPr>
        <w:t xml:space="preserve">  </w:t>
      </w:r>
      <w:r w:rsidRPr="007011A7">
        <w:t>=</w:t>
      </w:r>
      <w:r>
        <w:rPr>
          <w:lang w:val="fr-CH"/>
        </w:rPr>
        <w:t xml:space="preserve">  </w:t>
      </w:r>
      <w:r w:rsidRPr="003F6F1C">
        <w:rPr>
          <w:position w:val="-10"/>
        </w:rPr>
        <w:object w:dxaOrig="300" w:dyaOrig="420">
          <v:shape id="_x0000_i1028" type="#_x0000_t75" style="width:15.25pt;height:21.7pt" o:ole="">
            <v:imagedata r:id="rId22" o:title=""/>
          </v:shape>
          <o:OLEObject Type="Embed" ProgID="Equation.3" ShapeID="_x0000_i1028" DrawAspect="Content" ObjectID="_1470033689" r:id="rId23"/>
        </w:object>
      </w:r>
      <w:r>
        <w:rPr>
          <w:lang w:val="fr-CH"/>
        </w:rPr>
        <w:t xml:space="preserve">  </w:t>
      </w:r>
      <w:r w:rsidRPr="007011A7">
        <w:t>+</w:t>
      </w:r>
      <w:r>
        <w:rPr>
          <w:lang w:val="fr-CH"/>
        </w:rPr>
        <w:t xml:space="preserve">  180</w:t>
      </w:r>
      <w:r w:rsidRPr="007011A7">
        <w:t>°</w:t>
      </w:r>
      <w:r>
        <w:rPr>
          <w:lang w:val="fr-CH"/>
        </w:rPr>
        <w:tab/>
        <w:t xml:space="preserve">dans le cas d'une station du service fixe située dans l'hémisphère </w:t>
      </w:r>
    </w:p>
    <w:p w:rsidR="00CE4097" w:rsidRDefault="00CE4097" w:rsidP="00CE4097">
      <w:pPr>
        <w:pStyle w:val="Equation"/>
        <w:tabs>
          <w:tab w:val="left" w:pos="2160"/>
          <w:tab w:val="left" w:pos="2700"/>
        </w:tabs>
        <w:spacing w:before="0"/>
        <w:ind w:left="10080" w:hanging="10080"/>
        <w:jc w:val="left"/>
        <w:rPr>
          <w:lang w:val="fr-CH"/>
        </w:rPr>
      </w:pPr>
      <w:r>
        <w:rPr>
          <w:lang w:val="fr-CH"/>
        </w:rPr>
        <w:tab/>
      </w:r>
      <w:r>
        <w:rPr>
          <w:lang w:val="fr-CH"/>
        </w:rPr>
        <w:tab/>
      </w:r>
      <w:r>
        <w:rPr>
          <w:lang w:val="fr-CH"/>
        </w:rPr>
        <w:tab/>
        <w:t>nord, les satellites étant situés à l'ouest de cette station</w:t>
      </w:r>
      <w:r>
        <w:rPr>
          <w:lang w:val="fr-CH"/>
        </w:rPr>
        <w:tab/>
        <w:t>(5a)</w:t>
      </w:r>
    </w:p>
    <w:p w:rsidR="00CE4097" w:rsidRDefault="00CE4097" w:rsidP="00CE4097">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180</w:t>
      </w:r>
      <w:r w:rsidRPr="007011A7">
        <w:t>°</w:t>
      </w:r>
      <w:r>
        <w:rPr>
          <w:lang w:val="fr-CH"/>
        </w:rPr>
        <w:t xml:space="preserve">  –  </w:t>
      </w:r>
      <w:r w:rsidRPr="003F6F1C">
        <w:rPr>
          <w:position w:val="-10"/>
        </w:rPr>
        <w:object w:dxaOrig="300" w:dyaOrig="420">
          <v:shape id="_x0000_i1029" type="#_x0000_t75" style="width:15.25pt;height:21.7pt" o:ole="">
            <v:imagedata r:id="rId22" o:title=""/>
          </v:shape>
          <o:OLEObject Type="Embed" ProgID="Equation.3" ShapeID="_x0000_i1029" DrawAspect="Content" ObjectID="_1470033690" r:id="rId24"/>
        </w:object>
      </w:r>
      <w:r>
        <w:rPr>
          <w:vertAlign w:val="subscript"/>
        </w:rPr>
        <w:tab/>
      </w:r>
      <w:r>
        <w:rPr>
          <w:lang w:val="fr-CH"/>
        </w:rPr>
        <w:t xml:space="preserve">dans le cas d'une station du service fixe située dans l'hémisphère </w:t>
      </w:r>
    </w:p>
    <w:p w:rsidR="00CE4097" w:rsidRDefault="00CE4097" w:rsidP="00CE4097">
      <w:pPr>
        <w:pStyle w:val="Equation"/>
        <w:tabs>
          <w:tab w:val="left" w:pos="2700"/>
        </w:tabs>
        <w:spacing w:before="0"/>
        <w:ind w:left="9639" w:hanging="9639"/>
        <w:jc w:val="left"/>
        <w:rPr>
          <w:lang w:val="fr-CH"/>
        </w:rPr>
      </w:pPr>
      <w:r>
        <w:rPr>
          <w:lang w:val="fr-CH"/>
        </w:rPr>
        <w:tab/>
      </w:r>
      <w:r>
        <w:rPr>
          <w:lang w:val="fr-CH"/>
        </w:rPr>
        <w:tab/>
        <w:t>nord, les satellites étant situés à l'est de cette station</w:t>
      </w:r>
      <w:r>
        <w:rPr>
          <w:lang w:val="fr-CH"/>
        </w:rPr>
        <w:tab/>
        <w:t xml:space="preserve">(5b) </w:t>
      </w:r>
    </w:p>
    <w:p w:rsidR="00CE4097" w:rsidRDefault="00CE4097" w:rsidP="00CE4097">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360</w:t>
      </w:r>
      <w:r w:rsidRPr="007011A7">
        <w:t>°</w:t>
      </w:r>
      <w:r>
        <w:rPr>
          <w:lang w:val="fr-CH"/>
        </w:rPr>
        <w:t xml:space="preserve">  –  </w:t>
      </w:r>
      <w:r w:rsidRPr="003F6F1C">
        <w:rPr>
          <w:position w:val="-10"/>
        </w:rPr>
        <w:object w:dxaOrig="300" w:dyaOrig="420">
          <v:shape id="_x0000_i1030" type="#_x0000_t75" style="width:15.25pt;height:21.7pt" o:ole="">
            <v:imagedata r:id="rId22" o:title=""/>
          </v:shape>
          <o:OLEObject Type="Embed" ProgID="Equation.3" ShapeID="_x0000_i1030" DrawAspect="Content" ObjectID="_1470033691" r:id="rId25"/>
        </w:object>
      </w:r>
      <w:r>
        <w:rPr>
          <w:lang w:val="fr-CH"/>
        </w:rPr>
        <w:tab/>
        <w:t xml:space="preserve">dans le cas d'une station du service fixe située dans l'hémisphère </w:t>
      </w:r>
    </w:p>
    <w:p w:rsidR="00CE4097" w:rsidRDefault="00CE4097" w:rsidP="00CE4097">
      <w:pPr>
        <w:pStyle w:val="Equation"/>
        <w:tabs>
          <w:tab w:val="left" w:pos="2700"/>
        </w:tabs>
        <w:spacing w:before="0"/>
        <w:ind w:left="2693" w:hanging="2693"/>
        <w:jc w:val="left"/>
        <w:rPr>
          <w:lang w:val="fr-CH"/>
        </w:rPr>
      </w:pPr>
      <w:r>
        <w:rPr>
          <w:lang w:val="fr-CH"/>
        </w:rPr>
        <w:tab/>
      </w:r>
      <w:r>
        <w:rPr>
          <w:lang w:val="fr-CH"/>
        </w:rPr>
        <w:tab/>
        <w:t>sud, les satellites étant situés à l'ouest de cette station</w:t>
      </w:r>
      <w:r>
        <w:rPr>
          <w:lang w:val="fr-CH"/>
        </w:rPr>
        <w:tab/>
        <w:t xml:space="preserve">(5c) </w:t>
      </w:r>
    </w:p>
    <w:p w:rsidR="00CE4097" w:rsidRDefault="00CE4097" w:rsidP="00CE4097">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w:t>
      </w:r>
      <w:r w:rsidRPr="003F6F1C">
        <w:rPr>
          <w:position w:val="-10"/>
        </w:rPr>
        <w:object w:dxaOrig="300" w:dyaOrig="420">
          <v:shape id="_x0000_i1031" type="#_x0000_t75" style="width:15.25pt;height:21.7pt" o:ole="">
            <v:imagedata r:id="rId22" o:title=""/>
          </v:shape>
          <o:OLEObject Type="Embed" ProgID="Equation.3" ShapeID="_x0000_i1031" DrawAspect="Content" ObjectID="_1470033692" r:id="rId26"/>
        </w:object>
      </w:r>
      <w:r>
        <w:rPr>
          <w:lang w:val="fr-CH"/>
        </w:rPr>
        <w:tab/>
      </w:r>
      <w:r>
        <w:rPr>
          <w:lang w:val="fr-CH"/>
        </w:rPr>
        <w:tab/>
        <w:t xml:space="preserve">dans le cas d'une station du service fixe située dans l'hémisphère </w:t>
      </w:r>
    </w:p>
    <w:p w:rsidR="00CE4097" w:rsidRDefault="00CE4097" w:rsidP="00CE4097">
      <w:pPr>
        <w:pStyle w:val="Equation"/>
        <w:tabs>
          <w:tab w:val="left" w:pos="2160"/>
        </w:tabs>
        <w:spacing w:before="0"/>
        <w:ind w:left="2693" w:hanging="2693"/>
        <w:jc w:val="left"/>
        <w:rPr>
          <w:lang w:val="fr-CH"/>
        </w:rPr>
      </w:pPr>
      <w:r>
        <w:rPr>
          <w:lang w:val="fr-CH"/>
        </w:rPr>
        <w:tab/>
      </w:r>
      <w:r>
        <w:rPr>
          <w:lang w:val="fr-CH"/>
        </w:rPr>
        <w:tab/>
      </w:r>
      <w:r>
        <w:rPr>
          <w:lang w:val="fr-CH"/>
        </w:rPr>
        <w:tab/>
        <w:t>sud, les satellites étant situés à l'est de cette station</w:t>
      </w:r>
      <w:r>
        <w:rPr>
          <w:lang w:val="fr-CH"/>
        </w:rPr>
        <w:tab/>
        <w:t xml:space="preserve">(5d) </w:t>
      </w:r>
    </w:p>
    <w:p w:rsidR="00CE4097" w:rsidRDefault="00CE4097" w:rsidP="00CE4097">
      <w:pPr>
        <w:pStyle w:val="Heading1"/>
        <w:rPr>
          <w:lang w:val="fr-CH"/>
        </w:rPr>
      </w:pPr>
      <w:bookmarkStart w:id="21" w:name="_Toc392920257"/>
      <w:r>
        <w:rPr>
          <w:lang w:val="fr-CH"/>
        </w:rPr>
        <w:lastRenderedPageBreak/>
        <w:t>4</w:t>
      </w:r>
      <w:r>
        <w:rPr>
          <w:lang w:val="fr-CH"/>
        </w:rPr>
        <w:tab/>
        <w:t>Détermination de l'élévation du satellite</w:t>
      </w:r>
      <w:bookmarkEnd w:id="21"/>
    </w:p>
    <w:p w:rsidR="00CE4097" w:rsidRDefault="00CE4097" w:rsidP="00CE4097">
      <w:pPr>
        <w:keepNext/>
        <w:keepLines/>
        <w:rPr>
          <w:lang w:val="fr-CH"/>
        </w:rPr>
      </w:pPr>
      <w:r>
        <w:rPr>
          <w:lang w:val="fr-CH"/>
        </w:rPr>
        <w:t>On calcule tout d'abord l'élévation</w:t>
      </w:r>
      <w:r w:rsidRPr="003F6F1C">
        <w:rPr>
          <w:position w:val="-10"/>
        </w:rPr>
        <w:object w:dxaOrig="440" w:dyaOrig="320">
          <v:shape id="_x0000_i1032" type="#_x0000_t75" style="width:21.7pt;height:15.7pt" o:ole="">
            <v:imagedata r:id="rId27" o:title=""/>
          </v:shape>
          <o:OLEObject Type="Embed" ProgID="Equation.3" ShapeID="_x0000_i1032" DrawAspect="Content" ObjectID="_1470033693" r:id="rId28"/>
        </w:object>
      </w:r>
      <w:r>
        <w:rPr>
          <w:lang w:val="fr-CH"/>
        </w:rPr>
        <w:t>du satellite vu de la station du service fixe, en supposant qu'il n'y a pas de réfraction dans l'atmosphère:</w:t>
      </w:r>
    </w:p>
    <w:p w:rsidR="00CE4097" w:rsidRPr="005027B1" w:rsidRDefault="00CE4097" w:rsidP="00CE4097">
      <w:pPr>
        <w:pStyle w:val="Blanc"/>
        <w:rPr>
          <w:lang w:val="fr-CH"/>
        </w:rPr>
      </w:pPr>
    </w:p>
    <w:p w:rsidR="00CE4097" w:rsidRPr="00AC4297" w:rsidRDefault="00CE4097" w:rsidP="00CE4097">
      <w:pPr>
        <w:pStyle w:val="Equation"/>
        <w:rPr>
          <w:lang w:val="fr-CH"/>
        </w:rPr>
      </w:pPr>
      <w:r>
        <w:rPr>
          <w:lang w:val="fr-CH"/>
        </w:rPr>
        <w:tab/>
      </w:r>
      <w:r>
        <w:rPr>
          <w:lang w:val="fr-CH"/>
        </w:rPr>
        <w:tab/>
      </w:r>
      <w:r w:rsidRPr="003F6F1C">
        <w:rPr>
          <w:position w:val="-32"/>
        </w:rPr>
        <w:object w:dxaOrig="2579" w:dyaOrig="760">
          <v:shape id="_x0000_i1033" type="#_x0000_t75" style="width:128.3pt;height:39.25pt" o:ole="">
            <v:imagedata r:id="rId29" o:title=""/>
          </v:shape>
          <o:OLEObject Type="Embed" ProgID="Equation.3" ShapeID="_x0000_i1033" DrawAspect="Content" ObjectID="_1470033694" r:id="rId30"/>
        </w:object>
      </w:r>
      <w:r>
        <w:rPr>
          <w:lang w:val="fr-CH"/>
        </w:rPr>
        <w:tab/>
        <w:t>(6)</w:t>
      </w:r>
    </w:p>
    <w:p w:rsidR="00CE4097" w:rsidRDefault="00CE4097" w:rsidP="00CE4097">
      <w:pPr>
        <w:rPr>
          <w:lang w:val="fr-CH"/>
        </w:rPr>
      </w:pPr>
      <w:r>
        <w:rPr>
          <w:lang w:val="fr-CH"/>
        </w:rPr>
        <w:t>où:</w:t>
      </w:r>
    </w:p>
    <w:p w:rsidR="00CE4097" w:rsidRPr="00370B5B" w:rsidRDefault="00CE4097" w:rsidP="00CE4097">
      <w:pPr>
        <w:pStyle w:val="Equationlegend"/>
        <w:rPr>
          <w:lang w:val="fr-CH"/>
        </w:rPr>
      </w:pPr>
      <w:r w:rsidRPr="00370B5B">
        <w:rPr>
          <w:lang w:val="fr-CH"/>
        </w:rPr>
        <w:tab/>
      </w:r>
      <w:r w:rsidRPr="00370B5B">
        <w:rPr>
          <w:i/>
          <w:lang w:val="fr-CH"/>
        </w:rPr>
        <w:t>K</w:t>
      </w:r>
      <w:r w:rsidRPr="00370B5B">
        <w:rPr>
          <w:lang w:val="fr-CH"/>
        </w:rPr>
        <w:t xml:space="preserve"> </w:t>
      </w:r>
      <w:r w:rsidRPr="007011A7">
        <w:rPr>
          <w:lang w:val="fr-CH"/>
        </w:rPr>
        <w:t>=</w:t>
      </w:r>
      <w:r>
        <w:rPr>
          <w:lang w:val="fr-CH"/>
        </w:rPr>
        <w:tab/>
      </w:r>
      <w:r w:rsidRPr="00370B5B">
        <w:rPr>
          <w:i/>
          <w:lang w:val="fr-CH"/>
        </w:rPr>
        <w:t>R</w:t>
      </w:r>
      <w:r w:rsidRPr="00370B5B">
        <w:rPr>
          <w:i/>
          <w:vertAlign w:val="subscript"/>
          <w:lang w:val="fr-CH"/>
        </w:rPr>
        <w:t>s</w:t>
      </w:r>
      <w:r w:rsidRPr="00370B5B">
        <w:rPr>
          <w:rFonts w:ascii="Tms Rmn" w:hAnsi="Tms Rmn"/>
          <w:vertAlign w:val="subscript"/>
          <w:lang w:val="fr-CH"/>
        </w:rPr>
        <w:t> </w:t>
      </w:r>
      <w:r w:rsidRPr="00370B5B">
        <w:rPr>
          <w:lang w:val="fr-CH"/>
        </w:rPr>
        <w:t>/</w:t>
      </w:r>
      <w:r w:rsidRPr="00370B5B">
        <w:rPr>
          <w:rFonts w:ascii="Tms Rmn" w:hAnsi="Tms Rmn"/>
          <w:position w:val="-4"/>
          <w:sz w:val="8"/>
          <w:lang w:val="fr-CH"/>
        </w:rPr>
        <w:t> </w:t>
      </w:r>
      <w:r w:rsidRPr="00370B5B">
        <w:rPr>
          <w:i/>
          <w:lang w:val="fr-CH"/>
        </w:rPr>
        <w:t>R</w:t>
      </w:r>
      <w:r w:rsidRPr="00370B5B">
        <w:rPr>
          <w:vertAlign w:val="subscript"/>
          <w:lang w:val="fr-CH"/>
        </w:rPr>
        <w:t>1</w:t>
      </w:r>
    </w:p>
    <w:p w:rsidR="00CE4097" w:rsidRPr="00370B5B" w:rsidRDefault="00CE4097" w:rsidP="00CE4097">
      <w:pPr>
        <w:pStyle w:val="Equationlegend"/>
        <w:rPr>
          <w:lang w:val="fr-CH"/>
        </w:rPr>
      </w:pPr>
      <w:r>
        <w:rPr>
          <w:lang w:val="fr-CH"/>
        </w:rPr>
        <w:tab/>
      </w:r>
      <w:r>
        <w:rPr>
          <w:i/>
          <w:lang w:val="fr-CH"/>
        </w:rPr>
        <w:t>R</w:t>
      </w:r>
      <w:r>
        <w:rPr>
          <w:i/>
          <w:vertAlign w:val="subscript"/>
          <w:lang w:val="fr-CH"/>
        </w:rPr>
        <w:t>s</w:t>
      </w:r>
      <w:r>
        <w:rPr>
          <w:lang w:val="fr-CH"/>
        </w:rPr>
        <w:t xml:space="preserve"> </w:t>
      </w:r>
      <w:r w:rsidRPr="00AC4297">
        <w:rPr>
          <w:lang w:val="fr-CH"/>
        </w:rPr>
        <w:t>=</w:t>
      </w:r>
      <w:r>
        <w:rPr>
          <w:lang w:val="fr-CH"/>
        </w:rPr>
        <w:tab/>
        <w:t>42</w:t>
      </w:r>
      <w:r>
        <w:rPr>
          <w:rFonts w:ascii="Tms Rmn" w:hAnsi="Tms Rmn"/>
          <w:sz w:val="12"/>
          <w:lang w:val="fr-CH"/>
        </w:rPr>
        <w:t> </w:t>
      </w:r>
      <w:r>
        <w:rPr>
          <w:lang w:val="fr-CH"/>
        </w:rPr>
        <w:t>164 km (rayon de l'orbite).</w:t>
      </w:r>
    </w:p>
    <w:p w:rsidR="00CE4097" w:rsidRDefault="00CE4097" w:rsidP="00CE4097">
      <w:pPr>
        <w:rPr>
          <w:lang w:val="fr-CH"/>
        </w:rPr>
      </w:pPr>
      <w:r>
        <w:rPr>
          <w:lang w:val="fr-CH"/>
        </w:rPr>
        <w:t>Pour tenir compte des effets de la réfraction dans l'atmosphère et de l'horizon local, on définit les angles d'élévation suivants:</w:t>
      </w:r>
    </w:p>
    <w:p w:rsidR="00CE4097" w:rsidRPr="007011A7" w:rsidRDefault="00CE4097" w:rsidP="00CE4097">
      <w:pPr>
        <w:pStyle w:val="Equationlegend"/>
        <w:rPr>
          <w:lang w:val="fr-CH"/>
        </w:rPr>
      </w:pPr>
      <w:r w:rsidRPr="00AC4297">
        <w:rPr>
          <w:lang w:val="fr-CH"/>
        </w:rPr>
        <w:tab/>
      </w:r>
      <w:r w:rsidRPr="007011A7">
        <w:sym w:font="Symbol" w:char="F065"/>
      </w:r>
      <w:r w:rsidRPr="007011A7">
        <w:rPr>
          <w:i/>
          <w:vertAlign w:val="subscript"/>
          <w:lang w:val="fr-CH"/>
        </w:rPr>
        <w:t>m</w:t>
      </w:r>
      <w:r w:rsidRPr="007011A7">
        <w:rPr>
          <w:iCs/>
          <w:vertAlign w:val="subscript"/>
          <w:lang w:val="fr-CH"/>
        </w:rPr>
        <w:t>1</w:t>
      </w:r>
      <w:r w:rsidRPr="007011A7">
        <w:rPr>
          <w:lang w:val="fr-CH"/>
        </w:rPr>
        <w:t>:</w:t>
      </w:r>
      <w:r w:rsidRPr="007011A7">
        <w:rPr>
          <w:lang w:val="fr-CH"/>
        </w:rPr>
        <w:tab/>
        <w:t>angle d'élévation en direction de l'horizon local, pour une courbure atmosphérique maximale, vu de l'altitude de l'antenne du service fixe à l'azimut du satellite (</w:t>
      </w:r>
      <w:r w:rsidRPr="007011A7">
        <w:sym w:font="Symbol" w:char="F061"/>
      </w:r>
      <w:r w:rsidRPr="007011A7">
        <w:rPr>
          <w:i/>
          <w:vertAlign w:val="subscript"/>
          <w:lang w:val="fr-CH"/>
        </w:rPr>
        <w:t>s</w:t>
      </w:r>
      <w:r w:rsidRPr="007011A7">
        <w:rPr>
          <w:lang w:val="fr-CH"/>
        </w:rPr>
        <w:t>) (voir la Note 1);</w:t>
      </w:r>
    </w:p>
    <w:p w:rsidR="00CE4097" w:rsidRPr="007011A7" w:rsidRDefault="00CE4097" w:rsidP="00CE4097">
      <w:pPr>
        <w:pStyle w:val="Equationlegend"/>
        <w:rPr>
          <w:lang w:val="fr-CH"/>
        </w:rPr>
      </w:pPr>
      <w:r w:rsidRPr="007011A7">
        <w:rPr>
          <w:lang w:val="fr-CH"/>
        </w:rPr>
        <w:tab/>
      </w:r>
      <w:r w:rsidRPr="007011A7">
        <w:sym w:font="Symbol" w:char="F065"/>
      </w:r>
      <w:r w:rsidRPr="007011A7">
        <w:rPr>
          <w:i/>
          <w:vertAlign w:val="subscript"/>
          <w:lang w:val="fr-CH"/>
        </w:rPr>
        <w:t>m</w:t>
      </w:r>
      <w:r w:rsidRPr="007011A7">
        <w:rPr>
          <w:iCs/>
          <w:vertAlign w:val="subscript"/>
          <w:lang w:val="fr-CH"/>
        </w:rPr>
        <w:t>2</w:t>
      </w:r>
      <w:r w:rsidRPr="007011A7">
        <w:rPr>
          <w:lang w:val="fr-CH"/>
        </w:rPr>
        <w:t>:</w:t>
      </w:r>
      <w:r w:rsidRPr="007011A7">
        <w:rPr>
          <w:lang w:val="fr-CH"/>
        </w:rPr>
        <w:tab/>
        <w:t>angle d'élévation en direction de l'horizon local, pour une courbure atmosphérique minimale, vu de l'altitude de l'antenne du service fixe à l'azimut du satellite (</w:t>
      </w:r>
      <w:r w:rsidRPr="007011A7">
        <w:sym w:font="Symbol" w:char="F061"/>
      </w:r>
      <w:r w:rsidRPr="007011A7">
        <w:rPr>
          <w:i/>
          <w:vertAlign w:val="subscript"/>
          <w:lang w:val="fr-CH"/>
        </w:rPr>
        <w:t>s</w:t>
      </w:r>
      <w:r w:rsidRPr="007011A7">
        <w:rPr>
          <w:lang w:val="fr-CH"/>
        </w:rPr>
        <w:t>) (voir la Note 1).</w:t>
      </w:r>
    </w:p>
    <w:p w:rsidR="00CE4097" w:rsidRDefault="00CE4097" w:rsidP="00CE4097">
      <w:pPr>
        <w:rPr>
          <w:lang w:val="fr-CH"/>
        </w:rPr>
      </w:pPr>
      <w:r>
        <w:rPr>
          <w:lang w:val="fr-CH"/>
        </w:rPr>
        <w:t>On détermine ensuite la visibilité du satellite:</w:t>
      </w:r>
    </w:p>
    <w:p w:rsidR="00CE4097" w:rsidRDefault="00CE4097" w:rsidP="00CE4097">
      <w:pPr>
        <w:pStyle w:val="enumlev1"/>
        <w:rPr>
          <w:lang w:val="fr-CH"/>
        </w:rPr>
      </w:pPr>
      <w:r>
        <w:rPr>
          <w:lang w:val="fr-CH"/>
        </w:rPr>
        <w:t>–</w:t>
      </w:r>
      <w:r>
        <w:rPr>
          <w:lang w:val="fr-CH"/>
        </w:rPr>
        <w:tab/>
        <w:t xml:space="preserve">on calcule </w:t>
      </w:r>
      <w:r w:rsidRPr="007011A7">
        <w:sym w:font="Symbol" w:char="F065"/>
      </w:r>
      <w:r>
        <w:rPr>
          <w:vertAlign w:val="subscript"/>
          <w:lang w:val="fr-CH"/>
        </w:rPr>
        <w:t>1</w:t>
      </w:r>
      <w:r>
        <w:rPr>
          <w:lang w:val="fr-CH"/>
        </w:rPr>
        <w:t xml:space="preserve"> </w:t>
      </w:r>
      <w:r w:rsidRPr="007011A7">
        <w:t>=</w:t>
      </w:r>
      <w:r>
        <w:rPr>
          <w:lang w:val="fr-CH"/>
        </w:rPr>
        <w:t xml:space="preserve"> </w:t>
      </w:r>
      <w:r w:rsidRPr="007011A7">
        <w:sym w:font="Symbol" w:char="F065"/>
      </w:r>
      <w:r>
        <w:rPr>
          <w:i/>
          <w:vertAlign w:val="subscript"/>
          <w:lang w:val="fr-CH"/>
        </w:rPr>
        <w:t>m</w:t>
      </w:r>
      <w:r>
        <w:rPr>
          <w:vertAlign w:val="subscript"/>
          <w:lang w:val="fr-CH"/>
        </w:rPr>
        <w:t>1</w:t>
      </w:r>
      <w:r>
        <w:rPr>
          <w:lang w:val="fr-CH"/>
        </w:rPr>
        <w:t xml:space="preserve"> – </w:t>
      </w:r>
      <w:r w:rsidRPr="007011A7">
        <w:sym w:font="Symbol" w:char="F074"/>
      </w:r>
      <w:r>
        <w:rPr>
          <w:i/>
          <w:vertAlign w:val="subscript"/>
          <w:lang w:val="fr-CH"/>
        </w:rPr>
        <w:t>max</w:t>
      </w:r>
      <w:r>
        <w:rPr>
          <w:vertAlign w:val="subscript"/>
          <w:lang w:val="fr-CH"/>
        </w:rPr>
        <w:t> </w:t>
      </w:r>
      <w:r>
        <w:rPr>
          <w:lang w:val="fr-CH"/>
        </w:rPr>
        <w:t>(</w:t>
      </w:r>
      <w:r w:rsidRPr="007011A7">
        <w:sym w:font="Symbol" w:char="F065"/>
      </w:r>
      <w:r>
        <w:rPr>
          <w:i/>
          <w:vertAlign w:val="subscript"/>
          <w:lang w:val="fr-CH"/>
        </w:rPr>
        <w:t>m</w:t>
      </w:r>
      <w:r>
        <w:rPr>
          <w:vertAlign w:val="subscript"/>
          <w:lang w:val="fr-CH"/>
        </w:rPr>
        <w:t>1</w:t>
      </w:r>
      <w:r>
        <w:rPr>
          <w:lang w:val="fr-CH"/>
        </w:rPr>
        <w:t xml:space="preserve">, </w:t>
      </w:r>
      <w:r>
        <w:rPr>
          <w:i/>
          <w:lang w:val="fr-CH"/>
        </w:rPr>
        <w:t>h</w:t>
      </w:r>
      <w:r>
        <w:rPr>
          <w:lang w:val="fr-CH"/>
        </w:rPr>
        <w:t xml:space="preserve">) et </w:t>
      </w:r>
      <w:r w:rsidRPr="007011A7">
        <w:sym w:font="Symbol" w:char="F065"/>
      </w:r>
      <w:r>
        <w:rPr>
          <w:vertAlign w:val="subscript"/>
          <w:lang w:val="fr-CH"/>
        </w:rPr>
        <w:t>2</w:t>
      </w:r>
      <w:r>
        <w:rPr>
          <w:lang w:val="fr-CH"/>
        </w:rPr>
        <w:t xml:space="preserve"> </w:t>
      </w:r>
      <w:r w:rsidRPr="007011A7">
        <w:t>=</w:t>
      </w:r>
      <w:r>
        <w:rPr>
          <w:lang w:val="fr-CH"/>
        </w:rPr>
        <w:t xml:space="preserve"> </w:t>
      </w:r>
      <w:r w:rsidRPr="007011A7">
        <w:sym w:font="Symbol" w:char="F065"/>
      </w:r>
      <w:r>
        <w:rPr>
          <w:i/>
          <w:vertAlign w:val="subscript"/>
          <w:lang w:val="fr-CH"/>
        </w:rPr>
        <w:t>m</w:t>
      </w:r>
      <w:r>
        <w:rPr>
          <w:vertAlign w:val="subscript"/>
          <w:lang w:val="fr-CH"/>
        </w:rPr>
        <w:t>2</w:t>
      </w:r>
      <w:r>
        <w:rPr>
          <w:lang w:val="fr-CH"/>
        </w:rPr>
        <w:t xml:space="preserve"> – </w:t>
      </w:r>
      <w:r w:rsidRPr="007011A7">
        <w:sym w:font="Symbol" w:char="F074"/>
      </w:r>
      <w:r>
        <w:rPr>
          <w:i/>
          <w:vertAlign w:val="subscript"/>
          <w:lang w:val="fr-CH"/>
        </w:rPr>
        <w:t>min</w:t>
      </w:r>
      <w:r>
        <w:rPr>
          <w:vertAlign w:val="subscript"/>
          <w:lang w:val="fr-CH"/>
        </w:rPr>
        <w:t> </w:t>
      </w:r>
      <w:r>
        <w:rPr>
          <w:lang w:val="fr-CH"/>
        </w:rPr>
        <w:t>(</w:t>
      </w:r>
      <w:r w:rsidRPr="007011A7">
        <w:sym w:font="Symbol" w:char="F065"/>
      </w:r>
      <w:r>
        <w:rPr>
          <w:i/>
          <w:vertAlign w:val="subscript"/>
          <w:lang w:val="fr-CH"/>
        </w:rPr>
        <w:t>m</w:t>
      </w:r>
      <w:r>
        <w:rPr>
          <w:vertAlign w:val="subscript"/>
          <w:lang w:val="fr-CH"/>
        </w:rPr>
        <w:t>2</w:t>
      </w:r>
      <w:r>
        <w:rPr>
          <w:lang w:val="fr-CH"/>
        </w:rPr>
        <w:t>,</w:t>
      </w:r>
      <w:r>
        <w:rPr>
          <w:i/>
          <w:lang w:val="fr-CH"/>
        </w:rPr>
        <w:t xml:space="preserve"> h</w:t>
      </w:r>
      <w:r>
        <w:rPr>
          <w:lang w:val="fr-CH"/>
        </w:rPr>
        <w:t xml:space="preserve">), </w:t>
      </w:r>
      <w:r w:rsidRPr="007011A7">
        <w:sym w:font="Symbol" w:char="F074"/>
      </w:r>
      <w:r>
        <w:rPr>
          <w:i/>
          <w:vertAlign w:val="subscript"/>
          <w:lang w:val="fr-CH"/>
        </w:rPr>
        <w:t>max</w:t>
      </w:r>
      <w:r>
        <w:rPr>
          <w:vertAlign w:val="subscript"/>
          <w:lang w:val="fr-CH"/>
        </w:rPr>
        <w:t> </w:t>
      </w:r>
      <w:r>
        <w:rPr>
          <w:lang w:val="fr-CH"/>
        </w:rPr>
        <w:t>(</w:t>
      </w:r>
      <w:r w:rsidRPr="007011A7">
        <w:sym w:font="Symbol" w:char="F065"/>
      </w:r>
      <w:r>
        <w:rPr>
          <w:lang w:val="fr-CH"/>
        </w:rPr>
        <w:t xml:space="preserve">, </w:t>
      </w:r>
      <w:r>
        <w:rPr>
          <w:i/>
          <w:lang w:val="fr-CH"/>
        </w:rPr>
        <w:t>h</w:t>
      </w:r>
      <w:r>
        <w:rPr>
          <w:lang w:val="fr-CH"/>
        </w:rPr>
        <w:t xml:space="preserve">) et </w:t>
      </w:r>
      <w:r w:rsidRPr="007011A7">
        <w:sym w:font="Symbol" w:char="F074"/>
      </w:r>
      <w:r>
        <w:rPr>
          <w:i/>
          <w:vertAlign w:val="subscript"/>
          <w:lang w:val="fr-CH"/>
        </w:rPr>
        <w:t>min</w:t>
      </w:r>
      <w:r>
        <w:rPr>
          <w:vertAlign w:val="subscript"/>
          <w:lang w:val="fr-CH"/>
        </w:rPr>
        <w:t> </w:t>
      </w:r>
      <w:r>
        <w:rPr>
          <w:lang w:val="fr-CH"/>
        </w:rPr>
        <w:t>(</w:t>
      </w:r>
      <w:r w:rsidRPr="007011A7">
        <w:sym w:font="Symbol" w:char="F065"/>
      </w:r>
      <w:r>
        <w:rPr>
          <w:lang w:val="fr-CH"/>
        </w:rPr>
        <w:t>,</w:t>
      </w:r>
      <w:r>
        <w:rPr>
          <w:i/>
          <w:lang w:val="fr-CH"/>
        </w:rPr>
        <w:t xml:space="preserve"> h</w:t>
      </w:r>
      <w:r>
        <w:rPr>
          <w:lang w:val="fr-CH"/>
        </w:rPr>
        <w:t xml:space="preserve">) étant respectivement les valeurs maximale et minimale de courbure atmosphérique correspondant à l'angle d'élévation </w:t>
      </w:r>
      <w:r w:rsidRPr="007011A7">
        <w:sym w:font="Symbol" w:char="F065"/>
      </w:r>
      <w:r>
        <w:rPr>
          <w:lang w:val="fr-CH"/>
        </w:rPr>
        <w:t>, (les formules numériques étant données dans la Note 2);</w:t>
      </w:r>
    </w:p>
    <w:p w:rsidR="00CE4097" w:rsidRDefault="00CE4097" w:rsidP="00CE4097">
      <w:pPr>
        <w:pStyle w:val="enumlev1"/>
        <w:rPr>
          <w:lang w:val="fr-CH"/>
        </w:rPr>
      </w:pPr>
      <w:r>
        <w:rPr>
          <w:lang w:val="fr-CH"/>
        </w:rPr>
        <w:t>–</w:t>
      </w:r>
      <w:r>
        <w:rPr>
          <w:lang w:val="fr-CH"/>
        </w:rPr>
        <w:tab/>
        <w:t xml:space="preserve">lorsque </w:t>
      </w:r>
      <w:r w:rsidRPr="007011A7">
        <w:sym w:font="Symbol" w:char="F065"/>
      </w:r>
      <w:r>
        <w:rPr>
          <w:vertAlign w:val="subscript"/>
          <w:lang w:val="fr-CH"/>
        </w:rPr>
        <w:t>2</w:t>
      </w:r>
      <w:r>
        <w:rPr>
          <w:lang w:val="fr-CH"/>
        </w:rPr>
        <w:t> </w:t>
      </w:r>
      <w:r w:rsidRPr="007011A7">
        <w:sym w:font="Symbol" w:char="F0A3"/>
      </w:r>
      <w:r w:rsidRPr="003F6F1C">
        <w:rPr>
          <w:position w:val="-14"/>
        </w:rPr>
        <w:object w:dxaOrig="320" w:dyaOrig="380">
          <v:shape id="_x0000_i1034" type="#_x0000_t75" style="width:15.7pt;height:18.9pt" o:ole="">
            <v:imagedata r:id="rId31" o:title=""/>
          </v:shape>
          <o:OLEObject Type="Embed" ProgID="Equation.3" ShapeID="_x0000_i1034" DrawAspect="Content" ObjectID="_1470033695" r:id="rId32"/>
        </w:object>
      </w:r>
      <w:r>
        <w:rPr>
          <w:lang w:val="fr-CH"/>
        </w:rPr>
        <w:t>le satellite est toujours visible;</w:t>
      </w:r>
    </w:p>
    <w:p w:rsidR="00CE4097" w:rsidRDefault="00CE4097" w:rsidP="00CE4097">
      <w:pPr>
        <w:pStyle w:val="enumlev1"/>
        <w:rPr>
          <w:lang w:val="fr-CH"/>
        </w:rPr>
      </w:pPr>
      <w:r>
        <w:rPr>
          <w:lang w:val="fr-CH"/>
        </w:rPr>
        <w:t>–</w:t>
      </w:r>
      <w:r>
        <w:rPr>
          <w:lang w:val="fr-CH"/>
        </w:rPr>
        <w:tab/>
        <w:t xml:space="preserve">lorsque </w:t>
      </w:r>
      <w:r w:rsidRPr="007011A7">
        <w:sym w:font="Symbol" w:char="F065"/>
      </w:r>
      <w:r>
        <w:rPr>
          <w:vertAlign w:val="subscript"/>
          <w:lang w:val="fr-CH"/>
        </w:rPr>
        <w:t>1</w:t>
      </w:r>
      <w:r>
        <w:rPr>
          <w:lang w:val="fr-CH"/>
        </w:rPr>
        <w:t> </w:t>
      </w:r>
      <w:r w:rsidRPr="007011A7">
        <w:sym w:font="Symbol" w:char="F0A3"/>
      </w:r>
      <w:r w:rsidRPr="003F6F1C">
        <w:rPr>
          <w:position w:val="-12"/>
        </w:rPr>
        <w:object w:dxaOrig="280" w:dyaOrig="360">
          <v:shape id="_x0000_i1035" type="#_x0000_t75" style="width:14.3pt;height:18pt" o:ole="">
            <v:imagedata r:id="rId33" o:title=""/>
          </v:shape>
          <o:OLEObject Type="Embed" ProgID="Equation.3" ShapeID="_x0000_i1035" DrawAspect="Content" ObjectID="_1470033696" r:id="rId34"/>
        </w:object>
      </w:r>
      <w:r w:rsidRPr="007011A7">
        <w:t>&lt;</w:t>
      </w:r>
      <w:r>
        <w:rPr>
          <w:lang w:val="fr-CH"/>
        </w:rPr>
        <w:t> </w:t>
      </w:r>
      <w:r w:rsidRPr="007011A7">
        <w:sym w:font="Symbol" w:char="F065"/>
      </w:r>
      <w:r>
        <w:rPr>
          <w:vertAlign w:val="subscript"/>
          <w:lang w:val="fr-CH"/>
        </w:rPr>
        <w:t>2</w:t>
      </w:r>
      <w:r>
        <w:rPr>
          <w:lang w:val="fr-CH"/>
        </w:rPr>
        <w:t>, le satellite est visible pendant un certain pourcentage de temps;</w:t>
      </w:r>
    </w:p>
    <w:p w:rsidR="00CE4097" w:rsidRDefault="00CE4097" w:rsidP="00CE4097">
      <w:pPr>
        <w:pStyle w:val="enumlev1"/>
        <w:rPr>
          <w:lang w:val="fr-CH"/>
        </w:rPr>
      </w:pPr>
      <w:r>
        <w:rPr>
          <w:lang w:val="fr-CH"/>
        </w:rPr>
        <w:t>–</w:t>
      </w:r>
      <w:r>
        <w:rPr>
          <w:lang w:val="fr-CH"/>
        </w:rPr>
        <w:tab/>
        <w:t>lorsque</w:t>
      </w:r>
      <w:r w:rsidRPr="003F6F1C">
        <w:rPr>
          <w:position w:val="-12"/>
        </w:rPr>
        <w:object w:dxaOrig="280" w:dyaOrig="360">
          <v:shape id="_x0000_i1036" type="#_x0000_t75" style="width:14.3pt;height:18pt" o:ole="">
            <v:imagedata r:id="rId33" o:title=""/>
          </v:shape>
          <o:OLEObject Type="Embed" ProgID="Equation.3" ShapeID="_x0000_i1036" DrawAspect="Content" ObjectID="_1470033697" r:id="rId35"/>
        </w:object>
      </w:r>
      <w:r w:rsidRPr="007011A7">
        <w:t>&lt;</w:t>
      </w:r>
      <w:r>
        <w:t xml:space="preserve"> </w:t>
      </w:r>
      <w:r w:rsidRPr="007011A7">
        <w:sym w:font="Symbol" w:char="F065"/>
      </w:r>
      <w:r>
        <w:rPr>
          <w:vertAlign w:val="subscript"/>
          <w:lang w:val="fr-CH"/>
        </w:rPr>
        <w:t>1</w:t>
      </w:r>
      <w:r>
        <w:rPr>
          <w:lang w:val="fr-CH"/>
        </w:rPr>
        <w:t>, le satellite n'est pas visible, quelles que soient les conditions de réfraction dues à l'atmosphère, si bien qu'il n'y a pas lieu de poursuivre le calcul.</w:t>
      </w:r>
    </w:p>
    <w:p w:rsidR="00CE4097" w:rsidRDefault="00CE4097" w:rsidP="00CE4097">
      <w:pPr>
        <w:rPr>
          <w:lang w:val="fr-CH"/>
        </w:rPr>
      </w:pPr>
      <w:r>
        <w:rPr>
          <w:lang w:val="fr-CH"/>
        </w:rPr>
        <w:t xml:space="preserve">Lorsque </w:t>
      </w:r>
      <w:r w:rsidRPr="007011A7">
        <w:sym w:font="Symbol" w:char="F065"/>
      </w:r>
      <w:r>
        <w:rPr>
          <w:vertAlign w:val="subscript"/>
          <w:lang w:val="fr-CH"/>
        </w:rPr>
        <w:t>2</w:t>
      </w:r>
      <w:r>
        <w:rPr>
          <w:lang w:val="fr-CH"/>
        </w:rPr>
        <w:t> </w:t>
      </w:r>
      <w:r w:rsidRPr="007011A7">
        <w:sym w:font="Symbol" w:char="F0A3"/>
      </w:r>
      <w:r w:rsidRPr="007011A7">
        <w:t xml:space="preserve"> </w:t>
      </w:r>
      <w:r w:rsidRPr="003F6F1C">
        <w:rPr>
          <w:position w:val="-14"/>
        </w:rPr>
        <w:object w:dxaOrig="320" w:dyaOrig="380">
          <v:shape id="_x0000_i1037" type="#_x0000_t75" style="width:15.7pt;height:18.9pt" o:ole="">
            <v:imagedata r:id="rId36" o:title=""/>
          </v:shape>
          <o:OLEObject Type="Embed" ProgID="Equation.3" ShapeID="_x0000_i1037" DrawAspect="Content" ObjectID="_1470033698" r:id="rId37"/>
        </w:object>
      </w:r>
      <w:r>
        <w:rPr>
          <w:lang w:val="fr-CH"/>
        </w:rPr>
        <w:t xml:space="preserve">les angles d'élévation </w:t>
      </w:r>
      <w:r w:rsidRPr="007011A7">
        <w:sym w:font="Symbol" w:char="F065"/>
      </w:r>
      <w:r>
        <w:rPr>
          <w:i/>
          <w:vertAlign w:val="subscript"/>
          <w:lang w:val="fr-CH"/>
        </w:rPr>
        <w:t>s max</w:t>
      </w:r>
      <w:r>
        <w:rPr>
          <w:vertAlign w:val="subscript"/>
          <w:lang w:val="fr-CH"/>
        </w:rPr>
        <w:t xml:space="preserve"> </w:t>
      </w:r>
      <w:r>
        <w:rPr>
          <w:lang w:val="fr-CH"/>
        </w:rPr>
        <w:t xml:space="preserve">et </w:t>
      </w:r>
      <w:r w:rsidRPr="007011A7">
        <w:sym w:font="Symbol" w:char="F065"/>
      </w:r>
      <w:r>
        <w:rPr>
          <w:i/>
          <w:vertAlign w:val="subscript"/>
          <w:lang w:val="fr-CH"/>
        </w:rPr>
        <w:t>s min</w:t>
      </w:r>
      <w:r>
        <w:rPr>
          <w:lang w:val="fr-CH"/>
        </w:rPr>
        <w:t xml:space="preserve"> du satellite correspondant respectivement aux courbures atmosphériques maximale et minimale peuvent être calculés par résolution du système d'équation suivant (voir la Note 3):</w:t>
      </w:r>
    </w:p>
    <w:p w:rsidR="00CE4097" w:rsidRPr="005027B1" w:rsidRDefault="00CE4097" w:rsidP="00CE4097">
      <w:pPr>
        <w:pStyle w:val="Blanc"/>
        <w:rPr>
          <w:lang w:val="fr-CH"/>
        </w:rPr>
      </w:pPr>
    </w:p>
    <w:p w:rsidR="00CE4097" w:rsidRPr="007011A7" w:rsidRDefault="00CE4097" w:rsidP="00CE4097">
      <w:pPr>
        <w:pStyle w:val="Equation"/>
        <w:rPr>
          <w:lang w:val="en-US"/>
        </w:rPr>
      </w:pPr>
      <w:r>
        <w:rPr>
          <w:lang w:val="fr-CH"/>
        </w:rPr>
        <w:tab/>
      </w:r>
      <w:r>
        <w:rPr>
          <w:lang w:val="fr-CH"/>
        </w:rPr>
        <w:tab/>
      </w:r>
      <w:r w:rsidRPr="007011A7">
        <w:sym w:font="Symbol" w:char="F065"/>
      </w:r>
      <w:r w:rsidRPr="007011A7">
        <w:rPr>
          <w:i/>
          <w:position w:val="-4"/>
          <w:sz w:val="18"/>
          <w:lang w:val="en-US"/>
        </w:rPr>
        <w:t>s max</w:t>
      </w:r>
      <w:r w:rsidRPr="007011A7">
        <w:rPr>
          <w:lang w:val="en-US"/>
        </w:rPr>
        <w:t xml:space="preserve">  –  </w:t>
      </w:r>
      <w:r>
        <w:sym w:font="Symbol" w:char="0074"/>
      </w:r>
      <w:r w:rsidRPr="007011A7">
        <w:rPr>
          <w:i/>
          <w:position w:val="-4"/>
          <w:sz w:val="18"/>
          <w:lang w:val="en-US"/>
        </w:rPr>
        <w:t>max</w:t>
      </w:r>
      <w:r w:rsidRPr="007011A7">
        <w:rPr>
          <w:rFonts w:ascii="Tms Rmn" w:hAnsi="Tms Rmn"/>
          <w:position w:val="-4"/>
          <w:sz w:val="12"/>
          <w:lang w:val="en-US"/>
        </w:rPr>
        <w:t> </w:t>
      </w:r>
      <w:r w:rsidRPr="007011A7">
        <w:rPr>
          <w:lang w:val="en-US"/>
        </w:rPr>
        <w:t>(</w:t>
      </w:r>
      <w:r w:rsidRPr="007011A7">
        <w:sym w:font="Symbol" w:char="F065"/>
      </w:r>
      <w:r w:rsidRPr="007011A7">
        <w:rPr>
          <w:i/>
          <w:position w:val="-4"/>
          <w:sz w:val="18"/>
          <w:lang w:val="en-US"/>
        </w:rPr>
        <w:t>s max</w:t>
      </w:r>
      <w:r w:rsidRPr="007011A7">
        <w:rPr>
          <w:lang w:val="en-US"/>
        </w:rPr>
        <w:t xml:space="preserve">, </w:t>
      </w:r>
      <w:r w:rsidRPr="007011A7">
        <w:rPr>
          <w:i/>
          <w:lang w:val="en-US"/>
        </w:rPr>
        <w:t>h</w:t>
      </w:r>
      <w:r w:rsidRPr="007011A7">
        <w:rPr>
          <w:lang w:val="en-US"/>
        </w:rPr>
        <w:t xml:space="preserve">)  </w:t>
      </w:r>
      <w:r w:rsidRPr="00CE2606">
        <w:rPr>
          <w:lang w:val="en-US"/>
        </w:rPr>
        <w:t>=</w:t>
      </w:r>
      <w:r w:rsidRPr="007011A7">
        <w:rPr>
          <w:lang w:val="en-US"/>
        </w:rPr>
        <w:t xml:space="preserve">  </w:t>
      </w:r>
      <w:r w:rsidRPr="003F6F1C">
        <w:rPr>
          <w:position w:val="-10"/>
        </w:rPr>
        <w:object w:dxaOrig="240" w:dyaOrig="300">
          <v:shape id="_x0000_i1038" type="#_x0000_t75" style="width:12pt;height:15.25pt" o:ole="">
            <v:imagedata r:id="rId38" o:title=""/>
          </v:shape>
          <o:OLEObject Type="Embed" ProgID="Equation.3" ShapeID="_x0000_i1038" DrawAspect="Content" ObjectID="_1470033699" r:id="rId39"/>
        </w:object>
      </w:r>
      <w:r w:rsidRPr="007011A7">
        <w:rPr>
          <w:lang w:val="en-US"/>
        </w:rPr>
        <w:tab/>
        <w:t>(7a)</w:t>
      </w:r>
    </w:p>
    <w:p w:rsidR="00CE4097" w:rsidRPr="007011A7" w:rsidRDefault="00CE4097" w:rsidP="00CE4097">
      <w:pPr>
        <w:pStyle w:val="Blanc"/>
        <w:rPr>
          <w:lang w:val="en-US"/>
        </w:rPr>
      </w:pPr>
    </w:p>
    <w:p w:rsidR="00CE4097" w:rsidRPr="005D61D4" w:rsidRDefault="00CE4097" w:rsidP="00CE4097">
      <w:pPr>
        <w:pStyle w:val="Equation"/>
        <w:jc w:val="left"/>
        <w:rPr>
          <w:lang w:val="en-US"/>
        </w:rPr>
      </w:pPr>
      <w:r w:rsidRPr="007011A7">
        <w:rPr>
          <w:lang w:val="en-US"/>
        </w:rPr>
        <w:tab/>
      </w:r>
      <w:r w:rsidRPr="007011A7">
        <w:rPr>
          <w:lang w:val="en-US"/>
        </w:rPr>
        <w:tab/>
      </w:r>
      <w:r w:rsidRPr="007011A7">
        <w:sym w:font="Symbol" w:char="F065"/>
      </w:r>
      <w:r w:rsidRPr="005D61D4">
        <w:rPr>
          <w:i/>
          <w:position w:val="-4"/>
          <w:sz w:val="18"/>
          <w:lang w:val="en-US"/>
        </w:rPr>
        <w:t>s min</w:t>
      </w:r>
      <w:r w:rsidRPr="005D61D4">
        <w:rPr>
          <w:lang w:val="en-US"/>
        </w:rPr>
        <w:t xml:space="preserve">  –  </w:t>
      </w:r>
      <w:r>
        <w:sym w:font="Symbol" w:char="0074"/>
      </w:r>
      <w:r w:rsidRPr="005D61D4">
        <w:rPr>
          <w:i/>
          <w:position w:val="-4"/>
          <w:sz w:val="18"/>
          <w:lang w:val="en-US"/>
        </w:rPr>
        <w:t>min</w:t>
      </w:r>
      <w:r w:rsidRPr="005D61D4">
        <w:rPr>
          <w:rFonts w:ascii="Tms Rmn" w:hAnsi="Tms Rmn"/>
          <w:position w:val="-4"/>
          <w:sz w:val="12"/>
          <w:lang w:val="en-US"/>
        </w:rPr>
        <w:t> </w:t>
      </w:r>
      <w:r w:rsidRPr="005D61D4">
        <w:rPr>
          <w:lang w:val="en-US"/>
        </w:rPr>
        <w:t>(</w:t>
      </w:r>
      <w:r w:rsidRPr="007011A7">
        <w:sym w:font="Symbol" w:char="F065"/>
      </w:r>
      <w:r w:rsidRPr="005D61D4">
        <w:rPr>
          <w:i/>
          <w:position w:val="-4"/>
          <w:sz w:val="18"/>
          <w:lang w:val="en-US"/>
        </w:rPr>
        <w:t>s min</w:t>
      </w:r>
      <w:r w:rsidRPr="005D61D4">
        <w:rPr>
          <w:lang w:val="en-US"/>
        </w:rPr>
        <w:t xml:space="preserve">, </w:t>
      </w:r>
      <w:r w:rsidRPr="005D61D4">
        <w:rPr>
          <w:i/>
          <w:lang w:val="en-US"/>
        </w:rPr>
        <w:t>h</w:t>
      </w:r>
      <w:r w:rsidRPr="005D61D4">
        <w:rPr>
          <w:lang w:val="en-US"/>
        </w:rPr>
        <w:t xml:space="preserve">)  </w:t>
      </w:r>
      <w:r w:rsidRPr="00CE2606">
        <w:rPr>
          <w:lang w:val="en-US"/>
        </w:rPr>
        <w:t>=</w:t>
      </w:r>
      <w:r w:rsidRPr="005D61D4">
        <w:rPr>
          <w:lang w:val="en-US"/>
        </w:rPr>
        <w:t xml:space="preserve">  </w:t>
      </w:r>
      <w:r w:rsidRPr="003F6F1C">
        <w:rPr>
          <w:position w:val="-10"/>
        </w:rPr>
        <w:object w:dxaOrig="260" w:dyaOrig="320">
          <v:shape id="_x0000_i1039" type="#_x0000_t75" style="width:13.4pt;height:15.7pt" o:ole="">
            <v:imagedata r:id="rId40" o:title=""/>
          </v:shape>
          <o:OLEObject Type="Embed" ProgID="Equation.3" ShapeID="_x0000_i1039" DrawAspect="Content" ObjectID="_1470033700" r:id="rId41"/>
        </w:object>
      </w:r>
      <w:r w:rsidRPr="005D61D4">
        <w:rPr>
          <w:lang w:val="en-US"/>
        </w:rPr>
        <w:tab/>
        <w:t>(7b)</w:t>
      </w:r>
    </w:p>
    <w:p w:rsidR="00CE4097" w:rsidRPr="007011A7" w:rsidRDefault="00CE4097" w:rsidP="00CE4097">
      <w:pPr>
        <w:pStyle w:val="Blanc"/>
        <w:rPr>
          <w:lang w:val="en-US"/>
        </w:rPr>
      </w:pPr>
    </w:p>
    <w:p w:rsidR="00CE4097" w:rsidRDefault="00CE4097" w:rsidP="00CE4097">
      <w:pPr>
        <w:rPr>
          <w:lang w:val="fr-CH"/>
        </w:rPr>
      </w:pPr>
      <w:r>
        <w:rPr>
          <w:lang w:val="fr-CH"/>
        </w:rPr>
        <w:t xml:space="preserve">Lorsque </w:t>
      </w:r>
      <w:r w:rsidRPr="007011A7">
        <w:sym w:font="Symbol" w:char="F065"/>
      </w:r>
      <w:r>
        <w:rPr>
          <w:vertAlign w:val="subscript"/>
          <w:lang w:val="fr-CH"/>
        </w:rPr>
        <w:t>1</w:t>
      </w:r>
      <w:r>
        <w:rPr>
          <w:lang w:val="fr-CH"/>
        </w:rPr>
        <w:t> </w:t>
      </w:r>
      <w:r w:rsidRPr="007011A7">
        <w:sym w:font="Symbol" w:char="F0A3"/>
      </w:r>
      <w:r w:rsidRPr="003F6F1C">
        <w:rPr>
          <w:position w:val="-10"/>
        </w:rPr>
        <w:object w:dxaOrig="240" w:dyaOrig="300">
          <v:shape id="_x0000_i1040" type="#_x0000_t75" style="width:12pt;height:15.25pt" o:ole="">
            <v:imagedata r:id="rId38" o:title=""/>
          </v:shape>
          <o:OLEObject Type="Embed" ProgID="Equation.3" ShapeID="_x0000_i1040" DrawAspect="Content" ObjectID="_1470033701" r:id="rId42"/>
        </w:object>
      </w:r>
      <w:r w:rsidRPr="007011A7">
        <w:t>&lt;</w:t>
      </w:r>
      <w:r>
        <w:rPr>
          <w:lang w:val="fr-CH"/>
        </w:rPr>
        <w:t> </w:t>
      </w:r>
      <w:r w:rsidRPr="007011A7">
        <w:sym w:font="Symbol" w:char="F065"/>
      </w:r>
      <w:r>
        <w:rPr>
          <w:vertAlign w:val="subscript"/>
          <w:lang w:val="fr-CH"/>
        </w:rPr>
        <w:t>2</w:t>
      </w:r>
      <w:r>
        <w:rPr>
          <w:lang w:val="fr-CH"/>
        </w:rPr>
        <w:t xml:space="preserve">, il n'est pas nécessaire de résoudre l'équation (7b): il suffit de résoudre l'équation (7a). Dans ce cas, on utilisera </w:t>
      </w:r>
      <w:r w:rsidRPr="007011A7">
        <w:sym w:font="Symbol" w:char="F065"/>
      </w:r>
      <w:r>
        <w:rPr>
          <w:i/>
          <w:vertAlign w:val="subscript"/>
          <w:lang w:val="fr-CH"/>
        </w:rPr>
        <w:t>s</w:t>
      </w:r>
      <w:r>
        <w:rPr>
          <w:vertAlign w:val="subscript"/>
        </w:rPr>
        <w:t> </w:t>
      </w:r>
      <w:r>
        <w:rPr>
          <w:i/>
          <w:vertAlign w:val="subscript"/>
          <w:lang w:val="fr-CH"/>
        </w:rPr>
        <w:t>min</w:t>
      </w:r>
      <w:r>
        <w:rPr>
          <w:lang w:val="fr-CH"/>
        </w:rPr>
        <w:t> </w:t>
      </w:r>
      <w:r w:rsidRPr="007011A7">
        <w:t>=</w:t>
      </w:r>
      <w:r>
        <w:rPr>
          <w:lang w:val="fr-CH"/>
        </w:rPr>
        <w:t> </w:t>
      </w:r>
      <w:r w:rsidRPr="007011A7">
        <w:sym w:font="Symbol" w:char="F065"/>
      </w:r>
      <w:r>
        <w:rPr>
          <w:i/>
          <w:vertAlign w:val="subscript"/>
          <w:lang w:val="fr-CH"/>
        </w:rPr>
        <w:t>m</w:t>
      </w:r>
      <w:r>
        <w:rPr>
          <w:vertAlign w:val="subscript"/>
          <w:lang w:val="fr-CH"/>
        </w:rPr>
        <w:t>2</w:t>
      </w:r>
      <w:r>
        <w:rPr>
          <w:lang w:val="fr-CH"/>
        </w:rPr>
        <w:t>.</w:t>
      </w:r>
    </w:p>
    <w:p w:rsidR="00CE4097" w:rsidRDefault="00CE4097" w:rsidP="00CE4097">
      <w:pPr>
        <w:rPr>
          <w:lang w:val="fr-CH"/>
        </w:rPr>
      </w:pPr>
      <w:r>
        <w:rPr>
          <w:lang w:val="fr-CH"/>
        </w:rPr>
        <w:t xml:space="preserve">L'angle d'élévation </w:t>
      </w:r>
      <w:r>
        <w:fldChar w:fldCharType="begin"/>
      </w:r>
      <w:r>
        <w:rPr>
          <w:lang w:val="fr-CH"/>
        </w:rPr>
        <w:instrText>symbol 101 \f "Symbol" \s 11</w:instrText>
      </w:r>
      <w:r>
        <w:fldChar w:fldCharType="end"/>
      </w:r>
      <w:r>
        <w:rPr>
          <w:i/>
          <w:vertAlign w:val="subscript"/>
          <w:lang w:val="fr-CH"/>
        </w:rPr>
        <w:t>s</w:t>
      </w:r>
      <w:r>
        <w:rPr>
          <w:vertAlign w:val="subscript"/>
          <w:lang w:val="fr-CH"/>
        </w:rPr>
        <w:t xml:space="preserve"> </w:t>
      </w:r>
      <w:r>
        <w:rPr>
          <w:lang w:val="fr-CH"/>
        </w:rPr>
        <w:t>donnant la valeur minimale d'espacement angulaire avec une précision suffisante se calcule comme suit:</w:t>
      </w:r>
    </w:p>
    <w:p w:rsidR="00CE4097" w:rsidRPr="005027B1" w:rsidRDefault="00CE4097" w:rsidP="00CE4097">
      <w:pPr>
        <w:pStyle w:val="Blanc"/>
        <w:rPr>
          <w:lang w:val="fr-CH"/>
        </w:rPr>
      </w:pPr>
    </w:p>
    <w:p w:rsidR="00CE4097" w:rsidRPr="007011A7" w:rsidRDefault="00CE4097" w:rsidP="00CE4097">
      <w:pPr>
        <w:pStyle w:val="Equation"/>
        <w:tabs>
          <w:tab w:val="left" w:pos="3969"/>
          <w:tab w:val="left" w:pos="5103"/>
          <w:tab w:val="left" w:pos="5387"/>
          <w:tab w:val="left" w:pos="5670"/>
          <w:tab w:val="left" w:pos="5812"/>
        </w:tabs>
        <w:ind w:left="1814"/>
        <w:jc w:val="left"/>
        <w:rPr>
          <w:lang w:val="en-US"/>
        </w:rPr>
      </w:pPr>
      <w:r w:rsidRPr="007011A7">
        <w:sym w:font="Symbol" w:char="F065"/>
      </w:r>
      <w:r w:rsidRPr="007011A7">
        <w:rPr>
          <w:i/>
          <w:position w:val="-4"/>
          <w:sz w:val="18"/>
          <w:lang w:val="en-US"/>
        </w:rPr>
        <w:t>s</w:t>
      </w:r>
      <w:r w:rsidRPr="007011A7">
        <w:rPr>
          <w:position w:val="-4"/>
          <w:lang w:val="en-US"/>
        </w:rPr>
        <w:t xml:space="preserve">  </w:t>
      </w:r>
      <w:r w:rsidRPr="007011A7">
        <w:rPr>
          <w:lang w:val="en-US"/>
        </w:rPr>
        <w:t>=</w:t>
      </w:r>
      <w:r w:rsidRPr="007011A7">
        <w:rPr>
          <w:position w:val="-4"/>
          <w:lang w:val="en-US"/>
        </w:rPr>
        <w:t xml:space="preserve">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max</w:t>
      </w:r>
      <w:r w:rsidRPr="007011A7">
        <w:rPr>
          <w:lang w:val="en-US"/>
        </w:rPr>
        <w:tab/>
        <w:t xml:space="preserve">pour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max</w:t>
      </w:r>
      <w:r w:rsidRPr="007011A7">
        <w:rPr>
          <w:position w:val="-4"/>
          <w:sz w:val="20"/>
          <w:lang w:val="en-US"/>
        </w:rPr>
        <w:t xml:space="preserve">  </w:t>
      </w:r>
      <w:r w:rsidRPr="007011A7">
        <w:sym w:font="Symbol" w:char="F0A3"/>
      </w:r>
      <w:r w:rsidRPr="007011A7">
        <w:rPr>
          <w:lang w:val="en-US"/>
        </w:rPr>
        <w:tab/>
      </w:r>
      <w:r w:rsidRPr="007011A7">
        <w:sym w:font="Symbol" w:char="F065"/>
      </w:r>
      <w:r w:rsidRPr="007011A7">
        <w:rPr>
          <w:i/>
          <w:position w:val="-4"/>
          <w:sz w:val="18"/>
          <w:lang w:val="en-US"/>
        </w:rPr>
        <w:t>r</w:t>
      </w:r>
      <w:r w:rsidRPr="007011A7">
        <w:rPr>
          <w:lang w:val="en-US"/>
        </w:rPr>
        <w:tab/>
      </w:r>
      <w:r w:rsidRPr="007011A7">
        <w:rPr>
          <w:lang w:val="en-US"/>
        </w:rPr>
        <w:tab/>
      </w:r>
      <w:r w:rsidRPr="007011A7">
        <w:rPr>
          <w:lang w:val="en-US"/>
        </w:rPr>
        <w:tab/>
        <w:t>(8a)</w:t>
      </w:r>
    </w:p>
    <w:p w:rsidR="00CE4097" w:rsidRDefault="00CE4097" w:rsidP="00CE4097">
      <w:pPr>
        <w:pStyle w:val="Blanc"/>
      </w:pPr>
    </w:p>
    <w:p w:rsidR="00CE4097" w:rsidRPr="007011A7" w:rsidRDefault="00CE4097" w:rsidP="00CE4097">
      <w:pPr>
        <w:pStyle w:val="Equation"/>
        <w:tabs>
          <w:tab w:val="left" w:pos="3969"/>
          <w:tab w:val="left" w:pos="5103"/>
          <w:tab w:val="left" w:pos="5387"/>
          <w:tab w:val="left" w:pos="5670"/>
          <w:tab w:val="left" w:pos="5812"/>
          <w:tab w:val="left" w:pos="6096"/>
        </w:tabs>
        <w:ind w:left="1814"/>
        <w:jc w:val="left"/>
        <w:rPr>
          <w:lang w:val="en-GB"/>
        </w:rPr>
      </w:pPr>
      <w:r w:rsidRPr="007011A7">
        <w:sym w:font="Symbol" w:char="F065"/>
      </w:r>
      <w:r w:rsidRPr="007011A7">
        <w:rPr>
          <w:i/>
          <w:position w:val="-4"/>
          <w:sz w:val="18"/>
          <w:lang w:val="en-GB"/>
        </w:rPr>
        <w:t>s</w:t>
      </w:r>
      <w:r w:rsidRPr="007011A7">
        <w:rPr>
          <w:position w:val="-4"/>
          <w:lang w:val="en-GB"/>
        </w:rPr>
        <w:t xml:space="preserve">  </w:t>
      </w:r>
      <w:r w:rsidRPr="007011A7">
        <w:rPr>
          <w:lang w:val="en-GB"/>
        </w:rPr>
        <w:t>=</w:t>
      </w:r>
      <w:r w:rsidRPr="007011A7">
        <w:rPr>
          <w:position w:val="-4"/>
          <w:lang w:val="en-GB"/>
        </w:rPr>
        <w:t xml:space="preserve">  </w:t>
      </w:r>
      <w:r w:rsidRPr="007011A7">
        <w:sym w:font="Symbol" w:char="F065"/>
      </w:r>
      <w:r w:rsidRPr="007011A7">
        <w:rPr>
          <w:i/>
          <w:position w:val="-4"/>
          <w:sz w:val="18"/>
          <w:lang w:val="en-GB"/>
        </w:rPr>
        <w:t>r</w:t>
      </w:r>
      <w:r w:rsidRPr="007011A7">
        <w:rPr>
          <w:i/>
          <w:position w:val="-4"/>
          <w:sz w:val="18"/>
          <w:lang w:val="en-GB"/>
        </w:rPr>
        <w:tab/>
      </w:r>
      <w:r w:rsidRPr="007011A7">
        <w:rPr>
          <w:lang w:val="en-GB"/>
        </w:rPr>
        <w:t xml:space="preserve">pour  </w:t>
      </w:r>
      <w:r w:rsidRPr="007011A7">
        <w:sym w:font="Symbol" w:char="F065"/>
      </w:r>
      <w:r w:rsidRPr="007011A7">
        <w:rPr>
          <w:i/>
          <w:position w:val="-4"/>
          <w:sz w:val="18"/>
          <w:lang w:val="en-GB"/>
        </w:rPr>
        <w:t>s</w:t>
      </w:r>
      <w:r w:rsidRPr="007011A7">
        <w:rPr>
          <w:position w:val="-4"/>
          <w:sz w:val="20"/>
          <w:lang w:val="en-GB"/>
        </w:rPr>
        <w:t xml:space="preserve"> </w:t>
      </w:r>
      <w:r w:rsidRPr="007011A7">
        <w:rPr>
          <w:i/>
          <w:position w:val="-4"/>
          <w:sz w:val="18"/>
          <w:lang w:val="en-GB"/>
        </w:rPr>
        <w:t>min</w:t>
      </w:r>
      <w:r w:rsidRPr="007011A7">
        <w:rPr>
          <w:position w:val="-4"/>
          <w:sz w:val="20"/>
          <w:lang w:val="en-GB"/>
        </w:rPr>
        <w:t xml:space="preserve">  </w:t>
      </w:r>
      <w:r w:rsidRPr="007011A7">
        <w:sym w:font="Symbol" w:char="F0A3"/>
      </w:r>
      <w:r w:rsidRPr="007011A7">
        <w:rPr>
          <w:lang w:val="en-GB"/>
        </w:rPr>
        <w:tab/>
      </w:r>
      <w:r w:rsidRPr="007011A7">
        <w:sym w:font="Symbol" w:char="F065"/>
      </w:r>
      <w:r w:rsidRPr="007011A7">
        <w:rPr>
          <w:i/>
          <w:position w:val="-4"/>
          <w:sz w:val="18"/>
          <w:lang w:val="en-GB"/>
        </w:rPr>
        <w:t>r</w:t>
      </w:r>
      <w:r w:rsidRPr="007011A7">
        <w:rPr>
          <w:i/>
          <w:position w:val="-4"/>
          <w:sz w:val="18"/>
          <w:lang w:val="en-GB"/>
        </w:rPr>
        <w:tab/>
      </w:r>
      <w:r w:rsidRPr="007011A7">
        <w:rPr>
          <w:lang w:val="en-US"/>
        </w:rPr>
        <w:t>&lt;</w:t>
      </w:r>
      <w:r w:rsidRPr="007011A7">
        <w:rPr>
          <w:lang w:val="en-GB"/>
        </w:rPr>
        <w:t>  </w:t>
      </w:r>
      <w:r w:rsidRPr="007011A7">
        <w:sym w:font="Symbol" w:char="F065"/>
      </w:r>
      <w:r w:rsidRPr="007011A7">
        <w:rPr>
          <w:i/>
          <w:position w:val="-4"/>
          <w:sz w:val="18"/>
          <w:lang w:val="en-GB"/>
        </w:rPr>
        <w:t>s</w:t>
      </w:r>
      <w:r w:rsidRPr="007011A7">
        <w:rPr>
          <w:position w:val="-4"/>
          <w:sz w:val="20"/>
          <w:lang w:val="en-GB"/>
        </w:rPr>
        <w:t xml:space="preserve"> </w:t>
      </w:r>
      <w:r w:rsidRPr="007011A7">
        <w:rPr>
          <w:i/>
          <w:position w:val="-4"/>
          <w:sz w:val="18"/>
          <w:lang w:val="en-GB"/>
        </w:rPr>
        <w:t>max</w:t>
      </w:r>
      <w:r w:rsidRPr="007011A7">
        <w:rPr>
          <w:lang w:val="en-GB"/>
        </w:rPr>
        <w:tab/>
        <w:t>(8b)</w:t>
      </w:r>
    </w:p>
    <w:p w:rsidR="00CE4097" w:rsidRDefault="00CE4097" w:rsidP="00CE4097">
      <w:pPr>
        <w:pStyle w:val="Blanc"/>
      </w:pPr>
    </w:p>
    <w:p w:rsidR="00CE4097" w:rsidRPr="007011A7" w:rsidRDefault="00CE4097" w:rsidP="00CE4097">
      <w:pPr>
        <w:pStyle w:val="Equation"/>
        <w:tabs>
          <w:tab w:val="left" w:pos="3969"/>
          <w:tab w:val="left" w:pos="5103"/>
          <w:tab w:val="left" w:pos="5387"/>
          <w:tab w:val="left" w:pos="5670"/>
          <w:tab w:val="left" w:pos="5812"/>
        </w:tabs>
        <w:ind w:left="1814"/>
        <w:jc w:val="left"/>
        <w:rPr>
          <w:lang w:val="en-US"/>
        </w:rPr>
      </w:pPr>
      <w:r w:rsidRPr="007011A7">
        <w:sym w:font="Symbol" w:char="F065"/>
      </w:r>
      <w:r w:rsidRPr="007011A7">
        <w:rPr>
          <w:i/>
          <w:position w:val="-4"/>
          <w:sz w:val="18"/>
          <w:lang w:val="en-US"/>
        </w:rPr>
        <w:t>s</w:t>
      </w:r>
      <w:r w:rsidRPr="007011A7">
        <w:rPr>
          <w:position w:val="-4"/>
          <w:lang w:val="en-US"/>
        </w:rPr>
        <w:t xml:space="preserve">  </w:t>
      </w:r>
      <w:r w:rsidRPr="007011A7">
        <w:rPr>
          <w:lang w:val="en-US"/>
        </w:rPr>
        <w:t>=</w:t>
      </w:r>
      <w:r w:rsidRPr="007011A7">
        <w:rPr>
          <w:position w:val="-4"/>
          <w:lang w:val="en-US"/>
        </w:rPr>
        <w:t xml:space="preserve">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min</w:t>
      </w:r>
      <w:r w:rsidRPr="007011A7">
        <w:rPr>
          <w:lang w:val="en-US"/>
        </w:rPr>
        <w:tab/>
        <w:t xml:space="preserve">pour       </w:t>
      </w:r>
      <w:r w:rsidRPr="007011A7">
        <w:rPr>
          <w:lang w:val="en-US"/>
        </w:rPr>
        <w:tab/>
      </w:r>
      <w:r w:rsidRPr="007011A7">
        <w:rPr>
          <w:lang w:val="en-US"/>
        </w:rPr>
        <w:tab/>
      </w:r>
      <w:r w:rsidRPr="007011A7">
        <w:sym w:font="Symbol" w:char="F065"/>
      </w:r>
      <w:r w:rsidRPr="007011A7">
        <w:rPr>
          <w:i/>
          <w:position w:val="-4"/>
          <w:sz w:val="18"/>
          <w:lang w:val="en-US"/>
        </w:rPr>
        <w:t>r</w:t>
      </w:r>
      <w:r w:rsidRPr="007011A7">
        <w:rPr>
          <w:lang w:val="en-US"/>
        </w:rPr>
        <w:tab/>
      </w:r>
      <w:r w:rsidRPr="00AC4297">
        <w:rPr>
          <w:lang w:val="en-US"/>
        </w:rPr>
        <w:t>&lt;</w:t>
      </w:r>
      <w:r w:rsidRPr="007011A7">
        <w:rPr>
          <w:lang w:val="en-US"/>
        </w:rPr>
        <w:t>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min</w:t>
      </w:r>
      <w:r w:rsidRPr="007011A7">
        <w:rPr>
          <w:lang w:val="en-US"/>
        </w:rPr>
        <w:tab/>
        <w:t>(8c)</w:t>
      </w:r>
    </w:p>
    <w:p w:rsidR="00CE4097" w:rsidRDefault="00CE4097" w:rsidP="00CE4097">
      <w:pPr>
        <w:pStyle w:val="Heading1"/>
        <w:rPr>
          <w:lang w:val="fr-CH"/>
        </w:rPr>
      </w:pPr>
      <w:bookmarkStart w:id="22" w:name="_Toc392920258"/>
      <w:r>
        <w:rPr>
          <w:lang w:val="fr-CH"/>
        </w:rPr>
        <w:t>5</w:t>
      </w:r>
      <w:r>
        <w:rPr>
          <w:lang w:val="fr-CH"/>
        </w:rPr>
        <w:tab/>
        <w:t>Détermination de l'angle de séparation</w:t>
      </w:r>
      <w:bookmarkEnd w:id="22"/>
    </w:p>
    <w:p w:rsidR="00CE4097" w:rsidRDefault="00CE4097" w:rsidP="00CE4097">
      <w:pPr>
        <w:rPr>
          <w:lang w:val="fr-CH"/>
        </w:rPr>
      </w:pPr>
      <w:r>
        <w:rPr>
          <w:lang w:val="fr-CH"/>
        </w:rPr>
        <w:t>L'angle minimal de séparation SA entre le faisceau de l'antenne de la station du service fixe et la direction d'un SRD géostationnaire, vu de la station du service fixe, est donné par l'équation suivante:</w:t>
      </w:r>
    </w:p>
    <w:p w:rsidR="00CE4097" w:rsidRPr="00AC4297" w:rsidRDefault="00CE4097" w:rsidP="00CE4097">
      <w:pPr>
        <w:pStyle w:val="Blanc"/>
        <w:rPr>
          <w:lang w:val="fr-CH"/>
        </w:rPr>
      </w:pPr>
    </w:p>
    <w:p w:rsidR="00CE4097" w:rsidRDefault="00CE4097" w:rsidP="00CE4097">
      <w:pPr>
        <w:pStyle w:val="Equation"/>
        <w:rPr>
          <w:lang w:val="es-ES"/>
        </w:rPr>
      </w:pPr>
      <w:r>
        <w:rPr>
          <w:lang w:val="fr-CH"/>
        </w:rPr>
        <w:tab/>
      </w:r>
      <w:r>
        <w:rPr>
          <w:lang w:val="fr-CH"/>
        </w:rPr>
        <w:tab/>
      </w:r>
      <w:r>
        <w:rPr>
          <w:i/>
          <w:lang w:val="es-ES"/>
        </w:rPr>
        <w:t>SA</w:t>
      </w:r>
      <w:r>
        <w:rPr>
          <w:lang w:val="es-ES"/>
        </w:rPr>
        <w:t xml:space="preserve">  </w:t>
      </w:r>
      <w:r w:rsidRPr="007011A7">
        <w:rPr>
          <w:lang w:val="es-ES"/>
        </w:rPr>
        <w:t>=</w:t>
      </w:r>
      <w:r>
        <w:rPr>
          <w:lang w:val="es-ES"/>
        </w:rPr>
        <w:t xml:space="preserve">  arccos [cos </w:t>
      </w:r>
      <w:r w:rsidRPr="007011A7">
        <w:sym w:font="Symbol" w:char="F065"/>
      </w:r>
      <w:r>
        <w:rPr>
          <w:i/>
          <w:position w:val="-4"/>
          <w:sz w:val="18"/>
          <w:lang w:val="es-ES"/>
        </w:rPr>
        <w:t>r</w:t>
      </w:r>
      <w:r>
        <w:rPr>
          <w:position w:val="-4"/>
          <w:sz w:val="20"/>
          <w:lang w:val="es-ES"/>
        </w:rPr>
        <w:t xml:space="preserve">  </w:t>
      </w:r>
      <w:r>
        <w:rPr>
          <w:lang w:val="es-ES"/>
        </w:rPr>
        <w:t xml:space="preserve">cos </w:t>
      </w:r>
      <w:r w:rsidRPr="007011A7">
        <w:sym w:font="Symbol" w:char="F065"/>
      </w:r>
      <w:r>
        <w:rPr>
          <w:i/>
          <w:position w:val="-4"/>
          <w:sz w:val="18"/>
          <w:lang w:val="es-ES"/>
        </w:rPr>
        <w:t>s</w:t>
      </w:r>
      <w:r>
        <w:rPr>
          <w:lang w:val="es-ES"/>
        </w:rPr>
        <w:t xml:space="preserve">  cos(</w:t>
      </w:r>
      <w:r w:rsidRPr="007011A7">
        <w:sym w:font="Symbol" w:char="F061"/>
      </w:r>
      <w:r>
        <w:rPr>
          <w:i/>
          <w:position w:val="-4"/>
          <w:sz w:val="18"/>
          <w:lang w:val="es-ES"/>
        </w:rPr>
        <w:t>r</w:t>
      </w:r>
      <w:r>
        <w:rPr>
          <w:lang w:val="es-ES"/>
        </w:rPr>
        <w:t xml:space="preserve">  –  </w:t>
      </w:r>
      <w:r w:rsidRPr="007011A7">
        <w:sym w:font="Symbol" w:char="F061"/>
      </w:r>
      <w:r>
        <w:rPr>
          <w:i/>
          <w:position w:val="-4"/>
          <w:sz w:val="18"/>
          <w:lang w:val="es-ES"/>
        </w:rPr>
        <w:t>s</w:t>
      </w:r>
      <w:r>
        <w:rPr>
          <w:lang w:val="es-ES"/>
        </w:rPr>
        <w:t xml:space="preserve">)  </w:t>
      </w:r>
      <w:r w:rsidRPr="007011A7">
        <w:rPr>
          <w:lang w:val="es-ES"/>
        </w:rPr>
        <w:t>+</w:t>
      </w:r>
      <w:r>
        <w:rPr>
          <w:lang w:val="es-ES"/>
        </w:rPr>
        <w:t xml:space="preserve">  sin </w:t>
      </w:r>
      <w:r w:rsidRPr="007011A7">
        <w:sym w:font="Symbol" w:char="F065"/>
      </w:r>
      <w:r>
        <w:rPr>
          <w:i/>
          <w:position w:val="-4"/>
          <w:sz w:val="18"/>
          <w:lang w:val="es-ES"/>
        </w:rPr>
        <w:t>r</w:t>
      </w:r>
      <w:r>
        <w:rPr>
          <w:position w:val="-4"/>
          <w:sz w:val="20"/>
          <w:lang w:val="es-ES"/>
        </w:rPr>
        <w:t xml:space="preserve">  </w:t>
      </w:r>
      <w:r>
        <w:rPr>
          <w:lang w:val="es-ES"/>
        </w:rPr>
        <w:t xml:space="preserve">sin </w:t>
      </w:r>
      <w:r w:rsidRPr="007011A7">
        <w:sym w:font="Symbol" w:char="F065"/>
      </w:r>
      <w:r>
        <w:rPr>
          <w:i/>
          <w:position w:val="-4"/>
          <w:sz w:val="18"/>
          <w:lang w:val="es-ES"/>
        </w:rPr>
        <w:t>s</w:t>
      </w:r>
      <w:r>
        <w:rPr>
          <w:lang w:val="es-ES"/>
        </w:rPr>
        <w:t>]</w:t>
      </w:r>
      <w:r>
        <w:rPr>
          <w:lang w:val="es-ES"/>
        </w:rPr>
        <w:tab/>
        <w:t>(9)</w:t>
      </w:r>
    </w:p>
    <w:p w:rsidR="00CE4097" w:rsidRPr="007011A7" w:rsidRDefault="00CE4097" w:rsidP="00CE4097">
      <w:pPr>
        <w:pStyle w:val="Blanc"/>
        <w:rPr>
          <w:lang w:val="es-ES"/>
        </w:rPr>
      </w:pPr>
    </w:p>
    <w:p w:rsidR="00CE4097" w:rsidRDefault="00CE4097" w:rsidP="00CE4097">
      <w:pPr>
        <w:rPr>
          <w:lang w:val="fr-CH"/>
        </w:rPr>
      </w:pPr>
      <w:r>
        <w:rPr>
          <w:lang w:val="fr-CH"/>
        </w:rPr>
        <w:t xml:space="preserve">La séparation angulaire sera calculée pour chacun des SRD géostationnaires telle que spécifiée au </w:t>
      </w:r>
      <w:r>
        <w:rPr>
          <w:i/>
          <w:lang w:val="fr-CH"/>
        </w:rPr>
        <w:t>recommande</w:t>
      </w:r>
      <w:r>
        <w:rPr>
          <w:lang w:val="fr-CH"/>
        </w:rPr>
        <w:t> 2.</w:t>
      </w:r>
    </w:p>
    <w:p w:rsidR="00CE4097" w:rsidRPr="00FC31F6" w:rsidRDefault="00CE4097" w:rsidP="00CE4097">
      <w:pPr>
        <w:pStyle w:val="Note"/>
      </w:pPr>
      <w:r w:rsidRPr="00FC31F6">
        <w:t xml:space="preserve">NOTE 1 – Lorsque l'horizon local est constitué par un terrain plat ou une mer, </w:t>
      </w:r>
      <w:r w:rsidRPr="00FC31F6">
        <w:sym w:font="Symbol" w:char="0065"/>
      </w:r>
      <w:r w:rsidRPr="00FC31F6">
        <w:t>m répond à l'équation suivante:</w:t>
      </w:r>
    </w:p>
    <w:p w:rsidR="00CE4097" w:rsidRPr="00AC4297" w:rsidRDefault="00CE4097" w:rsidP="00CE4097">
      <w:pPr>
        <w:pStyle w:val="Blanc"/>
        <w:rPr>
          <w:lang w:val="fr-CH"/>
        </w:rPr>
      </w:pPr>
    </w:p>
    <w:p w:rsidR="00CE4097" w:rsidRPr="00FC31F6" w:rsidRDefault="00CE4097" w:rsidP="00CE4097">
      <w:pPr>
        <w:pStyle w:val="Equation"/>
        <w:rPr>
          <w:sz w:val="22"/>
          <w:szCs w:val="22"/>
          <w:lang w:val="fr-CH"/>
        </w:rPr>
      </w:pPr>
      <w:r w:rsidRPr="00FC31F6">
        <w:rPr>
          <w:sz w:val="22"/>
          <w:szCs w:val="22"/>
          <w:lang w:val="fr-CH"/>
        </w:rPr>
        <w:object w:dxaOrig="180" w:dyaOrig="320">
          <v:shape id="_x0000_i1041" type="#_x0000_t75" style="width:9.25pt;height:15.7pt" o:ole="">
            <v:imagedata r:id="rId43" o:title=""/>
          </v:shape>
          <o:OLEObject Type="Embed" ProgID="Equation.3" ShapeID="_x0000_i1041" DrawAspect="Content" ObjectID="_1470033702" r:id="rId44"/>
        </w:object>
      </w:r>
      <w:r w:rsidRPr="00FC31F6">
        <w:rPr>
          <w:sz w:val="22"/>
          <w:szCs w:val="22"/>
          <w:lang w:val="fr-CH"/>
        </w:rPr>
        <w:tab/>
      </w:r>
      <w:r w:rsidRPr="00FC31F6">
        <w:rPr>
          <w:sz w:val="22"/>
          <w:szCs w:val="22"/>
          <w:lang w:val="fr-CH"/>
        </w:rPr>
        <w:tab/>
      </w:r>
      <w:r w:rsidRPr="00F85399">
        <w:rPr>
          <w:position w:val="-34"/>
          <w:sz w:val="22"/>
          <w:szCs w:val="22"/>
        </w:rPr>
        <w:object w:dxaOrig="5780" w:dyaOrig="800">
          <v:shape id="_x0000_i1042" type="#_x0000_t75" style="width:288.9pt;height:39.7pt" o:ole="">
            <v:imagedata r:id="rId45" o:title=""/>
          </v:shape>
          <o:OLEObject Type="Embed" ProgID="Equation.3" ShapeID="_x0000_i1042" DrawAspect="Content" ObjectID="_1470033703" r:id="rId46"/>
        </w:object>
      </w:r>
      <w:r w:rsidRPr="00FC31F6">
        <w:rPr>
          <w:sz w:val="22"/>
          <w:szCs w:val="22"/>
          <w:lang w:val="fr-CH"/>
        </w:rPr>
        <w:tab/>
        <w:t>(10)</w:t>
      </w:r>
    </w:p>
    <w:p w:rsidR="00CE4097" w:rsidRPr="00AC4297" w:rsidRDefault="00CE4097" w:rsidP="00CE4097">
      <w:pPr>
        <w:pStyle w:val="Blanc"/>
        <w:rPr>
          <w:lang w:val="fr-CH"/>
        </w:rPr>
      </w:pPr>
    </w:p>
    <w:p w:rsidR="00CE4097" w:rsidRPr="00FC31F6" w:rsidRDefault="00CE4097" w:rsidP="00CE4097">
      <w:pPr>
        <w:jc w:val="left"/>
        <w:rPr>
          <w:sz w:val="22"/>
          <w:szCs w:val="22"/>
          <w:lang w:val="fr-CH"/>
        </w:rPr>
      </w:pPr>
      <w:r w:rsidRPr="00FC31F6">
        <w:rPr>
          <w:sz w:val="22"/>
          <w:szCs w:val="22"/>
          <w:lang w:val="fr-CH"/>
        </w:rPr>
        <w:t>où:</w:t>
      </w:r>
    </w:p>
    <w:p w:rsidR="00CE4097" w:rsidRPr="00FC31F6" w:rsidRDefault="00CE4097" w:rsidP="00CE4097">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altitude (km) de l'antenne de la station par rapport au niveau de la mer</w:t>
      </w:r>
    </w:p>
    <w:p w:rsidR="00CE4097" w:rsidRPr="00FC31F6" w:rsidRDefault="00CE4097" w:rsidP="00CE4097">
      <w:pPr>
        <w:pStyle w:val="Equationlegend"/>
        <w:rPr>
          <w:sz w:val="22"/>
          <w:szCs w:val="22"/>
          <w:lang w:val="fr-CH"/>
        </w:rPr>
      </w:pPr>
      <w:r w:rsidRPr="00FC31F6">
        <w:rPr>
          <w:sz w:val="22"/>
          <w:szCs w:val="22"/>
          <w:lang w:val="fr-CH"/>
        </w:rPr>
        <w:tab/>
      </w:r>
      <w:r w:rsidRPr="00FC31F6">
        <w:rPr>
          <w:i/>
          <w:sz w:val="22"/>
          <w:szCs w:val="22"/>
          <w:lang w:val="fr-CH"/>
        </w:rPr>
        <w:t>h</w:t>
      </w:r>
      <w:r w:rsidRPr="00FC31F6">
        <w:rPr>
          <w:sz w:val="22"/>
          <w:szCs w:val="22"/>
          <w:vertAlign w:val="subscript"/>
          <w:lang w:val="fr-CH"/>
        </w:rPr>
        <w:t>1</w:t>
      </w:r>
      <w:r w:rsidRPr="00FC31F6">
        <w:rPr>
          <w:i/>
          <w:sz w:val="22"/>
          <w:szCs w:val="22"/>
          <w:lang w:val="fr-CH"/>
        </w:rPr>
        <w:t> </w:t>
      </w:r>
      <w:r w:rsidRPr="00FC31F6">
        <w:rPr>
          <w:sz w:val="22"/>
          <w:szCs w:val="22"/>
          <w:lang w:val="fr-CH"/>
        </w:rPr>
        <w:t>:</w:t>
      </w:r>
      <w:r w:rsidRPr="00FC31F6">
        <w:rPr>
          <w:sz w:val="22"/>
          <w:szCs w:val="22"/>
          <w:lang w:val="fr-CH"/>
        </w:rPr>
        <w:tab/>
        <w:t>altitude (km) de l'horizon local (</w:t>
      </w:r>
      <w:r w:rsidRPr="00FC31F6">
        <w:rPr>
          <w:i/>
          <w:sz w:val="22"/>
          <w:szCs w:val="22"/>
          <w:lang w:val="fr-CH"/>
        </w:rPr>
        <w:t>h</w:t>
      </w:r>
      <w:r w:rsidRPr="00FC31F6">
        <w:rPr>
          <w:sz w:val="22"/>
          <w:szCs w:val="22"/>
          <w:lang w:val="fr-CH"/>
        </w:rPr>
        <w:t> </w:t>
      </w:r>
      <w:r w:rsidRPr="00FC31F6">
        <w:rPr>
          <w:sz w:val="22"/>
          <w:szCs w:val="22"/>
        </w:rPr>
        <w:sym w:font="Symbol" w:char="F0B3"/>
      </w:r>
      <w:r w:rsidRPr="00FC31F6">
        <w:rPr>
          <w:sz w:val="22"/>
          <w:szCs w:val="22"/>
          <w:lang w:val="fr-CH"/>
        </w:rPr>
        <w:t> </w:t>
      </w:r>
      <w:r w:rsidRPr="00FC31F6">
        <w:rPr>
          <w:i/>
          <w:sz w:val="22"/>
          <w:szCs w:val="22"/>
          <w:lang w:val="fr-CH"/>
        </w:rPr>
        <w:t>h</w:t>
      </w:r>
      <w:r w:rsidRPr="00FC31F6">
        <w:rPr>
          <w:sz w:val="22"/>
          <w:szCs w:val="22"/>
          <w:vertAlign w:val="subscript"/>
          <w:lang w:val="fr-CH"/>
        </w:rPr>
        <w:t>1</w:t>
      </w:r>
      <w:r w:rsidRPr="00FC31F6">
        <w:rPr>
          <w:sz w:val="22"/>
          <w:szCs w:val="22"/>
          <w:lang w:val="fr-CH"/>
        </w:rPr>
        <w:t>)</w:t>
      </w:r>
    </w:p>
    <w:p w:rsidR="00CE4097" w:rsidRPr="00FC31F6" w:rsidRDefault="00CE4097" w:rsidP="00CE4097">
      <w:pPr>
        <w:pStyle w:val="Equationlegend"/>
        <w:rPr>
          <w:sz w:val="22"/>
          <w:szCs w:val="22"/>
          <w:lang w:val="fr-CH"/>
        </w:rPr>
      </w:pPr>
      <w:r w:rsidRPr="00FC31F6">
        <w:rPr>
          <w:sz w:val="22"/>
          <w:szCs w:val="22"/>
          <w:lang w:val="fr-CH"/>
        </w:rPr>
        <w:tab/>
      </w:r>
      <w:r w:rsidRPr="00FC31F6">
        <w:rPr>
          <w:i/>
          <w:sz w:val="22"/>
          <w:szCs w:val="22"/>
          <w:lang w:val="fr-CH"/>
        </w:rPr>
        <w:t>R </w:t>
      </w:r>
      <w:r w:rsidRPr="00FC31F6">
        <w:rPr>
          <w:sz w:val="22"/>
          <w:szCs w:val="22"/>
          <w:lang w:val="fr-CH"/>
        </w:rPr>
        <w:t>:</w:t>
      </w:r>
      <w:r w:rsidRPr="00FC31F6">
        <w:rPr>
          <w:sz w:val="22"/>
          <w:szCs w:val="22"/>
          <w:lang w:val="fr-CH"/>
        </w:rPr>
        <w:tab/>
        <w:t>rayon de la Terre (6</w:t>
      </w:r>
      <w:r w:rsidRPr="00FC31F6">
        <w:rPr>
          <w:rFonts w:ascii="Tms Rmn" w:hAnsi="Tms Rmn"/>
          <w:sz w:val="22"/>
          <w:szCs w:val="22"/>
          <w:lang w:val="fr-CH"/>
        </w:rPr>
        <w:t> </w:t>
      </w:r>
      <w:r w:rsidRPr="00FC31F6">
        <w:rPr>
          <w:sz w:val="22"/>
          <w:szCs w:val="22"/>
          <w:lang w:val="fr-CH"/>
        </w:rPr>
        <w:t>370 km par hypothèse).</w:t>
      </w:r>
    </w:p>
    <w:p w:rsidR="00CE4097" w:rsidRPr="003F4325" w:rsidRDefault="00CE4097" w:rsidP="00CE4097">
      <w:pPr>
        <w:rPr>
          <w:szCs w:val="24"/>
          <w:lang w:val="fr-CH"/>
        </w:rPr>
      </w:pPr>
      <w:r w:rsidRPr="003F4325">
        <w:rPr>
          <w:szCs w:val="24"/>
          <w:lang w:val="fr-CH"/>
        </w:rPr>
        <w:t xml:space="preserve">Selon la Recommandation UIT-R SF.765, </w:t>
      </w:r>
      <w:r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est un angle d'élévation correspondant à la courbure maximale due à l'atmosphère (</w:t>
      </w:r>
      <w:r w:rsidRPr="003F4325">
        <w:rPr>
          <w:i/>
          <w:szCs w:val="24"/>
          <w:lang w:val="fr-CH"/>
        </w:rPr>
        <w:t>N</w:t>
      </w:r>
      <w:r w:rsidRPr="003F4325">
        <w:rPr>
          <w:szCs w:val="24"/>
          <w:vertAlign w:val="subscript"/>
          <w:lang w:val="fr-CH"/>
        </w:rPr>
        <w:t>0</w:t>
      </w:r>
      <w:r w:rsidRPr="003F4325">
        <w:rPr>
          <w:szCs w:val="24"/>
          <w:lang w:val="fr-CH"/>
        </w:rPr>
        <w:t> </w:t>
      </w:r>
      <w:r w:rsidRPr="007011A7">
        <w:t>=</w:t>
      </w:r>
      <w:r w:rsidRPr="003F4325">
        <w:rPr>
          <w:szCs w:val="24"/>
          <w:lang w:val="fr-CH"/>
        </w:rPr>
        <w:t xml:space="preserve"> 400 et </w:t>
      </w:r>
      <w:r w:rsidRPr="007011A7">
        <w:sym w:font="Symbol" w:char="F044"/>
      </w:r>
      <w:r w:rsidRPr="003F4325">
        <w:rPr>
          <w:i/>
          <w:szCs w:val="24"/>
          <w:lang w:val="fr-CH"/>
        </w:rPr>
        <w:t>N</w:t>
      </w:r>
      <w:r w:rsidRPr="003F4325">
        <w:rPr>
          <w:szCs w:val="24"/>
          <w:lang w:val="fr-CH"/>
        </w:rPr>
        <w:t> </w:t>
      </w:r>
      <w:r>
        <w:t>=</w:t>
      </w:r>
      <w:r w:rsidRPr="003F4325">
        <w:rPr>
          <w:szCs w:val="24"/>
          <w:lang w:val="fr-CH"/>
        </w:rPr>
        <w:t xml:space="preserve"> –68) et </w:t>
      </w:r>
      <w:r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 xml:space="preserve"> un angle d'élévation correspondant à la courbure minimale due à l'atmosphère (</w:t>
      </w:r>
      <w:r w:rsidRPr="003F4325">
        <w:rPr>
          <w:i/>
          <w:szCs w:val="24"/>
          <w:lang w:val="fr-CH"/>
        </w:rPr>
        <w:t>N</w:t>
      </w:r>
      <w:r w:rsidRPr="003F4325">
        <w:rPr>
          <w:szCs w:val="24"/>
          <w:vertAlign w:val="subscript"/>
          <w:lang w:val="fr-CH"/>
        </w:rPr>
        <w:t>0</w:t>
      </w:r>
      <w:r w:rsidRPr="003F4325">
        <w:rPr>
          <w:szCs w:val="24"/>
          <w:lang w:val="fr-CH"/>
        </w:rPr>
        <w:t> </w:t>
      </w:r>
      <w:r w:rsidRPr="007011A7">
        <w:t>=</w:t>
      </w:r>
      <w:r w:rsidRPr="003F4325">
        <w:rPr>
          <w:szCs w:val="24"/>
          <w:lang w:val="fr-CH"/>
        </w:rPr>
        <w:t xml:space="preserve"> 250 et </w:t>
      </w:r>
      <w:r w:rsidRPr="007011A7">
        <w:sym w:font="Symbol" w:char="F044"/>
      </w:r>
      <w:r w:rsidRPr="003F4325">
        <w:rPr>
          <w:i/>
          <w:szCs w:val="24"/>
          <w:lang w:val="fr-CH"/>
        </w:rPr>
        <w:t>N</w:t>
      </w:r>
      <w:r w:rsidRPr="003F4325">
        <w:rPr>
          <w:szCs w:val="24"/>
          <w:lang w:val="fr-CH"/>
        </w:rPr>
        <w:t> </w:t>
      </w:r>
      <w:r w:rsidRPr="007011A7">
        <w:t>=</w:t>
      </w:r>
      <w:r w:rsidRPr="003F4325">
        <w:rPr>
          <w:szCs w:val="24"/>
          <w:lang w:val="fr-CH"/>
        </w:rPr>
        <w:t xml:space="preserve"> –30). On notera que </w:t>
      </w:r>
      <w:r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w:t>
      </w:r>
      <w:r w:rsidRPr="007011A7">
        <w:sym w:font="Symbol" w:char="F0B3"/>
      </w:r>
      <w:r w:rsidRPr="003F4325">
        <w:rPr>
          <w:szCs w:val="24"/>
          <w:lang w:val="fr-CH"/>
        </w:rPr>
        <w:t xml:space="preserve"> </w:t>
      </w:r>
      <w:r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w:t>
      </w:r>
    </w:p>
    <w:p w:rsidR="00CE4097" w:rsidRPr="003F4325" w:rsidRDefault="00CE4097" w:rsidP="00CE4097">
      <w:pPr>
        <w:rPr>
          <w:szCs w:val="24"/>
          <w:lang w:val="fr-CH"/>
        </w:rPr>
      </w:pPr>
      <w:r w:rsidRPr="003F4325">
        <w:rPr>
          <w:szCs w:val="24"/>
          <w:lang w:val="fr-CH"/>
        </w:rPr>
        <w:t xml:space="preserve">Dans la pratique, il est parfois difficile d'estimer les valeurs précises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compte tenu du profil complexe de l'horizon local. Il peut être plus simple d'estimer les valeurs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en utilisant l'équation (10) et en prenant </w:t>
      </w:r>
      <w:r w:rsidRPr="003F4325">
        <w:rPr>
          <w:i/>
          <w:szCs w:val="24"/>
          <w:lang w:val="fr-CH"/>
        </w:rPr>
        <w:t>h</w:t>
      </w:r>
      <w:r w:rsidRPr="003F4325">
        <w:rPr>
          <w:szCs w:val="24"/>
          <w:vertAlign w:val="subscript"/>
          <w:lang w:val="fr-CH"/>
        </w:rPr>
        <w:t>1</w:t>
      </w:r>
      <w:r w:rsidRPr="003F4325">
        <w:rPr>
          <w:szCs w:val="24"/>
          <w:lang w:val="fr-CH"/>
        </w:rPr>
        <w:t> </w:t>
      </w:r>
      <w:r w:rsidRPr="007011A7">
        <w:t>=</w:t>
      </w:r>
      <w:r w:rsidRPr="003F4325">
        <w:rPr>
          <w:szCs w:val="24"/>
          <w:lang w:val="fr-CH"/>
        </w:rPr>
        <w:t xml:space="preserve"> 0 par hypothèse. On obtient ainsi en général un angle de séparation précis. Toutefois, si </w:t>
      </w:r>
      <w:r w:rsidRPr="007011A7">
        <w:sym w:font="Symbol" w:char="F065"/>
      </w:r>
      <w:r w:rsidRPr="003F4325">
        <w:rPr>
          <w:i/>
          <w:szCs w:val="24"/>
          <w:vertAlign w:val="subscript"/>
          <w:lang w:val="fr-CH"/>
        </w:rPr>
        <w:t>s max</w:t>
      </w:r>
      <w:r w:rsidRPr="003F4325">
        <w:rPr>
          <w:szCs w:val="24"/>
          <w:lang w:val="fr-CH"/>
        </w:rPr>
        <w:t xml:space="preserve"> est supérieur à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mais très proche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il se peut que le satellite ne soit pas visible en raison de l'horizon local. En pareil cas, on recommencera le calcul avec les valeurs effectives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w:t>
      </w:r>
    </w:p>
    <w:p w:rsidR="00CE4097" w:rsidRPr="00FC31F6" w:rsidRDefault="00CE4097" w:rsidP="00CE4097">
      <w:pPr>
        <w:pStyle w:val="Note"/>
      </w:pPr>
      <w:r w:rsidRPr="00FC31F6">
        <w:t>NOTE 2 – La courbure due à l'atmosphère (degrés) peut être calculée à l'aide des équations suivantes, obtenues à partir des éléments rassemblés dans l'Annexe 2 à la Recommandation UIT</w:t>
      </w:r>
      <w:r w:rsidRPr="00FC31F6">
        <w:noBreakHyphen/>
        <w:t>R SF.765:</w:t>
      </w:r>
    </w:p>
    <w:p w:rsidR="00CE4097" w:rsidRPr="00FC31F6" w:rsidRDefault="008E70F1" w:rsidP="008E70F1">
      <w:pPr>
        <w:pStyle w:val="Equation"/>
        <w:tabs>
          <w:tab w:val="clear" w:pos="794"/>
          <w:tab w:val="clear" w:pos="9639"/>
          <w:tab w:val="left" w:pos="567"/>
          <w:tab w:val="left" w:pos="1843"/>
          <w:tab w:val="left" w:pos="1985"/>
          <w:tab w:val="right" w:pos="9781"/>
        </w:tabs>
        <w:jc w:val="left"/>
        <w:rPr>
          <w:sz w:val="22"/>
          <w:szCs w:val="22"/>
          <w:lang w:val="en-US"/>
        </w:rPr>
      </w:pPr>
      <w:r>
        <w:rPr>
          <w:sz w:val="22"/>
          <w:szCs w:val="22"/>
        </w:rPr>
        <w:tab/>
      </w:r>
      <w:r w:rsidR="00CE4097" w:rsidRPr="00FC31F6">
        <w:rPr>
          <w:sz w:val="22"/>
          <w:szCs w:val="22"/>
        </w:rPr>
        <w:sym w:font="Symbol" w:char="F074"/>
      </w:r>
      <w:r w:rsidR="00CE4097" w:rsidRPr="00FC31F6">
        <w:rPr>
          <w:i/>
          <w:iCs/>
          <w:sz w:val="22"/>
          <w:szCs w:val="22"/>
          <w:vertAlign w:val="subscript"/>
          <w:lang w:val="en-US"/>
        </w:rPr>
        <w:t>max</w:t>
      </w:r>
      <w:r w:rsidR="00CE4097" w:rsidRPr="00FC31F6">
        <w:rPr>
          <w:sz w:val="22"/>
          <w:szCs w:val="22"/>
          <w:lang w:val="en-US"/>
        </w:rPr>
        <w:t xml:space="preserve"> (</w:t>
      </w:r>
      <w:r w:rsidR="00CE4097" w:rsidRPr="00FC31F6">
        <w:rPr>
          <w:sz w:val="22"/>
          <w:szCs w:val="22"/>
        </w:rPr>
        <w:sym w:font="Symbol" w:char="F065"/>
      </w:r>
      <w:r w:rsidR="00CE4097" w:rsidRPr="00FC31F6">
        <w:rPr>
          <w:sz w:val="22"/>
          <w:szCs w:val="22"/>
          <w:lang w:val="en-US"/>
        </w:rPr>
        <w:t xml:space="preserve">, </w:t>
      </w:r>
      <w:r w:rsidR="00CE4097" w:rsidRPr="00FC31F6">
        <w:rPr>
          <w:i/>
          <w:sz w:val="22"/>
          <w:szCs w:val="22"/>
          <w:lang w:val="en-US"/>
        </w:rPr>
        <w:t>h</w:t>
      </w:r>
      <w:r w:rsidR="00CE4097" w:rsidRPr="00FC31F6">
        <w:rPr>
          <w:sz w:val="22"/>
          <w:szCs w:val="22"/>
          <w:lang w:val="en-US"/>
        </w:rPr>
        <w:t>) =</w:t>
      </w:r>
      <w:r w:rsidR="00CE4097" w:rsidRPr="00FC31F6">
        <w:rPr>
          <w:sz w:val="22"/>
          <w:szCs w:val="22"/>
          <w:lang w:val="en-US"/>
        </w:rPr>
        <w:tab/>
        <w:t xml:space="preserve">1 / [0,7885809 + 0,175963 </w:t>
      </w:r>
      <w:r w:rsidR="00CE4097" w:rsidRPr="00FC31F6">
        <w:rPr>
          <w:i/>
          <w:sz w:val="22"/>
          <w:szCs w:val="22"/>
          <w:lang w:val="en-US"/>
        </w:rPr>
        <w:t>h</w:t>
      </w:r>
      <w:r w:rsidR="00CE4097" w:rsidRPr="00FC31F6">
        <w:rPr>
          <w:sz w:val="22"/>
          <w:szCs w:val="22"/>
          <w:lang w:val="en-US"/>
        </w:rPr>
        <w:t xml:space="preserve"> + 0,0251620 </w:t>
      </w:r>
      <w:r w:rsidR="00CE4097" w:rsidRPr="00FC31F6">
        <w:rPr>
          <w:i/>
          <w:sz w:val="22"/>
          <w:szCs w:val="22"/>
          <w:lang w:val="en-US"/>
        </w:rPr>
        <w:t>h</w:t>
      </w:r>
      <w:r w:rsidR="00CE4097" w:rsidRPr="00FC31F6">
        <w:rPr>
          <w:sz w:val="22"/>
          <w:szCs w:val="22"/>
          <w:vertAlign w:val="superscript"/>
          <w:lang w:val="en-US"/>
        </w:rPr>
        <w:t>2</w:t>
      </w:r>
      <w:r w:rsidR="00CE4097" w:rsidRPr="00FC31F6">
        <w:rPr>
          <w:sz w:val="22"/>
          <w:szCs w:val="22"/>
          <w:vertAlign w:val="superscript"/>
          <w:lang w:val="en-US"/>
        </w:rPr>
        <w:br/>
      </w:r>
      <w:r w:rsidR="00CE4097" w:rsidRPr="00FC31F6">
        <w:rPr>
          <w:sz w:val="22"/>
          <w:szCs w:val="22"/>
          <w:lang w:val="en-US"/>
        </w:rPr>
        <w:tab/>
      </w:r>
      <w:r w:rsidR="00CE4097" w:rsidRPr="00FC31F6">
        <w:rPr>
          <w:sz w:val="22"/>
          <w:szCs w:val="22"/>
          <w:lang w:val="en-US"/>
        </w:rPr>
        <w:tab/>
        <w:t xml:space="preserve">+ </w:t>
      </w:r>
      <w:r w:rsidR="00CE4097" w:rsidRPr="00FC31F6">
        <w:rPr>
          <w:sz w:val="22"/>
          <w:szCs w:val="22"/>
        </w:rPr>
        <w:sym w:font="Symbol" w:char="F065"/>
      </w:r>
      <w:r w:rsidR="00CE4097" w:rsidRPr="00FC31F6">
        <w:rPr>
          <w:sz w:val="22"/>
          <w:szCs w:val="22"/>
          <w:lang w:val="en-US"/>
        </w:rPr>
        <w:t xml:space="preserve"> (0,549056 + 0,0744484 </w:t>
      </w:r>
      <w:r w:rsidR="00CE4097" w:rsidRPr="00FC31F6">
        <w:rPr>
          <w:i/>
          <w:sz w:val="22"/>
          <w:szCs w:val="22"/>
          <w:lang w:val="en-US"/>
        </w:rPr>
        <w:t>h</w:t>
      </w:r>
      <w:r w:rsidR="00CE4097" w:rsidRPr="00FC31F6">
        <w:rPr>
          <w:sz w:val="22"/>
          <w:szCs w:val="22"/>
          <w:lang w:val="en-US"/>
        </w:rPr>
        <w:t xml:space="preserve"> + 0,0101650</w:t>
      </w:r>
      <w:r w:rsidR="00CE4097" w:rsidRPr="00FC31F6">
        <w:rPr>
          <w:i/>
          <w:sz w:val="22"/>
          <w:szCs w:val="22"/>
          <w:lang w:val="en-US"/>
        </w:rPr>
        <w:t xml:space="preserve"> h</w:t>
      </w:r>
      <w:r w:rsidR="00CE4097" w:rsidRPr="00FC31F6">
        <w:rPr>
          <w:sz w:val="22"/>
          <w:szCs w:val="22"/>
          <w:vertAlign w:val="superscript"/>
          <w:lang w:val="en-US"/>
        </w:rPr>
        <w:t>2</w:t>
      </w:r>
      <w:r w:rsidR="00CE4097" w:rsidRPr="00FC31F6">
        <w:rPr>
          <w:sz w:val="22"/>
          <w:szCs w:val="22"/>
          <w:lang w:val="en-US"/>
        </w:rPr>
        <w:t xml:space="preserve">) + </w:t>
      </w:r>
      <w:r w:rsidR="00CE4097" w:rsidRPr="00FC31F6">
        <w:rPr>
          <w:sz w:val="22"/>
          <w:szCs w:val="22"/>
        </w:rPr>
        <w:sym w:font="Symbol" w:char="F065"/>
      </w:r>
      <w:r w:rsidR="00CE4097" w:rsidRPr="00FC31F6">
        <w:rPr>
          <w:sz w:val="22"/>
          <w:szCs w:val="22"/>
          <w:vertAlign w:val="superscript"/>
          <w:lang w:val="en-US"/>
        </w:rPr>
        <w:t>2</w:t>
      </w:r>
      <w:r w:rsidR="00CE4097" w:rsidRPr="00FC31F6">
        <w:rPr>
          <w:sz w:val="22"/>
          <w:szCs w:val="22"/>
          <w:lang w:val="en-US"/>
        </w:rPr>
        <w:t xml:space="preserve"> (0,0187029 + 0,0143814 </w:t>
      </w:r>
      <w:r w:rsidR="00CE4097" w:rsidRPr="00FC31F6">
        <w:rPr>
          <w:i/>
          <w:sz w:val="22"/>
          <w:szCs w:val="22"/>
          <w:lang w:val="en-US"/>
        </w:rPr>
        <w:t>h</w:t>
      </w:r>
      <w:r w:rsidR="00CE4097" w:rsidRPr="00FC31F6">
        <w:rPr>
          <w:sz w:val="22"/>
          <w:szCs w:val="22"/>
          <w:lang w:val="en-US"/>
        </w:rPr>
        <w:t>)]</w:t>
      </w:r>
      <w:r w:rsidR="00CE4097" w:rsidRPr="00FC31F6">
        <w:rPr>
          <w:sz w:val="22"/>
          <w:szCs w:val="22"/>
          <w:lang w:val="en-US"/>
        </w:rPr>
        <w:tab/>
        <w:t xml:space="preserve"> (11a)</w:t>
      </w:r>
    </w:p>
    <w:p w:rsidR="00CE4097" w:rsidRPr="00FC31F6" w:rsidRDefault="008E70F1" w:rsidP="008E70F1">
      <w:pPr>
        <w:pStyle w:val="Equation"/>
        <w:tabs>
          <w:tab w:val="clear" w:pos="9639"/>
          <w:tab w:val="left" w:pos="1843"/>
          <w:tab w:val="right" w:pos="9781"/>
        </w:tabs>
        <w:jc w:val="left"/>
        <w:rPr>
          <w:sz w:val="22"/>
          <w:szCs w:val="22"/>
          <w:lang w:val="fr-CH"/>
        </w:rPr>
      </w:pPr>
      <w:r>
        <w:rPr>
          <w:sz w:val="22"/>
          <w:szCs w:val="22"/>
        </w:rPr>
        <w:tab/>
      </w:r>
      <w:r w:rsidR="00CE4097" w:rsidRPr="00FC31F6">
        <w:rPr>
          <w:sz w:val="22"/>
          <w:szCs w:val="22"/>
        </w:rPr>
        <w:sym w:font="Symbol" w:char="F074"/>
      </w:r>
      <w:r w:rsidR="00CE4097" w:rsidRPr="00FC31F6">
        <w:rPr>
          <w:i/>
          <w:iCs/>
          <w:sz w:val="22"/>
          <w:szCs w:val="22"/>
          <w:vertAlign w:val="subscript"/>
        </w:rPr>
        <w:t>min</w:t>
      </w:r>
      <w:r w:rsidR="00CE4097" w:rsidRPr="00FC31F6">
        <w:rPr>
          <w:sz w:val="22"/>
          <w:szCs w:val="22"/>
        </w:rPr>
        <w:t xml:space="preserve"> (</w:t>
      </w:r>
      <w:r w:rsidR="00CE4097" w:rsidRPr="00FC31F6">
        <w:rPr>
          <w:sz w:val="22"/>
          <w:szCs w:val="22"/>
        </w:rPr>
        <w:sym w:font="Symbol" w:char="F065"/>
      </w:r>
      <w:r w:rsidR="00CE4097" w:rsidRPr="00FC31F6">
        <w:rPr>
          <w:sz w:val="22"/>
          <w:szCs w:val="22"/>
        </w:rPr>
        <w:t xml:space="preserve">, </w:t>
      </w:r>
      <w:r w:rsidR="00CE4097" w:rsidRPr="00FC31F6">
        <w:rPr>
          <w:i/>
          <w:sz w:val="22"/>
          <w:szCs w:val="22"/>
        </w:rPr>
        <w:t>h</w:t>
      </w:r>
      <w:r w:rsidR="00CE4097" w:rsidRPr="00FC31F6">
        <w:rPr>
          <w:sz w:val="22"/>
          <w:szCs w:val="22"/>
        </w:rPr>
        <w:t>) =</w:t>
      </w:r>
      <w:r w:rsidR="00CE4097" w:rsidRPr="00FC31F6">
        <w:rPr>
          <w:sz w:val="22"/>
          <w:szCs w:val="22"/>
        </w:rPr>
        <w:tab/>
        <w:t xml:space="preserve">1 / [1,755698 + 0,313461 </w:t>
      </w:r>
      <w:r w:rsidR="00CE4097" w:rsidRPr="00FC31F6">
        <w:rPr>
          <w:i/>
          <w:sz w:val="22"/>
          <w:szCs w:val="22"/>
        </w:rPr>
        <w:t>h</w:t>
      </w:r>
      <w:r w:rsidR="00CE4097" w:rsidRPr="00FC31F6">
        <w:rPr>
          <w:sz w:val="22"/>
          <w:szCs w:val="22"/>
        </w:rPr>
        <w:t xml:space="preserve"> + </w:t>
      </w:r>
      <w:r w:rsidR="00CE4097" w:rsidRPr="00FC31F6">
        <w:rPr>
          <w:sz w:val="22"/>
          <w:szCs w:val="22"/>
        </w:rPr>
        <w:sym w:font="Symbol" w:char="F065"/>
      </w:r>
      <w:r w:rsidR="00CE4097" w:rsidRPr="00FC31F6">
        <w:rPr>
          <w:sz w:val="22"/>
          <w:szCs w:val="22"/>
        </w:rPr>
        <w:t xml:space="preserve"> (0,815022 + 0,109154 </w:t>
      </w:r>
      <w:r w:rsidR="00CE4097" w:rsidRPr="00FC31F6">
        <w:rPr>
          <w:i/>
          <w:sz w:val="22"/>
          <w:szCs w:val="22"/>
        </w:rPr>
        <w:t>h</w:t>
      </w:r>
      <w:r w:rsidR="00CE4097" w:rsidRPr="00FC31F6">
        <w:rPr>
          <w:sz w:val="22"/>
          <w:szCs w:val="22"/>
        </w:rPr>
        <w:t>)</w:t>
      </w:r>
      <w:r w:rsidR="00CE4097" w:rsidRPr="00FC31F6">
        <w:rPr>
          <w:sz w:val="22"/>
          <w:szCs w:val="22"/>
        </w:rPr>
        <w:br/>
      </w:r>
      <w:r w:rsidR="00CE4097" w:rsidRPr="00FC31F6">
        <w:rPr>
          <w:sz w:val="22"/>
          <w:szCs w:val="22"/>
        </w:rPr>
        <w:tab/>
      </w:r>
      <w:r w:rsidR="00CE4097" w:rsidRPr="00FC31F6">
        <w:rPr>
          <w:sz w:val="22"/>
          <w:szCs w:val="22"/>
        </w:rPr>
        <w:tab/>
        <w:t>+</w:t>
      </w:r>
      <w:r w:rsidR="00CE4097" w:rsidRPr="00FC31F6">
        <w:rPr>
          <w:sz w:val="22"/>
          <w:szCs w:val="22"/>
          <w:lang w:val="fr-CH"/>
        </w:rPr>
        <w:t xml:space="preserve"> </w:t>
      </w:r>
      <w:r w:rsidR="00CE4097" w:rsidRPr="00FC31F6">
        <w:rPr>
          <w:sz w:val="22"/>
          <w:szCs w:val="22"/>
        </w:rPr>
        <w:sym w:font="Symbol" w:char="F065"/>
      </w:r>
      <w:r w:rsidR="00CE4097" w:rsidRPr="00FC31F6">
        <w:rPr>
          <w:sz w:val="22"/>
          <w:szCs w:val="22"/>
          <w:vertAlign w:val="superscript"/>
        </w:rPr>
        <w:t>2</w:t>
      </w:r>
      <w:r w:rsidR="00CE4097" w:rsidRPr="00FC31F6">
        <w:rPr>
          <w:sz w:val="22"/>
          <w:szCs w:val="22"/>
          <w:lang w:val="fr-CH"/>
        </w:rPr>
        <w:t xml:space="preserve"> (0,0295668 </w:t>
      </w:r>
      <w:r w:rsidR="00CE4097" w:rsidRPr="00FC31F6">
        <w:rPr>
          <w:sz w:val="22"/>
          <w:szCs w:val="22"/>
        </w:rPr>
        <w:t>+</w:t>
      </w:r>
      <w:r w:rsidR="00CE4097" w:rsidRPr="00FC31F6">
        <w:rPr>
          <w:sz w:val="22"/>
          <w:szCs w:val="22"/>
          <w:lang w:val="fr-CH"/>
        </w:rPr>
        <w:t xml:space="preserve"> 0,0185682 </w:t>
      </w:r>
      <w:r w:rsidR="00CE4097" w:rsidRPr="00FC31F6">
        <w:rPr>
          <w:i/>
          <w:sz w:val="22"/>
          <w:szCs w:val="22"/>
          <w:lang w:val="fr-CH"/>
        </w:rPr>
        <w:t>h</w:t>
      </w:r>
      <w:r w:rsidR="00CE4097" w:rsidRPr="00FC31F6">
        <w:rPr>
          <w:sz w:val="22"/>
          <w:szCs w:val="22"/>
          <w:lang w:val="fr-CH"/>
        </w:rPr>
        <w:t>)]</w:t>
      </w:r>
      <w:r w:rsidR="00CE4097" w:rsidRPr="00FC31F6">
        <w:rPr>
          <w:sz w:val="22"/>
          <w:szCs w:val="22"/>
          <w:lang w:val="fr-CH"/>
        </w:rPr>
        <w:tab/>
      </w:r>
      <w:r w:rsidR="00CE4097" w:rsidRPr="00FC31F6">
        <w:rPr>
          <w:sz w:val="22"/>
          <w:szCs w:val="22"/>
          <w:lang w:val="fr-CH"/>
        </w:rPr>
        <w:tab/>
        <w:t>(11b)</w:t>
      </w:r>
    </w:p>
    <w:p w:rsidR="00CE4097" w:rsidRPr="00FC31F6" w:rsidRDefault="00CE4097" w:rsidP="00CE4097">
      <w:pPr>
        <w:rPr>
          <w:sz w:val="22"/>
          <w:szCs w:val="22"/>
          <w:lang w:val="fr-CH"/>
        </w:rPr>
      </w:pPr>
      <w:r w:rsidRPr="00FC31F6">
        <w:rPr>
          <w:sz w:val="22"/>
          <w:szCs w:val="22"/>
          <w:lang w:val="fr-CH"/>
        </w:rPr>
        <w:t>où:</w:t>
      </w:r>
    </w:p>
    <w:p w:rsidR="00CE4097" w:rsidRPr="00FC31F6" w:rsidRDefault="00CE4097" w:rsidP="00CE4097">
      <w:pPr>
        <w:pStyle w:val="Equationlegend"/>
        <w:rPr>
          <w:sz w:val="22"/>
          <w:szCs w:val="22"/>
          <w:lang w:val="fr-CH"/>
        </w:rPr>
      </w:pPr>
      <w:r w:rsidRPr="00FC31F6">
        <w:rPr>
          <w:sz w:val="22"/>
          <w:szCs w:val="22"/>
          <w:lang w:val="fr-CH"/>
        </w:rPr>
        <w:tab/>
      </w:r>
      <w:r w:rsidRPr="00FC31F6">
        <w:rPr>
          <w:sz w:val="22"/>
          <w:szCs w:val="22"/>
        </w:rPr>
        <w:sym w:font="Symbol" w:char="F065"/>
      </w:r>
      <w:r w:rsidRPr="00FC31F6">
        <w:rPr>
          <w:i/>
          <w:sz w:val="22"/>
          <w:szCs w:val="22"/>
          <w:lang w:val="fr-CH"/>
        </w:rPr>
        <w:t> </w:t>
      </w:r>
      <w:r w:rsidRPr="00FC31F6">
        <w:rPr>
          <w:sz w:val="22"/>
          <w:szCs w:val="22"/>
          <w:lang w:val="fr-CH"/>
        </w:rPr>
        <w:t>:</w:t>
      </w:r>
      <w:r w:rsidRPr="00FC31F6">
        <w:rPr>
          <w:sz w:val="22"/>
          <w:szCs w:val="22"/>
          <w:lang w:val="fr-CH"/>
        </w:rPr>
        <w:tab/>
        <w:t>angle d'élévation (degrés)</w:t>
      </w:r>
    </w:p>
    <w:p w:rsidR="00CE4097" w:rsidRPr="00FC31F6" w:rsidRDefault="00CE4097" w:rsidP="00CE4097">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hauteur (km) de l'antenne de la station par rapport au niveau de la mer.</w:t>
      </w:r>
    </w:p>
    <w:p w:rsidR="00CE4097" w:rsidRPr="003F4325" w:rsidRDefault="00CE4097" w:rsidP="00CE4097">
      <w:pPr>
        <w:pStyle w:val="Note"/>
        <w:rPr>
          <w:lang w:val="fr-CH"/>
        </w:rPr>
      </w:pPr>
      <w:r w:rsidRPr="003F4325">
        <w:rPr>
          <w:lang w:val="fr-CH"/>
        </w:rPr>
        <w:t xml:space="preserve">Ces équations sont valables dans l'intervalle </w:t>
      </w:r>
      <w:r w:rsidRPr="007011A7">
        <w:sym w:font="Symbol" w:char="F065"/>
      </w:r>
      <w:r w:rsidRPr="003F4325">
        <w:rPr>
          <w:lang w:val="fr-CH"/>
        </w:rPr>
        <w:t> </w:t>
      </w:r>
      <w:r w:rsidRPr="007011A7">
        <w:sym w:font="Symbol" w:char="F0B3"/>
      </w:r>
      <w:r w:rsidRPr="003F4325">
        <w:rPr>
          <w:lang w:val="fr-CH"/>
        </w:rPr>
        <w:t> </w:t>
      </w:r>
      <w:r w:rsidRPr="007011A7">
        <w:sym w:font="Symbol" w:char="F065"/>
      </w:r>
      <w:r w:rsidRPr="003F4325">
        <w:rPr>
          <w:i/>
          <w:iCs/>
          <w:vertAlign w:val="subscript"/>
        </w:rPr>
        <w:t>m</w:t>
      </w:r>
      <w:r w:rsidRPr="003F4325">
        <w:rPr>
          <w:vertAlign w:val="subscript"/>
        </w:rPr>
        <w:t>1</w:t>
      </w:r>
      <w:r w:rsidRPr="003F4325">
        <w:rPr>
          <w:lang w:val="fr-CH"/>
        </w:rPr>
        <w:t xml:space="preserve"> ou bien </w:t>
      </w:r>
      <w:r w:rsidRPr="007011A7">
        <w:sym w:font="Symbol" w:char="F065"/>
      </w:r>
      <w:r w:rsidRPr="003F4325">
        <w:rPr>
          <w:lang w:val="fr-CH"/>
        </w:rPr>
        <w:t> </w:t>
      </w:r>
      <w:r w:rsidRPr="007011A7">
        <w:sym w:font="Symbol" w:char="F0B3"/>
      </w:r>
      <w:r w:rsidRPr="003F4325">
        <w:rPr>
          <w:lang w:val="fr-CH"/>
        </w:rPr>
        <w:t> </w:t>
      </w:r>
      <w:r w:rsidRPr="007011A7">
        <w:sym w:font="Symbol" w:char="F065"/>
      </w:r>
      <w:r w:rsidRPr="003F4325">
        <w:rPr>
          <w:i/>
          <w:iCs/>
          <w:vertAlign w:val="subscript"/>
        </w:rPr>
        <w:t>m</w:t>
      </w:r>
      <w:r w:rsidRPr="003F4325">
        <w:rPr>
          <w:vertAlign w:val="subscript"/>
        </w:rPr>
        <w:t>2</w:t>
      </w:r>
      <w:r w:rsidRPr="003F4325">
        <w:rPr>
          <w:lang w:val="fr-CH"/>
        </w:rPr>
        <w:t>. L'algorithme utilisé dans la présente Annexe garantit que ces formules ne sont appliquées que lorsqu'elles sont valides.</w:t>
      </w:r>
    </w:p>
    <w:p w:rsidR="00CE4097" w:rsidRPr="003F4325" w:rsidRDefault="00CE4097" w:rsidP="00CE4097">
      <w:pPr>
        <w:pStyle w:val="Note"/>
        <w:rPr>
          <w:lang w:val="fr-CH"/>
        </w:rPr>
      </w:pPr>
      <w:r w:rsidRPr="003F4325">
        <w:rPr>
          <w:lang w:val="fr-CH"/>
        </w:rPr>
        <w:t xml:space="preserve">NOTE 3 – Certaines précautions concernant la convergence sont nécessaires pour résoudre l'équation (7a), tout particulièrement lorsque </w:t>
      </w:r>
      <w:r w:rsidRPr="003F4325">
        <w:rPr>
          <w:i/>
          <w:lang w:val="fr-CH"/>
        </w:rPr>
        <w:t>h</w:t>
      </w:r>
      <w:r w:rsidRPr="003F4325">
        <w:rPr>
          <w:lang w:val="fr-CH"/>
        </w:rPr>
        <w:t xml:space="preserve"> est important et que</w:t>
      </w:r>
      <w:r w:rsidRPr="003F4325">
        <w:rPr>
          <w:position w:val="-10"/>
        </w:rPr>
        <w:object w:dxaOrig="240" w:dyaOrig="300">
          <v:shape id="_x0000_i1043" type="#_x0000_t75" style="width:12pt;height:15.25pt" o:ole="">
            <v:imagedata r:id="rId38" o:title=""/>
          </v:shape>
          <o:OLEObject Type="Embed" ProgID="Equation.3" ShapeID="_x0000_i1043" DrawAspect="Content" ObjectID="_1470033704" r:id="rId47"/>
        </w:object>
      </w:r>
      <w:r w:rsidRPr="003F4325">
        <w:rPr>
          <w:lang w:val="fr-CH"/>
        </w:rPr>
        <w:t xml:space="preserve">est négatif. En conséquence, pour résoudre </w:t>
      </w:r>
      <w:r w:rsidRPr="003F4325">
        <w:rPr>
          <w:lang w:val="fr-CH"/>
        </w:rPr>
        <w:lastRenderedPageBreak/>
        <w:t xml:space="preserve">l'équation (7a) on pourra appliquer la méthode de Newton-Raphson en prenant comme valeur initiale </w:t>
      </w:r>
      <w:r w:rsidRPr="007011A7">
        <w:sym w:font="Symbol" w:char="F065"/>
      </w:r>
      <w:r w:rsidRPr="003F4325">
        <w:rPr>
          <w:i/>
          <w:vertAlign w:val="subscript"/>
          <w:lang w:val="fr-CH"/>
        </w:rPr>
        <w:t>s max</w:t>
      </w:r>
      <w:r w:rsidRPr="003F4325">
        <w:rPr>
          <w:lang w:val="fr-CH"/>
        </w:rPr>
        <w:t> </w:t>
      </w:r>
      <w:r w:rsidRPr="007011A7">
        <w:t>=</w:t>
      </w:r>
      <w:r w:rsidRPr="003F4325">
        <w:rPr>
          <w:lang w:val="fr-CH"/>
        </w:rPr>
        <w:t> </w:t>
      </w:r>
      <w:r w:rsidRPr="003F4325">
        <w:rPr>
          <w:iCs/>
          <w:lang w:val="fr-CH"/>
        </w:rPr>
        <w:t>max</w:t>
      </w:r>
      <w:r w:rsidRPr="003F4325">
        <w:rPr>
          <w:position w:val="-10"/>
        </w:rPr>
        <w:object w:dxaOrig="740" w:dyaOrig="300">
          <v:shape id="_x0000_i1044" type="#_x0000_t75" style="width:36.9pt;height:15.25pt" o:ole="">
            <v:imagedata r:id="rId48" o:title=""/>
          </v:shape>
          <o:OLEObject Type="Embed" ProgID="Equation.3" ShapeID="_x0000_i1044" DrawAspect="Content" ObjectID="_1470033705" r:id="rId49"/>
        </w:object>
      </w:r>
      <w:r w:rsidRPr="003F4325">
        <w:rPr>
          <w:lang w:val="fr-CH"/>
        </w:rPr>
        <w:t>. La convergence est obtenue après plusieurs itérations.</w:t>
      </w:r>
    </w:p>
    <w:p w:rsidR="00CE4097" w:rsidRPr="003F4325" w:rsidRDefault="00CE4097" w:rsidP="00CE4097">
      <w:pPr>
        <w:pStyle w:val="Note"/>
        <w:rPr>
          <w:lang w:val="fr-CH"/>
        </w:rPr>
      </w:pPr>
      <w:r w:rsidRPr="003F4325">
        <w:rPr>
          <w:lang w:val="fr-CH"/>
        </w:rPr>
        <w:t xml:space="preserve">On pourra procéder de même pour résoudre l'équation (7b); dans ce cas, la valeur initiale sera </w:t>
      </w:r>
      <w:r w:rsidRPr="007011A7">
        <w:sym w:font="Symbol" w:char="F065"/>
      </w:r>
      <w:r w:rsidRPr="003F4325">
        <w:rPr>
          <w:i/>
          <w:iCs/>
          <w:vertAlign w:val="subscript"/>
          <w:lang w:val="fr-CH"/>
        </w:rPr>
        <w:t>s</w:t>
      </w:r>
      <w:r w:rsidRPr="003F4325">
        <w:rPr>
          <w:vertAlign w:val="subscript"/>
          <w:lang w:val="fr-CH"/>
        </w:rPr>
        <w:t> </w:t>
      </w:r>
      <w:r w:rsidRPr="003F4325">
        <w:rPr>
          <w:i/>
          <w:iCs/>
          <w:vertAlign w:val="subscript"/>
          <w:lang w:val="fr-CH"/>
        </w:rPr>
        <w:t>min</w:t>
      </w:r>
      <w:r w:rsidRPr="003F4325">
        <w:rPr>
          <w:lang w:val="fr-CH"/>
        </w:rPr>
        <w:t> </w:t>
      </w:r>
      <w:r w:rsidRPr="007011A7">
        <w:t>=</w:t>
      </w:r>
      <w:r w:rsidRPr="003F4325">
        <w:rPr>
          <w:lang w:val="fr-CH"/>
        </w:rPr>
        <w:t> max</w:t>
      </w:r>
      <w:r w:rsidRPr="003F4325">
        <w:rPr>
          <w:position w:val="-10"/>
        </w:rPr>
        <w:object w:dxaOrig="780" w:dyaOrig="300">
          <v:shape id="_x0000_i1045" type="#_x0000_t75" style="width:39.25pt;height:15.25pt" o:ole="">
            <v:imagedata r:id="rId50" o:title=""/>
          </v:shape>
          <o:OLEObject Type="Embed" ProgID="Equation.3" ShapeID="_x0000_i1045" DrawAspect="Content" ObjectID="_1470033706" r:id="rId51"/>
        </w:object>
      </w:r>
      <w:r w:rsidRPr="003F4325">
        <w:rPr>
          <w:lang w:val="fr-CH"/>
        </w:rPr>
        <w:t>.</w:t>
      </w:r>
    </w:p>
    <w:p w:rsidR="00CE4097" w:rsidRPr="003F4325" w:rsidRDefault="00CE4097" w:rsidP="00CE4097">
      <w:pPr>
        <w:pStyle w:val="Note"/>
        <w:rPr>
          <w:lang w:val="fr-CH"/>
        </w:rPr>
      </w:pPr>
      <w:r w:rsidRPr="003F4325">
        <w:rPr>
          <w:lang w:val="fr-CH"/>
        </w:rPr>
        <w:t>NOTE 4 – On trouvera à l'Appendice 1 un programme informatique applicable au calcul des angles de séparation selon la méthodologie exposée dans la présente Annexe.</w:t>
      </w:r>
    </w:p>
    <w:p w:rsidR="00CE4097" w:rsidRDefault="00CE4097" w:rsidP="00CE4097">
      <w:pPr>
        <w:jc w:val="left"/>
        <w:rPr>
          <w:szCs w:val="24"/>
          <w:lang w:val="fr-CH"/>
        </w:rPr>
      </w:pPr>
    </w:p>
    <w:p w:rsidR="00517CE1" w:rsidRPr="003F4325" w:rsidRDefault="00517CE1" w:rsidP="00CE4097">
      <w:pPr>
        <w:jc w:val="left"/>
        <w:rPr>
          <w:szCs w:val="24"/>
          <w:lang w:val="fr-CH"/>
        </w:rPr>
      </w:pPr>
    </w:p>
    <w:p w:rsidR="00CE4097" w:rsidRDefault="00CE4097" w:rsidP="00CE4097">
      <w:pPr>
        <w:pStyle w:val="AppendixNoTitle"/>
        <w:rPr>
          <w:lang w:val="fr-CH"/>
        </w:rPr>
      </w:pPr>
      <w:r>
        <w:rPr>
          <w:lang w:val="fr-CH"/>
        </w:rPr>
        <w:t>Appendice 1</w:t>
      </w:r>
      <w:r>
        <w:rPr>
          <w:lang w:val="fr-CH"/>
        </w:rPr>
        <w:br/>
        <w:t>à l'Annexe 2</w:t>
      </w:r>
    </w:p>
    <w:p w:rsidR="00CE4097" w:rsidRDefault="00CE4097" w:rsidP="00CE4097">
      <w:pPr>
        <w:pStyle w:val="Blanc"/>
        <w:rPr>
          <w:lang w:val="fr-CH"/>
        </w:rPr>
      </w:pPr>
    </w:p>
    <w:p w:rsidR="00CE4097" w:rsidRDefault="00CE4097" w:rsidP="00CE4097">
      <w:pPr>
        <w:pStyle w:val="Normalaftertitle"/>
        <w:spacing w:before="0"/>
      </w:pPr>
      <w:r>
        <w:t>/******************************************************************************/</w:t>
      </w:r>
    </w:p>
    <w:p w:rsidR="00CE4097" w:rsidRDefault="00CE4097" w:rsidP="00CE4097">
      <w:pPr>
        <w:tabs>
          <w:tab w:val="clear" w:pos="794"/>
          <w:tab w:val="clear" w:pos="1191"/>
          <w:tab w:val="clear" w:pos="1588"/>
          <w:tab w:val="clear" w:pos="1985"/>
          <w:tab w:val="left" w:pos="9360"/>
        </w:tabs>
        <w:spacing w:before="0"/>
        <w:jc w:val="left"/>
      </w:pPr>
      <w:r>
        <w:t>/* nom de fichier : drsang_b.c</w:t>
      </w:r>
      <w:r>
        <w:tab/>
        <w:t>*/</w:t>
      </w:r>
    </w:p>
    <w:p w:rsidR="00CE4097" w:rsidRDefault="00CE4097" w:rsidP="00CE4097">
      <w:pPr>
        <w:tabs>
          <w:tab w:val="clear" w:pos="794"/>
          <w:tab w:val="clear" w:pos="1191"/>
          <w:tab w:val="clear" w:pos="1588"/>
          <w:tab w:val="clear" w:pos="1985"/>
          <w:tab w:val="left" w:pos="9360"/>
        </w:tabs>
        <w:spacing w:before="0"/>
        <w:jc w:val="left"/>
      </w:pPr>
      <w:r>
        <w:t>/* langage : C</w:t>
      </w:r>
      <w:r>
        <w:tab/>
        <w:t>*/</w:t>
      </w:r>
    </w:p>
    <w:p w:rsidR="00CE4097" w:rsidRDefault="00CE4097" w:rsidP="00CE4097">
      <w:pPr>
        <w:tabs>
          <w:tab w:val="clear" w:pos="794"/>
          <w:tab w:val="clear" w:pos="1191"/>
          <w:tab w:val="clear" w:pos="1588"/>
          <w:tab w:val="clear" w:pos="1985"/>
          <w:tab w:val="left" w:pos="9360"/>
        </w:tabs>
        <w:spacing w:before="0"/>
        <w:jc w:val="left"/>
      </w:pPr>
      <w:r>
        <w:t>/* fonction : calcul des séparations angulaires entre les faisceaux</w:t>
      </w:r>
      <w:r>
        <w:tab/>
        <w:t>*/</w:t>
      </w:r>
    </w:p>
    <w:p w:rsidR="00CE4097" w:rsidRDefault="00CE4097" w:rsidP="00CE4097">
      <w:pPr>
        <w:tabs>
          <w:tab w:val="clear" w:pos="794"/>
          <w:tab w:val="clear" w:pos="1191"/>
          <w:tab w:val="clear" w:pos="1588"/>
          <w:tab w:val="clear" w:pos="1985"/>
          <w:tab w:val="left" w:pos="9360"/>
        </w:tabs>
        <w:spacing w:before="0"/>
        <w:jc w:val="left"/>
      </w:pPr>
      <w:r>
        <w:t>/*    d'antenne d'émission du service fixe et les directions</w:t>
      </w:r>
      <w:r>
        <w:tab/>
        <w:t>*/</w:t>
      </w:r>
    </w:p>
    <w:p w:rsidR="00CE4097" w:rsidRDefault="00CE4097" w:rsidP="00CE4097">
      <w:pPr>
        <w:tabs>
          <w:tab w:val="clear" w:pos="794"/>
          <w:tab w:val="clear" w:pos="1191"/>
          <w:tab w:val="clear" w:pos="1588"/>
          <w:tab w:val="clear" w:pos="1985"/>
          <w:tab w:val="left" w:pos="9360"/>
        </w:tabs>
        <w:spacing w:before="0"/>
        <w:jc w:val="left"/>
      </w:pPr>
      <w:r>
        <w:t>/*    des satellites relais de données géostationnaires</w:t>
      </w:r>
      <w:r>
        <w:tab/>
        <w:t>*/</w:t>
      </w:r>
    </w:p>
    <w:p w:rsidR="00CE4097" w:rsidRDefault="00CE4097" w:rsidP="00CE4097">
      <w:pPr>
        <w:spacing w:before="0"/>
        <w:rPr>
          <w:lang w:val="en-US"/>
        </w:rPr>
      </w:pPr>
      <w:r>
        <w:rPr>
          <w:lang w:val="en-US"/>
        </w:rPr>
        <w:t>/******************************************************************************/</w:t>
      </w:r>
    </w:p>
    <w:p w:rsidR="00CE4097" w:rsidRDefault="00CE4097" w:rsidP="00CE4097">
      <w:pPr>
        <w:rPr>
          <w:lang w:val="en-US"/>
        </w:rPr>
      </w:pPr>
      <w:r>
        <w:rPr>
          <w:lang w:val="en-US"/>
        </w:rPr>
        <w:t>/*----- inclure fichiers -------------------------------------------------------------------------------------------*/</w:t>
      </w:r>
    </w:p>
    <w:p w:rsidR="00CE4097" w:rsidRDefault="00CE4097" w:rsidP="00CE4097">
      <w:pPr>
        <w:spacing w:before="0"/>
        <w:rPr>
          <w:lang w:val="en-US"/>
        </w:rPr>
      </w:pPr>
      <w:r>
        <w:rPr>
          <w:lang w:val="en-US"/>
        </w:rPr>
        <w:t>#include &lt;stdio.h&gt;</w:t>
      </w:r>
    </w:p>
    <w:p w:rsidR="00CE4097" w:rsidRDefault="00CE4097" w:rsidP="00CE4097">
      <w:pPr>
        <w:spacing w:before="0"/>
        <w:rPr>
          <w:lang w:val="en-US"/>
        </w:rPr>
      </w:pPr>
      <w:r>
        <w:rPr>
          <w:lang w:val="en-US"/>
        </w:rPr>
        <w:t>#include &lt;math.h&gt;</w:t>
      </w:r>
    </w:p>
    <w:p w:rsidR="00CE4097" w:rsidRDefault="00CE4097" w:rsidP="00CE4097">
      <w:pPr>
        <w:spacing w:before="0"/>
        <w:rPr>
          <w:lang w:val="en-US"/>
        </w:rPr>
      </w:pPr>
      <w:r>
        <w:rPr>
          <w:lang w:val="en-US"/>
        </w:rPr>
        <w:t>#include &lt;errno.h&gt;</w:t>
      </w:r>
    </w:p>
    <w:p w:rsidR="00CE4097" w:rsidRDefault="00CE4097" w:rsidP="00CE4097">
      <w:pPr>
        <w:rPr>
          <w:lang w:val="en-US"/>
        </w:rPr>
      </w:pPr>
      <w:r>
        <w:rPr>
          <w:lang w:val="en-US"/>
        </w:rPr>
        <w:t>static</w:t>
      </w:r>
      <w:r>
        <w:rPr>
          <w:lang w:val="en-US"/>
        </w:rPr>
        <w:tab/>
        <w:t>double</w:t>
      </w:r>
      <w:r>
        <w:rPr>
          <w:lang w:val="en-US"/>
        </w:rPr>
        <w:tab/>
        <w:t>pi,rd,dr,em1,em2,a[3],b[3];</w:t>
      </w:r>
    </w:p>
    <w:p w:rsidR="00CE4097" w:rsidRDefault="00CE4097" w:rsidP="00CE4097">
      <w:r>
        <w:t>/*------------------------------------------------------------------------------------------------------------------*/</w:t>
      </w:r>
    </w:p>
    <w:p w:rsidR="00CE4097" w:rsidRDefault="00CE4097" w:rsidP="00CE4097">
      <w:pPr>
        <w:tabs>
          <w:tab w:val="clear" w:pos="794"/>
          <w:tab w:val="clear" w:pos="1191"/>
          <w:tab w:val="clear" w:pos="1588"/>
          <w:tab w:val="clear" w:pos="1985"/>
          <w:tab w:val="left" w:pos="9360"/>
        </w:tabs>
        <w:spacing w:before="0"/>
        <w:jc w:val="left"/>
      </w:pPr>
      <w:r>
        <w:t>/* module : courbure</w:t>
      </w:r>
      <w:r>
        <w:tab/>
        <w:t>*/</w:t>
      </w:r>
    </w:p>
    <w:p w:rsidR="00CE4097" w:rsidRDefault="00CE4097" w:rsidP="00CE4097">
      <w:pPr>
        <w:tabs>
          <w:tab w:val="clear" w:pos="794"/>
          <w:tab w:val="clear" w:pos="1191"/>
          <w:tab w:val="clear" w:pos="1588"/>
          <w:tab w:val="clear" w:pos="1985"/>
          <w:tab w:val="left" w:pos="9360"/>
        </w:tabs>
        <w:spacing w:before="0"/>
        <w:jc w:val="left"/>
      </w:pPr>
      <w:r>
        <w:t>/* fonction : définir les caractéristiques de courbure due à l'atmosphère</w:t>
      </w:r>
      <w:r>
        <w:tab/>
        <w:t>*/</w:t>
      </w:r>
    </w:p>
    <w:p w:rsidR="00CE4097" w:rsidRDefault="00CE4097" w:rsidP="00CE4097">
      <w:pPr>
        <w:tabs>
          <w:tab w:val="clear" w:pos="794"/>
          <w:tab w:val="clear" w:pos="1191"/>
          <w:tab w:val="clear" w:pos="1588"/>
          <w:tab w:val="clear" w:pos="1985"/>
          <w:tab w:val="left" w:pos="9360"/>
        </w:tabs>
        <w:spacing w:before="0"/>
        <w:jc w:val="left"/>
      </w:pPr>
      <w:r>
        <w:t>/* in h0 : altitude (km) de l'antenne de la station par rapport au niveau de la mer</w:t>
      </w:r>
      <w:r>
        <w:tab/>
        <w:t>*/</w:t>
      </w:r>
    </w:p>
    <w:p w:rsidR="00CE4097" w:rsidRDefault="00CE4097" w:rsidP="00CE4097">
      <w:pPr>
        <w:tabs>
          <w:tab w:val="clear" w:pos="794"/>
          <w:tab w:val="clear" w:pos="1191"/>
          <w:tab w:val="clear" w:pos="1588"/>
          <w:tab w:val="clear" w:pos="1985"/>
          <w:tab w:val="left" w:pos="9360"/>
        </w:tabs>
        <w:spacing w:before="0"/>
        <w:jc w:val="left"/>
      </w:pPr>
      <w:r>
        <w:t>/*  h1 : altitude (km) de l'horizon local (h0</w:t>
      </w:r>
      <w:r w:rsidRPr="007011A7">
        <w:t>&gt;=</w:t>
      </w:r>
      <w:r>
        <w:t>h1)</w:t>
      </w:r>
      <w:r>
        <w:tab/>
        <w:t>*/</w:t>
      </w:r>
    </w:p>
    <w:p w:rsidR="00CE4097" w:rsidRDefault="00CE4097" w:rsidP="00CE4097">
      <w:pPr>
        <w:tabs>
          <w:tab w:val="clear" w:pos="794"/>
          <w:tab w:val="clear" w:pos="1191"/>
          <w:tab w:val="clear" w:pos="1588"/>
          <w:tab w:val="clear" w:pos="1985"/>
          <w:tab w:val="left" w:pos="9360"/>
        </w:tabs>
        <w:spacing w:before="0"/>
        <w:jc w:val="left"/>
      </w:pPr>
      <w:r>
        <w:t>/* out em1,2 : angles d'élévation vers l'horizon local correspondant respectivement</w:t>
      </w:r>
      <w:r>
        <w:tab/>
        <w:t>*/</w:t>
      </w:r>
    </w:p>
    <w:p w:rsidR="00CE4097" w:rsidRDefault="00CE4097" w:rsidP="00CE4097">
      <w:pPr>
        <w:tabs>
          <w:tab w:val="clear" w:pos="794"/>
          <w:tab w:val="clear" w:pos="1191"/>
          <w:tab w:val="clear" w:pos="1588"/>
          <w:tab w:val="clear" w:pos="1985"/>
          <w:tab w:val="left" w:pos="9360"/>
        </w:tabs>
        <w:spacing w:before="0"/>
        <w:jc w:val="left"/>
      </w:pPr>
      <w:r>
        <w:t>/*    à la valeur maximale et à la valeur minimale de la courbure due à l'atmosphère (voir l'équation (8))</w:t>
      </w:r>
      <w:r>
        <w:tab/>
        <w:t>*/</w:t>
      </w:r>
    </w:p>
    <w:p w:rsidR="00CE4097" w:rsidRDefault="00CE4097" w:rsidP="00CE4097">
      <w:pPr>
        <w:tabs>
          <w:tab w:val="clear" w:pos="794"/>
          <w:tab w:val="clear" w:pos="1191"/>
          <w:tab w:val="clear" w:pos="1588"/>
          <w:tab w:val="clear" w:pos="1985"/>
          <w:tab w:val="left" w:pos="9360"/>
        </w:tabs>
        <w:spacing w:before="0"/>
      </w:pPr>
      <w:r>
        <w:t>/*  a,b : coefficients de courbure due à l'atmosphère correspondant</w:t>
      </w:r>
      <w:r>
        <w:tab/>
        <w:t>*/</w:t>
      </w:r>
    </w:p>
    <w:p w:rsidR="00CE4097" w:rsidRDefault="00CE4097" w:rsidP="00CE4097">
      <w:pPr>
        <w:tabs>
          <w:tab w:val="clear" w:pos="794"/>
          <w:tab w:val="clear" w:pos="1191"/>
          <w:tab w:val="clear" w:pos="1588"/>
          <w:tab w:val="clear" w:pos="1985"/>
          <w:tab w:val="left" w:pos="9360"/>
        </w:tabs>
        <w:spacing w:before="0"/>
      </w:pPr>
      <w:r>
        <w:t>/*    aux valeurs maximale et minimale de courbure due à l'atmosphère</w:t>
      </w:r>
      <w:r>
        <w:tab/>
        <w:t>*/</w:t>
      </w:r>
    </w:p>
    <w:p w:rsidR="00CE4097" w:rsidRDefault="00CE4097" w:rsidP="00CE4097">
      <w:pPr>
        <w:spacing w:before="0"/>
        <w:rPr>
          <w:lang w:val="en-US"/>
        </w:rPr>
      </w:pPr>
      <w:r>
        <w:rPr>
          <w:lang w:val="en-US"/>
        </w:rPr>
        <w:t>/*------------------------------------------------------------------------------------------------------------</w:t>
      </w:r>
      <w:r w:rsidRPr="00370B5B">
        <w:rPr>
          <w:lang w:val="en-US"/>
        </w:rPr>
        <w:t>------</w:t>
      </w:r>
      <w:r>
        <w:rPr>
          <w:lang w:val="en-US"/>
        </w:rPr>
        <w:t>*/</w:t>
      </w:r>
    </w:p>
    <w:p w:rsidR="00CE4097" w:rsidRDefault="00CE4097" w:rsidP="00CE4097">
      <w:pPr>
        <w:rPr>
          <w:lang w:val="en-US"/>
        </w:rPr>
      </w:pPr>
      <w:r>
        <w:rPr>
          <w:lang w:val="en-US"/>
        </w:rPr>
        <w:t>void</w:t>
      </w:r>
      <w:r>
        <w:rPr>
          <w:lang w:val="en-US"/>
        </w:rPr>
        <w:tab/>
        <w:t>courbure(h0,h1)</w:t>
      </w:r>
    </w:p>
    <w:p w:rsidR="00CE4097" w:rsidRPr="00370B5B" w:rsidRDefault="00CE4097" w:rsidP="00CE4097">
      <w:pPr>
        <w:rPr>
          <w:lang w:val="en-US"/>
        </w:rPr>
      </w:pPr>
      <w:r>
        <w:rPr>
          <w:lang w:val="en-US"/>
        </w:rPr>
        <w:tab/>
      </w:r>
      <w:r w:rsidRPr="00370B5B">
        <w:rPr>
          <w:lang w:val="en-US"/>
        </w:rPr>
        <w:t>double</w:t>
      </w:r>
      <w:r w:rsidRPr="00370B5B">
        <w:rPr>
          <w:lang w:val="en-US"/>
        </w:rPr>
        <w:tab/>
        <w:t xml:space="preserve">h0,h1;  </w:t>
      </w:r>
    </w:p>
    <w:p w:rsidR="00CE4097" w:rsidRDefault="00CE4097" w:rsidP="00CE4097">
      <w:r>
        <w:t>{</w:t>
      </w:r>
    </w:p>
    <w:p w:rsidR="00CE4097" w:rsidRDefault="00CE4097" w:rsidP="00CE4097">
      <w:pPr>
        <w:tabs>
          <w:tab w:val="left" w:pos="4338"/>
        </w:tabs>
        <w:spacing w:before="0"/>
      </w:pPr>
      <w:r>
        <w:tab/>
        <w:t>double</w:t>
      </w:r>
      <w:r>
        <w:tab/>
        <w:t>r=6378.0;</w:t>
      </w:r>
      <w:r>
        <w:tab/>
        <w:t xml:space="preserve">/* rayon de la Terre (km) */ </w:t>
      </w:r>
    </w:p>
    <w:p w:rsidR="00CE4097" w:rsidRDefault="00CE4097" w:rsidP="00CE4097">
      <w:pPr>
        <w:spacing w:before="0"/>
        <w:rPr>
          <w:lang w:val="es-ES"/>
        </w:rPr>
      </w:pPr>
      <w:r>
        <w:tab/>
      </w:r>
      <w:r>
        <w:rPr>
          <w:lang w:val="es-ES"/>
        </w:rPr>
        <w:t>em1=-acos((r+h1)/(r+h0)*</w:t>
      </w:r>
    </w:p>
    <w:p w:rsidR="00CE4097" w:rsidRDefault="00CE4097" w:rsidP="00CE4097">
      <w:pPr>
        <w:spacing w:before="0"/>
        <w:rPr>
          <w:lang w:val="en-US"/>
        </w:rPr>
      </w:pPr>
      <w:r>
        <w:rPr>
          <w:lang w:val="es-ES"/>
        </w:rPr>
        <w:tab/>
      </w:r>
      <w:r>
        <w:rPr>
          <w:lang w:val="es-ES"/>
        </w:rPr>
        <w:tab/>
        <w:t xml:space="preserve"> </w:t>
      </w:r>
      <w:r>
        <w:rPr>
          <w:lang w:val="en-US"/>
        </w:rPr>
        <w:t>(1+0.00040*pow(0.83,h1))/(1+0.00040*pow(0.83,h0)));</w:t>
      </w:r>
    </w:p>
    <w:p w:rsidR="00CE4097" w:rsidRPr="00370B5B" w:rsidRDefault="00CE4097" w:rsidP="00CE4097">
      <w:pPr>
        <w:spacing w:before="0"/>
        <w:rPr>
          <w:lang w:val="en-US"/>
        </w:rPr>
      </w:pPr>
      <w:r>
        <w:rPr>
          <w:lang w:val="en-US"/>
        </w:rPr>
        <w:tab/>
      </w:r>
      <w:r w:rsidRPr="00370B5B">
        <w:rPr>
          <w:lang w:val="en-US"/>
        </w:rPr>
        <w:t>em2=-acos((r+h1)/(r+h0)*</w:t>
      </w:r>
    </w:p>
    <w:p w:rsidR="00CE4097" w:rsidRDefault="00CE4097" w:rsidP="00CE4097">
      <w:pPr>
        <w:spacing w:before="0"/>
        <w:rPr>
          <w:lang w:val="en-US"/>
        </w:rPr>
      </w:pPr>
      <w:r w:rsidRPr="00370B5B">
        <w:rPr>
          <w:lang w:val="en-US"/>
        </w:rPr>
        <w:tab/>
      </w:r>
      <w:r w:rsidRPr="00370B5B">
        <w:rPr>
          <w:lang w:val="en-US"/>
        </w:rPr>
        <w:tab/>
        <w:t xml:space="preserve"> </w:t>
      </w:r>
      <w:r>
        <w:rPr>
          <w:lang w:val="en-US"/>
        </w:rPr>
        <w:t>(1+0.00025*pow(0.88,h1))/(1+0.00025*pow(0.88,h0)));</w:t>
      </w:r>
    </w:p>
    <w:p w:rsidR="00CE4097" w:rsidRDefault="00CE4097" w:rsidP="00CE4097">
      <w:pPr>
        <w:rPr>
          <w:lang w:val="en-US"/>
        </w:rPr>
      </w:pPr>
      <w:r>
        <w:rPr>
          <w:lang w:val="en-US"/>
        </w:rPr>
        <w:tab/>
        <w:t xml:space="preserve">a[0]=(0.7885809+0.1759630*h0+0.0251620*h0*h0)*rd; </w:t>
      </w:r>
    </w:p>
    <w:p w:rsidR="00CE4097" w:rsidRDefault="00CE4097" w:rsidP="00CE4097">
      <w:pPr>
        <w:spacing w:before="0"/>
        <w:rPr>
          <w:lang w:val="en-US"/>
        </w:rPr>
      </w:pPr>
      <w:r>
        <w:rPr>
          <w:lang w:val="en-US"/>
        </w:rPr>
        <w:tab/>
        <w:t>a[1]=(0.5490560+0.0744484*h0+0.0101650*h0*h0)*rd*rd;</w:t>
      </w:r>
    </w:p>
    <w:p w:rsidR="00CE4097" w:rsidRDefault="00CE4097" w:rsidP="00CE4097">
      <w:pPr>
        <w:spacing w:before="0"/>
        <w:rPr>
          <w:lang w:val="en-US"/>
        </w:rPr>
      </w:pPr>
      <w:r>
        <w:rPr>
          <w:lang w:val="en-US"/>
        </w:rPr>
        <w:tab/>
        <w:t>a[2]=(0.0187029+0.0143814*h0)*rd*rd*rd;</w:t>
      </w:r>
    </w:p>
    <w:p w:rsidR="00CE4097" w:rsidRDefault="00CE4097" w:rsidP="00CE4097">
      <w:pPr>
        <w:spacing w:before="0"/>
        <w:rPr>
          <w:lang w:val="en-US"/>
        </w:rPr>
      </w:pPr>
      <w:r>
        <w:rPr>
          <w:lang w:val="en-US"/>
        </w:rPr>
        <w:lastRenderedPageBreak/>
        <w:tab/>
        <w:t>b[0]=(1.7556980+0.3134610*h0)*rd;</w:t>
      </w:r>
    </w:p>
    <w:p w:rsidR="00CE4097" w:rsidRDefault="00CE4097" w:rsidP="00CE4097">
      <w:pPr>
        <w:spacing w:before="0"/>
        <w:rPr>
          <w:lang w:val="en-US"/>
        </w:rPr>
      </w:pPr>
      <w:r>
        <w:rPr>
          <w:lang w:val="en-US"/>
        </w:rPr>
        <w:tab/>
        <w:t>b[1]=(0.8150220+0.1091540*h0)*rd*rd;</w:t>
      </w:r>
    </w:p>
    <w:p w:rsidR="00CE4097" w:rsidRDefault="00CE4097" w:rsidP="00CE4097">
      <w:pPr>
        <w:spacing w:before="0"/>
        <w:rPr>
          <w:lang w:val="en-US"/>
        </w:rPr>
      </w:pPr>
      <w:r>
        <w:rPr>
          <w:lang w:val="en-US"/>
        </w:rPr>
        <w:tab/>
        <w:t>b[2]=(0.0295668+0.0185682*h0)*rd*rd*rd;</w:t>
      </w:r>
    </w:p>
    <w:p w:rsidR="00CE4097" w:rsidRDefault="00CE4097" w:rsidP="00CE4097">
      <w:pPr>
        <w:keepNext/>
        <w:keepLines/>
        <w:rPr>
          <w:lang w:val="en-US"/>
        </w:rPr>
      </w:pPr>
      <w:r>
        <w:rPr>
          <w:lang w:val="en-US"/>
        </w:rPr>
        <w:t>}</w:t>
      </w:r>
    </w:p>
    <w:p w:rsidR="00CE4097" w:rsidRPr="00E4441C" w:rsidRDefault="00CE4097" w:rsidP="00CE4097">
      <w:pPr>
        <w:keepNext/>
        <w:keepLines/>
        <w:rPr>
          <w:lang w:val="de-CH"/>
        </w:rPr>
      </w:pPr>
      <w:r w:rsidRPr="00E4441C">
        <w:rPr>
          <w:lang w:val="de-CH"/>
        </w:rPr>
        <w:t>/*------------------------------------------------------------------------------------------------------------------*/</w:t>
      </w:r>
    </w:p>
    <w:p w:rsidR="00CE4097" w:rsidRPr="00E4441C" w:rsidRDefault="00CE4097" w:rsidP="00CE4097">
      <w:pPr>
        <w:keepNext/>
        <w:keepLines/>
        <w:tabs>
          <w:tab w:val="clear" w:pos="794"/>
          <w:tab w:val="clear" w:pos="1191"/>
          <w:tab w:val="clear" w:pos="1588"/>
          <w:tab w:val="clear" w:pos="1985"/>
          <w:tab w:val="left" w:pos="9360"/>
        </w:tabs>
        <w:spacing w:before="0"/>
        <w:jc w:val="left"/>
        <w:rPr>
          <w:lang w:val="de-CH"/>
        </w:rPr>
      </w:pPr>
      <w:r w:rsidRPr="00E4441C">
        <w:rPr>
          <w:lang w:val="de-CH"/>
        </w:rPr>
        <w:t>/* module : tmax,tmin,dtmax,dtmin</w:t>
      </w:r>
      <w:r w:rsidRPr="00E4441C">
        <w:rPr>
          <w:lang w:val="de-CH"/>
        </w:rPr>
        <w:tab/>
        <w:t>*/</w:t>
      </w:r>
    </w:p>
    <w:p w:rsidR="00CE4097" w:rsidRDefault="00CE4097" w:rsidP="00CE4097">
      <w:pPr>
        <w:keepNext/>
        <w:keepLines/>
        <w:tabs>
          <w:tab w:val="clear" w:pos="794"/>
          <w:tab w:val="clear" w:pos="1191"/>
          <w:tab w:val="clear" w:pos="1588"/>
          <w:tab w:val="clear" w:pos="1985"/>
          <w:tab w:val="left" w:pos="9360"/>
        </w:tabs>
        <w:spacing w:before="0"/>
        <w:jc w:val="left"/>
      </w:pPr>
      <w:r>
        <w:t>/* fonction : calcul de la courbure due à l'atmosphère en degrés</w:t>
      </w:r>
      <w:r>
        <w:tab/>
        <w:t>*/</w:t>
      </w:r>
    </w:p>
    <w:p w:rsidR="00CE4097" w:rsidRDefault="00CE4097" w:rsidP="00CE4097">
      <w:pPr>
        <w:keepNext/>
        <w:keepLines/>
        <w:tabs>
          <w:tab w:val="clear" w:pos="794"/>
          <w:tab w:val="clear" w:pos="1191"/>
          <w:tab w:val="clear" w:pos="1588"/>
          <w:tab w:val="clear" w:pos="1985"/>
          <w:tab w:val="left" w:pos="9360"/>
        </w:tabs>
        <w:spacing w:before="0"/>
        <w:jc w:val="left"/>
      </w:pPr>
      <w:r>
        <w:t>/* in e  : angle d'élévation (degrés)</w:t>
      </w:r>
      <w:r>
        <w:tab/>
        <w:t>*/</w:t>
      </w:r>
    </w:p>
    <w:p w:rsidR="00CE4097" w:rsidRDefault="00CE4097" w:rsidP="00CE4097">
      <w:pPr>
        <w:keepNext/>
        <w:keepLines/>
        <w:tabs>
          <w:tab w:val="clear" w:pos="794"/>
          <w:tab w:val="clear" w:pos="1191"/>
          <w:tab w:val="clear" w:pos="1588"/>
          <w:tab w:val="clear" w:pos="1985"/>
          <w:tab w:val="left" w:pos="9360"/>
        </w:tabs>
        <w:spacing w:before="0"/>
        <w:jc w:val="left"/>
      </w:pPr>
      <w:r>
        <w:t>/* out tmax : courbure due à l'atmosphère (voir l'équation (11a))</w:t>
      </w:r>
      <w:r>
        <w:tab/>
        <w:t>*/</w:t>
      </w:r>
    </w:p>
    <w:p w:rsidR="00CE4097" w:rsidRDefault="00CE4097" w:rsidP="00CE4097">
      <w:pPr>
        <w:keepNext/>
        <w:keepLines/>
        <w:tabs>
          <w:tab w:val="clear" w:pos="794"/>
          <w:tab w:val="clear" w:pos="1191"/>
          <w:tab w:val="clear" w:pos="1588"/>
          <w:tab w:val="clear" w:pos="1985"/>
          <w:tab w:val="left" w:pos="9360"/>
        </w:tabs>
        <w:spacing w:before="0"/>
        <w:jc w:val="left"/>
      </w:pPr>
      <w:r>
        <w:t>/*  dtmax : dérivée de tmax</w:t>
      </w:r>
      <w:r>
        <w:tab/>
        <w:t>*/</w:t>
      </w:r>
    </w:p>
    <w:p w:rsidR="00CE4097" w:rsidRDefault="00CE4097" w:rsidP="00CE4097">
      <w:pPr>
        <w:keepNext/>
        <w:keepLines/>
        <w:tabs>
          <w:tab w:val="clear" w:pos="794"/>
          <w:tab w:val="clear" w:pos="1191"/>
          <w:tab w:val="clear" w:pos="1588"/>
          <w:tab w:val="clear" w:pos="1985"/>
          <w:tab w:val="left" w:pos="9360"/>
        </w:tabs>
        <w:spacing w:before="0"/>
        <w:jc w:val="left"/>
      </w:pPr>
      <w:r>
        <w:t>/*  tmin : courbure due à l'atmosphère (voir l'équation (11b))</w:t>
      </w:r>
      <w:r>
        <w:tab/>
        <w:t>*/</w:t>
      </w:r>
    </w:p>
    <w:p w:rsidR="00CE4097" w:rsidRDefault="00CE4097" w:rsidP="00CE4097">
      <w:pPr>
        <w:tabs>
          <w:tab w:val="clear" w:pos="794"/>
          <w:tab w:val="clear" w:pos="1191"/>
          <w:tab w:val="clear" w:pos="1588"/>
          <w:tab w:val="clear" w:pos="1985"/>
          <w:tab w:val="left" w:pos="9360"/>
        </w:tabs>
        <w:spacing w:before="0"/>
        <w:jc w:val="left"/>
      </w:pPr>
      <w:r>
        <w:t>/*  dtmin : dérivée de tmin</w:t>
      </w:r>
      <w:r>
        <w:tab/>
        <w:t>*/</w:t>
      </w:r>
    </w:p>
    <w:p w:rsidR="00CE4097" w:rsidRDefault="00CE4097" w:rsidP="00CE4097">
      <w:pPr>
        <w:spacing w:before="0"/>
      </w:pPr>
      <w:r>
        <w:t>/*------------------------------------------------------------------------------------------------------------------*/</w:t>
      </w:r>
    </w:p>
    <w:p w:rsidR="00CE4097" w:rsidRDefault="00CE4097" w:rsidP="00CE4097">
      <w:pPr>
        <w:spacing w:before="0"/>
      </w:pPr>
      <w:r>
        <w:t>double</w:t>
      </w:r>
      <w:r>
        <w:tab/>
        <w:t>tmax(e)</w:t>
      </w:r>
    </w:p>
    <w:p w:rsidR="00CE4097" w:rsidRPr="00FF620A" w:rsidRDefault="00CE4097" w:rsidP="00CE4097">
      <w:pPr>
        <w:spacing w:before="0"/>
      </w:pPr>
      <w:r>
        <w:tab/>
      </w:r>
      <w:r w:rsidRPr="00FF620A">
        <w:t>double</w:t>
      </w:r>
      <w:r w:rsidRPr="00FF620A">
        <w:tab/>
        <w:t>e;</w:t>
      </w:r>
    </w:p>
    <w:p w:rsidR="00CE4097" w:rsidRPr="00FF620A" w:rsidRDefault="00CE4097" w:rsidP="00CE4097">
      <w:pPr>
        <w:spacing w:before="0"/>
      </w:pPr>
      <w:r w:rsidRPr="00FF620A">
        <w:tab/>
        <w:t>{return (1.0/(a[0]+e*(a[1]+a[2]*e)));}</w:t>
      </w:r>
    </w:p>
    <w:p w:rsidR="00CE4097" w:rsidRDefault="00CE4097" w:rsidP="00CE4097">
      <w:r>
        <w:t>double</w:t>
      </w:r>
      <w:r>
        <w:tab/>
        <w:t>dtmax(e)</w:t>
      </w:r>
    </w:p>
    <w:p w:rsidR="00CE4097" w:rsidRPr="00370B5B" w:rsidRDefault="00CE4097" w:rsidP="00CE4097">
      <w:pPr>
        <w:spacing w:before="0"/>
        <w:rPr>
          <w:lang w:val="fr-CH"/>
        </w:rPr>
      </w:pPr>
      <w:r>
        <w:tab/>
      </w:r>
      <w:r w:rsidRPr="00370B5B">
        <w:rPr>
          <w:lang w:val="fr-CH"/>
        </w:rPr>
        <w:t>double</w:t>
      </w:r>
      <w:r w:rsidRPr="00370B5B">
        <w:rPr>
          <w:lang w:val="fr-CH"/>
        </w:rPr>
        <w:tab/>
        <w:t>e;</w:t>
      </w:r>
    </w:p>
    <w:p w:rsidR="00CE4097" w:rsidRPr="00FF620A" w:rsidRDefault="00CE4097" w:rsidP="00CE4097">
      <w:pPr>
        <w:spacing w:before="0"/>
      </w:pPr>
      <w:r w:rsidRPr="00370B5B">
        <w:rPr>
          <w:lang w:val="fr-CH"/>
        </w:rPr>
        <w:tab/>
      </w:r>
      <w:r w:rsidRPr="00FF620A">
        <w:t xml:space="preserve">{return (-(a[1]+2.0*a[2]*e)*pow(tmax(e),2.0));} </w:t>
      </w:r>
    </w:p>
    <w:p w:rsidR="00CE4097" w:rsidRPr="00FF620A" w:rsidRDefault="00CE4097" w:rsidP="00CE4097">
      <w:pPr>
        <w:rPr>
          <w:lang w:val="fr-CH"/>
        </w:rPr>
      </w:pPr>
      <w:r w:rsidRPr="00FF620A">
        <w:rPr>
          <w:lang w:val="fr-CH"/>
        </w:rPr>
        <w:t>double</w:t>
      </w:r>
      <w:r w:rsidRPr="00FF620A">
        <w:rPr>
          <w:lang w:val="fr-CH"/>
        </w:rPr>
        <w:tab/>
        <w:t>tmin(e)</w:t>
      </w:r>
    </w:p>
    <w:p w:rsidR="00CE4097" w:rsidRPr="00FF620A" w:rsidRDefault="00CE4097" w:rsidP="00CE4097">
      <w:pPr>
        <w:spacing w:before="0"/>
        <w:rPr>
          <w:lang w:val="fr-CH"/>
        </w:rPr>
      </w:pPr>
      <w:r w:rsidRPr="00FF620A">
        <w:rPr>
          <w:lang w:val="fr-CH"/>
        </w:rPr>
        <w:tab/>
        <w:t>double</w:t>
      </w:r>
      <w:r w:rsidRPr="00FF620A">
        <w:rPr>
          <w:lang w:val="fr-CH"/>
        </w:rPr>
        <w:tab/>
        <w:t>e;</w:t>
      </w:r>
    </w:p>
    <w:p w:rsidR="00CE4097" w:rsidRPr="00E4441C" w:rsidRDefault="00CE4097" w:rsidP="00CE4097">
      <w:pPr>
        <w:spacing w:before="0"/>
        <w:rPr>
          <w:lang w:val="de-CH"/>
        </w:rPr>
      </w:pPr>
      <w:r w:rsidRPr="00FF620A">
        <w:rPr>
          <w:lang w:val="fr-CH"/>
        </w:rPr>
        <w:tab/>
      </w:r>
      <w:r w:rsidRPr="00E4441C">
        <w:rPr>
          <w:lang w:val="de-CH"/>
        </w:rPr>
        <w:t>{return (1.0/(b[0]+e*(b[1]+b[2]*e)));}</w:t>
      </w:r>
    </w:p>
    <w:p w:rsidR="00CE4097" w:rsidRPr="00FF620A" w:rsidRDefault="00CE4097" w:rsidP="00CE4097">
      <w:pPr>
        <w:rPr>
          <w:lang w:val="fr-CH"/>
        </w:rPr>
      </w:pPr>
      <w:r w:rsidRPr="00FF620A">
        <w:rPr>
          <w:lang w:val="fr-CH"/>
        </w:rPr>
        <w:t>double</w:t>
      </w:r>
      <w:r w:rsidRPr="00FF620A">
        <w:rPr>
          <w:lang w:val="fr-CH"/>
        </w:rPr>
        <w:tab/>
        <w:t>dtmin(e)</w:t>
      </w:r>
    </w:p>
    <w:p w:rsidR="00CE4097" w:rsidRPr="00FF620A" w:rsidRDefault="00CE4097" w:rsidP="00CE4097">
      <w:pPr>
        <w:spacing w:before="0"/>
        <w:rPr>
          <w:lang w:val="fr-CH"/>
        </w:rPr>
      </w:pPr>
      <w:r w:rsidRPr="00FF620A">
        <w:rPr>
          <w:lang w:val="fr-CH"/>
        </w:rPr>
        <w:tab/>
        <w:t>double</w:t>
      </w:r>
      <w:r w:rsidRPr="00FF620A">
        <w:rPr>
          <w:lang w:val="fr-CH"/>
        </w:rPr>
        <w:tab/>
        <w:t>e;</w:t>
      </w:r>
    </w:p>
    <w:p w:rsidR="00CE4097" w:rsidRPr="00E4441C" w:rsidRDefault="00CE4097" w:rsidP="00CE4097">
      <w:pPr>
        <w:spacing w:before="0"/>
        <w:rPr>
          <w:lang w:val="de-CH"/>
        </w:rPr>
      </w:pPr>
      <w:r w:rsidRPr="00FF620A">
        <w:rPr>
          <w:lang w:val="fr-CH"/>
        </w:rPr>
        <w:tab/>
      </w:r>
      <w:r w:rsidRPr="00E4441C">
        <w:rPr>
          <w:lang w:val="de-CH"/>
        </w:rPr>
        <w:t xml:space="preserve">{return (-(b[1]+2.0*b[2]*e)*pow(tmin(e),2.0));} </w:t>
      </w:r>
    </w:p>
    <w:p w:rsidR="00CE4097" w:rsidRPr="00FF620A" w:rsidRDefault="00CE4097" w:rsidP="00CE4097">
      <w:pPr>
        <w:rPr>
          <w:lang w:val="fr-CH"/>
        </w:rPr>
      </w:pPr>
      <w:r w:rsidRPr="00FF620A">
        <w:rPr>
          <w:lang w:val="fr-CH"/>
        </w:rPr>
        <w:t>/*------------------------------------------------------------------------------------------------------------------*/</w:t>
      </w:r>
    </w:p>
    <w:p w:rsidR="00CE4097" w:rsidRPr="00FF620A" w:rsidRDefault="00CE4097" w:rsidP="00CE4097">
      <w:pPr>
        <w:tabs>
          <w:tab w:val="clear" w:pos="794"/>
          <w:tab w:val="clear" w:pos="1191"/>
          <w:tab w:val="clear" w:pos="1588"/>
          <w:tab w:val="clear" w:pos="1985"/>
          <w:tab w:val="left" w:pos="9360"/>
        </w:tabs>
        <w:spacing w:before="0"/>
        <w:jc w:val="left"/>
        <w:rPr>
          <w:lang w:val="fr-CH"/>
        </w:rPr>
      </w:pPr>
      <w:r w:rsidRPr="00FF620A">
        <w:rPr>
          <w:lang w:val="fr-CH"/>
        </w:rPr>
        <w:t>/* module : sangle (séparation angulaire)</w:t>
      </w:r>
      <w:r w:rsidRPr="00FF620A">
        <w:rPr>
          <w:lang w:val="fr-CH"/>
        </w:rPr>
        <w:tab/>
        <w:t>*/</w:t>
      </w:r>
    </w:p>
    <w:p w:rsidR="00CE4097" w:rsidRDefault="00CE4097" w:rsidP="00CE4097">
      <w:pPr>
        <w:tabs>
          <w:tab w:val="clear" w:pos="794"/>
          <w:tab w:val="clear" w:pos="1191"/>
          <w:tab w:val="clear" w:pos="1588"/>
          <w:tab w:val="clear" w:pos="1985"/>
          <w:tab w:val="left" w:pos="9360"/>
        </w:tabs>
        <w:spacing w:before="0"/>
        <w:jc w:val="left"/>
      </w:pPr>
      <w:r>
        <w:t>/* fonction : calcul de la séparation angulaire en degrés</w:t>
      </w:r>
      <w:r>
        <w:tab/>
        <w:t>*/</w:t>
      </w:r>
    </w:p>
    <w:p w:rsidR="00CE4097" w:rsidRDefault="00CE4097" w:rsidP="00CE4097">
      <w:pPr>
        <w:tabs>
          <w:tab w:val="clear" w:pos="794"/>
          <w:tab w:val="clear" w:pos="1191"/>
          <w:tab w:val="clear" w:pos="1588"/>
          <w:tab w:val="clear" w:pos="1985"/>
          <w:tab w:val="left" w:pos="9360"/>
        </w:tabs>
        <w:spacing w:before="0"/>
        <w:jc w:val="left"/>
      </w:pPr>
      <w:r>
        <w:t>/* in slon : longitude du satellite relais de données (radians)</w:t>
      </w:r>
      <w:r>
        <w:tab/>
        <w:t>*/</w:t>
      </w:r>
    </w:p>
    <w:p w:rsidR="00CE4097" w:rsidRDefault="00CE4097" w:rsidP="00CE4097">
      <w:pPr>
        <w:tabs>
          <w:tab w:val="clear" w:pos="794"/>
          <w:tab w:val="clear" w:pos="1191"/>
          <w:tab w:val="clear" w:pos="1588"/>
          <w:tab w:val="clear" w:pos="1985"/>
          <w:tab w:val="left" w:pos="9360"/>
        </w:tabs>
        <w:spacing w:before="0"/>
        <w:jc w:val="left"/>
      </w:pPr>
      <w:r>
        <w:t>/*  ilat : hémisphère nord ou sud</w:t>
      </w:r>
      <w:r>
        <w:tab/>
        <w:t>*/</w:t>
      </w:r>
    </w:p>
    <w:p w:rsidR="00CE4097" w:rsidRDefault="00CE4097" w:rsidP="00CE4097">
      <w:pPr>
        <w:tabs>
          <w:tab w:val="clear" w:pos="794"/>
          <w:tab w:val="clear" w:pos="1191"/>
          <w:tab w:val="clear" w:pos="1588"/>
          <w:tab w:val="clear" w:pos="1985"/>
          <w:tab w:val="left" w:pos="9360"/>
        </w:tabs>
        <w:spacing w:before="0"/>
        <w:jc w:val="left"/>
      </w:pPr>
      <w:r>
        <w:t>/*  rlat : latitude de la station hertzienne (radians)</w:t>
      </w:r>
      <w:r>
        <w:tab/>
        <w:t>*/</w:t>
      </w:r>
    </w:p>
    <w:p w:rsidR="00CE4097" w:rsidRDefault="00CE4097" w:rsidP="00CE4097">
      <w:pPr>
        <w:tabs>
          <w:tab w:val="clear" w:pos="794"/>
          <w:tab w:val="clear" w:pos="1191"/>
          <w:tab w:val="clear" w:pos="1588"/>
          <w:tab w:val="clear" w:pos="1985"/>
          <w:tab w:val="left" w:pos="9360"/>
        </w:tabs>
        <w:spacing w:before="0"/>
        <w:jc w:val="left"/>
      </w:pPr>
      <w:r>
        <w:t>/*  rlon : longitude de la station hertzienne (radians)</w:t>
      </w:r>
      <w:r>
        <w:tab/>
        <w:t>*/</w:t>
      </w:r>
    </w:p>
    <w:p w:rsidR="00CE4097" w:rsidRDefault="00CE4097" w:rsidP="00CE4097">
      <w:pPr>
        <w:tabs>
          <w:tab w:val="clear" w:pos="794"/>
          <w:tab w:val="clear" w:pos="1191"/>
          <w:tab w:val="clear" w:pos="1588"/>
          <w:tab w:val="clear" w:pos="1985"/>
          <w:tab w:val="left" w:pos="9360"/>
        </w:tabs>
        <w:spacing w:before="0"/>
        <w:jc w:val="left"/>
      </w:pPr>
      <w:r>
        <w:t>/*  az0 : azimut du faisceau d'antenne (radians)</w:t>
      </w:r>
      <w:r>
        <w:tab/>
        <w:t>*/</w:t>
      </w:r>
    </w:p>
    <w:p w:rsidR="00CE4097" w:rsidRDefault="00CE4097" w:rsidP="00CE4097">
      <w:pPr>
        <w:tabs>
          <w:tab w:val="clear" w:pos="794"/>
          <w:tab w:val="clear" w:pos="1191"/>
          <w:tab w:val="clear" w:pos="1588"/>
          <w:tab w:val="clear" w:pos="1985"/>
          <w:tab w:val="left" w:pos="9360"/>
        </w:tabs>
        <w:spacing w:before="0"/>
        <w:jc w:val="left"/>
      </w:pPr>
      <w:r>
        <w:t>/*  e0 : angle d'élévation du faisceau d'antenne (radians)</w:t>
      </w:r>
      <w:r>
        <w:tab/>
        <w:t>*/</w:t>
      </w:r>
    </w:p>
    <w:p w:rsidR="00CE4097" w:rsidRDefault="00CE4097" w:rsidP="00CE4097">
      <w:pPr>
        <w:tabs>
          <w:tab w:val="clear" w:pos="794"/>
          <w:tab w:val="clear" w:pos="1191"/>
          <w:tab w:val="clear" w:pos="1588"/>
          <w:tab w:val="clear" w:pos="1985"/>
          <w:tab w:val="left" w:pos="9360"/>
        </w:tabs>
        <w:spacing w:before="0"/>
        <w:jc w:val="left"/>
      </w:pPr>
      <w:r>
        <w:t>/*  h0 : altitude (km) de l'antenne de la station par rapport au niveau de la mer</w:t>
      </w:r>
      <w:r>
        <w:tab/>
        <w:t>*/</w:t>
      </w:r>
    </w:p>
    <w:p w:rsidR="00CE4097" w:rsidRDefault="00CE4097" w:rsidP="00CE4097">
      <w:pPr>
        <w:tabs>
          <w:tab w:val="clear" w:pos="794"/>
          <w:tab w:val="clear" w:pos="1191"/>
          <w:tab w:val="clear" w:pos="1588"/>
          <w:tab w:val="clear" w:pos="1985"/>
          <w:tab w:val="left" w:pos="9360"/>
        </w:tabs>
        <w:spacing w:before="0"/>
        <w:jc w:val="left"/>
      </w:pPr>
      <w:r>
        <w:t>/* out sa : séparation angulaire</w:t>
      </w:r>
      <w:r>
        <w:tab/>
        <w:t>*/</w:t>
      </w:r>
    </w:p>
    <w:p w:rsidR="00CE4097" w:rsidRDefault="00CE4097" w:rsidP="00CE4097">
      <w:pPr>
        <w:spacing w:before="0"/>
        <w:jc w:val="left"/>
      </w:pPr>
      <w:r>
        <w:t>/*-----------------------------------------------------------------------------------------------------------------*/</w:t>
      </w:r>
    </w:p>
    <w:p w:rsidR="00CE4097" w:rsidRDefault="00CE4097" w:rsidP="00CE4097">
      <w:pPr>
        <w:spacing w:before="0"/>
      </w:pPr>
      <w:r>
        <w:t>double</w:t>
      </w:r>
      <w:r>
        <w:tab/>
        <w:t>sangle(slon,ilat,rlat,rlon,az0,e0,h0)</w:t>
      </w:r>
    </w:p>
    <w:p w:rsidR="00CE4097" w:rsidRDefault="00CE4097" w:rsidP="00CE4097">
      <w:pPr>
        <w:spacing w:before="0"/>
      </w:pPr>
      <w:r>
        <w:tab/>
        <w:t>double</w:t>
      </w:r>
      <w:r>
        <w:tab/>
        <w:t>slon,ilat,rlat,rlon,az0,e0,h0;</w:t>
      </w:r>
    </w:p>
    <w:p w:rsidR="00CE4097" w:rsidRDefault="00CE4097" w:rsidP="00CE4097">
      <w:pPr>
        <w:rPr>
          <w:lang w:val="es-ES"/>
        </w:rPr>
      </w:pPr>
      <w:r>
        <w:rPr>
          <w:lang w:val="es-ES"/>
        </w:rPr>
        <w:t>{</w:t>
      </w:r>
    </w:p>
    <w:p w:rsidR="00CE4097" w:rsidRDefault="00CE4097" w:rsidP="00CE4097">
      <w:pPr>
        <w:spacing w:before="0"/>
        <w:rPr>
          <w:lang w:val="es-ES"/>
        </w:rPr>
      </w:pPr>
      <w:r>
        <w:rPr>
          <w:lang w:val="es-ES"/>
        </w:rPr>
        <w:t> double delta,zeta,r1,arc,tanarc;</w:t>
      </w:r>
    </w:p>
    <w:p w:rsidR="00CE4097" w:rsidRPr="00FF620A" w:rsidRDefault="00CE4097" w:rsidP="00CE4097">
      <w:pPr>
        <w:spacing w:before="0"/>
        <w:rPr>
          <w:lang w:val="fr-CH"/>
        </w:rPr>
      </w:pPr>
      <w:r>
        <w:rPr>
          <w:lang w:val="es-ES"/>
        </w:rPr>
        <w:t> </w:t>
      </w:r>
      <w:r w:rsidRPr="00FF620A">
        <w:rPr>
          <w:lang w:val="fr-CH"/>
        </w:rPr>
        <w:t>double azss,azs,ees,e1,e2,es1,esmax,es2,esmin,es,sa;</w:t>
      </w:r>
    </w:p>
    <w:p w:rsidR="00CE4097" w:rsidRDefault="00CE4097" w:rsidP="00CE4097">
      <w:pPr>
        <w:tabs>
          <w:tab w:val="clear" w:pos="794"/>
          <w:tab w:val="clear" w:pos="1191"/>
          <w:tab w:val="clear" w:pos="1588"/>
          <w:tab w:val="clear" w:pos="1985"/>
          <w:tab w:val="left" w:pos="4820"/>
        </w:tabs>
        <w:spacing w:before="0"/>
      </w:pPr>
      <w:r w:rsidRPr="00FF620A">
        <w:rPr>
          <w:lang w:val="fr-CH"/>
        </w:rPr>
        <w:t> </w:t>
      </w:r>
      <w:r>
        <w:t>double r=6378.14;    /* rayon de la Terre à l'équateur</w:t>
      </w:r>
      <w:r>
        <w:tab/>
        <w:t>*/</w:t>
      </w:r>
    </w:p>
    <w:p w:rsidR="00CE4097" w:rsidRDefault="00CE4097" w:rsidP="00CE4097">
      <w:pPr>
        <w:tabs>
          <w:tab w:val="clear" w:pos="794"/>
          <w:tab w:val="clear" w:pos="1191"/>
          <w:tab w:val="clear" w:pos="1588"/>
          <w:tab w:val="clear" w:pos="1985"/>
          <w:tab w:val="left" w:pos="4820"/>
        </w:tabs>
        <w:spacing w:before="0"/>
      </w:pPr>
      <w:r>
        <w:t> double f=1/298.25;    /* coefficient d'ellipsité de la Terre</w:t>
      </w:r>
      <w:r>
        <w:tab/>
        <w:t>*/</w:t>
      </w:r>
    </w:p>
    <w:p w:rsidR="00CE4097" w:rsidRDefault="00CE4097" w:rsidP="00CE4097">
      <w:pPr>
        <w:tabs>
          <w:tab w:val="clear" w:pos="794"/>
          <w:tab w:val="clear" w:pos="1191"/>
          <w:tab w:val="clear" w:pos="1588"/>
          <w:tab w:val="clear" w:pos="1985"/>
          <w:tab w:val="left" w:pos="4820"/>
        </w:tabs>
        <w:spacing w:before="0"/>
      </w:pPr>
      <w:r>
        <w:t> double rs=42164;     /* rayon de l'orbite</w:t>
      </w:r>
      <w:r>
        <w:tab/>
      </w:r>
      <w:r>
        <w:tab/>
      </w:r>
      <w:r>
        <w:tab/>
        <w:t>*/</w:t>
      </w:r>
    </w:p>
    <w:p w:rsidR="00CE4097" w:rsidRPr="00370B5B" w:rsidRDefault="00CE4097" w:rsidP="00CE4097">
      <w:pPr>
        <w:rPr>
          <w:lang w:val="fr-CH"/>
        </w:rPr>
      </w:pPr>
      <w:r>
        <w:tab/>
      </w:r>
      <w:r w:rsidRPr="00370B5B">
        <w:rPr>
          <w:lang w:val="fr-CH"/>
        </w:rPr>
        <w:t>delta=rlon-slon;</w:t>
      </w:r>
    </w:p>
    <w:p w:rsidR="00CE4097" w:rsidRPr="00370B5B" w:rsidRDefault="00CE4097" w:rsidP="00CE4097">
      <w:pPr>
        <w:spacing w:before="0"/>
        <w:rPr>
          <w:lang w:val="fr-CH"/>
        </w:rPr>
      </w:pPr>
      <w:r w:rsidRPr="00370B5B">
        <w:rPr>
          <w:lang w:val="fr-CH"/>
        </w:rPr>
        <w:tab/>
        <w:t>if(cos(delta)&lt;=0) {sa=500.0;goto end_sa;}</w:t>
      </w:r>
    </w:p>
    <w:p w:rsidR="00CE4097" w:rsidRDefault="00CE4097" w:rsidP="00CE4097">
      <w:pPr>
        <w:tabs>
          <w:tab w:val="left" w:pos="6480"/>
          <w:tab w:val="left" w:pos="6840"/>
        </w:tabs>
        <w:spacing w:before="0"/>
      </w:pPr>
      <w:r w:rsidRPr="00370B5B">
        <w:rPr>
          <w:lang w:val="fr-CH"/>
        </w:rPr>
        <w:tab/>
      </w:r>
      <w:r>
        <w:t>/* ----- Détermination de l'azimut du satellite  ------------------</w:t>
      </w:r>
      <w:r>
        <w:tab/>
        <w:t>*/</w:t>
      </w:r>
    </w:p>
    <w:p w:rsidR="00CE4097" w:rsidRDefault="00CE4097" w:rsidP="00CE4097">
      <w:pPr>
        <w:tabs>
          <w:tab w:val="left" w:pos="6480"/>
          <w:tab w:val="left" w:pos="6840"/>
        </w:tabs>
        <w:spacing w:before="0"/>
      </w:pPr>
      <w:r>
        <w:lastRenderedPageBreak/>
        <w:tab/>
        <w:t>zeta=atan(pow(1-f,2.0)*tan(rlat));     /* équation (1)</w:t>
      </w:r>
      <w:r>
        <w:tab/>
      </w:r>
      <w:r>
        <w:tab/>
        <w:t>*/</w:t>
      </w:r>
    </w:p>
    <w:p w:rsidR="00CE4097" w:rsidRDefault="00CE4097" w:rsidP="00CE4097">
      <w:pPr>
        <w:tabs>
          <w:tab w:val="left" w:pos="6480"/>
          <w:tab w:val="left" w:pos="6840"/>
        </w:tabs>
        <w:spacing w:before="0"/>
      </w:pPr>
      <w:r>
        <w:tab/>
        <w:t>r1=r*(1-f*pow(sin(zeta),2.0))+h0;    /* équation (2)</w:t>
      </w:r>
      <w:r>
        <w:tab/>
      </w:r>
      <w:r>
        <w:tab/>
        <w:t>*/</w:t>
      </w:r>
    </w:p>
    <w:p w:rsidR="00CE4097" w:rsidRPr="00370B5B" w:rsidRDefault="00CE4097" w:rsidP="00CE4097">
      <w:pPr>
        <w:tabs>
          <w:tab w:val="left" w:pos="6480"/>
          <w:tab w:val="left" w:pos="6840"/>
        </w:tabs>
        <w:spacing w:before="0"/>
        <w:rPr>
          <w:lang w:val="es-ES"/>
        </w:rPr>
      </w:pPr>
      <w:r w:rsidRPr="00AC4297">
        <w:tab/>
      </w:r>
      <w:r w:rsidRPr="00370B5B">
        <w:rPr>
          <w:lang w:val="es-ES"/>
        </w:rPr>
        <w:t>arc=acos(cos(zeta)*cos(delta));       /* équation (3)</w:t>
      </w:r>
      <w:r w:rsidRPr="00370B5B">
        <w:rPr>
          <w:lang w:val="es-ES"/>
        </w:rPr>
        <w:tab/>
      </w:r>
      <w:r w:rsidRPr="00370B5B">
        <w:rPr>
          <w:lang w:val="es-ES"/>
        </w:rPr>
        <w:tab/>
        <w:t>*/</w:t>
      </w:r>
    </w:p>
    <w:p w:rsidR="00CE4097" w:rsidRDefault="00CE4097" w:rsidP="00CE4097">
      <w:pPr>
        <w:spacing w:before="0"/>
        <w:rPr>
          <w:lang w:val="es-ES"/>
        </w:rPr>
      </w:pPr>
      <w:r w:rsidRPr="00370B5B">
        <w:rPr>
          <w:lang w:val="es-ES"/>
        </w:rPr>
        <w:tab/>
        <w:t>tanarc=tan</w:t>
      </w:r>
      <w:r>
        <w:rPr>
          <w:lang w:val="es-ES"/>
        </w:rPr>
        <w:t>(arc); if(tanarc&lt;tan(zeta)) tanarc=tan(zeta);</w:t>
      </w:r>
    </w:p>
    <w:p w:rsidR="00CE4097" w:rsidRPr="00370B5B" w:rsidRDefault="00CE4097" w:rsidP="00CE4097">
      <w:pPr>
        <w:spacing w:before="0"/>
        <w:rPr>
          <w:lang w:val="es-ES"/>
        </w:rPr>
      </w:pPr>
      <w:r>
        <w:rPr>
          <w:lang w:val="es-ES"/>
        </w:rPr>
        <w:tab/>
      </w:r>
      <w:r w:rsidRPr="00370B5B">
        <w:rPr>
          <w:lang w:val="es-ES"/>
        </w:rPr>
        <w:t>if(tanarc==0.0) azss=0.0;</w:t>
      </w:r>
    </w:p>
    <w:p w:rsidR="00CE4097" w:rsidRDefault="00CE4097" w:rsidP="00CE4097">
      <w:pPr>
        <w:spacing w:before="0"/>
        <w:rPr>
          <w:lang w:val="es-ES"/>
        </w:rPr>
      </w:pPr>
      <w:r w:rsidRPr="00370B5B">
        <w:rPr>
          <w:lang w:val="es-ES"/>
        </w:rPr>
        <w:tab/>
      </w:r>
      <w:r>
        <w:rPr>
          <w:lang w:val="es-ES"/>
        </w:rPr>
        <w:t xml:space="preserve">else azss=acos(tan(zeta)/tanarc);     </w:t>
      </w:r>
      <w:r>
        <w:rPr>
          <w:lang w:val="es-ES"/>
        </w:rPr>
        <w:tab/>
      </w:r>
      <w:r>
        <w:rPr>
          <w:lang w:val="es-ES"/>
        </w:rPr>
        <w:tab/>
      </w:r>
      <w:r>
        <w:rPr>
          <w:lang w:val="es-ES"/>
        </w:rPr>
        <w:tab/>
        <w:t xml:space="preserve">/* équation (4) </w:t>
      </w:r>
      <w:r>
        <w:rPr>
          <w:lang w:val="es-ES"/>
        </w:rPr>
        <w:tab/>
        <w:t>*/</w:t>
      </w:r>
    </w:p>
    <w:p w:rsidR="00CE4097" w:rsidRPr="00370B5B" w:rsidRDefault="00CE4097" w:rsidP="00CE4097">
      <w:pPr>
        <w:spacing w:before="0"/>
        <w:rPr>
          <w:lang w:val="es-ES"/>
        </w:rPr>
      </w:pPr>
      <w:r>
        <w:rPr>
          <w:lang w:val="es-ES"/>
        </w:rPr>
        <w:tab/>
      </w:r>
      <w:r w:rsidRPr="00370B5B">
        <w:rPr>
          <w:lang w:val="es-ES"/>
        </w:rPr>
        <w:t xml:space="preserve">if((ilat&gt;0)&amp;&amp;(sin(delta)&gt;=0)) azs=azss+pi;  </w:t>
      </w:r>
      <w:r w:rsidRPr="00370B5B">
        <w:rPr>
          <w:lang w:val="es-ES"/>
        </w:rPr>
        <w:tab/>
        <w:t xml:space="preserve">/* équation (5a) </w:t>
      </w:r>
      <w:r w:rsidRPr="00370B5B">
        <w:rPr>
          <w:lang w:val="es-ES"/>
        </w:rPr>
        <w:tab/>
        <w:t>*/</w:t>
      </w:r>
    </w:p>
    <w:p w:rsidR="00CE4097" w:rsidRDefault="00CE4097" w:rsidP="00CE4097">
      <w:pPr>
        <w:spacing w:before="0"/>
        <w:rPr>
          <w:lang w:val="en-US"/>
        </w:rPr>
      </w:pPr>
      <w:r w:rsidRPr="00370B5B">
        <w:rPr>
          <w:lang w:val="es-ES"/>
        </w:rPr>
        <w:tab/>
      </w:r>
      <w:r>
        <w:rPr>
          <w:lang w:val="en-US"/>
        </w:rPr>
        <w:t xml:space="preserve">else if((ilat&gt;0)&amp;&amp;(sin(delta)&lt;0)) azs=pi-azss; </w:t>
      </w:r>
      <w:r>
        <w:rPr>
          <w:lang w:val="en-US"/>
        </w:rPr>
        <w:tab/>
        <w:t xml:space="preserve">/* équation (5b) </w:t>
      </w:r>
      <w:r>
        <w:rPr>
          <w:lang w:val="en-US"/>
        </w:rPr>
        <w:tab/>
        <w:t>*/</w:t>
      </w:r>
    </w:p>
    <w:p w:rsidR="00CE4097" w:rsidRDefault="00CE4097" w:rsidP="00CE4097">
      <w:pPr>
        <w:spacing w:before="0"/>
        <w:rPr>
          <w:lang w:val="en-US"/>
        </w:rPr>
      </w:pPr>
      <w:r>
        <w:rPr>
          <w:lang w:val="en-US"/>
        </w:rPr>
        <w:tab/>
        <w:t xml:space="preserve">else if(sin(delta)&gt;=0) azs=2*pi-azss;  </w:t>
      </w:r>
      <w:r>
        <w:rPr>
          <w:lang w:val="en-US"/>
        </w:rPr>
        <w:tab/>
      </w:r>
      <w:r>
        <w:rPr>
          <w:lang w:val="en-US"/>
        </w:rPr>
        <w:tab/>
        <w:t xml:space="preserve">/* équation (5c) </w:t>
      </w:r>
      <w:r>
        <w:rPr>
          <w:lang w:val="en-US"/>
        </w:rPr>
        <w:tab/>
        <w:t>*/</w:t>
      </w:r>
    </w:p>
    <w:p w:rsidR="00CE4097" w:rsidRDefault="00CE4097" w:rsidP="00CE4097">
      <w:pPr>
        <w:spacing w:before="0"/>
      </w:pPr>
      <w:r>
        <w:rPr>
          <w:lang w:val="en-US"/>
        </w:rPr>
        <w:tab/>
      </w:r>
      <w:r>
        <w:t>else azs=azss;</w:t>
      </w:r>
      <w:r>
        <w:tab/>
      </w:r>
      <w:r>
        <w:tab/>
      </w:r>
      <w:r>
        <w:tab/>
      </w:r>
      <w:r>
        <w:tab/>
      </w:r>
      <w:r>
        <w:tab/>
      </w:r>
      <w:r>
        <w:tab/>
        <w:t xml:space="preserve">/* équation (5d) </w:t>
      </w:r>
      <w:r>
        <w:tab/>
        <w:t>*/</w:t>
      </w:r>
    </w:p>
    <w:p w:rsidR="00CE4097" w:rsidRDefault="00CE4097" w:rsidP="00CE4097">
      <w:pPr>
        <w:spacing w:before="0"/>
      </w:pPr>
      <w:r>
        <w:tab/>
        <w:t>/* ----- Détermination de l'élévation du satellite ---------------------------</w:t>
      </w:r>
      <w:r>
        <w:tab/>
        <w:t>*/</w:t>
      </w:r>
    </w:p>
    <w:p w:rsidR="00CE4097" w:rsidRDefault="00CE4097" w:rsidP="00CE4097">
      <w:pPr>
        <w:spacing w:before="0"/>
        <w:rPr>
          <w:lang w:val="en-US"/>
        </w:rPr>
      </w:pPr>
      <w:r>
        <w:tab/>
      </w:r>
      <w:r>
        <w:rPr>
          <w:lang w:val="en-US"/>
        </w:rPr>
        <w:t>if(arc==0.0) ees=pi/2.0;</w:t>
      </w:r>
    </w:p>
    <w:p w:rsidR="00CE4097" w:rsidRDefault="00CE4097" w:rsidP="00CE4097">
      <w:pPr>
        <w:spacing w:before="0"/>
        <w:rPr>
          <w:lang w:val="en-US"/>
        </w:rPr>
      </w:pPr>
      <w:r>
        <w:rPr>
          <w:lang w:val="en-US"/>
        </w:rPr>
        <w:tab/>
        <w:t xml:space="preserve">else ees=atan((cos(arc)-r1/rs)/sin(arc));   </w:t>
      </w:r>
      <w:r>
        <w:rPr>
          <w:lang w:val="en-US"/>
        </w:rPr>
        <w:tab/>
      </w:r>
      <w:r>
        <w:rPr>
          <w:lang w:val="en-US"/>
        </w:rPr>
        <w:tab/>
        <w:t xml:space="preserve">/* équation (6) </w:t>
      </w:r>
      <w:r>
        <w:rPr>
          <w:lang w:val="en-US"/>
        </w:rPr>
        <w:tab/>
        <w:t>*/</w:t>
      </w:r>
    </w:p>
    <w:p w:rsidR="00CE4097" w:rsidRPr="00E4441C" w:rsidRDefault="00CE4097" w:rsidP="00CE4097">
      <w:pPr>
        <w:spacing w:before="0"/>
        <w:rPr>
          <w:lang w:val="de-CH"/>
        </w:rPr>
      </w:pPr>
      <w:r>
        <w:rPr>
          <w:lang w:val="en-US"/>
        </w:rPr>
        <w:tab/>
      </w:r>
      <w:r w:rsidRPr="00E4441C">
        <w:rPr>
          <w:lang w:val="de-CH"/>
        </w:rPr>
        <w:t>e1=em1-tmax(em1);</w:t>
      </w:r>
    </w:p>
    <w:p w:rsidR="00CE4097" w:rsidRPr="00E4441C" w:rsidRDefault="00CE4097" w:rsidP="00CE4097">
      <w:pPr>
        <w:spacing w:before="0"/>
        <w:rPr>
          <w:lang w:val="de-CH"/>
        </w:rPr>
      </w:pPr>
      <w:r w:rsidRPr="00E4441C">
        <w:rPr>
          <w:lang w:val="de-CH"/>
        </w:rPr>
        <w:tab/>
        <w:t>e2=em2-tmin(em2);</w:t>
      </w:r>
    </w:p>
    <w:p w:rsidR="00CE4097" w:rsidRDefault="00CE4097" w:rsidP="00CE4097">
      <w:pPr>
        <w:spacing w:before="0"/>
        <w:rPr>
          <w:lang w:val="en-US"/>
        </w:rPr>
      </w:pPr>
      <w:r w:rsidRPr="00E4441C">
        <w:rPr>
          <w:lang w:val="de-CH"/>
        </w:rPr>
        <w:tab/>
      </w:r>
      <w:r>
        <w:rPr>
          <w:lang w:val="en-US"/>
        </w:rPr>
        <w:t>if(ees&lt;e1) {sa=500.0; go to end_sa;}</w:t>
      </w:r>
    </w:p>
    <w:p w:rsidR="00CE4097" w:rsidRDefault="00CE4097" w:rsidP="00CE4097">
      <w:pPr>
        <w:spacing w:before="0"/>
      </w:pPr>
      <w:r>
        <w:t>else{</w:t>
      </w:r>
    </w:p>
    <w:p w:rsidR="00CE4097" w:rsidRDefault="00CE4097" w:rsidP="00CE4097">
      <w:pPr>
        <w:spacing w:before="0"/>
      </w:pPr>
      <w:r>
        <w:tab/>
      </w:r>
      <w:r>
        <w:tab/>
        <w:t>/* ----- résolution de l'équation (7a), (voir la Note 3) ----- */</w:t>
      </w:r>
    </w:p>
    <w:p w:rsidR="00CE4097" w:rsidRPr="00FF620A" w:rsidRDefault="00CE4097" w:rsidP="00CE4097">
      <w:pPr>
        <w:spacing w:before="0"/>
      </w:pPr>
      <w:r>
        <w:tab/>
      </w:r>
      <w:r>
        <w:tab/>
      </w:r>
      <w:r w:rsidRPr="00FF620A">
        <w:t>es1=10.0;if(ees&lt;em1) esmax=em1; else esmax=ees;</w:t>
      </w:r>
    </w:p>
    <w:p w:rsidR="00CE4097" w:rsidRPr="00FF620A" w:rsidRDefault="00CE4097" w:rsidP="00CE4097">
      <w:pPr>
        <w:spacing w:before="0"/>
      </w:pPr>
      <w:r w:rsidRPr="00FF620A">
        <w:tab/>
      </w:r>
      <w:r w:rsidRPr="00FF620A">
        <w:tab/>
        <w:t>while(fabs(esmax-es1)&gt;1.0e-5){</w:t>
      </w:r>
    </w:p>
    <w:p w:rsidR="00CE4097" w:rsidRPr="00FF620A" w:rsidRDefault="00CE4097" w:rsidP="00CE4097">
      <w:pPr>
        <w:spacing w:before="0"/>
      </w:pPr>
      <w:r w:rsidRPr="00FF620A">
        <w:tab/>
      </w:r>
      <w:r w:rsidRPr="00FF620A">
        <w:tab/>
      </w:r>
      <w:r w:rsidRPr="00FF620A">
        <w:tab/>
        <w:t>es1=esmax;</w:t>
      </w:r>
    </w:p>
    <w:p w:rsidR="00CE4097" w:rsidRPr="00E4441C" w:rsidRDefault="00CE4097" w:rsidP="00CE4097">
      <w:pPr>
        <w:spacing w:before="0"/>
        <w:rPr>
          <w:lang w:val="de-CH"/>
        </w:rPr>
      </w:pPr>
      <w:r w:rsidRPr="00FF620A">
        <w:tab/>
      </w:r>
      <w:r w:rsidRPr="00FF620A">
        <w:tab/>
      </w:r>
      <w:r w:rsidRPr="00FF620A">
        <w:tab/>
      </w:r>
      <w:r w:rsidRPr="00E4441C">
        <w:rPr>
          <w:lang w:val="de-CH"/>
        </w:rPr>
        <w:t>esmax=es1-(es1-tmax(es1)-ees)/(1.0-dtmax(es1));</w:t>
      </w:r>
    </w:p>
    <w:p w:rsidR="00CE4097" w:rsidRPr="00E4441C" w:rsidRDefault="00CE4097" w:rsidP="00CE4097">
      <w:pPr>
        <w:spacing w:before="0"/>
        <w:rPr>
          <w:lang w:val="de-CH"/>
        </w:rPr>
      </w:pPr>
      <w:r w:rsidRPr="00E4441C">
        <w:rPr>
          <w:lang w:val="de-CH"/>
        </w:rPr>
        <w:tab/>
        <w:t>}</w:t>
      </w:r>
    </w:p>
    <w:p w:rsidR="00CE4097" w:rsidRPr="00E4441C" w:rsidRDefault="00CE4097" w:rsidP="00CE4097">
      <w:pPr>
        <w:spacing w:before="0"/>
        <w:rPr>
          <w:lang w:val="de-CH"/>
        </w:rPr>
      </w:pPr>
      <w:r w:rsidRPr="00E4441C">
        <w:rPr>
          <w:lang w:val="de-CH"/>
        </w:rPr>
        <w:tab/>
        <w:t>if(ees&lt;e2) esmin=em2;</w:t>
      </w:r>
    </w:p>
    <w:p w:rsidR="00CE4097" w:rsidRPr="00E4441C" w:rsidRDefault="00CE4097" w:rsidP="00CE4097">
      <w:pPr>
        <w:spacing w:before="0"/>
        <w:rPr>
          <w:lang w:val="de-CH"/>
        </w:rPr>
      </w:pPr>
      <w:r w:rsidRPr="00E4441C">
        <w:rPr>
          <w:lang w:val="de-CH"/>
        </w:rPr>
        <w:tab/>
        <w:t>else{</w:t>
      </w:r>
    </w:p>
    <w:p w:rsidR="00CE4097" w:rsidRDefault="00CE4097" w:rsidP="00CE4097">
      <w:pPr>
        <w:spacing w:before="0"/>
      </w:pPr>
      <w:r w:rsidRPr="00E4441C">
        <w:rPr>
          <w:lang w:val="de-CH"/>
        </w:rPr>
        <w:tab/>
      </w:r>
      <w:r w:rsidRPr="00E4441C">
        <w:rPr>
          <w:lang w:val="de-CH"/>
        </w:rPr>
        <w:tab/>
      </w:r>
      <w:r>
        <w:t>/* ----- résolution de l'équation (7b), (voir la Note 3) ----- */</w:t>
      </w:r>
    </w:p>
    <w:p w:rsidR="00CE4097" w:rsidRPr="00E4441C" w:rsidRDefault="00CE4097" w:rsidP="00CE4097">
      <w:pPr>
        <w:spacing w:before="0"/>
        <w:rPr>
          <w:lang w:val="de-CH"/>
        </w:rPr>
      </w:pPr>
      <w:r>
        <w:tab/>
      </w:r>
      <w:r>
        <w:tab/>
      </w:r>
      <w:r w:rsidRPr="00E4441C">
        <w:rPr>
          <w:lang w:val="de-CH"/>
        </w:rPr>
        <w:t xml:space="preserve">es2=10.0;if(ees&lt;em2) esmin=em2; else esmin=ees; </w:t>
      </w:r>
    </w:p>
    <w:p w:rsidR="00CE4097" w:rsidRPr="00E4441C" w:rsidRDefault="00CE4097" w:rsidP="00CE4097">
      <w:pPr>
        <w:spacing w:before="0"/>
        <w:rPr>
          <w:lang w:val="de-CH"/>
        </w:rPr>
      </w:pPr>
      <w:r w:rsidRPr="00E4441C">
        <w:rPr>
          <w:lang w:val="de-CH"/>
        </w:rPr>
        <w:tab/>
      </w:r>
      <w:r w:rsidRPr="00E4441C">
        <w:rPr>
          <w:lang w:val="de-CH"/>
        </w:rPr>
        <w:tab/>
        <w:t>while(fabs(esmin-es2)&gt;1.0e-5){</w:t>
      </w:r>
    </w:p>
    <w:p w:rsidR="00CE4097" w:rsidRPr="00E4441C" w:rsidRDefault="00CE4097" w:rsidP="00CE4097">
      <w:pPr>
        <w:spacing w:before="0"/>
        <w:rPr>
          <w:lang w:val="de-CH"/>
        </w:rPr>
      </w:pPr>
      <w:r w:rsidRPr="00E4441C">
        <w:rPr>
          <w:lang w:val="de-CH"/>
        </w:rPr>
        <w:tab/>
      </w:r>
      <w:r w:rsidRPr="00E4441C">
        <w:rPr>
          <w:lang w:val="de-CH"/>
        </w:rPr>
        <w:tab/>
      </w:r>
      <w:r w:rsidRPr="00E4441C">
        <w:rPr>
          <w:lang w:val="de-CH"/>
        </w:rPr>
        <w:tab/>
        <w:t>es2=esmin;</w:t>
      </w:r>
    </w:p>
    <w:p w:rsidR="00CE4097" w:rsidRPr="00E4441C" w:rsidRDefault="00CE4097" w:rsidP="00CE4097">
      <w:pPr>
        <w:spacing w:before="0"/>
        <w:rPr>
          <w:lang w:val="de-CH"/>
        </w:rPr>
      </w:pPr>
      <w:r w:rsidRPr="00E4441C">
        <w:rPr>
          <w:lang w:val="de-CH"/>
        </w:rPr>
        <w:tab/>
      </w:r>
      <w:r w:rsidRPr="00E4441C">
        <w:rPr>
          <w:lang w:val="de-CH"/>
        </w:rPr>
        <w:tab/>
      </w:r>
      <w:r w:rsidRPr="00E4441C">
        <w:rPr>
          <w:lang w:val="de-CH"/>
        </w:rPr>
        <w:tab/>
        <w:t>esmin=es2-(es2-tmin(es2)-ees)/(1.0-dtmin(es2));</w:t>
      </w:r>
    </w:p>
    <w:p w:rsidR="00CE4097" w:rsidRPr="00E4441C" w:rsidRDefault="00CE4097" w:rsidP="00CE4097">
      <w:pPr>
        <w:spacing w:before="0"/>
        <w:rPr>
          <w:lang w:val="de-CH"/>
        </w:rPr>
      </w:pPr>
      <w:r w:rsidRPr="00E4441C">
        <w:rPr>
          <w:lang w:val="de-CH"/>
        </w:rPr>
        <w:tab/>
        <w:t>}</w:t>
      </w:r>
    </w:p>
    <w:p w:rsidR="00CE4097" w:rsidRPr="00E4441C" w:rsidRDefault="00CE4097" w:rsidP="00CE4097">
      <w:pPr>
        <w:spacing w:before="0"/>
        <w:rPr>
          <w:lang w:val="de-CH"/>
        </w:rPr>
      </w:pPr>
      <w:r w:rsidRPr="00E4441C">
        <w:rPr>
          <w:lang w:val="de-CH"/>
        </w:rPr>
        <w:tab/>
        <w:t>if(esmax&lt;=e0) es=esmax;</w:t>
      </w:r>
      <w:r w:rsidRPr="00E4441C">
        <w:rPr>
          <w:lang w:val="de-CH"/>
        </w:rPr>
        <w:tab/>
      </w:r>
      <w:r w:rsidRPr="00E4441C">
        <w:rPr>
          <w:lang w:val="de-CH"/>
        </w:rPr>
        <w:tab/>
      </w:r>
      <w:r w:rsidRPr="00E4441C">
        <w:rPr>
          <w:lang w:val="de-CH"/>
        </w:rPr>
        <w:tab/>
      </w:r>
      <w:r w:rsidRPr="00E4441C">
        <w:rPr>
          <w:lang w:val="de-CH"/>
        </w:rPr>
        <w:tab/>
        <w:t>/* équation (8a)</w:t>
      </w:r>
      <w:r w:rsidRPr="00E4441C">
        <w:rPr>
          <w:lang w:val="de-CH"/>
        </w:rPr>
        <w:tab/>
        <w:t>*/</w:t>
      </w:r>
    </w:p>
    <w:p w:rsidR="00CE4097" w:rsidRPr="00E4441C" w:rsidRDefault="00CE4097" w:rsidP="00CE4097">
      <w:pPr>
        <w:spacing w:before="0"/>
        <w:rPr>
          <w:lang w:val="de-CH"/>
        </w:rPr>
      </w:pPr>
      <w:r w:rsidRPr="00E4441C">
        <w:rPr>
          <w:lang w:val="de-CH"/>
        </w:rPr>
        <w:tab/>
        <w:t>else if(esmin&lt;=e0) es=e0;</w:t>
      </w:r>
      <w:r w:rsidRPr="00E4441C">
        <w:rPr>
          <w:lang w:val="de-CH"/>
        </w:rPr>
        <w:tab/>
      </w:r>
      <w:r w:rsidRPr="00E4441C">
        <w:rPr>
          <w:lang w:val="de-CH"/>
        </w:rPr>
        <w:tab/>
      </w:r>
      <w:r w:rsidRPr="00E4441C">
        <w:rPr>
          <w:lang w:val="de-CH"/>
        </w:rPr>
        <w:tab/>
      </w:r>
      <w:r w:rsidRPr="00E4441C">
        <w:rPr>
          <w:lang w:val="de-CH"/>
        </w:rPr>
        <w:tab/>
        <w:t xml:space="preserve">/* équation (8b) </w:t>
      </w:r>
      <w:r w:rsidRPr="00E4441C">
        <w:rPr>
          <w:lang w:val="de-CH"/>
        </w:rPr>
        <w:tab/>
        <w:t>*/</w:t>
      </w:r>
    </w:p>
    <w:p w:rsidR="00CE4097" w:rsidRPr="00FF620A" w:rsidRDefault="00CE4097" w:rsidP="00CE4097">
      <w:pPr>
        <w:spacing w:before="0"/>
        <w:rPr>
          <w:lang w:val="fr-CH"/>
        </w:rPr>
      </w:pPr>
      <w:r w:rsidRPr="00E4441C">
        <w:rPr>
          <w:lang w:val="de-CH"/>
        </w:rPr>
        <w:tab/>
      </w:r>
      <w:r w:rsidRPr="00FF620A">
        <w:rPr>
          <w:lang w:val="fr-CH"/>
        </w:rPr>
        <w:t>else es=esmin;</w:t>
      </w:r>
      <w:r w:rsidRPr="00FF620A">
        <w:rPr>
          <w:lang w:val="fr-CH"/>
        </w:rPr>
        <w:tab/>
      </w:r>
      <w:r w:rsidRPr="00FF620A">
        <w:rPr>
          <w:lang w:val="fr-CH"/>
        </w:rPr>
        <w:tab/>
      </w:r>
      <w:r w:rsidRPr="00FF620A">
        <w:rPr>
          <w:lang w:val="fr-CH"/>
        </w:rPr>
        <w:tab/>
      </w:r>
      <w:r w:rsidRPr="00FF620A">
        <w:rPr>
          <w:lang w:val="fr-CH"/>
        </w:rPr>
        <w:tab/>
      </w:r>
      <w:r w:rsidRPr="00FF620A">
        <w:rPr>
          <w:lang w:val="fr-CH"/>
        </w:rPr>
        <w:tab/>
        <w:t xml:space="preserve">/* équation (8c) </w:t>
      </w:r>
      <w:r w:rsidRPr="00FF620A">
        <w:rPr>
          <w:lang w:val="fr-CH"/>
        </w:rPr>
        <w:tab/>
        <w:t>*/</w:t>
      </w:r>
    </w:p>
    <w:p w:rsidR="00CE4097" w:rsidRDefault="00CE4097" w:rsidP="00CE4097">
      <w:pPr>
        <w:spacing w:before="0"/>
      </w:pPr>
      <w:r w:rsidRPr="00FF620A">
        <w:rPr>
          <w:lang w:val="fr-CH"/>
        </w:rPr>
        <w:tab/>
      </w:r>
      <w:r>
        <w:t xml:space="preserve">/* ----- Détermination de la séparation angulaire ------- équation (9) </w:t>
      </w:r>
      <w:r>
        <w:tab/>
        <w:t>*/</w:t>
      </w:r>
    </w:p>
    <w:p w:rsidR="00CE4097" w:rsidRDefault="00CE4097" w:rsidP="00CE4097">
      <w:pPr>
        <w:spacing w:before="0"/>
        <w:rPr>
          <w:lang w:val="es-ES"/>
        </w:rPr>
      </w:pPr>
      <w:r>
        <w:tab/>
      </w:r>
      <w:r>
        <w:rPr>
          <w:lang w:val="es-ES"/>
        </w:rPr>
        <w:t>sa=rd*acos(cos(e0)*cos(es)*cos(az0-azs)+sin(e0)*sin(es));</w:t>
      </w:r>
    </w:p>
    <w:p w:rsidR="00CE4097" w:rsidRPr="00370B5B" w:rsidRDefault="00CE4097" w:rsidP="00CE4097">
      <w:pPr>
        <w:spacing w:before="0"/>
        <w:rPr>
          <w:lang w:val="fr-CH"/>
        </w:rPr>
      </w:pPr>
      <w:r>
        <w:rPr>
          <w:lang w:val="es-ES"/>
        </w:rPr>
        <w:tab/>
      </w:r>
      <w:r w:rsidRPr="00370B5B">
        <w:rPr>
          <w:lang w:val="fr-CH"/>
        </w:rPr>
        <w:t>end_sa:</w:t>
      </w:r>
    </w:p>
    <w:p w:rsidR="00CE4097" w:rsidRPr="00370B5B" w:rsidRDefault="00CE4097" w:rsidP="00CE4097">
      <w:pPr>
        <w:spacing w:before="0"/>
        <w:rPr>
          <w:lang w:val="fr-CH"/>
        </w:rPr>
      </w:pPr>
      <w:r w:rsidRPr="00370B5B">
        <w:rPr>
          <w:lang w:val="fr-CH"/>
        </w:rPr>
        <w:tab/>
        <w:t>return</w:t>
      </w:r>
      <w:r w:rsidRPr="00370B5B">
        <w:rPr>
          <w:lang w:val="fr-CH"/>
        </w:rPr>
        <w:tab/>
        <w:t>sa;</w:t>
      </w:r>
    </w:p>
    <w:p w:rsidR="00CE4097" w:rsidRDefault="00CE4097" w:rsidP="00CE4097">
      <w:pPr>
        <w:spacing w:before="0"/>
      </w:pPr>
      <w:r>
        <w:t>}</w:t>
      </w:r>
    </w:p>
    <w:p w:rsidR="00CE4097" w:rsidRDefault="00CE4097" w:rsidP="00CE4097">
      <w:r>
        <w:t>/*---------------------------------------------------------------------------------------------- */</w:t>
      </w:r>
    </w:p>
    <w:p w:rsidR="00CE4097" w:rsidRDefault="00CE4097" w:rsidP="00CE4097">
      <w:pPr>
        <w:pStyle w:val="Normalaftertitle"/>
        <w:tabs>
          <w:tab w:val="left" w:pos="7740"/>
        </w:tabs>
        <w:spacing w:before="0"/>
      </w:pPr>
      <w:r>
        <w:t>/* programme principal</w:t>
      </w:r>
      <w:r>
        <w:tab/>
        <w:t xml:space="preserve"> */</w:t>
      </w:r>
    </w:p>
    <w:p w:rsidR="00CE4097" w:rsidRDefault="00CE4097" w:rsidP="00CE4097">
      <w:pPr>
        <w:spacing w:before="0"/>
      </w:pPr>
      <w:r>
        <w:t>/*---------------------------------------------------------------------------------------------- */</w:t>
      </w:r>
    </w:p>
    <w:p w:rsidR="00CE4097" w:rsidRDefault="00CE4097" w:rsidP="00CE4097">
      <w:pPr>
        <w:spacing w:before="0"/>
      </w:pPr>
      <w:r>
        <w:t>void</w:t>
      </w:r>
      <w:r>
        <w:tab/>
        <w:t>main()</w:t>
      </w:r>
    </w:p>
    <w:p w:rsidR="00CE4097" w:rsidRDefault="00CE4097" w:rsidP="00CE4097">
      <w:pPr>
        <w:spacing w:before="0"/>
      </w:pPr>
      <w:r>
        <w:t>{</w:t>
      </w:r>
    </w:p>
    <w:p w:rsidR="00CE4097" w:rsidRDefault="00CE4097" w:rsidP="00CE4097">
      <w:pPr>
        <w:spacing w:before="0"/>
      </w:pPr>
      <w:r>
        <w:tab/>
        <w:t>double</w:t>
      </w:r>
      <w:r>
        <w:tab/>
        <w:t>lonsat[32]={-174,-171,-170,-160,-139,-62,-49,</w:t>
      </w:r>
    </w:p>
    <w:p w:rsidR="00CE4097" w:rsidRDefault="00CE4097" w:rsidP="00CE4097">
      <w:pPr>
        <w:spacing w:before="0"/>
        <w:jc w:val="left"/>
      </w:pPr>
      <w:r>
        <w:tab/>
        <w:t>-46,-44,-41,-32,-16, -12, 10.6, 16.4,16.8, 21.5,47,59,</w:t>
      </w:r>
      <w:r w:rsidRPr="00EF767E">
        <w:rPr>
          <w:lang w:val="fr-CH" w:eastAsia="ja-JP"/>
        </w:rPr>
        <w:t xml:space="preserve"> </w:t>
      </w:r>
      <w:r>
        <w:rPr>
          <w:lang w:val="fr-CH" w:eastAsia="ja-JP"/>
        </w:rPr>
        <w:t>77,80,</w:t>
      </w:r>
      <w:r>
        <w:t>85,89,90.75,95,113,121,133,160,171,176.8,177.5};</w:t>
      </w:r>
    </w:p>
    <w:p w:rsidR="00CE4097" w:rsidRDefault="00CE4097" w:rsidP="00CE4097">
      <w:pPr>
        <w:spacing w:before="0"/>
      </w:pPr>
      <w:r>
        <w:tab/>
        <w:t>double</w:t>
      </w:r>
      <w:r>
        <w:tab/>
        <w:t>sa[34];</w:t>
      </w:r>
    </w:p>
    <w:p w:rsidR="00CE4097" w:rsidRDefault="00CE4097" w:rsidP="00CE4097">
      <w:pPr>
        <w:spacing w:before="0"/>
      </w:pPr>
      <w:r>
        <w:tab/>
        <w:t>char</w:t>
      </w:r>
      <w:r>
        <w:tab/>
        <w:t>str[1];</w:t>
      </w:r>
    </w:p>
    <w:p w:rsidR="00CE4097" w:rsidRDefault="00CE4097" w:rsidP="00CE4097">
      <w:pPr>
        <w:spacing w:before="0"/>
      </w:pPr>
      <w:r>
        <w:tab/>
        <w:t>double</w:t>
      </w:r>
      <w:r>
        <w:tab/>
        <w:t>ilat,latd,latm,lats,rlat;</w:t>
      </w:r>
    </w:p>
    <w:p w:rsidR="00CE4097" w:rsidRDefault="00CE4097" w:rsidP="00CE4097">
      <w:pPr>
        <w:spacing w:before="0"/>
      </w:pPr>
      <w:r>
        <w:tab/>
        <w:t>double</w:t>
      </w:r>
      <w:r>
        <w:tab/>
        <w:t>ilon,lond,lonm,lons,rlon;</w:t>
      </w:r>
    </w:p>
    <w:p w:rsidR="00CE4097" w:rsidRPr="00FF620A" w:rsidRDefault="00CE4097" w:rsidP="00CE4097">
      <w:pPr>
        <w:spacing w:before="0"/>
        <w:rPr>
          <w:lang w:val="fr-CH"/>
        </w:rPr>
      </w:pPr>
      <w:r>
        <w:lastRenderedPageBreak/>
        <w:tab/>
      </w:r>
      <w:r w:rsidRPr="00FF620A">
        <w:rPr>
          <w:lang w:val="fr-CH"/>
        </w:rPr>
        <w:t>double</w:t>
      </w:r>
      <w:r w:rsidRPr="00FF620A">
        <w:rPr>
          <w:lang w:val="fr-CH"/>
        </w:rPr>
        <w:tab/>
        <w:t>az0d,az0,e0d,e0,h0m,h0,h1m,h1;</w:t>
      </w:r>
    </w:p>
    <w:p w:rsidR="00CE4097" w:rsidRDefault="00CE4097" w:rsidP="00CE4097">
      <w:pPr>
        <w:spacing w:before="0"/>
      </w:pPr>
      <w:r w:rsidRPr="00FF620A">
        <w:rPr>
          <w:lang w:val="fr-CH"/>
        </w:rPr>
        <w:tab/>
      </w:r>
      <w:r>
        <w:t>double</w:t>
      </w:r>
      <w:r>
        <w:tab/>
        <w:t>slon,samin;</w:t>
      </w:r>
    </w:p>
    <w:p w:rsidR="00CE4097" w:rsidRDefault="00CE4097" w:rsidP="00CE4097">
      <w:pPr>
        <w:spacing w:before="0"/>
      </w:pPr>
      <w:r>
        <w:tab/>
        <w:t>int</w:t>
      </w:r>
      <w:r>
        <w:tab/>
      </w:r>
      <w:r>
        <w:tab/>
        <w:t>isat;</w:t>
      </w:r>
    </w:p>
    <w:p w:rsidR="00CE4097" w:rsidRDefault="00CE4097" w:rsidP="00CE4097">
      <w:pPr>
        <w:pStyle w:val="Normalaftertitle"/>
        <w:tabs>
          <w:tab w:val="left" w:pos="4253"/>
          <w:tab w:val="left" w:pos="7200"/>
        </w:tabs>
        <w:spacing w:before="0"/>
      </w:pPr>
      <w:r>
        <w:tab/>
        <w:t>pi=4.0*atan(1.0);</w:t>
      </w:r>
      <w:r>
        <w:tab/>
        <w:t xml:space="preserve">/* constante circulaire </w:t>
      </w:r>
      <w:r>
        <w:tab/>
        <w:t>*/</w:t>
      </w:r>
    </w:p>
    <w:p w:rsidR="00CE4097" w:rsidRDefault="00CE4097" w:rsidP="00CE4097">
      <w:pPr>
        <w:tabs>
          <w:tab w:val="left" w:pos="4253"/>
          <w:tab w:val="left" w:pos="6804"/>
        </w:tabs>
        <w:spacing w:before="0"/>
      </w:pPr>
      <w:r>
        <w:tab/>
        <w:t>rd=180.0/pi;</w:t>
      </w:r>
      <w:r>
        <w:tab/>
        <w:t xml:space="preserve">/* conversion radians/degrés </w:t>
      </w:r>
      <w:r>
        <w:tab/>
        <w:t>*/</w:t>
      </w:r>
    </w:p>
    <w:p w:rsidR="00CE4097" w:rsidRDefault="00CE4097" w:rsidP="00CE4097">
      <w:pPr>
        <w:tabs>
          <w:tab w:val="left" w:pos="4253"/>
          <w:tab w:val="left" w:pos="6804"/>
        </w:tabs>
        <w:spacing w:before="0"/>
      </w:pPr>
      <w:r>
        <w:tab/>
        <w:t>dr=pi/180.0;</w:t>
      </w:r>
      <w:r>
        <w:tab/>
        <w:t xml:space="preserve">/* conversion degrés/radians </w:t>
      </w:r>
      <w:r>
        <w:tab/>
        <w:t>*/</w:t>
      </w:r>
    </w:p>
    <w:p w:rsidR="00CE4097" w:rsidRPr="00370B5B" w:rsidRDefault="00CE4097" w:rsidP="00CE4097">
      <w:pPr>
        <w:spacing w:before="0"/>
        <w:rPr>
          <w:lang w:val="en-US"/>
        </w:rPr>
      </w:pPr>
      <w:r>
        <w:tab/>
      </w:r>
      <w:r w:rsidRPr="00370B5B">
        <w:rPr>
          <w:lang w:val="en-US"/>
        </w:rPr>
        <w:t>/* ----- Saisie des paramètres ------------------------------------------ */</w:t>
      </w:r>
    </w:p>
    <w:p w:rsidR="00CE4097" w:rsidRDefault="00CE4097" w:rsidP="00CE4097">
      <w:pPr>
        <w:spacing w:before="0"/>
        <w:rPr>
          <w:lang w:val="en-US"/>
        </w:rPr>
      </w:pPr>
      <w:r w:rsidRPr="00370B5B">
        <w:rPr>
          <w:lang w:val="en-US"/>
        </w:rPr>
        <w:tab/>
      </w:r>
      <w:r>
        <w:rPr>
          <w:lang w:val="en-US"/>
        </w:rPr>
        <w:t>printf("Parameters of the fixed service station \n");</w:t>
      </w:r>
    </w:p>
    <w:p w:rsidR="00CE4097" w:rsidRDefault="00CE4097" w:rsidP="00CE4097">
      <w:pPr>
        <w:spacing w:before="0"/>
        <w:rPr>
          <w:lang w:val="en-US"/>
        </w:rPr>
      </w:pPr>
      <w:r>
        <w:rPr>
          <w:lang w:val="en-US"/>
        </w:rPr>
        <w:tab/>
        <w:t>input_NS:</w:t>
      </w:r>
    </w:p>
    <w:p w:rsidR="00CE4097" w:rsidRPr="00370B5B" w:rsidRDefault="00CE4097" w:rsidP="00CE4097">
      <w:pPr>
        <w:spacing w:before="0"/>
        <w:rPr>
          <w:lang w:val="en-US"/>
        </w:rPr>
      </w:pPr>
      <w:r>
        <w:rPr>
          <w:lang w:val="en-US"/>
        </w:rPr>
        <w:tab/>
        <w:t xml:space="preserve">printf("Hemisphere of the station : northern or southern (N/S) ? </w:t>
      </w:r>
      <w:r w:rsidRPr="00370B5B">
        <w:rPr>
          <w:lang w:val="en-US"/>
        </w:rPr>
        <w:t>\n");</w:t>
      </w:r>
    </w:p>
    <w:p w:rsidR="00CE4097" w:rsidRPr="00370B5B" w:rsidRDefault="00CE4097" w:rsidP="00CE4097">
      <w:pPr>
        <w:spacing w:before="0"/>
        <w:rPr>
          <w:lang w:val="en-US"/>
        </w:rPr>
      </w:pPr>
      <w:r w:rsidRPr="00370B5B">
        <w:rPr>
          <w:lang w:val="en-US"/>
        </w:rPr>
        <w:tab/>
        <w:t>scanf("</w:t>
      </w:r>
      <w:r w:rsidRPr="00AC4297">
        <w:rPr>
          <w:lang w:val="en-US"/>
        </w:rPr>
        <w:t>%</w:t>
      </w:r>
      <w:r w:rsidRPr="00370B5B">
        <w:rPr>
          <w:lang w:val="en-US"/>
        </w:rPr>
        <w:t>s",&amp;str);</w:t>
      </w:r>
    </w:p>
    <w:p w:rsidR="00CE4097" w:rsidRDefault="00CE4097" w:rsidP="00CE4097">
      <w:pPr>
        <w:spacing w:before="0"/>
        <w:rPr>
          <w:lang w:val="en-US"/>
        </w:rPr>
      </w:pPr>
      <w:r w:rsidRPr="00370B5B">
        <w:rPr>
          <w:lang w:val="en-US"/>
        </w:rPr>
        <w:tab/>
      </w:r>
      <w:r>
        <w:rPr>
          <w:lang w:val="en-US"/>
        </w:rPr>
        <w:t>if(*str=='N' || *str=='n') ilat=1;</w:t>
      </w:r>
    </w:p>
    <w:p w:rsidR="00CE4097" w:rsidRDefault="00CE4097" w:rsidP="00CE4097">
      <w:pPr>
        <w:spacing w:before="0"/>
        <w:rPr>
          <w:lang w:val="en-US"/>
        </w:rPr>
      </w:pPr>
      <w:r>
        <w:rPr>
          <w:lang w:val="en-US"/>
        </w:rPr>
        <w:tab/>
        <w:t>else if(*str=='S' || *str=='s') ilat=-1;</w:t>
      </w:r>
    </w:p>
    <w:p w:rsidR="00CE4097" w:rsidRDefault="00CE4097" w:rsidP="00CE4097">
      <w:pPr>
        <w:spacing w:before="0"/>
        <w:rPr>
          <w:lang w:val="en-US"/>
        </w:rPr>
      </w:pPr>
      <w:r>
        <w:rPr>
          <w:lang w:val="en-US"/>
        </w:rPr>
        <w:tab/>
        <w:t>else go to input_NS;</w:t>
      </w:r>
    </w:p>
    <w:p w:rsidR="00CE4097" w:rsidRPr="00AC4297" w:rsidRDefault="00CE4097" w:rsidP="00CE4097">
      <w:pPr>
        <w:spacing w:before="0"/>
        <w:rPr>
          <w:lang w:val="fr-CH"/>
        </w:rPr>
      </w:pPr>
      <w:r>
        <w:rPr>
          <w:lang w:val="en-US"/>
        </w:rPr>
        <w:tab/>
      </w:r>
      <w:r w:rsidRPr="00AC4297">
        <w:rPr>
          <w:lang w:val="fr-CH"/>
        </w:rPr>
        <w:t>input_LAT:</w:t>
      </w:r>
    </w:p>
    <w:p w:rsidR="00CE4097" w:rsidRPr="00AC4297" w:rsidRDefault="00CE4097" w:rsidP="00CE4097">
      <w:pPr>
        <w:spacing w:before="0"/>
        <w:rPr>
          <w:lang w:val="fr-CH"/>
        </w:rPr>
      </w:pPr>
      <w:r w:rsidRPr="00AC4297">
        <w:rPr>
          <w:lang w:val="fr-CH"/>
        </w:rPr>
        <w:tab/>
        <w:t>printf("LAT : latitude (degree,minute,second) ? \n");</w:t>
      </w:r>
    </w:p>
    <w:p w:rsidR="00CE4097" w:rsidRPr="007011A7" w:rsidRDefault="00CE4097" w:rsidP="00CE4097">
      <w:pPr>
        <w:spacing w:before="0"/>
        <w:rPr>
          <w:lang w:val="fr-CH"/>
        </w:rPr>
      </w:pPr>
      <w:r w:rsidRPr="00AC4297">
        <w:rPr>
          <w:lang w:val="fr-CH"/>
        </w:rPr>
        <w:tab/>
      </w:r>
      <w:r w:rsidRPr="007011A7">
        <w:rPr>
          <w:lang w:val="fr-CH"/>
        </w:rPr>
        <w:t>scanf("</w:t>
      </w:r>
      <w:r w:rsidRPr="007011A7">
        <w:t>%</w:t>
      </w:r>
      <w:r w:rsidRPr="007011A7">
        <w:rPr>
          <w:lang w:val="fr-CH"/>
        </w:rPr>
        <w:t>le,</w:t>
      </w:r>
      <w:r w:rsidRPr="007011A7">
        <w:t>%</w:t>
      </w:r>
      <w:r w:rsidRPr="007011A7">
        <w:rPr>
          <w:lang w:val="fr-CH"/>
        </w:rPr>
        <w:t>le,</w:t>
      </w:r>
      <w:r w:rsidRPr="007011A7">
        <w:t>%</w:t>
      </w:r>
      <w:r w:rsidRPr="007011A7">
        <w:rPr>
          <w:lang w:val="fr-CH"/>
        </w:rPr>
        <w:t>le",&amp;latd,&amp;latm,&amp;lats);</w:t>
      </w:r>
    </w:p>
    <w:p w:rsidR="00CE4097" w:rsidRDefault="00CE4097" w:rsidP="00CE4097">
      <w:pPr>
        <w:spacing w:before="0"/>
        <w:rPr>
          <w:lang w:val="en-US"/>
        </w:rPr>
      </w:pPr>
      <w:r w:rsidRPr="007011A7">
        <w:rPr>
          <w:lang w:val="fr-CH"/>
        </w:rPr>
        <w:tab/>
      </w:r>
      <w:r>
        <w:rPr>
          <w:lang w:val="en-US"/>
        </w:rPr>
        <w:t>latd=ilat*(latd+latm/60.0+lats/3600.0); rlat=fabs(latd*dr);</w:t>
      </w:r>
    </w:p>
    <w:p w:rsidR="00CE4097" w:rsidRDefault="00CE4097" w:rsidP="00CE4097">
      <w:pPr>
        <w:spacing w:before="0"/>
        <w:rPr>
          <w:lang w:val="en-US"/>
        </w:rPr>
      </w:pPr>
      <w:r>
        <w:rPr>
          <w:lang w:val="en-US"/>
        </w:rPr>
        <w:tab/>
        <w:t>input_EW:</w:t>
      </w:r>
    </w:p>
    <w:p w:rsidR="00CE4097" w:rsidRPr="00370B5B" w:rsidRDefault="00CE4097" w:rsidP="00CE4097">
      <w:pPr>
        <w:spacing w:before="0"/>
        <w:rPr>
          <w:lang w:val="en-US"/>
        </w:rPr>
      </w:pPr>
      <w:r>
        <w:rPr>
          <w:lang w:val="en-US"/>
        </w:rPr>
        <w:tab/>
        <w:t xml:space="preserve">printf("Longitude : east or west (E/W) ? </w:t>
      </w:r>
      <w:r w:rsidRPr="00370B5B">
        <w:rPr>
          <w:lang w:val="en-US"/>
        </w:rPr>
        <w:t>\n");</w:t>
      </w:r>
    </w:p>
    <w:p w:rsidR="00CE4097" w:rsidRPr="00370B5B" w:rsidRDefault="00CE4097" w:rsidP="00CE4097">
      <w:pPr>
        <w:spacing w:before="0"/>
        <w:rPr>
          <w:lang w:val="en-US"/>
        </w:rPr>
      </w:pPr>
      <w:r w:rsidRPr="00370B5B">
        <w:rPr>
          <w:lang w:val="en-US"/>
        </w:rPr>
        <w:tab/>
        <w:t>scanf("</w:t>
      </w:r>
      <w:r w:rsidRPr="00AC4297">
        <w:rPr>
          <w:lang w:val="en-US"/>
        </w:rPr>
        <w:t>%</w:t>
      </w:r>
      <w:r w:rsidRPr="00370B5B">
        <w:rPr>
          <w:lang w:val="en-US"/>
        </w:rPr>
        <w:t>s",&amp;str);</w:t>
      </w:r>
    </w:p>
    <w:p w:rsidR="00CE4097" w:rsidRDefault="00CE4097" w:rsidP="00CE4097">
      <w:pPr>
        <w:spacing w:before="0"/>
        <w:rPr>
          <w:lang w:val="en-US"/>
        </w:rPr>
      </w:pPr>
      <w:r w:rsidRPr="00370B5B">
        <w:rPr>
          <w:lang w:val="en-US"/>
        </w:rPr>
        <w:tab/>
      </w:r>
      <w:r>
        <w:rPr>
          <w:lang w:val="en-US"/>
        </w:rPr>
        <w:t>if(*str=='E' || *str=='e') ilon=1.0;</w:t>
      </w:r>
    </w:p>
    <w:p w:rsidR="00CE4097" w:rsidRDefault="00CE4097" w:rsidP="00CE4097">
      <w:pPr>
        <w:spacing w:before="0"/>
        <w:rPr>
          <w:lang w:val="en-US"/>
        </w:rPr>
      </w:pPr>
      <w:r>
        <w:rPr>
          <w:lang w:val="en-US"/>
        </w:rPr>
        <w:tab/>
        <w:t>else if(*str=='W' || *str=='w') ilon=-1.0;</w:t>
      </w:r>
    </w:p>
    <w:p w:rsidR="00CE4097" w:rsidRDefault="00CE4097" w:rsidP="00CE4097">
      <w:pPr>
        <w:spacing w:before="0"/>
        <w:rPr>
          <w:lang w:val="en-US"/>
        </w:rPr>
      </w:pPr>
      <w:r>
        <w:rPr>
          <w:lang w:val="en-US"/>
        </w:rPr>
        <w:tab/>
        <w:t>else go to input_EW;</w:t>
      </w:r>
    </w:p>
    <w:p w:rsidR="00CE4097" w:rsidRPr="00AC4297" w:rsidRDefault="00CE4097" w:rsidP="00CE4097">
      <w:pPr>
        <w:spacing w:before="0"/>
        <w:rPr>
          <w:lang w:val="fr-CH"/>
        </w:rPr>
      </w:pPr>
      <w:r>
        <w:rPr>
          <w:lang w:val="en-US"/>
        </w:rPr>
        <w:tab/>
      </w:r>
      <w:r w:rsidRPr="00AC4297">
        <w:rPr>
          <w:lang w:val="fr-CH"/>
        </w:rPr>
        <w:t>input_LON:</w:t>
      </w:r>
    </w:p>
    <w:p w:rsidR="00CE4097" w:rsidRPr="00AC4297" w:rsidRDefault="00CE4097" w:rsidP="00CE4097">
      <w:pPr>
        <w:spacing w:before="0"/>
        <w:rPr>
          <w:lang w:val="fr-CH"/>
        </w:rPr>
      </w:pPr>
      <w:r w:rsidRPr="00AC4297">
        <w:rPr>
          <w:lang w:val="fr-CH"/>
        </w:rPr>
        <w:tab/>
        <w:t>printf("LON : longitude (degree,minute,second) ? \n");</w:t>
      </w:r>
    </w:p>
    <w:p w:rsidR="00CE4097" w:rsidRPr="007011A7" w:rsidRDefault="00CE4097" w:rsidP="00CE4097">
      <w:pPr>
        <w:spacing w:before="0"/>
        <w:rPr>
          <w:lang w:val="fr-CH"/>
        </w:rPr>
      </w:pPr>
      <w:r w:rsidRPr="00AC4297">
        <w:rPr>
          <w:lang w:val="fr-CH"/>
        </w:rPr>
        <w:tab/>
      </w:r>
      <w:r w:rsidRPr="007011A7">
        <w:rPr>
          <w:lang w:val="fr-CH"/>
        </w:rPr>
        <w:t>scanf("</w:t>
      </w:r>
      <w:r w:rsidRPr="007011A7">
        <w:t>%</w:t>
      </w:r>
      <w:r w:rsidRPr="007011A7">
        <w:rPr>
          <w:lang w:val="fr-CH"/>
        </w:rPr>
        <w:t>le,</w:t>
      </w:r>
      <w:r w:rsidRPr="007011A7">
        <w:t>%</w:t>
      </w:r>
      <w:r w:rsidRPr="007011A7">
        <w:rPr>
          <w:lang w:val="fr-CH"/>
        </w:rPr>
        <w:t>le,</w:t>
      </w:r>
      <w:r w:rsidRPr="007011A7">
        <w:t>%</w:t>
      </w:r>
      <w:r w:rsidRPr="007011A7">
        <w:rPr>
          <w:lang w:val="fr-CH"/>
        </w:rPr>
        <w:t>le",&amp;lond,&amp;lonm,&amp;lons);</w:t>
      </w:r>
    </w:p>
    <w:p w:rsidR="00CE4097" w:rsidRDefault="00CE4097" w:rsidP="00CE4097">
      <w:pPr>
        <w:spacing w:before="0"/>
        <w:rPr>
          <w:lang w:val="en-US"/>
        </w:rPr>
      </w:pPr>
      <w:r w:rsidRPr="007011A7">
        <w:rPr>
          <w:lang w:val="fr-CH"/>
        </w:rPr>
        <w:tab/>
      </w:r>
      <w:r>
        <w:rPr>
          <w:lang w:val="en-US"/>
        </w:rPr>
        <w:t>lond=ilon*(lond+lonm/60.0+lons/3600.0);rlon=lond*dr;</w:t>
      </w:r>
    </w:p>
    <w:p w:rsidR="00CE4097" w:rsidRDefault="00CE4097" w:rsidP="00CE4097">
      <w:pPr>
        <w:spacing w:before="0"/>
        <w:rPr>
          <w:lang w:val="en-US"/>
        </w:rPr>
      </w:pPr>
      <w:r>
        <w:rPr>
          <w:lang w:val="en-US"/>
        </w:rPr>
        <w:tab/>
        <w:t>input_AZ:</w:t>
      </w:r>
    </w:p>
    <w:p w:rsidR="00CE4097" w:rsidRDefault="00CE4097" w:rsidP="00CE4097">
      <w:pPr>
        <w:spacing w:before="0"/>
        <w:rPr>
          <w:lang w:val="en-US"/>
        </w:rPr>
      </w:pPr>
      <w:r>
        <w:rPr>
          <w:lang w:val="en-US"/>
        </w:rPr>
        <w:tab/>
        <w:t>printf("AZ0 : antenna azimuth, clockwise from the North (degree) ?\n");</w:t>
      </w:r>
    </w:p>
    <w:p w:rsidR="00CE4097" w:rsidRDefault="00CE4097" w:rsidP="00CE4097">
      <w:pPr>
        <w:spacing w:before="0"/>
        <w:rPr>
          <w:lang w:val="es-ES"/>
        </w:rPr>
      </w:pPr>
      <w:r>
        <w:rPr>
          <w:lang w:val="en-US"/>
        </w:rPr>
        <w:tab/>
      </w:r>
      <w:r>
        <w:rPr>
          <w:lang w:val="es-ES"/>
        </w:rPr>
        <w:t>scanf("</w:t>
      </w:r>
      <w:r w:rsidRPr="00AC4297">
        <w:rPr>
          <w:lang w:val="es-ES_tradnl"/>
        </w:rPr>
        <w:t>%</w:t>
      </w:r>
      <w:r>
        <w:rPr>
          <w:lang w:val="es-ES"/>
        </w:rPr>
        <w:t>le",&amp;az0d); az0=az0d*dr;</w:t>
      </w:r>
    </w:p>
    <w:p w:rsidR="00CE4097" w:rsidRPr="005D61D4" w:rsidRDefault="00CE4097" w:rsidP="00CE4097">
      <w:pPr>
        <w:spacing w:before="0"/>
        <w:rPr>
          <w:lang w:val="es-ES_tradnl"/>
        </w:rPr>
      </w:pPr>
      <w:r>
        <w:rPr>
          <w:lang w:val="es-ES"/>
        </w:rPr>
        <w:tab/>
      </w:r>
      <w:r w:rsidRPr="005D61D4">
        <w:rPr>
          <w:lang w:val="es-ES_tradnl"/>
        </w:rPr>
        <w:t>input_E0:</w:t>
      </w:r>
    </w:p>
    <w:p w:rsidR="00CE4097" w:rsidRPr="00E4441C" w:rsidRDefault="00CE4097" w:rsidP="00CE4097">
      <w:pPr>
        <w:spacing w:before="0"/>
        <w:rPr>
          <w:lang w:val="de-CH"/>
        </w:rPr>
      </w:pPr>
      <w:r w:rsidRPr="005D61D4">
        <w:rPr>
          <w:lang w:val="es-ES_tradnl"/>
        </w:rPr>
        <w:tab/>
      </w:r>
      <w:r w:rsidRPr="005D61D4">
        <w:rPr>
          <w:lang w:val="en-US"/>
        </w:rPr>
        <w:t xml:space="preserve">printf("E0 : antenna elevation (degree) ? </w:t>
      </w:r>
      <w:r w:rsidRPr="00E4441C">
        <w:rPr>
          <w:lang w:val="de-CH"/>
        </w:rPr>
        <w:t>\n");</w:t>
      </w:r>
    </w:p>
    <w:p w:rsidR="00CE4097" w:rsidRPr="00E4441C" w:rsidRDefault="00CE4097" w:rsidP="00CE4097">
      <w:pPr>
        <w:spacing w:before="0"/>
        <w:rPr>
          <w:lang w:val="de-CH"/>
        </w:rPr>
      </w:pPr>
      <w:r w:rsidRPr="00E4441C">
        <w:rPr>
          <w:lang w:val="de-CH"/>
        </w:rPr>
        <w:tab/>
        <w:t>scanf("</w:t>
      </w:r>
      <w:r w:rsidRPr="005D61D4">
        <w:rPr>
          <w:lang w:val="de-CH"/>
        </w:rPr>
        <w:t>%</w:t>
      </w:r>
      <w:r w:rsidRPr="00E4441C">
        <w:rPr>
          <w:lang w:val="de-CH"/>
        </w:rPr>
        <w:t>le",&amp;e0d); e0=e0d*dr;</w:t>
      </w:r>
    </w:p>
    <w:p w:rsidR="00CE4097" w:rsidRPr="005D61D4" w:rsidRDefault="00CE4097" w:rsidP="00CE4097">
      <w:pPr>
        <w:spacing w:before="0"/>
        <w:rPr>
          <w:lang w:val="de-CH"/>
        </w:rPr>
      </w:pPr>
      <w:r w:rsidRPr="00E4441C">
        <w:rPr>
          <w:lang w:val="de-CH"/>
        </w:rPr>
        <w:tab/>
      </w:r>
      <w:r w:rsidRPr="005D61D4">
        <w:rPr>
          <w:lang w:val="de-CH"/>
        </w:rPr>
        <w:t>input_ALT:</w:t>
      </w:r>
    </w:p>
    <w:p w:rsidR="00CE4097" w:rsidRPr="00AC4297" w:rsidRDefault="00CE4097" w:rsidP="00CE4097">
      <w:pPr>
        <w:spacing w:before="0"/>
        <w:rPr>
          <w:lang w:val="fr-CH"/>
        </w:rPr>
      </w:pPr>
      <w:r w:rsidRPr="005D61D4">
        <w:rPr>
          <w:lang w:val="de-CH"/>
        </w:rPr>
        <w:tab/>
      </w:r>
      <w:r>
        <w:rPr>
          <w:lang w:val="en-US"/>
        </w:rPr>
        <w:t xml:space="preserve">printf("H0 : antenna altitude (m) ? </w:t>
      </w:r>
      <w:r w:rsidRPr="00AC4297">
        <w:rPr>
          <w:lang w:val="fr-CH"/>
        </w:rPr>
        <w:t>\n");</w:t>
      </w:r>
    </w:p>
    <w:p w:rsidR="00CE4097" w:rsidRPr="00AC4297" w:rsidRDefault="00CE4097" w:rsidP="00CE4097">
      <w:pPr>
        <w:spacing w:before="0"/>
        <w:rPr>
          <w:lang w:val="fr-CH"/>
        </w:rPr>
      </w:pPr>
      <w:r w:rsidRPr="00AC4297">
        <w:rPr>
          <w:lang w:val="fr-CH"/>
        </w:rPr>
        <w:tab/>
        <w:t>scanf("</w:t>
      </w:r>
      <w:r w:rsidRPr="007011A7">
        <w:t>%</w:t>
      </w:r>
      <w:r w:rsidRPr="00AC4297">
        <w:rPr>
          <w:lang w:val="fr-CH"/>
        </w:rPr>
        <w:t>le",&amp;h0m); h0=h0m/1 000.0;</w:t>
      </w:r>
    </w:p>
    <w:p w:rsidR="00CE4097" w:rsidRPr="00FF620A" w:rsidRDefault="00CE4097" w:rsidP="00CE4097">
      <w:pPr>
        <w:spacing w:before="0"/>
        <w:rPr>
          <w:lang w:val="en-US"/>
        </w:rPr>
      </w:pPr>
      <w:r w:rsidRPr="00AC4297">
        <w:rPr>
          <w:lang w:val="fr-CH"/>
        </w:rPr>
        <w:tab/>
      </w:r>
      <w:r>
        <w:rPr>
          <w:lang w:val="en-US"/>
        </w:rPr>
        <w:t xml:space="preserve">printf("H1 : horizon altitude (m) ? </w:t>
      </w:r>
      <w:r w:rsidRPr="00FF620A">
        <w:rPr>
          <w:lang w:val="en-US"/>
        </w:rPr>
        <w:t>\n");</w:t>
      </w:r>
    </w:p>
    <w:p w:rsidR="00CE4097" w:rsidRPr="00FF620A" w:rsidRDefault="00CE4097" w:rsidP="00CE4097">
      <w:pPr>
        <w:spacing w:before="0"/>
        <w:rPr>
          <w:lang w:val="en-US"/>
        </w:rPr>
      </w:pPr>
      <w:r w:rsidRPr="00FF620A">
        <w:rPr>
          <w:lang w:val="en-US"/>
        </w:rPr>
        <w:tab/>
        <w:t>scanf("%le",&amp;h1m); h1=h1m/1 000.0;</w:t>
      </w:r>
    </w:p>
    <w:p w:rsidR="00CE4097" w:rsidRDefault="00CE4097" w:rsidP="00CE4097">
      <w:pPr>
        <w:spacing w:before="0"/>
        <w:rPr>
          <w:lang w:val="en-US"/>
        </w:rPr>
      </w:pPr>
      <w:r w:rsidRPr="00FF620A">
        <w:rPr>
          <w:lang w:val="en-US"/>
        </w:rPr>
        <w:tab/>
      </w:r>
      <w:r>
        <w:rPr>
          <w:lang w:val="en-US"/>
        </w:rPr>
        <w:t>if(h1&gt;h0) {printf("h1&lt;=h0"); go to input_ALT;}</w:t>
      </w:r>
    </w:p>
    <w:p w:rsidR="00CE4097" w:rsidRDefault="00CE4097" w:rsidP="00CE4097">
      <w:pPr>
        <w:rPr>
          <w:lang w:val="en-US"/>
        </w:rPr>
      </w:pPr>
      <w:r>
        <w:rPr>
          <w:lang w:val="en-US"/>
        </w:rPr>
        <w:tab/>
        <w:t>/* ----- Calculs ---------------------------------------------------- */</w:t>
      </w:r>
    </w:p>
    <w:p w:rsidR="00CE4097" w:rsidRDefault="00CE4097" w:rsidP="00CE4097">
      <w:pPr>
        <w:spacing w:before="0"/>
        <w:rPr>
          <w:lang w:val="en-US"/>
        </w:rPr>
      </w:pPr>
      <w:r>
        <w:rPr>
          <w:lang w:val="en-US"/>
        </w:rPr>
        <w:tab/>
        <w:t>bending(h0,h1);</w:t>
      </w:r>
    </w:p>
    <w:p w:rsidR="00CE4097" w:rsidRDefault="00CE4097" w:rsidP="00CE4097">
      <w:pPr>
        <w:spacing w:before="0"/>
        <w:rPr>
          <w:lang w:val="en-US"/>
        </w:rPr>
      </w:pPr>
      <w:r>
        <w:rPr>
          <w:lang w:val="en-US"/>
        </w:rPr>
        <w:tab/>
        <w:t>samin=1 000.0;</w:t>
      </w:r>
    </w:p>
    <w:p w:rsidR="00CE4097" w:rsidRDefault="00CE4097" w:rsidP="00CE4097">
      <w:pPr>
        <w:spacing w:before="0"/>
        <w:rPr>
          <w:lang w:val="en-US"/>
        </w:rPr>
      </w:pPr>
      <w:r>
        <w:rPr>
          <w:lang w:val="en-US"/>
        </w:rPr>
        <w:tab/>
        <w:t>for(isat=0;isat&lt;23;isat++){</w:t>
      </w:r>
    </w:p>
    <w:p w:rsidR="00CE4097" w:rsidRPr="00FF620A" w:rsidRDefault="00CE4097" w:rsidP="00CE4097">
      <w:pPr>
        <w:spacing w:before="0"/>
        <w:rPr>
          <w:lang w:val="fr-CH"/>
        </w:rPr>
      </w:pPr>
      <w:r>
        <w:rPr>
          <w:lang w:val="en-US"/>
        </w:rPr>
        <w:tab/>
      </w:r>
      <w:r>
        <w:rPr>
          <w:lang w:val="en-US"/>
        </w:rPr>
        <w:tab/>
      </w:r>
      <w:r w:rsidRPr="00FF620A">
        <w:rPr>
          <w:lang w:val="fr-CH"/>
        </w:rPr>
        <w:t>slon=dr*lonsat[isat];</w:t>
      </w:r>
    </w:p>
    <w:p w:rsidR="00CE4097" w:rsidRPr="00FF620A" w:rsidRDefault="00CE4097" w:rsidP="00CE4097">
      <w:pPr>
        <w:spacing w:before="0"/>
        <w:rPr>
          <w:lang w:val="fr-CH"/>
        </w:rPr>
      </w:pPr>
      <w:r w:rsidRPr="00FF620A">
        <w:rPr>
          <w:lang w:val="fr-CH"/>
        </w:rPr>
        <w:tab/>
      </w:r>
      <w:r w:rsidRPr="00FF620A">
        <w:rPr>
          <w:lang w:val="fr-CH"/>
        </w:rPr>
        <w:tab/>
        <w:t>sa[isat]=sangle(slon,ilat,rlat,rlon,az0,e0,h0);</w:t>
      </w:r>
    </w:p>
    <w:p w:rsidR="00CE4097" w:rsidRDefault="00CE4097" w:rsidP="00CE4097">
      <w:pPr>
        <w:spacing w:before="0"/>
      </w:pPr>
      <w:r w:rsidRPr="00FF620A">
        <w:rPr>
          <w:lang w:val="fr-CH"/>
        </w:rPr>
        <w:tab/>
      </w:r>
      <w:r w:rsidRPr="00FF620A">
        <w:rPr>
          <w:lang w:val="fr-CH"/>
        </w:rPr>
        <w:tab/>
      </w:r>
      <w:r>
        <w:t>if(sa[isat]&lt;samin) samin=sa[isat];</w:t>
      </w:r>
    </w:p>
    <w:p w:rsidR="00CE4097" w:rsidRDefault="00CE4097" w:rsidP="00CE4097">
      <w:pPr>
        <w:spacing w:before="0"/>
      </w:pPr>
      <w:r>
        <w:tab/>
        <w:t>}</w:t>
      </w:r>
    </w:p>
    <w:p w:rsidR="00CE4097" w:rsidRDefault="00CE4097" w:rsidP="00CE4097">
      <w:pPr>
        <w:spacing w:before="0"/>
      </w:pPr>
      <w:r>
        <w:tab/>
        <w:t>/* ----- Afficher la séparation angulaire ------------------------------------ */</w:t>
      </w:r>
    </w:p>
    <w:p w:rsidR="00CE4097" w:rsidRPr="00370B5B" w:rsidRDefault="00CE4097" w:rsidP="00CE4097">
      <w:pPr>
        <w:spacing w:before="0"/>
      </w:pPr>
      <w:r>
        <w:tab/>
      </w:r>
      <w:r w:rsidRPr="00370B5B">
        <w:t>printf("\nParameters of the fixed service station \n");</w:t>
      </w:r>
    </w:p>
    <w:p w:rsidR="00CE4097" w:rsidRPr="00AC4297" w:rsidRDefault="00CE4097" w:rsidP="00CE4097">
      <w:pPr>
        <w:spacing w:before="0"/>
      </w:pPr>
      <w:r w:rsidRPr="00370B5B">
        <w:tab/>
      </w:r>
      <w:r w:rsidRPr="00AC4297">
        <w:t xml:space="preserve">printf(" latitude   : </w:t>
      </w:r>
      <w:r w:rsidRPr="007011A7">
        <w:t>%</w:t>
      </w:r>
      <w:r w:rsidRPr="00AC4297">
        <w:t>7.2f (degree) \n",latd);</w:t>
      </w:r>
    </w:p>
    <w:p w:rsidR="00CE4097" w:rsidRPr="00AC4297" w:rsidRDefault="00CE4097" w:rsidP="00CE4097">
      <w:pPr>
        <w:spacing w:before="0"/>
      </w:pPr>
      <w:r w:rsidRPr="00AC4297">
        <w:lastRenderedPageBreak/>
        <w:tab/>
        <w:t xml:space="preserve">printf(" longitude   : </w:t>
      </w:r>
      <w:r w:rsidRPr="007011A7">
        <w:t>%</w:t>
      </w:r>
      <w:r w:rsidRPr="00AC4297">
        <w:t>7.2f (degree) \n",lond);</w:t>
      </w:r>
    </w:p>
    <w:p w:rsidR="00CE4097" w:rsidRDefault="00CE4097" w:rsidP="00CE4097">
      <w:pPr>
        <w:spacing w:before="0"/>
        <w:rPr>
          <w:lang w:val="en-US"/>
        </w:rPr>
      </w:pPr>
      <w:r w:rsidRPr="00AC4297">
        <w:tab/>
      </w:r>
      <w:r>
        <w:rPr>
          <w:lang w:val="en-US"/>
        </w:rPr>
        <w:t xml:space="preserve">printf(" antenna azimuth : </w:t>
      </w:r>
      <w:r w:rsidRPr="00AC4297">
        <w:rPr>
          <w:lang w:val="en-US"/>
        </w:rPr>
        <w:t>%</w:t>
      </w:r>
      <w:r>
        <w:rPr>
          <w:lang w:val="en-US"/>
        </w:rPr>
        <w:t>7.2f (degree) \n",az0d);</w:t>
      </w:r>
    </w:p>
    <w:p w:rsidR="00CE4097" w:rsidRDefault="00CE4097" w:rsidP="00CE4097">
      <w:pPr>
        <w:spacing w:before="0"/>
        <w:rPr>
          <w:lang w:val="en-US"/>
        </w:rPr>
      </w:pPr>
      <w:r>
        <w:rPr>
          <w:lang w:val="en-US"/>
        </w:rPr>
        <w:tab/>
        <w:t xml:space="preserve">printf(" antenna elevation : </w:t>
      </w:r>
      <w:r w:rsidRPr="00AC4297">
        <w:rPr>
          <w:lang w:val="en-US"/>
        </w:rPr>
        <w:t>%</w:t>
      </w:r>
      <w:r>
        <w:rPr>
          <w:lang w:val="en-US"/>
        </w:rPr>
        <w:t>7.2f (degree) \n",e0d);</w:t>
      </w:r>
    </w:p>
    <w:p w:rsidR="00CE4097" w:rsidRDefault="00CE4097" w:rsidP="00CE4097">
      <w:pPr>
        <w:spacing w:before="0"/>
        <w:rPr>
          <w:lang w:val="en-US"/>
        </w:rPr>
      </w:pPr>
      <w:r>
        <w:rPr>
          <w:lang w:val="en-US"/>
        </w:rPr>
        <w:tab/>
        <w:t xml:space="preserve">printf(" antenna altitude : </w:t>
      </w:r>
      <w:r w:rsidRPr="00AC4297">
        <w:rPr>
          <w:lang w:val="en-US"/>
        </w:rPr>
        <w:t>%</w:t>
      </w:r>
      <w:r>
        <w:rPr>
          <w:lang w:val="en-US"/>
        </w:rPr>
        <w:t>7.0f (m) \n",h0m);</w:t>
      </w:r>
    </w:p>
    <w:p w:rsidR="00CE4097" w:rsidRDefault="00CE4097" w:rsidP="00CE4097">
      <w:pPr>
        <w:spacing w:before="0"/>
        <w:rPr>
          <w:lang w:val="en-US"/>
        </w:rPr>
      </w:pPr>
      <w:r>
        <w:rPr>
          <w:lang w:val="en-US"/>
        </w:rPr>
        <w:tab/>
        <w:t xml:space="preserve">printf(" horizon altitude : </w:t>
      </w:r>
      <w:r w:rsidRPr="00AC4297">
        <w:rPr>
          <w:lang w:val="en-US"/>
        </w:rPr>
        <w:t>%</w:t>
      </w:r>
      <w:r>
        <w:rPr>
          <w:lang w:val="en-US"/>
        </w:rPr>
        <w:t>7.0f (m) \n",h1m);</w:t>
      </w:r>
    </w:p>
    <w:p w:rsidR="00CE4097" w:rsidRDefault="00CE4097" w:rsidP="00CE4097">
      <w:pPr>
        <w:spacing w:before="0"/>
        <w:rPr>
          <w:lang w:val="en-US"/>
        </w:rPr>
      </w:pPr>
      <w:r>
        <w:rPr>
          <w:lang w:val="en-US"/>
        </w:rPr>
        <w:tab/>
        <w:t>printf("\nGeostationary data relay satellites \n");</w:t>
      </w:r>
    </w:p>
    <w:p w:rsidR="00CE4097" w:rsidRDefault="00CE4097" w:rsidP="00CE4097">
      <w:pPr>
        <w:spacing w:before="0"/>
        <w:rPr>
          <w:lang w:val="en-US"/>
        </w:rPr>
      </w:pPr>
      <w:r>
        <w:rPr>
          <w:lang w:val="en-US"/>
        </w:rPr>
        <w:tab/>
        <w:t>printf(" No. Longitude Separation angle \n");</w:t>
      </w:r>
    </w:p>
    <w:p w:rsidR="00CE4097" w:rsidRDefault="00CE4097" w:rsidP="00CE4097">
      <w:pPr>
        <w:spacing w:before="0"/>
        <w:rPr>
          <w:lang w:val="en-US"/>
        </w:rPr>
      </w:pPr>
      <w:r>
        <w:rPr>
          <w:lang w:val="en-US"/>
        </w:rPr>
        <w:tab/>
        <w:t>for(isat=0;isat&lt;23;isat++){</w:t>
      </w:r>
    </w:p>
    <w:p w:rsidR="00CE4097" w:rsidRDefault="00CE4097" w:rsidP="00CE4097">
      <w:pPr>
        <w:spacing w:before="0"/>
        <w:rPr>
          <w:lang w:val="en-US"/>
        </w:rPr>
      </w:pPr>
      <w:r>
        <w:rPr>
          <w:lang w:val="en-US"/>
        </w:rPr>
        <w:tab/>
      </w:r>
      <w:r>
        <w:rPr>
          <w:lang w:val="en-US"/>
        </w:rPr>
        <w:tab/>
        <w:t>printf("</w:t>
      </w:r>
      <w:r w:rsidRPr="007011A7">
        <w:rPr>
          <w:lang w:val="en-US"/>
        </w:rPr>
        <w:t>%</w:t>
      </w:r>
      <w:r>
        <w:rPr>
          <w:lang w:val="en-US"/>
        </w:rPr>
        <w:t xml:space="preserve">5d </w:t>
      </w:r>
      <w:r w:rsidRPr="007011A7">
        <w:rPr>
          <w:lang w:val="en-US"/>
        </w:rPr>
        <w:t>%</w:t>
      </w:r>
      <w:r>
        <w:rPr>
          <w:lang w:val="en-US"/>
        </w:rPr>
        <w:t xml:space="preserve">7.2f </w:t>
      </w:r>
      <w:r w:rsidRPr="00AC4297">
        <w:rPr>
          <w:lang w:val="en-US"/>
        </w:rPr>
        <w:t>%</w:t>
      </w:r>
      <w:r>
        <w:rPr>
          <w:lang w:val="en-US"/>
        </w:rPr>
        <w:t>7.2f \n",</w:t>
      </w:r>
    </w:p>
    <w:p w:rsidR="00CE4097" w:rsidRDefault="00CE4097" w:rsidP="00CE4097">
      <w:pPr>
        <w:spacing w:before="0"/>
      </w:pPr>
      <w:r>
        <w:rPr>
          <w:lang w:val="en-US"/>
        </w:rPr>
        <w:tab/>
      </w:r>
      <w:r>
        <w:rPr>
          <w:lang w:val="en-US"/>
        </w:rPr>
        <w:tab/>
      </w:r>
      <w:r>
        <w:t>isat+1,lonsat[isat],sa[isat]);</w:t>
      </w:r>
    </w:p>
    <w:p w:rsidR="00CE4097" w:rsidRDefault="00CE4097" w:rsidP="00CE4097">
      <w:pPr>
        <w:spacing w:before="0"/>
        <w:rPr>
          <w:lang w:val="en-US"/>
        </w:rPr>
      </w:pPr>
      <w:r>
        <w:tab/>
      </w:r>
      <w:r>
        <w:rPr>
          <w:lang w:val="en-US"/>
        </w:rPr>
        <w:t>}</w:t>
      </w:r>
    </w:p>
    <w:p w:rsidR="00CE4097" w:rsidRDefault="00CE4097" w:rsidP="00CE4097">
      <w:pPr>
        <w:spacing w:before="0"/>
        <w:rPr>
          <w:lang w:val="en-US"/>
        </w:rPr>
      </w:pPr>
      <w:r>
        <w:rPr>
          <w:lang w:val="en-US"/>
        </w:rPr>
        <w:tab/>
        <w:t xml:space="preserve">printf("Minimum separation angle = </w:t>
      </w:r>
      <w:r w:rsidRPr="00AC4297">
        <w:rPr>
          <w:lang w:val="en-US"/>
        </w:rPr>
        <w:t>%</w:t>
      </w:r>
      <w:r>
        <w:rPr>
          <w:lang w:val="en-US"/>
        </w:rPr>
        <w:t>7.2f (degree) \n",samin);</w:t>
      </w:r>
    </w:p>
    <w:p w:rsidR="00CE4097" w:rsidRDefault="00CE4097" w:rsidP="00517CE1">
      <w:pPr>
        <w:rPr>
          <w:lang w:val="en-US"/>
        </w:rPr>
      </w:pPr>
    </w:p>
    <w:p w:rsidR="00CE4097" w:rsidRDefault="00CE4097" w:rsidP="00517CE1">
      <w:pPr>
        <w:rPr>
          <w:lang w:val="en-US"/>
        </w:rPr>
      </w:pPr>
    </w:p>
    <w:p w:rsidR="00CE4097" w:rsidRDefault="00CE4097" w:rsidP="00CE4097">
      <w:pPr>
        <w:pStyle w:val="AnnexNoTitle"/>
      </w:pPr>
      <w:r>
        <w:t>Annexe 3</w:t>
      </w:r>
      <w:r>
        <w:br/>
      </w:r>
      <w:r>
        <w:br/>
        <w:t>Réduction des brouillages par affaiblissement de diffraction</w:t>
      </w:r>
    </w:p>
    <w:p w:rsidR="00CE4097" w:rsidRDefault="00CE4097" w:rsidP="00CE4097">
      <w:pPr>
        <w:pStyle w:val="Heading1"/>
      </w:pPr>
      <w:bookmarkStart w:id="23" w:name="_Toc392920259"/>
      <w:r>
        <w:t>1</w:t>
      </w:r>
      <w:r>
        <w:tab/>
        <w:t>Introduction</w:t>
      </w:r>
      <w:bookmarkEnd w:id="23"/>
    </w:p>
    <w:p w:rsidR="00CE4097" w:rsidRDefault="00CE4097" w:rsidP="00CE4097">
      <w:pPr>
        <w:rPr>
          <w:lang w:val="fr-CH"/>
        </w:rPr>
      </w:pPr>
      <w:r>
        <w:rPr>
          <w:lang w:val="fr-CH"/>
        </w:rPr>
        <w:t>Dans certaines circonstances, le blocage de zones de Fresnel réduit la densité spectrale de p.i.r.e. des émissions d'une station du service fixe en direction des positions orbitales des SRD. La grande majorité des systèmes hertziens fixes point à point exploités dans la bande des 26 GHz sont installés en milieu urbain, où des bâtiments bloquent souvent le trajet de transmission entre l'émetteur de la station du service fixe et la position orbitale du SRD. Notons ici que le bâtiment à l'origine de l'obstruction n'est pas nécessairement celui sur lequel est montée l'antenne de réception de la station du service fixe.</w:t>
      </w:r>
    </w:p>
    <w:p w:rsidR="00CE4097" w:rsidRDefault="00CE4097" w:rsidP="00CE4097">
      <w:pPr>
        <w:rPr>
          <w:lang w:val="fr-CH"/>
        </w:rPr>
      </w:pPr>
      <w:r>
        <w:rPr>
          <w:lang w:val="fr-CH"/>
        </w:rPr>
        <w:t>On montre que cette occultation est sensible à de faibles variations de lieu de la station d'émission du service fixe, si bien qu'un faible déplacement de cette station peut réduire considérablement le risque de brouillage. En outre, on montre également que l'occultation est sensible aux faibles variations de position, dues aux fluctuations orbitales normales, du SRD, de sorte que les brouillages causés par une succession de configurations potentiellement préjudiciables des satellites en orbite basse, des émetteurs de station fixe et des SRD varient sensiblement: en d'autres termes, un phénomène de brouillage intense peut être suivi d'un brouillage acceptable.</w:t>
      </w:r>
    </w:p>
    <w:p w:rsidR="00CE4097" w:rsidRDefault="00CE4097" w:rsidP="00CE4097">
      <w:pPr>
        <w:rPr>
          <w:lang w:val="fr-CH"/>
        </w:rPr>
      </w:pPr>
      <w:r>
        <w:rPr>
          <w:lang w:val="fr-CH"/>
        </w:rPr>
        <w:t>La présente Annexe illustre, à l'aide d'un exemple simplifié, les différents affaiblissements de diffraction pouvant résulter de l'occultation de zone de Fresnel.</w:t>
      </w:r>
    </w:p>
    <w:p w:rsidR="00CE4097" w:rsidRDefault="00CE4097" w:rsidP="00CE4097">
      <w:pPr>
        <w:pStyle w:val="Heading1"/>
        <w:rPr>
          <w:lang w:val="fr-CH"/>
        </w:rPr>
      </w:pPr>
      <w:bookmarkStart w:id="24" w:name="_Toc392920260"/>
      <w:r>
        <w:rPr>
          <w:lang w:val="fr-CH"/>
        </w:rPr>
        <w:t>2</w:t>
      </w:r>
      <w:r>
        <w:rPr>
          <w:lang w:val="fr-CH"/>
        </w:rPr>
        <w:tab/>
        <w:t>Calculs de base de l'affaiblissement de diffraction</w:t>
      </w:r>
      <w:bookmarkEnd w:id="24"/>
    </w:p>
    <w:p w:rsidR="00CE4097" w:rsidRDefault="00CE4097" w:rsidP="00CE4097">
      <w:pPr>
        <w:rPr>
          <w:lang w:val="fr-CH"/>
        </w:rPr>
      </w:pPr>
      <w:r>
        <w:rPr>
          <w:lang w:val="fr-CH"/>
        </w:rPr>
        <w:t>La Recommandation UIT-R P.526 expose les méthodes et formules de base qui permettent de calculer les valeurs d'affaiblissement de diffraction. Le § 4 de cette Recommandation considère l'affaiblissement de diffraction en fonction de l'étendue du blocage des zones de Fresnel, ainsi que des caractéristiques de l'obstacle faisant écran. Les valeurs d'affaiblissement observées représentent en fait la somme de deux composantes:</w:t>
      </w:r>
    </w:p>
    <w:p w:rsidR="00CE4097" w:rsidRDefault="00CE4097" w:rsidP="00CE4097">
      <w:pPr>
        <w:pStyle w:val="enumlev1"/>
        <w:rPr>
          <w:lang w:val="fr-CH"/>
        </w:rPr>
      </w:pPr>
      <w:r>
        <w:rPr>
          <w:lang w:val="fr-CH"/>
        </w:rPr>
        <w:t>a)</w:t>
      </w:r>
      <w:r>
        <w:rPr>
          <w:lang w:val="fr-CH"/>
        </w:rPr>
        <w:tab/>
        <w:t>l'affaiblissement de diffraction sur un obstacle modélisé en arête en lame de couteau;</w:t>
      </w:r>
    </w:p>
    <w:p w:rsidR="00CE4097" w:rsidRDefault="00CE4097" w:rsidP="00CE4097">
      <w:pPr>
        <w:pStyle w:val="enumlev1"/>
        <w:rPr>
          <w:lang w:val="fr-CH"/>
        </w:rPr>
      </w:pPr>
      <w:r>
        <w:rPr>
          <w:lang w:val="fr-CH"/>
        </w:rPr>
        <w:lastRenderedPageBreak/>
        <w:t>b)</w:t>
      </w:r>
      <w:r>
        <w:rPr>
          <w:lang w:val="fr-CH"/>
        </w:rPr>
        <w:tab/>
        <w:t>une composante résultant directement des caractéristiques physiques de l'obstacle réel, différentes de l'arête en lame de couteau modélisée.</w:t>
      </w:r>
    </w:p>
    <w:p w:rsidR="00CE4097" w:rsidRDefault="00CE4097" w:rsidP="00CE4097">
      <w:pPr>
        <w:rPr>
          <w:lang w:val="fr-CH"/>
        </w:rPr>
      </w:pPr>
      <w:r>
        <w:rPr>
          <w:lang w:val="fr-CH"/>
        </w:rPr>
        <w:t>Le résultat combiné peut dépasser considérablement le seul effet de diffraction sur une arête en lame de couteau.</w:t>
      </w:r>
    </w:p>
    <w:p w:rsidR="00CE4097" w:rsidRDefault="00CE4097" w:rsidP="00CE4097">
      <w:pPr>
        <w:rPr>
          <w:lang w:val="fr-CH"/>
        </w:rPr>
      </w:pPr>
      <w:r>
        <w:rPr>
          <w:lang w:val="fr-CH"/>
        </w:rPr>
        <w:t>La composante a), à savoir l'arête en lame de couteau modélisée, fait l'objet du § 4.1 de la Recommandation UIT-R P.526, qui donne des formules de calcul de l'affaiblissement de diffraction à l'aide d'une grandeur scalaire sans dimension spécifiant la portée du blocage de la 1</w:t>
      </w:r>
      <w:r w:rsidRPr="0026379D">
        <w:t>ère</w:t>
      </w:r>
      <w:r>
        <w:rPr>
          <w:lang w:val="fr-CH"/>
        </w:rPr>
        <w:t> zone de Fresnel; la Fig. 4 de la présente Recommandation (identique à la Fig. 7 de la Recommandation UIT</w:t>
      </w:r>
      <w:r>
        <w:rPr>
          <w:lang w:val="fr-CH"/>
        </w:rPr>
        <w:noBreakHyphen/>
        <w:t>R P.526) est une représentation graphique de l'affaiblissement de diffraction résultant en fonction de cette grandeur scalaire sans dimension. Par exemple, on observe un affaiblissement de diffraction de 6 dB lorsque la moitié de la 1</w:t>
      </w:r>
      <w:r>
        <w:rPr>
          <w:vertAlign w:val="superscript"/>
          <w:lang w:val="fr-CH"/>
        </w:rPr>
        <w:t>ère</w:t>
      </w:r>
      <w:r>
        <w:rPr>
          <w:lang w:val="fr-CH"/>
        </w:rPr>
        <w:t xml:space="preserve"> zone de Fresnel est occultée; les valeurs d'affaiblissement correspondantes dans les cas d'occultations sur 1/4, 3/4 et 4/4 de la zone de Fresnel, sont respectivement de 2, 10 et 14 dB. Avec une occultation étendue à la totalité de la 2</w:t>
      </w:r>
      <w:r w:rsidRPr="0026379D">
        <w:t>ème</w:t>
      </w:r>
      <w:r>
        <w:rPr>
          <w:lang w:val="fr-CH"/>
        </w:rPr>
        <w:t> zone de Fresnel, l'affaiblissement de diffraction passe à 22 dB.</w:t>
      </w:r>
    </w:p>
    <w:p w:rsidR="00CE4097" w:rsidRDefault="00CE4097" w:rsidP="00CE4097">
      <w:pPr>
        <w:rPr>
          <w:lang w:val="fr-CH"/>
        </w:rPr>
      </w:pPr>
      <w:r>
        <w:rPr>
          <w:lang w:val="fr-CH"/>
        </w:rPr>
        <w:t>La composante b), soit la contribution additionnelle à l'affaiblissement de diffraction due à des caractéristiques physiques différant du modèle d'arête en lame de couteau, fait l'objet des § 4.2 à 4.5 de la Recommandation UIT-R P.526.</w:t>
      </w:r>
    </w:p>
    <w:p w:rsidR="00CE4097" w:rsidRDefault="00CE4097" w:rsidP="00CE4097">
      <w:pPr>
        <w:rPr>
          <w:lang w:val="fr-CH"/>
        </w:rPr>
      </w:pPr>
      <w:r>
        <w:rPr>
          <w:lang w:val="fr-CH"/>
        </w:rPr>
        <w:t>Le § 4.3 de la Recommandation UIT-R P.526 traite du cas d'un obstacle unique de sommet arrondi, applicable aux configurations dans lesquelles la forme du sommet du bâtiment qui bloque le trajet en direction de la position orbitale du SRD peut être ainsi modélisée. La méthode exposée peut être appliquée au calcul du surcroît d'affaiblissement dû à la forme et à la profondeur de l'obstacle.</w:t>
      </w:r>
    </w:p>
    <w:p w:rsidR="00CE4097" w:rsidRDefault="00CE4097" w:rsidP="00CE4097">
      <w:pPr>
        <w:pStyle w:val="Heading1"/>
        <w:rPr>
          <w:lang w:val="fr-CH"/>
        </w:rPr>
      </w:pPr>
      <w:bookmarkStart w:id="25" w:name="_Toc392920261"/>
      <w:r>
        <w:rPr>
          <w:lang w:val="fr-CH"/>
        </w:rPr>
        <w:t>3</w:t>
      </w:r>
      <w:r>
        <w:rPr>
          <w:lang w:val="fr-CH"/>
        </w:rPr>
        <w:tab/>
        <w:t>Exemples d'affaiblissement de diffraction</w:t>
      </w:r>
      <w:bookmarkEnd w:id="25"/>
    </w:p>
    <w:p w:rsidR="00CE4097" w:rsidRDefault="00CE4097" w:rsidP="00CE4097">
      <w:pPr>
        <w:rPr>
          <w:lang w:val="fr-CH"/>
        </w:rPr>
      </w:pPr>
      <w:r>
        <w:rPr>
          <w:lang w:val="fr-CH"/>
        </w:rPr>
        <w:t>Une première analyse simplifiée reposant sur les méthodes de calcul exposées dans la Recommandation UIT</w:t>
      </w:r>
      <w:r>
        <w:rPr>
          <w:lang w:val="fr-CH"/>
        </w:rPr>
        <w:noBreakHyphen/>
        <w:t>R P.526 nous permettra d'appréhender la signification des variations d'affaiblissement de diffraction, qui peuvent être exploitées pour assouplir les limites de densité spectrale de p.i.r.e. applicables aux émissions des stations du service fixe en direction des positions orbitales des SRD.</w:t>
      </w:r>
    </w:p>
    <w:p w:rsidR="00517CE1" w:rsidRPr="00035735" w:rsidRDefault="00517CE1" w:rsidP="00517CE1">
      <w:pPr>
        <w:pStyle w:val="FigureNo"/>
        <w:rPr>
          <w:lang w:val="en-US"/>
        </w:rPr>
      </w:pPr>
      <w:r w:rsidRPr="00035735">
        <w:rPr>
          <w:lang w:val="en-US"/>
        </w:rPr>
        <w:lastRenderedPageBreak/>
        <w:t>figure 4</w:t>
      </w:r>
    </w:p>
    <w:p w:rsidR="00517CE1" w:rsidRPr="00517CE1" w:rsidRDefault="00517CE1" w:rsidP="00517CE1">
      <w:pPr>
        <w:pStyle w:val="Figuretitle"/>
        <w:rPr>
          <w:rFonts w:ascii="Times New Roman"/>
          <w:b w:val="0"/>
          <w:bCs/>
          <w:lang w:val="fr-CH"/>
        </w:rPr>
      </w:pPr>
      <w:r w:rsidRPr="00517CE1">
        <w:rPr>
          <w:lang w:val="fr-CH"/>
        </w:rPr>
        <w:t xml:space="preserve">Affaiblissement de diffraction sur une </w:t>
      </w:r>
      <w:r>
        <w:rPr>
          <w:lang w:val="fr-CH"/>
        </w:rPr>
        <w:t>arête en lame de couteau</w:t>
      </w:r>
      <w:r w:rsidRPr="00517CE1">
        <w:rPr>
          <w:lang w:val="fr-CH"/>
        </w:rPr>
        <w:br/>
      </w:r>
      <w:r w:rsidRPr="00517CE1">
        <w:rPr>
          <w:rFonts w:ascii="Times New Roman"/>
          <w:b w:val="0"/>
          <w:bCs/>
          <w:lang w:val="fr-CH"/>
        </w:rPr>
        <w:t>(</w:t>
      </w:r>
      <w:r>
        <w:rPr>
          <w:rFonts w:ascii="Times New Roman"/>
          <w:b w:val="0"/>
          <w:bCs/>
          <w:lang w:val="fr-CH"/>
        </w:rPr>
        <w:t>voir la Recommandation UIT-</w:t>
      </w:r>
      <w:r w:rsidRPr="00517CE1">
        <w:rPr>
          <w:rFonts w:ascii="Times New Roman"/>
          <w:b w:val="0"/>
          <w:bCs/>
          <w:lang w:val="fr-CH"/>
        </w:rPr>
        <w:t>R P.526)</w:t>
      </w:r>
    </w:p>
    <w:p w:rsidR="00CE4097" w:rsidRDefault="002A7418" w:rsidP="00517CE1">
      <w:pPr>
        <w:pStyle w:val="FigureNo"/>
        <w:keepNext w:val="0"/>
        <w:keepLines w:val="0"/>
        <w:rPr>
          <w:lang w:val="fr-CH"/>
        </w:rPr>
      </w:pPr>
      <w:r>
        <w:rPr>
          <w:lang w:val="en-US"/>
        </w:rPr>
        <w:object w:dxaOrig="4526" w:dyaOrig="5202">
          <v:shape id="_x0000_i1060" type="#_x0000_t75" style="width:304.6pt;height:350.3pt" o:ole="">
            <v:imagedata r:id="rId52" o:title=""/>
          </v:shape>
          <o:OLEObject Type="Embed" ProgID="CorelDRAW.Graphic.14" ShapeID="_x0000_i1060" DrawAspect="Content" ObjectID="_1470033707" r:id="rId53"/>
        </w:object>
      </w:r>
    </w:p>
    <w:p w:rsidR="00CE4097" w:rsidRDefault="00CE4097" w:rsidP="00CE4097">
      <w:pPr>
        <w:pStyle w:val="Blanc"/>
      </w:pPr>
    </w:p>
    <w:p w:rsidR="00CE4097" w:rsidRDefault="00CE4097" w:rsidP="00CE4097">
      <w:pPr>
        <w:rPr>
          <w:lang w:val="fr-CH"/>
        </w:rPr>
      </w:pPr>
      <w:r>
        <w:rPr>
          <w:lang w:val="fr-CH"/>
        </w:rPr>
        <w:t>On suppose que la station du service fixe est à l'horizon vue par le SRD, et dirigée vers lui. Les émissions de la station du service fixe vers le satellite sont partiellement bloquées par un obstacle situé au niveau de l'antenne de réception du service fixe, ou à proximité. L'obstacle est modélisé sous forme d'arête en lame de couteau unique, comme illustré à la Fig. 5. La station d'émission est située au point P</w:t>
      </w:r>
      <w:r>
        <w:rPr>
          <w:vertAlign w:val="subscript"/>
          <w:lang w:val="fr-CH"/>
        </w:rPr>
        <w:t>1</w:t>
      </w:r>
      <w:r>
        <w:rPr>
          <w:lang w:val="fr-CH"/>
        </w:rPr>
        <w:t xml:space="preserve"> et le SRD récepteur au point P</w:t>
      </w:r>
      <w:r>
        <w:rPr>
          <w:vertAlign w:val="subscript"/>
          <w:lang w:val="fr-CH"/>
        </w:rPr>
        <w:t>2</w:t>
      </w:r>
      <w:r>
        <w:rPr>
          <w:lang w:val="fr-CH"/>
        </w:rPr>
        <w:t xml:space="preserve">. La distance de la station d'émission à l'obstacle qui est à l'origine de la diffraction est appelée </w:t>
      </w:r>
      <w:r>
        <w:rPr>
          <w:i/>
          <w:lang w:val="fr-CH"/>
        </w:rPr>
        <w:t>d</w:t>
      </w:r>
      <w:r>
        <w:rPr>
          <w:vertAlign w:val="subscript"/>
          <w:lang w:val="fr-CH"/>
        </w:rPr>
        <w:t>1</w:t>
      </w:r>
      <w:r>
        <w:rPr>
          <w:lang w:val="fr-CH"/>
        </w:rPr>
        <w:t xml:space="preserve">. La distance par rapport au SRD est si grande qu'elle est considérée comme négligeable dans le calcul de l'affaiblissement de diffraction. On appelle </w:t>
      </w:r>
      <w:r>
        <w:rPr>
          <w:i/>
          <w:lang w:val="fr-CH"/>
        </w:rPr>
        <w:t>h</w:t>
      </w:r>
      <w:r>
        <w:rPr>
          <w:lang w:val="fr-CH"/>
        </w:rPr>
        <w:t xml:space="preserve"> la hauteur de l'obstacle au</w:t>
      </w:r>
      <w:r>
        <w:rPr>
          <w:lang w:val="fr-CH"/>
        </w:rPr>
        <w:noBreakHyphen/>
        <w:t xml:space="preserve">dessus du trajet direct. L'angle de diffraction, </w:t>
      </w:r>
      <w:r w:rsidRPr="007011A7">
        <w:sym w:font="Symbol" w:char="F071"/>
      </w:r>
      <w:r>
        <w:rPr>
          <w:lang w:val="fr-CH"/>
        </w:rPr>
        <w:t xml:space="preserve">, est exprimé en radians et son signe est le même que celui de </w:t>
      </w:r>
      <w:r>
        <w:rPr>
          <w:i/>
          <w:lang w:val="fr-CH"/>
        </w:rPr>
        <w:t>h</w:t>
      </w:r>
      <w:r>
        <w:rPr>
          <w:lang w:val="fr-CH"/>
        </w:rPr>
        <w:t xml:space="preserve"> (on suppose que </w:t>
      </w:r>
      <w:r w:rsidRPr="007011A7">
        <w:sym w:font="Symbol" w:char="F071"/>
      </w:r>
      <w:r>
        <w:rPr>
          <w:lang w:val="fr-CH"/>
        </w:rPr>
        <w:t xml:space="preserve"> est inférieur à 0,2 rad, soit 12</w:t>
      </w:r>
      <w:r w:rsidRPr="007011A7">
        <w:t>°</w:t>
      </w:r>
      <w:r>
        <w:rPr>
          <w:lang w:val="fr-CH"/>
        </w:rPr>
        <w:t>).</w:t>
      </w:r>
    </w:p>
    <w:p w:rsidR="00CE4097" w:rsidRDefault="00CE4097" w:rsidP="00CE4097">
      <w:pPr>
        <w:rPr>
          <w:lang w:val="fr-CH"/>
        </w:rPr>
      </w:pPr>
      <w:r>
        <w:rPr>
          <w:lang w:val="fr-CH"/>
        </w:rPr>
        <w:t xml:space="preserve">On utilise une grandeur scalaire sans dimension </w:t>
      </w:r>
      <w:r w:rsidRPr="007011A7">
        <w:sym w:font="Symbol" w:char="F06E"/>
      </w:r>
      <w:r>
        <w:rPr>
          <w:lang w:val="fr-CH"/>
        </w:rPr>
        <w:t xml:space="preserve"> qui permet de calculer, à partir de la Fig. 4, le champ résultant, basée sur la configuration géométrique exposée plus haut, et sur </w:t>
      </w:r>
      <w:r w:rsidRPr="007011A7">
        <w:sym w:font="Symbol" w:char="F06C"/>
      </w:r>
      <w:r>
        <w:rPr>
          <w:lang w:val="fr-CH"/>
        </w:rPr>
        <w:t xml:space="preserve"> la longueur d'onde. La formule suivante est établie à partir de l'équation (14) de la Recommandation UIT</w:t>
      </w:r>
      <w:r>
        <w:rPr>
          <w:lang w:val="fr-CH"/>
        </w:rPr>
        <w:noBreakHyphen/>
        <w:t>R P.526.</w:t>
      </w:r>
    </w:p>
    <w:p w:rsidR="00CE4097" w:rsidRPr="00AC4297" w:rsidRDefault="00CE4097" w:rsidP="00CE4097">
      <w:pPr>
        <w:pStyle w:val="Blanc"/>
        <w:rPr>
          <w:lang w:val="fr-CH"/>
        </w:rPr>
      </w:pPr>
    </w:p>
    <w:p w:rsidR="00CE4097" w:rsidRDefault="00CE4097" w:rsidP="00CE4097">
      <w:pPr>
        <w:pStyle w:val="Equation"/>
        <w:rPr>
          <w:lang w:val="fr-CH"/>
        </w:rPr>
      </w:pPr>
      <w:r>
        <w:rPr>
          <w:lang w:val="fr-CH"/>
        </w:rPr>
        <w:tab/>
      </w:r>
      <w:r>
        <w:rPr>
          <w:lang w:val="fr-CH"/>
        </w:rPr>
        <w:tab/>
      </w:r>
      <w:r w:rsidRPr="003F6F1C">
        <w:rPr>
          <w:position w:val="-26"/>
        </w:rPr>
        <w:object w:dxaOrig="1159" w:dyaOrig="700">
          <v:shape id="_x0000_i1046" type="#_x0000_t75" style="width:57.7pt;height:35.1pt" o:ole="">
            <v:imagedata r:id="rId54" o:title=""/>
          </v:shape>
          <o:OLEObject Type="Embed" ProgID="Equation.3" ShapeID="_x0000_i1046" DrawAspect="Content" ObjectID="_1470033708" r:id="rId55"/>
        </w:object>
      </w:r>
      <w:r>
        <w:rPr>
          <w:lang w:val="fr-CH"/>
        </w:rPr>
        <w:tab/>
        <w:t>(12)</w:t>
      </w:r>
    </w:p>
    <w:p w:rsidR="00CE4097" w:rsidRPr="00AC4297" w:rsidRDefault="00CE4097" w:rsidP="00CE4097">
      <w:pPr>
        <w:pStyle w:val="Blanc"/>
        <w:rPr>
          <w:lang w:val="fr-CH"/>
        </w:rPr>
      </w:pPr>
    </w:p>
    <w:p w:rsidR="00CE4097" w:rsidRDefault="00CE4097" w:rsidP="00CE4097">
      <w:pPr>
        <w:rPr>
          <w:lang w:val="fr-CH"/>
        </w:rPr>
      </w:pPr>
      <w:r>
        <w:rPr>
          <w:lang w:val="fr-CH"/>
        </w:rPr>
        <w:t>Un exemple donnera les limites de la valeur de l'affaiblissement du signal émis auquel on peut s'attendre en présence du blocage de zone de Fresnel.</w:t>
      </w:r>
    </w:p>
    <w:p w:rsidR="00CE4097" w:rsidRDefault="00CE4097" w:rsidP="00CE4097">
      <w:pPr>
        <w:rPr>
          <w:lang w:val="fr-CH"/>
        </w:rPr>
      </w:pPr>
      <w:r>
        <w:rPr>
          <w:lang w:val="fr-CH"/>
        </w:rPr>
        <w:lastRenderedPageBreak/>
        <w:t>On suppose que l'obstacle est un bâtiment situé à 4 km de l'antenne émettrice. Le sommet de ce bâtiment constitue un obstacle en arête en lame de couteau. L'antenne émettrice a un gain de 40 dB, une largeur de faisceau de 1,64</w:t>
      </w:r>
      <w:r w:rsidRPr="007011A7">
        <w:t>°</w:t>
      </w:r>
      <w:r>
        <w:t xml:space="preserve"> </w:t>
      </w:r>
      <w:r>
        <w:rPr>
          <w:lang w:val="fr-CH"/>
        </w:rPr>
        <w:t>à 3 dB, et le trajet vers l'antenne de réception n'est pas obstrué. On suppose également que le faisceau de l'antenne émettrice est également réparti au</w:t>
      </w:r>
      <w:r>
        <w:rPr>
          <w:lang w:val="fr-CH"/>
        </w:rPr>
        <w:noBreakHyphen/>
        <w:t>dessus et au</w:t>
      </w:r>
      <w:r>
        <w:rPr>
          <w:lang w:val="fr-CH"/>
        </w:rPr>
        <w:noBreakHyphen/>
        <w:t>dessous du sommet du bâtiment. Pour une fréquence d'exploitation de 26 GHz, l'équation (12) donne:</w:t>
      </w:r>
    </w:p>
    <w:p w:rsidR="00CE4097" w:rsidRPr="00AC4297" w:rsidRDefault="00CE4097" w:rsidP="00CE4097">
      <w:pPr>
        <w:pStyle w:val="Blanc"/>
        <w:rPr>
          <w:lang w:val="fr-CH"/>
        </w:rPr>
      </w:pPr>
    </w:p>
    <w:p w:rsidR="00CE4097" w:rsidRDefault="00CE4097" w:rsidP="00CE4097">
      <w:pPr>
        <w:pStyle w:val="Equation"/>
        <w:rPr>
          <w:lang w:val="fr-CH"/>
        </w:rPr>
      </w:pPr>
      <w:r>
        <w:rPr>
          <w:lang w:val="fr-CH"/>
        </w:rPr>
        <w:tab/>
      </w:r>
      <w:r>
        <w:rPr>
          <w:lang w:val="fr-CH"/>
        </w:rPr>
        <w:tab/>
      </w:r>
      <w:r w:rsidRPr="007011A7">
        <w:sym w:font="Symbol" w:char="F06E"/>
      </w:r>
      <w:r>
        <w:rPr>
          <w:lang w:val="fr-CH"/>
        </w:rPr>
        <w:t xml:space="preserve">  </w:t>
      </w:r>
      <w:r w:rsidRPr="007011A7">
        <w:t>=</w:t>
      </w:r>
      <w:r>
        <w:rPr>
          <w:lang w:val="fr-CH"/>
        </w:rPr>
        <w:t xml:space="preserve">  833  </w:t>
      </w:r>
      <w:r w:rsidRPr="007011A7">
        <w:sym w:font="Symbol" w:char="F071"/>
      </w:r>
      <w:r>
        <w:rPr>
          <w:lang w:val="fr-CH"/>
        </w:rPr>
        <w:tab/>
        <w:t>(13)</w:t>
      </w:r>
    </w:p>
    <w:p w:rsidR="00CE4097" w:rsidRPr="007011A7" w:rsidRDefault="00CE4097" w:rsidP="00CE4097">
      <w:pPr>
        <w:pStyle w:val="Blanc"/>
        <w:rPr>
          <w:lang w:val="fr-CH"/>
        </w:rPr>
      </w:pPr>
    </w:p>
    <w:p w:rsidR="00CE4097" w:rsidRDefault="00CE4097" w:rsidP="00CE4097">
      <w:pPr>
        <w:rPr>
          <w:lang w:val="fr-CH"/>
        </w:rPr>
      </w:pPr>
      <w:r>
        <w:rPr>
          <w:lang w:val="fr-CH"/>
        </w:rPr>
        <w:t xml:space="preserve">Lorsque </w:t>
      </w:r>
      <w:r>
        <w:sym w:font="Symbol" w:char="0071"/>
      </w:r>
      <w:r>
        <w:rPr>
          <w:lang w:val="fr-CH"/>
        </w:rPr>
        <w:t> </w:t>
      </w:r>
      <w:r w:rsidRPr="007011A7">
        <w:t>=</w:t>
      </w:r>
      <w:r>
        <w:rPr>
          <w:lang w:val="fr-CH"/>
        </w:rPr>
        <w:t xml:space="preserve"> 0, le paramètre </w:t>
      </w:r>
      <w:r w:rsidRPr="007011A7">
        <w:sym w:font="Symbol" w:char="F06E"/>
      </w:r>
      <w:r>
        <w:rPr>
          <w:lang w:val="fr-CH"/>
        </w:rPr>
        <w:t xml:space="preserve"> est nul pour un angle hors axe de 0</w:t>
      </w:r>
      <w:r w:rsidRPr="007011A7">
        <w:t>°</w:t>
      </w:r>
      <w:r>
        <w:rPr>
          <w:lang w:val="fr-CH"/>
        </w:rPr>
        <w:t>. Dans la configuration de la Fig. 4, on observe alors un affaiblissement de diffraction de 6 dB pour une antenne de réception de SRD située au-delà de l'obstacle sur la ligne droite passant par les trois points représentés par l'antenne d'émission, le sommet de l'obstacle et l'antenne de réception proprement dite.</w:t>
      </w:r>
    </w:p>
    <w:p w:rsidR="002A7418" w:rsidRPr="002A7418" w:rsidRDefault="002A7418" w:rsidP="002A7418">
      <w:pPr>
        <w:pStyle w:val="FigureNo"/>
        <w:rPr>
          <w:lang w:val="fr-CH"/>
        </w:rPr>
      </w:pPr>
      <w:r w:rsidRPr="002A7418">
        <w:rPr>
          <w:lang w:val="fr-CH"/>
        </w:rPr>
        <w:t>figure 5</w:t>
      </w:r>
    </w:p>
    <w:p w:rsidR="002A7418" w:rsidRPr="002A7418" w:rsidRDefault="002A7418" w:rsidP="002A7418">
      <w:pPr>
        <w:pStyle w:val="Figuretitle"/>
        <w:rPr>
          <w:rFonts w:ascii="Times New Roman"/>
          <w:b w:val="0"/>
          <w:bCs/>
          <w:lang w:val="fr-CH"/>
        </w:rPr>
      </w:pPr>
      <w:r w:rsidRPr="002A7418">
        <w:rPr>
          <w:lang w:val="fr-CH"/>
        </w:rPr>
        <w:t>E</w:t>
      </w:r>
      <w:r>
        <w:rPr>
          <w:lang w:val="fr-CH"/>
        </w:rPr>
        <w:t>léments géométriques</w:t>
      </w:r>
      <w:r w:rsidRPr="002A7418">
        <w:rPr>
          <w:lang w:val="fr-CH"/>
        </w:rPr>
        <w:br/>
      </w:r>
      <w:r w:rsidRPr="002A7418">
        <w:rPr>
          <w:rFonts w:ascii="Times New Roman"/>
          <w:b w:val="0"/>
          <w:bCs/>
          <w:lang w:val="fr-CH"/>
        </w:rPr>
        <w:t>(</w:t>
      </w:r>
      <w:r>
        <w:rPr>
          <w:rFonts w:ascii="Times New Roman"/>
          <w:b w:val="0"/>
          <w:bCs/>
          <w:lang w:val="fr-CH"/>
        </w:rPr>
        <w:t xml:space="preserve">voir la </w:t>
      </w:r>
      <w:r w:rsidRPr="002A7418">
        <w:rPr>
          <w:rFonts w:ascii="Times New Roman"/>
          <w:b w:val="0"/>
          <w:bCs/>
          <w:lang w:val="fr-CH"/>
        </w:rPr>
        <w:t>Recomm</w:t>
      </w:r>
      <w:r>
        <w:rPr>
          <w:rFonts w:ascii="Times New Roman"/>
          <w:b w:val="0"/>
          <w:bCs/>
          <w:lang w:val="fr-CH"/>
        </w:rPr>
        <w:t>a</w:t>
      </w:r>
      <w:r w:rsidRPr="002A7418">
        <w:rPr>
          <w:rFonts w:ascii="Times New Roman"/>
          <w:b w:val="0"/>
          <w:bCs/>
          <w:lang w:val="fr-CH"/>
        </w:rPr>
        <w:t xml:space="preserve">ndation </w:t>
      </w:r>
      <w:r>
        <w:rPr>
          <w:rFonts w:ascii="Times New Roman"/>
          <w:b w:val="0"/>
          <w:bCs/>
          <w:lang w:val="fr-CH"/>
        </w:rPr>
        <w:t>UIT-</w:t>
      </w:r>
      <w:r w:rsidRPr="002A7418">
        <w:rPr>
          <w:rFonts w:ascii="Times New Roman"/>
          <w:b w:val="0"/>
          <w:bCs/>
          <w:lang w:val="fr-CH"/>
        </w:rPr>
        <w:t>R P.526)</w:t>
      </w:r>
    </w:p>
    <w:p w:rsidR="00CE4097" w:rsidRDefault="002A7418" w:rsidP="002A7418">
      <w:pPr>
        <w:pStyle w:val="FigureNo"/>
        <w:keepNext w:val="0"/>
        <w:keepLines w:val="0"/>
      </w:pPr>
      <w:r>
        <w:rPr>
          <w:lang w:val="en-US"/>
        </w:rPr>
        <w:object w:dxaOrig="4145" w:dyaOrig="4234">
          <v:shape id="_x0000_i1065" type="#_x0000_t75" style="width:297.7pt;height:303.7pt" o:ole="">
            <v:imagedata r:id="rId56" o:title=""/>
          </v:shape>
          <o:OLEObject Type="Embed" ProgID="CorelDRAW.Graphic.14" ShapeID="_x0000_i1065" DrawAspect="Content" ObjectID="_1470033709" r:id="rId57"/>
        </w:object>
      </w:r>
    </w:p>
    <w:p w:rsidR="00CE4097" w:rsidRDefault="00CE4097" w:rsidP="00CE4097">
      <w:pPr>
        <w:pStyle w:val="Blanc"/>
      </w:pPr>
      <w:bookmarkStart w:id="26" w:name="_Toc392920262"/>
    </w:p>
    <w:p w:rsidR="00CE4097" w:rsidRDefault="00CE4097" w:rsidP="00CE4097">
      <w:pPr>
        <w:rPr>
          <w:lang w:val="fr-CH"/>
        </w:rPr>
      </w:pPr>
      <w:r>
        <w:rPr>
          <w:lang w:val="fr-CH"/>
        </w:rPr>
        <w:t>Toutefois, si le sommet de l'obstacle est à 0,0017 rad soit 0,1</w:t>
      </w:r>
      <w:r w:rsidRPr="007011A7">
        <w:t>°</w:t>
      </w:r>
      <w:r>
        <w:rPr>
          <w:lang w:val="fr-CH"/>
        </w:rPr>
        <w:t xml:space="preserve">, au-dessus de la ligne tracée entre l'antenne d'émission de la station du service fixe et le SRD (ce qui signifie soit que l'obstacle est plus élevé de 7 m, soit que l'antenne d'émission du service fixe est montée 7 m plus bas) alors </w:t>
      </w:r>
      <w:r w:rsidRPr="007011A7">
        <w:sym w:font="Symbol" w:char="F06E"/>
      </w:r>
      <w:r>
        <w:rPr>
          <w:lang w:val="fr-CH"/>
        </w:rPr>
        <w:t> </w:t>
      </w:r>
      <w:r w:rsidRPr="007011A7">
        <w:t>=</w:t>
      </w:r>
      <w:r>
        <w:rPr>
          <w:lang w:val="fr-CH"/>
        </w:rPr>
        <w:t> 1,45, et l'affaiblissement de diffraction passe à 16,5 dB.</w:t>
      </w:r>
    </w:p>
    <w:p w:rsidR="00CE4097" w:rsidRDefault="00CE4097" w:rsidP="00CE4097">
      <w:pPr>
        <w:rPr>
          <w:lang w:val="fr-CH"/>
        </w:rPr>
      </w:pPr>
      <w:r>
        <w:rPr>
          <w:lang w:val="fr-CH"/>
        </w:rPr>
        <w:t xml:space="preserve">En revanche, si le sommet de l'obstacle est situé 7 m au-dessous du trajet de brouillage, </w:t>
      </w:r>
      <w:r w:rsidRPr="007011A7">
        <w:sym w:font="Symbol" w:char="F06E"/>
      </w:r>
      <w:r>
        <w:rPr>
          <w:lang w:val="fr-CH"/>
        </w:rPr>
        <w:t> </w:t>
      </w:r>
      <w:r w:rsidRPr="007011A7">
        <w:t>=</w:t>
      </w:r>
      <w:r>
        <w:rPr>
          <w:lang w:val="fr-CH"/>
        </w:rPr>
        <w:t> –1,45, et l'affaiblissement de diffraction donné par le modèle en arête en lame de couteau entraînerait un renforcement du signal d'environ 1 dB.</w:t>
      </w:r>
    </w:p>
    <w:p w:rsidR="00CE4097" w:rsidRDefault="00CE4097" w:rsidP="00CE4097">
      <w:pPr>
        <w:pStyle w:val="Heading1"/>
      </w:pPr>
      <w:r>
        <w:lastRenderedPageBreak/>
        <w:t>4</w:t>
      </w:r>
      <w:r>
        <w:tab/>
        <w:t>Variabilité de l'affaiblissement de diffraction dans les phénomènes de brouillages occasionnés aux SRD</w:t>
      </w:r>
      <w:bookmarkEnd w:id="26"/>
    </w:p>
    <w:p w:rsidR="00CE4097" w:rsidRDefault="00CE4097" w:rsidP="00CE4097">
      <w:r>
        <w:t>Dans le présent exemple, on évalue la variation du niveau de brouillage occasionné à un SRD placé sur une orbite inclinée de 0,1</w:t>
      </w:r>
      <w:r w:rsidRPr="007011A7">
        <w:t>°</w:t>
      </w:r>
      <w:r>
        <w:t xml:space="preserve"> par une station du service fixe située à 45</w:t>
      </w:r>
      <w:r w:rsidRPr="007011A7">
        <w:t>°</w:t>
      </w:r>
      <w:r>
        <w:t xml:space="preserve"> de latitude nord. On suppose que le SRD est situé sur la droite reliant la station d'émission du service fixe, le sommet de l'obstacle en forme d'arête en lame de couteau et le satellite lui</w:t>
      </w:r>
      <w:r>
        <w:noBreakHyphen/>
        <w:t>même. Le SRD se trouve sur sa position orbitale nominale, c'est</w:t>
      </w:r>
      <w:r>
        <w:noBreakHyphen/>
        <w:t>à</w:t>
      </w:r>
      <w:r>
        <w:noBreakHyphen/>
        <w:t>dire sur le plan équatorial. Dans cette configuration, le niveau théorique de brouillage est de –6 dB par rapport aux conditions de propagation en espace libre, comme nous l'avons vu plus haut.</w:t>
      </w:r>
    </w:p>
    <w:p w:rsidR="00CE4097" w:rsidRDefault="00CE4097" w:rsidP="00CE4097">
      <w:r>
        <w:t>Lorsque l'orbite présente un angle d'inclinaison fini, mais réduit, la latitude et la longitude du point sous-satellite sur une période de 24 h sont données par les équations suivantes:</w:t>
      </w:r>
    </w:p>
    <w:p w:rsidR="00CE4097" w:rsidRPr="007011A7" w:rsidRDefault="00CE4097" w:rsidP="00CE4097">
      <w:pPr>
        <w:pStyle w:val="Blanc"/>
        <w:rPr>
          <w:lang w:val="fr-CH"/>
        </w:rPr>
      </w:pPr>
    </w:p>
    <w:p w:rsidR="00CE4097" w:rsidRDefault="00CE4097" w:rsidP="00CE4097">
      <w:pPr>
        <w:pStyle w:val="Equation"/>
      </w:pPr>
      <w:r>
        <w:tab/>
      </w:r>
      <w:r>
        <w:tab/>
      </w:r>
      <w:r w:rsidRPr="003F6F1C">
        <w:rPr>
          <w:position w:val="-12"/>
        </w:rPr>
        <w:object w:dxaOrig="1540" w:dyaOrig="360">
          <v:shape id="_x0000_i1047" type="#_x0000_t75" style="width:77.1pt;height:18pt" o:ole="">
            <v:imagedata r:id="rId58" o:title=""/>
          </v:shape>
          <o:OLEObject Type="Embed" ProgID="Equation.3" ShapeID="_x0000_i1047" DrawAspect="Content" ObjectID="_1470033710" r:id="rId59"/>
        </w:object>
      </w:r>
      <w:r>
        <w:tab/>
        <w:t>(14a)</w:t>
      </w:r>
    </w:p>
    <w:p w:rsidR="00CE4097" w:rsidRPr="00AC4297" w:rsidRDefault="00CE4097" w:rsidP="00CE4097">
      <w:pPr>
        <w:pStyle w:val="Blanc"/>
        <w:rPr>
          <w:lang w:val="fr-CH"/>
        </w:rPr>
      </w:pPr>
    </w:p>
    <w:p w:rsidR="00CE4097" w:rsidRDefault="00CE4097" w:rsidP="00CE4097">
      <w:pPr>
        <w:pStyle w:val="Equation"/>
      </w:pPr>
      <w:r>
        <w:tab/>
      </w:r>
      <w:r>
        <w:tab/>
      </w:r>
      <w:r w:rsidRPr="003F6F1C">
        <w:rPr>
          <w:position w:val="-24"/>
        </w:rPr>
        <w:object w:dxaOrig="1960" w:dyaOrig="700">
          <v:shape id="_x0000_i1048" type="#_x0000_t75" style="width:97.4pt;height:35.1pt" o:ole="">
            <v:imagedata r:id="rId60" o:title=""/>
          </v:shape>
          <o:OLEObject Type="Embed" ProgID="Equation.3" ShapeID="_x0000_i1048" DrawAspect="Content" ObjectID="_1470033711" r:id="rId61"/>
        </w:object>
      </w:r>
      <w:r>
        <w:tab/>
        <w:t>(14b)</w:t>
      </w:r>
    </w:p>
    <w:p w:rsidR="00CE4097" w:rsidRPr="00AC4297" w:rsidRDefault="00CE4097" w:rsidP="00CE4097">
      <w:pPr>
        <w:pStyle w:val="Blanc"/>
        <w:rPr>
          <w:lang w:val="fr-CH"/>
        </w:rPr>
      </w:pPr>
    </w:p>
    <w:p w:rsidR="00CE4097" w:rsidRDefault="00CE4097" w:rsidP="00CE4097">
      <w:r>
        <w:t>où:</w:t>
      </w:r>
    </w:p>
    <w:p w:rsidR="00CE4097" w:rsidRDefault="00CE4097" w:rsidP="00CE4097">
      <w:pPr>
        <w:pStyle w:val="Equationlegend"/>
        <w:rPr>
          <w:lang w:val="fr-CH"/>
        </w:rPr>
      </w:pPr>
      <w:r w:rsidRPr="00AC4297">
        <w:rPr>
          <w:lang w:val="fr-CH"/>
        </w:rPr>
        <w:tab/>
      </w:r>
      <w:r w:rsidRPr="007011A7">
        <w:sym w:font="Symbol" w:char="F06A"/>
      </w:r>
      <w:r>
        <w:rPr>
          <w:i/>
          <w:vertAlign w:val="subscript"/>
          <w:lang w:val="fr-CH"/>
        </w:rPr>
        <w:t>s</w:t>
      </w:r>
      <w:r>
        <w:rPr>
          <w:i/>
          <w:position w:val="-4"/>
          <w:sz w:val="12"/>
          <w:lang w:val="fr-CH"/>
        </w:rPr>
        <w:t> </w:t>
      </w:r>
      <w:r>
        <w:rPr>
          <w:lang w:val="fr-CH"/>
        </w:rPr>
        <w:t>:</w:t>
      </w:r>
      <w:r>
        <w:rPr>
          <w:lang w:val="fr-CH"/>
        </w:rPr>
        <w:tab/>
        <w:t>latitude du point subsatellite correspondant au SRD</w:t>
      </w:r>
    </w:p>
    <w:p w:rsidR="00CE4097" w:rsidRDefault="00CE4097" w:rsidP="00CE4097">
      <w:pPr>
        <w:pStyle w:val="Equationlegend"/>
        <w:rPr>
          <w:lang w:val="fr-CH"/>
        </w:rPr>
      </w:pPr>
      <w:r w:rsidRPr="00AC4297">
        <w:rPr>
          <w:lang w:val="fr-CH"/>
        </w:rPr>
        <w:tab/>
      </w:r>
      <w:r w:rsidRPr="007011A7">
        <w:sym w:font="Symbol" w:char="F044"/>
      </w:r>
      <w:r w:rsidRPr="007011A7">
        <w:sym w:font="Symbol" w:char="F06C"/>
      </w:r>
      <w:r>
        <w:rPr>
          <w:i/>
          <w:vertAlign w:val="subscript"/>
          <w:lang w:val="fr-CH"/>
        </w:rPr>
        <w:t>s</w:t>
      </w:r>
      <w:r>
        <w:rPr>
          <w:i/>
          <w:position w:val="-4"/>
          <w:sz w:val="12"/>
          <w:lang w:val="fr-CH"/>
        </w:rPr>
        <w:t> </w:t>
      </w:r>
      <w:r>
        <w:rPr>
          <w:lang w:val="fr-CH"/>
        </w:rPr>
        <w:t>:</w:t>
      </w:r>
      <w:r>
        <w:rPr>
          <w:lang w:val="fr-CH"/>
        </w:rPr>
        <w:tab/>
        <w:t>augmentation de longitude de ce point</w:t>
      </w:r>
    </w:p>
    <w:p w:rsidR="00CE4097" w:rsidRDefault="00CE4097" w:rsidP="00CE4097">
      <w:pPr>
        <w:pStyle w:val="Equationlegend"/>
        <w:rPr>
          <w:lang w:val="fr-CH"/>
        </w:rPr>
      </w:pPr>
      <w:r w:rsidRPr="00AC4297">
        <w:rPr>
          <w:lang w:val="fr-CH"/>
        </w:rPr>
        <w:tab/>
      </w:r>
      <w:r>
        <w:rPr>
          <w:i/>
          <w:lang w:val="fr-CH"/>
        </w:rPr>
        <w:t>i</w:t>
      </w:r>
      <w:r>
        <w:rPr>
          <w:i/>
          <w:position w:val="-4"/>
          <w:sz w:val="12"/>
          <w:lang w:val="fr-CH"/>
        </w:rPr>
        <w:t> </w:t>
      </w:r>
      <w:r>
        <w:rPr>
          <w:lang w:val="fr-CH"/>
        </w:rPr>
        <w:t>:</w:t>
      </w:r>
      <w:r>
        <w:rPr>
          <w:lang w:val="fr-CH"/>
        </w:rPr>
        <w:tab/>
        <w:t>angle d'inclinaison du plan orbital du satellite</w:t>
      </w:r>
    </w:p>
    <w:p w:rsidR="00CE4097" w:rsidRDefault="00CE4097" w:rsidP="00CE4097">
      <w:pPr>
        <w:pStyle w:val="Equationlegend"/>
        <w:rPr>
          <w:lang w:val="fr-CH"/>
        </w:rPr>
      </w:pPr>
      <w:r w:rsidRPr="00AC4297">
        <w:rPr>
          <w:lang w:val="fr-CH"/>
        </w:rPr>
        <w:tab/>
      </w:r>
      <w:r w:rsidRPr="007011A7">
        <w:sym w:font="Symbol" w:char="F077"/>
      </w:r>
      <w:r>
        <w:rPr>
          <w:i/>
          <w:vertAlign w:val="subscript"/>
          <w:lang w:val="fr-CH"/>
        </w:rPr>
        <w:t>e</w:t>
      </w:r>
      <w:r>
        <w:rPr>
          <w:i/>
          <w:position w:val="-4"/>
          <w:sz w:val="12"/>
          <w:lang w:val="fr-CH"/>
        </w:rPr>
        <w:t> </w:t>
      </w:r>
      <w:r>
        <w:rPr>
          <w:lang w:val="fr-CH"/>
        </w:rPr>
        <w:t>:</w:t>
      </w:r>
      <w:r>
        <w:rPr>
          <w:lang w:val="fr-CH"/>
        </w:rPr>
        <w:tab/>
        <w:t>vitesse de rotation de la Terre</w:t>
      </w:r>
    </w:p>
    <w:p w:rsidR="00CE4097" w:rsidRDefault="00CE4097" w:rsidP="00CE4097">
      <w:pPr>
        <w:pStyle w:val="Equationlegend"/>
        <w:rPr>
          <w:lang w:val="fr-CH"/>
        </w:rPr>
      </w:pPr>
      <w:r>
        <w:rPr>
          <w:lang w:val="fr-CH"/>
        </w:rPr>
        <w:tab/>
      </w:r>
      <w:r>
        <w:rPr>
          <w:i/>
          <w:lang w:val="fr-CH"/>
        </w:rPr>
        <w:t>t</w:t>
      </w:r>
      <w:r>
        <w:rPr>
          <w:i/>
          <w:position w:val="-4"/>
          <w:sz w:val="12"/>
          <w:lang w:val="fr-CH"/>
        </w:rPr>
        <w:t> </w:t>
      </w:r>
      <w:r>
        <w:rPr>
          <w:rFonts w:ascii="Tms Rmn" w:hAnsi="Tms Rmn"/>
          <w:lang w:val="fr-CH"/>
        </w:rPr>
        <w:t>:</w:t>
      </w:r>
      <w:r>
        <w:rPr>
          <w:rFonts w:ascii="Tms Rmn" w:hAnsi="Tms Rmn"/>
          <w:lang w:val="fr-CH"/>
        </w:rPr>
        <w:tab/>
      </w:r>
      <w:r>
        <w:rPr>
          <w:lang w:val="fr-CH"/>
        </w:rPr>
        <w:t>temps écoulé.</w:t>
      </w:r>
    </w:p>
    <w:p w:rsidR="00CE4097" w:rsidRDefault="00CE4097" w:rsidP="00CE4097">
      <w:r>
        <w:t>La variation diurne de la puissance de brouillage reçue par le SRD peut être évaluée à l'aide de l'équation (13) en fonction de la variation de l'angle d'élévation. On suppose que le sommet de l'obstacle est parallèle au plan horizontal local.</w:t>
      </w:r>
    </w:p>
    <w:p w:rsidR="00CE4097" w:rsidRDefault="00CE4097" w:rsidP="00CE4097">
      <w:r>
        <w:t>Pour déterminer l'effet d'une divergence de position nominale du SRD, on analyse deux cas. Dans le premier cas, on suppose que la position nominale du satellite est à 0,1</w:t>
      </w:r>
      <w:r w:rsidRPr="007011A7">
        <w:t>°</w:t>
      </w:r>
      <w:r>
        <w:t xml:space="preserve"> au-dessus de la ligne reliant l'antenne d'émission du service fixe et l'arête du bâtiment qui fait obstruction, et dans le second cas, à 0,1</w:t>
      </w:r>
      <w:r w:rsidRPr="007011A7">
        <w:t>°</w:t>
      </w:r>
      <w:r>
        <w:t xml:space="preserve"> au-dessous de cette ligne. Ces écarts sont largement compris dans la moitié de l'ouverture du faisceau à 3 dB (1,64</w:t>
      </w:r>
      <w:r w:rsidRPr="007011A7">
        <w:t>°</w:t>
      </w:r>
      <w:r>
        <w:t>). On suppose par ailleurs que la station du service fixe est située à 45</w:t>
      </w:r>
      <w:r w:rsidRPr="007011A7">
        <w:t>°</w:t>
      </w:r>
      <w:r>
        <w:t xml:space="preserve"> de latitude nord et que le plan orbital du SRD est incliné de 0,1</w:t>
      </w:r>
      <w:r w:rsidRPr="007011A7">
        <w:t>°</w:t>
      </w:r>
      <w:r>
        <w:t xml:space="preserve"> par rapport au plan équatorial. La variation diurne du niveau de la puissance brouilleuse reçue par le SRD par rapport à des conditions de propagation en espace libre est indiquée aux Fig. 6 et 7 pour ces deux cas. La Fig. 6 fait apparaître que les variations diurnes de la puissance brouilleuse sont relativement faibles, tandis qu'elles sont comprises entre environ –9,5 et –21 dB dans le second cas (Fig. 7).</w:t>
      </w:r>
    </w:p>
    <w:p w:rsidR="00616F47" w:rsidRPr="00616F47" w:rsidRDefault="00616F47" w:rsidP="00616F47">
      <w:pPr>
        <w:pStyle w:val="FigureNo"/>
        <w:rPr>
          <w:noProof/>
          <w:lang w:val="fr-CH" w:eastAsia="zh-CN"/>
        </w:rPr>
      </w:pPr>
      <w:r w:rsidRPr="00616F47">
        <w:rPr>
          <w:noProof/>
          <w:lang w:val="fr-CH" w:eastAsia="zh-CN"/>
        </w:rPr>
        <w:lastRenderedPageBreak/>
        <w:t>figure 6</w:t>
      </w:r>
    </w:p>
    <w:p w:rsidR="00616F47" w:rsidRPr="00616F47" w:rsidRDefault="00616F47" w:rsidP="00616F47">
      <w:pPr>
        <w:pStyle w:val="Figuretitle"/>
        <w:keepLines/>
        <w:rPr>
          <w:lang w:val="fr-CH" w:eastAsia="zh-CN"/>
        </w:rPr>
      </w:pPr>
      <w:r w:rsidRPr="00616F47">
        <w:rPr>
          <w:lang w:val="fr-CH" w:eastAsia="zh-CN"/>
        </w:rPr>
        <w:t>Variation diurne du niveau de la puissance brouilleuse reçue par un SRD sur orbite</w:t>
      </w:r>
      <w:r w:rsidRPr="00616F47">
        <w:rPr>
          <w:lang w:val="fr-CH" w:eastAsia="zh-CN"/>
        </w:rPr>
        <w:br/>
      </w:r>
      <w:r>
        <w:rPr>
          <w:lang w:val="fr-CH" w:eastAsia="zh-CN"/>
        </w:rPr>
        <w:t>inclinée de 0,1°, avec un décalage de position orbitale de 0,1° dans le plan d'élévation</w:t>
      </w:r>
      <w:r>
        <w:rPr>
          <w:lang w:val="fr-CH" w:eastAsia="zh-CN"/>
        </w:rPr>
        <w:br/>
        <w:t>et une station du service fixe située à 45° de latitude nord</w:t>
      </w:r>
    </w:p>
    <w:p w:rsidR="00CE4097" w:rsidRDefault="009C7235" w:rsidP="00616F47">
      <w:pPr>
        <w:pStyle w:val="FigureNo"/>
        <w:keepNext w:val="0"/>
        <w:keepLines w:val="0"/>
      </w:pPr>
      <w:r>
        <w:rPr>
          <w:lang w:val="en-US" w:eastAsia="zh-CN"/>
        </w:rPr>
        <w:object w:dxaOrig="5023" w:dyaOrig="3803">
          <v:shape id="_x0000_i1070" type="#_x0000_t75" style="width:330.9pt;height:250.6pt" o:ole="">
            <v:imagedata r:id="rId62" o:title=""/>
          </v:shape>
          <o:OLEObject Type="Embed" ProgID="CorelDRAW.Graphic.14" ShapeID="_x0000_i1070" DrawAspect="Content" ObjectID="_1470033712" r:id="rId63"/>
        </w:object>
      </w:r>
    </w:p>
    <w:p w:rsidR="00CE4097" w:rsidRDefault="00CE4097" w:rsidP="00CE4097">
      <w:pPr>
        <w:pStyle w:val="Heading1"/>
      </w:pPr>
      <w:r>
        <w:t>5</w:t>
      </w:r>
      <w:r>
        <w:tab/>
        <w:t>Méthodes de conception et d'installation des liaisons du service fixe propres à accroître l'efficacité des mesures de réduction des brouillages par affaiblissement de diffraction</w:t>
      </w:r>
    </w:p>
    <w:p w:rsidR="00CE4097" w:rsidRDefault="00CE4097" w:rsidP="00CE4097">
      <w:r>
        <w:t xml:space="preserve">Il découle du </w:t>
      </w:r>
      <w:r>
        <w:rPr>
          <w:i/>
        </w:rPr>
        <w:t>recommande</w:t>
      </w:r>
      <w:r>
        <w:t xml:space="preserve"> 2.4 de la présente Recommandation qu'il y a lieu de s'efforcer de promouvoir des méthodes de conception et d'installation des liaisons du service fixe propres à bloquer au mieux les trajets de brouillage risquant d'affecter les SRD, de telle sorte que les niveaux des émissions brouilleuses du service fixe soient effectivement réduits en raison du phénomène d'affaiblissement par diffraction.</w:t>
      </w:r>
    </w:p>
    <w:p w:rsidR="00CE4097" w:rsidRDefault="00CE4097" w:rsidP="00CE4097">
      <w:r>
        <w:t>Cet objectif, qui découle du souci de rendre le partage possible entre le service fixe et les SRD, est tout à fait conforme avec l'objectif interne du service fixe: limiter les brouillages afin de raccourcir les espacements nécessaires pour la réutilisation des fréquences aussi bien en milieu urbain que dans les grandes banlieues où sont installées la grande majorité des applications du service fixe dans la bande des 26 GHz et où seront installés la grande majorité des systèmes en projet. A cette fin, on montera de préférence les antennes des stations du service fixe sur les murs des bâtiments plutôt que sur les toits, et lorsqu'un montage sur un toit s'avérera nécessaire, on recherchera un point de fixation aussi bas que possible.</w:t>
      </w:r>
    </w:p>
    <w:p w:rsidR="00CE4097" w:rsidRDefault="00CE4097" w:rsidP="00CE4097">
      <w:r>
        <w:t>La généralisation de ces méthodes garantit l'obtention des plus fortes valeurs pratiquement envisageables d'affaiblissement de diffraction non seulement sur les éventuels trajets de brouillage interne dans le service fixe mais également sur les trajets potentiels de brouillage entre le service fixe et les SRD. Mais, en tout état de cause, des améliorations sont toujours possibles; en effet, on pourrait:</w:t>
      </w:r>
    </w:p>
    <w:p w:rsidR="00CE4097" w:rsidRDefault="00CE4097" w:rsidP="00CE4097">
      <w:pPr>
        <w:pStyle w:val="enumlev1"/>
      </w:pPr>
      <w:r>
        <w:t>–</w:t>
      </w:r>
      <w:r>
        <w:tab/>
        <w:t>procéder à une diffusion efficace d'informations pertinentes sur le problème des risques de brouillage;</w:t>
      </w:r>
    </w:p>
    <w:p w:rsidR="00CE4097" w:rsidRDefault="00CE4097" w:rsidP="009C7235">
      <w:pPr>
        <w:pStyle w:val="enumlev1"/>
        <w:keepNext/>
        <w:keepLines/>
      </w:pPr>
      <w:r>
        <w:lastRenderedPageBreak/>
        <w:t>–</w:t>
      </w:r>
      <w:r>
        <w:tab/>
        <w:t>proposer des instructions simples et faciles à suivre pour rendre maximal l'affaiblissement de diffraction sur les trajets de brouillage éventuels, dans les configurations dans lesquelles les émissions du service fixe, sans intervention de ce type, dépasseraient la limite recommandée de densité spectrale de p.i.r.e.</w:t>
      </w:r>
    </w:p>
    <w:p w:rsidR="00CE4097" w:rsidRDefault="00CE4097" w:rsidP="00CE4097">
      <w:r>
        <w:t>Du point de vue des brouillages, la configuration la plus défavorable est représentée par le montage d'une antenne du service fixe sur une tour, car dans ce cas, l'affaiblissement de diffraction pouvant être obtenu est négligeable, à moins que le trajet de brouillage potentiel ne soit occulté derrière la tour par un obstacle naturel ou artificiel. Lorsqu'il n'est pas possible de les éviter pour des raisons d'exploitation, de telles liaisons à fort potentiel de brouillage devront être établies avec précaution dans tous les cas où les émissions du service fixe risqueraient de dépasser la limite recommandée de densité spectrale de p.i.r.e. En pareil cas, il importera également de fournir des instructions simples et faciles à suivre pour faciliter le respect des critères établis.</w:t>
      </w:r>
    </w:p>
    <w:p w:rsidR="009C7235" w:rsidRDefault="009C7235" w:rsidP="009C7235">
      <w:pPr>
        <w:pStyle w:val="FigureNo"/>
        <w:rPr>
          <w:noProof/>
          <w:lang w:val="en-US" w:eastAsia="zh-CN"/>
        </w:rPr>
      </w:pPr>
      <w:bookmarkStart w:id="27" w:name="_Toc392920263"/>
      <w:r>
        <w:rPr>
          <w:noProof/>
          <w:lang w:val="en-US" w:eastAsia="zh-CN"/>
        </w:rPr>
        <w:t>figure 7</w:t>
      </w:r>
    </w:p>
    <w:p w:rsidR="009C7235" w:rsidRPr="009C7235" w:rsidRDefault="009C7235" w:rsidP="009C7235">
      <w:pPr>
        <w:pStyle w:val="Figuretitle"/>
        <w:keepLines/>
        <w:rPr>
          <w:lang w:val="fr-CH" w:eastAsia="zh-CN"/>
        </w:rPr>
      </w:pPr>
      <w:r w:rsidRPr="00616F47">
        <w:rPr>
          <w:lang w:val="fr-CH" w:eastAsia="zh-CN"/>
        </w:rPr>
        <w:t>Variation diurne du niveau de la puissance brouilleuse reçue par un SRD sur orbite</w:t>
      </w:r>
      <w:r w:rsidRPr="00616F47">
        <w:rPr>
          <w:lang w:val="fr-CH" w:eastAsia="zh-CN"/>
        </w:rPr>
        <w:br/>
      </w:r>
      <w:r>
        <w:rPr>
          <w:lang w:val="fr-CH" w:eastAsia="zh-CN"/>
        </w:rPr>
        <w:t xml:space="preserve">inclinée de 0,1°, avec un décalage de position orbitale de </w:t>
      </w:r>
      <w:r w:rsidRPr="009C7235">
        <w:rPr>
          <w:lang w:val="fr-CH" w:eastAsia="zh-CN"/>
        </w:rPr>
        <w:t>–</w:t>
      </w:r>
      <w:r>
        <w:rPr>
          <w:lang w:val="fr-CH" w:eastAsia="zh-CN"/>
        </w:rPr>
        <w:t>0,1° dans le plan d'élévation</w:t>
      </w:r>
      <w:r>
        <w:rPr>
          <w:lang w:val="fr-CH" w:eastAsia="zh-CN"/>
        </w:rPr>
        <w:br/>
        <w:t>et une station du service fixe située à 45° de latitude nord</w:t>
      </w:r>
    </w:p>
    <w:p w:rsidR="00CE4097" w:rsidRDefault="009C7235" w:rsidP="009C7235">
      <w:pPr>
        <w:pStyle w:val="FigureNo"/>
        <w:keepNext w:val="0"/>
        <w:keepLines w:val="0"/>
      </w:pPr>
      <w:r>
        <w:rPr>
          <w:lang w:val="en-US" w:eastAsia="zh-CN"/>
        </w:rPr>
        <w:object w:dxaOrig="5031" w:dyaOrig="4806">
          <v:shape id="_x0000_i1079" type="#_x0000_t75" style="width:419.55pt;height:400.6pt" o:ole="">
            <v:imagedata r:id="rId64" o:title=""/>
          </v:shape>
          <o:OLEObject Type="Embed" ProgID="CorelDRAW.Graphic.14" ShapeID="_x0000_i1079" DrawAspect="Content" ObjectID="_1470033713" r:id="rId65"/>
        </w:object>
      </w:r>
    </w:p>
    <w:p w:rsidR="00CE4097" w:rsidRDefault="00CE4097" w:rsidP="00CE4097">
      <w:pPr>
        <w:pStyle w:val="Heading1"/>
      </w:pPr>
      <w:bookmarkStart w:id="28" w:name="_Toc392920264"/>
      <w:bookmarkEnd w:id="27"/>
      <w:r>
        <w:lastRenderedPageBreak/>
        <w:t>6</w:t>
      </w:r>
      <w:r>
        <w:tab/>
        <w:t>Résumé et conclusions</w:t>
      </w:r>
      <w:bookmarkEnd w:id="28"/>
    </w:p>
    <w:p w:rsidR="00CE4097" w:rsidRDefault="00CE4097" w:rsidP="00CE4097">
      <w:r>
        <w:t>Dans les vastes configurations typiques des systèmes point à point du service fixe exploités dans la bande des 26 GHz, le choix des emplacements et des configurations, qui permet de réduire les brouillages dans le service en exploitant le phénomène d'affaiblissement de diffraction, présente une grande importance. L'exploitation de ce phénomène permet également de réduire les brouillages potentiels entre services, par exemple les brouillages causés par des stations d'émission point à point du service fixe qui rayonnent vers un récepteur de SRD géostationnaire poursuivant lui</w:t>
      </w:r>
      <w:r>
        <w:noBreakHyphen/>
        <w:t>même un satellite en orbite terrestre basse. Si la configuration statique de brouillage dans un même service se prête aisément à la simple analyse exposée dans la Recommandation UIT</w:t>
      </w:r>
      <w:r>
        <w:noBreakHyphen/>
        <w:t>R P.526, les brouillages entre services posent un problème beaucoup plus complexe.</w:t>
      </w:r>
    </w:p>
    <w:p w:rsidR="00CE4097" w:rsidRDefault="00CE4097" w:rsidP="00CE4097">
      <w:r>
        <w:t>L'analyse simplifiée qui précède avait donc pour objet de faire comprendre l'importance de l'occultation de zones de Fresnel, phénomène qui pourrait permettre d'assouplir les limites de densité spectrale de p.i.r.e. applicables aux émissions des stations point à point du service fixe rayonnées vers les positions orbitales des SRD. Cette analyse nous a permis d'illustrer les variations diurnes de l'affaiblissement de diffraction, qui dépendent de la position nominale du SRD considéré, selon le trajet direct entre l'antenne d'émission du service fixe et l'antenne de réception. Dans les exemples considérés, la valeur nominale peut correspondre à la valeur en espace libre ou avoir un niveau pouvant être de 16,5 dB inférieur à l'espace libre. On constate donc que le niveau admissible de p.i.r.e. dans le cas de stations du service fixe présentant l'occultation de zones de Fresnel devrait être déterminé au coup par coup, selon l'emplacement, compte tenu donc de la configuration géographique et géométrique du trajet entre la station du service fixe et le SRD.</w:t>
      </w:r>
    </w:p>
    <w:p w:rsidR="00CE4097" w:rsidRDefault="00CE4097" w:rsidP="00CE4097">
      <w:r>
        <w:t xml:space="preserve">On notera que lorsque la station placée sur l'orbite des SRD se trouve dans le faisceau principal de l'antenne d'émission de la station point à point du service fixe tout en étant occultée par un bâtiment ou un autre élément de topographie, une autre partie de l'arc d'orbite géostationnaire est généralement visible sans aucune obstruction dans le faisceau principal de l'antenne du service fixe, de sorte que la station point à point du service fixe est toujours visée par les dispositions du </w:t>
      </w:r>
      <w:r>
        <w:rPr>
          <w:i/>
        </w:rPr>
        <w:t>recommande</w:t>
      </w:r>
      <w:r>
        <w:t xml:space="preserve"> 3.</w:t>
      </w:r>
    </w:p>
    <w:p w:rsidR="00CE4097" w:rsidRDefault="00CE4097" w:rsidP="00CE4097"/>
    <w:p w:rsidR="00AB1B4A" w:rsidRDefault="00AB1B4A" w:rsidP="00CE4097"/>
    <w:p w:rsidR="00AB1B4A" w:rsidRDefault="00AB1B4A" w:rsidP="00CE4097"/>
    <w:p w:rsidR="00934ED7" w:rsidRPr="00756B4D" w:rsidRDefault="00CE4097" w:rsidP="00CE4097">
      <w:pPr>
        <w:pStyle w:val="RecNo"/>
        <w:spacing w:before="0"/>
      </w:pPr>
      <w:r>
        <w:t>______________</w:t>
      </w:r>
    </w:p>
    <w:sectPr w:rsidR="00934ED7" w:rsidRPr="00756B4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0F1" w:rsidRDefault="008E70F1">
      <w:r>
        <w:separator/>
      </w:r>
    </w:p>
  </w:endnote>
  <w:endnote w:type="continuationSeparator" w:id="0">
    <w:p w:rsidR="008E70F1" w:rsidRDefault="008E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0F1" w:rsidRDefault="008E70F1">
      <w:r>
        <w:separator/>
      </w:r>
    </w:p>
  </w:footnote>
  <w:footnote w:type="continuationSeparator" w:id="0">
    <w:p w:rsidR="008E70F1" w:rsidRDefault="008E70F1">
      <w:r>
        <w:continuationSeparator/>
      </w:r>
    </w:p>
  </w:footnote>
  <w:footnote w:id="1">
    <w:p w:rsidR="008E70F1" w:rsidRPr="00FF620A" w:rsidRDefault="008E70F1">
      <w:pPr>
        <w:pStyle w:val="FootnoteText"/>
        <w:rPr>
          <w:szCs w:val="22"/>
          <w:lang w:val="fr-CH"/>
        </w:rPr>
      </w:pPr>
      <w:r>
        <w:rPr>
          <w:rStyle w:val="FootnoteReference"/>
        </w:rPr>
        <w:t>*</w:t>
      </w:r>
      <w:r>
        <w:t xml:space="preserve"> </w:t>
      </w:r>
      <w:r>
        <w:rPr>
          <w:lang w:val="fr-CH"/>
        </w:rPr>
        <w:tab/>
      </w:r>
      <w:r w:rsidRPr="00FF620A">
        <w:rPr>
          <w:szCs w:val="22"/>
        </w:rPr>
        <w:t>Cette Recommandation ayant été élaborée conjointement par la Commission d'études 7 et l'ancienne Commission d'études 9 des radiocommunications, toute révision ultérieure devra être faite conjointement par les Commissions d'études 5 et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F1" w:rsidRDefault="008E70F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F1" w:rsidRDefault="008E70F1" w:rsidP="00C668C8">
    <w:pPr>
      <w:pStyle w:val="Header"/>
      <w:ind w:right="360" w:firstLine="360"/>
    </w:pPr>
    <w:r>
      <w:rPr>
        <w:noProof/>
        <w:lang w:val="en-US"/>
      </w:rPr>
      <w:drawing>
        <wp:anchor distT="0" distB="0" distL="114300" distR="114300" simplePos="0" relativeHeight="251657728" behindDoc="1" locked="0" layoutInCell="1" allowOverlap="1" wp14:anchorId="671AA9A0" wp14:editId="04EA42D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F1" w:rsidRPr="00837CB5" w:rsidRDefault="008E70F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3401D">
      <w:rPr>
        <w:rStyle w:val="PageNumber"/>
        <w:b/>
        <w:bCs/>
        <w:noProof/>
      </w:rPr>
      <w:t>4</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3401D">
      <w:rPr>
        <w:b/>
        <w:bCs/>
        <w:noProof/>
      </w:rPr>
      <w:t>UIT-R  F.1249-3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F1" w:rsidRDefault="008E70F1">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3401D">
      <w:rPr>
        <w:b/>
        <w:bCs/>
        <w:noProof/>
      </w:rPr>
      <w:t>UIT-R  F.1249-3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401D">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F52"/>
    <w:multiLevelType w:val="hybridMultilevel"/>
    <w:tmpl w:val="E1E24732"/>
    <w:lvl w:ilvl="0" w:tplc="FAE6E5F8">
      <w:numFmt w:val="bullet"/>
      <w:lvlText w:val="–"/>
      <w:lvlJc w:val="left"/>
      <w:pPr>
        <w:ind w:left="1190" w:hanging="396"/>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D586F1D"/>
    <w:multiLevelType w:val="hybridMultilevel"/>
    <w:tmpl w:val="EA1A920E"/>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
    <w:nsid w:val="56803002"/>
    <w:multiLevelType w:val="hybridMultilevel"/>
    <w:tmpl w:val="E29630BA"/>
    <w:lvl w:ilvl="0" w:tplc="040C0001">
      <w:start w:val="1"/>
      <w:numFmt w:val="bullet"/>
      <w:lvlText w:val=""/>
      <w:lvlJc w:val="left"/>
      <w:pPr>
        <w:ind w:left="1154" w:hanging="360"/>
      </w:pPr>
      <w:rPr>
        <w:rFonts w:ascii="Symbol" w:hAnsi="Symbol"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4">
    <w:nsid w:val="63F16C6A"/>
    <w:multiLevelType w:val="hybridMultilevel"/>
    <w:tmpl w:val="BD7E3F0A"/>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5">
    <w:nsid w:val="719C3198"/>
    <w:multiLevelType w:val="hybridMultilevel"/>
    <w:tmpl w:val="75244FC4"/>
    <w:lvl w:ilvl="0" w:tplc="E8B02B8E">
      <w:numFmt w:val="bullet"/>
      <w:lvlText w:val="–"/>
      <w:lvlJc w:val="left"/>
      <w:pPr>
        <w:ind w:left="1154" w:hanging="360"/>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7ACC"/>
    <w:rsid w:val="00096612"/>
    <w:rsid w:val="000A0A78"/>
    <w:rsid w:val="000B7683"/>
    <w:rsid w:val="00102934"/>
    <w:rsid w:val="0011442E"/>
    <w:rsid w:val="00123FD5"/>
    <w:rsid w:val="00125B6D"/>
    <w:rsid w:val="00126AF2"/>
    <w:rsid w:val="00127062"/>
    <w:rsid w:val="00147110"/>
    <w:rsid w:val="001A27FE"/>
    <w:rsid w:val="00202D10"/>
    <w:rsid w:val="002058CE"/>
    <w:rsid w:val="002165F1"/>
    <w:rsid w:val="00227626"/>
    <w:rsid w:val="00276D21"/>
    <w:rsid w:val="00296D7F"/>
    <w:rsid w:val="002A7418"/>
    <w:rsid w:val="002B3CF6"/>
    <w:rsid w:val="002C768A"/>
    <w:rsid w:val="002D76C4"/>
    <w:rsid w:val="00363367"/>
    <w:rsid w:val="0039546C"/>
    <w:rsid w:val="003D3531"/>
    <w:rsid w:val="00420DFD"/>
    <w:rsid w:val="00447A50"/>
    <w:rsid w:val="00470E28"/>
    <w:rsid w:val="004934C5"/>
    <w:rsid w:val="00497946"/>
    <w:rsid w:val="004A4D65"/>
    <w:rsid w:val="00517CE1"/>
    <w:rsid w:val="00536FF2"/>
    <w:rsid w:val="00537E6B"/>
    <w:rsid w:val="00556548"/>
    <w:rsid w:val="00567DC0"/>
    <w:rsid w:val="00586EF8"/>
    <w:rsid w:val="00587096"/>
    <w:rsid w:val="00592F9F"/>
    <w:rsid w:val="00593B96"/>
    <w:rsid w:val="005B49AB"/>
    <w:rsid w:val="005B50E7"/>
    <w:rsid w:val="005B65B9"/>
    <w:rsid w:val="005E427C"/>
    <w:rsid w:val="005E6DCC"/>
    <w:rsid w:val="005E7B4F"/>
    <w:rsid w:val="0060611D"/>
    <w:rsid w:val="00607D68"/>
    <w:rsid w:val="006149B1"/>
    <w:rsid w:val="00614CC6"/>
    <w:rsid w:val="00616F47"/>
    <w:rsid w:val="00647E80"/>
    <w:rsid w:val="00680D2B"/>
    <w:rsid w:val="00681B32"/>
    <w:rsid w:val="006A2F21"/>
    <w:rsid w:val="006C7827"/>
    <w:rsid w:val="006E2037"/>
    <w:rsid w:val="006F154D"/>
    <w:rsid w:val="00712870"/>
    <w:rsid w:val="007314FF"/>
    <w:rsid w:val="00731BD8"/>
    <w:rsid w:val="00737C6B"/>
    <w:rsid w:val="00743D85"/>
    <w:rsid w:val="00753CF4"/>
    <w:rsid w:val="007565CC"/>
    <w:rsid w:val="00756B4D"/>
    <w:rsid w:val="00763B9A"/>
    <w:rsid w:val="00776E56"/>
    <w:rsid w:val="007A308E"/>
    <w:rsid w:val="007A6AA8"/>
    <w:rsid w:val="00802039"/>
    <w:rsid w:val="008310C9"/>
    <w:rsid w:val="00837CB5"/>
    <w:rsid w:val="00872472"/>
    <w:rsid w:val="008C7848"/>
    <w:rsid w:val="008E70F1"/>
    <w:rsid w:val="00917AF2"/>
    <w:rsid w:val="0092418A"/>
    <w:rsid w:val="00934ED7"/>
    <w:rsid w:val="009454F8"/>
    <w:rsid w:val="009543C3"/>
    <w:rsid w:val="00966E1B"/>
    <w:rsid w:val="009B5551"/>
    <w:rsid w:val="009C7235"/>
    <w:rsid w:val="009F2D2C"/>
    <w:rsid w:val="00A443C2"/>
    <w:rsid w:val="00A52DB0"/>
    <w:rsid w:val="00A6617B"/>
    <w:rsid w:val="00A71FE5"/>
    <w:rsid w:val="00A76AF8"/>
    <w:rsid w:val="00AA3AD8"/>
    <w:rsid w:val="00AB0DC8"/>
    <w:rsid w:val="00AB1B4A"/>
    <w:rsid w:val="00AB52D1"/>
    <w:rsid w:val="00AD267B"/>
    <w:rsid w:val="00B033C8"/>
    <w:rsid w:val="00B21066"/>
    <w:rsid w:val="00B33425"/>
    <w:rsid w:val="00B44E24"/>
    <w:rsid w:val="00B54ECC"/>
    <w:rsid w:val="00B714F3"/>
    <w:rsid w:val="00BC0651"/>
    <w:rsid w:val="00BC27F9"/>
    <w:rsid w:val="00BC5D77"/>
    <w:rsid w:val="00BF487A"/>
    <w:rsid w:val="00C362C3"/>
    <w:rsid w:val="00C46BD9"/>
    <w:rsid w:val="00C55258"/>
    <w:rsid w:val="00C668C8"/>
    <w:rsid w:val="00C71069"/>
    <w:rsid w:val="00C73560"/>
    <w:rsid w:val="00CB0F14"/>
    <w:rsid w:val="00CD659B"/>
    <w:rsid w:val="00CD7DC8"/>
    <w:rsid w:val="00CE2391"/>
    <w:rsid w:val="00CE2E0A"/>
    <w:rsid w:val="00CE4097"/>
    <w:rsid w:val="00D017C0"/>
    <w:rsid w:val="00D217AE"/>
    <w:rsid w:val="00D31EB8"/>
    <w:rsid w:val="00D3401D"/>
    <w:rsid w:val="00D526D3"/>
    <w:rsid w:val="00D70C4E"/>
    <w:rsid w:val="00DE68C0"/>
    <w:rsid w:val="00DF4176"/>
    <w:rsid w:val="00DF693C"/>
    <w:rsid w:val="00E02402"/>
    <w:rsid w:val="00E17240"/>
    <w:rsid w:val="00E44C45"/>
    <w:rsid w:val="00E44CBB"/>
    <w:rsid w:val="00E73AFE"/>
    <w:rsid w:val="00E80F1D"/>
    <w:rsid w:val="00EA6E8E"/>
    <w:rsid w:val="00EE57AA"/>
    <w:rsid w:val="00F30C9B"/>
    <w:rsid w:val="00F316C4"/>
    <w:rsid w:val="00F336CC"/>
    <w:rsid w:val="00F354B1"/>
    <w:rsid w:val="00F50711"/>
    <w:rsid w:val="00F54FBD"/>
    <w:rsid w:val="00F724A3"/>
    <w:rsid w:val="00FB0E4E"/>
    <w:rsid w:val="00FE79FE"/>
    <w:rsid w:val="00FF5D66"/>
    <w:rsid w:val="00FF6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D2E02B22-8193-442E-B376-28348900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6FF2"/>
    <w:pPr>
      <w:keepNext/>
      <w:keepLines/>
      <w:spacing w:before="480"/>
      <w:ind w:left="794" w:hanging="794"/>
      <w:outlineLvl w:val="0"/>
    </w:pPr>
    <w:rPr>
      <w:b/>
    </w:rPr>
  </w:style>
  <w:style w:type="paragraph" w:styleId="Heading2">
    <w:name w:val="heading 2"/>
    <w:basedOn w:val="Heading1"/>
    <w:next w:val="Normal"/>
    <w:link w:val="Heading2Char"/>
    <w:qFormat/>
    <w:rsid w:val="00536FF2"/>
    <w:pPr>
      <w:spacing w:before="320"/>
      <w:outlineLvl w:val="1"/>
    </w:pPr>
  </w:style>
  <w:style w:type="paragraph" w:styleId="Heading3">
    <w:name w:val="heading 3"/>
    <w:basedOn w:val="Heading1"/>
    <w:next w:val="Normal"/>
    <w:link w:val="Heading3Char"/>
    <w:qFormat/>
    <w:rsid w:val="00536FF2"/>
    <w:pPr>
      <w:spacing w:before="200"/>
      <w:outlineLvl w:val="2"/>
    </w:pPr>
  </w:style>
  <w:style w:type="paragraph" w:styleId="Heading4">
    <w:name w:val="heading 4"/>
    <w:basedOn w:val="Heading3"/>
    <w:next w:val="Normal"/>
    <w:link w:val="Heading4Char"/>
    <w:qFormat/>
    <w:rsid w:val="00536FF2"/>
    <w:pPr>
      <w:tabs>
        <w:tab w:val="clear" w:pos="794"/>
        <w:tab w:val="left" w:pos="992"/>
      </w:tabs>
      <w:ind w:left="992" w:hanging="992"/>
      <w:outlineLvl w:val="3"/>
    </w:pPr>
  </w:style>
  <w:style w:type="paragraph" w:styleId="Heading5">
    <w:name w:val="heading 5"/>
    <w:basedOn w:val="Heading4"/>
    <w:next w:val="Normal"/>
    <w:link w:val="Heading5Char"/>
    <w:qFormat/>
    <w:rsid w:val="00536FF2"/>
    <w:pPr>
      <w:outlineLvl w:val="4"/>
    </w:pPr>
  </w:style>
  <w:style w:type="paragraph" w:styleId="Heading6">
    <w:name w:val="heading 6"/>
    <w:basedOn w:val="Heading4"/>
    <w:next w:val="Normal"/>
    <w:link w:val="Heading6Char"/>
    <w:qFormat/>
    <w:rsid w:val="00536FF2"/>
    <w:pPr>
      <w:tabs>
        <w:tab w:val="clear" w:pos="992"/>
        <w:tab w:val="clear" w:pos="1191"/>
      </w:tabs>
      <w:ind w:left="1588" w:hanging="1588"/>
      <w:outlineLvl w:val="5"/>
    </w:pPr>
  </w:style>
  <w:style w:type="paragraph" w:styleId="Heading7">
    <w:name w:val="heading 7"/>
    <w:basedOn w:val="Heading6"/>
    <w:next w:val="Normal"/>
    <w:link w:val="Heading7Char"/>
    <w:qFormat/>
    <w:rsid w:val="00536FF2"/>
    <w:pPr>
      <w:outlineLvl w:val="6"/>
    </w:pPr>
  </w:style>
  <w:style w:type="paragraph" w:styleId="Heading8">
    <w:name w:val="heading 8"/>
    <w:basedOn w:val="Heading6"/>
    <w:next w:val="Normal"/>
    <w:link w:val="Heading8Char"/>
    <w:qFormat/>
    <w:rsid w:val="00536FF2"/>
    <w:pPr>
      <w:outlineLvl w:val="7"/>
    </w:pPr>
  </w:style>
  <w:style w:type="paragraph" w:styleId="Heading9">
    <w:name w:val="heading 9"/>
    <w:basedOn w:val="Heading6"/>
    <w:next w:val="Normal"/>
    <w:link w:val="Heading9Char"/>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Normal"/>
    <w:next w:val="Normalaftertitle"/>
    <w:rsid w:val="00536FF2"/>
    <w:pPr>
      <w:keepNext/>
      <w:keepLines/>
      <w:spacing w:before="480" w:after="80"/>
      <w:jc w:val="center"/>
    </w:pPr>
    <w:rPr>
      <w:b/>
      <w:sz w:val="28"/>
    </w:rPr>
  </w:style>
  <w:style w:type="paragraph" w:customStyle="1" w:styleId="Normalaftertitle">
    <w:name w:val="Normal_after_title"/>
    <w:basedOn w:val="Normal"/>
    <w:next w:val="Normal"/>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semiHidden/>
    <w:rsid w:val="00536FF2"/>
    <w:rPr>
      <w:position w:val="6"/>
      <w:sz w:val="18"/>
    </w:rPr>
  </w:style>
  <w:style w:type="paragraph" w:styleId="FootnoteText">
    <w:name w:val="footnote text"/>
    <w:basedOn w:val="Normal"/>
    <w:link w:val="FootnoteTextChar"/>
    <w:semiHidden/>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36FF2"/>
    <w:pPr>
      <w:ind w:left="-85" w:firstLine="0"/>
    </w:pPr>
    <w:rPr>
      <w:lang w:val="en-US"/>
    </w:rPr>
  </w:style>
  <w:style w:type="character" w:customStyle="1" w:styleId="Heading1Char">
    <w:name w:val="Heading 1 Char"/>
    <w:basedOn w:val="DefaultParagraphFont"/>
    <w:link w:val="Heading1"/>
    <w:rsid w:val="00CE4097"/>
    <w:rPr>
      <w:b/>
      <w:sz w:val="24"/>
      <w:lang w:val="fr-FR" w:eastAsia="en-US"/>
    </w:rPr>
  </w:style>
  <w:style w:type="character" w:customStyle="1" w:styleId="Heading2Char">
    <w:name w:val="Heading 2 Char"/>
    <w:basedOn w:val="DefaultParagraphFont"/>
    <w:link w:val="Heading2"/>
    <w:rsid w:val="00CE4097"/>
    <w:rPr>
      <w:b/>
      <w:sz w:val="24"/>
      <w:lang w:val="fr-FR" w:eastAsia="en-US"/>
    </w:rPr>
  </w:style>
  <w:style w:type="character" w:customStyle="1" w:styleId="Heading3Char">
    <w:name w:val="Heading 3 Char"/>
    <w:basedOn w:val="DefaultParagraphFont"/>
    <w:link w:val="Heading3"/>
    <w:rsid w:val="00CE4097"/>
    <w:rPr>
      <w:b/>
      <w:sz w:val="24"/>
      <w:lang w:val="fr-FR" w:eastAsia="en-US"/>
    </w:rPr>
  </w:style>
  <w:style w:type="character" w:customStyle="1" w:styleId="Heading4Char">
    <w:name w:val="Heading 4 Char"/>
    <w:basedOn w:val="DefaultParagraphFont"/>
    <w:link w:val="Heading4"/>
    <w:rsid w:val="00CE4097"/>
    <w:rPr>
      <w:b/>
      <w:sz w:val="24"/>
      <w:lang w:val="fr-FR" w:eastAsia="en-US"/>
    </w:rPr>
  </w:style>
  <w:style w:type="character" w:customStyle="1" w:styleId="Heading5Char">
    <w:name w:val="Heading 5 Char"/>
    <w:basedOn w:val="DefaultParagraphFont"/>
    <w:link w:val="Heading5"/>
    <w:rsid w:val="00CE4097"/>
    <w:rPr>
      <w:b/>
      <w:sz w:val="24"/>
      <w:lang w:val="fr-FR" w:eastAsia="en-US"/>
    </w:rPr>
  </w:style>
  <w:style w:type="character" w:customStyle="1" w:styleId="Heading6Char">
    <w:name w:val="Heading 6 Char"/>
    <w:basedOn w:val="DefaultParagraphFont"/>
    <w:link w:val="Heading6"/>
    <w:rsid w:val="00CE4097"/>
    <w:rPr>
      <w:b/>
      <w:sz w:val="24"/>
      <w:lang w:val="fr-FR" w:eastAsia="en-US"/>
    </w:rPr>
  </w:style>
  <w:style w:type="character" w:customStyle="1" w:styleId="Heading7Char">
    <w:name w:val="Heading 7 Char"/>
    <w:basedOn w:val="DefaultParagraphFont"/>
    <w:link w:val="Heading7"/>
    <w:rsid w:val="00CE4097"/>
    <w:rPr>
      <w:b/>
      <w:sz w:val="24"/>
      <w:lang w:val="fr-FR" w:eastAsia="en-US"/>
    </w:rPr>
  </w:style>
  <w:style w:type="character" w:customStyle="1" w:styleId="Heading8Char">
    <w:name w:val="Heading 8 Char"/>
    <w:basedOn w:val="DefaultParagraphFont"/>
    <w:link w:val="Heading8"/>
    <w:rsid w:val="00CE4097"/>
    <w:rPr>
      <w:b/>
      <w:sz w:val="24"/>
      <w:lang w:val="fr-FR" w:eastAsia="en-US"/>
    </w:rPr>
  </w:style>
  <w:style w:type="character" w:customStyle="1" w:styleId="Heading9Char">
    <w:name w:val="Heading 9 Char"/>
    <w:basedOn w:val="DefaultParagraphFont"/>
    <w:link w:val="Heading9"/>
    <w:rsid w:val="00CE4097"/>
    <w:rPr>
      <w:b/>
      <w:sz w:val="24"/>
      <w:lang w:val="fr-FR" w:eastAsia="en-US"/>
    </w:rPr>
  </w:style>
  <w:style w:type="character" w:customStyle="1" w:styleId="FootnoteTextChar">
    <w:name w:val="Footnote Text Char"/>
    <w:basedOn w:val="DefaultParagraphFont"/>
    <w:link w:val="FootnoteText"/>
    <w:semiHidden/>
    <w:rsid w:val="00CE4097"/>
    <w:rPr>
      <w:sz w:val="22"/>
      <w:lang w:val="fr-FR" w:eastAsia="en-US"/>
    </w:rPr>
  </w:style>
  <w:style w:type="character" w:customStyle="1" w:styleId="RectitleChar">
    <w:name w:val="Rec_title Char"/>
    <w:basedOn w:val="DefaultParagraphFont"/>
    <w:link w:val="Rectitle"/>
    <w:rsid w:val="00CE4097"/>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7.wmf"/><Relationship Id="rId55" Type="http://schemas.openxmlformats.org/officeDocument/2006/relationships/oleObject" Target="embeddings/oleObject24.bin"/><Relationship Id="rId63" Type="http://schemas.openxmlformats.org/officeDocument/2006/relationships/oleObject" Target="embeddings/oleObject2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3.wmf"/><Relationship Id="rId45"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image" Target="media/image21.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image" Target="media/image11.wmf"/><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image" Target="media/image9.wmf"/><Relationship Id="rId44" Type="http://schemas.openxmlformats.org/officeDocument/2006/relationships/oleObject" Target="embeddings/oleObject18.bin"/><Relationship Id="rId52" Type="http://schemas.openxmlformats.org/officeDocument/2006/relationships/image" Target="media/image18.emf"/><Relationship Id="rId60" Type="http://schemas.openxmlformats.org/officeDocument/2006/relationships/image" Target="media/image22.wmf"/><Relationship Id="rId65"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image" Target="media/image24.emf"/><Relationship Id="rId8" Type="http://schemas.openxmlformats.org/officeDocument/2006/relationships/header" Target="header1.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19.wmf"/><Relationship Id="rId62"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5B3EF-347E-4EA4-8F0A-44C5FD7F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TotalTime>
  <Pages>29</Pages>
  <Words>9412</Words>
  <Characters>53652</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62939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1.11.07      SP_x000d_
corr. editeur: 14.2.08/KJ_x000d_
REV - 18-02-08 - HB</dc:description>
  <cp:lastModifiedBy>Gachet, Christelle</cp:lastModifiedBy>
  <cp:revision>24</cp:revision>
  <cp:lastPrinted>2009-07-01T12:03:00Z</cp:lastPrinted>
  <dcterms:created xsi:type="dcterms:W3CDTF">2014-07-09T13:23:00Z</dcterms:created>
  <dcterms:modified xsi:type="dcterms:W3CDTF">2014-08-20T07:50:00Z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