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EF6" w:rsidRPr="00575CB8" w:rsidRDefault="004D2EF6" w:rsidP="00EE6B15">
      <w:pPr>
        <w:rPr>
          <w:lang w:val="en-US"/>
        </w:rPr>
      </w:pPr>
      <w:bookmarkStart w:id="0" w:name="dbreak"/>
      <w:bookmarkEnd w:id="0"/>
    </w:p>
    <w:p w:rsidR="004D2EF6" w:rsidRDefault="004D2EF6" w:rsidP="00EE6B15"/>
    <w:p w:rsidR="004D2EF6" w:rsidRDefault="004D2EF6" w:rsidP="00EE6B15"/>
    <w:p w:rsidR="004D2EF6" w:rsidRDefault="004D2EF6" w:rsidP="00EE6B15"/>
    <w:p w:rsidR="004D2EF6" w:rsidRDefault="004D2EF6" w:rsidP="00EE6B15"/>
    <w:p w:rsidR="004D2EF6" w:rsidRDefault="004D2EF6" w:rsidP="00EE6B15"/>
    <w:p w:rsidR="004D2EF6" w:rsidRDefault="004D2EF6" w:rsidP="00EE6B15"/>
    <w:p w:rsidR="004D2EF6" w:rsidRDefault="004D2EF6" w:rsidP="00EE6B15"/>
    <w:p w:rsidR="004D2EF6" w:rsidRDefault="004D2EF6" w:rsidP="00EE6B15"/>
    <w:p w:rsidR="004D2EF6" w:rsidRDefault="004D2EF6" w:rsidP="00EE6B15"/>
    <w:p w:rsidR="004D2EF6" w:rsidRDefault="004D2EF6" w:rsidP="00EE6B15"/>
    <w:p w:rsidR="004D2EF6" w:rsidRDefault="004D2EF6" w:rsidP="00EE6B1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D2EF6" w:rsidRPr="004D2EF6" w:rsidTr="00EE6B15">
        <w:tc>
          <w:tcPr>
            <w:tcW w:w="10089" w:type="dxa"/>
          </w:tcPr>
          <w:p w:rsidR="004D2EF6" w:rsidRPr="0010336F" w:rsidRDefault="004D2EF6" w:rsidP="00EE6B15">
            <w:pPr>
              <w:spacing w:before="380" w:line="280" w:lineRule="exact"/>
              <w:jc w:val="right"/>
              <w:rPr>
                <w:rFonts w:ascii="Tahoma" w:hAnsi="Tahoma" w:cs="Tahoma"/>
                <w:b/>
                <w:bCs/>
                <w:iCs/>
                <w:color w:val="243285"/>
                <w:sz w:val="32"/>
                <w:szCs w:val="32"/>
                <w:lang w:val="en-US"/>
              </w:rPr>
            </w:pPr>
          </w:p>
          <w:p w:rsidR="004D2EF6" w:rsidRPr="0010336F" w:rsidRDefault="004D2EF6" w:rsidP="00681EB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681EBE">
              <w:rPr>
                <w:rFonts w:ascii="Tahoma" w:hAnsi="Tahoma" w:cs="Tahoma"/>
                <w:b/>
                <w:bCs/>
                <w:iCs/>
                <w:color w:val="243285"/>
                <w:sz w:val="36"/>
                <w:szCs w:val="36"/>
                <w:lang w:val="es-ES_tradnl"/>
              </w:rPr>
              <w:t>1191-3</w:t>
            </w:r>
          </w:p>
          <w:p w:rsidR="004D2EF6" w:rsidRPr="0010336F" w:rsidRDefault="004D2EF6" w:rsidP="00681EB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81EBE">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681EBE">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4D2EF6" w:rsidRPr="00636B6A" w:rsidTr="00EE6B15">
        <w:tc>
          <w:tcPr>
            <w:tcW w:w="10089" w:type="dxa"/>
          </w:tcPr>
          <w:p w:rsidR="004D2EF6" w:rsidRPr="0010336F" w:rsidRDefault="004D2EF6" w:rsidP="00EE6B15">
            <w:pPr>
              <w:spacing w:before="80" w:line="500" w:lineRule="exact"/>
              <w:jc w:val="right"/>
              <w:rPr>
                <w:rFonts w:ascii="Tahoma" w:hAnsi="Tahoma" w:cs="Tahoma"/>
                <w:b/>
                <w:bCs/>
                <w:iCs/>
                <w:color w:val="243285"/>
                <w:sz w:val="44"/>
                <w:szCs w:val="44"/>
                <w:lang w:val="es-ES_tradnl"/>
              </w:rPr>
            </w:pPr>
          </w:p>
          <w:p w:rsidR="004D2EF6" w:rsidRDefault="00681EBE" w:rsidP="00B70D61">
            <w:pPr>
              <w:spacing w:before="80" w:line="500" w:lineRule="exact"/>
              <w:jc w:val="right"/>
              <w:rPr>
                <w:rFonts w:ascii="Tahoma" w:hAnsi="Tahoma" w:cs="Tahoma"/>
                <w:b/>
                <w:bCs/>
                <w:color w:val="243285"/>
                <w:sz w:val="44"/>
                <w:szCs w:val="44"/>
                <w:lang w:val="es-ES_tradnl"/>
              </w:rPr>
            </w:pPr>
            <w:r w:rsidRPr="00681EBE">
              <w:rPr>
                <w:rFonts w:ascii="Tahoma" w:hAnsi="Tahoma" w:cs="Tahoma"/>
                <w:b/>
                <w:bCs/>
                <w:color w:val="243285"/>
                <w:sz w:val="44"/>
                <w:szCs w:val="44"/>
                <w:lang w:val="es-ES_tradnl"/>
              </w:rPr>
              <w:t>Anchuras de banda necesarias y ocupadas</w:t>
            </w:r>
            <w:r w:rsidR="00B70D61">
              <w:rPr>
                <w:rFonts w:ascii="Tahoma" w:hAnsi="Tahoma" w:cs="Tahoma"/>
                <w:b/>
                <w:bCs/>
                <w:color w:val="243285"/>
                <w:sz w:val="44"/>
                <w:szCs w:val="44"/>
                <w:lang w:val="es-ES_tradnl"/>
              </w:rPr>
              <w:br/>
            </w:r>
            <w:r w:rsidRPr="00681EBE">
              <w:rPr>
                <w:rFonts w:ascii="Tahoma" w:hAnsi="Tahoma" w:cs="Tahoma"/>
                <w:b/>
                <w:bCs/>
                <w:color w:val="243285"/>
                <w:sz w:val="44"/>
                <w:szCs w:val="44"/>
                <w:lang w:val="es-ES_tradnl"/>
              </w:rPr>
              <w:t>y emisiones</w:t>
            </w:r>
            <w:r>
              <w:rPr>
                <w:rFonts w:ascii="Tahoma" w:hAnsi="Tahoma" w:cs="Tahoma"/>
                <w:b/>
                <w:bCs/>
                <w:color w:val="243285"/>
                <w:sz w:val="44"/>
                <w:szCs w:val="44"/>
                <w:lang w:val="es-ES_tradnl"/>
              </w:rPr>
              <w:t xml:space="preserve"> </w:t>
            </w:r>
            <w:r w:rsidRPr="00681EBE">
              <w:rPr>
                <w:rFonts w:ascii="Tahoma" w:hAnsi="Tahoma" w:cs="Tahoma"/>
                <w:b/>
                <w:bCs/>
                <w:color w:val="243285"/>
                <w:sz w:val="44"/>
                <w:szCs w:val="44"/>
                <w:lang w:val="es-ES_tradnl"/>
              </w:rPr>
              <w:t>no deseadas de los sistemas digitales del servicio fijo</w:t>
            </w:r>
            <w:r w:rsidRPr="0010336F">
              <w:rPr>
                <w:rFonts w:ascii="Tahoma" w:hAnsi="Tahoma" w:cs="Tahoma"/>
                <w:b/>
                <w:bCs/>
                <w:color w:val="243285"/>
                <w:sz w:val="44"/>
                <w:szCs w:val="44"/>
                <w:lang w:val="es-ES_tradnl"/>
              </w:rPr>
              <w:t xml:space="preserve"> </w:t>
            </w:r>
          </w:p>
          <w:p w:rsidR="004D2EF6" w:rsidRPr="0010336F" w:rsidRDefault="004D2EF6" w:rsidP="00EE6B15">
            <w:pPr>
              <w:spacing w:before="80" w:line="500" w:lineRule="exact"/>
              <w:jc w:val="right"/>
              <w:rPr>
                <w:rFonts w:ascii="Tahoma" w:hAnsi="Tahoma" w:cs="Tahoma"/>
                <w:b/>
                <w:bCs/>
                <w:iCs/>
                <w:color w:val="243285"/>
                <w:sz w:val="44"/>
                <w:szCs w:val="44"/>
                <w:lang w:val="es-ES_tradnl"/>
              </w:rPr>
            </w:pPr>
          </w:p>
        </w:tc>
      </w:tr>
      <w:tr w:rsidR="004D2EF6" w:rsidRPr="0026666F" w:rsidTr="00EE6B15">
        <w:tc>
          <w:tcPr>
            <w:tcW w:w="10089" w:type="dxa"/>
          </w:tcPr>
          <w:p w:rsidR="004D2EF6" w:rsidRPr="0010336F" w:rsidRDefault="004D2EF6" w:rsidP="00EE6B15">
            <w:pPr>
              <w:spacing w:before="80" w:line="280" w:lineRule="exact"/>
              <w:ind w:right="640"/>
              <w:rPr>
                <w:rFonts w:ascii="Tahoma" w:hAnsi="Tahoma" w:cs="Tahoma"/>
                <w:b/>
                <w:bCs/>
                <w:iCs/>
                <w:color w:val="243285"/>
                <w:sz w:val="32"/>
                <w:szCs w:val="32"/>
                <w:lang w:val="es-ES_tradnl"/>
              </w:rPr>
            </w:pPr>
          </w:p>
          <w:p w:rsidR="004D2EF6" w:rsidRPr="0010336F" w:rsidRDefault="004D2EF6" w:rsidP="00EE6B15">
            <w:pPr>
              <w:spacing w:before="80" w:line="280" w:lineRule="exact"/>
              <w:ind w:right="640"/>
              <w:rPr>
                <w:rFonts w:ascii="Tahoma" w:hAnsi="Tahoma" w:cs="Tahoma"/>
                <w:b/>
                <w:bCs/>
                <w:iCs/>
                <w:color w:val="243285"/>
                <w:sz w:val="32"/>
                <w:szCs w:val="32"/>
                <w:lang w:val="es-ES_tradnl"/>
              </w:rPr>
            </w:pPr>
          </w:p>
          <w:p w:rsidR="004D2EF6" w:rsidRPr="0010336F" w:rsidRDefault="004D2EF6" w:rsidP="00EE6B15">
            <w:pPr>
              <w:spacing w:before="80" w:after="180" w:line="360" w:lineRule="exact"/>
              <w:ind w:right="720"/>
              <w:rPr>
                <w:rFonts w:ascii="Tahoma" w:hAnsi="Tahoma" w:cs="Tahoma"/>
                <w:b/>
                <w:bCs/>
                <w:iCs/>
                <w:color w:val="243285"/>
                <w:sz w:val="36"/>
                <w:szCs w:val="36"/>
                <w:lang w:val="es-ES_tradnl"/>
              </w:rPr>
            </w:pPr>
          </w:p>
          <w:p w:rsidR="004D2EF6" w:rsidRPr="0010336F" w:rsidRDefault="004D2EF6" w:rsidP="00EE6B1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4D2EF6" w:rsidRPr="0010336F" w:rsidRDefault="004D2EF6" w:rsidP="00EE6B1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4D2EF6" w:rsidRPr="0026666F" w:rsidRDefault="004D2EF6" w:rsidP="00EE6B15">
      <w:pPr>
        <w:spacing w:before="80"/>
        <w:rPr>
          <w:i/>
          <w:sz w:val="22"/>
          <w:lang w:val="es-ES_tradnl"/>
        </w:rPr>
      </w:pPr>
    </w:p>
    <w:p w:rsidR="004D2EF6" w:rsidRPr="0026666F" w:rsidRDefault="004D2EF6" w:rsidP="00EE6B15">
      <w:pPr>
        <w:spacing w:before="80"/>
        <w:rPr>
          <w:i/>
          <w:sz w:val="22"/>
          <w:lang w:val="es-ES_tradnl"/>
        </w:rPr>
      </w:pPr>
    </w:p>
    <w:p w:rsidR="004D2EF6" w:rsidRPr="0026666F" w:rsidRDefault="004D2EF6" w:rsidP="00EE6B15">
      <w:pPr>
        <w:spacing w:before="80"/>
        <w:rPr>
          <w:i/>
          <w:sz w:val="22"/>
          <w:lang w:val="es-ES_tradnl"/>
        </w:rPr>
      </w:pPr>
    </w:p>
    <w:p w:rsidR="004D2EF6" w:rsidRPr="0026666F" w:rsidRDefault="004D2EF6" w:rsidP="00EE6B15">
      <w:pPr>
        <w:spacing w:before="80"/>
        <w:rPr>
          <w:i/>
          <w:sz w:val="22"/>
          <w:lang w:val="es-ES_tradnl"/>
        </w:rPr>
      </w:pPr>
    </w:p>
    <w:p w:rsidR="004D2EF6" w:rsidRPr="0026666F" w:rsidRDefault="004D2EF6" w:rsidP="00EE6B15">
      <w:pPr>
        <w:spacing w:before="80"/>
        <w:rPr>
          <w:i/>
          <w:sz w:val="22"/>
          <w:lang w:val="es-ES_tradnl"/>
        </w:rPr>
      </w:pPr>
    </w:p>
    <w:p w:rsidR="004D2EF6" w:rsidRPr="0026666F" w:rsidRDefault="004D2EF6" w:rsidP="00EE6B15">
      <w:pPr>
        <w:spacing w:before="80"/>
        <w:rPr>
          <w:i/>
          <w:sz w:val="22"/>
          <w:lang w:val="es-ES_tradnl"/>
        </w:rPr>
      </w:pPr>
    </w:p>
    <w:p w:rsidR="004D2EF6" w:rsidRPr="0026666F" w:rsidRDefault="004D2EF6" w:rsidP="00EE6B15">
      <w:pPr>
        <w:pStyle w:val="Equation"/>
        <w:tabs>
          <w:tab w:val="clear" w:pos="4820"/>
          <w:tab w:val="clear" w:pos="9639"/>
          <w:tab w:val="left" w:pos="1191"/>
          <w:tab w:val="left" w:pos="1588"/>
          <w:tab w:val="left" w:pos="1985"/>
        </w:tabs>
        <w:rPr>
          <w:rFonts w:ascii="Palatino Linotype" w:hAnsi="Palatino Linotype"/>
          <w:lang w:val="es-ES_tradnl"/>
        </w:rPr>
        <w:sectPr w:rsidR="004D2EF6" w:rsidRPr="0026666F" w:rsidSect="00EE6B15">
          <w:headerReference w:type="even" r:id="rId7"/>
          <w:headerReference w:type="default" r:id="rId8"/>
          <w:pgSz w:w="11907" w:h="16834" w:code="9"/>
          <w:pgMar w:top="1418" w:right="1134" w:bottom="1134" w:left="1134" w:header="720" w:footer="482" w:gutter="0"/>
          <w:paperSrc w:first="15" w:other="15"/>
          <w:cols w:space="720"/>
        </w:sectPr>
      </w:pPr>
    </w:p>
    <w:p w:rsidR="004D2EF6" w:rsidRPr="006C718C" w:rsidRDefault="004D2EF6" w:rsidP="00503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4D2EF6" w:rsidRPr="006C718C" w:rsidRDefault="004D2EF6" w:rsidP="00EE6B1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D2EF6" w:rsidRPr="006C718C" w:rsidRDefault="004D2EF6" w:rsidP="00EE6B1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D2EF6" w:rsidRPr="00021E8A" w:rsidRDefault="004D2EF6" w:rsidP="00EE6B1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D2EF6" w:rsidRPr="00021E8A" w:rsidRDefault="004D2EF6" w:rsidP="00EE6B1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D2EF6" w:rsidRPr="007C36CA" w:rsidRDefault="004D2EF6" w:rsidP="00EE6B15">
      <w:pPr>
        <w:spacing w:before="0"/>
        <w:jc w:val="center"/>
        <w:rPr>
          <w:sz w:val="22"/>
          <w:lang w:val="es-ES_tradnl"/>
        </w:rPr>
      </w:pPr>
    </w:p>
    <w:p w:rsidR="004D2EF6" w:rsidRPr="007C36CA" w:rsidRDefault="004D2EF6" w:rsidP="00EE6B1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D2EF6" w:rsidRPr="00636B6A" w:rsidTr="00EE6B15">
        <w:tc>
          <w:tcPr>
            <w:tcW w:w="9360" w:type="dxa"/>
            <w:gridSpan w:val="2"/>
          </w:tcPr>
          <w:p w:rsidR="004D2EF6" w:rsidRPr="00021E8A" w:rsidRDefault="004D2EF6" w:rsidP="00EE6B1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D2EF6" w:rsidRPr="00763D08" w:rsidRDefault="004D2EF6" w:rsidP="00EE6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D2EF6" w:rsidRPr="00036EE3" w:rsidTr="00EE6B15">
        <w:tc>
          <w:tcPr>
            <w:tcW w:w="1140" w:type="dxa"/>
            <w:tcBorders>
              <w:bottom w:val="nil"/>
            </w:tcBorders>
          </w:tcPr>
          <w:p w:rsidR="004D2EF6" w:rsidRPr="00036EE3" w:rsidRDefault="004D2EF6" w:rsidP="00EE6B15">
            <w:pPr>
              <w:spacing w:before="180" w:after="100"/>
              <w:ind w:left="57"/>
              <w:rPr>
                <w:b/>
                <w:bCs/>
                <w:sz w:val="20"/>
                <w:lang w:val="en-US"/>
              </w:rPr>
            </w:pPr>
            <w:r w:rsidRPr="00036EE3">
              <w:rPr>
                <w:b/>
                <w:bCs/>
                <w:sz w:val="20"/>
                <w:lang w:val="en-US"/>
              </w:rPr>
              <w:t>Series</w:t>
            </w:r>
          </w:p>
        </w:tc>
        <w:tc>
          <w:tcPr>
            <w:tcW w:w="8220" w:type="dxa"/>
            <w:tcBorders>
              <w:bottom w:val="nil"/>
            </w:tcBorders>
          </w:tcPr>
          <w:p w:rsidR="004D2EF6" w:rsidRPr="00036EE3" w:rsidRDefault="004D2EF6" w:rsidP="00EE6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D2EF6" w:rsidRPr="004532F7" w:rsidTr="00EE6B15">
        <w:tc>
          <w:tcPr>
            <w:tcW w:w="1140" w:type="dxa"/>
            <w:tcBorders>
              <w:top w:val="nil"/>
              <w:bottom w:val="nil"/>
            </w:tcBorders>
            <w:shd w:val="clear" w:color="auto" w:fill="auto"/>
          </w:tcPr>
          <w:p w:rsidR="004D2EF6" w:rsidRPr="004532F7" w:rsidRDefault="004D2EF6" w:rsidP="00EE6B1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D2EF6" w:rsidRPr="004532F7" w:rsidRDefault="004D2EF6" w:rsidP="00EE6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D2EF6" w:rsidRPr="00636B6A" w:rsidTr="00EE6B15">
        <w:tc>
          <w:tcPr>
            <w:tcW w:w="1140" w:type="dxa"/>
            <w:tcBorders>
              <w:top w:val="nil"/>
              <w:bottom w:val="nil"/>
            </w:tcBorders>
            <w:shd w:val="clear" w:color="auto" w:fill="auto"/>
          </w:tcPr>
          <w:p w:rsidR="004D2EF6" w:rsidRPr="006B22C3" w:rsidRDefault="004D2EF6" w:rsidP="00EE6B1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D2EF6" w:rsidRPr="006B22C3" w:rsidRDefault="004D2EF6" w:rsidP="00EE6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D2EF6" w:rsidRPr="00847DD5" w:rsidTr="00EE6B15">
        <w:tc>
          <w:tcPr>
            <w:tcW w:w="1140" w:type="dxa"/>
            <w:tcBorders>
              <w:top w:val="nil"/>
              <w:bottom w:val="nil"/>
            </w:tcBorders>
            <w:shd w:val="clear" w:color="auto" w:fill="auto"/>
          </w:tcPr>
          <w:p w:rsidR="004D2EF6" w:rsidRPr="00847DD5" w:rsidRDefault="004D2EF6" w:rsidP="00EE6B1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D2EF6" w:rsidRPr="00847DD5" w:rsidRDefault="004D2EF6" w:rsidP="00EE6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4D2EF6" w:rsidRPr="00ED2695" w:rsidTr="00EE6B15">
        <w:tc>
          <w:tcPr>
            <w:tcW w:w="1140" w:type="dxa"/>
            <w:tcBorders>
              <w:top w:val="nil"/>
              <w:bottom w:val="nil"/>
            </w:tcBorders>
            <w:shd w:val="clear" w:color="auto" w:fill="auto"/>
          </w:tcPr>
          <w:p w:rsidR="004D2EF6" w:rsidRPr="00ED2695" w:rsidRDefault="004D2EF6" w:rsidP="00EE6B1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D2EF6" w:rsidRPr="00021E8A" w:rsidRDefault="004D2EF6" w:rsidP="00EE6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D2EF6" w:rsidRPr="00847DD5" w:rsidTr="00EE6B15">
        <w:tc>
          <w:tcPr>
            <w:tcW w:w="1140" w:type="dxa"/>
            <w:tcBorders>
              <w:top w:val="nil"/>
              <w:bottom w:val="nil"/>
            </w:tcBorders>
            <w:shd w:val="clear" w:color="auto" w:fill="F3F3F3"/>
          </w:tcPr>
          <w:p w:rsidR="004D2EF6" w:rsidRPr="00847DD5" w:rsidRDefault="004D2EF6" w:rsidP="00EE6B15">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4D2EF6" w:rsidRPr="00847DD5" w:rsidRDefault="004D2EF6" w:rsidP="00EE6B1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4D2EF6" w:rsidRPr="00636B6A" w:rsidTr="00EE6B15">
        <w:tc>
          <w:tcPr>
            <w:tcW w:w="1140" w:type="dxa"/>
            <w:tcBorders>
              <w:top w:val="nil"/>
              <w:bottom w:val="nil"/>
            </w:tcBorders>
            <w:shd w:val="clear" w:color="auto" w:fill="auto"/>
          </w:tcPr>
          <w:p w:rsidR="004D2EF6" w:rsidRPr="00503F8C" w:rsidRDefault="004D2EF6" w:rsidP="00EE6B15">
            <w:pPr>
              <w:spacing w:before="30" w:after="30"/>
              <w:ind w:left="57"/>
              <w:jc w:val="left"/>
              <w:rPr>
                <w:rFonts w:hAnsi="Times New Roman Bold"/>
                <w:b/>
                <w:bCs/>
                <w:sz w:val="20"/>
                <w:lang w:val="en-US"/>
              </w:rPr>
            </w:pPr>
            <w:r w:rsidRPr="00503F8C">
              <w:rPr>
                <w:rFonts w:hAnsi="Times New Roman Bold"/>
                <w:b/>
                <w:bCs/>
                <w:sz w:val="20"/>
                <w:lang w:val="en-US"/>
              </w:rPr>
              <w:t>M</w:t>
            </w:r>
          </w:p>
        </w:tc>
        <w:tc>
          <w:tcPr>
            <w:tcW w:w="8220" w:type="dxa"/>
            <w:tcBorders>
              <w:top w:val="nil"/>
              <w:bottom w:val="nil"/>
            </w:tcBorders>
            <w:shd w:val="clear" w:color="auto" w:fill="auto"/>
          </w:tcPr>
          <w:p w:rsidR="004D2EF6" w:rsidRPr="00503F8C" w:rsidRDefault="004D2EF6" w:rsidP="00503F8C">
            <w:pPr>
              <w:pStyle w:val="Tabletext"/>
              <w:rPr>
                <w:b/>
                <w:sz w:val="20"/>
                <w:lang w:val="es-ES_tradnl"/>
              </w:rPr>
            </w:pPr>
            <w:r w:rsidRPr="00503F8C">
              <w:rPr>
                <w:sz w:val="20"/>
                <w:lang w:val="es-ES_tradnl"/>
              </w:rPr>
              <w:t>Servicios móviles, de radiodeterminación, de aficionados y otros servicios por satélite conexos</w:t>
            </w:r>
          </w:p>
        </w:tc>
      </w:tr>
      <w:tr w:rsidR="004D2EF6" w:rsidRPr="00636B6A" w:rsidTr="00EE6B15">
        <w:tc>
          <w:tcPr>
            <w:tcW w:w="1140" w:type="dxa"/>
            <w:tcBorders>
              <w:top w:val="nil"/>
            </w:tcBorders>
          </w:tcPr>
          <w:p w:rsidR="004D2EF6" w:rsidRPr="00036EE3" w:rsidRDefault="004D2EF6" w:rsidP="00EE6B15">
            <w:pPr>
              <w:spacing w:before="30" w:after="30"/>
              <w:ind w:left="57"/>
              <w:jc w:val="left"/>
              <w:rPr>
                <w:b/>
                <w:bCs/>
                <w:sz w:val="20"/>
                <w:lang w:val="fr-CH"/>
              </w:rPr>
            </w:pPr>
            <w:r w:rsidRPr="00036EE3">
              <w:rPr>
                <w:b/>
                <w:bCs/>
                <w:sz w:val="20"/>
                <w:lang w:val="fr-CH"/>
              </w:rPr>
              <w:t>P</w:t>
            </w:r>
          </w:p>
        </w:tc>
        <w:tc>
          <w:tcPr>
            <w:tcW w:w="8220" w:type="dxa"/>
            <w:tcBorders>
              <w:top w:val="nil"/>
            </w:tcBorders>
          </w:tcPr>
          <w:p w:rsidR="004D2EF6" w:rsidRPr="00021E8A" w:rsidRDefault="004D2EF6" w:rsidP="00EE6B15">
            <w:pPr>
              <w:spacing w:before="30" w:after="30"/>
              <w:jc w:val="left"/>
              <w:rPr>
                <w:bCs/>
                <w:sz w:val="20"/>
                <w:lang w:val="es-ES_tradnl"/>
              </w:rPr>
            </w:pPr>
            <w:r w:rsidRPr="00021E8A">
              <w:rPr>
                <w:bCs/>
                <w:sz w:val="20"/>
                <w:lang w:val="es-ES_tradnl"/>
              </w:rPr>
              <w:t>Propagación de las ondas radioeléctricas</w:t>
            </w:r>
          </w:p>
        </w:tc>
      </w:tr>
      <w:tr w:rsidR="004D2EF6" w:rsidRPr="00036EE3"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RA</w:t>
            </w:r>
          </w:p>
        </w:tc>
        <w:tc>
          <w:tcPr>
            <w:tcW w:w="8220" w:type="dxa"/>
          </w:tcPr>
          <w:p w:rsidR="004D2EF6" w:rsidRPr="00021E8A" w:rsidRDefault="004D2EF6" w:rsidP="00EE6B1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4D2EF6" w:rsidRPr="00636B6A"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RS</w:t>
            </w:r>
          </w:p>
        </w:tc>
        <w:tc>
          <w:tcPr>
            <w:tcW w:w="8220" w:type="dxa"/>
          </w:tcPr>
          <w:p w:rsidR="004D2EF6" w:rsidRPr="00021E8A" w:rsidRDefault="004D2EF6" w:rsidP="00EE6B1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D2EF6" w:rsidRPr="00036EE3"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S</w:t>
            </w:r>
          </w:p>
        </w:tc>
        <w:tc>
          <w:tcPr>
            <w:tcW w:w="8220" w:type="dxa"/>
          </w:tcPr>
          <w:p w:rsidR="004D2EF6" w:rsidRPr="00021E8A" w:rsidRDefault="004D2EF6" w:rsidP="00EE6B15">
            <w:pPr>
              <w:spacing w:before="30" w:after="30"/>
              <w:jc w:val="left"/>
              <w:rPr>
                <w:bCs/>
                <w:sz w:val="20"/>
                <w:lang w:val="en-US"/>
              </w:rPr>
            </w:pPr>
            <w:r w:rsidRPr="00021E8A">
              <w:rPr>
                <w:bCs/>
                <w:sz w:val="20"/>
              </w:rPr>
              <w:t>Servicio fijo por satélite</w:t>
            </w:r>
          </w:p>
        </w:tc>
      </w:tr>
      <w:tr w:rsidR="004D2EF6" w:rsidRPr="00036EE3"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SA</w:t>
            </w:r>
          </w:p>
        </w:tc>
        <w:tc>
          <w:tcPr>
            <w:tcW w:w="8220" w:type="dxa"/>
          </w:tcPr>
          <w:p w:rsidR="004D2EF6" w:rsidRPr="00021E8A" w:rsidRDefault="004D2EF6" w:rsidP="00EE6B15">
            <w:pPr>
              <w:spacing w:before="30" w:after="30"/>
              <w:jc w:val="left"/>
              <w:rPr>
                <w:bCs/>
                <w:sz w:val="20"/>
                <w:lang w:val="en-US"/>
              </w:rPr>
            </w:pPr>
            <w:r w:rsidRPr="00021E8A">
              <w:rPr>
                <w:bCs/>
                <w:sz w:val="20"/>
              </w:rPr>
              <w:t>Aplicaciones espaciales y meteorología</w:t>
            </w:r>
          </w:p>
        </w:tc>
      </w:tr>
      <w:tr w:rsidR="004D2EF6" w:rsidRPr="00636B6A"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SF</w:t>
            </w:r>
          </w:p>
        </w:tc>
        <w:tc>
          <w:tcPr>
            <w:tcW w:w="8220" w:type="dxa"/>
          </w:tcPr>
          <w:p w:rsidR="004D2EF6" w:rsidRPr="00021E8A" w:rsidRDefault="004D2EF6" w:rsidP="00EE6B1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D2EF6" w:rsidRPr="00036EE3" w:rsidTr="00EE6B15">
        <w:tc>
          <w:tcPr>
            <w:tcW w:w="1140" w:type="dxa"/>
            <w:shd w:val="clear" w:color="auto" w:fill="auto"/>
          </w:tcPr>
          <w:p w:rsidR="004D2EF6" w:rsidRPr="001240BC" w:rsidRDefault="004D2EF6" w:rsidP="00EE6B15">
            <w:pPr>
              <w:spacing w:before="30" w:after="30"/>
              <w:ind w:left="57"/>
              <w:jc w:val="left"/>
              <w:rPr>
                <w:b/>
                <w:bCs/>
                <w:sz w:val="20"/>
                <w:lang w:val="en-US"/>
              </w:rPr>
            </w:pPr>
            <w:r w:rsidRPr="001240BC">
              <w:rPr>
                <w:b/>
                <w:bCs/>
                <w:sz w:val="20"/>
                <w:lang w:val="en-US"/>
              </w:rPr>
              <w:t>SM</w:t>
            </w:r>
          </w:p>
        </w:tc>
        <w:tc>
          <w:tcPr>
            <w:tcW w:w="8220" w:type="dxa"/>
            <w:shd w:val="clear" w:color="auto" w:fill="auto"/>
          </w:tcPr>
          <w:p w:rsidR="004D2EF6" w:rsidRPr="001240BC" w:rsidRDefault="004D2EF6" w:rsidP="00EE6B15">
            <w:pPr>
              <w:spacing w:before="30" w:after="30"/>
              <w:jc w:val="left"/>
              <w:rPr>
                <w:sz w:val="20"/>
                <w:lang w:val="en-US"/>
              </w:rPr>
            </w:pPr>
            <w:r w:rsidRPr="001240BC">
              <w:rPr>
                <w:sz w:val="20"/>
              </w:rPr>
              <w:t>Gestión del espectro</w:t>
            </w:r>
          </w:p>
        </w:tc>
      </w:tr>
      <w:tr w:rsidR="004D2EF6" w:rsidRPr="00036EE3"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SNG</w:t>
            </w:r>
          </w:p>
        </w:tc>
        <w:tc>
          <w:tcPr>
            <w:tcW w:w="8220" w:type="dxa"/>
          </w:tcPr>
          <w:p w:rsidR="004D2EF6" w:rsidRPr="00021E8A" w:rsidRDefault="004D2EF6" w:rsidP="00EE6B15">
            <w:pPr>
              <w:spacing w:before="30" w:after="30"/>
              <w:jc w:val="left"/>
              <w:rPr>
                <w:bCs/>
                <w:sz w:val="20"/>
                <w:lang w:val="en-US"/>
              </w:rPr>
            </w:pPr>
            <w:r w:rsidRPr="00021E8A">
              <w:rPr>
                <w:bCs/>
                <w:sz w:val="20"/>
              </w:rPr>
              <w:t>Periodismo electrónico por satélite</w:t>
            </w:r>
          </w:p>
        </w:tc>
      </w:tr>
      <w:tr w:rsidR="004D2EF6" w:rsidRPr="00636B6A"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TF</w:t>
            </w:r>
          </w:p>
        </w:tc>
        <w:tc>
          <w:tcPr>
            <w:tcW w:w="8220" w:type="dxa"/>
          </w:tcPr>
          <w:p w:rsidR="004D2EF6" w:rsidRPr="00021E8A" w:rsidRDefault="004D2EF6" w:rsidP="00EE6B15">
            <w:pPr>
              <w:spacing w:before="30" w:after="30"/>
              <w:jc w:val="left"/>
              <w:rPr>
                <w:bCs/>
                <w:sz w:val="20"/>
                <w:lang w:val="es-ES_tradnl"/>
              </w:rPr>
            </w:pPr>
            <w:r w:rsidRPr="00021E8A">
              <w:rPr>
                <w:bCs/>
                <w:sz w:val="20"/>
                <w:lang w:val="es-ES_tradnl"/>
              </w:rPr>
              <w:t>Emisiones de frecuencias patrón y señales horarias</w:t>
            </w:r>
          </w:p>
        </w:tc>
      </w:tr>
      <w:tr w:rsidR="004D2EF6" w:rsidRPr="00036EE3" w:rsidTr="00EE6B15">
        <w:tc>
          <w:tcPr>
            <w:tcW w:w="1140" w:type="dxa"/>
          </w:tcPr>
          <w:p w:rsidR="004D2EF6" w:rsidRPr="00036EE3" w:rsidRDefault="004D2EF6" w:rsidP="00EE6B15">
            <w:pPr>
              <w:spacing w:before="30" w:after="30"/>
              <w:ind w:left="57"/>
              <w:jc w:val="left"/>
              <w:rPr>
                <w:b/>
                <w:bCs/>
                <w:sz w:val="20"/>
                <w:lang w:val="en-US"/>
              </w:rPr>
            </w:pPr>
            <w:r w:rsidRPr="00036EE3">
              <w:rPr>
                <w:b/>
                <w:bCs/>
                <w:sz w:val="20"/>
                <w:lang w:val="en-US"/>
              </w:rPr>
              <w:t>V</w:t>
            </w:r>
          </w:p>
        </w:tc>
        <w:tc>
          <w:tcPr>
            <w:tcW w:w="8220" w:type="dxa"/>
          </w:tcPr>
          <w:p w:rsidR="004D2EF6" w:rsidRPr="00021E8A" w:rsidRDefault="004D2EF6" w:rsidP="00EE6B15">
            <w:pPr>
              <w:spacing w:before="30" w:after="140"/>
              <w:jc w:val="left"/>
              <w:rPr>
                <w:bCs/>
                <w:sz w:val="20"/>
                <w:lang w:val="en-US"/>
              </w:rPr>
            </w:pPr>
            <w:r w:rsidRPr="00021E8A">
              <w:rPr>
                <w:bCs/>
                <w:sz w:val="20"/>
              </w:rPr>
              <w:t>Vocabulario y cuestiones afines</w:t>
            </w:r>
          </w:p>
        </w:tc>
      </w:tr>
    </w:tbl>
    <w:p w:rsidR="004D2EF6" w:rsidRPr="00036EE3" w:rsidRDefault="004D2EF6" w:rsidP="00EE6B15">
      <w:pPr>
        <w:spacing w:before="0" w:after="140"/>
        <w:jc w:val="center"/>
        <w:rPr>
          <w:sz w:val="20"/>
          <w:lang w:val="en-US"/>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D2EF6" w:rsidRPr="00636B6A" w:rsidTr="00EE6B15">
        <w:tc>
          <w:tcPr>
            <w:tcW w:w="9360" w:type="dxa"/>
          </w:tcPr>
          <w:p w:rsidR="004D2EF6" w:rsidRPr="00763D08" w:rsidRDefault="004D2EF6" w:rsidP="00EE6B15">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4D2EF6" w:rsidRPr="00763D08" w:rsidRDefault="004D2EF6" w:rsidP="00EE6B15">
      <w:pPr>
        <w:spacing w:before="0"/>
        <w:jc w:val="center"/>
        <w:rPr>
          <w:sz w:val="22"/>
          <w:lang w:val="es-ES_tradnl"/>
        </w:rPr>
      </w:pPr>
    </w:p>
    <w:p w:rsidR="004D2EF6" w:rsidRPr="00763D08" w:rsidRDefault="004D2EF6" w:rsidP="00EE6B15">
      <w:pPr>
        <w:spacing w:before="60"/>
        <w:jc w:val="right"/>
        <w:rPr>
          <w:i/>
          <w:iCs/>
          <w:sz w:val="20"/>
          <w:lang w:val="es-ES_tradnl"/>
        </w:rPr>
      </w:pPr>
      <w:r w:rsidRPr="00763D08">
        <w:rPr>
          <w:i/>
          <w:iCs/>
          <w:sz w:val="20"/>
          <w:lang w:val="es-ES_tradnl"/>
        </w:rPr>
        <w:t>Publicación electrónica</w:t>
      </w:r>
    </w:p>
    <w:p w:rsidR="004D2EF6" w:rsidRPr="00763D08" w:rsidRDefault="004D2EF6" w:rsidP="00EE6B15">
      <w:pPr>
        <w:spacing w:before="0" w:after="40"/>
        <w:jc w:val="right"/>
        <w:rPr>
          <w:sz w:val="20"/>
          <w:lang w:val="es-ES_tradnl"/>
        </w:rPr>
      </w:pPr>
      <w:r w:rsidRPr="00763D08">
        <w:rPr>
          <w:sz w:val="20"/>
          <w:lang w:val="es-ES_tradnl"/>
        </w:rPr>
        <w:t>Ginebra, 20</w:t>
      </w:r>
      <w:r>
        <w:rPr>
          <w:sz w:val="20"/>
          <w:lang w:val="es-ES_tradnl"/>
        </w:rPr>
        <w:t>11</w:t>
      </w:r>
    </w:p>
    <w:p w:rsidR="004D2EF6" w:rsidRPr="00763D08" w:rsidRDefault="004D2EF6" w:rsidP="00EE6B15">
      <w:pPr>
        <w:spacing w:before="0"/>
        <w:jc w:val="center"/>
        <w:rPr>
          <w:sz w:val="22"/>
          <w:lang w:val="es-ES_tradnl"/>
        </w:rPr>
      </w:pPr>
    </w:p>
    <w:p w:rsidR="004D2EF6" w:rsidRPr="00763D08" w:rsidRDefault="004D2EF6" w:rsidP="00EE6B1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4D2EF6" w:rsidRPr="006C718C" w:rsidRDefault="004D2EF6" w:rsidP="00EE6B1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D2EF6" w:rsidRPr="006C718C" w:rsidRDefault="004D2EF6" w:rsidP="00EE6B15">
      <w:pPr>
        <w:spacing w:before="160"/>
        <w:rPr>
          <w:i/>
          <w:sz w:val="20"/>
          <w:highlight w:val="yellow"/>
          <w:lang w:val="es-ES_tradnl"/>
        </w:rPr>
        <w:sectPr w:rsidR="004D2EF6" w:rsidRPr="006C718C" w:rsidSect="00EE6B15">
          <w:headerReference w:type="even" r:id="rId11"/>
          <w:headerReference w:type="default" r:id="rId12"/>
          <w:pgSz w:w="11907" w:h="16834" w:code="9"/>
          <w:pgMar w:top="1418" w:right="1134" w:bottom="1134" w:left="1134" w:header="720" w:footer="482" w:gutter="0"/>
          <w:pgNumType w:fmt="lowerRoman" w:start="2"/>
          <w:cols w:space="720"/>
        </w:sectPr>
      </w:pPr>
    </w:p>
    <w:p w:rsidR="004D2EF6" w:rsidRDefault="004D2EF6" w:rsidP="004D2EF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191-3</w:t>
      </w:r>
      <w:r w:rsidRPr="005541DB">
        <w:rPr>
          <w:rStyle w:val="FootnoteReference"/>
          <w:lang w:val="es-ES_tradnl"/>
        </w:rPr>
        <w:footnoteReference w:customMarkFollows="1" w:id="1"/>
        <w:t>*</w:t>
      </w:r>
    </w:p>
    <w:p w:rsidR="004D2EF6" w:rsidRDefault="004D2EF6" w:rsidP="00B70D61">
      <w:pPr>
        <w:pStyle w:val="Rectitle"/>
        <w:rPr>
          <w:lang w:val="es-ES_tradnl"/>
        </w:rPr>
      </w:pPr>
      <w:bookmarkStart w:id="4" w:name="Pre_title"/>
      <w:r w:rsidRPr="005541DB">
        <w:rPr>
          <w:lang w:val="es-ES_tradnl"/>
        </w:rPr>
        <w:t xml:space="preserve">Anchuras de banda </w:t>
      </w:r>
      <w:r>
        <w:rPr>
          <w:lang w:val="es-ES_tradnl"/>
        </w:rPr>
        <w:t xml:space="preserve">necesarias y ocupadas </w:t>
      </w:r>
      <w:r w:rsidRPr="005541DB">
        <w:rPr>
          <w:lang w:val="es-ES_tradnl"/>
        </w:rPr>
        <w:t>y emisiones</w:t>
      </w:r>
      <w:r w:rsidR="00B70D61">
        <w:rPr>
          <w:lang w:val="es-ES_tradnl"/>
        </w:rPr>
        <w:t xml:space="preserve"> </w:t>
      </w:r>
      <w:r w:rsidRPr="005541DB">
        <w:rPr>
          <w:lang w:val="es-ES_tradnl"/>
        </w:rPr>
        <w:t>no deseadas</w:t>
      </w:r>
      <w:r w:rsidR="00B70D61">
        <w:rPr>
          <w:lang w:val="es-ES_tradnl"/>
        </w:rPr>
        <w:br/>
      </w:r>
      <w:r w:rsidRPr="005541DB">
        <w:rPr>
          <w:lang w:val="es-ES_tradnl"/>
        </w:rPr>
        <w:t>de</w:t>
      </w:r>
      <w:r>
        <w:rPr>
          <w:lang w:val="es-ES_tradnl"/>
        </w:rPr>
        <w:t xml:space="preserve"> </w:t>
      </w:r>
      <w:r w:rsidRPr="005541DB">
        <w:rPr>
          <w:lang w:val="es-ES_tradnl"/>
        </w:rPr>
        <w:t>los</w:t>
      </w:r>
      <w:r>
        <w:rPr>
          <w:lang w:val="es-ES_tradnl"/>
        </w:rPr>
        <w:t xml:space="preserve"> </w:t>
      </w:r>
      <w:r w:rsidRPr="005541DB">
        <w:rPr>
          <w:lang w:val="es-ES_tradnl"/>
        </w:rPr>
        <w:t>sistemas</w:t>
      </w:r>
      <w:r>
        <w:rPr>
          <w:lang w:val="es-ES_tradnl"/>
        </w:rPr>
        <w:t xml:space="preserve"> </w:t>
      </w:r>
      <w:r w:rsidRPr="005541DB">
        <w:rPr>
          <w:lang w:val="es-ES_tradnl"/>
        </w:rPr>
        <w:t>digitales</w:t>
      </w:r>
      <w:r>
        <w:rPr>
          <w:lang w:val="es-ES_tradnl"/>
        </w:rPr>
        <w:t xml:space="preserve"> </w:t>
      </w:r>
      <w:r w:rsidRPr="005541DB">
        <w:rPr>
          <w:lang w:val="es-ES_tradnl"/>
        </w:rPr>
        <w:t>del</w:t>
      </w:r>
      <w:r>
        <w:rPr>
          <w:lang w:val="es-ES_tradnl"/>
        </w:rPr>
        <w:t xml:space="preserve"> </w:t>
      </w:r>
      <w:r w:rsidRPr="005541DB">
        <w:rPr>
          <w:lang w:val="es-ES_tradnl"/>
        </w:rPr>
        <w:t>servicio</w:t>
      </w:r>
      <w:r>
        <w:rPr>
          <w:lang w:val="es-ES_tradnl"/>
        </w:rPr>
        <w:t xml:space="preserve"> </w:t>
      </w:r>
      <w:r w:rsidRPr="005541DB">
        <w:rPr>
          <w:lang w:val="es-ES_tradnl"/>
        </w:rPr>
        <w:t>fijo</w:t>
      </w:r>
      <w:bookmarkEnd w:id="4"/>
    </w:p>
    <w:p w:rsidR="00A3651C" w:rsidRPr="00636B6A" w:rsidRDefault="00A3651C" w:rsidP="00A3651C">
      <w:pPr>
        <w:pStyle w:val="Blanc"/>
        <w:rPr>
          <w:lang w:val="es-ES_tradnl"/>
        </w:rPr>
      </w:pPr>
    </w:p>
    <w:p w:rsidR="004D2EF6" w:rsidRDefault="004D2EF6" w:rsidP="004D2EF6">
      <w:pPr>
        <w:pStyle w:val="Recdate"/>
        <w:rPr>
          <w:lang w:val="es-ES_tradnl"/>
        </w:rPr>
      </w:pPr>
      <w:bookmarkStart w:id="5" w:name="Revision_history"/>
      <w:r>
        <w:rPr>
          <w:lang w:val="es-ES_tradnl"/>
        </w:rPr>
        <w:t>(1995-1997-2001-2011)</w:t>
      </w:r>
      <w:bookmarkEnd w:id="5"/>
    </w:p>
    <w:p w:rsidR="004D2EF6" w:rsidRPr="00636B6A" w:rsidRDefault="004D2EF6" w:rsidP="00A3651C">
      <w:pPr>
        <w:pStyle w:val="Blanc"/>
        <w:rPr>
          <w:lang w:val="es-ES_tradnl"/>
        </w:rPr>
      </w:pPr>
    </w:p>
    <w:p w:rsidR="004D2EF6" w:rsidRPr="00636B6A" w:rsidRDefault="004D2EF6" w:rsidP="00A3651C">
      <w:pPr>
        <w:pStyle w:val="Headingb"/>
        <w:rPr>
          <w:lang w:val="es-ES_tradnl"/>
        </w:rPr>
      </w:pPr>
      <w:r w:rsidRPr="00636B6A">
        <w:rPr>
          <w:lang w:val="es-ES_tradnl"/>
        </w:rPr>
        <w:t>Cometido</w:t>
      </w:r>
    </w:p>
    <w:p w:rsidR="004D2EF6" w:rsidRPr="00636B6A" w:rsidRDefault="004D2EF6" w:rsidP="00A3651C">
      <w:pPr>
        <w:rPr>
          <w:lang w:val="es-ES_tradnl"/>
        </w:rPr>
      </w:pPr>
      <w:r w:rsidRPr="00636B6A">
        <w:rPr>
          <w:lang w:val="es-ES_tradnl"/>
        </w:rPr>
        <w:t>En esta Recomendación se explican los términos básicos relativos a las emisiones no deseadas y las anchuras de banda de los sistemas digitales del servicio fijo a fin de aclarar la aplicación de las definiciones del Reglamento de Radiocomunicaciones y las Recomendaciones UIT-R SM.328 y UIT</w:t>
      </w:r>
      <w:r w:rsidRPr="00636B6A">
        <w:rPr>
          <w:lang w:val="es-ES_tradnl"/>
        </w:rPr>
        <w:noBreakHyphen/>
        <w:t>R SM.329. Además se dan orientaciones sobre estos temas a los diseñadores de equipos o sistemas del servicio fijo.</w:t>
      </w:r>
    </w:p>
    <w:p w:rsidR="004D2EF6" w:rsidRPr="00636B6A" w:rsidRDefault="004D2EF6" w:rsidP="00A3651C">
      <w:pPr>
        <w:rPr>
          <w:lang w:val="es-ES_tradnl"/>
        </w:rPr>
      </w:pPr>
      <w:r w:rsidRPr="00636B6A">
        <w:rPr>
          <w:lang w:val="es-ES_tradnl"/>
        </w:rPr>
        <w:t>También se aborda la anchura de banda ocupada de los sistemas multiportadora y los requisitos de emisiones fuera de banda de los sistemas utilizados en el bloque de asignaciones.</w:t>
      </w:r>
    </w:p>
    <w:p w:rsidR="004D2EF6" w:rsidRPr="005541DB" w:rsidRDefault="004D2EF6" w:rsidP="004D2EF6">
      <w:pPr>
        <w:pStyle w:val="Normalaftertitle"/>
        <w:rPr>
          <w:lang w:val="es-ES_tradnl"/>
        </w:rPr>
      </w:pPr>
      <w:r w:rsidRPr="005541DB">
        <w:rPr>
          <w:lang w:val="es-ES_tradnl"/>
        </w:rPr>
        <w:t>La Asamblea de Radiocomunicaciones de la UIT,</w:t>
      </w:r>
    </w:p>
    <w:p w:rsidR="004D2EF6" w:rsidRPr="005541DB" w:rsidRDefault="004D2EF6" w:rsidP="004D2EF6">
      <w:pPr>
        <w:pStyle w:val="Call"/>
        <w:rPr>
          <w:lang w:val="es-ES_tradnl"/>
        </w:rPr>
      </w:pPr>
      <w:r w:rsidRPr="005541DB">
        <w:rPr>
          <w:lang w:val="es-ES_tradnl"/>
        </w:rPr>
        <w:t>considerando</w:t>
      </w:r>
    </w:p>
    <w:p w:rsidR="004D2EF6" w:rsidRPr="005541DB" w:rsidRDefault="004D2EF6" w:rsidP="004D2EF6">
      <w:pPr>
        <w:rPr>
          <w:lang w:val="es-ES_tradnl"/>
        </w:rPr>
      </w:pPr>
      <w:r w:rsidRPr="005541DB">
        <w:rPr>
          <w:lang w:val="es-ES_tradnl"/>
        </w:rPr>
        <w:t>a)</w:t>
      </w:r>
      <w:r w:rsidRPr="005541DB">
        <w:rPr>
          <w:lang w:val="es-ES_tradnl"/>
        </w:rPr>
        <w:tab/>
        <w:t xml:space="preserve">que es necesario </w:t>
      </w:r>
      <w:r>
        <w:rPr>
          <w:lang w:val="es-ES_tradnl"/>
        </w:rPr>
        <w:t>que los diseñadores de sistemas digitales del servicio fijo</w:t>
      </w:r>
      <w:r w:rsidRPr="005541DB">
        <w:rPr>
          <w:lang w:val="es-ES_tradnl"/>
        </w:rPr>
        <w:t xml:space="preserve"> (DFSS, </w:t>
      </w:r>
      <w:r w:rsidRPr="005541DB">
        <w:rPr>
          <w:i/>
          <w:iCs/>
          <w:lang w:val="es-ES_tradnl"/>
        </w:rPr>
        <w:t>digital fixed service systems</w:t>
      </w:r>
      <w:r w:rsidRPr="005541DB">
        <w:rPr>
          <w:lang w:val="es-ES_tradnl"/>
        </w:rPr>
        <w:t>)</w:t>
      </w:r>
      <w:r>
        <w:rPr>
          <w:lang w:val="es-ES_tradnl"/>
        </w:rPr>
        <w:t xml:space="preserve"> dispongan de directrices sobre la aplicación de los términos relativos a la anchura de banda y las emisiones no deseadas</w:t>
      </w:r>
      <w:r w:rsidRPr="005541DB">
        <w:rPr>
          <w:lang w:val="es-ES_tradnl"/>
        </w:rPr>
        <w:t>;</w:t>
      </w:r>
    </w:p>
    <w:p w:rsidR="004D2EF6" w:rsidRPr="005541DB" w:rsidRDefault="004D2EF6" w:rsidP="004D2EF6">
      <w:pPr>
        <w:rPr>
          <w:lang w:val="es-ES_tradnl"/>
        </w:rPr>
      </w:pPr>
      <w:r>
        <w:rPr>
          <w:lang w:val="es-ES_tradnl"/>
        </w:rPr>
        <w:t>b</w:t>
      </w:r>
      <w:r w:rsidRPr="005541DB">
        <w:rPr>
          <w:lang w:val="es-ES_tradnl"/>
        </w:rPr>
        <w:t>)</w:t>
      </w:r>
      <w:r w:rsidRPr="005541DB">
        <w:rPr>
          <w:lang w:val="es-ES_tradnl"/>
        </w:rPr>
        <w:tab/>
        <w:t>que es poco probable que las emisiones fuera de banda procedentes de los DFSS causen interferencias importantes a los sistemas que funcionan en bandas adyacentes, porque:</w:t>
      </w:r>
    </w:p>
    <w:p w:rsidR="004D2EF6" w:rsidRPr="005541DB" w:rsidRDefault="004D2EF6" w:rsidP="004D2EF6">
      <w:pPr>
        <w:pStyle w:val="enumlev1"/>
        <w:rPr>
          <w:lang w:val="es-ES_tradnl"/>
        </w:rPr>
      </w:pPr>
      <w:r w:rsidRPr="005541DB">
        <w:rPr>
          <w:lang w:val="es-ES_tradnl"/>
        </w:rPr>
        <w:t>–</w:t>
      </w:r>
      <w:r w:rsidRPr="005541DB">
        <w:rPr>
          <w:lang w:val="es-ES_tradnl"/>
        </w:rPr>
        <w:tab/>
        <w:t>el espectro energético de un DFSS se desvanece rápidamente fuera de la anchura de banda ocupada;</w:t>
      </w:r>
    </w:p>
    <w:p w:rsidR="004D2EF6" w:rsidRDefault="004D2EF6" w:rsidP="004D2EF6">
      <w:pPr>
        <w:pStyle w:val="enumlev1"/>
        <w:rPr>
          <w:lang w:val="es-ES_tradnl"/>
        </w:rPr>
      </w:pPr>
      <w:r w:rsidRPr="005541DB">
        <w:rPr>
          <w:lang w:val="es-ES_tradnl"/>
        </w:rPr>
        <w:t>–</w:t>
      </w:r>
      <w:r w:rsidRPr="005541DB">
        <w:rPr>
          <w:lang w:val="es-ES_tradnl"/>
        </w:rPr>
        <w:tab/>
        <w:t>la p.i.r.e. de un DFSS con visibilidad directa es baja o media;</w:t>
      </w:r>
    </w:p>
    <w:p w:rsidR="004D2EF6" w:rsidRPr="005541DB" w:rsidRDefault="004D2EF6" w:rsidP="004D2EF6">
      <w:pPr>
        <w:pStyle w:val="enumlev1"/>
        <w:rPr>
          <w:lang w:val="es-ES_tradnl"/>
        </w:rPr>
      </w:pPr>
      <w:bookmarkStart w:id="6" w:name="_GoBack"/>
      <w:bookmarkEnd w:id="6"/>
      <w:r w:rsidRPr="005541DB">
        <w:rPr>
          <w:lang w:val="es-ES_tradnl"/>
        </w:rPr>
        <w:t>–</w:t>
      </w:r>
      <w:r w:rsidRPr="005541DB">
        <w:rPr>
          <w:lang w:val="es-ES_tradnl"/>
        </w:rPr>
        <w:tab/>
        <w:t>no se utilizan en general los DFSS transhorizonte con p.i.r.e. elevadas;</w:t>
      </w:r>
    </w:p>
    <w:p w:rsidR="004D2EF6" w:rsidRPr="005541DB" w:rsidRDefault="004D2EF6" w:rsidP="004D2EF6">
      <w:pPr>
        <w:rPr>
          <w:lang w:val="es-ES_tradnl"/>
        </w:rPr>
      </w:pPr>
      <w:r>
        <w:rPr>
          <w:lang w:val="es-ES_tradnl"/>
        </w:rPr>
        <w:t>c</w:t>
      </w:r>
      <w:r w:rsidRPr="005541DB">
        <w:rPr>
          <w:lang w:val="es-ES_tradnl"/>
        </w:rPr>
        <w:t>)</w:t>
      </w:r>
      <w:r w:rsidRPr="005541DB">
        <w:rPr>
          <w:lang w:val="es-ES_tradnl"/>
        </w:rPr>
        <w:tab/>
        <w:t>que desde el punto de vista de la interferencia a otros sistemas que comparten la misma banda de frecuencias, la interferencia debida a las emisiones fuera de banda será, en general, menos importante que la debida a las emisiones dentro de la anchura de banda necesaria;</w:t>
      </w:r>
    </w:p>
    <w:p w:rsidR="004D2EF6" w:rsidRPr="005541DB" w:rsidRDefault="004D2EF6" w:rsidP="004D2EF6">
      <w:pPr>
        <w:rPr>
          <w:lang w:val="es-ES_tradnl"/>
        </w:rPr>
      </w:pPr>
      <w:r>
        <w:rPr>
          <w:lang w:val="es-ES_tradnl"/>
        </w:rPr>
        <w:t>d</w:t>
      </w:r>
      <w:r w:rsidRPr="005541DB">
        <w:rPr>
          <w:lang w:val="es-ES_tradnl"/>
        </w:rPr>
        <w:t>)</w:t>
      </w:r>
      <w:r w:rsidRPr="005541DB">
        <w:rPr>
          <w:lang w:val="es-ES_tradnl"/>
        </w:rPr>
        <w:tab/>
        <w:t>que normalmente los diseñadores de los DFSS tienen en cuenta los problemas relacionados con la interferencia dentro del sistema, que pueden ser causados por emisiones no deseadas;</w:t>
      </w:r>
    </w:p>
    <w:p w:rsidR="004D2EF6" w:rsidRPr="005541DB" w:rsidRDefault="004D2EF6" w:rsidP="004D2EF6">
      <w:pPr>
        <w:rPr>
          <w:lang w:val="es-ES_tradnl"/>
        </w:rPr>
      </w:pPr>
      <w:r>
        <w:rPr>
          <w:lang w:val="es-ES_tradnl"/>
        </w:rPr>
        <w:t>e</w:t>
      </w:r>
      <w:r w:rsidRPr="005541DB">
        <w:rPr>
          <w:lang w:val="es-ES_tradnl"/>
        </w:rPr>
        <w:t>)</w:t>
      </w:r>
      <w:r w:rsidRPr="005541DB">
        <w:rPr>
          <w:lang w:val="es-ES_tradnl"/>
        </w:rPr>
        <w:tab/>
        <w:t>que en la Rec</w:t>
      </w:r>
      <w:r w:rsidR="00EE6B15">
        <w:rPr>
          <w:lang w:val="es-ES_tradnl"/>
        </w:rPr>
        <w:t>º</w:t>
      </w:r>
      <w:r w:rsidRPr="005541DB">
        <w:rPr>
          <w:lang w:val="es-ES_tradnl"/>
        </w:rPr>
        <w:t>omendación UIT</w:t>
      </w:r>
      <w:r w:rsidRPr="005541DB">
        <w:rPr>
          <w:lang w:val="es-ES_tradnl"/>
        </w:rPr>
        <w:noBreakHyphen/>
        <w:t>R F.746</w:t>
      </w:r>
      <w:r>
        <w:rPr>
          <w:lang w:val="es-ES_tradnl"/>
        </w:rPr>
        <w:t xml:space="preserve"> se define una banda de guarda en los bordes de la banda de frecuencias </w:t>
      </w:r>
      <w:r>
        <w:rPr>
          <w:i/>
          <w:iCs/>
          <w:lang w:val="es-ES_tradnl"/>
        </w:rPr>
        <w:t>ZS</w:t>
      </w:r>
      <w:r w:rsidRPr="005541DB">
        <w:rPr>
          <w:lang w:val="es-ES_tradnl"/>
        </w:rPr>
        <w:t>, conforme se indica en las correspondientes Recomendaciones UIT</w:t>
      </w:r>
      <w:r w:rsidRPr="005541DB">
        <w:rPr>
          <w:lang w:val="es-ES_tradnl"/>
        </w:rPr>
        <w:noBreakHyphen/>
        <w:t>R, para controlar los desbordamientos de energía en las bandas adyacentes atribuidas;</w:t>
      </w:r>
    </w:p>
    <w:p w:rsidR="004D2EF6" w:rsidRPr="005541DB" w:rsidRDefault="004D2EF6" w:rsidP="004D2EF6">
      <w:pPr>
        <w:rPr>
          <w:lang w:val="es-ES_tradnl"/>
        </w:rPr>
      </w:pPr>
      <w:r>
        <w:rPr>
          <w:lang w:val="es-ES_tradnl"/>
        </w:rPr>
        <w:t>f</w:t>
      </w:r>
      <w:r w:rsidRPr="005541DB">
        <w:rPr>
          <w:lang w:val="es-ES_tradnl"/>
        </w:rPr>
        <w:t>)</w:t>
      </w:r>
      <w:r w:rsidRPr="005541DB">
        <w:rPr>
          <w:lang w:val="es-ES_tradnl"/>
        </w:rPr>
        <w:tab/>
        <w:t>que no siempre es posible o conveniente hacer que la anchura de banda ocupada de un DFSS sea menor o igual que la anchura de banda del radiocanal de la correspondiente disposición de radiocanales establecida para la banda en cuestión por el UIT-R o una instancia reglamentadora nacional;</w:t>
      </w:r>
    </w:p>
    <w:p w:rsidR="00A3651C" w:rsidRDefault="00A3651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4D2EF6" w:rsidRDefault="004D2EF6" w:rsidP="004D2EF6">
      <w:pPr>
        <w:rPr>
          <w:lang w:val="es-ES_tradnl"/>
        </w:rPr>
      </w:pPr>
      <w:r>
        <w:rPr>
          <w:lang w:val="es-ES_tradnl"/>
        </w:rPr>
        <w:lastRenderedPageBreak/>
        <w:t>g</w:t>
      </w:r>
      <w:r w:rsidRPr="005541DB">
        <w:rPr>
          <w:lang w:val="es-ES_tradnl"/>
        </w:rPr>
        <w:t>)</w:t>
      </w:r>
      <w:r w:rsidRPr="005541DB">
        <w:rPr>
          <w:lang w:val="es-ES_tradnl"/>
        </w:rPr>
        <w:tab/>
      </w:r>
      <w:r>
        <w:rPr>
          <w:lang w:val="es-ES_tradnl"/>
        </w:rPr>
        <w:t>que en la mayoría de bandas atribuidas al servicio fijo a título primario, la configuración de canales de radiofrecuencias (RF) suele estar definida por una Recomendación UIT-R pertinente o por la autoridad nacional de reglamentación;</w:t>
      </w:r>
    </w:p>
    <w:p w:rsidR="004D2EF6" w:rsidRPr="005541DB" w:rsidRDefault="004D2EF6" w:rsidP="004D2EF6">
      <w:pPr>
        <w:rPr>
          <w:lang w:val="es-ES_tradnl"/>
        </w:rPr>
      </w:pPr>
      <w:r>
        <w:rPr>
          <w:lang w:val="es-ES_tradnl"/>
        </w:rPr>
        <w:t>h)</w:t>
      </w:r>
      <w:r>
        <w:rPr>
          <w:lang w:val="es-ES_tradnl"/>
        </w:rPr>
        <w:tab/>
      </w:r>
      <w:r w:rsidRPr="005541DB">
        <w:rPr>
          <w:lang w:val="es-ES_tradnl"/>
        </w:rPr>
        <w:t xml:space="preserve">que dentro de la banda atribuida, la coordinación entre sistemas del servicio fijo basados en una disposición de radiocanales se ajusta al método </w:t>
      </w:r>
      <w:r>
        <w:rPr>
          <w:lang w:val="es-ES_tradnl"/>
        </w:rPr>
        <w:t xml:space="preserve">de utilización </w:t>
      </w:r>
      <w:r w:rsidRPr="005541DB">
        <w:rPr>
          <w:lang w:val="es-ES_tradnl"/>
        </w:rPr>
        <w:t xml:space="preserve">eficaz </w:t>
      </w:r>
      <w:r>
        <w:rPr>
          <w:lang w:val="es-ES_tradnl"/>
        </w:rPr>
        <w:t xml:space="preserve">del espectro </w:t>
      </w:r>
      <w:r w:rsidRPr="005541DB">
        <w:rPr>
          <w:lang w:val="es-ES_tradnl"/>
        </w:rPr>
        <w:t>resumido en la Recomendación UIT</w:t>
      </w:r>
      <w:r w:rsidRPr="005541DB">
        <w:rPr>
          <w:lang w:val="es-ES_tradnl"/>
        </w:rPr>
        <w:noBreakHyphen/>
        <w:t>R F.746 y al comportamiento estadístico de la propagación que se describe en las Recomendaciones UIT-R P.530 y UIT-R F.1093;</w:t>
      </w:r>
    </w:p>
    <w:p w:rsidR="004D2EF6" w:rsidRPr="005541DB" w:rsidRDefault="004D2EF6" w:rsidP="004D2EF6">
      <w:pPr>
        <w:rPr>
          <w:lang w:val="es-ES_tradnl"/>
        </w:rPr>
      </w:pPr>
      <w:r>
        <w:rPr>
          <w:lang w:val="es-ES_tradnl"/>
        </w:rPr>
        <w:t>j</w:t>
      </w:r>
      <w:r w:rsidRPr="005541DB">
        <w:rPr>
          <w:lang w:val="es-ES_tradnl"/>
        </w:rPr>
        <w:t>)</w:t>
      </w:r>
      <w:r w:rsidRPr="005541DB">
        <w:rPr>
          <w:lang w:val="es-ES_tradnl"/>
        </w:rPr>
        <w:tab/>
        <w:t>que los DFSS, con una aleatorización adecuada, tienen en general una densidad espectral y emisiones no deseadas cuyos factores de potencia de cresta se pueden considerar, de forma conservadora, similares a ruido;</w:t>
      </w:r>
    </w:p>
    <w:p w:rsidR="004D2EF6" w:rsidRPr="005541DB" w:rsidRDefault="004D2EF6" w:rsidP="004D2EF6">
      <w:pPr>
        <w:rPr>
          <w:lang w:val="es-ES_tradnl"/>
        </w:rPr>
      </w:pPr>
      <w:r>
        <w:rPr>
          <w:lang w:val="es-ES_tradnl"/>
        </w:rPr>
        <w:t>k</w:t>
      </w:r>
      <w:r w:rsidRPr="005541DB">
        <w:rPr>
          <w:lang w:val="es-ES_tradnl"/>
        </w:rPr>
        <w:t>)</w:t>
      </w:r>
      <w:r w:rsidRPr="005541DB">
        <w:rPr>
          <w:lang w:val="es-ES_tradnl"/>
        </w:rPr>
        <w:tab/>
        <w:t xml:space="preserve">que los DFSS </w:t>
      </w:r>
      <w:r>
        <w:rPr>
          <w:lang w:val="es-ES_tradnl"/>
        </w:rPr>
        <w:t>generan</w:t>
      </w:r>
      <w:r w:rsidRPr="005541DB">
        <w:rPr>
          <w:lang w:val="es-ES_tradnl"/>
        </w:rPr>
        <w:t xml:space="preserve"> emisiones no deseadas formadas por componentes similares a ruido y discretos, </w:t>
      </w:r>
      <w:r>
        <w:rPr>
          <w:lang w:val="es-ES_tradnl"/>
        </w:rPr>
        <w:t>tanto en el dominio de las</w:t>
      </w:r>
      <w:r w:rsidRPr="005541DB">
        <w:rPr>
          <w:lang w:val="es-ES_tradnl"/>
        </w:rPr>
        <w:t xml:space="preserve"> emisiones fuera de banda </w:t>
      </w:r>
      <w:r>
        <w:rPr>
          <w:lang w:val="es-ES_tradnl"/>
        </w:rPr>
        <w:t>como en el dominio</w:t>
      </w:r>
      <w:r w:rsidRPr="005541DB">
        <w:rPr>
          <w:lang w:val="es-ES_tradnl"/>
        </w:rPr>
        <w:t xml:space="preserve"> no esencial;</w:t>
      </w:r>
    </w:p>
    <w:p w:rsidR="004D2EF6" w:rsidRPr="005541DB" w:rsidRDefault="004D2EF6" w:rsidP="004D2EF6">
      <w:pPr>
        <w:rPr>
          <w:lang w:val="es-ES_tradnl"/>
        </w:rPr>
      </w:pPr>
      <w:r>
        <w:rPr>
          <w:lang w:val="es-ES_tradnl"/>
        </w:rPr>
        <w:t>l</w:t>
      </w:r>
      <w:r w:rsidRPr="005541DB">
        <w:rPr>
          <w:lang w:val="es-ES_tradnl"/>
        </w:rPr>
        <w:t>)</w:t>
      </w:r>
      <w:r w:rsidRPr="005541DB">
        <w:rPr>
          <w:lang w:val="es-ES_tradnl"/>
        </w:rPr>
        <w:tab/>
        <w:t>que los sistemas multiportadora y uniportadora se utilizan ampliamente en los DFSS</w:t>
      </w:r>
      <w:r>
        <w:rPr>
          <w:lang w:val="es-ES_tradnl"/>
        </w:rPr>
        <w:t>,</w:t>
      </w:r>
    </w:p>
    <w:p w:rsidR="004D2EF6" w:rsidRPr="005541DB" w:rsidRDefault="004D2EF6" w:rsidP="004D2EF6">
      <w:pPr>
        <w:pStyle w:val="Call"/>
        <w:rPr>
          <w:lang w:val="es-ES_tradnl"/>
        </w:rPr>
      </w:pPr>
      <w:r w:rsidRPr="005541DB">
        <w:rPr>
          <w:lang w:val="es-ES_tradnl"/>
        </w:rPr>
        <w:t>observando</w:t>
      </w:r>
    </w:p>
    <w:p w:rsidR="004D2EF6" w:rsidRPr="005541DB" w:rsidRDefault="004D2EF6" w:rsidP="004D2EF6">
      <w:pPr>
        <w:rPr>
          <w:lang w:val="es-ES_tradnl"/>
        </w:rPr>
      </w:pPr>
      <w:r w:rsidRPr="005541DB">
        <w:rPr>
          <w:lang w:val="es-ES_tradnl"/>
        </w:rPr>
        <w:t>a)</w:t>
      </w:r>
      <w:r w:rsidRPr="005541DB">
        <w:rPr>
          <w:lang w:val="es-ES_tradnl"/>
        </w:rPr>
        <w:tab/>
        <w:t>que la Recomendación UIT-R SM.328 proporciona información acerca de la evolución de la emisión espectral fuera de banda para distintos formatos de modulación;</w:t>
      </w:r>
    </w:p>
    <w:p w:rsidR="004D2EF6" w:rsidRDefault="004D2EF6" w:rsidP="004D2EF6">
      <w:pPr>
        <w:rPr>
          <w:lang w:val="es-ES_tradnl"/>
        </w:rPr>
      </w:pPr>
      <w:r w:rsidRPr="005541DB">
        <w:rPr>
          <w:lang w:val="es-ES_tradnl"/>
        </w:rPr>
        <w:t>b)</w:t>
      </w:r>
      <w:r w:rsidRPr="005541DB">
        <w:rPr>
          <w:lang w:val="es-ES_tradnl"/>
        </w:rPr>
        <w:tab/>
        <w:t xml:space="preserve">que en </w:t>
      </w:r>
      <w:r>
        <w:rPr>
          <w:lang w:val="es-ES_tradnl"/>
        </w:rPr>
        <w:t>la Recomendación UIT-R SM.329 se establecen los límites y la anchura de banda de referencia de las emisiones no deseadas en el dominio no esencial de todos los servicios, incluido el servicio fijo;</w:t>
      </w:r>
    </w:p>
    <w:p w:rsidR="004D2EF6" w:rsidRDefault="004D2EF6" w:rsidP="004D2EF6">
      <w:pPr>
        <w:rPr>
          <w:lang w:val="es-ES_tradnl"/>
        </w:rPr>
      </w:pPr>
      <w:r>
        <w:rPr>
          <w:lang w:val="es-ES_tradnl"/>
        </w:rPr>
        <w:t>c)</w:t>
      </w:r>
      <w:r>
        <w:rPr>
          <w:lang w:val="es-ES_tradnl"/>
        </w:rPr>
        <w:tab/>
        <w:t>que en la Recomendación UIT-R SM.1541 se establecen los límites genéricos de las emisiones no deseadas en el dominio fuera de banda para la mayoría de servicios, incluido el servicio fijo (véase la Nota 1);</w:t>
      </w:r>
    </w:p>
    <w:p w:rsidR="004D2EF6" w:rsidRPr="005541DB" w:rsidRDefault="004D2EF6" w:rsidP="004D2EF6">
      <w:pPr>
        <w:rPr>
          <w:lang w:val="es-ES_tradnl"/>
        </w:rPr>
      </w:pPr>
      <w:r>
        <w:rPr>
          <w:lang w:val="es-ES_tradnl"/>
        </w:rPr>
        <w:t>d)</w:t>
      </w:r>
      <w:r>
        <w:rPr>
          <w:lang w:val="es-ES_tradnl"/>
        </w:rPr>
        <w:tab/>
        <w:t>que en la Recomendación UIT-R SM.1539 se dan orientaciones sobre la variación de la frontera entre el dominio fuera de banda y el dominio no esencial en emisiones en banda muy estrecha y en banda muy ancha,</w:t>
      </w:r>
    </w:p>
    <w:p w:rsidR="004D2EF6" w:rsidRPr="005541DB" w:rsidRDefault="004D2EF6" w:rsidP="004D2EF6">
      <w:pPr>
        <w:pStyle w:val="Call"/>
        <w:rPr>
          <w:lang w:val="es-ES_tradnl"/>
        </w:rPr>
      </w:pPr>
      <w:r w:rsidRPr="005541DB">
        <w:rPr>
          <w:lang w:val="es-ES_tradnl"/>
        </w:rPr>
        <w:t>recomienda</w:t>
      </w:r>
    </w:p>
    <w:p w:rsidR="004D2EF6" w:rsidRPr="005541DB" w:rsidRDefault="004D2EF6" w:rsidP="004D2EF6">
      <w:pPr>
        <w:rPr>
          <w:lang w:val="es-ES_tradnl"/>
        </w:rPr>
      </w:pPr>
      <w:r w:rsidRPr="005541DB">
        <w:rPr>
          <w:b/>
          <w:lang w:val="es-ES_tradnl"/>
        </w:rPr>
        <w:t>1</w:t>
      </w:r>
      <w:r w:rsidRPr="005541DB">
        <w:rPr>
          <w:lang w:val="es-ES_tradnl"/>
        </w:rPr>
        <w:tab/>
        <w:t>que se apliquen a los DFSS l</w:t>
      </w:r>
      <w:r>
        <w:rPr>
          <w:lang w:val="es-ES_tradnl"/>
        </w:rPr>
        <w:t>os siguientes términos</w:t>
      </w:r>
      <w:r w:rsidRPr="005541DB">
        <w:rPr>
          <w:lang w:val="es-ES_tradnl"/>
        </w:rPr>
        <w:t>:</w:t>
      </w:r>
    </w:p>
    <w:p w:rsidR="004D2EF6" w:rsidRPr="005541DB" w:rsidRDefault="004D2EF6" w:rsidP="004D2EF6">
      <w:pPr>
        <w:pStyle w:val="Heading2"/>
        <w:rPr>
          <w:lang w:val="es-ES_tradnl"/>
        </w:rPr>
      </w:pPr>
      <w:r w:rsidRPr="005541DB">
        <w:rPr>
          <w:lang w:val="es-ES_tradnl"/>
        </w:rPr>
        <w:t>1.1</w:t>
      </w:r>
      <w:r w:rsidRPr="005541DB">
        <w:rPr>
          <w:lang w:val="es-ES_tradnl"/>
        </w:rPr>
        <w:tab/>
        <w:t>Banda de frecuencias atribuida</w:t>
      </w:r>
    </w:p>
    <w:p w:rsidR="004D2EF6" w:rsidRPr="005541DB" w:rsidRDefault="004D2EF6" w:rsidP="004D2EF6">
      <w:pPr>
        <w:rPr>
          <w:lang w:val="es-ES_tradnl"/>
        </w:rPr>
      </w:pPr>
      <w:r w:rsidRPr="005541DB">
        <w:rPr>
          <w:lang w:val="es-ES_tradnl"/>
        </w:rPr>
        <w:t>En el caso de los DFSS, se puede considerar que la banda de frecuencias atribuida es la banda de frecuencias total atribuida al servicio fijo a título primario o en régimen de compartición con igualdad de derechos.</w:t>
      </w:r>
    </w:p>
    <w:p w:rsidR="004D2EF6" w:rsidRPr="005541DB" w:rsidRDefault="004D2EF6" w:rsidP="00650A63">
      <w:pPr>
        <w:pStyle w:val="Heading2"/>
        <w:rPr>
          <w:lang w:val="es-ES_tradnl"/>
        </w:rPr>
      </w:pPr>
      <w:r w:rsidRPr="005541DB">
        <w:rPr>
          <w:lang w:val="es-ES_tradnl"/>
        </w:rPr>
        <w:t>1.</w:t>
      </w:r>
      <w:r>
        <w:rPr>
          <w:lang w:val="es-ES_tradnl"/>
        </w:rPr>
        <w:t>2</w:t>
      </w:r>
      <w:r w:rsidRPr="005541DB">
        <w:rPr>
          <w:lang w:val="es-ES_tradnl"/>
        </w:rPr>
        <w:tab/>
        <w:t>Banda de frecuencias asignadas</w:t>
      </w:r>
    </w:p>
    <w:p w:rsidR="004D2EF6" w:rsidRPr="005541DB" w:rsidRDefault="004D2EF6" w:rsidP="004D2EF6">
      <w:pPr>
        <w:rPr>
          <w:lang w:val="es-ES_tradnl"/>
        </w:rPr>
      </w:pPr>
      <w:r w:rsidRPr="005541DB">
        <w:rPr>
          <w:lang w:val="es-ES_tradnl"/>
        </w:rPr>
        <w:t>A los fines de la presente Recomendación este término puede también aplicarse a un bloque de espectro asignado a una o más estaciones de un operador conforme a una licencia exclusiva única (</w:t>
      </w:r>
      <w:r w:rsidRPr="00503F8C">
        <w:rPr>
          <w:i/>
          <w:iCs/>
          <w:lang w:val="es-ES_tradnl"/>
        </w:rPr>
        <w:t>block</w:t>
      </w:r>
      <w:r w:rsidRPr="00503F8C">
        <w:rPr>
          <w:i/>
          <w:iCs/>
          <w:lang w:val="es-ES_tradnl"/>
        </w:rPr>
        <w:noBreakHyphen/>
        <w:t>assignment</w:t>
      </w:r>
      <w:r w:rsidRPr="005541DB">
        <w:rPr>
          <w:lang w:val="es-ES_tradnl"/>
        </w:rPr>
        <w:t>, asignación de bloque, véans</w:t>
      </w:r>
      <w:r>
        <w:rPr>
          <w:lang w:val="es-ES_tradnl"/>
        </w:rPr>
        <w:t>e los ejemplos de las Recomenda</w:t>
      </w:r>
      <w:r w:rsidRPr="005541DB">
        <w:rPr>
          <w:lang w:val="es-ES_tradnl"/>
        </w:rPr>
        <w:t>ciones</w:t>
      </w:r>
      <w:r>
        <w:rPr>
          <w:lang w:val="es-ES_tradnl"/>
        </w:rPr>
        <w:t xml:space="preserve"> </w:t>
      </w:r>
      <w:r w:rsidRPr="005541DB">
        <w:rPr>
          <w:lang w:val="es-ES_tradnl"/>
        </w:rPr>
        <w:t>UIT</w:t>
      </w:r>
      <w:r w:rsidRPr="005541DB">
        <w:rPr>
          <w:lang w:val="es-ES_tradnl"/>
        </w:rPr>
        <w:noBreakHyphen/>
        <w:t>R F.1488, UIT-R F.748 y UIT-R F.749).</w:t>
      </w:r>
    </w:p>
    <w:p w:rsidR="004D2EF6" w:rsidRPr="005541DB" w:rsidRDefault="004D2EF6" w:rsidP="004D2EF6">
      <w:pPr>
        <w:rPr>
          <w:lang w:val="es-ES_tradnl"/>
        </w:rPr>
      </w:pPr>
      <w:r w:rsidRPr="005541DB">
        <w:rPr>
          <w:lang w:val="es-ES_tradnl"/>
        </w:rPr>
        <w:t xml:space="preserve">Dentro de una asignación de un solo bloque, el </w:t>
      </w:r>
      <w:r>
        <w:rPr>
          <w:lang w:val="es-ES_tradnl"/>
        </w:rPr>
        <w:t>diseñador del sistema</w:t>
      </w:r>
      <w:r w:rsidRPr="005541DB">
        <w:rPr>
          <w:lang w:val="es-ES_tradnl"/>
        </w:rPr>
        <w:t xml:space="preserve"> puede, en general, subdividir el bloque en subbloques más pequeños y adecuados a fin de desplegar una red radioeléctrica en la zona geográfica en la que se ha efectuado la asignación dentro de las condiciones especificadas anteriormente (véase la Recomendación UIT-R F.1399).</w:t>
      </w:r>
    </w:p>
    <w:p w:rsidR="004D2EF6" w:rsidRPr="005541DB" w:rsidRDefault="004D2EF6" w:rsidP="004D2EF6">
      <w:pPr>
        <w:pStyle w:val="Heading2"/>
        <w:rPr>
          <w:lang w:val="es-ES_tradnl"/>
        </w:rPr>
      </w:pPr>
      <w:r w:rsidRPr="005541DB">
        <w:rPr>
          <w:lang w:val="es-ES_tradnl"/>
        </w:rPr>
        <w:lastRenderedPageBreak/>
        <w:t>1.</w:t>
      </w:r>
      <w:r>
        <w:rPr>
          <w:lang w:val="es-ES_tradnl"/>
        </w:rPr>
        <w:t>3</w:t>
      </w:r>
      <w:r w:rsidRPr="005541DB">
        <w:rPr>
          <w:lang w:val="es-ES_tradnl"/>
        </w:rPr>
        <w:tab/>
        <w:t>Separación de radiocanales</w:t>
      </w:r>
    </w:p>
    <w:p w:rsidR="004D2EF6" w:rsidRPr="005541DB" w:rsidRDefault="004D2EF6" w:rsidP="004D2EF6">
      <w:pPr>
        <w:rPr>
          <w:lang w:val="es-ES_tradnl"/>
        </w:rPr>
      </w:pPr>
      <w:r w:rsidRPr="005541DB">
        <w:rPr>
          <w:lang w:val="es-ES_tradnl"/>
        </w:rPr>
        <w:t>Anchura de banda igual a la separación de frecuencia, definida en la Recomendación UIT</w:t>
      </w:r>
      <w:r w:rsidRPr="005541DB">
        <w:rPr>
          <w:lang w:val="es-ES_tradnl"/>
        </w:rPr>
        <w:noBreakHyphen/>
        <w:t>R F.746, de los canales adyacentes de la correspondiente disposición de radiocanales establecida en la banda de frecuencias atribuida.</w:t>
      </w:r>
    </w:p>
    <w:p w:rsidR="004D2EF6" w:rsidRPr="005541DB" w:rsidRDefault="004D2EF6" w:rsidP="004D2EF6">
      <w:pPr>
        <w:pStyle w:val="Heading2"/>
        <w:rPr>
          <w:lang w:val="es-ES_tradnl"/>
        </w:rPr>
      </w:pPr>
      <w:r w:rsidRPr="005541DB">
        <w:rPr>
          <w:lang w:val="es-ES_tradnl"/>
        </w:rPr>
        <w:t>1.</w:t>
      </w:r>
      <w:r>
        <w:rPr>
          <w:lang w:val="es-ES_tradnl"/>
        </w:rPr>
        <w:t>4</w:t>
      </w:r>
      <w:r w:rsidRPr="005541DB">
        <w:rPr>
          <w:lang w:val="es-ES_tradnl"/>
        </w:rPr>
        <w:tab/>
        <w:t>Banda de guarda</w:t>
      </w:r>
    </w:p>
    <w:p w:rsidR="004D2EF6" w:rsidRPr="005541DB" w:rsidRDefault="004D2EF6" w:rsidP="00F9574E">
      <w:pPr>
        <w:rPr>
          <w:lang w:val="es-ES_tradnl"/>
        </w:rPr>
      </w:pPr>
      <w:r w:rsidRPr="005541DB">
        <w:rPr>
          <w:lang w:val="es-ES_tradnl"/>
        </w:rPr>
        <w:t>Anchura de banda igual a la separación de frecuencia, definida en la Recomendación</w:t>
      </w:r>
      <w:r w:rsidR="00F9574E">
        <w:rPr>
          <w:lang w:val="es-ES_tradnl"/>
        </w:rPr>
        <w:t xml:space="preserve"> </w:t>
      </w:r>
      <w:r w:rsidRPr="005541DB">
        <w:rPr>
          <w:lang w:val="es-ES_tradnl"/>
        </w:rPr>
        <w:t>UIT</w:t>
      </w:r>
      <w:r w:rsidRPr="005541DB">
        <w:rPr>
          <w:lang w:val="es-ES_tradnl"/>
        </w:rPr>
        <w:noBreakHyphen/>
        <w:t xml:space="preserve">R F.746 como </w:t>
      </w:r>
      <w:r w:rsidRPr="005541DB">
        <w:rPr>
          <w:i/>
          <w:lang w:val="es-ES_tradnl"/>
        </w:rPr>
        <w:t>ZS</w:t>
      </w:r>
      <w:r w:rsidRPr="005541DB">
        <w:rPr>
          <w:lang w:val="es-ES_tradnl"/>
        </w:rPr>
        <w:t>, entre la frecuencia central nominal del canal más periférico de una disposición de radiocanales y el límite de la banda atribuida.</w:t>
      </w:r>
    </w:p>
    <w:p w:rsidR="004D2EF6" w:rsidRPr="005541DB" w:rsidRDefault="004D2EF6" w:rsidP="004D2EF6">
      <w:pPr>
        <w:pStyle w:val="Heading2"/>
        <w:rPr>
          <w:lang w:val="es-ES_tradnl"/>
        </w:rPr>
      </w:pPr>
      <w:r w:rsidRPr="005541DB">
        <w:rPr>
          <w:lang w:val="es-ES_tradnl"/>
        </w:rPr>
        <w:t>1.</w:t>
      </w:r>
      <w:r>
        <w:rPr>
          <w:lang w:val="es-ES_tradnl"/>
        </w:rPr>
        <w:t>5</w:t>
      </w:r>
      <w:r w:rsidRPr="005541DB">
        <w:rPr>
          <w:lang w:val="es-ES_tradnl"/>
        </w:rPr>
        <w:tab/>
        <w:t>Sistema multiportadora</w:t>
      </w:r>
    </w:p>
    <w:p w:rsidR="004D2EF6" w:rsidRPr="005541DB" w:rsidRDefault="004D2EF6" w:rsidP="004D2EF6">
      <w:pPr>
        <w:rPr>
          <w:lang w:val="es-ES_tradnl"/>
        </w:rPr>
      </w:pPr>
      <w:r>
        <w:rPr>
          <w:lang w:val="es-ES_tradnl"/>
        </w:rPr>
        <w:t>S</w:t>
      </w:r>
      <w:r w:rsidRPr="005541DB">
        <w:rPr>
          <w:lang w:val="es-ES_tradnl"/>
        </w:rPr>
        <w:t>istemas en los cuales se pueden transmitir simultáneamente múltiples subportadoras desde un amplificador final de salida o una antena activa</w:t>
      </w:r>
      <w:r>
        <w:rPr>
          <w:lang w:val="es-ES_tradnl"/>
        </w:rPr>
        <w:t xml:space="preserve"> en un canal asignado de la configuración de canales pertinente, o en una parte del espectro específica;</w:t>
      </w:r>
    </w:p>
    <w:p w:rsidR="004D2EF6" w:rsidRPr="005541DB" w:rsidRDefault="004D2EF6" w:rsidP="004D2EF6">
      <w:pPr>
        <w:rPr>
          <w:lang w:val="es-ES_tradnl"/>
        </w:rPr>
      </w:pPr>
      <w:r w:rsidRPr="005541DB">
        <w:rPr>
          <w:b/>
          <w:lang w:val="es-ES_tradnl"/>
        </w:rPr>
        <w:t>2</w:t>
      </w:r>
      <w:r w:rsidRPr="005541DB">
        <w:rPr>
          <w:lang w:val="es-ES_tradnl"/>
        </w:rPr>
        <w:tab/>
        <w:t>que se apliquen a los DFSS l</w:t>
      </w:r>
      <w:r>
        <w:rPr>
          <w:lang w:val="es-ES_tradnl"/>
        </w:rPr>
        <w:t xml:space="preserve">os </w:t>
      </w:r>
      <w:r w:rsidRPr="005541DB">
        <w:rPr>
          <w:lang w:val="es-ES_tradnl"/>
        </w:rPr>
        <w:t xml:space="preserve">siguientes </w:t>
      </w:r>
      <w:r>
        <w:rPr>
          <w:lang w:val="es-ES_tradnl"/>
        </w:rPr>
        <w:t>términos</w:t>
      </w:r>
      <w:r w:rsidRPr="005541DB">
        <w:rPr>
          <w:lang w:val="es-ES_tradnl"/>
        </w:rPr>
        <w:t xml:space="preserve"> y objetivos de diseño específicos; la Fig. 1 contiene un ejemplo de estos objetivos y definiciones</w:t>
      </w:r>
      <w:r>
        <w:rPr>
          <w:lang w:val="es-ES_tradnl"/>
        </w:rPr>
        <w:t>;</w:t>
      </w:r>
    </w:p>
    <w:p w:rsidR="004D2EF6" w:rsidRPr="005541DB" w:rsidRDefault="004D2EF6" w:rsidP="00F9574E">
      <w:pPr>
        <w:rPr>
          <w:lang w:val="es-ES_tradnl"/>
        </w:rPr>
      </w:pPr>
      <w:r w:rsidRPr="005541DB">
        <w:rPr>
          <w:b/>
          <w:lang w:val="es-ES_tradnl"/>
        </w:rPr>
        <w:t>2.1</w:t>
      </w:r>
      <w:r w:rsidRPr="005541DB">
        <w:rPr>
          <w:lang w:val="es-ES_tradnl"/>
        </w:rPr>
        <w:tab/>
        <w:t xml:space="preserve">para los DFSS el valor del porcentaje </w:t>
      </w:r>
      <w:r w:rsidR="00F9574E">
        <w:rPr>
          <w:lang w:val="es-ES_tradnl"/>
        </w:rPr>
        <w:sym w:font="Symbol" w:char="F062"/>
      </w:r>
      <w:r w:rsidRPr="005541DB">
        <w:rPr>
          <w:lang w:val="es-ES_tradnl"/>
        </w:rPr>
        <w:t xml:space="preserve">/2 debe ser 0,5%; se supone este porcentaje para transmisores de una sola portadora; en el caso de sistemas multiportadora, este porcentaje, con respecto a la potencia total del conjunto completo de subportadoras se </w:t>
      </w:r>
      <w:r>
        <w:rPr>
          <w:lang w:val="es-ES_tradnl"/>
        </w:rPr>
        <w:t xml:space="preserve">debe </w:t>
      </w:r>
      <w:r w:rsidRPr="005541DB">
        <w:rPr>
          <w:lang w:val="es-ES_tradnl"/>
        </w:rPr>
        <w:t>reduc</w:t>
      </w:r>
      <w:r>
        <w:rPr>
          <w:lang w:val="es-ES_tradnl"/>
        </w:rPr>
        <w:t>ir</w:t>
      </w:r>
      <w:r w:rsidRPr="005541DB">
        <w:rPr>
          <w:lang w:val="es-ES_tradnl"/>
        </w:rPr>
        <w:t xml:space="preserve"> en función del número de subportadoras y de la anchura de banda (véase el § 3 del Anexo 1 para más detalles);</w:t>
      </w:r>
    </w:p>
    <w:p w:rsidR="004D2EF6" w:rsidRPr="005541DB" w:rsidRDefault="004D2EF6" w:rsidP="004D2EF6">
      <w:pPr>
        <w:rPr>
          <w:lang w:val="es-ES_tradnl"/>
        </w:rPr>
      </w:pPr>
      <w:r w:rsidRPr="005541DB">
        <w:rPr>
          <w:b/>
          <w:lang w:val="es-ES_tradnl"/>
        </w:rPr>
        <w:t>2.2</w:t>
      </w:r>
      <w:r w:rsidRPr="005541DB">
        <w:rPr>
          <w:lang w:val="es-ES_tradnl"/>
        </w:rPr>
        <w:tab/>
        <w:t>para los DFSS se ha de considerar que la anchura de banda necesaria tiene el mismo valor que la anchura de banda ocupada;</w:t>
      </w:r>
    </w:p>
    <w:p w:rsidR="004D2EF6" w:rsidRPr="005541DB" w:rsidRDefault="004D2EF6" w:rsidP="004D2EF6">
      <w:pPr>
        <w:rPr>
          <w:lang w:val="es-ES_tradnl"/>
        </w:rPr>
      </w:pPr>
      <w:r w:rsidRPr="005541DB">
        <w:rPr>
          <w:b/>
          <w:lang w:val="es-ES_tradnl"/>
        </w:rPr>
        <w:t>2.3</w:t>
      </w:r>
      <w:r w:rsidRPr="005541DB">
        <w:rPr>
          <w:lang w:val="es-ES_tradnl"/>
        </w:rPr>
        <w:tab/>
        <w:t>según el tipo de disposición de radiocanales utilizada (véase la Nota 2), la capacidad y el formato de modulación de la señal transmitida, los DFSS similares que funcionan en el servicio fijo podrán tener una anchura de banda necesaria no mayor del 20% de la separación de radiocanales (véase la Nota 2); no obstante como los sistemas distintos que funcionan en la misma banda pueden dar lugar a ciertas incompatibilidades, la relación entre la separación de radiocanales y la anchura de banda necesaria requiere nuevos estudios;</w:t>
      </w:r>
    </w:p>
    <w:p w:rsidR="004D2EF6" w:rsidRPr="005541DB" w:rsidRDefault="004D2EF6" w:rsidP="004D2EF6">
      <w:pPr>
        <w:rPr>
          <w:lang w:val="es-ES_tradnl"/>
        </w:rPr>
      </w:pPr>
      <w:r w:rsidRPr="005541DB">
        <w:rPr>
          <w:b/>
          <w:lang w:val="es-ES_tradnl"/>
        </w:rPr>
        <w:t>2.4</w:t>
      </w:r>
      <w:r w:rsidRPr="005541DB">
        <w:rPr>
          <w:lang w:val="es-ES_tradnl"/>
        </w:rPr>
        <w:tab/>
        <w:t>la anchura de banda ocupada se debe determinar por el método de analizador de espectro descrito en la Recomendación UIT-R SM.328 o, siempre que sea posible, mediante una evaluación o integración numérica del espectro emitido real, según se indica en el Anexo 1;</w:t>
      </w:r>
    </w:p>
    <w:p w:rsidR="004D2EF6" w:rsidRPr="005541DB" w:rsidRDefault="004D2EF6" w:rsidP="004D2EF6">
      <w:pPr>
        <w:rPr>
          <w:lang w:val="es-ES_tradnl"/>
        </w:rPr>
      </w:pPr>
      <w:r w:rsidRPr="005541DB">
        <w:rPr>
          <w:b/>
          <w:lang w:val="es-ES_tradnl"/>
        </w:rPr>
        <w:t>2.5</w:t>
      </w:r>
      <w:r w:rsidRPr="005541DB">
        <w:rPr>
          <w:lang w:val="es-ES_tradnl"/>
        </w:rPr>
        <w:tab/>
        <w:t>cuando se efectúan transmisiones en ráfaga (por ejemplo, en los DFSS con acceso múltiple por división en el tiempo (AMDT)), las anchuras de banda y las emisiones se deben efectuar promediando la potencia a lo largo de la duración de la ráfaga;</w:t>
      </w:r>
    </w:p>
    <w:p w:rsidR="004D2EF6" w:rsidRPr="005541DB" w:rsidRDefault="004D2EF6" w:rsidP="004D2EF6">
      <w:pPr>
        <w:rPr>
          <w:lang w:val="es-ES_tradnl"/>
        </w:rPr>
      </w:pPr>
      <w:r w:rsidRPr="005541DB">
        <w:rPr>
          <w:b/>
          <w:lang w:val="es-ES_tradnl"/>
        </w:rPr>
        <w:t>2.6</w:t>
      </w:r>
      <w:r w:rsidRPr="005541DB">
        <w:rPr>
          <w:lang w:val="es-ES_tradnl"/>
        </w:rPr>
        <w:tab/>
        <w:t>los DFSS deben utilizar circuitos de aleatorización adecuados para que todas las emisiones espectrales (tanto deseadas como no deseadas) sean independientes del tren de datos de entrada;</w:t>
      </w:r>
    </w:p>
    <w:p w:rsidR="004D2EF6" w:rsidRPr="005541DB" w:rsidRDefault="004D2EF6" w:rsidP="004D2EF6">
      <w:pPr>
        <w:rPr>
          <w:lang w:val="es-ES_tradnl"/>
        </w:rPr>
      </w:pPr>
      <w:r w:rsidRPr="005541DB">
        <w:rPr>
          <w:b/>
          <w:lang w:val="es-ES_tradnl"/>
        </w:rPr>
        <w:t>2.7</w:t>
      </w:r>
      <w:r w:rsidRPr="005541DB">
        <w:rPr>
          <w:lang w:val="es-ES_tradnl"/>
        </w:rPr>
        <w:tab/>
        <w:t xml:space="preserve">toda emisión no deseada que corresponde a frecuencias separadas de la frecuencia central del canal de radiofrecuencia menos el 250% de la separación de canales pertinente, en la que se prevé utilizar el sistema, se considerará generalmente una emisión </w:t>
      </w:r>
      <w:r>
        <w:rPr>
          <w:lang w:val="es-ES_tradnl"/>
        </w:rPr>
        <w:t>no deseada en el dominio fuera de banda (véase la Nota 4). Cuando el DFSS esté destinado a una banda de frecuencias donde no se ha establecido una configuración de canales, se utilizará para evaluar el límite del 250% la anchura de banda necesaria en lugar de la separación de canales</w:t>
      </w:r>
      <w:r w:rsidRPr="005541DB">
        <w:rPr>
          <w:lang w:val="es-ES_tradnl"/>
        </w:rPr>
        <w:t>;</w:t>
      </w:r>
    </w:p>
    <w:p w:rsidR="00A3651C" w:rsidRDefault="00A3651C">
      <w:pPr>
        <w:tabs>
          <w:tab w:val="clear" w:pos="794"/>
          <w:tab w:val="clear" w:pos="1191"/>
          <w:tab w:val="clear" w:pos="1588"/>
          <w:tab w:val="clear" w:pos="1985"/>
        </w:tabs>
        <w:overflowPunct/>
        <w:autoSpaceDE/>
        <w:autoSpaceDN/>
        <w:adjustRightInd/>
        <w:spacing w:before="0"/>
        <w:jc w:val="left"/>
        <w:textAlignment w:val="auto"/>
        <w:rPr>
          <w:b/>
          <w:lang w:val="es-ES_tradnl"/>
        </w:rPr>
      </w:pPr>
      <w:r>
        <w:rPr>
          <w:b/>
          <w:lang w:val="es-ES_tradnl"/>
        </w:rPr>
        <w:br w:type="page"/>
      </w:r>
    </w:p>
    <w:p w:rsidR="004D2EF6" w:rsidRPr="005541DB" w:rsidRDefault="004D2EF6" w:rsidP="004D2EF6">
      <w:pPr>
        <w:rPr>
          <w:lang w:val="es-ES_tradnl"/>
        </w:rPr>
      </w:pPr>
      <w:r w:rsidRPr="005541DB">
        <w:rPr>
          <w:b/>
          <w:lang w:val="es-ES_tradnl"/>
        </w:rPr>
        <w:lastRenderedPageBreak/>
        <w:t>2.8</w:t>
      </w:r>
      <w:r w:rsidRPr="005541DB">
        <w:rPr>
          <w:lang w:val="es-ES_tradnl"/>
        </w:rPr>
        <w:tab/>
        <w:t xml:space="preserve">toda emisión no deseada que corresponde a frecuencias separadas de la frecuencia central del canal de radiofrecuencia el 250% o más de la separación de canales pertinente, en la que se prevé utilizar el sistema, se considerará generalmente una emisión no esencial </w:t>
      </w:r>
      <w:r>
        <w:rPr>
          <w:lang w:val="es-ES_tradnl"/>
        </w:rPr>
        <w:t>en el dominio no esencial (véase la Nota 4). Cuando el DFSS esté destinado a una banda de frecuencias donde no se ha establecido una configuración de canales, se utilizará para evaluar el límite del 250% la anchura de banda necesaria en lugar de la separación de canales</w:t>
      </w:r>
      <w:r w:rsidRPr="005541DB">
        <w:rPr>
          <w:lang w:val="es-ES_tradnl"/>
        </w:rPr>
        <w:t>;</w:t>
      </w:r>
    </w:p>
    <w:p w:rsidR="004D2EF6" w:rsidRPr="005541DB" w:rsidRDefault="004D2EF6" w:rsidP="004D2EF6">
      <w:pPr>
        <w:rPr>
          <w:lang w:val="es-ES_tradnl"/>
        </w:rPr>
      </w:pPr>
      <w:r w:rsidRPr="005541DB">
        <w:rPr>
          <w:b/>
          <w:lang w:val="es-ES_tradnl"/>
        </w:rPr>
        <w:t>2.9</w:t>
      </w:r>
      <w:r w:rsidRPr="005541DB">
        <w:rPr>
          <w:lang w:val="es-ES_tradnl"/>
        </w:rPr>
        <w:tab/>
        <w:t>por encima y por debajo de los límites de la anchura de banda necesaria, el nivel de potencia media admisible de la emisión no deseada debe ser inferior</w:t>
      </w:r>
      <w:r>
        <w:rPr>
          <w:lang w:val="es-ES_tradnl"/>
        </w:rPr>
        <w:t xml:space="preserve"> o igual al 0,5% de la potencia</w:t>
      </w:r>
      <w:r w:rsidRPr="005541DB">
        <w:rPr>
          <w:lang w:val="es-ES_tradnl"/>
        </w:rPr>
        <w:t xml:space="preserve"> media transmitida total en el puerto de la antena radioeléctrica (véase la Nota 3); en el caso de sistemas multiportadora esta regla se aplicará a las subportadoras más alejadas;</w:t>
      </w:r>
    </w:p>
    <w:p w:rsidR="004D2EF6" w:rsidRPr="005541DB" w:rsidRDefault="004D2EF6" w:rsidP="004D2EF6">
      <w:pPr>
        <w:rPr>
          <w:lang w:val="es-ES_tradnl"/>
        </w:rPr>
      </w:pPr>
      <w:r w:rsidRPr="005541DB">
        <w:rPr>
          <w:b/>
          <w:lang w:val="es-ES_tradnl"/>
        </w:rPr>
        <w:t>2.10</w:t>
      </w:r>
      <w:r w:rsidRPr="005541DB">
        <w:rPr>
          <w:lang w:val="es-ES_tradnl"/>
        </w:rPr>
        <w:tab/>
        <w:t xml:space="preserve">desde el punto de vista de la reglamentación internacional, actualmente </w:t>
      </w:r>
      <w:r>
        <w:rPr>
          <w:lang w:val="es-ES_tradnl"/>
        </w:rPr>
        <w:t xml:space="preserve">puede </w:t>
      </w:r>
      <w:r w:rsidRPr="005541DB">
        <w:rPr>
          <w:lang w:val="es-ES_tradnl"/>
        </w:rPr>
        <w:t xml:space="preserve">no </w:t>
      </w:r>
      <w:r>
        <w:rPr>
          <w:lang w:val="es-ES_tradnl"/>
        </w:rPr>
        <w:t>ser</w:t>
      </w:r>
      <w:r w:rsidRPr="005541DB">
        <w:rPr>
          <w:lang w:val="es-ES_tradnl"/>
        </w:rPr>
        <w:t xml:space="preserve"> necesario imponer ninguna limitación adicional a la forma espectral de las emisiones no deseadas de los DFSS;</w:t>
      </w:r>
    </w:p>
    <w:p w:rsidR="004D2EF6" w:rsidRPr="005541DB" w:rsidRDefault="004D2EF6" w:rsidP="004D2EF6">
      <w:pPr>
        <w:rPr>
          <w:lang w:val="es-ES_tradnl"/>
        </w:rPr>
      </w:pPr>
      <w:r w:rsidRPr="005541DB">
        <w:rPr>
          <w:b/>
          <w:lang w:val="es-ES_tradnl"/>
        </w:rPr>
        <w:t>2.11</w:t>
      </w:r>
      <w:r w:rsidRPr="005541DB">
        <w:rPr>
          <w:b/>
          <w:lang w:val="es-ES_tradnl"/>
        </w:rPr>
        <w:tab/>
      </w:r>
      <w:r w:rsidRPr="005541DB">
        <w:rPr>
          <w:lang w:val="es-ES_tradnl"/>
        </w:rPr>
        <w:t>los niveles de las emisiones no esenciales, la gama de frecuencias para su medición y la anchura de banda de referencia en la que se determinan los niveles deben ser los definidos en</w:t>
      </w:r>
      <w:r>
        <w:rPr>
          <w:lang w:val="es-ES_tradnl"/>
        </w:rPr>
        <w:t xml:space="preserve"> la Recomendación UIT-R SM.329 </w:t>
      </w:r>
      <w:r w:rsidRPr="005541DB">
        <w:rPr>
          <w:lang w:val="es-ES_tradnl"/>
        </w:rPr>
        <w:t>(véase la Nota 4). Cuando se hacen asignaciones en bloque con carácter exclusivo, los transmisores que funcionan en subcanales divididos por el operador autorizado pueden en principio estar exentos, dentro del bloque, del cumplimiento de los límites de emisiones no deseadas que se han de satisfacer fuera del bloque; sin embargo, en las fronteras entre países debe establecerse un acuerdo entre las administraciones afectadas puesto que estas administraciones pueden tener autorización de utilización de la banda de un modo diferente;</w:t>
      </w:r>
    </w:p>
    <w:p w:rsidR="004D2EF6" w:rsidRPr="005541DB" w:rsidRDefault="004D2EF6" w:rsidP="004D2EF6">
      <w:pPr>
        <w:rPr>
          <w:lang w:val="es-ES_tradnl"/>
        </w:rPr>
      </w:pPr>
      <w:r w:rsidRPr="005541DB">
        <w:rPr>
          <w:b/>
          <w:bCs/>
          <w:lang w:val="es-ES_tradnl"/>
        </w:rPr>
        <w:t>2.12</w:t>
      </w:r>
      <w:r w:rsidRPr="005541DB">
        <w:rPr>
          <w:lang w:val="es-ES_tradnl"/>
        </w:rPr>
        <w:tab/>
        <w:t xml:space="preserve">cualquier límite de emisiones </w:t>
      </w:r>
      <w:r>
        <w:rPr>
          <w:lang w:val="es-ES_tradnl"/>
        </w:rPr>
        <w:t xml:space="preserve">no deseadas en el dominio </w:t>
      </w:r>
      <w:r w:rsidRPr="005541DB">
        <w:rPr>
          <w:lang w:val="es-ES_tradnl"/>
        </w:rPr>
        <w:t xml:space="preserve">fuera de banda «red de seguridad» desarrollado por </w:t>
      </w:r>
      <w:r>
        <w:rPr>
          <w:lang w:val="es-ES_tradnl"/>
        </w:rPr>
        <w:t>el UIT-R</w:t>
      </w:r>
      <w:r w:rsidRPr="005541DB">
        <w:rPr>
          <w:lang w:val="es-ES_tradnl"/>
        </w:rPr>
        <w:t xml:space="preserve"> debe considerarse un límite absoluto para el caso más desfavorable al que debe ajustarse cualquier nuevo diseño DFSS;</w:t>
      </w:r>
    </w:p>
    <w:p w:rsidR="004D2EF6" w:rsidRPr="005541DB" w:rsidRDefault="004D2EF6" w:rsidP="004D2EF6">
      <w:pPr>
        <w:rPr>
          <w:lang w:val="es-ES_tradnl"/>
        </w:rPr>
      </w:pPr>
      <w:r w:rsidRPr="005541DB">
        <w:rPr>
          <w:b/>
          <w:lang w:val="es-ES_tradnl"/>
        </w:rPr>
        <w:t>2.13</w:t>
      </w:r>
      <w:r w:rsidRPr="005541DB">
        <w:rPr>
          <w:lang w:val="es-ES_tradnl"/>
        </w:rPr>
        <w:tab/>
        <w:t>si las administraciones que comparten el borde de una misma banda no acuerdan otra cosa, los transmisores radioeléctricos fijos digitales que funcionen en las frecuencias de los canales más periféricos de una disposición de radiocanales deben tener una anchura de banda ocupada tal que la suma de la parte más periférica de ésta con respecto a la frecuencia central del canal más el valor absoluto de la tolerancia de frecuencia (véase la Nota </w:t>
      </w:r>
      <w:r>
        <w:rPr>
          <w:lang w:val="es-ES_tradnl"/>
        </w:rPr>
        <w:t>5</w:t>
      </w:r>
      <w:r w:rsidRPr="005541DB">
        <w:rPr>
          <w:lang w:val="es-ES_tradnl"/>
        </w:rPr>
        <w:t xml:space="preserve">) arroje una anchura de banda inferior o igual al valor de </w:t>
      </w:r>
      <w:r w:rsidRPr="005541DB">
        <w:rPr>
          <w:i/>
          <w:lang w:val="es-ES_tradnl"/>
        </w:rPr>
        <w:t>ZS</w:t>
      </w:r>
      <w:r w:rsidRPr="005541DB">
        <w:rPr>
          <w:lang w:val="es-ES_tradnl"/>
        </w:rPr>
        <w:t xml:space="preserve"> definido en el § 1.</w:t>
      </w:r>
      <w:r>
        <w:rPr>
          <w:lang w:val="es-ES_tradnl"/>
        </w:rPr>
        <w:t>4</w:t>
      </w:r>
      <w:r w:rsidRPr="005541DB">
        <w:rPr>
          <w:lang w:val="es-ES_tradnl"/>
        </w:rPr>
        <w:t>.</w:t>
      </w:r>
    </w:p>
    <w:p w:rsidR="004D2EF6" w:rsidRDefault="004D2EF6" w:rsidP="00650A63">
      <w:pPr>
        <w:rPr>
          <w:lang w:val="es-ES_tradnl"/>
        </w:rPr>
      </w:pPr>
      <w:r w:rsidRPr="005541DB">
        <w:rPr>
          <w:lang w:val="es-ES_tradnl"/>
        </w:rPr>
        <w:t>NOTA 1 – </w:t>
      </w:r>
      <w:r>
        <w:rPr>
          <w:lang w:val="es-ES_tradnl"/>
        </w:rPr>
        <w:t>El límite genérico</w:t>
      </w:r>
      <w:r w:rsidRPr="005541DB">
        <w:rPr>
          <w:lang w:val="es-ES_tradnl"/>
        </w:rPr>
        <w:t xml:space="preserve"> se considera por lo general una envolvente de casos más desfavorables basada en los límites de emisión fuera de banda más restrictivos utilizados con éxito como reglamentación nacional o regional en zonas de alta densidad de radiocomunicaciones y que representan una porción importante de la base de la fabricación de radiocomunicaciones. El término «por lo general» se aplica para cubrir los casos excepcionales en que puede haberse utilizado una plantilla particularmente no restrictiva, por ejemplo, para alentar el desarrollo de equipos en una banda no atractiva</w:t>
      </w:r>
      <w:r>
        <w:rPr>
          <w:lang w:val="es-ES_tradnl"/>
        </w:rPr>
        <w:t xml:space="preserve"> (véase el </w:t>
      </w:r>
      <w:r>
        <w:rPr>
          <w:i/>
          <w:iCs/>
          <w:lang w:val="es-ES_tradnl"/>
        </w:rPr>
        <w:t>observando</w:t>
      </w:r>
      <w:r>
        <w:rPr>
          <w:lang w:val="es-ES_tradnl"/>
        </w:rPr>
        <w:t xml:space="preserve"> c))</w:t>
      </w:r>
      <w:r w:rsidRPr="005541DB">
        <w:rPr>
          <w:lang w:val="es-ES_tradnl"/>
        </w:rPr>
        <w:t>.</w:t>
      </w:r>
    </w:p>
    <w:p w:rsidR="004D2EF6" w:rsidRPr="00302614" w:rsidRDefault="004D2EF6" w:rsidP="004D2EF6">
      <w:pPr>
        <w:pStyle w:val="Note"/>
        <w:rPr>
          <w:sz w:val="24"/>
          <w:lang w:val="es-ES_tradnl"/>
        </w:rPr>
      </w:pPr>
      <w:r w:rsidRPr="00302614">
        <w:rPr>
          <w:b/>
          <w:sz w:val="24"/>
          <w:lang w:val="es-ES_tradnl"/>
        </w:rPr>
        <w:t>2.14</w:t>
      </w:r>
      <w:r>
        <w:rPr>
          <w:lang w:val="es-ES_tradnl"/>
        </w:rPr>
        <w:tab/>
      </w:r>
      <w:r w:rsidRPr="00302614">
        <w:rPr>
          <w:sz w:val="24"/>
          <w:lang w:val="es-ES_tradnl"/>
        </w:rPr>
        <w:t>que las siguientes Notas 2 a 5 se consideran parte de la presente Recomendación.</w:t>
      </w:r>
    </w:p>
    <w:p w:rsidR="004D2EF6" w:rsidRPr="005541DB" w:rsidRDefault="004D2EF6" w:rsidP="00650A63">
      <w:pPr>
        <w:rPr>
          <w:lang w:val="es-ES_tradnl"/>
        </w:rPr>
      </w:pPr>
      <w:r w:rsidRPr="005541DB">
        <w:rPr>
          <w:lang w:val="es-ES_tradnl"/>
        </w:rPr>
        <w:t>NOTA 2 – Para la definición de las disposiciones de radiocanales alternada de reutilización de banda en modo canal común y de reutilización de banda en modo entrelazado, véase la Recomendación UIT</w:t>
      </w:r>
      <w:r w:rsidRPr="005541DB">
        <w:rPr>
          <w:lang w:val="es-ES_tradnl"/>
        </w:rPr>
        <w:noBreakHyphen/>
        <w:t xml:space="preserve">R F.746. La separación de canales se define como </w:t>
      </w:r>
      <w:r w:rsidRPr="005541DB">
        <w:rPr>
          <w:i/>
          <w:lang w:val="es-ES_tradnl"/>
        </w:rPr>
        <w:t>XS</w:t>
      </w:r>
      <w:r w:rsidRPr="005541DB">
        <w:rPr>
          <w:lang w:val="es-ES_tradnl"/>
        </w:rPr>
        <w:t xml:space="preserve">/2 para las disposiciones de canales alternados y como </w:t>
      </w:r>
      <w:r w:rsidRPr="005541DB">
        <w:rPr>
          <w:i/>
          <w:lang w:val="es-ES_tradnl"/>
        </w:rPr>
        <w:t>XS</w:t>
      </w:r>
      <w:r w:rsidRPr="005541DB">
        <w:rPr>
          <w:lang w:val="es-ES_tradnl"/>
        </w:rPr>
        <w:t xml:space="preserve"> para las disposiciones cocanal y de frecuencias entrelazadas.</w:t>
      </w:r>
    </w:p>
    <w:p w:rsidR="004D2EF6" w:rsidRPr="005541DB" w:rsidRDefault="004D2EF6" w:rsidP="00650A63">
      <w:pPr>
        <w:rPr>
          <w:lang w:val="es-ES_tradnl"/>
        </w:rPr>
      </w:pPr>
      <w:r w:rsidRPr="005541DB">
        <w:rPr>
          <w:lang w:val="es-ES_tradnl"/>
        </w:rPr>
        <w:t>NOTA 3 – Debido a posibles problemas de incompatibilidad, hay que actuar con cautela al aplicar esta Recomendación a los sistemas de gran capacidad, a las bandas que tienen sistemas distintos en canales adyacentes y a las bandas compartidas con otros servicios.</w:t>
      </w:r>
    </w:p>
    <w:p w:rsidR="00A3651C" w:rsidRDefault="00A3651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4D2EF6" w:rsidRPr="005541DB" w:rsidRDefault="004D2EF6" w:rsidP="00111C0B">
      <w:pPr>
        <w:rPr>
          <w:lang w:val="es-ES_tradnl"/>
        </w:rPr>
      </w:pPr>
      <w:r w:rsidRPr="005541DB">
        <w:rPr>
          <w:lang w:val="es-ES_tradnl"/>
        </w:rPr>
        <w:lastRenderedPageBreak/>
        <w:t>NOTA 4 – </w:t>
      </w:r>
      <w:r>
        <w:rPr>
          <w:lang w:val="es-ES_tradnl"/>
        </w:rPr>
        <w:t>En la Recomendación UIT-R SM.1539 pueden encontrarse orientaciones sobre las variaciones de los límites en el caso de las emisiones en banda muy estrecha y en banda muy ancha. Además, d</w:t>
      </w:r>
      <w:r w:rsidRPr="005541DB">
        <w:rPr>
          <w:lang w:val="es-ES_tradnl"/>
        </w:rPr>
        <w:t xml:space="preserve">ado que la Recomendación UIT-R SM.329 permite valores límites distintos de </w:t>
      </w:r>
      <w:r w:rsidR="00111C0B">
        <w:rPr>
          <w:lang w:val="es-ES_tradnl"/>
        </w:rPr>
        <w:sym w:font="Symbol" w:char="F0B1"/>
      </w:r>
      <w:r w:rsidRPr="005541DB">
        <w:rPr>
          <w:lang w:val="es-ES_tradnl"/>
        </w:rPr>
        <w:t>250%, a continuación figuran las siguientes recomendaciones provisionales para los DFSS que funcionan por encima de 1 GHz con una separación de canales inferior a 2 MHz:</w:t>
      </w:r>
    </w:p>
    <w:p w:rsidR="004D2EF6" w:rsidRPr="005541DB" w:rsidRDefault="004D2EF6" w:rsidP="00111C0B">
      <w:pPr>
        <w:pStyle w:val="enumlev1"/>
        <w:rPr>
          <w:lang w:val="es-ES_tradnl"/>
        </w:rPr>
      </w:pPr>
      <w:r w:rsidRPr="005541DB">
        <w:rPr>
          <w:lang w:val="es-ES_tradnl"/>
        </w:rPr>
        <w:t>–</w:t>
      </w:r>
      <w:r w:rsidRPr="005541DB">
        <w:rPr>
          <w:lang w:val="es-ES_tradnl"/>
        </w:rPr>
        <w:tab/>
        <w:t>que el límite entre las emisiones no esenciales y las emisiones fuera de banda se establezca en</w:t>
      </w:r>
      <w:r>
        <w:rPr>
          <w:lang w:val="es-ES_tradnl"/>
        </w:rPr>
        <w:t> </w:t>
      </w:r>
      <w:r w:rsidR="00111C0B">
        <w:rPr>
          <w:lang w:val="es-ES_tradnl"/>
        </w:rPr>
        <w:sym w:font="Symbol" w:char="F0B1"/>
      </w:r>
      <w:r w:rsidRPr="005541DB">
        <w:rPr>
          <w:lang w:val="es-ES_tradnl"/>
        </w:rPr>
        <w:t>500% de la separación de canales;</w:t>
      </w:r>
    </w:p>
    <w:p w:rsidR="004D2EF6" w:rsidRPr="005541DB" w:rsidRDefault="004D2EF6" w:rsidP="00111C0B">
      <w:pPr>
        <w:pStyle w:val="enumlev1"/>
        <w:rPr>
          <w:lang w:val="es-ES_tradnl"/>
        </w:rPr>
      </w:pPr>
      <w:r w:rsidRPr="005541DB">
        <w:rPr>
          <w:lang w:val="es-ES_tradnl"/>
        </w:rPr>
        <w:t>–</w:t>
      </w:r>
      <w:r w:rsidRPr="005541DB">
        <w:rPr>
          <w:lang w:val="es-ES_tradnl"/>
        </w:rPr>
        <w:tab/>
        <w:t>que la anchura de banda de referencia sea de 100 kHz en la gama de frecuencias entre este límite y</w:t>
      </w:r>
      <w:r>
        <w:rPr>
          <w:lang w:val="es-ES_tradnl"/>
        </w:rPr>
        <w:t> </w:t>
      </w:r>
      <w:r w:rsidR="00111C0B">
        <w:rPr>
          <w:lang w:val="es-ES_tradnl"/>
        </w:rPr>
        <w:sym w:font="Symbol" w:char="F0B1"/>
      </w:r>
      <w:r w:rsidRPr="005541DB">
        <w:rPr>
          <w:lang w:val="es-ES_tradnl"/>
        </w:rPr>
        <w:t>20 MHz de la frecuencia central nominal;</w:t>
      </w:r>
    </w:p>
    <w:p w:rsidR="004D2EF6" w:rsidRPr="005541DB" w:rsidRDefault="004D2EF6" w:rsidP="00657E36">
      <w:pPr>
        <w:rPr>
          <w:lang w:val="es-ES_tradnl"/>
        </w:rPr>
      </w:pPr>
      <w:r w:rsidRPr="005541DB">
        <w:rPr>
          <w:lang w:val="es-ES_tradnl"/>
        </w:rPr>
        <w:t>y también para los DFSS que funcionan por encima de 1 GHz con una potencia del transmisor de 20</w:t>
      </w:r>
      <w:r w:rsidR="00657E36">
        <w:rPr>
          <w:lang w:val="es-ES_tradnl"/>
        </w:rPr>
        <w:t> </w:t>
      </w:r>
      <w:r w:rsidRPr="005541DB">
        <w:rPr>
          <w:lang w:val="es-ES_tradnl"/>
        </w:rPr>
        <w:t>W o más y con una separación de canales entre 2 y 14 MHz:</w:t>
      </w:r>
    </w:p>
    <w:p w:rsidR="004D2EF6" w:rsidRPr="005541DB" w:rsidRDefault="004D2EF6" w:rsidP="00111C0B">
      <w:pPr>
        <w:pStyle w:val="enumlev1"/>
        <w:rPr>
          <w:lang w:val="es-ES_tradnl"/>
        </w:rPr>
      </w:pPr>
      <w:r w:rsidRPr="005541DB">
        <w:rPr>
          <w:lang w:val="es-ES_tradnl"/>
        </w:rPr>
        <w:t>–</w:t>
      </w:r>
      <w:r w:rsidRPr="005541DB">
        <w:rPr>
          <w:lang w:val="es-ES_tradnl"/>
        </w:rPr>
        <w:tab/>
        <w:t>que el límite entre las emisiones no esenciales y las emisiones fuera de banda se establezca en</w:t>
      </w:r>
      <w:r>
        <w:rPr>
          <w:lang w:val="es-ES_tradnl"/>
        </w:rPr>
        <w:t> </w:t>
      </w:r>
      <w:r w:rsidR="00111C0B">
        <w:rPr>
          <w:lang w:val="es-ES_tradnl"/>
        </w:rPr>
        <w:sym w:font="Symbol" w:char="F0B1"/>
      </w:r>
      <w:r w:rsidRPr="005541DB">
        <w:rPr>
          <w:lang w:val="es-ES_tradnl"/>
        </w:rPr>
        <w:t>250% de la separación de canal;</w:t>
      </w:r>
    </w:p>
    <w:p w:rsidR="004D2EF6" w:rsidRPr="005541DB" w:rsidRDefault="004D2EF6" w:rsidP="00111C0B">
      <w:pPr>
        <w:pStyle w:val="enumlev1"/>
        <w:rPr>
          <w:lang w:val="es-ES_tradnl"/>
        </w:rPr>
      </w:pPr>
      <w:r w:rsidRPr="005541DB">
        <w:rPr>
          <w:lang w:val="es-ES_tradnl"/>
        </w:rPr>
        <w:t>–</w:t>
      </w:r>
      <w:r w:rsidRPr="005541DB">
        <w:rPr>
          <w:lang w:val="es-ES_tradnl"/>
        </w:rPr>
        <w:tab/>
        <w:t>que la anchura de banda de referencia sea de 100 kHz en la gama de frecuencias entre este límite y</w:t>
      </w:r>
      <w:r>
        <w:rPr>
          <w:lang w:val="es-ES_tradnl"/>
        </w:rPr>
        <w:t> </w:t>
      </w:r>
      <w:r w:rsidR="00111C0B">
        <w:rPr>
          <w:lang w:val="es-ES_tradnl"/>
        </w:rPr>
        <w:sym w:font="Symbol" w:char="F0B1"/>
      </w:r>
      <w:r w:rsidRPr="005541DB">
        <w:rPr>
          <w:lang w:val="es-ES_tradnl"/>
        </w:rPr>
        <w:t>70 MHz de la frecuencia central nominal.</w:t>
      </w:r>
    </w:p>
    <w:p w:rsidR="004D2EF6" w:rsidRPr="005541DB" w:rsidRDefault="004D2EF6" w:rsidP="00657E36">
      <w:pPr>
        <w:rPr>
          <w:lang w:val="es-ES_tradnl"/>
        </w:rPr>
      </w:pPr>
      <w:r>
        <w:rPr>
          <w:lang w:val="es-ES_tradnl"/>
        </w:rPr>
        <w:t>NOTA</w:t>
      </w:r>
      <w:r w:rsidR="00657E36">
        <w:rPr>
          <w:lang w:val="es-ES_tradnl"/>
        </w:rPr>
        <w:t> </w:t>
      </w:r>
      <w:r>
        <w:rPr>
          <w:lang w:val="es-ES_tradnl"/>
        </w:rPr>
        <w:t>5</w:t>
      </w:r>
      <w:r w:rsidR="00657E36">
        <w:rPr>
          <w:lang w:val="es-ES_tradnl"/>
        </w:rPr>
        <w:t> </w:t>
      </w:r>
      <w:r>
        <w:rPr>
          <w:lang w:val="es-ES_tradnl"/>
        </w:rPr>
        <w:t>–</w:t>
      </w:r>
      <w:r w:rsidR="00657E36">
        <w:rPr>
          <w:lang w:val="es-ES_tradnl"/>
        </w:rPr>
        <w:t> </w:t>
      </w:r>
      <w:r w:rsidRPr="005541DB">
        <w:rPr>
          <w:lang w:val="es-ES_tradnl"/>
        </w:rPr>
        <w:t xml:space="preserve">La </w:t>
      </w:r>
      <w:r>
        <w:rPr>
          <w:lang w:val="es-ES_tradnl"/>
        </w:rPr>
        <w:t>determinación</w:t>
      </w:r>
      <w:r w:rsidRPr="005541DB">
        <w:rPr>
          <w:lang w:val="es-ES_tradnl"/>
        </w:rPr>
        <w:t xml:space="preserve"> precisa de los valores de tolerancia de frecuencia corresponde a las instancias reglamentadoras nacionales.</w:t>
      </w:r>
    </w:p>
    <w:p w:rsidR="004D2EF6" w:rsidRDefault="004D2EF6" w:rsidP="004D2EF6">
      <w:pPr>
        <w:pStyle w:val="FigureNo"/>
        <w:rPr>
          <w:noProof/>
          <w:lang w:val="es-ES_tradnl" w:eastAsia="zh-CN"/>
        </w:rPr>
        <w:sectPr w:rsidR="004D2EF6" w:rsidSect="00EE6B15">
          <w:headerReference w:type="even" r:id="rId13"/>
          <w:headerReference w:type="default" r:id="rId14"/>
          <w:footerReference w:type="default" r:id="rId15"/>
          <w:pgSz w:w="11907" w:h="16834" w:code="9"/>
          <w:pgMar w:top="1418" w:right="1134" w:bottom="1134" w:left="1134" w:header="720" w:footer="482" w:gutter="0"/>
          <w:paperSrc w:first="15" w:other="15"/>
          <w:pgNumType w:start="1"/>
          <w:cols w:space="720"/>
        </w:sectPr>
      </w:pPr>
    </w:p>
    <w:p w:rsidR="004D2EF6" w:rsidRDefault="004D2EF6" w:rsidP="004D2EF6">
      <w:pPr>
        <w:pStyle w:val="FigureNo"/>
        <w:rPr>
          <w:noProof/>
          <w:lang w:val="es-ES_tradnl" w:eastAsia="zh-CN"/>
        </w:rPr>
      </w:pPr>
      <w:r w:rsidRPr="005F361D">
        <w:rPr>
          <w:noProof/>
          <w:lang w:val="es-ES_tradnl" w:eastAsia="zh-CN"/>
        </w:rPr>
        <w:lastRenderedPageBreak/>
        <w:t>f</w:t>
      </w:r>
      <w:r>
        <w:rPr>
          <w:noProof/>
          <w:lang w:val="es-ES_tradnl" w:eastAsia="zh-CN"/>
        </w:rPr>
        <w:t>igura 1</w:t>
      </w:r>
    </w:p>
    <w:p w:rsidR="004D2EF6" w:rsidRDefault="004D2EF6" w:rsidP="004D2EF6">
      <w:pPr>
        <w:pStyle w:val="Figuretitle"/>
        <w:rPr>
          <w:lang w:val="es-ES_tradnl" w:eastAsia="zh-CN"/>
        </w:rPr>
      </w:pPr>
      <w:r>
        <w:rPr>
          <w:lang w:val="es-ES_tradnl" w:eastAsia="zh-CN"/>
        </w:rPr>
        <w:t>Objetivos de atenuación de las emisiones no deseadas y definición de las anchuras de banda de los DFSS</w:t>
      </w:r>
    </w:p>
    <w:p w:rsidR="004D2EF6" w:rsidRPr="00F44D4D" w:rsidRDefault="004D2EF6" w:rsidP="004D2EF6">
      <w:pPr>
        <w:pStyle w:val="Figure"/>
        <w:rPr>
          <w:lang w:val="es-ES_tradnl" w:eastAsia="zh-CN"/>
        </w:rPr>
      </w:pPr>
    </w:p>
    <w:p w:rsidR="004D2EF6" w:rsidRPr="002A22A5" w:rsidRDefault="006F58E9" w:rsidP="004D2EF6">
      <w:pPr>
        <w:pStyle w:val="Figure"/>
        <w:rPr>
          <w:lang w:val="es-ES_tradnl" w:eastAsia="zh-CN"/>
        </w:rPr>
      </w:pPr>
      <w:r>
        <w:object w:dxaOrig="14291" w:dyaOrig="5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6pt;height:297pt" o:ole="">
            <v:imagedata r:id="rId16" o:title=""/>
          </v:shape>
          <o:OLEObject Type="Embed" ProgID="CorelDRAW.Graphic.14" ShapeID="_x0000_i1025" DrawAspect="Content" ObjectID="_1375534370" r:id="rId17"/>
        </w:object>
      </w:r>
    </w:p>
    <w:p w:rsidR="004D2EF6" w:rsidRDefault="004D2EF6" w:rsidP="004D2EF6">
      <w:pPr>
        <w:pStyle w:val="AnnexNo"/>
        <w:rPr>
          <w:lang w:val="es-ES_tradnl"/>
        </w:rPr>
        <w:sectPr w:rsidR="004D2EF6" w:rsidSect="00EE6B15">
          <w:headerReference w:type="even" r:id="rId18"/>
          <w:footerReference w:type="even" r:id="rId19"/>
          <w:pgSz w:w="16834" w:h="11907" w:orient="landscape" w:code="9"/>
          <w:pgMar w:top="1134" w:right="1418" w:bottom="1134" w:left="1134" w:header="720" w:footer="482" w:gutter="0"/>
          <w:paperSrc w:first="15" w:other="15"/>
          <w:cols w:space="720"/>
          <w:docGrid w:linePitch="326"/>
        </w:sectPr>
      </w:pPr>
    </w:p>
    <w:p w:rsidR="004D2EF6" w:rsidRPr="005541DB" w:rsidRDefault="004D2EF6" w:rsidP="00650A63">
      <w:pPr>
        <w:pStyle w:val="AnnexNoTitle"/>
        <w:rPr>
          <w:lang w:val="es-ES_tradnl"/>
        </w:rPr>
      </w:pPr>
      <w:r w:rsidRPr="005541DB">
        <w:rPr>
          <w:lang w:val="es-ES_tradnl"/>
        </w:rPr>
        <w:lastRenderedPageBreak/>
        <w:t>A</w:t>
      </w:r>
      <w:r w:rsidR="00650A63" w:rsidRPr="005541DB">
        <w:rPr>
          <w:lang w:val="es-ES_tradnl"/>
        </w:rPr>
        <w:t>nexo</w:t>
      </w:r>
      <w:r w:rsidRPr="005541DB">
        <w:rPr>
          <w:lang w:val="es-ES_tradnl"/>
        </w:rPr>
        <w:t xml:space="preserve"> 1</w:t>
      </w:r>
    </w:p>
    <w:p w:rsidR="004D2EF6" w:rsidRPr="005541DB" w:rsidRDefault="004D2EF6" w:rsidP="00650A63">
      <w:pPr>
        <w:pStyle w:val="Heading1"/>
        <w:rPr>
          <w:lang w:val="es-ES_tradnl"/>
        </w:rPr>
      </w:pPr>
      <w:r w:rsidRPr="005541DB">
        <w:rPr>
          <w:lang w:val="es-ES_tradnl"/>
        </w:rPr>
        <w:t>1</w:t>
      </w:r>
      <w:r w:rsidRPr="005541DB">
        <w:rPr>
          <w:lang w:val="es-ES_tradnl"/>
        </w:rPr>
        <w:tab/>
        <w:t>Escenario de emisión característico de un DFSS</w:t>
      </w:r>
    </w:p>
    <w:p w:rsidR="004D2EF6" w:rsidRDefault="004D2EF6" w:rsidP="006F58E9">
      <w:pPr>
        <w:rPr>
          <w:lang w:val="es-ES_tradnl"/>
        </w:rPr>
      </w:pPr>
      <w:r w:rsidRPr="005541DB">
        <w:rPr>
          <w:lang w:val="es-ES_tradnl"/>
        </w:rPr>
        <w:t>En la Fig.</w:t>
      </w:r>
      <w:r w:rsidR="006F58E9">
        <w:rPr>
          <w:lang w:val="es-ES_tradnl"/>
        </w:rPr>
        <w:t> </w:t>
      </w:r>
      <w:r w:rsidRPr="005541DB">
        <w:rPr>
          <w:lang w:val="es-ES_tradnl"/>
        </w:rPr>
        <w:t>2 se muestra el escenario característico, basado en las emisiones típicas y más importantes de un transmisor de relevador radioeléctrico digital heterodino. No se muestran otras emisiones (por ejemplo, otros productos de conversión y componentes residuales de la generación de la portadora). Algunas emisiones no deseadas (por ejemplo, productos de conversión y fugas del oscilador local) no se aplican en el caso de los transmisores RF con modulación directa.</w:t>
      </w:r>
    </w:p>
    <w:p w:rsidR="006F58E9" w:rsidRPr="005541DB" w:rsidRDefault="006F58E9" w:rsidP="006F58E9">
      <w:pPr>
        <w:rPr>
          <w:lang w:val="es-ES_tradnl"/>
        </w:rPr>
      </w:pPr>
    </w:p>
    <w:p w:rsidR="004D2EF6" w:rsidRPr="009612D1" w:rsidRDefault="004D2EF6" w:rsidP="004D2EF6">
      <w:pPr>
        <w:pStyle w:val="FigureNo"/>
        <w:rPr>
          <w:noProof/>
          <w:lang w:val="es-ES_tradnl" w:eastAsia="zh-CN"/>
        </w:rPr>
      </w:pPr>
      <w:r w:rsidRPr="009612D1">
        <w:rPr>
          <w:noProof/>
          <w:lang w:val="es-ES_tradnl" w:eastAsia="zh-CN"/>
        </w:rPr>
        <w:t>figura 2</w:t>
      </w:r>
    </w:p>
    <w:p w:rsidR="004D2EF6" w:rsidRDefault="004D2EF6" w:rsidP="004D2EF6">
      <w:pPr>
        <w:pStyle w:val="Figuretitle"/>
        <w:rPr>
          <w:lang w:val="es-ES_tradnl" w:eastAsia="zh-CN"/>
        </w:rPr>
      </w:pPr>
      <w:r w:rsidRPr="009612D1">
        <w:rPr>
          <w:lang w:val="es-ES_tradnl" w:eastAsia="zh-CN"/>
        </w:rPr>
        <w:t>Bandas de frecuencias y emisiones no deseadas de un DFSS (escenario caracter</w:t>
      </w:r>
      <w:r>
        <w:rPr>
          <w:lang w:val="es-ES_tradnl" w:eastAsia="zh-CN"/>
        </w:rPr>
        <w:t>ístico)</w:t>
      </w:r>
    </w:p>
    <w:p w:rsidR="004D2EF6" w:rsidRPr="009612D1" w:rsidRDefault="004D2EF6" w:rsidP="004D2EF6">
      <w:pPr>
        <w:pStyle w:val="Figure"/>
        <w:rPr>
          <w:lang w:val="es-ES_tradnl" w:eastAsia="zh-CN"/>
        </w:rPr>
      </w:pPr>
      <w:r>
        <w:object w:dxaOrig="10090" w:dyaOrig="7450">
          <v:shape id="_x0000_i1026" type="#_x0000_t75" style="width:481.8pt;height:355.2pt" o:ole="">
            <v:imagedata r:id="rId20" o:title=""/>
          </v:shape>
          <o:OLEObject Type="Embed" ProgID="CorelDRAW.Graphic.14" ShapeID="_x0000_i1026" DrawAspect="Content" ObjectID="_1375534371" r:id="rId21"/>
        </w:object>
      </w:r>
    </w:p>
    <w:p w:rsidR="006F58E9" w:rsidRDefault="006F58E9">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4D2EF6" w:rsidRPr="005541DB" w:rsidRDefault="004D2EF6" w:rsidP="004D2EF6">
      <w:pPr>
        <w:pStyle w:val="Heading1"/>
        <w:rPr>
          <w:lang w:val="es-ES_tradnl"/>
        </w:rPr>
      </w:pPr>
      <w:r w:rsidRPr="005541DB">
        <w:rPr>
          <w:lang w:val="es-ES_tradnl"/>
        </w:rPr>
        <w:lastRenderedPageBreak/>
        <w:t>2</w:t>
      </w:r>
      <w:r w:rsidRPr="005541DB">
        <w:rPr>
          <w:lang w:val="es-ES_tradnl"/>
        </w:rPr>
        <w:tab/>
        <w:t>Cálculo de la anchura de banda ocupada</w:t>
      </w:r>
    </w:p>
    <w:p w:rsidR="004D2EF6" w:rsidRPr="005541DB" w:rsidRDefault="004D2EF6" w:rsidP="004D2EF6">
      <w:pPr>
        <w:rPr>
          <w:lang w:val="es-ES_tradnl"/>
        </w:rPr>
      </w:pPr>
      <w:r w:rsidRPr="005541DB">
        <w:rPr>
          <w:lang w:val="es-ES_tradnl"/>
        </w:rPr>
        <w:t xml:space="preserve">Generalmente, el espectro de potencia normalizado </w:t>
      </w:r>
      <w:r w:rsidRPr="005541DB">
        <w:rPr>
          <w:i/>
          <w:lang w:val="es-ES_tradnl"/>
        </w:rPr>
        <w:t>W</w:t>
      </w:r>
      <w:r w:rsidRPr="005541DB">
        <w:rPr>
          <w:lang w:val="es-ES_tradnl"/>
        </w:rPr>
        <w:t>( </w:t>
      </w:r>
      <w:r w:rsidRPr="005541DB">
        <w:rPr>
          <w:i/>
          <w:lang w:val="es-ES_tradnl"/>
        </w:rPr>
        <w:t>f</w:t>
      </w:r>
      <w:r w:rsidRPr="005541DB">
        <w:rPr>
          <w:lang w:val="es-ES_tradnl"/>
        </w:rPr>
        <w:t> ) de una portadora modulada de un DFSS se puede expresar como sigue:</w:t>
      </w:r>
    </w:p>
    <w:p w:rsidR="004D2EF6" w:rsidRPr="005541DB" w:rsidRDefault="004D2EF6" w:rsidP="004D2EF6">
      <w:pPr>
        <w:pStyle w:val="Blanc"/>
        <w:rPr>
          <w:lang w:val="es-ES_tradnl"/>
        </w:rPr>
      </w:pPr>
    </w:p>
    <w:p w:rsidR="004D2EF6" w:rsidRPr="005541DB" w:rsidRDefault="004D2EF6" w:rsidP="00503F8C">
      <w:pPr>
        <w:pStyle w:val="Equation"/>
        <w:rPr>
          <w:lang w:val="es-ES_tradnl"/>
        </w:rPr>
      </w:pPr>
      <w:r w:rsidRPr="005541DB">
        <w:rPr>
          <w:lang w:val="es-ES_tradnl"/>
        </w:rPr>
        <w:tab/>
      </w:r>
      <w:r w:rsidRPr="005541DB">
        <w:rPr>
          <w:lang w:val="es-ES_tradnl"/>
        </w:rPr>
        <w:tab/>
      </w:r>
      <w:r w:rsidR="00650A63">
        <w:rPr>
          <w:position w:val="-32"/>
        </w:rPr>
        <w:object w:dxaOrig="2799" w:dyaOrig="820">
          <v:shape id="_x0000_i1027" type="#_x0000_t75" style="width:139.2pt;height:40.8pt" o:ole="">
            <v:imagedata r:id="rId22" o:title=""/>
          </v:shape>
          <o:OLEObject Type="Embed" ProgID="Equation.3" ShapeID="_x0000_i1027" DrawAspect="Content" ObjectID="_1375534372" r:id="rId23"/>
        </w:object>
      </w:r>
      <w:r w:rsidRPr="005541DB">
        <w:rPr>
          <w:lang w:val="es-ES_tradnl"/>
        </w:rPr>
        <w:tab/>
        <w:t>(1)</w:t>
      </w:r>
    </w:p>
    <w:p w:rsidR="004D2EF6" w:rsidRPr="005541DB" w:rsidRDefault="004D2EF6" w:rsidP="00650A63">
      <w:pPr>
        <w:pStyle w:val="Blanc"/>
        <w:keepNext w:val="0"/>
        <w:keepLines w:val="0"/>
        <w:widowControl w:val="0"/>
        <w:rPr>
          <w:lang w:val="es-ES_tradnl"/>
        </w:rPr>
      </w:pPr>
    </w:p>
    <w:p w:rsidR="004D2EF6" w:rsidRPr="005541DB" w:rsidRDefault="004D2EF6" w:rsidP="004D2EF6">
      <w:pPr>
        <w:rPr>
          <w:lang w:val="es-ES_tradnl"/>
        </w:rPr>
      </w:pPr>
      <w:r w:rsidRPr="005541DB">
        <w:rPr>
          <w:lang w:val="es-ES_tradnl"/>
        </w:rPr>
        <w:t>siendo:</w:t>
      </w:r>
    </w:p>
    <w:p w:rsidR="004D2EF6" w:rsidRPr="005541DB" w:rsidRDefault="004D2EF6" w:rsidP="004D2EF6">
      <w:pPr>
        <w:pStyle w:val="Equationlegend"/>
        <w:rPr>
          <w:lang w:val="es-ES_tradnl"/>
        </w:rPr>
      </w:pPr>
      <w:r w:rsidRPr="005541DB">
        <w:rPr>
          <w:lang w:val="es-ES_tradnl"/>
        </w:rPr>
        <w:tab/>
      </w:r>
      <w:r w:rsidRPr="005541DB">
        <w:rPr>
          <w:i/>
          <w:iCs/>
          <w:lang w:val="es-ES_tradnl"/>
        </w:rPr>
        <w:t>S</w:t>
      </w:r>
      <w:r w:rsidRPr="005541DB">
        <w:rPr>
          <w:lang w:val="es-ES_tradnl"/>
        </w:rPr>
        <w:t xml:space="preserve">( </w:t>
      </w:r>
      <w:r w:rsidRPr="005541DB">
        <w:rPr>
          <w:i/>
          <w:iCs/>
          <w:lang w:val="es-ES_tradnl"/>
        </w:rPr>
        <w:t>f</w:t>
      </w:r>
      <w:r w:rsidRPr="005541DB">
        <w:rPr>
          <w:lang w:val="es-ES_tradnl"/>
        </w:rPr>
        <w:t xml:space="preserve"> )</w:t>
      </w:r>
      <w:r w:rsidR="00650A63">
        <w:rPr>
          <w:lang w:val="es-ES_tradnl"/>
        </w:rPr>
        <w:t xml:space="preserve"> </w:t>
      </w:r>
      <w:r w:rsidRPr="005541DB">
        <w:rPr>
          <w:lang w:val="es-ES_tradnl"/>
        </w:rPr>
        <w:t>:</w:t>
      </w:r>
      <w:r w:rsidRPr="005541DB">
        <w:rPr>
          <w:lang w:val="es-ES_tradnl"/>
        </w:rPr>
        <w:tab/>
        <w:t>respuesta de frecuencia del filtro de conformación del transmisor</w:t>
      </w:r>
      <w:r>
        <w:rPr>
          <w:lang w:val="es-ES_tradnl"/>
        </w:rPr>
        <w:t>.</w:t>
      </w:r>
    </w:p>
    <w:p w:rsidR="004D2EF6" w:rsidRPr="005541DB" w:rsidRDefault="004D2EF6" w:rsidP="004D2EF6">
      <w:pPr>
        <w:pStyle w:val="Equationlegend"/>
        <w:rPr>
          <w:lang w:val="es-ES_tradnl"/>
        </w:rPr>
      </w:pPr>
      <w:r w:rsidRPr="005541DB">
        <w:rPr>
          <w:lang w:val="es-ES_tradnl"/>
        </w:rPr>
        <w:tab/>
      </w:r>
      <w:r w:rsidRPr="005541DB">
        <w:rPr>
          <w:i/>
          <w:lang w:val="es-ES_tradnl"/>
        </w:rPr>
        <w:t>f</w:t>
      </w:r>
      <w:r w:rsidR="00650A63">
        <w:rPr>
          <w:i/>
          <w:lang w:val="es-ES_tradnl"/>
        </w:rPr>
        <w:t xml:space="preserve"> </w:t>
      </w:r>
      <w:r w:rsidRPr="005541DB">
        <w:rPr>
          <w:lang w:val="es-ES_tradnl"/>
        </w:rPr>
        <w:t>:</w:t>
      </w:r>
      <w:r w:rsidRPr="005541DB">
        <w:rPr>
          <w:lang w:val="es-ES_tradnl"/>
        </w:rPr>
        <w:tab/>
        <w:t>separación de frecuencia respecto de la portadora</w:t>
      </w:r>
      <w:r>
        <w:rPr>
          <w:lang w:val="es-ES_tradnl"/>
        </w:rPr>
        <w:t>.</w:t>
      </w:r>
    </w:p>
    <w:p w:rsidR="004D2EF6" w:rsidRPr="005541DB" w:rsidRDefault="004D2EF6" w:rsidP="004D2EF6">
      <w:pPr>
        <w:pStyle w:val="Equationlegend"/>
        <w:rPr>
          <w:lang w:val="es-ES_tradnl"/>
        </w:rPr>
      </w:pPr>
      <w:r w:rsidRPr="005541DB">
        <w:rPr>
          <w:lang w:val="es-ES_tradnl"/>
        </w:rPr>
        <w:tab/>
      </w:r>
      <w:r w:rsidRPr="005541DB">
        <w:rPr>
          <w:i/>
          <w:lang w:val="es-ES_tradnl"/>
        </w:rPr>
        <w:t>T</w:t>
      </w:r>
      <w:r w:rsidR="00650A63">
        <w:rPr>
          <w:i/>
          <w:lang w:val="es-ES_tradnl"/>
        </w:rPr>
        <w:t xml:space="preserve"> </w:t>
      </w:r>
      <w:r w:rsidRPr="005541DB">
        <w:rPr>
          <w:lang w:val="es-ES_tradnl"/>
        </w:rPr>
        <w:t>:</w:t>
      </w:r>
      <w:r w:rsidRPr="005541DB">
        <w:rPr>
          <w:lang w:val="es-ES_tradnl"/>
        </w:rPr>
        <w:tab/>
        <w:t>anchura del impulso.</w:t>
      </w:r>
    </w:p>
    <w:p w:rsidR="004D2EF6" w:rsidRPr="005541DB" w:rsidRDefault="004D2EF6" w:rsidP="004D2EF6">
      <w:pPr>
        <w:rPr>
          <w:lang w:val="es-ES_tradnl"/>
        </w:rPr>
      </w:pPr>
      <w:r w:rsidRPr="005541DB">
        <w:rPr>
          <w:lang w:val="es-ES_tradnl"/>
        </w:rPr>
        <w:t xml:space="preserve">Por lo tanto, la anchura de banda ocupada, </w:t>
      </w:r>
      <w:r w:rsidRPr="005541DB">
        <w:rPr>
          <w:i/>
          <w:lang w:val="es-ES_tradnl"/>
        </w:rPr>
        <w:t>B</w:t>
      </w:r>
      <w:r w:rsidRPr="00636B6A">
        <w:rPr>
          <w:vertAlign w:val="subscript"/>
          <w:lang w:val="es-ES_tradnl"/>
        </w:rPr>
        <w:t>0</w:t>
      </w:r>
      <w:r w:rsidRPr="005541DB">
        <w:rPr>
          <w:lang w:val="es-ES_tradnl"/>
        </w:rPr>
        <w:t>, viene dada por:</w:t>
      </w:r>
    </w:p>
    <w:p w:rsidR="004D2EF6" w:rsidRPr="005541DB" w:rsidRDefault="004D2EF6" w:rsidP="004D2EF6">
      <w:pPr>
        <w:pStyle w:val="Blanc"/>
        <w:rPr>
          <w:lang w:val="es-ES_tradnl"/>
        </w:rPr>
      </w:pPr>
    </w:p>
    <w:p w:rsidR="004D2EF6" w:rsidRPr="005541DB" w:rsidRDefault="004D2EF6" w:rsidP="004D2EF6">
      <w:pPr>
        <w:pStyle w:val="Equation"/>
        <w:rPr>
          <w:lang w:val="es-ES_tradnl"/>
        </w:rPr>
      </w:pPr>
      <w:r w:rsidRPr="005541DB">
        <w:rPr>
          <w:lang w:val="es-ES_tradnl"/>
        </w:rPr>
        <w:tab/>
      </w:r>
      <w:r w:rsidRPr="005541DB">
        <w:rPr>
          <w:lang w:val="es-ES_tradnl"/>
        </w:rPr>
        <w:tab/>
      </w:r>
      <w:r w:rsidR="00650A63" w:rsidRPr="00650A63">
        <w:rPr>
          <w:position w:val="-54"/>
        </w:rPr>
        <w:object w:dxaOrig="3840" w:dyaOrig="1160">
          <v:shape id="_x0000_i1028" type="#_x0000_t75" style="width:191.4pt;height:58.8pt" o:ole="">
            <v:imagedata r:id="rId24" o:title=""/>
          </v:shape>
          <o:OLEObject Type="Embed" ProgID="Equation.3" ShapeID="_x0000_i1028" DrawAspect="Content" ObjectID="_1375534373" r:id="rId25"/>
        </w:object>
      </w:r>
      <w:r w:rsidRPr="005541DB">
        <w:rPr>
          <w:lang w:val="es-ES_tradnl"/>
        </w:rPr>
        <w:tab/>
        <w:t>(2)</w:t>
      </w:r>
    </w:p>
    <w:p w:rsidR="00650A63" w:rsidRPr="005541DB" w:rsidRDefault="00650A63" w:rsidP="00650A63">
      <w:pPr>
        <w:pStyle w:val="Blanc"/>
        <w:rPr>
          <w:lang w:val="es-ES_tradnl"/>
        </w:rPr>
      </w:pPr>
    </w:p>
    <w:p w:rsidR="004D2EF6" w:rsidRPr="005541DB" w:rsidRDefault="004D2EF6" w:rsidP="004D2EF6">
      <w:pPr>
        <w:pStyle w:val="Heading2"/>
        <w:rPr>
          <w:lang w:val="es-ES_tradnl"/>
        </w:rPr>
      </w:pPr>
      <w:r w:rsidRPr="005541DB">
        <w:rPr>
          <w:lang w:val="es-ES_tradnl"/>
        </w:rPr>
        <w:t>2.1</w:t>
      </w:r>
      <w:r w:rsidRPr="005541DB">
        <w:rPr>
          <w:lang w:val="es-ES_tradnl"/>
        </w:rPr>
        <w:tab/>
        <w:t xml:space="preserve">Caso de señales con modulación de fase y amplitud, y </w:t>
      </w:r>
      <w:r>
        <w:rPr>
          <w:lang w:val="es-ES_tradnl"/>
        </w:rPr>
        <w:t xml:space="preserve">conformación ideal de caída en </w:t>
      </w:r>
      <w:r w:rsidRPr="005541DB">
        <w:rPr>
          <w:lang w:val="es-ES_tradnl"/>
        </w:rPr>
        <w:t xml:space="preserve">raíz cuadrada de coseno </w:t>
      </w:r>
    </w:p>
    <w:p w:rsidR="004D2EF6" w:rsidRPr="005541DB" w:rsidRDefault="004D2EF6" w:rsidP="004D2EF6">
      <w:pPr>
        <w:rPr>
          <w:lang w:val="es-ES_tradnl"/>
        </w:rPr>
      </w:pPr>
      <w:r w:rsidRPr="005541DB">
        <w:rPr>
          <w:lang w:val="es-ES_tradnl"/>
        </w:rPr>
        <w:t>En muchos casos se utilizan filtros de conformación del tipo caída en raíz cuadrada de coseno en el lado del transmisor, y la respuesta de frecuencia ideal viene dada por:</w:t>
      </w:r>
    </w:p>
    <w:p w:rsidR="004D2EF6" w:rsidRPr="005541DB" w:rsidRDefault="004D2EF6" w:rsidP="004D2EF6">
      <w:pPr>
        <w:pStyle w:val="Blanc"/>
        <w:rPr>
          <w:lang w:val="es-ES_tradnl"/>
        </w:rPr>
      </w:pPr>
    </w:p>
    <w:p w:rsidR="004D2EF6" w:rsidRPr="005541DB" w:rsidRDefault="004D2EF6" w:rsidP="004D2EF6">
      <w:pPr>
        <w:pStyle w:val="Equation"/>
        <w:rPr>
          <w:b/>
          <w:lang w:val="es-ES_tradnl"/>
        </w:rPr>
      </w:pPr>
      <w:r>
        <w:rPr>
          <w:position w:val="-132"/>
        </w:rPr>
        <w:object w:dxaOrig="8660" w:dyaOrig="2760">
          <v:shape id="_x0000_i1029" type="#_x0000_t75" style="width:433.2pt;height:137.4pt" o:ole="">
            <v:imagedata r:id="rId26" o:title=""/>
          </v:shape>
          <o:OLEObject Type="Embed" ProgID="Equation.3" ShapeID="_x0000_i1029" DrawAspect="Content" ObjectID="_1375534374" r:id="rId27"/>
        </w:object>
      </w:r>
      <w:r w:rsidRPr="005541DB">
        <w:rPr>
          <w:lang w:val="es-ES_tradnl"/>
        </w:rPr>
        <w:tab/>
        <w:t>(3)</w:t>
      </w:r>
    </w:p>
    <w:p w:rsidR="004D2EF6" w:rsidRPr="005541DB" w:rsidRDefault="004D2EF6" w:rsidP="004D2EF6">
      <w:pPr>
        <w:pStyle w:val="Blanc"/>
        <w:rPr>
          <w:lang w:val="es-ES_tradnl"/>
        </w:rPr>
      </w:pPr>
    </w:p>
    <w:p w:rsidR="004D2EF6" w:rsidRPr="005541DB" w:rsidRDefault="004D2EF6" w:rsidP="00111C0B">
      <w:pPr>
        <w:rPr>
          <w:lang w:val="es-ES_tradnl"/>
        </w:rPr>
      </w:pPr>
      <w:r w:rsidRPr="005541DB">
        <w:rPr>
          <w:lang w:val="es-ES_tradnl"/>
        </w:rPr>
        <w:t xml:space="preserve">donde </w:t>
      </w:r>
      <w:r w:rsidR="00111C0B">
        <w:rPr>
          <w:lang w:val="es-ES_tradnl"/>
        </w:rPr>
        <w:sym w:font="Symbol" w:char="F061"/>
      </w:r>
      <w:r w:rsidRPr="005541DB">
        <w:rPr>
          <w:lang w:val="es-ES_tradnl"/>
        </w:rPr>
        <w:t xml:space="preserve"> es el factor de caída comprendido entre 0 y 1.</w:t>
      </w:r>
    </w:p>
    <w:p w:rsidR="004D2EF6" w:rsidRPr="005541DB" w:rsidRDefault="004D2EF6" w:rsidP="004D2EF6">
      <w:pPr>
        <w:rPr>
          <w:lang w:val="es-ES_tradnl"/>
        </w:rPr>
      </w:pPr>
      <w:r w:rsidRPr="005541DB">
        <w:rPr>
          <w:lang w:val="es-ES_tradnl"/>
        </w:rPr>
        <w:t>Sustituyendo la ecuación (3) en las ecuaciones (1) y (2) se obtiene la anchura de banda ocupada ideal, a saber:</w:t>
      </w:r>
    </w:p>
    <w:p w:rsidR="004D2EF6" w:rsidRPr="005541DB" w:rsidRDefault="004D2EF6" w:rsidP="004D2EF6">
      <w:pPr>
        <w:pStyle w:val="Blanc"/>
        <w:rPr>
          <w:lang w:val="es-ES_tradnl"/>
        </w:rPr>
      </w:pPr>
    </w:p>
    <w:p w:rsidR="004D2EF6" w:rsidRPr="005541DB" w:rsidRDefault="004D2EF6" w:rsidP="004D2EF6">
      <w:pPr>
        <w:pStyle w:val="Equation"/>
        <w:rPr>
          <w:lang w:val="es-ES_tradnl"/>
        </w:rPr>
      </w:pPr>
      <w:r w:rsidRPr="005541DB">
        <w:rPr>
          <w:lang w:val="es-ES_tradnl"/>
        </w:rPr>
        <w:tab/>
      </w:r>
      <w:r w:rsidRPr="005541DB">
        <w:rPr>
          <w:lang w:val="es-ES_tradnl"/>
        </w:rPr>
        <w:tab/>
      </w:r>
      <w:r w:rsidR="00503F8C">
        <w:rPr>
          <w:position w:val="-12"/>
          <w:lang w:val="en-GB"/>
        </w:rPr>
        <w:object w:dxaOrig="1760" w:dyaOrig="360">
          <v:shape id="_x0000_i1030" type="#_x0000_t75" style="width:88.2pt;height:18.6pt" o:ole="">
            <v:imagedata r:id="rId28" o:title=""/>
          </v:shape>
          <o:OLEObject Type="Embed" ProgID="Equation.3" ShapeID="_x0000_i1030" DrawAspect="Content" ObjectID="_1375534375" r:id="rId29"/>
        </w:object>
      </w:r>
      <w:r w:rsidRPr="005541DB">
        <w:rPr>
          <w:i/>
          <w:lang w:val="es-ES_tradnl"/>
        </w:rPr>
        <w:tab/>
      </w:r>
      <w:r w:rsidRPr="005541DB">
        <w:rPr>
          <w:lang w:val="es-ES_tradnl"/>
        </w:rPr>
        <w:t>(4)</w:t>
      </w:r>
    </w:p>
    <w:p w:rsidR="004D2EF6" w:rsidRPr="005541DB" w:rsidRDefault="004D2EF6" w:rsidP="004D2EF6">
      <w:pPr>
        <w:pStyle w:val="Blanc"/>
        <w:rPr>
          <w:lang w:val="es-ES_tradnl"/>
        </w:rPr>
      </w:pPr>
    </w:p>
    <w:p w:rsidR="004D2EF6" w:rsidRPr="005541DB" w:rsidRDefault="004D2EF6" w:rsidP="00111C0B">
      <w:pPr>
        <w:rPr>
          <w:lang w:val="es-ES_tradnl"/>
        </w:rPr>
      </w:pPr>
      <w:r w:rsidRPr="005541DB">
        <w:rPr>
          <w:lang w:val="es-ES_tradnl"/>
        </w:rPr>
        <w:t xml:space="preserve">siendo </w:t>
      </w:r>
      <w:r w:rsidRPr="005541DB">
        <w:rPr>
          <w:i/>
          <w:iCs/>
          <w:lang w:val="es-ES_tradnl"/>
        </w:rPr>
        <w:t>K</w:t>
      </w:r>
      <w:r w:rsidRPr="005541DB">
        <w:rPr>
          <w:lang w:val="es-ES_tradnl"/>
        </w:rPr>
        <w:t>(</w:t>
      </w:r>
      <w:r w:rsidR="00111C0B">
        <w:rPr>
          <w:lang w:val="es-ES_tradnl"/>
        </w:rPr>
        <w:sym w:font="Symbol" w:char="F061"/>
      </w:r>
      <w:r w:rsidRPr="005541DB">
        <w:rPr>
          <w:lang w:val="es-ES_tradnl"/>
        </w:rPr>
        <w:t>) una función de</w:t>
      </w:r>
      <w:r w:rsidR="00111C0B">
        <w:rPr>
          <w:lang w:val="es-ES_tradnl"/>
        </w:rPr>
        <w:sym w:font="Symbol" w:char="F061"/>
      </w:r>
      <w:r w:rsidRPr="005541DB">
        <w:rPr>
          <w:lang w:val="es-ES_tradnl"/>
        </w:rPr>
        <w:t>, que se calcula como se indica en el Cuadro 1.</w:t>
      </w:r>
    </w:p>
    <w:p w:rsidR="004D2EF6" w:rsidRPr="005541DB" w:rsidRDefault="004D2EF6" w:rsidP="004D2EF6">
      <w:pPr>
        <w:rPr>
          <w:lang w:val="es-ES_tradnl"/>
        </w:rPr>
      </w:pPr>
      <w:r w:rsidRPr="005541DB">
        <w:rPr>
          <w:lang w:val="es-ES_tradnl"/>
        </w:rPr>
        <w:t>Así pues, la anchura de banda ocupada se puede calcular mediante la ecuación (4) y el Cuadro 1.</w:t>
      </w:r>
    </w:p>
    <w:p w:rsidR="004D2EF6" w:rsidRPr="00805650" w:rsidRDefault="004D2EF6" w:rsidP="004D2EF6">
      <w:pPr>
        <w:rPr>
          <w:lang w:val="es-ES_tradnl"/>
        </w:rPr>
      </w:pPr>
    </w:p>
    <w:p w:rsidR="004D2EF6" w:rsidRDefault="004D2EF6" w:rsidP="00650A63">
      <w:pPr>
        <w:pStyle w:val="TableNo"/>
        <w:keepLines/>
      </w:pPr>
      <w:r>
        <w:lastRenderedPageBreak/>
        <w:t>CUADRO  1</w:t>
      </w:r>
    </w:p>
    <w:p w:rsidR="004D2EF6" w:rsidRDefault="004D2EF6" w:rsidP="00111C0B">
      <w:pPr>
        <w:pStyle w:val="Tabletitle"/>
        <w:keepLines/>
      </w:pPr>
      <w:r>
        <w:t xml:space="preserve">Valores de </w:t>
      </w:r>
      <w:r>
        <w:rPr>
          <w:i/>
        </w:rPr>
        <w:t>K</w:t>
      </w:r>
      <w:r>
        <w:t>(</w:t>
      </w:r>
      <w:r w:rsidR="00111C0B">
        <w:rPr>
          <w:lang w:val="es-ES_tradnl"/>
        </w:rPr>
        <w:sym w:font="Symbol" w:char="F061"/>
      </w:r>
      <w:r>
        <w:t>)</w:t>
      </w:r>
    </w:p>
    <w:tbl>
      <w:tblPr>
        <w:tblW w:w="0" w:type="auto"/>
        <w:jc w:val="center"/>
        <w:tblLayout w:type="fixed"/>
        <w:tblLook w:val="0000" w:firstRow="0" w:lastRow="0" w:firstColumn="0" w:lastColumn="0" w:noHBand="0" w:noVBand="0"/>
      </w:tblPr>
      <w:tblGrid>
        <w:gridCol w:w="2268"/>
        <w:gridCol w:w="2268"/>
      </w:tblGrid>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111C0B" w:rsidP="00650A63">
            <w:pPr>
              <w:pStyle w:val="Tablehead"/>
              <w:keepLines/>
              <w:rPr>
                <w:rFonts w:ascii="Symbol" w:hAnsi="Symbol"/>
                <w:bCs/>
              </w:rPr>
            </w:pPr>
            <w:r>
              <w:rPr>
                <w:lang w:val="es-ES_tradnl"/>
              </w:rPr>
              <w:sym w:font="Symbol" w:char="F061"/>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111C0B">
            <w:pPr>
              <w:pStyle w:val="Tablehead"/>
              <w:keepLines/>
              <w:rPr>
                <w:bCs/>
              </w:rPr>
            </w:pPr>
            <w:r>
              <w:rPr>
                <w:bCs/>
                <w:i/>
                <w:iCs/>
              </w:rPr>
              <w:t>K</w:t>
            </w:r>
            <w:r>
              <w:rPr>
                <w:bCs/>
              </w:rPr>
              <w:t>(</w:t>
            </w:r>
            <w:r w:rsidR="00111C0B">
              <w:rPr>
                <w:lang w:val="es-ES_tradnl"/>
              </w:rPr>
              <w:sym w:font="Symbol" w:char="F061"/>
            </w:r>
            <w:r>
              <w:rPr>
                <w:bCs/>
              </w:rPr>
              <w:t>)</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0,1</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0,510</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0,2</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0,537</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0,3</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0,567</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0,4</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keepNext/>
              <w:keepLines/>
              <w:jc w:val="center"/>
            </w:pPr>
            <w:r>
              <w:t>0,600</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0,5</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0,634</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0,6</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0,669</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0,7</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0,705</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0,8</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0,742</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0,9</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0,779</w:t>
            </w:r>
          </w:p>
        </w:tc>
      </w:tr>
      <w:tr w:rsidR="004D2EF6" w:rsidTr="00EE6B15">
        <w:trPr>
          <w:cantSplit/>
          <w:jc w:val="center"/>
        </w:trPr>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1,0</w:t>
            </w:r>
          </w:p>
        </w:tc>
        <w:tc>
          <w:tcPr>
            <w:tcW w:w="2268" w:type="dxa"/>
            <w:tcBorders>
              <w:top w:val="single" w:sz="6" w:space="0" w:color="auto"/>
              <w:left w:val="single" w:sz="6" w:space="0" w:color="auto"/>
              <w:bottom w:val="single" w:sz="6" w:space="0" w:color="auto"/>
              <w:right w:val="single" w:sz="6" w:space="0" w:color="auto"/>
            </w:tcBorders>
          </w:tcPr>
          <w:p w:rsidR="004D2EF6" w:rsidRDefault="004D2EF6" w:rsidP="00650A63">
            <w:pPr>
              <w:pStyle w:val="Tabletext"/>
              <w:jc w:val="center"/>
            </w:pPr>
            <w:r>
              <w:t>0,816</w:t>
            </w:r>
          </w:p>
        </w:tc>
      </w:tr>
    </w:tbl>
    <w:p w:rsidR="004D2EF6" w:rsidRDefault="004D2EF6" w:rsidP="004D2EF6">
      <w:pPr>
        <w:pStyle w:val="Tablefin"/>
        <w:rPr>
          <w:lang w:val="fr-FR"/>
        </w:rPr>
      </w:pPr>
    </w:p>
    <w:p w:rsidR="004D2EF6" w:rsidRPr="005541DB" w:rsidRDefault="004D2EF6" w:rsidP="004D2EF6">
      <w:pPr>
        <w:pStyle w:val="Heading2"/>
        <w:rPr>
          <w:lang w:val="es-ES_tradnl"/>
        </w:rPr>
      </w:pPr>
      <w:r w:rsidRPr="005541DB">
        <w:rPr>
          <w:lang w:val="es-ES_tradnl"/>
        </w:rPr>
        <w:t>2.2</w:t>
      </w:r>
      <w:r w:rsidRPr="005541DB">
        <w:rPr>
          <w:lang w:val="es-ES_tradnl"/>
        </w:rPr>
        <w:tab/>
        <w:t>Caso de señales con modulación de fase y amplitud y otros filtros de conformación</w:t>
      </w:r>
    </w:p>
    <w:p w:rsidR="004D2EF6" w:rsidRPr="005541DB" w:rsidRDefault="004D2EF6" w:rsidP="004D2EF6">
      <w:pPr>
        <w:rPr>
          <w:lang w:val="es-ES_tradnl"/>
        </w:rPr>
      </w:pPr>
      <w:r w:rsidRPr="005541DB">
        <w:rPr>
          <w:lang w:val="es-ES_tradnl"/>
        </w:rPr>
        <w:t>A veces se utilizan realizaciones diferentes y otros tipos de filtro de conformación. En tales casos es necesario efectuar las evaluaciones numéricas complejas de la ecuación (2), y son actualmente objeto de estudio.</w:t>
      </w:r>
    </w:p>
    <w:p w:rsidR="004D2EF6" w:rsidRPr="005541DB" w:rsidRDefault="004D2EF6" w:rsidP="004D2EF6">
      <w:pPr>
        <w:pStyle w:val="Heading2"/>
        <w:rPr>
          <w:lang w:val="es-ES_tradnl"/>
        </w:rPr>
      </w:pPr>
      <w:r w:rsidRPr="005541DB">
        <w:rPr>
          <w:lang w:val="es-ES_tradnl"/>
        </w:rPr>
        <w:t>2.3</w:t>
      </w:r>
      <w:r w:rsidRPr="005541DB">
        <w:rPr>
          <w:lang w:val="es-ES_tradnl"/>
        </w:rPr>
        <w:tab/>
        <w:t>Caso de señales con modulación de frecuencia y fase</w:t>
      </w:r>
    </w:p>
    <w:p w:rsidR="004D2EF6" w:rsidRPr="005541DB" w:rsidRDefault="004D2EF6" w:rsidP="004D2EF6">
      <w:pPr>
        <w:rPr>
          <w:lang w:val="es-ES_tradnl"/>
        </w:rPr>
      </w:pPr>
      <w:r w:rsidRPr="005541DB">
        <w:rPr>
          <w:lang w:val="es-ES_tradnl"/>
        </w:rPr>
        <w:t>Estos casos se están estudiando.</w:t>
      </w:r>
    </w:p>
    <w:p w:rsidR="004D2EF6" w:rsidRPr="005541DB" w:rsidRDefault="004D2EF6" w:rsidP="004D2EF6">
      <w:pPr>
        <w:pStyle w:val="Heading1"/>
        <w:rPr>
          <w:lang w:val="es-ES_tradnl"/>
        </w:rPr>
      </w:pPr>
      <w:r w:rsidRPr="005541DB">
        <w:rPr>
          <w:lang w:val="es-ES_tradnl"/>
        </w:rPr>
        <w:t>3</w:t>
      </w:r>
      <w:r w:rsidRPr="005541DB">
        <w:rPr>
          <w:lang w:val="es-ES_tradnl"/>
        </w:rPr>
        <w:tab/>
        <w:t>Anchura de banda ocupada para el funcionamiento con múltiples subportadoras</w:t>
      </w:r>
    </w:p>
    <w:p w:rsidR="004D2EF6" w:rsidRPr="005541DB" w:rsidRDefault="004D2EF6" w:rsidP="004D2EF6">
      <w:pPr>
        <w:pStyle w:val="Heading2"/>
        <w:rPr>
          <w:lang w:val="es-ES_tradnl"/>
        </w:rPr>
      </w:pPr>
      <w:r w:rsidRPr="005541DB">
        <w:rPr>
          <w:lang w:val="es-ES_tradnl"/>
        </w:rPr>
        <w:t>3.1</w:t>
      </w:r>
      <w:r w:rsidRPr="005541DB">
        <w:rPr>
          <w:lang w:val="es-ES_tradnl"/>
        </w:rPr>
        <w:tab/>
        <w:t>Caso de subportadoras homogéneas e igualmente distanciadas</w:t>
      </w:r>
    </w:p>
    <w:p w:rsidR="004D2EF6" w:rsidRPr="005541DB" w:rsidRDefault="004D2EF6" w:rsidP="004D2EF6">
      <w:pPr>
        <w:rPr>
          <w:lang w:val="es-ES_tradnl"/>
        </w:rPr>
      </w:pPr>
      <w:r w:rsidRPr="005541DB">
        <w:rPr>
          <w:lang w:val="es-ES_tradnl"/>
        </w:rPr>
        <w:t>En algunos casos un transmisor de DFSS puede comprender múltiples subportadoras moduladas por separado y amplificadas por un amplificador común o una antena activa. Se pueden denominar también comúnmente sistemas multiportadora (véase la Nota 1).</w:t>
      </w:r>
    </w:p>
    <w:p w:rsidR="004D2EF6" w:rsidRPr="005541DB" w:rsidRDefault="004D2EF6" w:rsidP="003D3752">
      <w:pPr>
        <w:rPr>
          <w:lang w:val="es-ES_tradnl"/>
        </w:rPr>
      </w:pPr>
      <w:r w:rsidRPr="005541DB">
        <w:rPr>
          <w:lang w:val="es-ES_tradnl"/>
        </w:rPr>
        <w:t xml:space="preserve">La anchura de banda ocupada, </w:t>
      </w:r>
      <w:r w:rsidRPr="005541DB">
        <w:rPr>
          <w:i/>
          <w:lang w:val="es-ES_tradnl"/>
        </w:rPr>
        <w:t>B</w:t>
      </w:r>
      <w:r w:rsidR="003D3752" w:rsidRPr="003D3752">
        <w:rPr>
          <w:vertAlign w:val="subscript"/>
          <w:lang w:val="es-ES_tradnl"/>
        </w:rPr>
        <w:t>0</w:t>
      </w:r>
      <w:r w:rsidRPr="005541DB">
        <w:rPr>
          <w:lang w:val="es-ES_tradnl"/>
        </w:rPr>
        <w:t>, para este tipo de funcionamiento se debe calcular como sigue:</w:t>
      </w:r>
    </w:p>
    <w:p w:rsidR="00650A63" w:rsidRPr="00B70D61" w:rsidRDefault="00650A63" w:rsidP="00650A63">
      <w:pPr>
        <w:pStyle w:val="Blanc"/>
        <w:rPr>
          <w:lang w:val="es-ES_tradnl"/>
        </w:rPr>
      </w:pPr>
    </w:p>
    <w:p w:rsidR="004D2EF6" w:rsidRPr="005541DB" w:rsidRDefault="004D2EF6" w:rsidP="00111C0B">
      <w:pPr>
        <w:pStyle w:val="Equation"/>
        <w:rPr>
          <w:lang w:val="es-ES_tradnl"/>
        </w:rPr>
      </w:pPr>
      <w:r w:rsidRPr="005541DB">
        <w:rPr>
          <w:lang w:val="es-ES_tradnl"/>
        </w:rPr>
        <w:tab/>
      </w:r>
      <w:r w:rsidRPr="005541DB">
        <w:rPr>
          <w:lang w:val="es-ES_tradnl"/>
        </w:rPr>
        <w:tab/>
      </w:r>
      <w:r w:rsidRPr="005541DB">
        <w:rPr>
          <w:i/>
          <w:iCs/>
          <w:lang w:val="es-ES_tradnl"/>
        </w:rPr>
        <w:t>B</w:t>
      </w:r>
      <w:r w:rsidRPr="00636B6A">
        <w:rPr>
          <w:vertAlign w:val="subscript"/>
          <w:lang w:val="es-ES_tradnl"/>
        </w:rPr>
        <w:t>0</w:t>
      </w:r>
      <w:r w:rsidRPr="005541DB">
        <w:rPr>
          <w:lang w:val="es-ES_tradnl"/>
        </w:rPr>
        <w:t xml:space="preserve">  </w:t>
      </w:r>
      <w:r w:rsidR="00111C0B">
        <w:rPr>
          <w:lang w:val="es-ES_tradnl"/>
        </w:rPr>
        <w:t>=</w:t>
      </w:r>
      <w:r w:rsidRPr="005541DB">
        <w:rPr>
          <w:lang w:val="es-ES_tradnl"/>
        </w:rPr>
        <w:t xml:space="preserve">  </w:t>
      </w:r>
      <w:r w:rsidRPr="005541DB">
        <w:rPr>
          <w:i/>
          <w:iCs/>
          <w:lang w:val="es-ES_tradnl"/>
        </w:rPr>
        <w:t>b</w:t>
      </w:r>
      <w:r w:rsidR="00657E36" w:rsidRPr="00636B6A">
        <w:rPr>
          <w:vertAlign w:val="subscript"/>
          <w:lang w:val="es-ES_tradnl"/>
        </w:rPr>
        <w:t>0</w:t>
      </w:r>
      <w:r w:rsidRPr="005541DB">
        <w:rPr>
          <w:lang w:val="es-ES_tradnl"/>
        </w:rPr>
        <w:t xml:space="preserve">  </w:t>
      </w:r>
      <w:r w:rsidR="00111C0B">
        <w:rPr>
          <w:lang w:val="es-ES_tradnl"/>
        </w:rPr>
        <w:t>+</w:t>
      </w:r>
      <w:r w:rsidRPr="005541DB">
        <w:rPr>
          <w:lang w:val="es-ES_tradnl"/>
        </w:rPr>
        <w:t xml:space="preserve">  (</w:t>
      </w:r>
      <w:r w:rsidRPr="005541DB">
        <w:rPr>
          <w:i/>
          <w:iCs/>
          <w:lang w:val="es-ES_tradnl"/>
        </w:rPr>
        <w:t>m</w:t>
      </w:r>
      <w:r w:rsidRPr="005541DB">
        <w:rPr>
          <w:lang w:val="es-ES_tradnl"/>
        </w:rPr>
        <w:t xml:space="preserve">  –  1) </w:t>
      </w:r>
      <w:r w:rsidR="00111C0B">
        <w:rPr>
          <w:lang w:val="es-ES_tradnl"/>
        </w:rPr>
        <w:t>Δ</w:t>
      </w:r>
      <w:r w:rsidRPr="005541DB">
        <w:rPr>
          <w:i/>
          <w:iCs/>
          <w:lang w:val="es-ES_tradnl"/>
        </w:rPr>
        <w:t>F</w:t>
      </w:r>
      <w:r w:rsidRPr="005541DB">
        <w:rPr>
          <w:i/>
          <w:lang w:val="es-ES_tradnl"/>
        </w:rPr>
        <w:tab/>
      </w:r>
      <w:r w:rsidRPr="005541DB">
        <w:rPr>
          <w:lang w:val="es-ES_tradnl"/>
        </w:rPr>
        <w:t>(5)</w:t>
      </w:r>
    </w:p>
    <w:p w:rsidR="00650A63" w:rsidRPr="00B70D61" w:rsidRDefault="00650A63" w:rsidP="00650A63">
      <w:pPr>
        <w:pStyle w:val="Blanc"/>
        <w:rPr>
          <w:lang w:val="es-ES_tradnl"/>
        </w:rPr>
      </w:pPr>
    </w:p>
    <w:p w:rsidR="004D2EF6" w:rsidRPr="005541DB" w:rsidRDefault="004D2EF6" w:rsidP="004D2EF6">
      <w:pPr>
        <w:rPr>
          <w:lang w:val="es-ES_tradnl"/>
        </w:rPr>
      </w:pPr>
      <w:r w:rsidRPr="005541DB">
        <w:rPr>
          <w:lang w:val="es-ES_tradnl"/>
        </w:rPr>
        <w:t>siendo:</w:t>
      </w:r>
    </w:p>
    <w:p w:rsidR="004D2EF6" w:rsidRPr="005541DB" w:rsidRDefault="004D2EF6" w:rsidP="00657E36">
      <w:pPr>
        <w:pStyle w:val="Equationlegend"/>
        <w:rPr>
          <w:lang w:val="es-ES_tradnl"/>
        </w:rPr>
      </w:pPr>
      <w:r w:rsidRPr="005541DB">
        <w:rPr>
          <w:i/>
          <w:lang w:val="es-ES_tradnl"/>
        </w:rPr>
        <w:tab/>
        <w:t>b</w:t>
      </w:r>
      <w:r w:rsidR="00657E36" w:rsidRPr="00657E36">
        <w:rPr>
          <w:vertAlign w:val="subscript"/>
          <w:lang w:val="es-ES_tradnl"/>
        </w:rPr>
        <w:t>0</w:t>
      </w:r>
      <w:r w:rsidR="00650A63">
        <w:rPr>
          <w:position w:val="-4"/>
          <w:sz w:val="20"/>
          <w:lang w:val="es-ES_tradnl"/>
        </w:rPr>
        <w:t xml:space="preserve"> </w:t>
      </w:r>
      <w:r w:rsidRPr="005541DB">
        <w:rPr>
          <w:lang w:val="es-ES_tradnl"/>
        </w:rPr>
        <w:t>:</w:t>
      </w:r>
      <w:r w:rsidRPr="005541DB">
        <w:rPr>
          <w:lang w:val="es-ES_tradnl"/>
        </w:rPr>
        <w:tab/>
        <w:t>anchura de banda ocupada de una portadora</w:t>
      </w:r>
    </w:p>
    <w:p w:rsidR="004D2EF6" w:rsidRPr="005541DB" w:rsidRDefault="004D2EF6" w:rsidP="004D2EF6">
      <w:pPr>
        <w:pStyle w:val="Equationlegend"/>
        <w:rPr>
          <w:lang w:val="es-ES_tradnl"/>
        </w:rPr>
      </w:pPr>
      <w:r w:rsidRPr="005541DB">
        <w:rPr>
          <w:lang w:val="es-ES_tradnl"/>
        </w:rPr>
        <w:tab/>
      </w:r>
      <w:r w:rsidRPr="005541DB">
        <w:rPr>
          <w:i/>
          <w:lang w:val="es-ES_tradnl"/>
        </w:rPr>
        <w:t>m</w:t>
      </w:r>
      <w:r w:rsidR="00650A63">
        <w:rPr>
          <w:i/>
          <w:lang w:val="es-ES_tradnl"/>
        </w:rPr>
        <w:t xml:space="preserve"> </w:t>
      </w:r>
      <w:r w:rsidRPr="005541DB">
        <w:rPr>
          <w:lang w:val="es-ES_tradnl"/>
        </w:rPr>
        <w:t>:</w:t>
      </w:r>
      <w:r w:rsidRPr="005541DB">
        <w:rPr>
          <w:lang w:val="es-ES_tradnl"/>
        </w:rPr>
        <w:tab/>
        <w:t>número de subportadoras</w:t>
      </w:r>
    </w:p>
    <w:p w:rsidR="004D2EF6" w:rsidRPr="005541DB" w:rsidRDefault="004D2EF6" w:rsidP="00111C0B">
      <w:pPr>
        <w:pStyle w:val="Equationlegend"/>
        <w:rPr>
          <w:lang w:val="es-ES_tradnl"/>
        </w:rPr>
      </w:pPr>
      <w:r w:rsidRPr="00636B6A">
        <w:rPr>
          <w:lang w:val="es-ES_tradnl"/>
        </w:rPr>
        <w:tab/>
      </w:r>
      <w:r w:rsidR="00111C0B">
        <w:rPr>
          <w:lang w:val="es-ES_tradnl"/>
        </w:rPr>
        <w:t>Δ</w:t>
      </w:r>
      <w:r w:rsidRPr="005541DB">
        <w:rPr>
          <w:i/>
          <w:lang w:val="es-ES_tradnl"/>
        </w:rPr>
        <w:t>F</w:t>
      </w:r>
      <w:r w:rsidR="00650A63">
        <w:rPr>
          <w:i/>
          <w:lang w:val="es-ES_tradnl"/>
        </w:rPr>
        <w:t xml:space="preserve"> </w:t>
      </w:r>
      <w:r w:rsidRPr="005541DB">
        <w:rPr>
          <w:lang w:val="es-ES_tradnl"/>
        </w:rPr>
        <w:t>:</w:t>
      </w:r>
      <w:r w:rsidRPr="005541DB">
        <w:rPr>
          <w:lang w:val="es-ES_tradnl"/>
        </w:rPr>
        <w:tab/>
        <w:t>separación entre las frecuencias centrales de subportadoras adyacentes.</w:t>
      </w:r>
    </w:p>
    <w:p w:rsidR="004D2EF6" w:rsidRPr="005541DB" w:rsidRDefault="004D2EF6" w:rsidP="00111C0B">
      <w:pPr>
        <w:rPr>
          <w:lang w:val="es-ES_tradnl"/>
        </w:rPr>
      </w:pPr>
      <w:r w:rsidRPr="005541DB">
        <w:rPr>
          <w:lang w:val="es-ES_tradnl"/>
        </w:rPr>
        <w:t xml:space="preserve">La ecuación (5) supone que las múltiples subportadoras son homogéneas y se encuentran igualmente distanciadas y que el ruido del transmisor es despreciable si se compara con la potencia fuera de banda de las subportadoras más alejadas. Sin embargo, cabe destacar que en este caso el valor del porcentaje </w:t>
      </w:r>
      <w:r w:rsidR="00111C0B">
        <w:rPr>
          <w:lang w:val="es-ES_tradnl"/>
        </w:rPr>
        <w:sym w:font="Symbol" w:char="F062"/>
      </w:r>
      <w:r w:rsidRPr="005541DB">
        <w:rPr>
          <w:lang w:val="es-ES_tradnl"/>
        </w:rPr>
        <w:t>/2 evaluado sobre la potencia total de todas las subportadoras es 0,5/</w:t>
      </w:r>
      <w:r w:rsidRPr="005541DB">
        <w:rPr>
          <w:i/>
          <w:lang w:val="es-ES_tradnl"/>
        </w:rPr>
        <w:t>m</w:t>
      </w:r>
      <w:r w:rsidRPr="005541DB">
        <w:rPr>
          <w:lang w:val="es-ES_tradnl"/>
        </w:rPr>
        <w:t> %.</w:t>
      </w:r>
    </w:p>
    <w:p w:rsidR="004D2EF6" w:rsidRDefault="004D2EF6" w:rsidP="004D2EF6">
      <w:pPr>
        <w:pStyle w:val="Note"/>
        <w:rPr>
          <w:lang w:val="es-ES"/>
        </w:rPr>
      </w:pPr>
      <w:r w:rsidRPr="005541DB">
        <w:rPr>
          <w:lang w:val="es-ES_tradnl"/>
        </w:rPr>
        <w:lastRenderedPageBreak/>
        <w:t xml:space="preserve">NOTA 1 – A los fines de la presente </w:t>
      </w:r>
      <w:r>
        <w:rPr>
          <w:lang w:val="es-ES"/>
        </w:rPr>
        <w:t>Recomendación los sistemas que utilizan la modulación por división de frecuencia ortogonal (MDFO) no se consideran sistema multiportadora; en estos sistemas las múltiples subportadoras no se modulan independientemente.</w:t>
      </w:r>
    </w:p>
    <w:p w:rsidR="004D2EF6" w:rsidRDefault="004D2EF6" w:rsidP="004D2EF6">
      <w:pPr>
        <w:pStyle w:val="Heading2"/>
        <w:rPr>
          <w:lang w:val="es-ES"/>
        </w:rPr>
      </w:pPr>
      <w:r>
        <w:rPr>
          <w:lang w:val="es-ES"/>
        </w:rPr>
        <w:t>3.2</w:t>
      </w:r>
      <w:r>
        <w:rPr>
          <w:lang w:val="es-ES"/>
        </w:rPr>
        <w:tab/>
        <w:t>Caso de un número arbitrario de subportadoras separadas arbitrariamente en frecuencia con potencias diferentes</w:t>
      </w:r>
    </w:p>
    <w:p w:rsidR="004D2EF6" w:rsidRDefault="004D2EF6" w:rsidP="004D2EF6">
      <w:pPr>
        <w:rPr>
          <w:lang w:val="es-ES"/>
        </w:rPr>
      </w:pPr>
      <w:r>
        <w:rPr>
          <w:lang w:val="es-ES"/>
        </w:rPr>
        <w:t>En la Fig. 3 se muestra un ejemplo genérico de este caso.</w:t>
      </w:r>
    </w:p>
    <w:p w:rsidR="004D2EF6" w:rsidRPr="009612D1" w:rsidRDefault="004D2EF6" w:rsidP="004D2EF6">
      <w:pPr>
        <w:pStyle w:val="FigureNo"/>
        <w:rPr>
          <w:lang w:val="es-ES_tradnl"/>
        </w:rPr>
      </w:pPr>
      <w:r w:rsidRPr="009612D1">
        <w:rPr>
          <w:lang w:val="es-ES_tradnl"/>
        </w:rPr>
        <w:t>Figura 3</w:t>
      </w:r>
    </w:p>
    <w:p w:rsidR="004D2EF6" w:rsidRDefault="004D2EF6" w:rsidP="00657E36">
      <w:pPr>
        <w:pStyle w:val="Figuretitle"/>
        <w:rPr>
          <w:lang w:val="es-ES_tradnl"/>
        </w:rPr>
      </w:pPr>
      <w:r w:rsidRPr="009612D1">
        <w:rPr>
          <w:lang w:val="es-ES_tradnl"/>
        </w:rPr>
        <w:t>Ejemplo genérico de un sistema de tres subportadoras con</w:t>
      </w:r>
      <w:r w:rsidR="00657E36">
        <w:rPr>
          <w:lang w:val="es-ES_tradnl"/>
        </w:rPr>
        <w:t xml:space="preserve"> </w:t>
      </w:r>
      <w:r>
        <w:rPr>
          <w:lang w:val="es-ES_tradnl"/>
        </w:rPr>
        <w:t>diferentes símbolos</w:t>
      </w:r>
      <w:r w:rsidR="00657E36">
        <w:rPr>
          <w:lang w:val="es-ES_tradnl"/>
        </w:rPr>
        <w:br/>
      </w:r>
      <w:r>
        <w:rPr>
          <w:lang w:val="es-ES_tradnl"/>
        </w:rPr>
        <w:t>de frecuencias de símbolos y potencias</w:t>
      </w:r>
    </w:p>
    <w:p w:rsidR="004D2EF6" w:rsidRDefault="004D2EF6" w:rsidP="004D2EF6">
      <w:pPr>
        <w:pStyle w:val="Figure"/>
      </w:pPr>
      <w:r>
        <w:object w:dxaOrig="5961" w:dyaOrig="6198">
          <v:shape id="_x0000_i1031" type="#_x0000_t75" style="width:298.2pt;height:310.2pt" o:ole="" o:allowoverlap="f">
            <v:imagedata r:id="rId30" o:title=""/>
          </v:shape>
          <o:OLEObject Type="Embed" ProgID="CorelDRAW.Graphic.14" ShapeID="_x0000_i1031" DrawAspect="Content" ObjectID="_1375534376" r:id="rId31"/>
        </w:object>
      </w:r>
    </w:p>
    <w:p w:rsidR="004D2EF6" w:rsidRDefault="004D2EF6" w:rsidP="00650A63">
      <w:pPr>
        <w:rPr>
          <w:lang w:val="es-ES"/>
        </w:rPr>
      </w:pPr>
      <w:r>
        <w:rPr>
          <w:lang w:val="es-ES"/>
        </w:rPr>
        <w:t>En la Fig. 3 se muestran los conceptos genéricos de frecuencias centrales y anchura de banda ocupada para los sistemas multiportadora con subportadoras arbitrarias.</w:t>
      </w:r>
    </w:p>
    <w:p w:rsidR="004D2EF6" w:rsidRDefault="004D2EF6" w:rsidP="004D2EF6">
      <w:pPr>
        <w:rPr>
          <w:lang w:val="es-ES"/>
        </w:rPr>
      </w:pPr>
      <w:r>
        <w:rPr>
          <w:lang w:val="es-ES"/>
        </w:rPr>
        <w:t>Los porcentajes de potencia que sobrepasan la anchura de banda ocupada definida, con respecto a la potencia total del sistema se evalúan como:</w:t>
      </w:r>
    </w:p>
    <w:p w:rsidR="004D2EF6" w:rsidRPr="005541DB" w:rsidRDefault="004D2EF6" w:rsidP="004D2EF6">
      <w:pPr>
        <w:pStyle w:val="Equation"/>
        <w:rPr>
          <w:noProof/>
          <w:lang w:val="es-ES_tradnl"/>
        </w:rPr>
      </w:pPr>
      <w:r w:rsidRPr="005541DB">
        <w:rPr>
          <w:lang w:val="es-ES_tradnl"/>
        </w:rPr>
        <w:tab/>
      </w:r>
      <w:r w:rsidRPr="005541DB">
        <w:rPr>
          <w:lang w:val="es-ES_tradnl"/>
        </w:rPr>
        <w:tab/>
      </w:r>
      <w:r>
        <w:rPr>
          <w:noProof/>
          <w:position w:val="-30"/>
        </w:rPr>
        <w:object w:dxaOrig="4120" w:dyaOrig="680">
          <v:shape id="_x0000_i1032" type="#_x0000_t75" style="width:206.4pt;height:34.8pt" o:ole="" fillcolor="window">
            <v:imagedata r:id="rId32" o:title=""/>
          </v:shape>
          <o:OLEObject Type="Embed" ProgID="Equation.3" ShapeID="_x0000_i1032" DrawAspect="Content" ObjectID="_1375534377" r:id="rId33"/>
        </w:object>
      </w:r>
      <w:r w:rsidRPr="005541DB">
        <w:rPr>
          <w:lang w:val="es-ES_tradnl"/>
        </w:rPr>
        <w:t>         %</w:t>
      </w:r>
    </w:p>
    <w:p w:rsidR="004D2EF6" w:rsidRPr="005541DB" w:rsidRDefault="004D2EF6" w:rsidP="004D2EF6">
      <w:pPr>
        <w:pStyle w:val="Equation"/>
        <w:rPr>
          <w:lang w:val="es-ES_tradnl"/>
        </w:rPr>
      </w:pPr>
      <w:r w:rsidRPr="005541DB">
        <w:rPr>
          <w:lang w:val="es-ES_tradnl"/>
        </w:rPr>
        <w:tab/>
      </w:r>
      <w:r w:rsidRPr="005541DB">
        <w:rPr>
          <w:lang w:val="es-ES_tradnl"/>
        </w:rPr>
        <w:tab/>
      </w:r>
      <w:r>
        <w:rPr>
          <w:noProof/>
          <w:position w:val="-30"/>
        </w:rPr>
        <w:object w:dxaOrig="4220" w:dyaOrig="680">
          <v:shape id="_x0000_i1033" type="#_x0000_t75" style="width:211.2pt;height:34.8pt" o:ole="" fillcolor="window">
            <v:imagedata r:id="rId34" o:title=""/>
          </v:shape>
          <o:OLEObject Type="Embed" ProgID="Equation.3" ShapeID="_x0000_i1033" DrawAspect="Content" ObjectID="_1375534378" r:id="rId35"/>
        </w:object>
      </w:r>
      <w:r w:rsidRPr="005541DB">
        <w:rPr>
          <w:lang w:val="es-ES_tradnl"/>
        </w:rPr>
        <w:t>         %</w:t>
      </w:r>
    </w:p>
    <w:p w:rsidR="004D2EF6" w:rsidRDefault="004D2EF6" w:rsidP="004D2EF6">
      <w:pPr>
        <w:rPr>
          <w:lang w:val="es-ES"/>
        </w:rPr>
      </w:pPr>
      <w:r>
        <w:rPr>
          <w:lang w:val="es-ES"/>
        </w:rPr>
        <w:t>El centro de la anchura de banda ocupada definida puede desplazarse desde la frecuencia central de canal considerando la igualación de la caída de potencia en la parte exterior de ambos lados del canal.</w:t>
      </w:r>
    </w:p>
    <w:p w:rsidR="005A0F7C" w:rsidRPr="00636B6A" w:rsidRDefault="005A0F7C" w:rsidP="005A0F7C">
      <w:pPr>
        <w:pStyle w:val="Blanc"/>
        <w:rPr>
          <w:lang w:val="es-ES_tradnl"/>
        </w:rPr>
      </w:pPr>
    </w:p>
    <w:p w:rsidR="004D2EF6" w:rsidRPr="00503F8C" w:rsidRDefault="004D2EF6" w:rsidP="00650A63">
      <w:pPr>
        <w:pStyle w:val="Line"/>
        <w:rPr>
          <w:lang w:val="es-ES_tradnl"/>
        </w:rPr>
      </w:pPr>
    </w:p>
    <w:sectPr w:rsidR="004D2EF6" w:rsidRPr="00503F8C">
      <w:headerReference w:type="even" r:id="rId36"/>
      <w:headerReference w:type="default" r:id="rId37"/>
      <w:footerReference w:type="even" r:id="rId38"/>
      <w:footerReference w:type="default" r:id="rId3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D39" w:rsidRDefault="00364D39">
      <w:r>
        <w:separator/>
      </w:r>
    </w:p>
  </w:endnote>
  <w:endnote w:type="continuationSeparator" w:id="0">
    <w:p w:rsidR="00364D39" w:rsidRDefault="0036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Pr="00B72EA5" w:rsidRDefault="00364D39" w:rsidP="00EE6B15">
    <w:pPr>
      <w:pStyle w:val="Footer"/>
      <w:tabs>
        <w:tab w:val="center" w:pos="5387"/>
        <w:tab w:val="right" w:pos="9356"/>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Pr="00503F8C" w:rsidRDefault="00364D39" w:rsidP="00503F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Pr="00503F8C" w:rsidRDefault="00364D39" w:rsidP="00503F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Pr="00B72EA5" w:rsidRDefault="00364D39" w:rsidP="00EE6B15">
    <w:pPr>
      <w:pStyle w:val="Footer"/>
      <w:tabs>
        <w:tab w:val="center" w:pos="5387"/>
        <w:tab w:val="right" w:pos="9356"/>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D39" w:rsidRDefault="00364D39">
      <w:r>
        <w:separator/>
      </w:r>
    </w:p>
  </w:footnote>
  <w:footnote w:type="continuationSeparator" w:id="0">
    <w:p w:rsidR="00364D39" w:rsidRDefault="00364D39">
      <w:r>
        <w:continuationSeparator/>
      </w:r>
    </w:p>
  </w:footnote>
  <w:footnote w:id="1">
    <w:p w:rsidR="00364D39" w:rsidRPr="005541DB" w:rsidRDefault="00364D39" w:rsidP="004D2EF6">
      <w:pPr>
        <w:pStyle w:val="FootnoteText"/>
        <w:ind w:left="0" w:firstLine="0"/>
        <w:rPr>
          <w:lang w:val="es-ES_tradnl"/>
        </w:rPr>
      </w:pPr>
      <w:r w:rsidRPr="005541DB">
        <w:rPr>
          <w:rStyle w:val="FootnoteReference"/>
          <w:lang w:val="es-ES_tradnl"/>
        </w:rPr>
        <w:t>*</w:t>
      </w:r>
      <w:r w:rsidRPr="005541DB">
        <w:rPr>
          <w:lang w:val="es-ES_tradnl"/>
        </w:rPr>
        <w:tab/>
        <w:t>Esta Recomendación debe señalarse a la atención de la Comisión de Estudio 1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rsidP="00EE6B15">
    <w:pPr>
      <w:pStyle w:val="Header"/>
      <w:ind w:right="360" w:firstLine="360"/>
    </w:pPr>
    <w:r>
      <w:rPr>
        <w:noProof/>
        <w:lang w:val="es-ES_tradnl" w:eastAsia="zh-CN"/>
      </w:rPr>
      <w:drawing>
        <wp:anchor distT="0" distB="0" distL="114300" distR="114300" simplePos="0" relativeHeight="251659264" behindDoc="1" locked="0" layoutInCell="1" allowOverlap="1" wp14:anchorId="022B4CA3" wp14:editId="5227A7E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rsidP="00EE6B1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36B6A">
      <w:rPr>
        <w:rStyle w:val="PageNumber"/>
        <w:b/>
        <w:bCs/>
        <w:noProof/>
      </w:rPr>
      <w:t>ii</w:t>
    </w:r>
    <w:r>
      <w:rPr>
        <w:rStyle w:val="PageNumber"/>
        <w:b/>
        <w:bCs/>
      </w:rPr>
      <w:fldChar w:fldCharType="end"/>
    </w:r>
    <w:r>
      <w:tab/>
    </w:r>
    <w:r w:rsidR="00636B6A">
      <w:fldChar w:fldCharType="begin"/>
    </w:r>
    <w:r w:rsidR="00636B6A">
      <w:instrText xml:space="preserve"> DOCPROPERTY "Header" \* MERGEFORMAT </w:instrText>
    </w:r>
    <w:r w:rsidR="00636B6A">
      <w:fldChar w:fldCharType="separate"/>
    </w:r>
    <w:r w:rsidR="006F58E9" w:rsidRPr="006F58E9">
      <w:rPr>
        <w:b/>
        <w:bCs/>
        <w:lang w:val="en-US"/>
      </w:rPr>
      <w:t xml:space="preserve">Rec. </w:t>
    </w:r>
    <w:r w:rsidR="00636B6A">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636B6A">
      <w:rPr>
        <w:b/>
        <w:bCs/>
        <w:noProof/>
      </w:rPr>
      <w:t>UIT-R  F.1191-3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pPr>
      <w:pStyle w:val="Header"/>
    </w:pPr>
    <w:r>
      <w:tab/>
    </w:r>
    <w:r w:rsidR="00636B6A">
      <w:fldChar w:fldCharType="begin"/>
    </w:r>
    <w:r w:rsidR="00636B6A">
      <w:instrText xml:space="preserve"> DOCPROPERTY "Header" \* MERGEFORMAT </w:instrText>
    </w:r>
    <w:r w:rsidR="00636B6A">
      <w:fldChar w:fldCharType="separate"/>
    </w:r>
    <w:r w:rsidR="006F58E9" w:rsidRPr="006F58E9">
      <w:rPr>
        <w:lang w:val="en-US"/>
      </w:rPr>
      <w:t xml:space="preserve">Rec. </w:t>
    </w:r>
    <w:r w:rsidR="00636B6A">
      <w:rPr>
        <w:lang w:val="en-US"/>
      </w:rPr>
      <w:fldChar w:fldCharType="end"/>
    </w:r>
    <w:r>
      <w:rPr>
        <w:b/>
        <w:bCs/>
      </w:rPr>
      <w:t xml:space="preserve">  </w:t>
    </w:r>
    <w:r>
      <w:rPr>
        <w:b/>
        <w:bCs/>
      </w:rPr>
      <w:fldChar w:fldCharType="begin"/>
    </w:r>
    <w:r>
      <w:rPr>
        <w:b/>
        <w:bCs/>
      </w:rPr>
      <w:instrText>styleref href</w:instrText>
    </w:r>
    <w:r>
      <w:rPr>
        <w:b/>
        <w:bCs/>
      </w:rPr>
      <w:fldChar w:fldCharType="separate"/>
    </w:r>
    <w:r w:rsidR="006F58E9">
      <w:rPr>
        <w:b/>
        <w:bCs/>
        <w:noProof/>
      </w:rPr>
      <w:t>UIT-R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rsidP="00EE6B15">
    <w:pPr>
      <w:pStyle w:val="Header"/>
      <w:tabs>
        <w:tab w:val="clear" w:pos="9696"/>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6B6A">
      <w:rPr>
        <w:rStyle w:val="PageNumber"/>
        <w:b/>
        <w:bCs/>
        <w:noProof/>
        <w:lang w:val="en-US"/>
      </w:rPr>
      <w:t>2</w:t>
    </w:r>
    <w:r>
      <w:rPr>
        <w:rStyle w:val="PageNumber"/>
        <w:b/>
        <w:bCs/>
      </w:rPr>
      <w:fldChar w:fldCharType="end"/>
    </w:r>
    <w:r>
      <w:rPr>
        <w:lang w:val="en-US"/>
      </w:rPr>
      <w:tab/>
    </w:r>
    <w:r w:rsidR="00636B6A">
      <w:fldChar w:fldCharType="begin"/>
    </w:r>
    <w:r w:rsidR="00636B6A">
      <w:instrText xml:space="preserve"> DOCPROPERTY "Header" \* MERGEFORMAT </w:instrText>
    </w:r>
    <w:r w:rsidR="00636B6A">
      <w:fldChar w:fldCharType="separate"/>
    </w:r>
    <w:r w:rsidR="006F58E9" w:rsidRPr="006F58E9">
      <w:rPr>
        <w:b/>
        <w:bCs/>
        <w:lang w:val="en-US"/>
      </w:rPr>
      <w:t xml:space="preserve">Rec. </w:t>
    </w:r>
    <w:r w:rsidR="00636B6A">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36B6A">
      <w:rPr>
        <w:b/>
        <w:bCs/>
        <w:noProof/>
      </w:rPr>
      <w:t>UIT-R  F.1191-3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pPr>
      <w:pStyle w:val="Header"/>
    </w:pPr>
    <w:r>
      <w:tab/>
    </w:r>
    <w:r w:rsidR="00636B6A">
      <w:fldChar w:fldCharType="begin"/>
    </w:r>
    <w:r w:rsidR="00636B6A">
      <w:instrText xml:space="preserve"> DOCPROPERTY "Header" \* MERGEFORMAT </w:instrText>
    </w:r>
    <w:r w:rsidR="00636B6A">
      <w:fldChar w:fldCharType="separate"/>
    </w:r>
    <w:r w:rsidR="006F58E9" w:rsidRPr="006F58E9">
      <w:rPr>
        <w:b/>
        <w:bCs/>
      </w:rPr>
      <w:t xml:space="preserve">Rec. </w:t>
    </w:r>
    <w:r w:rsidR="00636B6A">
      <w:rPr>
        <w:b/>
        <w:bCs/>
      </w:rPr>
      <w:fldChar w:fldCharType="end"/>
    </w:r>
    <w:r>
      <w:rPr>
        <w:b/>
        <w:bCs/>
      </w:rPr>
      <w:t xml:space="preserve"> </w:t>
    </w:r>
    <w:r>
      <w:rPr>
        <w:b/>
        <w:bCs/>
      </w:rPr>
      <w:fldChar w:fldCharType="begin"/>
    </w:r>
    <w:r>
      <w:rPr>
        <w:b/>
        <w:bCs/>
      </w:rPr>
      <w:instrText>styleref href</w:instrText>
    </w:r>
    <w:r>
      <w:rPr>
        <w:b/>
        <w:bCs/>
      </w:rPr>
      <w:fldChar w:fldCharType="separate"/>
    </w:r>
    <w:r w:rsidR="00636B6A">
      <w:rPr>
        <w:b/>
        <w:bCs/>
        <w:noProof/>
      </w:rPr>
      <w:t>UIT-R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6B6A">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rsidP="00FB2665">
    <w:pPr>
      <w:pStyle w:val="Header"/>
      <w:tabs>
        <w:tab w:val="clear" w:pos="4848"/>
        <w:tab w:val="clear" w:pos="9696"/>
        <w:tab w:val="center" w:pos="7258"/>
        <w:tab w:val="lef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105C">
      <w:rPr>
        <w:rStyle w:val="PageNumber"/>
        <w:b/>
        <w:bCs/>
        <w:noProof/>
        <w:lang w:val="en-US"/>
      </w:rPr>
      <w:t>6</w:t>
    </w:r>
    <w:r>
      <w:rPr>
        <w:rStyle w:val="PageNumber"/>
        <w:b/>
        <w:bCs/>
      </w:rPr>
      <w:fldChar w:fldCharType="end"/>
    </w:r>
    <w:r>
      <w:rPr>
        <w:lang w:val="en-US"/>
      </w:rPr>
      <w:tab/>
    </w:r>
    <w:r w:rsidR="00636B6A">
      <w:fldChar w:fldCharType="begin"/>
    </w:r>
    <w:r w:rsidR="00636B6A">
      <w:instrText xml:space="preserve"> DOCPROPERTY "Header" \* MERGEFORMAT </w:instrText>
    </w:r>
    <w:r w:rsidR="00636B6A">
      <w:fldChar w:fldCharType="separate"/>
    </w:r>
    <w:r w:rsidR="006F58E9" w:rsidRPr="006F58E9">
      <w:rPr>
        <w:b/>
        <w:bCs/>
        <w:lang w:val="en-US"/>
      </w:rPr>
      <w:t xml:space="preserve">Rec. </w:t>
    </w:r>
    <w:r w:rsidR="00636B6A">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0105C">
      <w:rPr>
        <w:b/>
        <w:bCs/>
        <w:noProof/>
      </w:rPr>
      <w:t>UIT-R  F.1191-3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105C">
      <w:rPr>
        <w:rStyle w:val="PageNumber"/>
        <w:b/>
        <w:bCs/>
        <w:noProof/>
        <w:lang w:val="en-US"/>
      </w:rPr>
      <w:t>10</w:t>
    </w:r>
    <w:r>
      <w:rPr>
        <w:rStyle w:val="PageNumber"/>
        <w:b/>
        <w:bCs/>
      </w:rPr>
      <w:fldChar w:fldCharType="end"/>
    </w:r>
    <w:r>
      <w:rPr>
        <w:lang w:val="en-US"/>
      </w:rPr>
      <w:tab/>
    </w:r>
    <w:r w:rsidR="00636B6A">
      <w:fldChar w:fldCharType="begin"/>
    </w:r>
    <w:r w:rsidR="00636B6A">
      <w:instrText xml:space="preserve"> DOCPROPERTY "Header" \* MERGEFORMAT </w:instrText>
    </w:r>
    <w:r w:rsidR="00636B6A">
      <w:fldChar w:fldCharType="separate"/>
    </w:r>
    <w:r w:rsidR="006F58E9" w:rsidRPr="006F58E9">
      <w:rPr>
        <w:b/>
        <w:bCs/>
        <w:lang w:val="en-US"/>
      </w:rPr>
      <w:t xml:space="preserve">Rec. </w:t>
    </w:r>
    <w:r w:rsidR="00636B6A">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0105C">
      <w:rPr>
        <w:b/>
        <w:bCs/>
        <w:noProof/>
      </w:rPr>
      <w:t>UIT-R  F.1191-3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39" w:rsidRDefault="00364D39" w:rsidP="000130D9">
    <w:pPr>
      <w:pStyle w:val="Header"/>
    </w:pPr>
    <w:r>
      <w:tab/>
    </w:r>
    <w:r w:rsidR="00636B6A">
      <w:fldChar w:fldCharType="begin"/>
    </w:r>
    <w:r w:rsidR="00636B6A">
      <w:instrText xml:space="preserve"> DOCPROPERTY "Header" \* MERGEFORMAT </w:instrText>
    </w:r>
    <w:r w:rsidR="00636B6A">
      <w:fldChar w:fldCharType="separate"/>
    </w:r>
    <w:r w:rsidR="006F58E9" w:rsidRPr="006F58E9">
      <w:rPr>
        <w:b/>
        <w:bCs/>
      </w:rPr>
      <w:t xml:space="preserve">Rec. </w:t>
    </w:r>
    <w:r w:rsidR="00636B6A">
      <w:rPr>
        <w:b/>
        <w:bCs/>
      </w:rPr>
      <w:fldChar w:fldCharType="end"/>
    </w:r>
    <w:r>
      <w:rPr>
        <w:b/>
        <w:bCs/>
      </w:rPr>
      <w:t xml:space="preserve"> </w:t>
    </w:r>
    <w:r>
      <w:rPr>
        <w:b/>
        <w:bCs/>
      </w:rPr>
      <w:fldChar w:fldCharType="begin"/>
    </w:r>
    <w:r>
      <w:rPr>
        <w:b/>
        <w:bCs/>
      </w:rPr>
      <w:instrText>styleref href</w:instrText>
    </w:r>
    <w:r>
      <w:rPr>
        <w:b/>
        <w:bCs/>
      </w:rPr>
      <w:fldChar w:fldCharType="separate"/>
    </w:r>
    <w:r w:rsidR="0070105C">
      <w:rPr>
        <w:b/>
        <w:bCs/>
        <w:noProof/>
      </w:rPr>
      <w:t>UIT-R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105C">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EF6"/>
    <w:rsid w:val="000130D9"/>
    <w:rsid w:val="00111C0B"/>
    <w:rsid w:val="00217EBF"/>
    <w:rsid w:val="002D76C4"/>
    <w:rsid w:val="003055F7"/>
    <w:rsid w:val="00364D39"/>
    <w:rsid w:val="003D3752"/>
    <w:rsid w:val="004D2EF6"/>
    <w:rsid w:val="00503F8C"/>
    <w:rsid w:val="005A0F7C"/>
    <w:rsid w:val="00607D68"/>
    <w:rsid w:val="00636B6A"/>
    <w:rsid w:val="00650A63"/>
    <w:rsid w:val="00657E36"/>
    <w:rsid w:val="00681EBE"/>
    <w:rsid w:val="006F58E9"/>
    <w:rsid w:val="0070105C"/>
    <w:rsid w:val="007468DA"/>
    <w:rsid w:val="00A3651C"/>
    <w:rsid w:val="00A6617B"/>
    <w:rsid w:val="00AB0DC8"/>
    <w:rsid w:val="00B44E24"/>
    <w:rsid w:val="00B70D61"/>
    <w:rsid w:val="00DF4176"/>
    <w:rsid w:val="00EE6B15"/>
    <w:rsid w:val="00F9574E"/>
    <w:rsid w:val="00FB26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65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3651C"/>
    <w:pPr>
      <w:keepNext/>
      <w:keepLines/>
      <w:spacing w:before="480"/>
      <w:ind w:left="794" w:hanging="794"/>
      <w:outlineLvl w:val="0"/>
    </w:pPr>
    <w:rPr>
      <w:b/>
    </w:rPr>
  </w:style>
  <w:style w:type="paragraph" w:styleId="Heading2">
    <w:name w:val="heading 2"/>
    <w:basedOn w:val="Heading1"/>
    <w:next w:val="Normal"/>
    <w:link w:val="Heading2Char"/>
    <w:qFormat/>
    <w:rsid w:val="00A3651C"/>
    <w:pPr>
      <w:spacing w:before="320"/>
      <w:outlineLvl w:val="1"/>
    </w:pPr>
  </w:style>
  <w:style w:type="paragraph" w:styleId="Heading3">
    <w:name w:val="heading 3"/>
    <w:basedOn w:val="Heading1"/>
    <w:next w:val="Normal"/>
    <w:qFormat/>
    <w:rsid w:val="00A3651C"/>
    <w:pPr>
      <w:spacing w:before="200"/>
      <w:outlineLvl w:val="2"/>
    </w:pPr>
  </w:style>
  <w:style w:type="paragraph" w:styleId="Heading4">
    <w:name w:val="heading 4"/>
    <w:basedOn w:val="Heading3"/>
    <w:next w:val="Normal"/>
    <w:qFormat/>
    <w:rsid w:val="00A3651C"/>
    <w:pPr>
      <w:tabs>
        <w:tab w:val="clear" w:pos="794"/>
        <w:tab w:val="left" w:pos="992"/>
      </w:tabs>
      <w:ind w:left="992" w:hanging="992"/>
      <w:outlineLvl w:val="3"/>
    </w:pPr>
  </w:style>
  <w:style w:type="paragraph" w:styleId="Heading5">
    <w:name w:val="heading 5"/>
    <w:basedOn w:val="Heading4"/>
    <w:next w:val="Normal"/>
    <w:qFormat/>
    <w:rsid w:val="00A3651C"/>
    <w:pPr>
      <w:outlineLvl w:val="4"/>
    </w:pPr>
  </w:style>
  <w:style w:type="paragraph" w:styleId="Heading6">
    <w:name w:val="heading 6"/>
    <w:basedOn w:val="Heading4"/>
    <w:next w:val="Normal"/>
    <w:qFormat/>
    <w:rsid w:val="00A3651C"/>
    <w:pPr>
      <w:tabs>
        <w:tab w:val="clear" w:pos="992"/>
        <w:tab w:val="clear" w:pos="1191"/>
      </w:tabs>
      <w:ind w:left="1588" w:hanging="1588"/>
      <w:outlineLvl w:val="5"/>
    </w:pPr>
  </w:style>
  <w:style w:type="paragraph" w:styleId="Heading7">
    <w:name w:val="heading 7"/>
    <w:basedOn w:val="Heading6"/>
    <w:next w:val="Normal"/>
    <w:qFormat/>
    <w:rsid w:val="00A3651C"/>
    <w:pPr>
      <w:outlineLvl w:val="6"/>
    </w:pPr>
  </w:style>
  <w:style w:type="paragraph" w:styleId="Heading8">
    <w:name w:val="heading 8"/>
    <w:basedOn w:val="Heading6"/>
    <w:next w:val="Normal"/>
    <w:qFormat/>
    <w:rsid w:val="00A3651C"/>
    <w:pPr>
      <w:outlineLvl w:val="7"/>
    </w:pPr>
  </w:style>
  <w:style w:type="paragraph" w:styleId="Heading9">
    <w:name w:val="heading 9"/>
    <w:basedOn w:val="Heading6"/>
    <w:next w:val="Normal"/>
    <w:qFormat/>
    <w:rsid w:val="00A365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65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365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3651C"/>
  </w:style>
  <w:style w:type="paragraph" w:customStyle="1" w:styleId="Headingb">
    <w:name w:val="Heading_b"/>
    <w:basedOn w:val="Heading3"/>
    <w:next w:val="Normal"/>
    <w:rsid w:val="00A3651C"/>
    <w:pPr>
      <w:spacing w:before="160"/>
      <w:ind w:left="0" w:firstLine="0"/>
      <w:outlineLvl w:val="9"/>
    </w:pPr>
  </w:style>
  <w:style w:type="paragraph" w:customStyle="1" w:styleId="Headingi">
    <w:name w:val="Heading_i"/>
    <w:basedOn w:val="Heading3"/>
    <w:next w:val="Normal"/>
    <w:rsid w:val="00A3651C"/>
    <w:pPr>
      <w:spacing w:before="160"/>
      <w:ind w:left="0" w:firstLine="0"/>
    </w:pPr>
    <w:rPr>
      <w:b w:val="0"/>
      <w:i/>
    </w:rPr>
  </w:style>
  <w:style w:type="character" w:customStyle="1" w:styleId="href">
    <w:name w:val="href"/>
    <w:basedOn w:val="DefaultParagraphFont"/>
    <w:rsid w:val="00A3651C"/>
  </w:style>
  <w:style w:type="paragraph" w:customStyle="1" w:styleId="enumlev1">
    <w:name w:val="enumlev1"/>
    <w:basedOn w:val="Normal"/>
    <w:rsid w:val="00A3651C"/>
    <w:pPr>
      <w:spacing w:before="80"/>
      <w:ind w:left="794" w:hanging="794"/>
    </w:pPr>
  </w:style>
  <w:style w:type="paragraph" w:customStyle="1" w:styleId="enumlev2">
    <w:name w:val="enumlev2"/>
    <w:basedOn w:val="enumlev1"/>
    <w:rsid w:val="00A3651C"/>
    <w:pPr>
      <w:ind w:left="1191" w:hanging="397"/>
    </w:pPr>
  </w:style>
  <w:style w:type="paragraph" w:customStyle="1" w:styleId="enumlev3">
    <w:name w:val="enumlev3"/>
    <w:basedOn w:val="enumlev2"/>
    <w:rsid w:val="00A3651C"/>
    <w:pPr>
      <w:ind w:left="1588"/>
    </w:pPr>
  </w:style>
  <w:style w:type="paragraph" w:customStyle="1" w:styleId="Normalaftertitle">
    <w:name w:val="Normal_after_title"/>
    <w:basedOn w:val="Normal"/>
    <w:next w:val="Normal"/>
    <w:rsid w:val="00A3651C"/>
    <w:pPr>
      <w:spacing w:before="320"/>
    </w:pPr>
  </w:style>
  <w:style w:type="paragraph" w:customStyle="1" w:styleId="Note">
    <w:name w:val="Note"/>
    <w:basedOn w:val="Normal"/>
    <w:rsid w:val="00A3651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3651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3651C"/>
    <w:pPr>
      <w:spacing w:before="240"/>
    </w:pPr>
    <w:rPr>
      <w:sz w:val="22"/>
      <w:lang w:val="es-ES_tradnl"/>
    </w:rPr>
  </w:style>
  <w:style w:type="paragraph" w:customStyle="1" w:styleId="Recref">
    <w:name w:val="Rec_ref"/>
    <w:basedOn w:val="Normal"/>
    <w:next w:val="Recdate"/>
    <w:rsid w:val="00A3651C"/>
    <w:pPr>
      <w:jc w:val="center"/>
    </w:pPr>
  </w:style>
  <w:style w:type="paragraph" w:customStyle="1" w:styleId="Recdate">
    <w:name w:val="Rec_date"/>
    <w:basedOn w:val="Recref"/>
    <w:next w:val="Normalaftertitle"/>
    <w:rsid w:val="00A3651C"/>
    <w:pPr>
      <w:jc w:val="right"/>
    </w:pPr>
  </w:style>
  <w:style w:type="paragraph" w:customStyle="1" w:styleId="AnnexNoTitle">
    <w:name w:val="Annex_NoTitle"/>
    <w:basedOn w:val="Normal"/>
    <w:next w:val="Normalaftertitle"/>
    <w:rsid w:val="00A3651C"/>
    <w:pPr>
      <w:keepNext/>
      <w:keepLines/>
      <w:spacing w:before="480" w:after="80"/>
      <w:jc w:val="center"/>
    </w:pPr>
    <w:rPr>
      <w:b/>
      <w:sz w:val="28"/>
    </w:rPr>
  </w:style>
  <w:style w:type="paragraph" w:customStyle="1" w:styleId="AppendixNoTitle">
    <w:name w:val="Appendix_NoTitle"/>
    <w:basedOn w:val="AnnexNoTitle"/>
    <w:next w:val="Normal"/>
    <w:rsid w:val="00A3651C"/>
  </w:style>
  <w:style w:type="paragraph" w:customStyle="1" w:styleId="Tablefin">
    <w:name w:val="Table_fin"/>
    <w:basedOn w:val="Normal"/>
    <w:next w:val="Normal"/>
    <w:rsid w:val="00A3651C"/>
    <w:pPr>
      <w:spacing w:before="0"/>
    </w:pPr>
    <w:rPr>
      <w:sz w:val="20"/>
      <w:lang w:val="en-GB"/>
    </w:rPr>
  </w:style>
  <w:style w:type="paragraph" w:customStyle="1" w:styleId="Tablehead">
    <w:name w:val="Table_head"/>
    <w:basedOn w:val="Normal"/>
    <w:next w:val="Normal"/>
    <w:rsid w:val="00A365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365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3651C"/>
    <w:pPr>
      <w:keepNext/>
      <w:spacing w:before="360" w:after="120"/>
      <w:jc w:val="center"/>
    </w:pPr>
  </w:style>
  <w:style w:type="paragraph" w:customStyle="1" w:styleId="Tabletext">
    <w:name w:val="Table_text"/>
    <w:basedOn w:val="Normal"/>
    <w:rsid w:val="00A365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3651C"/>
    <w:pPr>
      <w:tabs>
        <w:tab w:val="clear" w:pos="1191"/>
        <w:tab w:val="clear" w:pos="1588"/>
        <w:tab w:val="clear" w:pos="1985"/>
        <w:tab w:val="center" w:pos="4820"/>
        <w:tab w:val="right" w:pos="9639"/>
      </w:tabs>
    </w:pPr>
  </w:style>
  <w:style w:type="paragraph" w:customStyle="1" w:styleId="Equationlegend">
    <w:name w:val="Equation_legend"/>
    <w:basedOn w:val="NormalIndent"/>
    <w:rsid w:val="00A365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3651C"/>
    <w:pPr>
      <w:ind w:left="794"/>
    </w:pPr>
  </w:style>
  <w:style w:type="paragraph" w:customStyle="1" w:styleId="Figurelegend">
    <w:name w:val="Figure_legend"/>
    <w:basedOn w:val="Normal"/>
    <w:rsid w:val="00A365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3651C"/>
    <w:pPr>
      <w:keepNext/>
      <w:keepLines/>
      <w:spacing w:before="480" w:after="80"/>
      <w:jc w:val="center"/>
    </w:pPr>
    <w:rPr>
      <w:caps/>
      <w:sz w:val="18"/>
    </w:rPr>
  </w:style>
  <w:style w:type="paragraph" w:customStyle="1" w:styleId="tocpart">
    <w:name w:val="tocpart"/>
    <w:basedOn w:val="Normal"/>
    <w:rsid w:val="00A365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3651C"/>
    <w:pPr>
      <w:keepNext/>
      <w:keepLines/>
      <w:spacing w:before="480"/>
      <w:jc w:val="center"/>
    </w:pPr>
    <w:rPr>
      <w:sz w:val="28"/>
    </w:rPr>
  </w:style>
  <w:style w:type="paragraph" w:customStyle="1" w:styleId="Arttitle">
    <w:name w:val="Art_title"/>
    <w:basedOn w:val="Normal"/>
    <w:next w:val="Normalaftertitle"/>
    <w:rsid w:val="00A3651C"/>
    <w:pPr>
      <w:keepNext/>
      <w:keepLines/>
      <w:spacing w:before="240"/>
      <w:jc w:val="center"/>
    </w:pPr>
    <w:rPr>
      <w:b/>
      <w:sz w:val="28"/>
    </w:rPr>
  </w:style>
  <w:style w:type="paragraph" w:customStyle="1" w:styleId="Blanc">
    <w:name w:val="Blanc"/>
    <w:basedOn w:val="Normal"/>
    <w:next w:val="Tabletext"/>
    <w:rsid w:val="00A365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365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3651C"/>
    <w:pPr>
      <w:keepNext/>
      <w:keepLines/>
      <w:spacing w:before="160"/>
      <w:ind w:left="794"/>
    </w:pPr>
    <w:rPr>
      <w:i/>
    </w:rPr>
  </w:style>
  <w:style w:type="paragraph" w:customStyle="1" w:styleId="ChapNo">
    <w:name w:val="Chap_No"/>
    <w:basedOn w:val="ArtNo"/>
    <w:next w:val="Chaptitle"/>
    <w:rsid w:val="00A3651C"/>
    <w:rPr>
      <w:b/>
    </w:rPr>
  </w:style>
  <w:style w:type="paragraph" w:customStyle="1" w:styleId="Chaptitle">
    <w:name w:val="Chap_title"/>
    <w:basedOn w:val="Arttitle"/>
    <w:next w:val="Normalaftertitle"/>
    <w:rsid w:val="00A3651C"/>
  </w:style>
  <w:style w:type="character" w:styleId="FootnoteReference">
    <w:name w:val="footnote reference"/>
    <w:basedOn w:val="DefaultParagraphFont"/>
    <w:semiHidden/>
    <w:rsid w:val="00A3651C"/>
    <w:rPr>
      <w:position w:val="6"/>
      <w:sz w:val="18"/>
    </w:rPr>
  </w:style>
  <w:style w:type="paragraph" w:styleId="FootnoteText">
    <w:name w:val="footnote text"/>
    <w:basedOn w:val="Normal"/>
    <w:link w:val="FootnoteTextChar"/>
    <w:semiHidden/>
    <w:rsid w:val="00A3651C"/>
    <w:pPr>
      <w:keepLines/>
      <w:tabs>
        <w:tab w:val="left" w:pos="255"/>
      </w:tabs>
      <w:ind w:left="255" w:hanging="255"/>
    </w:pPr>
    <w:rPr>
      <w:sz w:val="22"/>
    </w:rPr>
  </w:style>
  <w:style w:type="paragraph" w:styleId="Index1">
    <w:name w:val="index 1"/>
    <w:basedOn w:val="Normal"/>
    <w:next w:val="Normal"/>
    <w:semiHidden/>
    <w:rsid w:val="00A3651C"/>
  </w:style>
  <w:style w:type="paragraph" w:styleId="Index2">
    <w:name w:val="index 2"/>
    <w:basedOn w:val="Normal"/>
    <w:next w:val="Normal"/>
    <w:semiHidden/>
    <w:rsid w:val="00A3651C"/>
    <w:pPr>
      <w:ind w:left="283"/>
    </w:pPr>
  </w:style>
  <w:style w:type="paragraph" w:styleId="Index3">
    <w:name w:val="index 3"/>
    <w:basedOn w:val="Normal"/>
    <w:next w:val="Normal"/>
    <w:semiHidden/>
    <w:rsid w:val="00A3651C"/>
    <w:pPr>
      <w:ind w:left="566"/>
    </w:pPr>
  </w:style>
  <w:style w:type="paragraph" w:styleId="IndexHeading">
    <w:name w:val="index heading"/>
    <w:basedOn w:val="Normal"/>
    <w:next w:val="Index1"/>
    <w:semiHidden/>
    <w:rsid w:val="00A3651C"/>
  </w:style>
  <w:style w:type="paragraph" w:customStyle="1" w:styleId="Line">
    <w:name w:val="Line"/>
    <w:basedOn w:val="Normal"/>
    <w:next w:val="Normal"/>
    <w:rsid w:val="00A365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365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3651C"/>
  </w:style>
  <w:style w:type="paragraph" w:customStyle="1" w:styleId="Partref">
    <w:name w:val="Part_ref"/>
    <w:basedOn w:val="Normal"/>
    <w:next w:val="Normal"/>
    <w:rsid w:val="00A3651C"/>
    <w:pPr>
      <w:keepNext/>
      <w:keepLines/>
      <w:spacing w:after="280"/>
      <w:jc w:val="center"/>
    </w:pPr>
  </w:style>
  <w:style w:type="paragraph" w:customStyle="1" w:styleId="Parttitle">
    <w:name w:val="Part_title"/>
    <w:basedOn w:val="Normal"/>
    <w:next w:val="Normalaftertitle"/>
    <w:rsid w:val="00A365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3651C"/>
  </w:style>
  <w:style w:type="paragraph" w:customStyle="1" w:styleId="QuestionNo">
    <w:name w:val="Question_No"/>
    <w:basedOn w:val="RecNo"/>
    <w:next w:val="Normal"/>
    <w:rsid w:val="00A3651C"/>
  </w:style>
  <w:style w:type="paragraph" w:customStyle="1" w:styleId="Questionref">
    <w:name w:val="Question_ref"/>
    <w:basedOn w:val="Recref"/>
    <w:next w:val="Questiondate"/>
    <w:rsid w:val="00A3651C"/>
  </w:style>
  <w:style w:type="paragraph" w:customStyle="1" w:styleId="Questiontitle">
    <w:name w:val="Question_title"/>
    <w:basedOn w:val="Normal"/>
    <w:next w:val="Questionref"/>
    <w:rsid w:val="00A3651C"/>
  </w:style>
  <w:style w:type="paragraph" w:customStyle="1" w:styleId="Reftext">
    <w:name w:val="Ref_text"/>
    <w:basedOn w:val="Normal"/>
    <w:rsid w:val="00A3651C"/>
    <w:pPr>
      <w:ind w:left="794" w:hanging="794"/>
    </w:pPr>
    <w:rPr>
      <w:sz w:val="22"/>
    </w:rPr>
  </w:style>
  <w:style w:type="paragraph" w:customStyle="1" w:styleId="Reftitle">
    <w:name w:val="Ref_title"/>
    <w:basedOn w:val="Normal"/>
    <w:next w:val="Reftext"/>
    <w:rsid w:val="00A365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3651C"/>
  </w:style>
  <w:style w:type="paragraph" w:customStyle="1" w:styleId="RepNo">
    <w:name w:val="Rep_No"/>
    <w:basedOn w:val="RecNo"/>
    <w:next w:val="Reptitle"/>
    <w:rsid w:val="00A3651C"/>
  </w:style>
  <w:style w:type="paragraph" w:customStyle="1" w:styleId="Repref">
    <w:name w:val="Rep_ref"/>
    <w:basedOn w:val="Recref"/>
    <w:next w:val="Repdate"/>
    <w:rsid w:val="00A3651C"/>
  </w:style>
  <w:style w:type="paragraph" w:customStyle="1" w:styleId="Reptitle">
    <w:name w:val="Rep_title"/>
    <w:basedOn w:val="Rectitle"/>
    <w:next w:val="Repref"/>
    <w:rsid w:val="00A3651C"/>
  </w:style>
  <w:style w:type="paragraph" w:customStyle="1" w:styleId="Resdate">
    <w:name w:val="Res_date"/>
    <w:basedOn w:val="Recdate"/>
    <w:next w:val="Normalaftertitle"/>
    <w:rsid w:val="00A3651C"/>
  </w:style>
  <w:style w:type="paragraph" w:customStyle="1" w:styleId="ResNo">
    <w:name w:val="Res_No"/>
    <w:basedOn w:val="RecNo"/>
    <w:next w:val="Restitle"/>
    <w:rsid w:val="00A3651C"/>
  </w:style>
  <w:style w:type="paragraph" w:customStyle="1" w:styleId="Resref">
    <w:name w:val="Res_ref"/>
    <w:basedOn w:val="Recref"/>
    <w:next w:val="Resdate"/>
    <w:rsid w:val="00A3651C"/>
  </w:style>
  <w:style w:type="paragraph" w:customStyle="1" w:styleId="Restitle">
    <w:name w:val="Res_title"/>
    <w:basedOn w:val="Normal"/>
    <w:next w:val="Resref"/>
    <w:rsid w:val="00A3651C"/>
    <w:pPr>
      <w:spacing w:before="240"/>
      <w:jc w:val="center"/>
    </w:pPr>
    <w:rPr>
      <w:b/>
      <w:sz w:val="28"/>
    </w:rPr>
  </w:style>
  <w:style w:type="paragraph" w:customStyle="1" w:styleId="SectionNo">
    <w:name w:val="Section_No"/>
    <w:basedOn w:val="Normal"/>
    <w:next w:val="Normal"/>
    <w:rsid w:val="00A3651C"/>
  </w:style>
  <w:style w:type="paragraph" w:customStyle="1" w:styleId="Sectiontitle">
    <w:name w:val="Section_title"/>
    <w:basedOn w:val="Normal"/>
    <w:next w:val="Normalaftertitle"/>
    <w:rsid w:val="00A365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3651C"/>
    <w:pPr>
      <w:tabs>
        <w:tab w:val="clear" w:pos="794"/>
        <w:tab w:val="clear" w:pos="1191"/>
        <w:tab w:val="clear" w:pos="1588"/>
        <w:tab w:val="clear" w:pos="1985"/>
        <w:tab w:val="right" w:pos="9611"/>
      </w:tabs>
    </w:pPr>
    <w:rPr>
      <w:i/>
    </w:rPr>
  </w:style>
  <w:style w:type="paragraph" w:styleId="TOC1">
    <w:name w:val="toc 1"/>
    <w:basedOn w:val="Normal"/>
    <w:semiHidden/>
    <w:rsid w:val="00A365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3651C"/>
    <w:pPr>
      <w:tabs>
        <w:tab w:val="clear" w:pos="567"/>
        <w:tab w:val="left" w:pos="1276"/>
      </w:tabs>
      <w:spacing w:before="160"/>
      <w:ind w:left="1276" w:hanging="709"/>
    </w:pPr>
  </w:style>
  <w:style w:type="paragraph" w:styleId="TOC3">
    <w:name w:val="toc 3"/>
    <w:basedOn w:val="TOC2"/>
    <w:semiHidden/>
    <w:rsid w:val="00A3651C"/>
    <w:pPr>
      <w:tabs>
        <w:tab w:val="clear" w:pos="1276"/>
        <w:tab w:val="left" w:pos="2155"/>
      </w:tabs>
      <w:ind w:left="2155" w:hanging="879"/>
    </w:pPr>
  </w:style>
  <w:style w:type="paragraph" w:styleId="TOC4">
    <w:name w:val="toc 4"/>
    <w:basedOn w:val="TOC3"/>
    <w:semiHidden/>
    <w:rsid w:val="00A3651C"/>
    <w:pPr>
      <w:tabs>
        <w:tab w:val="left" w:pos="3261"/>
      </w:tabs>
      <w:spacing w:before="80"/>
      <w:ind w:left="3261" w:hanging="993"/>
    </w:pPr>
  </w:style>
  <w:style w:type="paragraph" w:styleId="TOC5">
    <w:name w:val="toc 5"/>
    <w:basedOn w:val="TOC4"/>
    <w:semiHidden/>
    <w:rsid w:val="00A3651C"/>
  </w:style>
  <w:style w:type="paragraph" w:styleId="TOC6">
    <w:name w:val="toc 6"/>
    <w:basedOn w:val="TOC4"/>
    <w:semiHidden/>
    <w:rsid w:val="00A3651C"/>
  </w:style>
  <w:style w:type="paragraph" w:styleId="TOC7">
    <w:name w:val="toc 7"/>
    <w:basedOn w:val="TOC4"/>
    <w:semiHidden/>
    <w:rsid w:val="00A3651C"/>
  </w:style>
  <w:style w:type="paragraph" w:styleId="TOC8">
    <w:name w:val="toc 8"/>
    <w:basedOn w:val="TOC4"/>
    <w:semiHidden/>
    <w:rsid w:val="00A3651C"/>
  </w:style>
  <w:style w:type="paragraph" w:customStyle="1" w:styleId="Rectitle">
    <w:name w:val="Rec_title"/>
    <w:basedOn w:val="Normal"/>
    <w:next w:val="Recref"/>
    <w:rsid w:val="00A3651C"/>
    <w:pPr>
      <w:keepNext/>
      <w:keepLines/>
      <w:spacing w:before="240"/>
      <w:jc w:val="center"/>
    </w:pPr>
    <w:rPr>
      <w:b/>
      <w:sz w:val="28"/>
    </w:rPr>
  </w:style>
  <w:style w:type="paragraph" w:customStyle="1" w:styleId="Annexref">
    <w:name w:val="Annex_ref"/>
    <w:basedOn w:val="Normal"/>
    <w:next w:val="Normalaftertitle"/>
    <w:rsid w:val="00A3651C"/>
    <w:pPr>
      <w:keepNext/>
      <w:keepLines/>
      <w:spacing w:after="280"/>
      <w:jc w:val="center"/>
    </w:pPr>
  </w:style>
  <w:style w:type="paragraph" w:customStyle="1" w:styleId="Appendixref">
    <w:name w:val="Appendix_ref"/>
    <w:basedOn w:val="Annexref"/>
    <w:next w:val="Normalaftertitle"/>
    <w:rsid w:val="00A3651C"/>
  </w:style>
  <w:style w:type="paragraph" w:customStyle="1" w:styleId="Figuretitle">
    <w:name w:val="Figure_title"/>
    <w:basedOn w:val="Normal"/>
    <w:next w:val="Figure"/>
    <w:rsid w:val="00A3651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3651C"/>
    <w:pPr>
      <w:keepNext/>
      <w:spacing w:before="0" w:after="120"/>
      <w:jc w:val="center"/>
    </w:pPr>
    <w:rPr>
      <w:b/>
    </w:rPr>
  </w:style>
  <w:style w:type="paragraph" w:customStyle="1" w:styleId="Summary">
    <w:name w:val="Summary"/>
    <w:basedOn w:val="Normal"/>
    <w:next w:val="Normalaftertitle"/>
    <w:rsid w:val="00A3651C"/>
    <w:pPr>
      <w:spacing w:after="480"/>
    </w:pPr>
    <w:rPr>
      <w:sz w:val="22"/>
      <w:lang w:val="es-ES_tradnl"/>
    </w:rPr>
  </w:style>
  <w:style w:type="paragraph" w:customStyle="1" w:styleId="TableLegendNote">
    <w:name w:val="Table_Legend_Note"/>
    <w:basedOn w:val="Tablelegend"/>
    <w:next w:val="Tablelegend"/>
    <w:rsid w:val="00A3651C"/>
    <w:pPr>
      <w:ind w:left="-85" w:firstLine="0"/>
    </w:pPr>
    <w:rPr>
      <w:lang w:val="en-US"/>
    </w:rPr>
  </w:style>
  <w:style w:type="paragraph" w:customStyle="1" w:styleId="Figure">
    <w:name w:val="Figure"/>
    <w:basedOn w:val="FigureNo"/>
    <w:next w:val="Normal"/>
    <w:rsid w:val="00A3651C"/>
    <w:pPr>
      <w:keepNext w:val="0"/>
      <w:spacing w:before="0" w:after="240"/>
    </w:pPr>
  </w:style>
  <w:style w:type="character" w:styleId="Hyperlink">
    <w:name w:val="Hyperlink"/>
    <w:basedOn w:val="DefaultParagraphFont"/>
    <w:rsid w:val="004D2EF6"/>
    <w:rPr>
      <w:color w:val="0000FF"/>
      <w:u w:val="single"/>
    </w:rPr>
  </w:style>
  <w:style w:type="table" w:styleId="TableGrid">
    <w:name w:val="Table Grid"/>
    <w:basedOn w:val="TableNormal"/>
    <w:rsid w:val="004D2EF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D2EF6"/>
    <w:rPr>
      <w:b/>
      <w:sz w:val="24"/>
      <w:lang w:val="fr-FR" w:eastAsia="en-US"/>
    </w:rPr>
  </w:style>
  <w:style w:type="character" w:customStyle="1" w:styleId="Heading2Char">
    <w:name w:val="Heading 2 Char"/>
    <w:basedOn w:val="DefaultParagraphFont"/>
    <w:link w:val="Heading2"/>
    <w:rsid w:val="004D2EF6"/>
    <w:rPr>
      <w:b/>
      <w:sz w:val="24"/>
      <w:lang w:val="fr-FR" w:eastAsia="en-US"/>
    </w:rPr>
  </w:style>
  <w:style w:type="character" w:customStyle="1" w:styleId="HeaderChar">
    <w:name w:val="Header Char"/>
    <w:basedOn w:val="DefaultParagraphFont"/>
    <w:link w:val="Header"/>
    <w:rsid w:val="004D2EF6"/>
    <w:rPr>
      <w:sz w:val="24"/>
      <w:lang w:val="fr-FR" w:eastAsia="en-US"/>
    </w:rPr>
  </w:style>
  <w:style w:type="character" w:customStyle="1" w:styleId="FooterChar">
    <w:name w:val="Footer Char"/>
    <w:basedOn w:val="DefaultParagraphFont"/>
    <w:link w:val="Footer"/>
    <w:rsid w:val="004D2EF6"/>
    <w:rPr>
      <w:noProof/>
      <w:sz w:val="18"/>
      <w:lang w:val="fr-FR" w:eastAsia="en-US"/>
    </w:rPr>
  </w:style>
  <w:style w:type="character" w:customStyle="1" w:styleId="FootnoteTextChar">
    <w:name w:val="Footnote Text Char"/>
    <w:basedOn w:val="DefaultParagraphFont"/>
    <w:link w:val="FootnoteText"/>
    <w:semiHidden/>
    <w:rsid w:val="004D2EF6"/>
    <w:rPr>
      <w:sz w:val="22"/>
      <w:lang w:val="fr-FR" w:eastAsia="en-US"/>
    </w:rPr>
  </w:style>
  <w:style w:type="character" w:customStyle="1" w:styleId="FigureNoChar">
    <w:name w:val="Figure_No Char"/>
    <w:basedOn w:val="DefaultParagraphFont"/>
    <w:link w:val="FigureNo"/>
    <w:rsid w:val="004D2EF6"/>
    <w:rPr>
      <w:caps/>
      <w:sz w:val="18"/>
      <w:lang w:val="fr-FR" w:eastAsia="en-US"/>
    </w:rPr>
  </w:style>
  <w:style w:type="paragraph" w:customStyle="1" w:styleId="AnnexNo">
    <w:name w:val="Annex_No"/>
    <w:basedOn w:val="Normal"/>
    <w:next w:val="Normal"/>
    <w:rsid w:val="004D2EF6"/>
    <w:pPr>
      <w:keepNext/>
      <w:keepLines/>
      <w:spacing w:before="480" w:after="8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65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3651C"/>
    <w:pPr>
      <w:keepNext/>
      <w:keepLines/>
      <w:spacing w:before="480"/>
      <w:ind w:left="794" w:hanging="794"/>
      <w:outlineLvl w:val="0"/>
    </w:pPr>
    <w:rPr>
      <w:b/>
    </w:rPr>
  </w:style>
  <w:style w:type="paragraph" w:styleId="Heading2">
    <w:name w:val="heading 2"/>
    <w:basedOn w:val="Heading1"/>
    <w:next w:val="Normal"/>
    <w:link w:val="Heading2Char"/>
    <w:qFormat/>
    <w:rsid w:val="00A3651C"/>
    <w:pPr>
      <w:spacing w:before="320"/>
      <w:outlineLvl w:val="1"/>
    </w:pPr>
  </w:style>
  <w:style w:type="paragraph" w:styleId="Heading3">
    <w:name w:val="heading 3"/>
    <w:basedOn w:val="Heading1"/>
    <w:next w:val="Normal"/>
    <w:qFormat/>
    <w:rsid w:val="00A3651C"/>
    <w:pPr>
      <w:spacing w:before="200"/>
      <w:outlineLvl w:val="2"/>
    </w:pPr>
  </w:style>
  <w:style w:type="paragraph" w:styleId="Heading4">
    <w:name w:val="heading 4"/>
    <w:basedOn w:val="Heading3"/>
    <w:next w:val="Normal"/>
    <w:qFormat/>
    <w:rsid w:val="00A3651C"/>
    <w:pPr>
      <w:tabs>
        <w:tab w:val="clear" w:pos="794"/>
        <w:tab w:val="left" w:pos="992"/>
      </w:tabs>
      <w:ind w:left="992" w:hanging="992"/>
      <w:outlineLvl w:val="3"/>
    </w:pPr>
  </w:style>
  <w:style w:type="paragraph" w:styleId="Heading5">
    <w:name w:val="heading 5"/>
    <w:basedOn w:val="Heading4"/>
    <w:next w:val="Normal"/>
    <w:qFormat/>
    <w:rsid w:val="00A3651C"/>
    <w:pPr>
      <w:outlineLvl w:val="4"/>
    </w:pPr>
  </w:style>
  <w:style w:type="paragraph" w:styleId="Heading6">
    <w:name w:val="heading 6"/>
    <w:basedOn w:val="Heading4"/>
    <w:next w:val="Normal"/>
    <w:qFormat/>
    <w:rsid w:val="00A3651C"/>
    <w:pPr>
      <w:tabs>
        <w:tab w:val="clear" w:pos="992"/>
        <w:tab w:val="clear" w:pos="1191"/>
      </w:tabs>
      <w:ind w:left="1588" w:hanging="1588"/>
      <w:outlineLvl w:val="5"/>
    </w:pPr>
  </w:style>
  <w:style w:type="paragraph" w:styleId="Heading7">
    <w:name w:val="heading 7"/>
    <w:basedOn w:val="Heading6"/>
    <w:next w:val="Normal"/>
    <w:qFormat/>
    <w:rsid w:val="00A3651C"/>
    <w:pPr>
      <w:outlineLvl w:val="6"/>
    </w:pPr>
  </w:style>
  <w:style w:type="paragraph" w:styleId="Heading8">
    <w:name w:val="heading 8"/>
    <w:basedOn w:val="Heading6"/>
    <w:next w:val="Normal"/>
    <w:qFormat/>
    <w:rsid w:val="00A3651C"/>
    <w:pPr>
      <w:outlineLvl w:val="7"/>
    </w:pPr>
  </w:style>
  <w:style w:type="paragraph" w:styleId="Heading9">
    <w:name w:val="heading 9"/>
    <w:basedOn w:val="Heading6"/>
    <w:next w:val="Normal"/>
    <w:qFormat/>
    <w:rsid w:val="00A365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65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365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3651C"/>
  </w:style>
  <w:style w:type="paragraph" w:customStyle="1" w:styleId="Headingb">
    <w:name w:val="Heading_b"/>
    <w:basedOn w:val="Heading3"/>
    <w:next w:val="Normal"/>
    <w:rsid w:val="00A3651C"/>
    <w:pPr>
      <w:spacing w:before="160"/>
      <w:ind w:left="0" w:firstLine="0"/>
      <w:outlineLvl w:val="9"/>
    </w:pPr>
  </w:style>
  <w:style w:type="paragraph" w:customStyle="1" w:styleId="Headingi">
    <w:name w:val="Heading_i"/>
    <w:basedOn w:val="Heading3"/>
    <w:next w:val="Normal"/>
    <w:rsid w:val="00A3651C"/>
    <w:pPr>
      <w:spacing w:before="160"/>
      <w:ind w:left="0" w:firstLine="0"/>
    </w:pPr>
    <w:rPr>
      <w:b w:val="0"/>
      <w:i/>
    </w:rPr>
  </w:style>
  <w:style w:type="character" w:customStyle="1" w:styleId="href">
    <w:name w:val="href"/>
    <w:basedOn w:val="DefaultParagraphFont"/>
    <w:rsid w:val="00A3651C"/>
  </w:style>
  <w:style w:type="paragraph" w:customStyle="1" w:styleId="enumlev1">
    <w:name w:val="enumlev1"/>
    <w:basedOn w:val="Normal"/>
    <w:rsid w:val="00A3651C"/>
    <w:pPr>
      <w:spacing w:before="80"/>
      <w:ind w:left="794" w:hanging="794"/>
    </w:pPr>
  </w:style>
  <w:style w:type="paragraph" w:customStyle="1" w:styleId="enumlev2">
    <w:name w:val="enumlev2"/>
    <w:basedOn w:val="enumlev1"/>
    <w:rsid w:val="00A3651C"/>
    <w:pPr>
      <w:ind w:left="1191" w:hanging="397"/>
    </w:pPr>
  </w:style>
  <w:style w:type="paragraph" w:customStyle="1" w:styleId="enumlev3">
    <w:name w:val="enumlev3"/>
    <w:basedOn w:val="enumlev2"/>
    <w:rsid w:val="00A3651C"/>
    <w:pPr>
      <w:ind w:left="1588"/>
    </w:pPr>
  </w:style>
  <w:style w:type="paragraph" w:customStyle="1" w:styleId="Normalaftertitle">
    <w:name w:val="Normal_after_title"/>
    <w:basedOn w:val="Normal"/>
    <w:next w:val="Normal"/>
    <w:rsid w:val="00A3651C"/>
    <w:pPr>
      <w:spacing w:before="320"/>
    </w:pPr>
  </w:style>
  <w:style w:type="paragraph" w:customStyle="1" w:styleId="Note">
    <w:name w:val="Note"/>
    <w:basedOn w:val="Normal"/>
    <w:rsid w:val="00A3651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3651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3651C"/>
    <w:pPr>
      <w:spacing w:before="240"/>
    </w:pPr>
    <w:rPr>
      <w:sz w:val="22"/>
      <w:lang w:val="es-ES_tradnl"/>
    </w:rPr>
  </w:style>
  <w:style w:type="paragraph" w:customStyle="1" w:styleId="Recref">
    <w:name w:val="Rec_ref"/>
    <w:basedOn w:val="Normal"/>
    <w:next w:val="Recdate"/>
    <w:rsid w:val="00A3651C"/>
    <w:pPr>
      <w:jc w:val="center"/>
    </w:pPr>
  </w:style>
  <w:style w:type="paragraph" w:customStyle="1" w:styleId="Recdate">
    <w:name w:val="Rec_date"/>
    <w:basedOn w:val="Recref"/>
    <w:next w:val="Normalaftertitle"/>
    <w:rsid w:val="00A3651C"/>
    <w:pPr>
      <w:jc w:val="right"/>
    </w:pPr>
  </w:style>
  <w:style w:type="paragraph" w:customStyle="1" w:styleId="AnnexNoTitle">
    <w:name w:val="Annex_NoTitle"/>
    <w:basedOn w:val="Normal"/>
    <w:next w:val="Normalaftertitle"/>
    <w:rsid w:val="00A3651C"/>
    <w:pPr>
      <w:keepNext/>
      <w:keepLines/>
      <w:spacing w:before="480" w:after="80"/>
      <w:jc w:val="center"/>
    </w:pPr>
    <w:rPr>
      <w:b/>
      <w:sz w:val="28"/>
    </w:rPr>
  </w:style>
  <w:style w:type="paragraph" w:customStyle="1" w:styleId="AppendixNoTitle">
    <w:name w:val="Appendix_NoTitle"/>
    <w:basedOn w:val="AnnexNoTitle"/>
    <w:next w:val="Normal"/>
    <w:rsid w:val="00A3651C"/>
  </w:style>
  <w:style w:type="paragraph" w:customStyle="1" w:styleId="Tablefin">
    <w:name w:val="Table_fin"/>
    <w:basedOn w:val="Normal"/>
    <w:next w:val="Normal"/>
    <w:rsid w:val="00A3651C"/>
    <w:pPr>
      <w:spacing w:before="0"/>
    </w:pPr>
    <w:rPr>
      <w:sz w:val="20"/>
      <w:lang w:val="en-GB"/>
    </w:rPr>
  </w:style>
  <w:style w:type="paragraph" w:customStyle="1" w:styleId="Tablehead">
    <w:name w:val="Table_head"/>
    <w:basedOn w:val="Normal"/>
    <w:next w:val="Normal"/>
    <w:rsid w:val="00A365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365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3651C"/>
    <w:pPr>
      <w:keepNext/>
      <w:spacing w:before="360" w:after="120"/>
      <w:jc w:val="center"/>
    </w:pPr>
  </w:style>
  <w:style w:type="paragraph" w:customStyle="1" w:styleId="Tabletext">
    <w:name w:val="Table_text"/>
    <w:basedOn w:val="Normal"/>
    <w:rsid w:val="00A365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3651C"/>
    <w:pPr>
      <w:tabs>
        <w:tab w:val="clear" w:pos="1191"/>
        <w:tab w:val="clear" w:pos="1588"/>
        <w:tab w:val="clear" w:pos="1985"/>
        <w:tab w:val="center" w:pos="4820"/>
        <w:tab w:val="right" w:pos="9639"/>
      </w:tabs>
    </w:pPr>
  </w:style>
  <w:style w:type="paragraph" w:customStyle="1" w:styleId="Equationlegend">
    <w:name w:val="Equation_legend"/>
    <w:basedOn w:val="NormalIndent"/>
    <w:rsid w:val="00A365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3651C"/>
    <w:pPr>
      <w:ind w:left="794"/>
    </w:pPr>
  </w:style>
  <w:style w:type="paragraph" w:customStyle="1" w:styleId="Figurelegend">
    <w:name w:val="Figure_legend"/>
    <w:basedOn w:val="Normal"/>
    <w:rsid w:val="00A365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3651C"/>
    <w:pPr>
      <w:keepNext/>
      <w:keepLines/>
      <w:spacing w:before="480" w:after="80"/>
      <w:jc w:val="center"/>
    </w:pPr>
    <w:rPr>
      <w:caps/>
      <w:sz w:val="18"/>
    </w:rPr>
  </w:style>
  <w:style w:type="paragraph" w:customStyle="1" w:styleId="tocpart">
    <w:name w:val="tocpart"/>
    <w:basedOn w:val="Normal"/>
    <w:rsid w:val="00A365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3651C"/>
    <w:pPr>
      <w:keepNext/>
      <w:keepLines/>
      <w:spacing w:before="480"/>
      <w:jc w:val="center"/>
    </w:pPr>
    <w:rPr>
      <w:sz w:val="28"/>
    </w:rPr>
  </w:style>
  <w:style w:type="paragraph" w:customStyle="1" w:styleId="Arttitle">
    <w:name w:val="Art_title"/>
    <w:basedOn w:val="Normal"/>
    <w:next w:val="Normalaftertitle"/>
    <w:rsid w:val="00A3651C"/>
    <w:pPr>
      <w:keepNext/>
      <w:keepLines/>
      <w:spacing w:before="240"/>
      <w:jc w:val="center"/>
    </w:pPr>
    <w:rPr>
      <w:b/>
      <w:sz w:val="28"/>
    </w:rPr>
  </w:style>
  <w:style w:type="paragraph" w:customStyle="1" w:styleId="Blanc">
    <w:name w:val="Blanc"/>
    <w:basedOn w:val="Normal"/>
    <w:next w:val="Tabletext"/>
    <w:rsid w:val="00A365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365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3651C"/>
    <w:pPr>
      <w:keepNext/>
      <w:keepLines/>
      <w:spacing w:before="160"/>
      <w:ind w:left="794"/>
    </w:pPr>
    <w:rPr>
      <w:i/>
    </w:rPr>
  </w:style>
  <w:style w:type="paragraph" w:customStyle="1" w:styleId="ChapNo">
    <w:name w:val="Chap_No"/>
    <w:basedOn w:val="ArtNo"/>
    <w:next w:val="Chaptitle"/>
    <w:rsid w:val="00A3651C"/>
    <w:rPr>
      <w:b/>
    </w:rPr>
  </w:style>
  <w:style w:type="paragraph" w:customStyle="1" w:styleId="Chaptitle">
    <w:name w:val="Chap_title"/>
    <w:basedOn w:val="Arttitle"/>
    <w:next w:val="Normalaftertitle"/>
    <w:rsid w:val="00A3651C"/>
  </w:style>
  <w:style w:type="character" w:styleId="FootnoteReference">
    <w:name w:val="footnote reference"/>
    <w:basedOn w:val="DefaultParagraphFont"/>
    <w:semiHidden/>
    <w:rsid w:val="00A3651C"/>
    <w:rPr>
      <w:position w:val="6"/>
      <w:sz w:val="18"/>
    </w:rPr>
  </w:style>
  <w:style w:type="paragraph" w:styleId="FootnoteText">
    <w:name w:val="footnote text"/>
    <w:basedOn w:val="Normal"/>
    <w:link w:val="FootnoteTextChar"/>
    <w:semiHidden/>
    <w:rsid w:val="00A3651C"/>
    <w:pPr>
      <w:keepLines/>
      <w:tabs>
        <w:tab w:val="left" w:pos="255"/>
      </w:tabs>
      <w:ind w:left="255" w:hanging="255"/>
    </w:pPr>
    <w:rPr>
      <w:sz w:val="22"/>
    </w:rPr>
  </w:style>
  <w:style w:type="paragraph" w:styleId="Index1">
    <w:name w:val="index 1"/>
    <w:basedOn w:val="Normal"/>
    <w:next w:val="Normal"/>
    <w:semiHidden/>
    <w:rsid w:val="00A3651C"/>
  </w:style>
  <w:style w:type="paragraph" w:styleId="Index2">
    <w:name w:val="index 2"/>
    <w:basedOn w:val="Normal"/>
    <w:next w:val="Normal"/>
    <w:semiHidden/>
    <w:rsid w:val="00A3651C"/>
    <w:pPr>
      <w:ind w:left="283"/>
    </w:pPr>
  </w:style>
  <w:style w:type="paragraph" w:styleId="Index3">
    <w:name w:val="index 3"/>
    <w:basedOn w:val="Normal"/>
    <w:next w:val="Normal"/>
    <w:semiHidden/>
    <w:rsid w:val="00A3651C"/>
    <w:pPr>
      <w:ind w:left="566"/>
    </w:pPr>
  </w:style>
  <w:style w:type="paragraph" w:styleId="IndexHeading">
    <w:name w:val="index heading"/>
    <w:basedOn w:val="Normal"/>
    <w:next w:val="Index1"/>
    <w:semiHidden/>
    <w:rsid w:val="00A3651C"/>
  </w:style>
  <w:style w:type="paragraph" w:customStyle="1" w:styleId="Line">
    <w:name w:val="Line"/>
    <w:basedOn w:val="Normal"/>
    <w:next w:val="Normal"/>
    <w:rsid w:val="00A365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365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3651C"/>
  </w:style>
  <w:style w:type="paragraph" w:customStyle="1" w:styleId="Partref">
    <w:name w:val="Part_ref"/>
    <w:basedOn w:val="Normal"/>
    <w:next w:val="Normal"/>
    <w:rsid w:val="00A3651C"/>
    <w:pPr>
      <w:keepNext/>
      <w:keepLines/>
      <w:spacing w:after="280"/>
      <w:jc w:val="center"/>
    </w:pPr>
  </w:style>
  <w:style w:type="paragraph" w:customStyle="1" w:styleId="Parttitle">
    <w:name w:val="Part_title"/>
    <w:basedOn w:val="Normal"/>
    <w:next w:val="Normalaftertitle"/>
    <w:rsid w:val="00A365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3651C"/>
  </w:style>
  <w:style w:type="paragraph" w:customStyle="1" w:styleId="QuestionNo">
    <w:name w:val="Question_No"/>
    <w:basedOn w:val="RecNo"/>
    <w:next w:val="Normal"/>
    <w:rsid w:val="00A3651C"/>
  </w:style>
  <w:style w:type="paragraph" w:customStyle="1" w:styleId="Questionref">
    <w:name w:val="Question_ref"/>
    <w:basedOn w:val="Recref"/>
    <w:next w:val="Questiondate"/>
    <w:rsid w:val="00A3651C"/>
  </w:style>
  <w:style w:type="paragraph" w:customStyle="1" w:styleId="Questiontitle">
    <w:name w:val="Question_title"/>
    <w:basedOn w:val="Normal"/>
    <w:next w:val="Questionref"/>
    <w:rsid w:val="00A3651C"/>
  </w:style>
  <w:style w:type="paragraph" w:customStyle="1" w:styleId="Reftext">
    <w:name w:val="Ref_text"/>
    <w:basedOn w:val="Normal"/>
    <w:rsid w:val="00A3651C"/>
    <w:pPr>
      <w:ind w:left="794" w:hanging="794"/>
    </w:pPr>
    <w:rPr>
      <w:sz w:val="22"/>
    </w:rPr>
  </w:style>
  <w:style w:type="paragraph" w:customStyle="1" w:styleId="Reftitle">
    <w:name w:val="Ref_title"/>
    <w:basedOn w:val="Normal"/>
    <w:next w:val="Reftext"/>
    <w:rsid w:val="00A365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3651C"/>
  </w:style>
  <w:style w:type="paragraph" w:customStyle="1" w:styleId="RepNo">
    <w:name w:val="Rep_No"/>
    <w:basedOn w:val="RecNo"/>
    <w:next w:val="Reptitle"/>
    <w:rsid w:val="00A3651C"/>
  </w:style>
  <w:style w:type="paragraph" w:customStyle="1" w:styleId="Repref">
    <w:name w:val="Rep_ref"/>
    <w:basedOn w:val="Recref"/>
    <w:next w:val="Repdate"/>
    <w:rsid w:val="00A3651C"/>
  </w:style>
  <w:style w:type="paragraph" w:customStyle="1" w:styleId="Reptitle">
    <w:name w:val="Rep_title"/>
    <w:basedOn w:val="Rectitle"/>
    <w:next w:val="Repref"/>
    <w:rsid w:val="00A3651C"/>
  </w:style>
  <w:style w:type="paragraph" w:customStyle="1" w:styleId="Resdate">
    <w:name w:val="Res_date"/>
    <w:basedOn w:val="Recdate"/>
    <w:next w:val="Normalaftertitle"/>
    <w:rsid w:val="00A3651C"/>
  </w:style>
  <w:style w:type="paragraph" w:customStyle="1" w:styleId="ResNo">
    <w:name w:val="Res_No"/>
    <w:basedOn w:val="RecNo"/>
    <w:next w:val="Restitle"/>
    <w:rsid w:val="00A3651C"/>
  </w:style>
  <w:style w:type="paragraph" w:customStyle="1" w:styleId="Resref">
    <w:name w:val="Res_ref"/>
    <w:basedOn w:val="Recref"/>
    <w:next w:val="Resdate"/>
    <w:rsid w:val="00A3651C"/>
  </w:style>
  <w:style w:type="paragraph" w:customStyle="1" w:styleId="Restitle">
    <w:name w:val="Res_title"/>
    <w:basedOn w:val="Normal"/>
    <w:next w:val="Resref"/>
    <w:rsid w:val="00A3651C"/>
    <w:pPr>
      <w:spacing w:before="240"/>
      <w:jc w:val="center"/>
    </w:pPr>
    <w:rPr>
      <w:b/>
      <w:sz w:val="28"/>
    </w:rPr>
  </w:style>
  <w:style w:type="paragraph" w:customStyle="1" w:styleId="SectionNo">
    <w:name w:val="Section_No"/>
    <w:basedOn w:val="Normal"/>
    <w:next w:val="Normal"/>
    <w:rsid w:val="00A3651C"/>
  </w:style>
  <w:style w:type="paragraph" w:customStyle="1" w:styleId="Sectiontitle">
    <w:name w:val="Section_title"/>
    <w:basedOn w:val="Normal"/>
    <w:next w:val="Normalaftertitle"/>
    <w:rsid w:val="00A365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3651C"/>
    <w:pPr>
      <w:tabs>
        <w:tab w:val="clear" w:pos="794"/>
        <w:tab w:val="clear" w:pos="1191"/>
        <w:tab w:val="clear" w:pos="1588"/>
        <w:tab w:val="clear" w:pos="1985"/>
        <w:tab w:val="right" w:pos="9611"/>
      </w:tabs>
    </w:pPr>
    <w:rPr>
      <w:i/>
    </w:rPr>
  </w:style>
  <w:style w:type="paragraph" w:styleId="TOC1">
    <w:name w:val="toc 1"/>
    <w:basedOn w:val="Normal"/>
    <w:semiHidden/>
    <w:rsid w:val="00A365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3651C"/>
    <w:pPr>
      <w:tabs>
        <w:tab w:val="clear" w:pos="567"/>
        <w:tab w:val="left" w:pos="1276"/>
      </w:tabs>
      <w:spacing w:before="160"/>
      <w:ind w:left="1276" w:hanging="709"/>
    </w:pPr>
  </w:style>
  <w:style w:type="paragraph" w:styleId="TOC3">
    <w:name w:val="toc 3"/>
    <w:basedOn w:val="TOC2"/>
    <w:semiHidden/>
    <w:rsid w:val="00A3651C"/>
    <w:pPr>
      <w:tabs>
        <w:tab w:val="clear" w:pos="1276"/>
        <w:tab w:val="left" w:pos="2155"/>
      </w:tabs>
      <w:ind w:left="2155" w:hanging="879"/>
    </w:pPr>
  </w:style>
  <w:style w:type="paragraph" w:styleId="TOC4">
    <w:name w:val="toc 4"/>
    <w:basedOn w:val="TOC3"/>
    <w:semiHidden/>
    <w:rsid w:val="00A3651C"/>
    <w:pPr>
      <w:tabs>
        <w:tab w:val="left" w:pos="3261"/>
      </w:tabs>
      <w:spacing w:before="80"/>
      <w:ind w:left="3261" w:hanging="993"/>
    </w:pPr>
  </w:style>
  <w:style w:type="paragraph" w:styleId="TOC5">
    <w:name w:val="toc 5"/>
    <w:basedOn w:val="TOC4"/>
    <w:semiHidden/>
    <w:rsid w:val="00A3651C"/>
  </w:style>
  <w:style w:type="paragraph" w:styleId="TOC6">
    <w:name w:val="toc 6"/>
    <w:basedOn w:val="TOC4"/>
    <w:semiHidden/>
    <w:rsid w:val="00A3651C"/>
  </w:style>
  <w:style w:type="paragraph" w:styleId="TOC7">
    <w:name w:val="toc 7"/>
    <w:basedOn w:val="TOC4"/>
    <w:semiHidden/>
    <w:rsid w:val="00A3651C"/>
  </w:style>
  <w:style w:type="paragraph" w:styleId="TOC8">
    <w:name w:val="toc 8"/>
    <w:basedOn w:val="TOC4"/>
    <w:semiHidden/>
    <w:rsid w:val="00A3651C"/>
  </w:style>
  <w:style w:type="paragraph" w:customStyle="1" w:styleId="Rectitle">
    <w:name w:val="Rec_title"/>
    <w:basedOn w:val="Normal"/>
    <w:next w:val="Recref"/>
    <w:rsid w:val="00A3651C"/>
    <w:pPr>
      <w:keepNext/>
      <w:keepLines/>
      <w:spacing w:before="240"/>
      <w:jc w:val="center"/>
    </w:pPr>
    <w:rPr>
      <w:b/>
      <w:sz w:val="28"/>
    </w:rPr>
  </w:style>
  <w:style w:type="paragraph" w:customStyle="1" w:styleId="Annexref">
    <w:name w:val="Annex_ref"/>
    <w:basedOn w:val="Normal"/>
    <w:next w:val="Normalaftertitle"/>
    <w:rsid w:val="00A3651C"/>
    <w:pPr>
      <w:keepNext/>
      <w:keepLines/>
      <w:spacing w:after="280"/>
      <w:jc w:val="center"/>
    </w:pPr>
  </w:style>
  <w:style w:type="paragraph" w:customStyle="1" w:styleId="Appendixref">
    <w:name w:val="Appendix_ref"/>
    <w:basedOn w:val="Annexref"/>
    <w:next w:val="Normalaftertitle"/>
    <w:rsid w:val="00A3651C"/>
  </w:style>
  <w:style w:type="paragraph" w:customStyle="1" w:styleId="Figuretitle">
    <w:name w:val="Figure_title"/>
    <w:basedOn w:val="Normal"/>
    <w:next w:val="Figure"/>
    <w:rsid w:val="00A3651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3651C"/>
    <w:pPr>
      <w:keepNext/>
      <w:spacing w:before="0" w:after="120"/>
      <w:jc w:val="center"/>
    </w:pPr>
    <w:rPr>
      <w:b/>
    </w:rPr>
  </w:style>
  <w:style w:type="paragraph" w:customStyle="1" w:styleId="Summary">
    <w:name w:val="Summary"/>
    <w:basedOn w:val="Normal"/>
    <w:next w:val="Normalaftertitle"/>
    <w:rsid w:val="00A3651C"/>
    <w:pPr>
      <w:spacing w:after="480"/>
    </w:pPr>
    <w:rPr>
      <w:sz w:val="22"/>
      <w:lang w:val="es-ES_tradnl"/>
    </w:rPr>
  </w:style>
  <w:style w:type="paragraph" w:customStyle="1" w:styleId="TableLegendNote">
    <w:name w:val="Table_Legend_Note"/>
    <w:basedOn w:val="Tablelegend"/>
    <w:next w:val="Tablelegend"/>
    <w:rsid w:val="00A3651C"/>
    <w:pPr>
      <w:ind w:left="-85" w:firstLine="0"/>
    </w:pPr>
    <w:rPr>
      <w:lang w:val="en-US"/>
    </w:rPr>
  </w:style>
  <w:style w:type="paragraph" w:customStyle="1" w:styleId="Figure">
    <w:name w:val="Figure"/>
    <w:basedOn w:val="FigureNo"/>
    <w:next w:val="Normal"/>
    <w:rsid w:val="00A3651C"/>
    <w:pPr>
      <w:keepNext w:val="0"/>
      <w:spacing w:before="0" w:after="240"/>
    </w:pPr>
  </w:style>
  <w:style w:type="character" w:styleId="Hyperlink">
    <w:name w:val="Hyperlink"/>
    <w:basedOn w:val="DefaultParagraphFont"/>
    <w:rsid w:val="004D2EF6"/>
    <w:rPr>
      <w:color w:val="0000FF"/>
      <w:u w:val="single"/>
    </w:rPr>
  </w:style>
  <w:style w:type="table" w:styleId="TableGrid">
    <w:name w:val="Table Grid"/>
    <w:basedOn w:val="TableNormal"/>
    <w:rsid w:val="004D2EF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D2EF6"/>
    <w:rPr>
      <w:b/>
      <w:sz w:val="24"/>
      <w:lang w:val="fr-FR" w:eastAsia="en-US"/>
    </w:rPr>
  </w:style>
  <w:style w:type="character" w:customStyle="1" w:styleId="Heading2Char">
    <w:name w:val="Heading 2 Char"/>
    <w:basedOn w:val="DefaultParagraphFont"/>
    <w:link w:val="Heading2"/>
    <w:rsid w:val="004D2EF6"/>
    <w:rPr>
      <w:b/>
      <w:sz w:val="24"/>
      <w:lang w:val="fr-FR" w:eastAsia="en-US"/>
    </w:rPr>
  </w:style>
  <w:style w:type="character" w:customStyle="1" w:styleId="HeaderChar">
    <w:name w:val="Header Char"/>
    <w:basedOn w:val="DefaultParagraphFont"/>
    <w:link w:val="Header"/>
    <w:rsid w:val="004D2EF6"/>
    <w:rPr>
      <w:sz w:val="24"/>
      <w:lang w:val="fr-FR" w:eastAsia="en-US"/>
    </w:rPr>
  </w:style>
  <w:style w:type="character" w:customStyle="1" w:styleId="FooterChar">
    <w:name w:val="Footer Char"/>
    <w:basedOn w:val="DefaultParagraphFont"/>
    <w:link w:val="Footer"/>
    <w:rsid w:val="004D2EF6"/>
    <w:rPr>
      <w:noProof/>
      <w:sz w:val="18"/>
      <w:lang w:val="fr-FR" w:eastAsia="en-US"/>
    </w:rPr>
  </w:style>
  <w:style w:type="character" w:customStyle="1" w:styleId="FootnoteTextChar">
    <w:name w:val="Footnote Text Char"/>
    <w:basedOn w:val="DefaultParagraphFont"/>
    <w:link w:val="FootnoteText"/>
    <w:semiHidden/>
    <w:rsid w:val="004D2EF6"/>
    <w:rPr>
      <w:sz w:val="22"/>
      <w:lang w:val="fr-FR" w:eastAsia="en-US"/>
    </w:rPr>
  </w:style>
  <w:style w:type="character" w:customStyle="1" w:styleId="FigureNoChar">
    <w:name w:val="Figure_No Char"/>
    <w:basedOn w:val="DefaultParagraphFont"/>
    <w:link w:val="FigureNo"/>
    <w:rsid w:val="004D2EF6"/>
    <w:rPr>
      <w:caps/>
      <w:sz w:val="18"/>
      <w:lang w:val="fr-FR" w:eastAsia="en-US"/>
    </w:rPr>
  </w:style>
  <w:style w:type="paragraph" w:customStyle="1" w:styleId="AnnexNo">
    <w:name w:val="Annex_No"/>
    <w:basedOn w:val="Normal"/>
    <w:next w:val="Normal"/>
    <w:rsid w:val="004D2EF6"/>
    <w:pPr>
      <w:keepNext/>
      <w:keepLines/>
      <w:spacing w:before="480" w:after="8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6.wmf"/><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0.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header" Target="header8.xml"/><Relationship Id="rId10" Type="http://schemas.openxmlformats.org/officeDocument/2006/relationships/hyperlink" Target="http://www.itu.int/publ/R-REC/es" TargetMode="External"/><Relationship Id="rId19" Type="http://schemas.openxmlformats.org/officeDocument/2006/relationships/footer" Target="footer2.xml"/><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105</TotalTime>
  <Pages>12</Pages>
  <Words>3336</Words>
  <Characters>18006</Characters>
  <Application>Microsoft Office Word</Application>
  <DocSecurity>0</DocSecurity>
  <Lines>562</Lines>
  <Paragraphs>485</Paragraphs>
  <ScaleCrop>false</ScaleCrop>
  <HeadingPairs>
    <vt:vector size="2" baseType="variant">
      <vt:variant>
        <vt:lpstr>Title</vt:lpstr>
      </vt:variant>
      <vt:variant>
        <vt:i4>1</vt:i4>
      </vt:variant>
    </vt:vector>
  </HeadingPairs>
  <TitlesOfParts>
    <vt:vector size="1" baseType="lpstr">
      <vt:lpstr>RECOMENDACIÓN  UIT-R  F.1191-3* - Anchuras de banda necesarias y ocupadas y emisiones no deseadas de los sistemas digitales del servicio fijo</vt:lpstr>
    </vt:vector>
  </TitlesOfParts>
  <Manager/>
  <Company>ITU</Company>
  <LinksUpToDate>false</LinksUpToDate>
  <CharactersWithSpaces>20857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F.1191-3* - Anchuras de banda necesarias y ocupadas y emisiones no deseadas de los sistemas digitales del servicio fijo</dc:title>
  <dc:subject>Serie F = Servicio fijo</dc:subject>
  <dc:creator>Oficina de Radiocomunicaciones del UIT (BR)</dc:creator>
  <cp:keywords>F,1191-3*</cp:keywords>
  <dc:description>Martiner, 22.08.2011, AMR106400</dc:description>
  <cp:lastModifiedBy>martiner</cp:lastModifiedBy>
  <cp:revision>17</cp:revision>
  <cp:lastPrinted>2005-02-10T15:54:00Z</cp:lastPrinted>
  <dcterms:created xsi:type="dcterms:W3CDTF">2011-08-18T06:49:00Z</dcterms:created>
  <dcterms:modified xsi:type="dcterms:W3CDTF">2011-08-22T14:02:00Z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lundi, 22. août 2011</vt:lpwstr>
  </property>
</Properties>
</file>