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bookmarkStart w:id="0" w:name="_GoBack"/>
            <w:bookmarkEnd w:id="0"/>
          </w:p>
          <w:p w:rsidR="00FE79FE" w:rsidRPr="006B55A9" w:rsidRDefault="00FE79FE" w:rsidP="0086481A">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86481A">
              <w:rPr>
                <w:rFonts w:ascii="Tahoma" w:hAnsi="Tahoma" w:cs="Tahoma"/>
                <w:b/>
                <w:bCs/>
                <w:iCs/>
                <w:color w:val="243285"/>
                <w:sz w:val="36"/>
                <w:szCs w:val="36"/>
              </w:rPr>
              <w:t>805</w:t>
            </w:r>
          </w:p>
          <w:p w:rsidR="00FE79FE" w:rsidRPr="006B55A9" w:rsidRDefault="007D3B79" w:rsidP="0086481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86481A">
              <w:rPr>
                <w:rFonts w:ascii="Tahoma" w:hAnsi="Tahoma" w:cs="Tahoma"/>
                <w:b/>
                <w:bCs/>
                <w:iCs/>
                <w:color w:val="243285"/>
                <w:szCs w:val="24"/>
              </w:rPr>
              <w:t>03</w:t>
            </w:r>
            <w:r w:rsidR="00FE79FE" w:rsidRPr="006B55A9">
              <w:rPr>
                <w:rFonts w:ascii="Tahoma" w:hAnsi="Tahoma" w:cs="Tahoma"/>
                <w:b/>
                <w:bCs/>
                <w:iCs/>
                <w:color w:val="243285"/>
                <w:szCs w:val="24"/>
              </w:rPr>
              <w:t>/</w:t>
            </w:r>
            <w:r w:rsidR="0086481A">
              <w:rPr>
                <w:rFonts w:ascii="Tahoma" w:hAnsi="Tahoma" w:cs="Tahoma"/>
                <w:b/>
                <w:bCs/>
                <w:iCs/>
                <w:color w:val="243285"/>
                <w:szCs w:val="24"/>
              </w:rPr>
              <w:t>1992</w:t>
            </w:r>
            <w:r w:rsidR="00FE79FE" w:rsidRPr="006B55A9">
              <w:rPr>
                <w:rFonts w:ascii="Tahoma" w:hAnsi="Tahoma" w:cs="Tahoma"/>
                <w:b/>
                <w:bCs/>
                <w:iCs/>
                <w:color w:val="243285"/>
                <w:szCs w:val="24"/>
              </w:rPr>
              <w:t>)</w:t>
            </w:r>
          </w:p>
        </w:tc>
      </w:tr>
      <w:tr w:rsidR="00FE79FE" w:rsidRPr="0086481A" w:rsidTr="006B55A9">
        <w:tc>
          <w:tcPr>
            <w:tcW w:w="10089" w:type="dxa"/>
          </w:tcPr>
          <w:p w:rsidR="00013002" w:rsidRPr="0086481A" w:rsidRDefault="00013002" w:rsidP="006B55A9">
            <w:pPr>
              <w:spacing w:before="80" w:line="500" w:lineRule="exact"/>
              <w:jc w:val="right"/>
              <w:rPr>
                <w:rFonts w:ascii="Tahoma" w:hAnsi="Tahoma" w:cs="Tahoma"/>
                <w:b/>
                <w:bCs/>
                <w:iCs/>
                <w:color w:val="243285"/>
                <w:sz w:val="44"/>
                <w:szCs w:val="44"/>
                <w:lang w:val="es-ES_tradnl"/>
              </w:rPr>
            </w:pPr>
          </w:p>
          <w:p w:rsidR="0086481A" w:rsidRPr="0086481A" w:rsidRDefault="0086481A" w:rsidP="0086481A">
            <w:pPr>
              <w:spacing w:before="80" w:line="500" w:lineRule="exact"/>
              <w:jc w:val="right"/>
              <w:rPr>
                <w:rFonts w:ascii="Tahoma" w:hAnsi="Tahoma" w:cs="Tahoma"/>
                <w:b/>
                <w:bCs/>
                <w:color w:val="243285"/>
                <w:sz w:val="44"/>
                <w:szCs w:val="44"/>
                <w:lang w:val="es-ES_tradnl"/>
              </w:rPr>
            </w:pPr>
            <w:r w:rsidRPr="0086481A">
              <w:rPr>
                <w:rFonts w:ascii="Tahoma" w:hAnsi="Tahoma" w:cs="Tahoma"/>
                <w:b/>
                <w:bCs/>
                <w:color w:val="243285"/>
                <w:sz w:val="44"/>
                <w:szCs w:val="44"/>
                <w:lang w:val="es-ES_tradnl"/>
              </w:rPr>
              <w:t>Efecto de la degradación causada</w:t>
            </w:r>
            <w:r>
              <w:rPr>
                <w:rFonts w:ascii="Tahoma" w:hAnsi="Tahoma" w:cs="Tahoma"/>
                <w:b/>
                <w:bCs/>
                <w:color w:val="243285"/>
                <w:sz w:val="44"/>
                <w:szCs w:val="44"/>
                <w:lang w:val="es-ES_tradnl"/>
              </w:rPr>
              <w:br/>
            </w:r>
            <w:r w:rsidRPr="0086481A">
              <w:rPr>
                <w:rFonts w:ascii="Tahoma" w:hAnsi="Tahoma" w:cs="Tahoma"/>
                <w:b/>
                <w:bCs/>
                <w:color w:val="243285"/>
                <w:sz w:val="44"/>
                <w:szCs w:val="44"/>
                <w:lang w:val="es-ES_tradnl"/>
              </w:rPr>
              <w:t>a la recepci</w:t>
            </w:r>
            <w:r>
              <w:rPr>
                <w:rFonts w:ascii="Tahoma" w:hAnsi="Tahoma" w:cs="Tahoma"/>
                <w:b/>
                <w:bCs/>
                <w:color w:val="243285"/>
                <w:sz w:val="44"/>
                <w:szCs w:val="44"/>
                <w:lang w:val="es-ES_tradnl"/>
              </w:rPr>
              <w:t>ón de televisión analógica</w:t>
            </w:r>
            <w:r>
              <w:rPr>
                <w:rFonts w:ascii="Tahoma" w:hAnsi="Tahoma" w:cs="Tahoma"/>
                <w:b/>
                <w:bCs/>
                <w:color w:val="243285"/>
                <w:sz w:val="44"/>
                <w:szCs w:val="44"/>
                <w:lang w:val="es-ES_tradnl"/>
              </w:rPr>
              <w:br/>
              <w:t>por una turbina eólica</w:t>
            </w:r>
          </w:p>
          <w:p w:rsidR="00FE79FE" w:rsidRPr="0086481A" w:rsidRDefault="007D3B79" w:rsidP="006B55A9">
            <w:pPr>
              <w:spacing w:before="80" w:line="500" w:lineRule="exact"/>
              <w:jc w:val="right"/>
              <w:rPr>
                <w:rFonts w:ascii="Tahoma" w:hAnsi="Tahoma" w:cs="Tahoma"/>
                <w:b/>
                <w:bCs/>
                <w:iCs/>
                <w:color w:val="243285"/>
                <w:sz w:val="44"/>
                <w:szCs w:val="44"/>
                <w:lang w:val="es-ES_tradnl"/>
              </w:rPr>
            </w:pPr>
            <w:r w:rsidRPr="0086481A">
              <w:rPr>
                <w:rFonts w:ascii="Tahoma" w:hAnsi="Tahoma" w:cs="Tahoma"/>
                <w:b/>
                <w:bCs/>
                <w:iCs/>
                <w:color w:val="243285"/>
                <w:sz w:val="44"/>
                <w:szCs w:val="44"/>
                <w:lang w:val="es-ES_tradnl"/>
              </w:rPr>
              <w:t xml:space="preserve"> </w:t>
            </w:r>
          </w:p>
        </w:tc>
      </w:tr>
      <w:tr w:rsidR="00FE79FE" w:rsidRPr="0086481A" w:rsidTr="006B55A9">
        <w:tc>
          <w:tcPr>
            <w:tcW w:w="10089" w:type="dxa"/>
          </w:tcPr>
          <w:p w:rsidR="005A1836" w:rsidRPr="0086481A" w:rsidRDefault="005A1836" w:rsidP="006B55A9">
            <w:pPr>
              <w:spacing w:before="80" w:line="280" w:lineRule="exact"/>
              <w:ind w:right="640"/>
              <w:rPr>
                <w:rFonts w:ascii="Tahoma" w:hAnsi="Tahoma" w:cs="Tahoma"/>
                <w:b/>
                <w:bCs/>
                <w:iCs/>
                <w:color w:val="243285"/>
                <w:sz w:val="32"/>
                <w:szCs w:val="32"/>
                <w:lang w:val="es-ES_tradnl"/>
              </w:rPr>
            </w:pPr>
          </w:p>
          <w:p w:rsidR="005A1836" w:rsidRPr="0086481A" w:rsidRDefault="005A1836" w:rsidP="006B55A9">
            <w:pPr>
              <w:spacing w:before="80" w:line="280" w:lineRule="exact"/>
              <w:ind w:right="640"/>
              <w:rPr>
                <w:rFonts w:ascii="Tahoma" w:hAnsi="Tahoma" w:cs="Tahoma"/>
                <w:b/>
                <w:bCs/>
                <w:iCs/>
                <w:color w:val="243285"/>
                <w:sz w:val="32"/>
                <w:szCs w:val="32"/>
                <w:lang w:val="es-ES_tradnl"/>
              </w:rPr>
            </w:pPr>
          </w:p>
          <w:p w:rsidR="005A1836" w:rsidRPr="0086481A"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86481A"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86481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86481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86481A"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86481A"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Pr="0086481A" w:rsidRDefault="0086481A" w:rsidP="0086481A">
      <w:pPr>
        <w:pStyle w:val="RecNo"/>
        <w:spacing w:before="0"/>
        <w:rPr>
          <w:lang w:val="es-ES_tradnl"/>
        </w:rPr>
      </w:pPr>
      <w:bookmarkStart w:id="3" w:name="irecnoe"/>
      <w:bookmarkEnd w:id="3"/>
      <w:r w:rsidRPr="0086481A">
        <w:rPr>
          <w:lang w:val="es-ES_tradnl"/>
        </w:rPr>
        <w:lastRenderedPageBreak/>
        <w:t xml:space="preserve">RECOMMENDATION  </w:t>
      </w:r>
      <w:r w:rsidRPr="0086481A">
        <w:rPr>
          <w:rStyle w:val="href"/>
          <w:lang w:val="es-ES_tradnl"/>
        </w:rPr>
        <w:t>ITU-R  BT.805</w:t>
      </w:r>
      <w:r w:rsidRPr="0086481A">
        <w:rPr>
          <w:rStyle w:val="FootnoteReference"/>
          <w:lang w:val="es-ES_tradnl"/>
        </w:rPr>
        <w:footnoteReference w:customMarkFollows="1" w:id="1"/>
        <w:t>*</w:t>
      </w:r>
      <w:r w:rsidRPr="0086481A">
        <w:rPr>
          <w:position w:val="8"/>
          <w:sz w:val="18"/>
          <w:lang w:val="es-ES_tradnl"/>
        </w:rPr>
        <w:t xml:space="preserve">, </w:t>
      </w:r>
      <w:r w:rsidRPr="0086481A">
        <w:rPr>
          <w:rStyle w:val="FootnoteReference"/>
          <w:lang w:val="es-ES_tradnl"/>
        </w:rPr>
        <w:footnoteReference w:customMarkFollows="1" w:id="2"/>
        <w:t>**</w:t>
      </w:r>
    </w:p>
    <w:p w:rsidR="0086481A" w:rsidRDefault="0086481A" w:rsidP="0086481A">
      <w:pPr>
        <w:pStyle w:val="Rectitle"/>
        <w:rPr>
          <w:lang w:val="es-ES"/>
        </w:rPr>
      </w:pPr>
      <w:bookmarkStart w:id="4" w:name="Pre_title"/>
      <w:r>
        <w:rPr>
          <w:lang w:val="es-ES"/>
        </w:rPr>
        <w:t>Efecto de la degradación causada a la recepción</w:t>
      </w:r>
      <w:r>
        <w:rPr>
          <w:lang w:val="es-ES"/>
        </w:rPr>
        <w:br/>
        <w:t>de televisión analógica por una turbina eólica</w:t>
      </w:r>
      <w:bookmarkEnd w:id="4"/>
    </w:p>
    <w:p w:rsidR="00BE5364" w:rsidRDefault="00BE5364" w:rsidP="0086481A">
      <w:pPr>
        <w:pStyle w:val="Recdate"/>
        <w:rPr>
          <w:lang w:val="es-ES"/>
        </w:rPr>
      </w:pPr>
      <w:bookmarkStart w:id="5" w:name="Revision_history"/>
    </w:p>
    <w:p w:rsidR="0086481A" w:rsidRDefault="0086481A" w:rsidP="0086481A">
      <w:pPr>
        <w:pStyle w:val="Recdate"/>
        <w:rPr>
          <w:lang w:val="es-ES"/>
        </w:rPr>
      </w:pPr>
      <w:r>
        <w:rPr>
          <w:lang w:val="es-ES"/>
        </w:rPr>
        <w:t>(1992)</w:t>
      </w:r>
      <w:bookmarkEnd w:id="5"/>
    </w:p>
    <w:p w:rsidR="00BE5364" w:rsidRDefault="00BE5364" w:rsidP="00BE5364">
      <w:pPr>
        <w:rPr>
          <w:lang w:val="es-ES"/>
        </w:rPr>
      </w:pPr>
    </w:p>
    <w:p w:rsidR="0086481A" w:rsidRDefault="0086481A" w:rsidP="0086481A">
      <w:pPr>
        <w:pStyle w:val="Normalaftertitle"/>
        <w:rPr>
          <w:lang w:val="es-ES"/>
        </w:rPr>
      </w:pPr>
      <w:r>
        <w:rPr>
          <w:lang w:val="es-ES"/>
        </w:rPr>
        <w:t>La Asamblea de Radiocomunicaciones de la UIT,</w:t>
      </w:r>
    </w:p>
    <w:p w:rsidR="0086481A" w:rsidRDefault="0086481A" w:rsidP="0086481A">
      <w:pPr>
        <w:pStyle w:val="Call"/>
        <w:rPr>
          <w:lang w:val="es-ES"/>
        </w:rPr>
      </w:pPr>
      <w:r>
        <w:rPr>
          <w:lang w:val="es-ES"/>
        </w:rPr>
        <w:t>considerando</w:t>
      </w:r>
    </w:p>
    <w:p w:rsidR="0086481A" w:rsidRDefault="0086481A" w:rsidP="0086481A">
      <w:pPr>
        <w:rPr>
          <w:lang w:val="es-ES"/>
        </w:rPr>
      </w:pPr>
      <w:r>
        <w:rPr>
          <w:lang w:val="es-ES"/>
        </w:rPr>
        <w:t>a)</w:t>
      </w:r>
      <w:r>
        <w:rPr>
          <w:lang w:val="es-ES"/>
        </w:rPr>
        <w:tab/>
        <w:t>que las reflexiones en objetos móviles, tales como las aspas de una turbina eólica, pueden causar graves degradaciones en la recepción de televisión;</w:t>
      </w:r>
    </w:p>
    <w:p w:rsidR="0086481A" w:rsidRDefault="0086481A" w:rsidP="0086481A">
      <w:pPr>
        <w:rPr>
          <w:lang w:val="es-ES"/>
        </w:rPr>
      </w:pPr>
      <w:r>
        <w:rPr>
          <w:lang w:val="es-ES"/>
        </w:rPr>
        <w:t>b)</w:t>
      </w:r>
      <w:r>
        <w:rPr>
          <w:lang w:val="es-ES"/>
        </w:rPr>
        <w:tab/>
        <w:t>que esos efectos son particularmente importantes ya que la degradación causada puede ser casi permanente, y reducirse únicamente durante los periodos en que la turbina eólica no funciona;</w:t>
      </w:r>
    </w:p>
    <w:p w:rsidR="0086481A" w:rsidRDefault="0086481A" w:rsidP="0086481A">
      <w:pPr>
        <w:rPr>
          <w:lang w:val="es-ES"/>
        </w:rPr>
      </w:pPr>
      <w:r>
        <w:rPr>
          <w:lang w:val="es-ES"/>
        </w:rPr>
        <w:t>c)</w:t>
      </w:r>
      <w:r>
        <w:rPr>
          <w:lang w:val="es-ES"/>
        </w:rPr>
        <w:tab/>
        <w:t>que es importante disponer de un método sencillo para calcular la degradación potencial que podría originar la instalación de una turbina eólica;</w:t>
      </w:r>
    </w:p>
    <w:p w:rsidR="0086481A" w:rsidRDefault="0086481A" w:rsidP="0086481A">
      <w:pPr>
        <w:rPr>
          <w:lang w:val="es-ES"/>
        </w:rPr>
      </w:pPr>
      <w:r>
        <w:rPr>
          <w:lang w:val="es-ES"/>
        </w:rPr>
        <w:t>d)</w:t>
      </w:r>
      <w:r>
        <w:rPr>
          <w:lang w:val="es-ES"/>
        </w:rPr>
        <w:tab/>
        <w:t>que se están estudiando técnicas de supresión de la imagen fantasma y que éstas permitirían atenuar en cierto grado la degradación causada por las turbinas eólicas,</w:t>
      </w:r>
    </w:p>
    <w:p w:rsidR="0086481A" w:rsidRDefault="0086481A" w:rsidP="0086481A">
      <w:pPr>
        <w:pStyle w:val="Call"/>
        <w:rPr>
          <w:lang w:val="es-ES"/>
        </w:rPr>
      </w:pPr>
      <w:r>
        <w:rPr>
          <w:lang w:val="es-ES"/>
        </w:rPr>
        <w:t>recomienda</w:t>
      </w:r>
    </w:p>
    <w:p w:rsidR="0086481A" w:rsidRDefault="0086481A" w:rsidP="0086481A">
      <w:pPr>
        <w:rPr>
          <w:lang w:val="es-ES"/>
        </w:rPr>
      </w:pPr>
      <w:r>
        <w:rPr>
          <w:b/>
          <w:lang w:val="es-ES"/>
        </w:rPr>
        <w:t>1</w:t>
      </w:r>
      <w:r>
        <w:rPr>
          <w:lang w:val="es-ES"/>
        </w:rPr>
        <w:tab/>
        <w:t>que se utilice el método expuesto en el Anexo 1 para evaluar la interferencia que podría causar a la recepción de televisión analógica la instalación de una turbina eólica compuesta de una sola máquina;</w:t>
      </w:r>
    </w:p>
    <w:p w:rsidR="0086481A" w:rsidRDefault="0086481A" w:rsidP="0086481A">
      <w:pPr>
        <w:rPr>
          <w:lang w:val="es-ES"/>
        </w:rPr>
      </w:pPr>
      <w:r>
        <w:rPr>
          <w:b/>
          <w:lang w:val="es-ES"/>
        </w:rPr>
        <w:t>2</w:t>
      </w:r>
      <w:r>
        <w:rPr>
          <w:lang w:val="es-ES"/>
        </w:rPr>
        <w:tab/>
        <w:t>que se prosigan los trabajos con miras a perfeccionar el modelo simplificado descrito en el Anexo 1;</w:t>
      </w:r>
    </w:p>
    <w:p w:rsidR="0086481A" w:rsidRDefault="0086481A" w:rsidP="0086481A">
      <w:pPr>
        <w:rPr>
          <w:lang w:val="es-ES"/>
        </w:rPr>
      </w:pPr>
      <w:r>
        <w:rPr>
          <w:b/>
          <w:lang w:val="es-ES"/>
        </w:rPr>
        <w:t>3</w:t>
      </w:r>
      <w:r>
        <w:rPr>
          <w:lang w:val="es-ES"/>
        </w:rPr>
        <w:tab/>
        <w:t>que se realicen trabajos ulteriores para determinar la degradación que podría causar la instalación de una turbina eólica compuesta por varias máquinas;</w:t>
      </w:r>
    </w:p>
    <w:p w:rsidR="0086481A" w:rsidRDefault="0086481A" w:rsidP="0086481A">
      <w:pPr>
        <w:rPr>
          <w:lang w:val="es-ES"/>
        </w:rPr>
      </w:pPr>
      <w:r>
        <w:rPr>
          <w:b/>
          <w:lang w:val="es-ES"/>
        </w:rPr>
        <w:t>4</w:t>
      </w:r>
      <w:r>
        <w:rPr>
          <w:lang w:val="es-ES"/>
        </w:rPr>
        <w:tab/>
        <w:t>que se estudien las propiedades temporales de la degradación causada por una turbina eólica.</w:t>
      </w:r>
    </w:p>
    <w:p w:rsidR="0086481A" w:rsidRDefault="0086481A" w:rsidP="0086481A">
      <w:pPr>
        <w:rPr>
          <w:lang w:val="es-ES"/>
        </w:rPr>
      </w:pPr>
    </w:p>
    <w:p w:rsidR="00BE5364" w:rsidRDefault="00BE5364" w:rsidP="00810F18">
      <w:pPr>
        <w:pStyle w:val="AnnexNoTitle"/>
        <w:rPr>
          <w:lang w:val="es-ES"/>
        </w:rPr>
      </w:pPr>
      <w:r>
        <w:rPr>
          <w:lang w:val="es-ES"/>
        </w:rPr>
        <w:br w:type="page"/>
      </w:r>
    </w:p>
    <w:p w:rsidR="0086481A" w:rsidRDefault="0086481A" w:rsidP="00810F18">
      <w:pPr>
        <w:pStyle w:val="AnnexNoTitle"/>
        <w:rPr>
          <w:lang w:val="es-ES"/>
        </w:rPr>
      </w:pPr>
      <w:r>
        <w:rPr>
          <w:lang w:val="es-ES"/>
        </w:rPr>
        <w:lastRenderedPageBreak/>
        <w:t>A</w:t>
      </w:r>
      <w:r w:rsidR="00810F18">
        <w:rPr>
          <w:lang w:val="es-ES"/>
        </w:rPr>
        <w:t>nexo</w:t>
      </w:r>
      <w:r>
        <w:rPr>
          <w:lang w:val="es-ES"/>
        </w:rPr>
        <w:t xml:space="preserve"> 1</w:t>
      </w:r>
      <w:r w:rsidR="00810F18">
        <w:rPr>
          <w:lang w:val="es-ES"/>
        </w:rPr>
        <w:br/>
      </w:r>
      <w:r w:rsidR="00810F18">
        <w:rPr>
          <w:lang w:val="es-ES"/>
        </w:rPr>
        <w:br/>
      </w:r>
      <w:r>
        <w:rPr>
          <w:lang w:val="es-ES"/>
        </w:rPr>
        <w:t>Modelo simplificado de la degradación causada</w:t>
      </w:r>
      <w:r>
        <w:rPr>
          <w:lang w:val="es-ES"/>
        </w:rPr>
        <w:br/>
        <w:t>a la recepción de televisión analógica por una turbina eólica</w:t>
      </w:r>
    </w:p>
    <w:p w:rsidR="0086481A" w:rsidRDefault="0086481A" w:rsidP="00810F18">
      <w:pPr>
        <w:pStyle w:val="Normalaftertitle"/>
        <w:rPr>
          <w:lang w:val="es-ES"/>
        </w:rPr>
      </w:pPr>
      <w:r>
        <w:rPr>
          <w:lang w:val="es-ES"/>
        </w:rPr>
        <w:t>La Fig. 1 representa la situación general causada por la presencia de una turbina eólica.</w:t>
      </w:r>
    </w:p>
    <w:p w:rsidR="0086481A" w:rsidRDefault="0086481A" w:rsidP="0086481A">
      <w:pPr>
        <w:rPr>
          <w:lang w:val="es-ES"/>
        </w:rPr>
      </w:pPr>
      <w:r>
        <w:rPr>
          <w:lang w:val="es-ES"/>
        </w:rPr>
        <w:t xml:space="preserve">En cualquier emplazamiento de recepción </w:t>
      </w:r>
      <w:r>
        <w:rPr>
          <w:i/>
          <w:lang w:val="es-ES"/>
        </w:rPr>
        <w:t>R</w:t>
      </w:r>
      <w:r>
        <w:rPr>
          <w:lang w:val="es-ES"/>
        </w:rPr>
        <w:t xml:space="preserve">, la intensidad de campo deseada es </w:t>
      </w:r>
      <w:r>
        <w:rPr>
          <w:i/>
          <w:lang w:val="es-ES"/>
        </w:rPr>
        <w:t>FSR</w:t>
      </w:r>
      <w:r>
        <w:rPr>
          <w:lang w:val="es-ES"/>
        </w:rPr>
        <w:t xml:space="preserve">. En el emplazamiento donde se encuentra la turbina eólica, </w:t>
      </w:r>
      <w:r>
        <w:rPr>
          <w:i/>
          <w:lang w:val="es-ES"/>
        </w:rPr>
        <w:t>WT</w:t>
      </w:r>
      <w:r>
        <w:rPr>
          <w:lang w:val="es-ES"/>
        </w:rPr>
        <w:t xml:space="preserve">, la intensidad de campo es </w:t>
      </w:r>
      <w:r>
        <w:rPr>
          <w:i/>
          <w:lang w:val="es-ES"/>
        </w:rPr>
        <w:t>FSWT</w:t>
      </w:r>
      <w:r>
        <w:rPr>
          <w:lang w:val="es-ES"/>
        </w:rPr>
        <w:t xml:space="preserve">. Se puede definir un «factor de reflexión», </w:t>
      </w:r>
      <w:r>
        <w:rPr>
          <w:i/>
          <w:lang w:val="es-ES"/>
        </w:rPr>
        <w:t>RF</w:t>
      </w:r>
      <w:r>
        <w:rPr>
          <w:lang w:val="es-ES"/>
        </w:rPr>
        <w:t xml:space="preserve">, que incluye la pérdida de trayecto en el espacio libre para los primeros kilómetros del trayecto a partir del sitio donde se encuentra la turbina hasta </w:t>
      </w:r>
      <w:r>
        <w:rPr>
          <w:i/>
          <w:lang w:val="es-ES"/>
        </w:rPr>
        <w:t>R</w:t>
      </w:r>
      <w:r>
        <w:rPr>
          <w:lang w:val="es-ES"/>
        </w:rPr>
        <w:t xml:space="preserve">. Por lo tanto, </w:t>
      </w:r>
      <w:r>
        <w:rPr>
          <w:i/>
          <w:lang w:val="es-ES"/>
        </w:rPr>
        <w:t>FSWT</w:t>
      </w:r>
      <w:r>
        <w:rPr>
          <w:lang w:val="es-ES"/>
        </w:rPr>
        <w:t> </w:t>
      </w:r>
      <w:r>
        <w:rPr>
          <w:rFonts w:ascii="Symbol" w:hAnsi="Symbol"/>
        </w:rPr>
        <w:t></w:t>
      </w:r>
      <w:r>
        <w:rPr>
          <w:lang w:val="es-ES"/>
        </w:rPr>
        <w:t> </w:t>
      </w:r>
      <w:r>
        <w:rPr>
          <w:i/>
          <w:lang w:val="es-ES"/>
        </w:rPr>
        <w:t>RF</w:t>
      </w:r>
      <w:r>
        <w:rPr>
          <w:lang w:val="es-ES"/>
        </w:rPr>
        <w:t xml:space="preserve"> es la amplitud máxima, a una distancia de 1 km de la turbina eólica, de la señal dispersada por esta última. El valor máximo de este factor de reflexión debido al movimiento de las aspas de la turbina eólica es igual a 20 log (</w:t>
      </w:r>
      <w:r>
        <w:rPr>
          <w:i/>
          <w:lang w:val="es-ES"/>
        </w:rPr>
        <w:t>A</w:t>
      </w:r>
      <w:r>
        <w:rPr>
          <w:lang w:val="es-ES"/>
        </w:rPr>
        <w:t>/</w:t>
      </w:r>
      <w:r>
        <w:rPr>
          <w:rFonts w:ascii="Symbol" w:hAnsi="Symbol"/>
        </w:rPr>
        <w:t></w:t>
      </w:r>
      <w:r>
        <w:rPr>
          <w:lang w:val="es-ES"/>
        </w:rPr>
        <w:t>) – 60 dB.</w:t>
      </w:r>
    </w:p>
    <w:p w:rsidR="0086481A" w:rsidRDefault="0086481A" w:rsidP="0086481A">
      <w:pPr>
        <w:rPr>
          <w:lang w:val="es-ES"/>
        </w:rPr>
      </w:pPr>
      <w:r>
        <w:rPr>
          <w:lang w:val="es-ES"/>
        </w:rPr>
        <w:t xml:space="preserve">La amplitud relativa, </w:t>
      </w:r>
      <w:r>
        <w:rPr>
          <w:i/>
          <w:lang w:val="es-ES"/>
        </w:rPr>
        <w:t>RA</w:t>
      </w:r>
      <w:r>
        <w:rPr>
          <w:lang w:val="es-ES"/>
        </w:rPr>
        <w:t>, en la región de dispersión hacia adelante viene dada por:</w:t>
      </w:r>
    </w:p>
    <w:p w:rsidR="00BE5364" w:rsidRDefault="00BE5364" w:rsidP="00BE5364">
      <w:pPr>
        <w:pStyle w:val="Blanc"/>
      </w:pPr>
      <w:bookmarkStart w:id="6" w:name="f001"/>
    </w:p>
    <w:p w:rsidR="0086481A" w:rsidRDefault="0086481A" w:rsidP="0086481A">
      <w:pPr>
        <w:pStyle w:val="Equation"/>
      </w:pPr>
      <w:r>
        <w:rPr>
          <w:lang w:val="es-ES"/>
        </w:rPr>
        <w:tab/>
      </w:r>
      <w:r>
        <w:rPr>
          <w:lang w:val="es-ES"/>
        </w:rPr>
        <w:tab/>
      </w:r>
      <w:r>
        <w:fldChar w:fldCharType="begin"/>
      </w:r>
      <w:r>
        <w:instrText xml:space="preserve">eq </w:instrText>
      </w:r>
      <w:r>
        <w:rPr>
          <w:i/>
        </w:rPr>
        <w:instrText>RA</w:instrText>
      </w:r>
      <w:r>
        <w:instrText xml:space="preserve">  =  20 log  \f(sen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sen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sen </w:instrText>
      </w:r>
      <w:r>
        <w:rPr>
          <w:rFonts w:ascii="Symbol" w:hAnsi="Symbol"/>
        </w:rPr>
        <w:instrText>a</w:instrText>
      </w:r>
      <w:r>
        <w:instrText>)</w:instrText>
      </w:r>
      <w:r>
        <w:fldChar w:fldCharType="end"/>
      </w:r>
      <w:bookmarkEnd w:id="6"/>
    </w:p>
    <w:p w:rsidR="0086481A" w:rsidRDefault="0086481A" w:rsidP="0086481A">
      <w:pPr>
        <w:rPr>
          <w:lang w:val="es-ES"/>
        </w:rPr>
      </w:pPr>
      <w:r>
        <w:rPr>
          <w:lang w:val="es-ES"/>
        </w:rPr>
        <w:t>donde:</w:t>
      </w:r>
    </w:p>
    <w:p w:rsidR="0086481A" w:rsidRPr="003D5A67" w:rsidRDefault="0086481A" w:rsidP="0086481A">
      <w:pPr>
        <w:pStyle w:val="Equationlegend"/>
        <w:rPr>
          <w:lang w:val="es-ES_tradnl"/>
        </w:rPr>
      </w:pPr>
      <w:r w:rsidRPr="003D5A67">
        <w:rPr>
          <w:lang w:val="es-ES_tradnl"/>
        </w:rPr>
        <w:tab/>
      </w:r>
      <w:r w:rsidRPr="003D5A67">
        <w:rPr>
          <w:i/>
          <w:lang w:val="es-ES_tradnl"/>
        </w:rPr>
        <w:t xml:space="preserve">A </w:t>
      </w:r>
      <w:r w:rsidRPr="003D5A67">
        <w:rPr>
          <w:lang w:val="es-ES_tradnl"/>
        </w:rPr>
        <w:t>:</w:t>
      </w:r>
      <w:r w:rsidRPr="003D5A67">
        <w:rPr>
          <w:lang w:val="es-ES_tradnl"/>
        </w:rPr>
        <w:tab/>
        <w:t>área del aspa (m</w:t>
      </w:r>
      <w:r w:rsidRPr="003D5A67">
        <w:rPr>
          <w:position w:val="6"/>
          <w:sz w:val="20"/>
          <w:lang w:val="es-ES_tradnl"/>
        </w:rPr>
        <w:t>2</w:t>
      </w:r>
      <w:r w:rsidRPr="003D5A67">
        <w:rPr>
          <w:lang w:val="es-ES_tradnl"/>
        </w:rPr>
        <w:t>)</w:t>
      </w:r>
    </w:p>
    <w:p w:rsidR="0086481A" w:rsidRPr="003D5A67" w:rsidRDefault="0086481A" w:rsidP="0086481A">
      <w:pPr>
        <w:pStyle w:val="Equationlegend"/>
        <w:rPr>
          <w:lang w:val="es-ES_tradnl"/>
        </w:rPr>
      </w:pPr>
      <w:r w:rsidRPr="003D5A67">
        <w:rPr>
          <w:lang w:val="es-ES_tradnl"/>
        </w:rPr>
        <w:tab/>
      </w:r>
      <w:r w:rsidRPr="003D5A67">
        <w:rPr>
          <w:i/>
          <w:lang w:val="es-ES_tradnl"/>
        </w:rPr>
        <w:t xml:space="preserve">W </w:t>
      </w:r>
      <w:r w:rsidRPr="003D5A67">
        <w:rPr>
          <w:lang w:val="es-ES_tradnl"/>
        </w:rPr>
        <w:t>:</w:t>
      </w:r>
      <w:r w:rsidRPr="003D5A67">
        <w:rPr>
          <w:lang w:val="es-ES_tradnl"/>
        </w:rPr>
        <w:tab/>
        <w:t>anchura del aspa (m)</w:t>
      </w:r>
    </w:p>
    <w:p w:rsidR="0086481A" w:rsidRPr="003D5A67" w:rsidRDefault="0086481A" w:rsidP="0086481A">
      <w:pPr>
        <w:pStyle w:val="Equationlegend"/>
        <w:rPr>
          <w:lang w:val="es-ES_tradnl"/>
        </w:rPr>
      </w:pPr>
      <w:r w:rsidRPr="003D5A67">
        <w:rPr>
          <w:lang w:val="es-ES_tradnl"/>
        </w:rPr>
        <w:tab/>
      </w:r>
      <w:r>
        <w:rPr>
          <w:rFonts w:ascii="Symbol" w:hAnsi="Symbol"/>
        </w:rPr>
        <w:t></w:t>
      </w:r>
      <w:r w:rsidRPr="003D5A67">
        <w:rPr>
          <w:lang w:val="es-ES_tradnl"/>
        </w:rPr>
        <w:t xml:space="preserve"> </w:t>
      </w:r>
      <w:r>
        <w:rPr>
          <w:rFonts w:ascii="Symbol" w:hAnsi="Symbol"/>
        </w:rPr>
        <w:t></w:t>
      </w:r>
      <w:r w:rsidRPr="003D5A67">
        <w:rPr>
          <w:rFonts w:ascii="Symbol" w:hAnsi="Symbol"/>
          <w:lang w:val="es-ES_tradnl"/>
        </w:rPr>
        <w:tab/>
      </w:r>
      <w:r w:rsidRPr="003D5A67">
        <w:rPr>
          <w:lang w:val="es-ES_tradnl"/>
        </w:rPr>
        <w:t>longitud de onda (m).</w:t>
      </w:r>
    </w:p>
    <w:p w:rsidR="0086481A" w:rsidRDefault="0086481A" w:rsidP="0086481A">
      <w:pPr>
        <w:rPr>
          <w:lang w:val="es-ES"/>
        </w:rPr>
      </w:pPr>
      <w:r>
        <w:rPr>
          <w:lang w:val="es-ES"/>
        </w:rPr>
        <w:t>Se supone que la amplitud relativa en la zona de dispersión general es –10 dB.</w:t>
      </w:r>
    </w:p>
    <w:p w:rsidR="0086481A" w:rsidRDefault="0086481A" w:rsidP="00BE5364">
      <w:pPr>
        <w:pStyle w:val="FigureNo"/>
        <w:keepNext w:val="0"/>
      </w:pPr>
      <w:r>
        <w:rPr>
          <w:noProof/>
          <w:lang w:val="en-US" w:eastAsia="zh-CN"/>
        </w:rPr>
        <w:drawing>
          <wp:inline distT="0" distB="0" distL="0" distR="0" wp14:anchorId="459D9D16" wp14:editId="4AA029BC">
            <wp:extent cx="2528570" cy="371348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570" cy="3713480"/>
                    </a:xfrm>
                    <a:prstGeom prst="rect">
                      <a:avLst/>
                    </a:prstGeom>
                    <a:noFill/>
                    <a:ln>
                      <a:noFill/>
                    </a:ln>
                  </pic:spPr>
                </pic:pic>
              </a:graphicData>
            </a:graphic>
          </wp:inline>
        </w:drawing>
      </w:r>
    </w:p>
    <w:p w:rsidR="0086481A" w:rsidRDefault="0086481A" w:rsidP="00BE5364">
      <w:pPr>
        <w:keepNext/>
        <w:rPr>
          <w:lang w:val="es-ES"/>
        </w:rPr>
      </w:pPr>
      <w:r>
        <w:rPr>
          <w:lang w:val="es-ES"/>
        </w:rPr>
        <w:lastRenderedPageBreak/>
        <w:t xml:space="preserve">En el caso de un trayecto en el espacio libre de una longitud de </w:t>
      </w:r>
      <w:r>
        <w:rPr>
          <w:i/>
          <w:lang w:val="es-ES"/>
        </w:rPr>
        <w:t>d</w:t>
      </w:r>
      <w:r>
        <w:rPr>
          <w:lang w:val="es-ES"/>
        </w:rPr>
        <w:t> (km) entre la turbina eólica y el emplazamiento de recepción, la intensidad de campo no deseada puede calcularse como sigue:</w:t>
      </w:r>
    </w:p>
    <w:p w:rsidR="00BE5364" w:rsidRDefault="00BE5364" w:rsidP="00BE5364">
      <w:pPr>
        <w:pStyle w:val="Blanc"/>
      </w:pPr>
    </w:p>
    <w:p w:rsidR="0086481A" w:rsidRDefault="0086481A" w:rsidP="0086481A">
      <w:pPr>
        <w:pStyle w:val="Equation"/>
        <w:rPr>
          <w:lang w:val="es-ES"/>
        </w:rPr>
      </w:pPr>
      <w:r>
        <w:rPr>
          <w:lang w:val="es-ES"/>
        </w:rPr>
        <w:tab/>
      </w:r>
      <w:r>
        <w:rPr>
          <w:lang w:val="es-ES"/>
        </w:rPr>
        <w:tab/>
      </w:r>
      <w:r>
        <w:rPr>
          <w:i/>
          <w:lang w:val="es-ES"/>
        </w:rPr>
        <w:t>FSWT</w:t>
      </w:r>
      <w:r>
        <w:rPr>
          <w:lang w:val="es-ES"/>
        </w:rPr>
        <w:t xml:space="preserve">  </w:t>
      </w:r>
      <w:r>
        <w:rPr>
          <w:rFonts w:ascii="Symbol" w:hAnsi="Symbol"/>
        </w:rPr>
        <w:t></w:t>
      </w:r>
      <w:r>
        <w:rPr>
          <w:lang w:val="es-ES"/>
        </w:rPr>
        <w:t xml:space="preserve">  </w:t>
      </w:r>
      <w:r>
        <w:rPr>
          <w:i/>
          <w:lang w:val="es-ES"/>
        </w:rPr>
        <w:t>RF</w:t>
      </w:r>
      <w:r>
        <w:rPr>
          <w:lang w:val="es-ES"/>
        </w:rPr>
        <w:t xml:space="preserve">  </w:t>
      </w:r>
      <w:r>
        <w:rPr>
          <w:rFonts w:ascii="Symbol" w:hAnsi="Symbol"/>
        </w:rPr>
        <w:t></w:t>
      </w:r>
      <w:r>
        <w:rPr>
          <w:lang w:val="es-ES"/>
        </w:rPr>
        <w:t xml:space="preserve">  máx (–10, </w:t>
      </w:r>
      <w:r>
        <w:rPr>
          <w:i/>
          <w:lang w:val="es-ES"/>
        </w:rPr>
        <w:t>RA</w:t>
      </w:r>
      <w:r>
        <w:rPr>
          <w:lang w:val="es-ES"/>
        </w:rPr>
        <w:t xml:space="preserve">) – 20 log </w:t>
      </w:r>
      <w:r>
        <w:rPr>
          <w:i/>
          <w:lang w:val="es-ES"/>
        </w:rPr>
        <w:t>d</w:t>
      </w:r>
    </w:p>
    <w:p w:rsidR="0086481A" w:rsidRDefault="0086481A" w:rsidP="00BE5364">
      <w:pPr>
        <w:rPr>
          <w:lang w:val="es-ES"/>
        </w:rPr>
      </w:pPr>
      <w:r>
        <w:rPr>
          <w:lang w:val="es-ES"/>
        </w:rPr>
        <w:t>donde:</w:t>
      </w:r>
    </w:p>
    <w:p w:rsidR="0086481A" w:rsidRDefault="0086481A" w:rsidP="0086481A">
      <w:pPr>
        <w:pStyle w:val="Equationlegend"/>
        <w:rPr>
          <w:lang w:val="es-ES"/>
        </w:rPr>
      </w:pPr>
      <w:r w:rsidRPr="003D5A67">
        <w:rPr>
          <w:lang w:val="es-ES_tradnl"/>
        </w:rPr>
        <w:tab/>
        <w:t xml:space="preserve">máx (–10, </w:t>
      </w:r>
      <w:r w:rsidRPr="003D5A67">
        <w:rPr>
          <w:i/>
          <w:lang w:val="es-ES_tradnl"/>
        </w:rPr>
        <w:t>RA</w:t>
      </w:r>
      <w:r w:rsidRPr="003D5A67">
        <w:rPr>
          <w:lang w:val="es-ES_tradnl"/>
        </w:rPr>
        <w:t>) :</w:t>
      </w:r>
      <w:r w:rsidRPr="003D5A67">
        <w:rPr>
          <w:lang w:val="es-ES_tradnl"/>
        </w:rPr>
        <w:tab/>
        <w:t xml:space="preserve">es el mayor de los dos valores, –10 dB y la amplitud relativa en la </w:t>
      </w:r>
      <w:r>
        <w:rPr>
          <w:lang w:val="es-ES"/>
        </w:rPr>
        <w:t>región de dispersión hacia adelante.</w:t>
      </w:r>
    </w:p>
    <w:p w:rsidR="0086481A" w:rsidRDefault="0086481A" w:rsidP="0086481A">
      <w:pPr>
        <w:rPr>
          <w:lang w:val="es-ES"/>
        </w:rPr>
      </w:pPr>
      <w:r>
        <w:rPr>
          <w:lang w:val="es-ES"/>
        </w:rPr>
        <w:t>Si este trayecto está obstruido, la intensidad de campo puede calcularse por otros medios; los tres primeros términos proporcionan la intensidad de campo a 1 km en un trayecto no obstruido.</w:t>
      </w:r>
    </w:p>
    <w:p w:rsidR="0086481A" w:rsidRDefault="0086481A" w:rsidP="0086481A">
      <w:pPr>
        <w:rPr>
          <w:lang w:val="es-ES"/>
        </w:rPr>
      </w:pPr>
      <w:r>
        <w:rPr>
          <w:lang w:val="es-ES"/>
        </w:rPr>
        <w:t xml:space="preserve">En la Recomendación UIT-R BT.419 se describe la discriminación debida a la directividad de la antena receptora en función de </w:t>
      </w:r>
      <w:r>
        <w:rPr>
          <w:rFonts w:ascii="Symbol" w:hAnsi="Symbol"/>
        </w:rPr>
        <w:t></w:t>
      </w:r>
      <w:r>
        <w:rPr>
          <w:lang w:val="es-ES"/>
        </w:rPr>
        <w:t>, y la misma debe aplicarse para determinar la relación entre las señales deseada y no deseada en cualquier emplazamiento de recepción específico.</w:t>
      </w:r>
    </w:p>
    <w:p w:rsidR="0086481A" w:rsidRDefault="0086481A" w:rsidP="0086481A">
      <w:pPr>
        <w:rPr>
          <w:lang w:val="es-ES"/>
        </w:rPr>
      </w:pPr>
      <w:r>
        <w:rPr>
          <w:lang w:val="es-ES"/>
        </w:rPr>
        <w:t>En la Fig. 2 se indica la relación requerida entre las señales deseada y no deseada en función de la diferencia de tiempo entre ambas señales.</w:t>
      </w:r>
    </w:p>
    <w:p w:rsidR="0086481A" w:rsidRDefault="0086481A" w:rsidP="0086481A">
      <w:pPr>
        <w:pStyle w:val="FigureNo"/>
      </w:pPr>
      <w:r>
        <w:rPr>
          <w:noProof/>
          <w:lang w:val="en-US" w:eastAsia="zh-CN"/>
        </w:rPr>
        <w:drawing>
          <wp:inline distT="0" distB="0" distL="0" distR="0" wp14:anchorId="7D6DFBD7" wp14:editId="7F63728B">
            <wp:extent cx="3434715" cy="22663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4715" cy="2266315"/>
                    </a:xfrm>
                    <a:prstGeom prst="rect">
                      <a:avLst/>
                    </a:prstGeom>
                    <a:noFill/>
                    <a:ln>
                      <a:noFill/>
                    </a:ln>
                  </pic:spPr>
                </pic:pic>
              </a:graphicData>
            </a:graphic>
          </wp:inline>
        </w:drawing>
      </w:r>
    </w:p>
    <w:p w:rsidR="0086481A" w:rsidRDefault="0086481A" w:rsidP="0086481A">
      <w:pPr>
        <w:rPr>
          <w:lang w:val="es-ES"/>
        </w:rPr>
      </w:pPr>
      <w:r>
        <w:rPr>
          <w:lang w:val="es-ES"/>
        </w:rPr>
        <w:t>El Apéndice 1 al presente Anexo contiene un ejemplo de la utilización de este método.</w:t>
      </w:r>
    </w:p>
    <w:p w:rsidR="0086481A" w:rsidRDefault="0086481A" w:rsidP="0086481A">
      <w:pPr>
        <w:rPr>
          <w:lang w:val="es-ES"/>
        </w:rPr>
      </w:pPr>
    </w:p>
    <w:p w:rsidR="00BE5364" w:rsidRDefault="00BE5364" w:rsidP="0086481A">
      <w:pPr>
        <w:rPr>
          <w:lang w:val="es-ES"/>
        </w:rPr>
      </w:pPr>
    </w:p>
    <w:p w:rsidR="00BE5364" w:rsidRDefault="00BE5364" w:rsidP="0086481A">
      <w:pPr>
        <w:rPr>
          <w:lang w:val="es-ES"/>
        </w:rPr>
      </w:pPr>
    </w:p>
    <w:p w:rsidR="00BE5364" w:rsidRDefault="00BE5364" w:rsidP="0086481A">
      <w:pPr>
        <w:rPr>
          <w:lang w:val="es-ES"/>
        </w:rPr>
      </w:pPr>
    </w:p>
    <w:p w:rsidR="00BE5364" w:rsidRDefault="00BE5364" w:rsidP="0086481A">
      <w:pPr>
        <w:rPr>
          <w:lang w:val="es-ES"/>
        </w:rPr>
      </w:pPr>
    </w:p>
    <w:p w:rsidR="0086481A" w:rsidRDefault="0086481A" w:rsidP="00810F18">
      <w:pPr>
        <w:pStyle w:val="AppendixNoTitle"/>
        <w:rPr>
          <w:lang w:val="es-ES"/>
        </w:rPr>
      </w:pPr>
      <w:r>
        <w:rPr>
          <w:lang w:val="es-ES"/>
        </w:rPr>
        <w:t>A</w:t>
      </w:r>
      <w:r w:rsidR="00810F18">
        <w:rPr>
          <w:lang w:val="es-ES"/>
        </w:rPr>
        <w:t>péndice</w:t>
      </w:r>
      <w:r>
        <w:rPr>
          <w:lang w:val="es-ES"/>
        </w:rPr>
        <w:t xml:space="preserve"> 1</w:t>
      </w:r>
      <w:r>
        <w:rPr>
          <w:lang w:val="es-ES"/>
        </w:rPr>
        <w:br/>
      </w:r>
      <w:r w:rsidR="00810F18">
        <w:rPr>
          <w:lang w:val="es-ES"/>
        </w:rPr>
        <w:t>al</w:t>
      </w:r>
      <w:r>
        <w:rPr>
          <w:lang w:val="es-ES"/>
        </w:rPr>
        <w:t xml:space="preserve"> A</w:t>
      </w:r>
      <w:r w:rsidR="00810F18">
        <w:rPr>
          <w:lang w:val="es-ES"/>
        </w:rPr>
        <w:t>nexo</w:t>
      </w:r>
      <w:r>
        <w:rPr>
          <w:lang w:val="es-ES"/>
        </w:rPr>
        <w:t xml:space="preserve"> 1</w:t>
      </w:r>
      <w:r w:rsidR="00810F18">
        <w:rPr>
          <w:lang w:val="es-ES"/>
        </w:rPr>
        <w:br/>
      </w:r>
      <w:r w:rsidR="00810F18">
        <w:rPr>
          <w:lang w:val="es-ES"/>
        </w:rPr>
        <w:br/>
      </w:r>
      <w:r>
        <w:rPr>
          <w:lang w:val="es-ES"/>
        </w:rPr>
        <w:t>Ejemplo de la utilización del método de evaluación simplificado</w:t>
      </w:r>
    </w:p>
    <w:p w:rsidR="0086481A" w:rsidRDefault="0086481A" w:rsidP="0086481A">
      <w:pPr>
        <w:pStyle w:val="Normalaftertitle"/>
        <w:rPr>
          <w:lang w:val="es-ES"/>
        </w:rPr>
      </w:pPr>
      <w:r>
        <w:rPr>
          <w:lang w:val="es-ES"/>
        </w:rPr>
        <w:t xml:space="preserve">En la Fig. 1, el punto marcado con R es la localización del receptor, cerca del sitio donde se instalará una turbina eólica </w:t>
      </w:r>
      <w:r>
        <w:rPr>
          <w:i/>
          <w:iCs/>
          <w:lang w:val="es-ES"/>
        </w:rPr>
        <w:t>WT</w:t>
      </w:r>
      <w:r>
        <w:rPr>
          <w:lang w:val="es-ES"/>
        </w:rPr>
        <w:t>.</w:t>
      </w:r>
    </w:p>
    <w:p w:rsidR="0086481A" w:rsidRDefault="0086481A" w:rsidP="0086481A">
      <w:pPr>
        <w:rPr>
          <w:lang w:val="es-ES"/>
        </w:rPr>
      </w:pPr>
      <w:r>
        <w:rPr>
          <w:lang w:val="es-ES"/>
        </w:rPr>
        <w:t xml:space="preserve">Como primer paso hay que calcular o, preferiblemente, medir los valores de la intensidad de campo, </w:t>
      </w:r>
      <w:r>
        <w:rPr>
          <w:i/>
          <w:lang w:val="es-ES"/>
        </w:rPr>
        <w:t>FSR</w:t>
      </w:r>
      <w:r>
        <w:rPr>
          <w:lang w:val="es-ES"/>
        </w:rPr>
        <w:t>, en las diversas localizaciones del receptor.</w:t>
      </w:r>
    </w:p>
    <w:p w:rsidR="0086481A" w:rsidRDefault="0086481A" w:rsidP="0086481A">
      <w:pPr>
        <w:rPr>
          <w:lang w:val="es-ES"/>
        </w:rPr>
      </w:pPr>
      <w:r>
        <w:rPr>
          <w:lang w:val="es-ES"/>
        </w:rPr>
        <w:lastRenderedPageBreak/>
        <w:t>La experiencia indica que cuando el terreno es bastante llano y el emplazamiento de recepción no tiene efecto de apantallamiento con respecto al transmisor deseado, es poco probable que la instalación de una turbina eólica cause una degradación significativa en la recepción a distancias superiores a unos 0,5 km del sitio donde se encuentra la turbina.</w:t>
      </w:r>
    </w:p>
    <w:p w:rsidR="0086481A" w:rsidRDefault="0086481A" w:rsidP="0086481A">
      <w:pPr>
        <w:rPr>
          <w:lang w:val="es-ES"/>
        </w:rPr>
      </w:pPr>
      <w:r>
        <w:rPr>
          <w:lang w:val="es-ES"/>
        </w:rPr>
        <w:t>La experiencia indica asimismo que es poco probable que resulte necesario ampliar la zona de investigación a más de unos 5 km del sitio propuesto para la instalación de la turbina eólica (o los sitios, si se trata de turbinas múltiples). No obstante, en circunstancias especiales, por ejemplo en edificios que están apantallados con respecto al transmisor deseado pero que tienen visibilidad directa de la turbina eólica, puede ser necesario ampliar la zona.</w:t>
      </w:r>
    </w:p>
    <w:p w:rsidR="0086481A" w:rsidRDefault="0086481A" w:rsidP="0086481A">
      <w:pPr>
        <w:rPr>
          <w:lang w:val="es-ES"/>
        </w:rPr>
      </w:pPr>
      <w:r>
        <w:rPr>
          <w:lang w:val="es-ES"/>
        </w:rPr>
        <w:t xml:space="preserve">Calcular o, preferiblemente, medir la intensidad de campo, </w:t>
      </w:r>
      <w:r>
        <w:rPr>
          <w:i/>
          <w:lang w:val="es-ES"/>
        </w:rPr>
        <w:t>FSWT</w:t>
      </w:r>
      <w:r>
        <w:rPr>
          <w:lang w:val="es-ES"/>
        </w:rPr>
        <w:t>, en el emplazamiento donde se encuentra la turbina eólica, cerca de la altura del centro de rotación de las aspas.</w:t>
      </w:r>
    </w:p>
    <w:p w:rsidR="0086481A" w:rsidRDefault="0086481A" w:rsidP="0086481A">
      <w:pPr>
        <w:rPr>
          <w:lang w:val="es-ES"/>
        </w:rPr>
      </w:pPr>
      <w:r>
        <w:rPr>
          <w:lang w:val="es-ES"/>
        </w:rPr>
        <w:t>Calcular la amplitud máxima del factor de reflexión:</w:t>
      </w:r>
    </w:p>
    <w:p w:rsidR="00BE5364" w:rsidRDefault="00BE5364" w:rsidP="00BE5364">
      <w:pPr>
        <w:pStyle w:val="Blanc"/>
      </w:pPr>
    </w:p>
    <w:p w:rsidR="0086481A" w:rsidRPr="00D97FA6" w:rsidRDefault="0086481A" w:rsidP="0086481A">
      <w:pPr>
        <w:pStyle w:val="Equation"/>
        <w:rPr>
          <w:lang w:val="es-ES_tradnl"/>
        </w:rPr>
      </w:pPr>
      <w:r>
        <w:rPr>
          <w:lang w:val="es-ES"/>
        </w:rPr>
        <w:tab/>
      </w:r>
      <w:r>
        <w:rPr>
          <w:lang w:val="es-ES"/>
        </w:rPr>
        <w:tab/>
      </w:r>
      <w:r w:rsidRPr="00D97FA6">
        <w:rPr>
          <w:i/>
          <w:lang w:val="es-ES_tradnl"/>
        </w:rPr>
        <w:t>RF</w:t>
      </w:r>
      <w:r w:rsidRPr="00D97FA6">
        <w:rPr>
          <w:lang w:val="es-ES_tradnl"/>
        </w:rPr>
        <w:t xml:space="preserve">  </w:t>
      </w:r>
      <w:r>
        <w:rPr>
          <w:rFonts w:ascii="Symbol" w:hAnsi="Symbol"/>
        </w:rPr>
        <w:t></w:t>
      </w:r>
      <w:r w:rsidRPr="00D97FA6">
        <w:rPr>
          <w:lang w:val="es-ES_tradnl"/>
        </w:rPr>
        <w:t xml:space="preserve">  20 log (</w:t>
      </w:r>
      <w:r w:rsidRPr="00D97FA6">
        <w:rPr>
          <w:i/>
          <w:lang w:val="es-ES_tradnl"/>
        </w:rPr>
        <w:t>A</w:t>
      </w:r>
      <w:r w:rsidRPr="00D97FA6">
        <w:rPr>
          <w:lang w:val="es-ES_tradnl"/>
        </w:rPr>
        <w:t>/</w:t>
      </w:r>
      <w:r>
        <w:rPr>
          <w:rFonts w:ascii="Symbol" w:hAnsi="Symbol"/>
        </w:rPr>
        <w:t></w:t>
      </w:r>
      <w:r w:rsidRPr="00D97FA6">
        <w:rPr>
          <w:lang w:val="es-ES_tradnl"/>
        </w:rPr>
        <w:t>)  –  60 dB</w:t>
      </w:r>
    </w:p>
    <w:p w:rsidR="00BE5364" w:rsidRDefault="00BE5364" w:rsidP="00BE5364">
      <w:pPr>
        <w:pStyle w:val="Blanc"/>
      </w:pPr>
    </w:p>
    <w:p w:rsidR="0086481A" w:rsidRDefault="0086481A" w:rsidP="0086481A">
      <w:pPr>
        <w:rPr>
          <w:lang w:val="es-ES"/>
        </w:rPr>
      </w:pPr>
      <w:r>
        <w:rPr>
          <w:lang w:val="es-ES"/>
        </w:rPr>
        <w:t>Para cada uno de los puntos de recepción R:</w:t>
      </w:r>
    </w:p>
    <w:p w:rsidR="0086481A" w:rsidRDefault="0086481A" w:rsidP="0086481A">
      <w:pPr>
        <w:pStyle w:val="enumlev1"/>
        <w:rPr>
          <w:lang w:val="es-ES"/>
        </w:rPr>
      </w:pPr>
      <w:r>
        <w:rPr>
          <w:lang w:val="es-ES"/>
        </w:rPr>
        <w:t>–</w:t>
      </w:r>
      <w:r>
        <w:rPr>
          <w:lang w:val="es-ES"/>
        </w:rPr>
        <w:tab/>
        <w:t xml:space="preserve">calcular la intensidad de campo no deseada sobre la base de las características del trayecto entre la turbina eólica y el receptor, tomando </w:t>
      </w:r>
      <w:r>
        <w:rPr>
          <w:i/>
          <w:lang w:val="es-ES"/>
        </w:rPr>
        <w:t>FSWT</w:t>
      </w:r>
      <w:r>
        <w:rPr>
          <w:lang w:val="es-ES"/>
        </w:rPr>
        <w:t> </w:t>
      </w:r>
      <w:r>
        <w:rPr>
          <w:rFonts w:ascii="Symbol" w:hAnsi="Symbol"/>
        </w:rPr>
        <w:t></w:t>
      </w:r>
      <w:r>
        <w:rPr>
          <w:lang w:val="es-ES"/>
        </w:rPr>
        <w:t> </w:t>
      </w:r>
      <w:r>
        <w:rPr>
          <w:i/>
          <w:lang w:val="es-ES"/>
        </w:rPr>
        <w:t>RF</w:t>
      </w:r>
      <w:r>
        <w:rPr>
          <w:lang w:val="es-ES"/>
        </w:rPr>
        <w:t xml:space="preserve"> como la intensidad de campo a 1 km para un trayecto sin obstrucciones;</w:t>
      </w:r>
    </w:p>
    <w:p w:rsidR="0086481A" w:rsidRDefault="0086481A" w:rsidP="0086481A">
      <w:pPr>
        <w:pStyle w:val="enumlev1"/>
        <w:rPr>
          <w:lang w:val="es-ES"/>
        </w:rPr>
      </w:pPr>
      <w:r>
        <w:rPr>
          <w:lang w:val="es-ES"/>
        </w:rPr>
        <w:t>–</w:t>
      </w:r>
      <w:r>
        <w:rPr>
          <w:lang w:val="es-ES"/>
        </w:rPr>
        <w:tab/>
        <w:t xml:space="preserve">tomar el valor mayor entre –10 y la amplitud relativa del lóbulo delantero, donde la amplitud relativa </w:t>
      </w:r>
      <w:r>
        <w:rPr>
          <w:i/>
          <w:lang w:val="es-ES"/>
        </w:rPr>
        <w:t>RA</w:t>
      </w:r>
      <w:r>
        <w:rPr>
          <w:lang w:val="es-ES"/>
        </w:rPr>
        <w:t xml:space="preserve"> del lóbulo delantero viene dada por:</w:t>
      </w:r>
    </w:p>
    <w:p w:rsidR="00BE5364" w:rsidRDefault="00BE5364" w:rsidP="00BE5364">
      <w:pPr>
        <w:pStyle w:val="Blanc"/>
      </w:pPr>
      <w:bookmarkStart w:id="7" w:name="f002"/>
    </w:p>
    <w:p w:rsidR="0086481A" w:rsidRDefault="0086481A" w:rsidP="0086481A">
      <w:pPr>
        <w:pStyle w:val="Equation"/>
      </w:pPr>
      <w:r>
        <w:rPr>
          <w:lang w:val="es-ES"/>
        </w:rPr>
        <w:tab/>
      </w:r>
      <w:r>
        <w:rPr>
          <w:lang w:val="es-ES"/>
        </w:rPr>
        <w:tab/>
      </w:r>
      <w:r>
        <w:fldChar w:fldCharType="begin"/>
      </w:r>
      <w:r>
        <w:instrText xml:space="preserve">eq </w:instrText>
      </w:r>
      <w:r>
        <w:rPr>
          <w:i/>
        </w:rPr>
        <w:instrText>RA</w:instrText>
      </w:r>
      <w:r>
        <w:instrText xml:space="preserve">  </w:instrText>
      </w:r>
      <w:r>
        <w:rPr>
          <w:rFonts w:ascii="Symbol" w:hAnsi="Symbol"/>
        </w:rPr>
        <w:instrText>=</w:instrText>
      </w:r>
      <w:r>
        <w:instrText xml:space="preserve">  20 log  \f(sen  (</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sen </w:instrText>
      </w:r>
      <w:r>
        <w:rPr>
          <w:rFonts w:ascii="Symbol" w:hAnsi="Symbol"/>
        </w:rPr>
        <w:instrText>a</w:instrText>
      </w:r>
      <w:r>
        <w:instrText>);</w:instrText>
      </w:r>
      <w:r>
        <w:rPr>
          <w:rFonts w:ascii="Symbol" w:hAnsi="Symbol"/>
        </w:rPr>
        <w:instrText>p</w:instrText>
      </w:r>
      <w:r>
        <w:instrText xml:space="preserve">  </w:instrText>
      </w:r>
      <w:r>
        <w:rPr>
          <w:rFonts w:ascii="Symbol" w:hAnsi="Symbol"/>
        </w:rPr>
        <w:instrText>×</w:instrText>
      </w:r>
      <w:r>
        <w:instrText xml:space="preserve">  </w:instrText>
      </w:r>
      <w:r>
        <w:rPr>
          <w:i/>
        </w:rPr>
        <w:instrText>W</w:instrText>
      </w:r>
      <w:r>
        <w:instrText>/</w:instrText>
      </w:r>
      <w:r>
        <w:rPr>
          <w:rFonts w:ascii="Symbol" w:hAnsi="Symbol"/>
        </w:rPr>
        <w:instrText>l</w:instrText>
      </w:r>
      <w:r>
        <w:instrText xml:space="preserve">  </w:instrText>
      </w:r>
      <w:r>
        <w:rPr>
          <w:rFonts w:ascii="Symbol" w:hAnsi="Symbol"/>
        </w:rPr>
        <w:instrText>×</w:instrText>
      </w:r>
      <w:r>
        <w:instrText xml:space="preserve">  sen </w:instrText>
      </w:r>
      <w:r>
        <w:rPr>
          <w:rFonts w:ascii="Symbol" w:hAnsi="Symbol"/>
        </w:rPr>
        <w:instrText>a</w:instrText>
      </w:r>
      <w:r>
        <w:instrText>)</w:instrText>
      </w:r>
      <w:r>
        <w:fldChar w:fldCharType="end"/>
      </w:r>
      <w:bookmarkEnd w:id="7"/>
    </w:p>
    <w:p w:rsidR="00BE5364" w:rsidRDefault="00BE5364" w:rsidP="00BE5364">
      <w:pPr>
        <w:pStyle w:val="Blanc"/>
      </w:pPr>
    </w:p>
    <w:p w:rsidR="0086481A" w:rsidRDefault="0086481A" w:rsidP="0086481A">
      <w:pPr>
        <w:pStyle w:val="enumlev1"/>
        <w:rPr>
          <w:lang w:val="es-ES"/>
        </w:rPr>
      </w:pPr>
      <w:r>
        <w:tab/>
      </w:r>
      <w:r>
        <w:rPr>
          <w:lang w:val="es-ES"/>
        </w:rPr>
        <w:t>(Por razones de conveniencia, la media anchura a –10 dB del lóbulo delantero se determina aproximadamente por: sen</w:t>
      </w:r>
      <w:r>
        <w:rPr>
          <w:position w:val="6"/>
          <w:sz w:val="20"/>
          <w:lang w:val="es-ES"/>
        </w:rPr>
        <w:t>–1</w:t>
      </w:r>
      <w:r>
        <w:rPr>
          <w:lang w:val="es-ES"/>
        </w:rPr>
        <w:t xml:space="preserve"> (0,75 · </w:t>
      </w:r>
      <w:r>
        <w:rPr>
          <w:rFonts w:ascii="Symbol" w:hAnsi="Symbol"/>
        </w:rPr>
        <w:t></w:t>
      </w:r>
      <w:r>
        <w:rPr>
          <w:lang w:val="es-ES"/>
        </w:rPr>
        <w:t>/</w:t>
      </w:r>
      <w:r>
        <w:rPr>
          <w:i/>
          <w:lang w:val="es-ES"/>
        </w:rPr>
        <w:t>W</w:t>
      </w:r>
      <w:r>
        <w:rPr>
          <w:rFonts w:ascii="Tms Rmn" w:hAnsi="Tms Rmn"/>
          <w:iCs/>
          <w:sz w:val="12"/>
          <w:lang w:val="es-ES"/>
        </w:rPr>
        <w:t> </w:t>
      </w:r>
      <w:r>
        <w:rPr>
          <w:lang w:val="es-ES"/>
        </w:rPr>
        <w:t>));</w:t>
      </w:r>
    </w:p>
    <w:p w:rsidR="0086481A" w:rsidRDefault="0086481A" w:rsidP="0086481A">
      <w:pPr>
        <w:pStyle w:val="enumlev1"/>
        <w:rPr>
          <w:lang w:val="es-ES"/>
        </w:rPr>
      </w:pPr>
      <w:r>
        <w:rPr>
          <w:lang w:val="es-ES"/>
        </w:rPr>
        <w:t>–</w:t>
      </w:r>
      <w:r>
        <w:rPr>
          <w:lang w:val="es-ES"/>
        </w:rPr>
        <w:tab/>
        <w:t>calcular la relación entre las señales deseada y no deseada, teniendo en cuenta la discriminación debida a la directividad de la antena receptora;</w:t>
      </w:r>
    </w:p>
    <w:p w:rsidR="0086481A" w:rsidRDefault="0086481A" w:rsidP="0086481A">
      <w:pPr>
        <w:pStyle w:val="enumlev1"/>
        <w:rPr>
          <w:lang w:val="es-ES"/>
        </w:rPr>
      </w:pPr>
      <w:r>
        <w:rPr>
          <w:lang w:val="es-ES"/>
        </w:rPr>
        <w:t>–</w:t>
      </w:r>
      <w:r>
        <w:rPr>
          <w:lang w:val="es-ES"/>
        </w:rPr>
        <w:tab/>
        <w:t>utilizando la curva de la Fig. 2, determinar si la degradación en el punto de recepción será más intensa que la nota 4.</w:t>
      </w:r>
    </w:p>
    <w:p w:rsidR="0086481A" w:rsidRDefault="0086481A" w:rsidP="0086481A">
      <w:pPr>
        <w:rPr>
          <w:lang w:val="es-ES"/>
        </w:rPr>
      </w:pPr>
      <w:r>
        <w:rPr>
          <w:lang w:val="es-ES"/>
        </w:rPr>
        <w:t>Los resultados del estudio pueden presentarse en forma de un mapa que indique las zonas/localizaciones en las cuales cabe prever que la degradación será más intensa que la nota 4.</w:t>
      </w:r>
    </w:p>
    <w:p w:rsidR="0086481A" w:rsidRPr="0086481A" w:rsidRDefault="0086481A" w:rsidP="0086481A">
      <w:pPr>
        <w:rPr>
          <w:lang w:val="es-ES_tradnl"/>
        </w:rPr>
      </w:pPr>
      <w:r>
        <w:rPr>
          <w:lang w:val="es-ES"/>
        </w:rPr>
        <w:t>Debe tenerse en cuenta que el proceso será más complicado si hay múltiples turbinas eólicas en un sitio determinado, puesto que existirán varias fuentes posibles de degradación en cada sitio de recepción. Es conveniente llevar a cabo investigaciones ulteriores con miras a establecer un proceso de cálculo adecuado para ese caso.</w:t>
      </w:r>
    </w:p>
    <w:p w:rsidR="0086481A" w:rsidRPr="0086481A" w:rsidRDefault="0086481A" w:rsidP="0086481A">
      <w:pPr>
        <w:rPr>
          <w:lang w:val="es-ES_tradnl"/>
        </w:rPr>
      </w:pPr>
    </w:p>
    <w:p w:rsidR="0086481A" w:rsidRPr="0086481A" w:rsidRDefault="0086481A" w:rsidP="0086481A">
      <w:pPr>
        <w:rPr>
          <w:lang w:val="es-ES_tradnl"/>
        </w:rPr>
      </w:pPr>
    </w:p>
    <w:p w:rsidR="0086481A" w:rsidRPr="0086481A" w:rsidRDefault="0086481A" w:rsidP="0086481A">
      <w:pPr>
        <w:pStyle w:val="Line"/>
        <w:rPr>
          <w:lang w:val="es-ES_tradnl"/>
        </w:rPr>
      </w:pPr>
    </w:p>
    <w:sectPr w:rsidR="0086481A" w:rsidRPr="0086481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5A9" w:rsidRDefault="006B55A9">
      <w:r>
        <w:separator/>
      </w:r>
    </w:p>
  </w:footnote>
  <w:footnote w:type="continuationSeparator" w:id="0">
    <w:p w:rsidR="006B55A9" w:rsidRDefault="006B55A9">
      <w:r>
        <w:continuationSeparator/>
      </w:r>
    </w:p>
  </w:footnote>
  <w:footnote w:id="1">
    <w:p w:rsidR="0086481A" w:rsidRPr="0086481A" w:rsidRDefault="0086481A" w:rsidP="0086481A">
      <w:pPr>
        <w:pStyle w:val="FootnoteText"/>
        <w:rPr>
          <w:lang w:val="es-ES_tradnl"/>
        </w:rPr>
      </w:pPr>
      <w:r w:rsidRPr="0086481A">
        <w:rPr>
          <w:rStyle w:val="FootnoteReference"/>
          <w:lang w:val="es-ES_tradnl"/>
        </w:rPr>
        <w:t>*</w:t>
      </w:r>
      <w:r w:rsidRPr="0086481A">
        <w:rPr>
          <w:lang w:val="es-ES_tradnl"/>
        </w:rPr>
        <w:tab/>
        <w:t>La Comisión de Estudio 6 de Radiocomunicaciones efectuó modificaciones de redacción en esta Recomendación en 2002 de conformidad con la Resolución UIT</w:t>
      </w:r>
      <w:r w:rsidRPr="0086481A">
        <w:rPr>
          <w:lang w:val="es-ES_tradnl"/>
        </w:rPr>
        <w:noBreakHyphen/>
        <w:t>R 44.</w:t>
      </w:r>
    </w:p>
  </w:footnote>
  <w:footnote w:id="2">
    <w:p w:rsidR="0086481A" w:rsidRPr="0086481A" w:rsidRDefault="0086481A" w:rsidP="0086481A">
      <w:pPr>
        <w:pStyle w:val="FootnoteText"/>
        <w:rPr>
          <w:lang w:val="es-ES_tradnl"/>
        </w:rPr>
      </w:pPr>
      <w:r w:rsidRPr="0086481A">
        <w:rPr>
          <w:rStyle w:val="FootnoteReference"/>
          <w:lang w:val="es-ES_tradnl"/>
        </w:rPr>
        <w:t>**</w:t>
      </w:r>
      <w:r w:rsidRPr="0086481A">
        <w:rPr>
          <w:lang w:val="es-ES_tradnl"/>
        </w:rPr>
        <w:tab/>
        <w:t>La Comisión de Estudio 6 de Radiocomunicaciones introdujo modificaciones de redacción en esta Recomendación en octubre de 2010,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14:anchorId="34042D6C" wp14:editId="1F4F66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BE5364">
      <w:rPr>
        <w:rStyle w:val="PageNumber"/>
        <w:b/>
        <w:bCs/>
        <w:noProof/>
      </w:rPr>
      <w:t>4</w:t>
    </w:r>
    <w:r>
      <w:rPr>
        <w:rStyle w:val="PageNumber"/>
        <w:b/>
        <w:bCs/>
      </w:rPr>
      <w:fldChar w:fldCharType="end"/>
    </w:r>
    <w:r w:rsidR="000F6905" w:rsidRPr="000F6905">
      <w:tab/>
    </w:r>
    <w:r w:rsidR="00BE5364">
      <w:fldChar w:fldCharType="begin"/>
    </w:r>
    <w:r w:rsidR="00BE5364">
      <w:instrText xml:space="preserve"> DOCPROPERTY "Header" \* MERGEFORMAT </w:instrText>
    </w:r>
    <w:r w:rsidR="00BE5364">
      <w:fldChar w:fldCharType="separate"/>
    </w:r>
    <w:r w:rsidR="00BE5364" w:rsidRPr="00BE5364">
      <w:rPr>
        <w:b/>
        <w:bCs/>
      </w:rPr>
      <w:t xml:space="preserve">Rec. </w:t>
    </w:r>
    <w:r w:rsidR="00BE5364">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BE5364">
      <w:rPr>
        <w:b/>
        <w:bCs/>
        <w:noProof/>
      </w:rPr>
      <w:t>ITU-R  BT.805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05" w:rsidRDefault="000F6905">
    <w:pPr>
      <w:pStyle w:val="Header"/>
    </w:pPr>
    <w:r>
      <w:tab/>
    </w:r>
    <w:r w:rsidR="00BE5364">
      <w:fldChar w:fldCharType="begin"/>
    </w:r>
    <w:r w:rsidR="00BE5364">
      <w:instrText xml:space="preserve"> DOCPROPERTY "Header" \* MERGEFORMAT </w:instrText>
    </w:r>
    <w:r w:rsidR="00BE5364">
      <w:fldChar w:fldCharType="separate"/>
    </w:r>
    <w:r w:rsidR="00BE5364" w:rsidRPr="00BE5364">
      <w:rPr>
        <w:b/>
        <w:bCs/>
      </w:rPr>
      <w:t xml:space="preserve">Rec. </w:t>
    </w:r>
    <w:r w:rsidR="00BE5364">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BE5364">
      <w:rPr>
        <w:b/>
        <w:bCs/>
        <w:noProof/>
      </w:rPr>
      <w:t>ITU-R  BT.805</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BE5364">
      <w:rPr>
        <w:rStyle w:val="PageNumber"/>
        <w:b/>
        <w:bCs/>
        <w:noProof/>
      </w:rPr>
      <w:t>3</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10F18"/>
    <w:rsid w:val="008310C9"/>
    <w:rsid w:val="0086481A"/>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E5364"/>
    <w:rsid w:val="00BF487A"/>
    <w:rsid w:val="00C27AD2"/>
    <w:rsid w:val="00C46BD9"/>
    <w:rsid w:val="00C55258"/>
    <w:rsid w:val="00C73560"/>
    <w:rsid w:val="00C7439E"/>
    <w:rsid w:val="00CB0F14"/>
    <w:rsid w:val="00CD659B"/>
    <w:rsid w:val="00DF4176"/>
    <w:rsid w:val="00E17240"/>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EquationChar">
    <w:name w:val="Equation Char"/>
    <w:link w:val="Equation"/>
    <w:locked/>
    <w:rsid w:val="0086481A"/>
    <w:rPr>
      <w:sz w:val="24"/>
      <w:lang w:val="fr-FR" w:eastAsia="en-US"/>
    </w:rPr>
  </w:style>
  <w:style w:type="character" w:customStyle="1" w:styleId="FigureNoChar">
    <w:name w:val="Figure_No Char"/>
    <w:link w:val="FigureNo"/>
    <w:locked/>
    <w:rsid w:val="0086481A"/>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EquationChar">
    <w:name w:val="Equation Char"/>
    <w:link w:val="Equation"/>
    <w:locked/>
    <w:rsid w:val="0086481A"/>
    <w:rPr>
      <w:sz w:val="24"/>
      <w:lang w:val="fr-FR" w:eastAsia="en-US"/>
    </w:rPr>
  </w:style>
  <w:style w:type="character" w:customStyle="1" w:styleId="FigureNoChar">
    <w:name w:val="Figure_No Char"/>
    <w:link w:val="FigureNo"/>
    <w:locked/>
    <w:rsid w:val="0086481A"/>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4D210-3B7F-4E35-9F1D-EFF55950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TotalTime>
  <Pages>6</Pages>
  <Words>1391</Words>
  <Characters>7466</Characters>
  <Application>Microsoft Office Word</Application>
  <DocSecurity>0</DocSecurity>
  <Lines>165</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4</cp:revision>
  <cp:lastPrinted>2009-05-25T08:41:00Z</cp:lastPrinted>
  <dcterms:created xsi:type="dcterms:W3CDTF">2011-05-19T13:48:00Z</dcterms:created>
  <dcterms:modified xsi:type="dcterms:W3CDTF">2011-05-19T13:54:00Z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