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22C" w:rsidRDefault="0014322C">
      <w:bookmarkStart w:id="0" w:name="Doc_title"/>
    </w:p>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tbl>
      <w:tblPr>
        <w:tblW w:w="10089" w:type="dxa"/>
        <w:tblLook w:val="01E0" w:firstRow="1" w:lastRow="1" w:firstColumn="1" w:lastColumn="1" w:noHBand="0" w:noVBand="0"/>
      </w:tblPr>
      <w:tblGrid>
        <w:gridCol w:w="10089"/>
      </w:tblGrid>
      <w:tr w:rsidR="0014322C" w:rsidRPr="00A443C2">
        <w:tc>
          <w:tcPr>
            <w:tcW w:w="10089" w:type="dxa"/>
          </w:tcPr>
          <w:p w:rsidR="0014322C" w:rsidRPr="00B033C8" w:rsidRDefault="0014322C" w:rsidP="0014322C">
            <w:pPr>
              <w:spacing w:before="380" w:line="280" w:lineRule="exact"/>
              <w:jc w:val="right"/>
              <w:rPr>
                <w:rFonts w:ascii="Tahoma" w:hAnsi="Tahoma" w:cs="Tahoma"/>
                <w:b/>
                <w:bCs/>
                <w:iCs/>
                <w:color w:val="243285"/>
                <w:sz w:val="32"/>
                <w:szCs w:val="32"/>
                <w:lang w:val="en-US"/>
              </w:rPr>
            </w:pPr>
          </w:p>
          <w:p w:rsidR="0014322C" w:rsidRPr="00A443C2" w:rsidRDefault="0014322C" w:rsidP="00A92BF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A92BFF">
              <w:rPr>
                <w:rFonts w:ascii="Tahoma" w:hAnsi="Tahoma" w:cs="Tahoma"/>
                <w:b/>
                <w:bCs/>
                <w:iCs/>
                <w:color w:val="243285"/>
                <w:sz w:val="36"/>
                <w:szCs w:val="36"/>
              </w:rPr>
              <w:t>656-5</w:t>
            </w:r>
          </w:p>
          <w:p w:rsidR="0014322C" w:rsidRPr="00A443C2" w:rsidRDefault="0014322C" w:rsidP="00A92BF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92BFF">
              <w:rPr>
                <w:rFonts w:ascii="Tahoma" w:hAnsi="Tahoma" w:cs="Tahoma"/>
                <w:b/>
                <w:bCs/>
                <w:iCs/>
                <w:color w:val="243285"/>
                <w:szCs w:val="24"/>
              </w:rPr>
              <w:t>12</w:t>
            </w:r>
            <w:r w:rsidRPr="00A443C2">
              <w:rPr>
                <w:rFonts w:ascii="Tahoma" w:hAnsi="Tahoma" w:cs="Tahoma"/>
                <w:b/>
                <w:bCs/>
                <w:iCs/>
                <w:color w:val="243285"/>
                <w:szCs w:val="24"/>
              </w:rPr>
              <w:t>/</w:t>
            </w:r>
            <w:r w:rsidR="00A92BFF">
              <w:rPr>
                <w:rFonts w:ascii="Tahoma" w:hAnsi="Tahoma" w:cs="Tahoma"/>
                <w:b/>
                <w:bCs/>
                <w:iCs/>
                <w:color w:val="243285"/>
                <w:szCs w:val="24"/>
              </w:rPr>
              <w:t>2007</w:t>
            </w:r>
            <w:r w:rsidRPr="00A443C2">
              <w:rPr>
                <w:rFonts w:ascii="Tahoma" w:hAnsi="Tahoma" w:cs="Tahoma"/>
                <w:b/>
                <w:bCs/>
                <w:iCs/>
                <w:color w:val="243285"/>
                <w:szCs w:val="24"/>
              </w:rPr>
              <w:t>)</w:t>
            </w:r>
          </w:p>
        </w:tc>
      </w:tr>
      <w:tr w:rsidR="0014322C" w:rsidRPr="00F54FBD">
        <w:tc>
          <w:tcPr>
            <w:tcW w:w="10089" w:type="dxa"/>
          </w:tcPr>
          <w:p w:rsidR="0014322C" w:rsidRPr="0043089F" w:rsidRDefault="0014322C" w:rsidP="0014322C">
            <w:pPr>
              <w:spacing w:before="80" w:line="500" w:lineRule="exact"/>
              <w:jc w:val="right"/>
              <w:rPr>
                <w:rFonts w:ascii="Tahoma" w:hAnsi="Tahoma" w:cs="Tahoma"/>
                <w:b/>
                <w:bCs/>
                <w:iCs/>
                <w:color w:val="243285"/>
                <w:sz w:val="44"/>
                <w:szCs w:val="44"/>
              </w:rPr>
            </w:pPr>
          </w:p>
          <w:p w:rsidR="007B518B" w:rsidRDefault="004C0365" w:rsidP="004C0365">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Interfaces pour les signaux vidéo numériques en composantes dans</w:t>
            </w:r>
            <w:r>
              <w:rPr>
                <w:rFonts w:ascii="Tahoma" w:hAnsi="Tahoma" w:cs="Tahoma"/>
                <w:b/>
                <w:bCs/>
                <w:color w:val="243285"/>
                <w:sz w:val="44"/>
                <w:szCs w:val="44"/>
              </w:rPr>
              <w:br/>
              <w:t>les systèmes de télévision à 525 lignes</w:t>
            </w:r>
            <w:r>
              <w:rPr>
                <w:rFonts w:ascii="Tahoma" w:hAnsi="Tahoma" w:cs="Tahoma"/>
                <w:b/>
                <w:bCs/>
                <w:color w:val="243285"/>
                <w:sz w:val="44"/>
                <w:szCs w:val="44"/>
              </w:rPr>
              <w:br/>
              <w:t>et à 625 lignes fonctionnant au niveau 4:2:2 de la Recommandation UIT-R BT.601</w:t>
            </w:r>
          </w:p>
          <w:p w:rsidR="0014322C" w:rsidRPr="0043089F" w:rsidRDefault="0014322C" w:rsidP="0014322C">
            <w:pPr>
              <w:spacing w:before="80" w:line="500" w:lineRule="exact"/>
              <w:jc w:val="right"/>
              <w:rPr>
                <w:rFonts w:ascii="Tahoma" w:hAnsi="Tahoma" w:cs="Tahoma"/>
                <w:b/>
                <w:bCs/>
                <w:iCs/>
                <w:color w:val="243285"/>
                <w:sz w:val="44"/>
                <w:szCs w:val="44"/>
              </w:rPr>
            </w:pPr>
          </w:p>
        </w:tc>
      </w:tr>
      <w:tr w:rsidR="0014322C" w:rsidRPr="00F54FBD">
        <w:tc>
          <w:tcPr>
            <w:tcW w:w="10089" w:type="dxa"/>
          </w:tcPr>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after="180" w:line="360" w:lineRule="exact"/>
              <w:ind w:right="720"/>
              <w:rPr>
                <w:rFonts w:ascii="Tahoma" w:hAnsi="Tahoma" w:cs="Tahoma"/>
                <w:b/>
                <w:bCs/>
                <w:iCs/>
                <w:color w:val="243285"/>
                <w:sz w:val="36"/>
                <w:szCs w:val="36"/>
              </w:rPr>
            </w:pPr>
          </w:p>
          <w:p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4322C" w:rsidRPr="00E44CBB" w:rsidRDefault="0014322C"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4322C" w:rsidRPr="00A92BFF"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4322C" w:rsidRPr="009454F8">
        <w:tc>
          <w:tcPr>
            <w:tcW w:w="9360" w:type="dxa"/>
            <w:gridSpan w:val="2"/>
          </w:tcPr>
          <w:p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sidR="00595B2F">
                <w:rPr>
                  <w:rStyle w:val="Hyperlink"/>
                  <w:b w:val="0"/>
                  <w:bCs/>
                  <w:sz w:val="18"/>
                  <w:szCs w:val="18"/>
                </w:rPr>
                <w:t>http://www.itu.int/publ/R-REC/fr</w:t>
              </w:r>
            </w:hyperlink>
            <w:r w:rsidRPr="00BC0651">
              <w:rPr>
                <w:b w:val="0"/>
                <w:bCs/>
                <w:sz w:val="18"/>
                <w:szCs w:val="18"/>
              </w:rPr>
              <w:t>)</w:t>
            </w:r>
          </w:p>
        </w:tc>
      </w:tr>
      <w:tr w:rsidR="0014322C" w:rsidRPr="00036EE3">
        <w:tc>
          <w:tcPr>
            <w:tcW w:w="1140" w:type="dxa"/>
          </w:tcPr>
          <w:p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rsidTr="0014322C">
        <w:tc>
          <w:tcPr>
            <w:tcW w:w="1140" w:type="dxa"/>
            <w:tcBorders>
              <w:bottom w:val="nil"/>
            </w:tcBorders>
          </w:tcPr>
          <w:p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rsidTr="0014322C">
        <w:tc>
          <w:tcPr>
            <w:tcW w:w="1140" w:type="dxa"/>
            <w:tcBorders>
              <w:top w:val="nil"/>
              <w:bottom w:val="nil"/>
            </w:tcBorders>
            <w:shd w:val="clear" w:color="auto" w:fill="auto"/>
          </w:tcPr>
          <w:p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rsidTr="0014322C">
        <w:tc>
          <w:tcPr>
            <w:tcW w:w="1140" w:type="dxa"/>
            <w:tcBorders>
              <w:top w:val="nil"/>
              <w:bottom w:val="nil"/>
            </w:tcBorders>
          </w:tcPr>
          <w:p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rsidTr="0014322C">
        <w:tc>
          <w:tcPr>
            <w:tcW w:w="1140" w:type="dxa"/>
            <w:tcBorders>
              <w:top w:val="nil"/>
              <w:bottom w:val="nil"/>
            </w:tcBorders>
            <w:shd w:val="clear" w:color="auto" w:fill="F3F3F3"/>
          </w:tcPr>
          <w:p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rsidTr="0014322C">
        <w:tc>
          <w:tcPr>
            <w:tcW w:w="1140" w:type="dxa"/>
            <w:tcBorders>
              <w:top w:val="nil"/>
              <w:bottom w:val="nil"/>
            </w:tcBorders>
            <w:shd w:val="clear" w:color="auto" w:fill="auto"/>
          </w:tcPr>
          <w:p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rsidTr="0014322C">
        <w:tc>
          <w:tcPr>
            <w:tcW w:w="1140" w:type="dxa"/>
            <w:tcBorders>
              <w:top w:val="nil"/>
              <w:bottom w:val="nil"/>
            </w:tcBorders>
            <w:shd w:val="clear" w:color="auto" w:fill="auto"/>
          </w:tcPr>
          <w:p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rsidTr="0014322C">
        <w:tc>
          <w:tcPr>
            <w:tcW w:w="1140" w:type="dxa"/>
            <w:tcBorders>
              <w:top w:val="nil"/>
            </w:tcBorders>
          </w:tcPr>
          <w:p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rsidR="0014322C" w:rsidRPr="00614CC6" w:rsidRDefault="0014322C" w:rsidP="0014322C">
            <w:pPr>
              <w:spacing w:before="30" w:after="30"/>
              <w:rPr>
                <w:sz w:val="20"/>
                <w:lang w:val="en-US"/>
              </w:rPr>
            </w:pPr>
            <w:r w:rsidRPr="00614CC6">
              <w:rPr>
                <w:sz w:val="20"/>
              </w:rPr>
              <w:t>Service fixe par satellite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tc>
          <w:tcPr>
            <w:tcW w:w="1140" w:type="dxa"/>
            <w:shd w:val="clear" w:color="auto" w:fill="auto"/>
          </w:tcPr>
          <w:p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rsidR="0014322C" w:rsidRPr="00592F9F" w:rsidRDefault="0014322C" w:rsidP="0014322C">
            <w:pPr>
              <w:spacing w:before="30" w:after="30"/>
              <w:rPr>
                <w:sz w:val="20"/>
                <w:lang w:val="en-US"/>
              </w:rPr>
            </w:pPr>
            <w:r w:rsidRPr="00592F9F">
              <w:rPr>
                <w:sz w:val="20"/>
              </w:rPr>
              <w:t>Gestion du spectre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rsidR="0014322C" w:rsidRPr="00614CC6" w:rsidRDefault="0014322C" w:rsidP="0014322C">
            <w:pPr>
              <w:spacing w:before="30" w:after="30"/>
              <w:rPr>
                <w:sz w:val="20"/>
                <w:lang w:val="en-US"/>
              </w:rPr>
            </w:pPr>
            <w:r w:rsidRPr="00614CC6">
              <w:rPr>
                <w:sz w:val="20"/>
              </w:rPr>
              <w:t>Reportage d'actualités par satellite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rsidR="0014322C" w:rsidRPr="00614CC6" w:rsidRDefault="0014322C" w:rsidP="0014322C">
            <w:pPr>
              <w:spacing w:before="30" w:after="140"/>
              <w:rPr>
                <w:sz w:val="20"/>
                <w:lang w:val="en-US"/>
              </w:rPr>
            </w:pPr>
            <w:r w:rsidRPr="00614CC6">
              <w:rPr>
                <w:sz w:val="20"/>
              </w:rPr>
              <w:t>Vocabulaire et sujets associés</w:t>
            </w:r>
          </w:p>
        </w:tc>
      </w:tr>
    </w:tbl>
    <w:p w:rsidR="0014322C" w:rsidRPr="00036EE3" w:rsidRDefault="0014322C" w:rsidP="0014322C">
      <w:pPr>
        <w:spacing w:before="0"/>
        <w:jc w:val="center"/>
        <w:rPr>
          <w:sz w:val="20"/>
          <w:lang w:val="en-US"/>
        </w:rPr>
      </w:pPr>
    </w:p>
    <w:p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4322C" w:rsidRPr="00756B4D">
        <w:tc>
          <w:tcPr>
            <w:tcW w:w="9360" w:type="dxa"/>
          </w:tcPr>
          <w:p w:rsidR="0014322C" w:rsidRPr="00756B4D" w:rsidRDefault="0014322C" w:rsidP="0014322C">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4322C" w:rsidRPr="00756B4D" w:rsidRDefault="0014322C" w:rsidP="0014322C">
      <w:pPr>
        <w:spacing w:before="0"/>
        <w:jc w:val="center"/>
        <w:rPr>
          <w:sz w:val="22"/>
        </w:rPr>
      </w:pPr>
    </w:p>
    <w:p w:rsidR="0014322C" w:rsidRPr="00614CC6" w:rsidRDefault="0014322C" w:rsidP="0014322C">
      <w:pPr>
        <w:spacing w:before="100"/>
        <w:jc w:val="right"/>
        <w:rPr>
          <w:i/>
          <w:iCs/>
          <w:sz w:val="20"/>
        </w:rPr>
      </w:pPr>
      <w:r w:rsidRPr="00614CC6">
        <w:rPr>
          <w:i/>
          <w:iCs/>
          <w:sz w:val="20"/>
        </w:rPr>
        <w:t>Publication électronique</w:t>
      </w:r>
    </w:p>
    <w:p w:rsidR="0014322C" w:rsidRPr="00614CC6" w:rsidRDefault="0014322C" w:rsidP="009D3E41">
      <w:pPr>
        <w:spacing w:before="0"/>
        <w:jc w:val="right"/>
        <w:rPr>
          <w:sz w:val="20"/>
        </w:rPr>
      </w:pPr>
      <w:r w:rsidRPr="00614CC6">
        <w:rPr>
          <w:sz w:val="20"/>
        </w:rPr>
        <w:t>Genève, 20</w:t>
      </w:r>
      <w:r w:rsidR="009D3E41">
        <w:rPr>
          <w:sz w:val="20"/>
        </w:rPr>
        <w:t>10</w:t>
      </w:r>
    </w:p>
    <w:p w:rsidR="0014322C" w:rsidRPr="00614CC6" w:rsidRDefault="0014322C" w:rsidP="009D3E41">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9D3E41">
        <w:rPr>
          <w:sz w:val="20"/>
        </w:rPr>
        <w:t>10</w:t>
      </w:r>
    </w:p>
    <w:p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4322C" w:rsidRPr="00614CC6" w:rsidRDefault="0014322C" w:rsidP="0014322C">
      <w:pPr>
        <w:spacing w:before="160"/>
        <w:rPr>
          <w:i/>
          <w:sz w:val="20"/>
          <w:highlight w:val="yellow"/>
        </w:rPr>
        <w:sectPr w:rsidR="0014322C"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403476" w:rsidRDefault="00A92BFF" w:rsidP="00A92BFF">
      <w:pPr>
        <w:pStyle w:val="RecNo"/>
        <w:spacing w:before="0"/>
      </w:pPr>
      <w:bookmarkStart w:id="3" w:name="irecnoe"/>
      <w:bookmarkEnd w:id="3"/>
      <w:bookmarkEnd w:id="0"/>
      <w:r>
        <w:lastRenderedPageBreak/>
        <w:t xml:space="preserve">RECOMMANDATION  </w:t>
      </w:r>
      <w:r>
        <w:rPr>
          <w:rStyle w:val="href"/>
        </w:rPr>
        <w:t>UIT-R  BT.656-5</w:t>
      </w:r>
    </w:p>
    <w:p w:rsidR="00A92BFF" w:rsidRPr="003B5669" w:rsidRDefault="00A92BFF" w:rsidP="00A92BFF">
      <w:pPr>
        <w:pStyle w:val="Rectitle"/>
      </w:pPr>
      <w:r w:rsidRPr="003B5669">
        <w:t>Interfaces pour les signaux vidéo numériques en composantes dans</w:t>
      </w:r>
      <w:r w:rsidRPr="003B5669">
        <w:br/>
        <w:t>les systèmes de télévision à 525 lignes et à 625 lignes fonctionnant</w:t>
      </w:r>
      <w:r w:rsidRPr="003B5669">
        <w:br/>
        <w:t>au niveau 4:2:2 de la Recommandation UIT-R BT.601</w:t>
      </w:r>
      <w:r w:rsidRPr="003B5669">
        <w:rPr>
          <w:rStyle w:val="FootnoteReference"/>
        </w:rPr>
        <w:footnoteReference w:customMarkFollows="1" w:id="1"/>
        <w:t>*</w:t>
      </w:r>
    </w:p>
    <w:p w:rsidR="00A92BFF" w:rsidRPr="003B5669" w:rsidRDefault="00A92BFF" w:rsidP="00A92BFF">
      <w:pPr>
        <w:pStyle w:val="Recref"/>
      </w:pPr>
      <w:r w:rsidRPr="003B5669">
        <w:t>(Question UIT-R 42/6)</w:t>
      </w:r>
    </w:p>
    <w:p w:rsidR="00A92BFF" w:rsidRPr="003B5669" w:rsidRDefault="00A92BFF" w:rsidP="00A92BFF">
      <w:pPr>
        <w:pStyle w:val="Recdate"/>
      </w:pPr>
    </w:p>
    <w:p w:rsidR="00A92BFF" w:rsidRPr="003B5669" w:rsidRDefault="00A92BFF" w:rsidP="00A92BFF">
      <w:pPr>
        <w:pStyle w:val="Recdate"/>
      </w:pPr>
      <w:r w:rsidRPr="003B5669">
        <w:t>(1986-1992-1994-1995-1998-2007)</w:t>
      </w:r>
    </w:p>
    <w:p w:rsidR="00A92BFF" w:rsidRPr="003B5669" w:rsidRDefault="00A92BFF" w:rsidP="00A92BFF">
      <w:pPr>
        <w:pStyle w:val="HeadingSum"/>
        <w:rPr>
          <w:lang w:val="fr-FR"/>
        </w:rPr>
      </w:pPr>
    </w:p>
    <w:p w:rsidR="00A92BFF" w:rsidRPr="003B5669" w:rsidRDefault="00A92BFF" w:rsidP="00A92BFF">
      <w:pPr>
        <w:pStyle w:val="HeadingSum"/>
        <w:rPr>
          <w:lang w:val="fr-FR"/>
        </w:rPr>
      </w:pPr>
      <w:r w:rsidRPr="003B5669">
        <w:rPr>
          <w:lang w:val="fr-FR"/>
        </w:rPr>
        <w:t>Champ d'application</w:t>
      </w:r>
    </w:p>
    <w:p w:rsidR="00A92BFF" w:rsidRPr="003B5669" w:rsidRDefault="00A92BFF" w:rsidP="00A92BFF">
      <w:pPr>
        <w:pStyle w:val="Summary"/>
        <w:rPr>
          <w:lang w:val="fr-FR"/>
        </w:rPr>
      </w:pPr>
      <w:r w:rsidRPr="003B5669">
        <w:rPr>
          <w:lang w:val="fr-FR"/>
        </w:rPr>
        <w:t>La présente Recommandation porte sur la structure de données de la représentation parallèle des signaux et de l'interface série pour les signaux numériques de télévision à 525/625 lignes définis dans la Recommandation UIT-R BT.601.</w:t>
      </w:r>
    </w:p>
    <w:p w:rsidR="00A92BFF" w:rsidRPr="003B5669" w:rsidRDefault="00A92BFF" w:rsidP="00A92BFF">
      <w:pPr>
        <w:pStyle w:val="Normalaftertitle"/>
      </w:pPr>
      <w:r w:rsidRPr="003B5669">
        <w:t>L'Assemblée des radiocommunications de l'UIT,</w:t>
      </w:r>
    </w:p>
    <w:p w:rsidR="00A92BFF" w:rsidRPr="003B5669" w:rsidRDefault="00A92BFF" w:rsidP="00A92BFF">
      <w:pPr>
        <w:pStyle w:val="Call"/>
      </w:pPr>
      <w:r w:rsidRPr="003B5669">
        <w:t>considérant</w:t>
      </w:r>
    </w:p>
    <w:p w:rsidR="00A92BFF" w:rsidRPr="003B5669" w:rsidRDefault="00A92BFF" w:rsidP="00A92BFF">
      <w:r w:rsidRPr="003B5669">
        <w:t>a)</w:t>
      </w:r>
      <w:r w:rsidRPr="003B5669">
        <w:tab/>
        <w:t>que les organismes de télévision et les producteurs de programmes ont intérêt à utiliser dans les studios des normes numériques dans lesquelles les paramètres essentiels aient le plus grand nombre possible de valeurs communes aux systèmes à 525 lignes et à 625 lignes;</w:t>
      </w:r>
    </w:p>
    <w:p w:rsidR="00A92BFF" w:rsidRPr="003B5669" w:rsidRDefault="00A92BFF" w:rsidP="00A92BFF">
      <w:r w:rsidRPr="003B5669">
        <w:t>b)</w:t>
      </w:r>
      <w:r w:rsidRPr="003B5669">
        <w:tab/>
        <w:t>qu'une approche conduisant à des solutions numériques compatibles au niveau mondial permettra de réaliser des équipements présentant de nombreux éléments communs, entraînera des économies d'exploitation et facilitera l'échange international des programmes;</w:t>
      </w:r>
    </w:p>
    <w:p w:rsidR="00A92BFF" w:rsidRPr="003B5669" w:rsidRDefault="00A92BFF" w:rsidP="00A92BFF">
      <w:r w:rsidRPr="003B5669">
        <w:t>c)</w:t>
      </w:r>
      <w:r w:rsidRPr="003B5669">
        <w:tab/>
        <w:t>que, pour la réalisation de ces objectifs, l'accord s'est fait sur les paramètres fondamentaux de codage de la télévision numérique pour les studios (Recommandation UIT-R BT.601);</w:t>
      </w:r>
    </w:p>
    <w:p w:rsidR="00A92BFF" w:rsidRPr="003B5669" w:rsidRDefault="00A92BFF" w:rsidP="00A92BFF">
      <w:r w:rsidRPr="003B5669">
        <w:t>d)</w:t>
      </w:r>
      <w:r w:rsidRPr="003B5669">
        <w:tab/>
        <w:t>que, pour l'application pratique de la Recommandation UIT-R BT.601, il est nécessaire de définir les caractéristiques des interfaces et du train de données qui traverse ces interfaces;</w:t>
      </w:r>
    </w:p>
    <w:p w:rsidR="00A92BFF" w:rsidRPr="003B5669" w:rsidRDefault="00A92BFF" w:rsidP="00A92BFF">
      <w:r w:rsidRPr="003B5669">
        <w:t>e)</w:t>
      </w:r>
      <w:r w:rsidRPr="003B5669">
        <w:tab/>
        <w:t>que de telles interfaces devraient avoir un maximum de caractéristiques communes aux systèmes à 525 lignes et à 625 lignes;</w:t>
      </w:r>
    </w:p>
    <w:p w:rsidR="00A92BFF" w:rsidRPr="003B5669" w:rsidRDefault="00A92BFF" w:rsidP="00A92BFF">
      <w:r w:rsidRPr="003B5669">
        <w:t>f)</w:t>
      </w:r>
      <w:r w:rsidRPr="003B5669">
        <w:tab/>
        <w:t>que, pour l'application pratique de la Recommandation UIT-R BT.601, il est souhaitable de définir une interface série numérique,</w:t>
      </w:r>
    </w:p>
    <w:p w:rsidR="00A92BFF" w:rsidRPr="003B5669" w:rsidRDefault="00A92BFF" w:rsidP="00A92BFF">
      <w:pPr>
        <w:pStyle w:val="Call"/>
      </w:pPr>
      <w:r w:rsidRPr="003B5669">
        <w:t>recommande</w:t>
      </w:r>
    </w:p>
    <w:p w:rsidR="00A92BFF" w:rsidRPr="003B5669" w:rsidRDefault="00A92BFF" w:rsidP="00A92BFF">
      <w:r w:rsidRPr="003B5669">
        <w:rPr>
          <w:b/>
          <w:bCs/>
        </w:rPr>
        <w:t>1</w:t>
      </w:r>
      <w:r w:rsidRPr="003B5669">
        <w:rPr>
          <w:b/>
          <w:bCs/>
        </w:rPr>
        <w:tab/>
      </w:r>
      <w:r w:rsidRPr="003B5669">
        <w:t>que, dans les cas où une interface est nécessaire pour les signaux vidéo numériques en composantes conformes à la Recommandation UIT-R BT.601 dans les studios de télévision, l'interface et les flux de données qui la traversent soient conformes à la description de l'Annexe 1, qui définit une implémentation série numérique.</w:t>
      </w:r>
    </w:p>
    <w:p w:rsidR="00A92BFF" w:rsidRPr="003B5669" w:rsidRDefault="00A92BFF" w:rsidP="00A92BFF"/>
    <w:p w:rsidR="00A92BFF" w:rsidRPr="003B5669" w:rsidRDefault="00A92BFF" w:rsidP="00A92BFF">
      <w:pPr>
        <w:pStyle w:val="AnnexNoTitle"/>
      </w:pPr>
      <w:r w:rsidRPr="003B5669">
        <w:lastRenderedPageBreak/>
        <w:t>Annexe 1</w:t>
      </w:r>
    </w:p>
    <w:p w:rsidR="00A92BFF" w:rsidRPr="003B5669" w:rsidRDefault="00A92BFF" w:rsidP="00A92BFF">
      <w:pPr>
        <w:pStyle w:val="Heading1"/>
      </w:pPr>
      <w:r w:rsidRPr="003B5669">
        <w:t>1</w:t>
      </w:r>
      <w:r w:rsidRPr="003B5669">
        <w:tab/>
        <w:t>Introduction</w:t>
      </w:r>
    </w:p>
    <w:p w:rsidR="00A92BFF" w:rsidRPr="003B5669" w:rsidRDefault="00A92BFF" w:rsidP="00A92BFF">
      <w:r w:rsidRPr="003B5669">
        <w:t>La présente Recommandation décrit le mode d'interconnexion des matériels de télévision numérique à 525 lignes ou à 625 lignes conformes à la norme de codage 4:2:2 définie dans la Recommandation UIT-R BT.601.</w:t>
      </w:r>
    </w:p>
    <w:p w:rsidR="00A92BFF" w:rsidRPr="003B5669" w:rsidRDefault="00A92BFF" w:rsidP="00A92BFF">
      <w:r w:rsidRPr="003B5669">
        <w:t>La Partie 1 décrit le format du signal commun aux deux interfaces.</w:t>
      </w:r>
    </w:p>
    <w:p w:rsidR="00A92BFF" w:rsidRPr="003B5669" w:rsidRDefault="00A92BFF" w:rsidP="00A92BFF">
      <w:r w:rsidRPr="003B5669">
        <w:t>La Partie 2 décrit les caractéristiques particulières de l'interface série numérique.</w:t>
      </w:r>
    </w:p>
    <w:p w:rsidR="00A92BFF" w:rsidRPr="003B5669" w:rsidRDefault="00A92BFF" w:rsidP="00A92BFF">
      <w:r w:rsidRPr="003B5669">
        <w:t>Les caractéristiques particulières de l'interface numérique parallèle sont exposées dans l'Appendice 1.</w:t>
      </w:r>
    </w:p>
    <w:p w:rsidR="00A92BFF" w:rsidRPr="003B5669" w:rsidRDefault="00A92BFF" w:rsidP="00A92BFF"/>
    <w:p w:rsidR="00A92BFF" w:rsidRDefault="00A92BFF" w:rsidP="00A92BFF"/>
    <w:p w:rsidR="00A92BFF" w:rsidRDefault="00A92BFF" w:rsidP="00A92BFF"/>
    <w:p w:rsidR="00A92BFF" w:rsidRDefault="00A92BFF" w:rsidP="00A92BFF"/>
    <w:p w:rsidR="00A92BFF" w:rsidRPr="003B5669" w:rsidRDefault="00A92BFF" w:rsidP="00A92BFF"/>
    <w:p w:rsidR="00A92BFF" w:rsidRPr="003B5669" w:rsidRDefault="00A92BFF" w:rsidP="00A92BFF">
      <w:pPr>
        <w:pStyle w:val="PartNo"/>
        <w:jc w:val="center"/>
      </w:pPr>
      <w:r w:rsidRPr="003B5669">
        <w:t>PARTIE  1</w:t>
      </w:r>
    </w:p>
    <w:p w:rsidR="00A92BFF" w:rsidRPr="003B5669" w:rsidRDefault="00A92BFF" w:rsidP="00A92BFF">
      <w:pPr>
        <w:pStyle w:val="Parttitle"/>
      </w:pPr>
      <w:r w:rsidRPr="003B5669">
        <w:t>Format du signal numérique de l'interface</w:t>
      </w:r>
    </w:p>
    <w:p w:rsidR="00A92BFF" w:rsidRPr="003B5669" w:rsidRDefault="00A92BFF" w:rsidP="00A92BFF">
      <w:pPr>
        <w:pStyle w:val="Heading1"/>
      </w:pPr>
      <w:r w:rsidRPr="003B5669">
        <w:t>1</w:t>
      </w:r>
      <w:r w:rsidRPr="003B5669">
        <w:tab/>
        <w:t>Description générale de l'interface</w:t>
      </w:r>
    </w:p>
    <w:p w:rsidR="00A92BFF" w:rsidRPr="003B5669" w:rsidRDefault="00A92BFF" w:rsidP="00A92BFF">
      <w:r w:rsidRPr="003B5669">
        <w:t>L'interface assure une interconnexion unidirectionnelle entre un seul dispositif source et une seule destination. (NOTE – Dans le cas d'utilisation de routeurs, la destination peut être multiple.)</w:t>
      </w:r>
    </w:p>
    <w:p w:rsidR="00A92BFF" w:rsidRPr="003B5669" w:rsidRDefault="00A92BFF" w:rsidP="00A92BFF">
      <w:r w:rsidRPr="003B5669">
        <w:t>Un format de signal numérique de l'interface est décrit au § 2.</w:t>
      </w:r>
    </w:p>
    <w:p w:rsidR="00A92BFF" w:rsidRPr="003B5669" w:rsidRDefault="00A92BFF" w:rsidP="00A92BFF">
      <w:r w:rsidRPr="003B5669">
        <w:t>Les signaux de données se présentent sous forme d'informations binaires codées en mots de 8 bits ou 10 bits (voir la Note 1)</w:t>
      </w:r>
      <w:r w:rsidRPr="003B5669">
        <w:rPr>
          <w:sz w:val="16"/>
        </w:rPr>
        <w:t>.</w:t>
      </w:r>
      <w:r w:rsidRPr="003B5669">
        <w:t xml:space="preserve"> Ces signaux sont les suivants:</w:t>
      </w:r>
    </w:p>
    <w:p w:rsidR="00A92BFF" w:rsidRPr="003B5669" w:rsidRDefault="00A92BFF" w:rsidP="00A92BFF">
      <w:pPr>
        <w:pStyle w:val="enumlev1"/>
      </w:pPr>
      <w:r w:rsidRPr="003B5669">
        <w:t>–</w:t>
      </w:r>
      <w:r w:rsidRPr="003B5669">
        <w:tab/>
        <w:t>les signaux vidéo;</w:t>
      </w:r>
    </w:p>
    <w:p w:rsidR="00A92BFF" w:rsidRPr="003B5669" w:rsidRDefault="00A92BFF" w:rsidP="00A92BFF">
      <w:pPr>
        <w:pStyle w:val="enumlev1"/>
      </w:pPr>
      <w:r w:rsidRPr="003B5669">
        <w:t>–</w:t>
      </w:r>
      <w:r w:rsidRPr="003B5669">
        <w:tab/>
        <w:t>les signaux numériques de suppression;</w:t>
      </w:r>
    </w:p>
    <w:p w:rsidR="00A92BFF" w:rsidRPr="003B5669" w:rsidRDefault="00A92BFF" w:rsidP="00A92BFF">
      <w:pPr>
        <w:pStyle w:val="enumlev1"/>
      </w:pPr>
      <w:r w:rsidRPr="003B5669">
        <w:t>–</w:t>
      </w:r>
      <w:r w:rsidRPr="003B5669">
        <w:tab/>
        <w:t>les signaux de référence temporelle;</w:t>
      </w:r>
    </w:p>
    <w:p w:rsidR="00A92BFF" w:rsidRPr="003B5669" w:rsidRDefault="00A92BFF" w:rsidP="00A92BFF">
      <w:pPr>
        <w:pStyle w:val="enumlev1"/>
      </w:pPr>
      <w:r w:rsidRPr="003B5669">
        <w:t>–</w:t>
      </w:r>
      <w:r w:rsidRPr="003B5669">
        <w:tab/>
        <w:t>les signaux auxiliaires.</w:t>
      </w:r>
    </w:p>
    <w:p w:rsidR="00A92BFF" w:rsidRPr="003B5669" w:rsidRDefault="00A92BFF" w:rsidP="00A92BFF">
      <w:pPr>
        <w:pStyle w:val="Note"/>
      </w:pPr>
      <w:r w:rsidRPr="003B5669">
        <w:t xml:space="preserve">NOTE 1 – Dans la présente Recommandation, le contenu des mots numériques est exprimé sous forme hexadécimale sur 10 bits. </w:t>
      </w:r>
    </w:p>
    <w:p w:rsidR="00A92BFF" w:rsidRPr="003B5669" w:rsidRDefault="00A92BFF" w:rsidP="00A92BFF">
      <w:pPr>
        <w:pStyle w:val="Note"/>
      </w:pPr>
      <w:r w:rsidRPr="003B5669">
        <w:t>Par exemple, la séquence 1001000101 s'écrira 245</w:t>
      </w:r>
      <w:r w:rsidRPr="003B5669">
        <w:rPr>
          <w:sz w:val="24"/>
          <w:vertAlign w:val="subscript"/>
        </w:rPr>
        <w:t>h</w:t>
      </w:r>
      <w:r w:rsidRPr="003B5669">
        <w:t>.</w:t>
      </w:r>
    </w:p>
    <w:p w:rsidR="00A92BFF" w:rsidRPr="003B5669" w:rsidRDefault="00A92BFF" w:rsidP="00A92BFF">
      <w:pPr>
        <w:pStyle w:val="Note"/>
      </w:pPr>
      <w:r w:rsidRPr="003B5669">
        <w:t>Les mots de 8 bits occupent les bits de plus fort poids du mot de dix bits, c'est-à-dire les bits 9 à 2, où le bit 9 est celui qui a le plus fort poids.</w:t>
      </w:r>
    </w:p>
    <w:p w:rsidR="00A92BFF" w:rsidRPr="003B5669" w:rsidRDefault="00A92BFF" w:rsidP="00A92BFF">
      <w:pPr>
        <w:pStyle w:val="Heading1"/>
      </w:pPr>
      <w:r w:rsidRPr="003B5669">
        <w:t>2</w:t>
      </w:r>
      <w:r w:rsidRPr="003B5669">
        <w:tab/>
        <w:t>Données vidéo</w:t>
      </w:r>
    </w:p>
    <w:p w:rsidR="00A92BFF" w:rsidRPr="003B5669" w:rsidRDefault="00A92BFF" w:rsidP="00A92BFF">
      <w:pPr>
        <w:pStyle w:val="Heading2"/>
      </w:pPr>
      <w:r w:rsidRPr="003B5669">
        <w:t>2.1</w:t>
      </w:r>
      <w:r w:rsidRPr="003B5669">
        <w:tab/>
        <w:t>Caractéristiques de codage</w:t>
      </w:r>
    </w:p>
    <w:p w:rsidR="00A92BFF" w:rsidRPr="003B5669" w:rsidRDefault="00A92BFF" w:rsidP="00A92BFF">
      <w:r w:rsidRPr="003B5669">
        <w:t>Les données vidéo sont conformes à la Recommandation UIT-R BT.601 et aux définitions relatives aux intervalles de suppression de trame définis par le Tableau 1.</w:t>
      </w:r>
    </w:p>
    <w:p w:rsidR="00A92BFF" w:rsidRPr="003B5669" w:rsidRDefault="00A92BFF" w:rsidP="00A92BFF">
      <w:pPr>
        <w:pStyle w:val="TableNo"/>
      </w:pPr>
      <w:r w:rsidRPr="003B5669">
        <w:lastRenderedPageBreak/>
        <w:t>TABLEAU</w:t>
      </w:r>
      <w:r>
        <w:t xml:space="preserve"> </w:t>
      </w:r>
      <w:r w:rsidRPr="003B5669">
        <w:t xml:space="preserve"> 1</w:t>
      </w:r>
    </w:p>
    <w:p w:rsidR="00A92BFF" w:rsidRPr="003B5669" w:rsidRDefault="00A92BFF" w:rsidP="00A92BFF">
      <w:pPr>
        <w:pStyle w:val="Tabletitle"/>
      </w:pPr>
      <w:r w:rsidRPr="003B5669">
        <w:t>Définitions relatives aux intervalles de trame</w:t>
      </w:r>
    </w:p>
    <w:tbl>
      <w:tblPr>
        <w:tblW w:w="0" w:type="auto"/>
        <w:jc w:val="center"/>
        <w:tblLayout w:type="fixed"/>
        <w:tblCellMar>
          <w:left w:w="107" w:type="dxa"/>
          <w:right w:w="107" w:type="dxa"/>
        </w:tblCellMar>
        <w:tblLook w:val="0000" w:firstRow="0" w:lastRow="0" w:firstColumn="0" w:lastColumn="0" w:noHBand="0" w:noVBand="0"/>
      </w:tblPr>
      <w:tblGrid>
        <w:gridCol w:w="3544"/>
        <w:gridCol w:w="1276"/>
        <w:gridCol w:w="1985"/>
        <w:gridCol w:w="1985"/>
      </w:tblGrid>
      <w:tr w:rsidR="00A92BFF" w:rsidRPr="003B5669" w:rsidTr="00CB7F7C">
        <w:tblPrEx>
          <w:tblCellMar>
            <w:top w:w="0" w:type="dxa"/>
            <w:bottom w:w="0" w:type="dxa"/>
          </w:tblCellMar>
        </w:tblPrEx>
        <w:trPr>
          <w:cantSplit/>
          <w:jc w:val="center"/>
        </w:trPr>
        <w:tc>
          <w:tcPr>
            <w:tcW w:w="4820" w:type="dxa"/>
            <w:gridSpan w:val="2"/>
            <w:tcBorders>
              <w:top w:val="single" w:sz="6" w:space="0" w:color="auto"/>
              <w:left w:val="single" w:sz="6" w:space="0" w:color="auto"/>
              <w:bottom w:val="single" w:sz="6" w:space="0" w:color="auto"/>
            </w:tcBorders>
          </w:tcPr>
          <w:p w:rsidR="00A92BFF" w:rsidRPr="003B5669" w:rsidRDefault="00A92BFF" w:rsidP="00CB7F7C">
            <w:pPr>
              <w:pStyle w:val="TableText0"/>
              <w:rPr>
                <w:lang w:val="fr-FR"/>
              </w:rPr>
            </w:pPr>
          </w:p>
        </w:tc>
        <w:tc>
          <w:tcPr>
            <w:tcW w:w="1985" w:type="dxa"/>
            <w:tcBorders>
              <w:top w:val="single" w:sz="6" w:space="0" w:color="auto"/>
              <w:left w:val="single" w:sz="6" w:space="0" w:color="auto"/>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625</w:t>
            </w:r>
          </w:p>
        </w:tc>
        <w:tc>
          <w:tcPr>
            <w:tcW w:w="1985" w:type="dxa"/>
            <w:tcBorders>
              <w:top w:val="single" w:sz="6" w:space="0" w:color="auto"/>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525</w:t>
            </w:r>
          </w:p>
        </w:tc>
      </w:tr>
      <w:tr w:rsidR="00A92BFF" w:rsidRPr="003B5669" w:rsidTr="00CB7F7C">
        <w:tblPrEx>
          <w:tblCellMar>
            <w:top w:w="0" w:type="dxa"/>
            <w:bottom w:w="0" w:type="dxa"/>
          </w:tblCellMar>
        </w:tblPrEx>
        <w:trPr>
          <w:cantSplit/>
          <w:jc w:val="center"/>
        </w:trPr>
        <w:tc>
          <w:tcPr>
            <w:tcW w:w="4820" w:type="dxa"/>
            <w:gridSpan w:val="2"/>
            <w:tcBorders>
              <w:top w:val="single" w:sz="6" w:space="0" w:color="auto"/>
              <w:left w:val="single" w:sz="6" w:space="0" w:color="auto"/>
              <w:right w:val="single" w:sz="6" w:space="0" w:color="auto"/>
            </w:tcBorders>
          </w:tcPr>
          <w:p w:rsidR="00A92BFF" w:rsidRPr="003B5669" w:rsidRDefault="00A92BFF" w:rsidP="00CB7F7C">
            <w:pPr>
              <w:pStyle w:val="TableText0"/>
              <w:rPr>
                <w:lang w:val="fr-FR"/>
              </w:rPr>
            </w:pPr>
            <w:r w:rsidRPr="003B5669">
              <w:rPr>
                <w:lang w:val="fr-FR"/>
              </w:rPr>
              <w:t>V-suppression de trame numérique</w:t>
            </w:r>
          </w:p>
        </w:tc>
        <w:tc>
          <w:tcPr>
            <w:tcW w:w="1985" w:type="dxa"/>
            <w:tcBorders>
              <w:top w:val="single" w:sz="6" w:space="0" w:color="auto"/>
              <w:left w:val="single" w:sz="6" w:space="0" w:color="auto"/>
              <w:right w:val="single" w:sz="6" w:space="0" w:color="auto"/>
            </w:tcBorders>
          </w:tcPr>
          <w:p w:rsidR="00A92BFF" w:rsidRPr="003B5669" w:rsidRDefault="00A92BFF" w:rsidP="00CB7F7C">
            <w:pPr>
              <w:pStyle w:val="TableText0"/>
              <w:rPr>
                <w:lang w:val="fr-FR"/>
              </w:rPr>
            </w:pPr>
          </w:p>
        </w:tc>
        <w:tc>
          <w:tcPr>
            <w:tcW w:w="1985" w:type="dxa"/>
            <w:tcBorders>
              <w:top w:val="single" w:sz="6" w:space="0" w:color="auto"/>
              <w:right w:val="single" w:sz="6" w:space="0" w:color="auto"/>
            </w:tcBorders>
          </w:tcPr>
          <w:p w:rsidR="00A92BFF" w:rsidRPr="003B5669" w:rsidRDefault="00A92BFF" w:rsidP="00CB7F7C">
            <w:pPr>
              <w:pStyle w:val="TableText0"/>
              <w:rPr>
                <w:lang w:val="fr-FR"/>
              </w:rPr>
            </w:pPr>
          </w:p>
        </w:tc>
      </w:tr>
      <w:tr w:rsidR="00A92BFF" w:rsidRPr="003B5669" w:rsidTr="00CB7F7C">
        <w:tblPrEx>
          <w:tblCellMar>
            <w:top w:w="0" w:type="dxa"/>
            <w:bottom w:w="0" w:type="dxa"/>
          </w:tblCellMar>
        </w:tblPrEx>
        <w:trPr>
          <w:cantSplit/>
          <w:jc w:val="center"/>
        </w:trPr>
        <w:tc>
          <w:tcPr>
            <w:tcW w:w="3544" w:type="dxa"/>
            <w:tcBorders>
              <w:left w:val="single" w:sz="6" w:space="0" w:color="auto"/>
            </w:tcBorders>
          </w:tcPr>
          <w:p w:rsidR="00A92BFF" w:rsidRPr="003B5669" w:rsidRDefault="00A92BFF" w:rsidP="00CB7F7C">
            <w:pPr>
              <w:pStyle w:val="TableText0"/>
              <w:jc w:val="center"/>
              <w:rPr>
                <w:lang w:val="fr-FR"/>
              </w:rPr>
            </w:pPr>
            <w:r w:rsidRPr="003B5669">
              <w:rPr>
                <w:lang w:val="fr-FR"/>
              </w:rPr>
              <w:t>Trame 1</w:t>
            </w:r>
          </w:p>
        </w:tc>
        <w:tc>
          <w:tcPr>
            <w:tcW w:w="1276" w:type="dxa"/>
            <w:tcBorders>
              <w:right w:val="single" w:sz="6" w:space="0" w:color="auto"/>
            </w:tcBorders>
          </w:tcPr>
          <w:p w:rsidR="00A92BFF" w:rsidRPr="003B5669" w:rsidRDefault="00A92BFF" w:rsidP="00CB7F7C">
            <w:pPr>
              <w:pStyle w:val="TableText0"/>
              <w:jc w:val="center"/>
              <w:rPr>
                <w:lang w:val="fr-FR"/>
              </w:rPr>
            </w:pPr>
            <w:r w:rsidRPr="003B5669">
              <w:rPr>
                <w:lang w:val="fr-FR"/>
              </w:rPr>
              <w:t>Début</w:t>
            </w:r>
            <w:r w:rsidRPr="003B5669">
              <w:rPr>
                <w:lang w:val="fr-FR"/>
              </w:rPr>
              <w:br/>
              <w:t xml:space="preserve">(V </w:t>
            </w:r>
            <w:r w:rsidRPr="003B5669">
              <w:rPr>
                <w:rFonts w:ascii="Symbol" w:hAnsi="Symbol"/>
                <w:lang w:val="fr-FR"/>
              </w:rPr>
              <w:t></w:t>
            </w:r>
            <w:r w:rsidRPr="003B5669">
              <w:rPr>
                <w:lang w:val="fr-FR"/>
              </w:rPr>
              <w:t xml:space="preserve"> 1)</w:t>
            </w:r>
          </w:p>
        </w:tc>
        <w:tc>
          <w:tcPr>
            <w:tcW w:w="1985" w:type="dxa"/>
            <w:tcBorders>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Ligne 624</w:t>
            </w:r>
          </w:p>
        </w:tc>
        <w:tc>
          <w:tcPr>
            <w:tcW w:w="1985" w:type="dxa"/>
            <w:tcBorders>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Ligne 1</w:t>
            </w:r>
          </w:p>
        </w:tc>
      </w:tr>
      <w:tr w:rsidR="00A92BFF" w:rsidRPr="003B5669" w:rsidTr="00CB7F7C">
        <w:tblPrEx>
          <w:tblCellMar>
            <w:top w:w="0" w:type="dxa"/>
            <w:bottom w:w="0" w:type="dxa"/>
          </w:tblCellMar>
        </w:tblPrEx>
        <w:trPr>
          <w:cantSplit/>
          <w:jc w:val="center"/>
        </w:trPr>
        <w:tc>
          <w:tcPr>
            <w:tcW w:w="3544" w:type="dxa"/>
            <w:tcBorders>
              <w:left w:val="single" w:sz="6" w:space="0" w:color="auto"/>
            </w:tcBorders>
          </w:tcPr>
          <w:p w:rsidR="00A92BFF" w:rsidRPr="003B5669" w:rsidRDefault="00A92BFF" w:rsidP="00CB7F7C">
            <w:pPr>
              <w:pStyle w:val="TableText0"/>
              <w:jc w:val="center"/>
              <w:rPr>
                <w:lang w:val="fr-FR"/>
              </w:rPr>
            </w:pPr>
          </w:p>
        </w:tc>
        <w:tc>
          <w:tcPr>
            <w:tcW w:w="1276" w:type="dxa"/>
            <w:tcBorders>
              <w:right w:val="single" w:sz="6" w:space="0" w:color="auto"/>
            </w:tcBorders>
          </w:tcPr>
          <w:p w:rsidR="00A92BFF" w:rsidRPr="003B5669" w:rsidRDefault="00A92BFF" w:rsidP="00CB7F7C">
            <w:pPr>
              <w:pStyle w:val="TableText0"/>
              <w:jc w:val="center"/>
              <w:rPr>
                <w:lang w:val="fr-FR"/>
              </w:rPr>
            </w:pPr>
            <w:r w:rsidRPr="003B5669">
              <w:rPr>
                <w:lang w:val="fr-FR"/>
              </w:rPr>
              <w:t>Fin</w:t>
            </w:r>
            <w:r w:rsidRPr="003B5669">
              <w:rPr>
                <w:lang w:val="fr-FR"/>
              </w:rPr>
              <w:br/>
              <w:t xml:space="preserve">(V </w:t>
            </w:r>
            <w:r w:rsidRPr="003B5669">
              <w:rPr>
                <w:rFonts w:ascii="Symbol" w:hAnsi="Symbol"/>
                <w:lang w:val="fr-FR"/>
              </w:rPr>
              <w:t></w:t>
            </w:r>
            <w:r w:rsidRPr="003B5669">
              <w:rPr>
                <w:lang w:val="fr-FR"/>
              </w:rPr>
              <w:t xml:space="preserve"> 0)</w:t>
            </w:r>
          </w:p>
        </w:tc>
        <w:tc>
          <w:tcPr>
            <w:tcW w:w="1985" w:type="dxa"/>
            <w:tcBorders>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Ligne 23</w:t>
            </w:r>
          </w:p>
        </w:tc>
        <w:tc>
          <w:tcPr>
            <w:tcW w:w="1985" w:type="dxa"/>
            <w:tcBorders>
              <w:top w:val="single" w:sz="6" w:space="0" w:color="auto"/>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Ligne 20</w:t>
            </w:r>
          </w:p>
        </w:tc>
      </w:tr>
      <w:tr w:rsidR="00A92BFF" w:rsidRPr="003B5669" w:rsidTr="00CB7F7C">
        <w:tblPrEx>
          <w:tblCellMar>
            <w:top w:w="0" w:type="dxa"/>
            <w:bottom w:w="0" w:type="dxa"/>
          </w:tblCellMar>
        </w:tblPrEx>
        <w:trPr>
          <w:cantSplit/>
          <w:jc w:val="center"/>
        </w:trPr>
        <w:tc>
          <w:tcPr>
            <w:tcW w:w="3544" w:type="dxa"/>
            <w:tcBorders>
              <w:left w:val="single" w:sz="6" w:space="0" w:color="auto"/>
            </w:tcBorders>
          </w:tcPr>
          <w:p w:rsidR="00A92BFF" w:rsidRPr="003B5669" w:rsidRDefault="00A92BFF" w:rsidP="00CB7F7C">
            <w:pPr>
              <w:pStyle w:val="TableText0"/>
              <w:jc w:val="center"/>
              <w:rPr>
                <w:lang w:val="fr-FR"/>
              </w:rPr>
            </w:pPr>
            <w:r w:rsidRPr="003B5669">
              <w:rPr>
                <w:lang w:val="fr-FR"/>
              </w:rPr>
              <w:t>Trame 2</w:t>
            </w:r>
          </w:p>
        </w:tc>
        <w:tc>
          <w:tcPr>
            <w:tcW w:w="1276" w:type="dxa"/>
            <w:tcBorders>
              <w:top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Début</w:t>
            </w:r>
            <w:r w:rsidRPr="003B5669">
              <w:rPr>
                <w:lang w:val="fr-FR"/>
              </w:rPr>
              <w:br/>
              <w:t xml:space="preserve">(V </w:t>
            </w:r>
            <w:r w:rsidRPr="003B5669">
              <w:rPr>
                <w:rFonts w:ascii="Symbol" w:hAnsi="Symbol"/>
                <w:lang w:val="fr-FR"/>
              </w:rPr>
              <w:t></w:t>
            </w:r>
            <w:r w:rsidRPr="003B5669">
              <w:rPr>
                <w:lang w:val="fr-FR"/>
              </w:rPr>
              <w:t xml:space="preserve"> 1)</w:t>
            </w:r>
          </w:p>
        </w:tc>
        <w:tc>
          <w:tcPr>
            <w:tcW w:w="1985" w:type="dxa"/>
            <w:tcBorders>
              <w:top w:val="single" w:sz="6" w:space="0" w:color="auto"/>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Ligne 311</w:t>
            </w:r>
          </w:p>
        </w:tc>
        <w:tc>
          <w:tcPr>
            <w:tcW w:w="1985" w:type="dxa"/>
            <w:tcBorders>
              <w:top w:val="single" w:sz="6" w:space="0" w:color="auto"/>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Ligne 264</w:t>
            </w:r>
          </w:p>
        </w:tc>
      </w:tr>
      <w:tr w:rsidR="00A92BFF" w:rsidRPr="003B5669" w:rsidTr="00CB7F7C">
        <w:tblPrEx>
          <w:tblCellMar>
            <w:top w:w="0" w:type="dxa"/>
            <w:bottom w:w="0" w:type="dxa"/>
          </w:tblCellMar>
        </w:tblPrEx>
        <w:trPr>
          <w:cantSplit/>
          <w:jc w:val="center"/>
        </w:trPr>
        <w:tc>
          <w:tcPr>
            <w:tcW w:w="3544" w:type="dxa"/>
            <w:tcBorders>
              <w:left w:val="single" w:sz="6" w:space="0" w:color="auto"/>
              <w:bottom w:val="single" w:sz="6" w:space="0" w:color="auto"/>
            </w:tcBorders>
          </w:tcPr>
          <w:p w:rsidR="00A92BFF" w:rsidRPr="003B5669" w:rsidRDefault="00A92BFF" w:rsidP="00CB7F7C">
            <w:pPr>
              <w:pStyle w:val="TableText0"/>
              <w:jc w:val="center"/>
              <w:rPr>
                <w:lang w:val="fr-FR"/>
              </w:rPr>
            </w:pPr>
          </w:p>
        </w:tc>
        <w:tc>
          <w:tcPr>
            <w:tcW w:w="1276" w:type="dxa"/>
            <w:tcBorders>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Fin</w:t>
            </w:r>
            <w:r w:rsidRPr="003B5669">
              <w:rPr>
                <w:lang w:val="fr-FR"/>
              </w:rPr>
              <w:br/>
              <w:t xml:space="preserve">(V </w:t>
            </w:r>
            <w:r w:rsidRPr="003B5669">
              <w:rPr>
                <w:rFonts w:ascii="Symbol" w:hAnsi="Symbol"/>
                <w:lang w:val="fr-FR"/>
              </w:rPr>
              <w:t></w:t>
            </w:r>
            <w:r w:rsidRPr="003B5669">
              <w:rPr>
                <w:lang w:val="fr-FR"/>
              </w:rPr>
              <w:t xml:space="preserve"> 0)</w:t>
            </w:r>
          </w:p>
        </w:tc>
        <w:tc>
          <w:tcPr>
            <w:tcW w:w="1985" w:type="dxa"/>
            <w:tcBorders>
              <w:top w:val="single" w:sz="6" w:space="0" w:color="auto"/>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Ligne 336</w:t>
            </w:r>
          </w:p>
        </w:tc>
        <w:tc>
          <w:tcPr>
            <w:tcW w:w="1985" w:type="dxa"/>
            <w:tcBorders>
              <w:top w:val="single" w:sz="6" w:space="0" w:color="auto"/>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Ligne 283</w:t>
            </w:r>
          </w:p>
        </w:tc>
      </w:tr>
      <w:tr w:rsidR="00A92BFF" w:rsidRPr="003B5669" w:rsidTr="00CB7F7C">
        <w:tblPrEx>
          <w:tblCellMar>
            <w:top w:w="0" w:type="dxa"/>
            <w:bottom w:w="0" w:type="dxa"/>
          </w:tblCellMar>
        </w:tblPrEx>
        <w:trPr>
          <w:cantSplit/>
          <w:jc w:val="center"/>
        </w:trPr>
        <w:tc>
          <w:tcPr>
            <w:tcW w:w="4820" w:type="dxa"/>
            <w:gridSpan w:val="2"/>
            <w:tcBorders>
              <w:top w:val="single" w:sz="6" w:space="0" w:color="auto"/>
              <w:left w:val="single" w:sz="6" w:space="0" w:color="auto"/>
              <w:right w:val="single" w:sz="6" w:space="0" w:color="auto"/>
            </w:tcBorders>
          </w:tcPr>
          <w:p w:rsidR="00A92BFF" w:rsidRPr="003B5669" w:rsidRDefault="00A92BFF" w:rsidP="00CB7F7C">
            <w:pPr>
              <w:pStyle w:val="TableText0"/>
              <w:rPr>
                <w:lang w:val="fr-FR"/>
              </w:rPr>
            </w:pPr>
            <w:r w:rsidRPr="003B5669">
              <w:rPr>
                <w:lang w:val="fr-FR"/>
              </w:rPr>
              <w:t>F-Identification de trame numérique</w:t>
            </w:r>
          </w:p>
        </w:tc>
        <w:tc>
          <w:tcPr>
            <w:tcW w:w="1985" w:type="dxa"/>
            <w:tcBorders>
              <w:top w:val="single" w:sz="6" w:space="0" w:color="auto"/>
              <w:left w:val="single" w:sz="6" w:space="0" w:color="auto"/>
              <w:right w:val="single" w:sz="6" w:space="0" w:color="auto"/>
            </w:tcBorders>
          </w:tcPr>
          <w:p w:rsidR="00A92BFF" w:rsidRPr="003B5669" w:rsidRDefault="00A92BFF" w:rsidP="00CB7F7C">
            <w:pPr>
              <w:pStyle w:val="TableText0"/>
              <w:rPr>
                <w:lang w:val="fr-FR"/>
              </w:rPr>
            </w:pPr>
          </w:p>
        </w:tc>
        <w:tc>
          <w:tcPr>
            <w:tcW w:w="1985" w:type="dxa"/>
            <w:tcBorders>
              <w:top w:val="single" w:sz="6" w:space="0" w:color="auto"/>
              <w:right w:val="single" w:sz="6" w:space="0" w:color="auto"/>
            </w:tcBorders>
          </w:tcPr>
          <w:p w:rsidR="00A92BFF" w:rsidRPr="003B5669" w:rsidRDefault="00A92BFF" w:rsidP="00CB7F7C">
            <w:pPr>
              <w:pStyle w:val="TableText0"/>
              <w:rPr>
                <w:lang w:val="fr-FR"/>
              </w:rPr>
            </w:pPr>
          </w:p>
        </w:tc>
      </w:tr>
      <w:tr w:rsidR="00A92BFF" w:rsidRPr="003B5669" w:rsidTr="00CB7F7C">
        <w:tblPrEx>
          <w:tblCellMar>
            <w:top w:w="0" w:type="dxa"/>
            <w:bottom w:w="0" w:type="dxa"/>
          </w:tblCellMar>
        </w:tblPrEx>
        <w:trPr>
          <w:cantSplit/>
          <w:jc w:val="center"/>
        </w:trPr>
        <w:tc>
          <w:tcPr>
            <w:tcW w:w="3544" w:type="dxa"/>
            <w:tcBorders>
              <w:left w:val="single" w:sz="6" w:space="0" w:color="auto"/>
            </w:tcBorders>
          </w:tcPr>
          <w:p w:rsidR="00A92BFF" w:rsidRPr="003B5669" w:rsidRDefault="00A92BFF" w:rsidP="00CB7F7C">
            <w:pPr>
              <w:pStyle w:val="TableText0"/>
              <w:jc w:val="center"/>
              <w:rPr>
                <w:lang w:val="fr-FR"/>
              </w:rPr>
            </w:pPr>
            <w:r w:rsidRPr="003B5669">
              <w:rPr>
                <w:lang w:val="fr-FR"/>
              </w:rPr>
              <w:t>Trame 1</w:t>
            </w:r>
          </w:p>
        </w:tc>
        <w:tc>
          <w:tcPr>
            <w:tcW w:w="1276" w:type="dxa"/>
            <w:tcBorders>
              <w:right w:val="single" w:sz="6" w:space="0" w:color="auto"/>
            </w:tcBorders>
          </w:tcPr>
          <w:p w:rsidR="00A92BFF" w:rsidRPr="003B5669" w:rsidRDefault="00A92BFF" w:rsidP="00CB7F7C">
            <w:pPr>
              <w:pStyle w:val="TableText0"/>
              <w:jc w:val="center"/>
              <w:rPr>
                <w:lang w:val="fr-FR"/>
              </w:rPr>
            </w:pPr>
            <w:r w:rsidRPr="003B5669">
              <w:rPr>
                <w:lang w:val="fr-FR"/>
              </w:rPr>
              <w:t xml:space="preserve">F </w:t>
            </w:r>
            <w:r w:rsidRPr="003B5669">
              <w:rPr>
                <w:rFonts w:ascii="Symbol" w:hAnsi="Symbol"/>
                <w:lang w:val="fr-FR"/>
              </w:rPr>
              <w:t></w:t>
            </w:r>
            <w:r w:rsidRPr="003B5669">
              <w:rPr>
                <w:lang w:val="fr-FR"/>
              </w:rPr>
              <w:t xml:space="preserve"> 0</w:t>
            </w:r>
          </w:p>
        </w:tc>
        <w:tc>
          <w:tcPr>
            <w:tcW w:w="1985" w:type="dxa"/>
            <w:tcBorders>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Ligne 1</w:t>
            </w:r>
          </w:p>
        </w:tc>
        <w:tc>
          <w:tcPr>
            <w:tcW w:w="1985" w:type="dxa"/>
            <w:tcBorders>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Ligne 4</w:t>
            </w:r>
          </w:p>
        </w:tc>
      </w:tr>
      <w:tr w:rsidR="00A92BFF" w:rsidRPr="003B5669" w:rsidTr="00CB7F7C">
        <w:tblPrEx>
          <w:tblCellMar>
            <w:top w:w="0" w:type="dxa"/>
            <w:bottom w:w="0" w:type="dxa"/>
          </w:tblCellMar>
        </w:tblPrEx>
        <w:trPr>
          <w:cantSplit/>
          <w:jc w:val="center"/>
        </w:trPr>
        <w:tc>
          <w:tcPr>
            <w:tcW w:w="3544" w:type="dxa"/>
            <w:tcBorders>
              <w:left w:val="single" w:sz="6" w:space="0" w:color="auto"/>
            </w:tcBorders>
          </w:tcPr>
          <w:p w:rsidR="00A92BFF" w:rsidRPr="003B5669" w:rsidRDefault="00A92BFF" w:rsidP="00CB7F7C">
            <w:pPr>
              <w:pStyle w:val="TableText0"/>
              <w:jc w:val="center"/>
              <w:rPr>
                <w:lang w:val="fr-FR"/>
              </w:rPr>
            </w:pPr>
            <w:r w:rsidRPr="003B5669">
              <w:rPr>
                <w:lang w:val="fr-FR"/>
              </w:rPr>
              <w:t>Trame 2</w:t>
            </w:r>
          </w:p>
        </w:tc>
        <w:tc>
          <w:tcPr>
            <w:tcW w:w="1276" w:type="dxa"/>
            <w:tcBorders>
              <w:right w:val="single" w:sz="6" w:space="0" w:color="auto"/>
            </w:tcBorders>
          </w:tcPr>
          <w:p w:rsidR="00A92BFF" w:rsidRPr="003B5669" w:rsidRDefault="00A92BFF" w:rsidP="00CB7F7C">
            <w:pPr>
              <w:pStyle w:val="TableText0"/>
              <w:jc w:val="center"/>
              <w:rPr>
                <w:lang w:val="fr-FR"/>
              </w:rPr>
            </w:pPr>
            <w:r w:rsidRPr="003B5669">
              <w:rPr>
                <w:lang w:val="fr-FR"/>
              </w:rPr>
              <w:t xml:space="preserve">F </w:t>
            </w:r>
            <w:r w:rsidRPr="003B5669">
              <w:rPr>
                <w:rFonts w:ascii="Symbol" w:hAnsi="Symbol"/>
                <w:lang w:val="fr-FR"/>
              </w:rPr>
              <w:t></w:t>
            </w:r>
            <w:r w:rsidRPr="003B5669">
              <w:rPr>
                <w:lang w:val="fr-FR"/>
              </w:rPr>
              <w:t xml:space="preserve"> 1</w:t>
            </w:r>
          </w:p>
        </w:tc>
        <w:tc>
          <w:tcPr>
            <w:tcW w:w="1985" w:type="dxa"/>
            <w:tcBorders>
              <w:top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Ligne 313</w:t>
            </w:r>
          </w:p>
        </w:tc>
        <w:tc>
          <w:tcPr>
            <w:tcW w:w="1985" w:type="dxa"/>
            <w:tcBorders>
              <w:top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Ligne 266</w:t>
            </w:r>
          </w:p>
        </w:tc>
      </w:tr>
      <w:tr w:rsidR="00A92BFF" w:rsidRPr="003B5669" w:rsidTr="00CB7F7C">
        <w:tblPrEx>
          <w:tblCellMar>
            <w:top w:w="0" w:type="dxa"/>
            <w:bottom w:w="0" w:type="dxa"/>
          </w:tblCellMar>
        </w:tblPrEx>
        <w:trPr>
          <w:cantSplit/>
          <w:jc w:val="center"/>
        </w:trPr>
        <w:tc>
          <w:tcPr>
            <w:tcW w:w="8790" w:type="dxa"/>
            <w:gridSpan w:val="4"/>
            <w:tcBorders>
              <w:top w:val="single" w:sz="6" w:space="0" w:color="auto"/>
            </w:tcBorders>
          </w:tcPr>
          <w:p w:rsidR="00A92BFF" w:rsidRPr="00A92BFF" w:rsidRDefault="00A92BFF" w:rsidP="00CB7F7C">
            <w:pPr>
              <w:pStyle w:val="TableLegendNote"/>
              <w:rPr>
                <w:sz w:val="18"/>
                <w:szCs w:val="18"/>
                <w:lang w:val="fr-CH"/>
              </w:rPr>
            </w:pPr>
            <w:r w:rsidRPr="00A92BFF">
              <w:rPr>
                <w:sz w:val="18"/>
                <w:szCs w:val="18"/>
                <w:lang w:val="fr-CH"/>
              </w:rPr>
              <w:t>NOTE 1 – L'état des signaux F et V se modifie en synchronisme avec la séquence de référence temporelle de fin de la ligne vidéo active au début de la ligne numérique.</w:t>
            </w:r>
          </w:p>
          <w:p w:rsidR="00A92BFF" w:rsidRPr="00A92BFF" w:rsidRDefault="00A92BFF" w:rsidP="00CB7F7C">
            <w:pPr>
              <w:pStyle w:val="TableLegendNote"/>
              <w:rPr>
                <w:sz w:val="18"/>
                <w:szCs w:val="18"/>
                <w:lang w:val="fr-CH"/>
              </w:rPr>
            </w:pPr>
            <w:r w:rsidRPr="00A92BFF">
              <w:rPr>
                <w:sz w:val="18"/>
                <w:szCs w:val="18"/>
                <w:lang w:val="fr-CH"/>
              </w:rPr>
              <w:t>NOTE 2 – La définition des numéros de ligne est donnée dans la Recommandation UIT</w:t>
            </w:r>
            <w:r w:rsidRPr="00A92BFF">
              <w:rPr>
                <w:sz w:val="18"/>
                <w:szCs w:val="18"/>
                <w:lang w:val="fr-CH"/>
              </w:rPr>
              <w:noBreakHyphen/>
              <w:t>R BT.1700. On notera que le numéro de ligne numérique change avant O</w:t>
            </w:r>
            <w:r w:rsidRPr="00A92BFF">
              <w:rPr>
                <w:sz w:val="18"/>
                <w:szCs w:val="18"/>
                <w:vertAlign w:val="subscript"/>
                <w:lang w:val="fr-CH"/>
              </w:rPr>
              <w:t>H</w:t>
            </w:r>
            <w:r w:rsidRPr="00A92BFF">
              <w:rPr>
                <w:sz w:val="18"/>
                <w:szCs w:val="18"/>
                <w:lang w:val="fr-CH"/>
              </w:rPr>
              <w:t xml:space="preserve"> comme décrit dans la Recommandation UIT-R BT.601.</w:t>
            </w:r>
          </w:p>
          <w:p w:rsidR="00A92BFF" w:rsidRPr="00A92BFF" w:rsidRDefault="00A92BFF" w:rsidP="00CB7F7C">
            <w:pPr>
              <w:pStyle w:val="TableLegendNote"/>
              <w:rPr>
                <w:lang w:val="fr-CH"/>
              </w:rPr>
            </w:pPr>
            <w:r w:rsidRPr="00A92BFF">
              <w:rPr>
                <w:sz w:val="18"/>
                <w:szCs w:val="18"/>
                <w:lang w:val="fr-CH"/>
              </w:rPr>
              <w:t>NOTE 3 – Les concepteurs devraient être conscients du fait que le passage de «1» à «0» du bit V n'intervient pas nécessairement sur la ligne 20 (283) dans certains équipements conformes à des versions précédentes de la présente Recommandation par des signaux 525 lignes.</w:t>
            </w:r>
          </w:p>
        </w:tc>
      </w:tr>
    </w:tbl>
    <w:p w:rsidR="00A92BFF" w:rsidRPr="003B5669" w:rsidRDefault="00A92BFF" w:rsidP="00A92BFF">
      <w:pPr>
        <w:pStyle w:val="Tablefin"/>
        <w:rPr>
          <w:lang w:val="fr-FR"/>
        </w:rPr>
      </w:pPr>
    </w:p>
    <w:p w:rsidR="00A92BFF" w:rsidRPr="003B5669" w:rsidRDefault="00A92BFF" w:rsidP="00A92BFF">
      <w:pPr>
        <w:pStyle w:val="Heading2"/>
      </w:pPr>
      <w:r w:rsidRPr="003B5669">
        <w:t>2.2</w:t>
      </w:r>
      <w:r w:rsidRPr="003B5669">
        <w:tab/>
        <w:t>Format de données vidéo</w:t>
      </w:r>
    </w:p>
    <w:p w:rsidR="00A92BFF" w:rsidRPr="003B5669" w:rsidRDefault="00A92BFF" w:rsidP="00A92BFF">
      <w:r w:rsidRPr="003B5669">
        <w:t>Les mots de données où les huit bits de plus fort poids sont mis tous à «1» ou tous à «0» sont réservés à l'identification des données et on ne peut donc se servir que de 254 des 256 mots de 8 bits possibles (ou 1</w:t>
      </w:r>
      <w:r w:rsidRPr="003B5669">
        <w:rPr>
          <w:sz w:val="12"/>
        </w:rPr>
        <w:t> </w:t>
      </w:r>
      <w:r w:rsidRPr="003B5669">
        <w:t>016 des 1</w:t>
      </w:r>
      <w:r w:rsidRPr="003B5669">
        <w:rPr>
          <w:sz w:val="12"/>
        </w:rPr>
        <w:t> </w:t>
      </w:r>
      <w:r w:rsidRPr="003B5669">
        <w:t>024 mots de dix bits possibles) pour exprimer une valeur du signal.</w:t>
      </w:r>
    </w:p>
    <w:p w:rsidR="00A92BFF" w:rsidRPr="003B5669" w:rsidRDefault="00A92BFF" w:rsidP="00A92BFF">
      <w:r w:rsidRPr="003B5669">
        <w:t>Les mots de données vidéo sont multiplexés à 27 Mmot/s, dans l'ordre suivant:</w:t>
      </w:r>
    </w:p>
    <w:p w:rsidR="00A92BFF" w:rsidRPr="00A92BFF" w:rsidRDefault="00A92BFF" w:rsidP="00A92BFF">
      <w:pPr>
        <w:pStyle w:val="Equation"/>
        <w:rPr>
          <w:lang w:val="es-ES_tradnl"/>
        </w:rPr>
      </w:pPr>
      <w:bookmarkStart w:id="4" w:name="F001"/>
      <w:r w:rsidRPr="003B5669">
        <w:rPr>
          <w:i/>
        </w:rPr>
        <w:tab/>
      </w:r>
      <w:r w:rsidRPr="003B5669">
        <w:rPr>
          <w:i/>
        </w:rPr>
        <w:tab/>
      </w:r>
      <w:r w:rsidRPr="00A92BFF">
        <w:rPr>
          <w:i/>
          <w:lang w:val="es-ES_tradnl"/>
        </w:rPr>
        <w:t>C</w:t>
      </w:r>
      <w:r w:rsidRPr="00A92BFF">
        <w:rPr>
          <w:i/>
          <w:position w:val="-4"/>
          <w:sz w:val="16"/>
          <w:lang w:val="es-ES_tradnl"/>
        </w:rPr>
        <w:t>B</w:t>
      </w:r>
      <w:r w:rsidRPr="00A92BFF">
        <w:rPr>
          <w:lang w:val="es-ES_tradnl"/>
        </w:rPr>
        <w:t xml:space="preserve">, </w:t>
      </w:r>
      <w:r w:rsidRPr="00A92BFF">
        <w:rPr>
          <w:i/>
          <w:lang w:val="es-ES_tradnl"/>
        </w:rPr>
        <w:t>Y</w:t>
      </w:r>
      <w:r w:rsidRPr="00A92BFF">
        <w:rPr>
          <w:lang w:val="es-ES_tradnl"/>
        </w:rPr>
        <w:t xml:space="preserve">, </w:t>
      </w:r>
      <w:r w:rsidRPr="00A92BFF">
        <w:rPr>
          <w:i/>
          <w:lang w:val="es-ES_tradnl"/>
        </w:rPr>
        <w:t>C</w:t>
      </w:r>
      <w:r w:rsidRPr="00A92BFF">
        <w:rPr>
          <w:i/>
          <w:position w:val="-4"/>
          <w:sz w:val="16"/>
          <w:lang w:val="es-ES_tradnl"/>
        </w:rPr>
        <w:t>R</w:t>
      </w:r>
      <w:r w:rsidRPr="00A92BFF">
        <w:rPr>
          <w:lang w:val="es-ES_tradnl"/>
        </w:rPr>
        <w:t xml:space="preserve">, </w:t>
      </w:r>
      <w:r w:rsidRPr="00A92BFF">
        <w:rPr>
          <w:i/>
          <w:lang w:val="es-ES_tradnl"/>
        </w:rPr>
        <w:t>Y</w:t>
      </w:r>
      <w:r w:rsidRPr="00A92BFF">
        <w:rPr>
          <w:lang w:val="es-ES_tradnl"/>
        </w:rPr>
        <w:t xml:space="preserve">, </w:t>
      </w:r>
      <w:r w:rsidRPr="00A92BFF">
        <w:rPr>
          <w:i/>
          <w:lang w:val="es-ES_tradnl"/>
        </w:rPr>
        <w:t>C</w:t>
      </w:r>
      <w:r w:rsidRPr="00A92BFF">
        <w:rPr>
          <w:i/>
          <w:position w:val="-4"/>
          <w:sz w:val="16"/>
          <w:lang w:val="es-ES_tradnl"/>
        </w:rPr>
        <w:t>B</w:t>
      </w:r>
      <w:r w:rsidRPr="00A92BFF">
        <w:rPr>
          <w:lang w:val="es-ES_tradnl"/>
        </w:rPr>
        <w:t xml:space="preserve">, </w:t>
      </w:r>
      <w:r w:rsidRPr="00A92BFF">
        <w:rPr>
          <w:i/>
          <w:lang w:val="es-ES_tradnl"/>
        </w:rPr>
        <w:t>Y</w:t>
      </w:r>
      <w:r w:rsidRPr="00A92BFF">
        <w:rPr>
          <w:lang w:val="es-ES_tradnl"/>
        </w:rPr>
        <w:t xml:space="preserve">, </w:t>
      </w:r>
      <w:r w:rsidRPr="00A92BFF">
        <w:rPr>
          <w:i/>
          <w:lang w:val="es-ES_tradnl"/>
        </w:rPr>
        <w:t>C</w:t>
      </w:r>
      <w:r w:rsidRPr="00A92BFF">
        <w:rPr>
          <w:i/>
          <w:position w:val="-4"/>
          <w:sz w:val="16"/>
          <w:lang w:val="es-ES_tradnl"/>
        </w:rPr>
        <w:t>R</w:t>
      </w:r>
      <w:r w:rsidRPr="00A92BFF">
        <w:rPr>
          <w:lang w:val="es-ES_tradnl"/>
        </w:rPr>
        <w:t>, etc.</w:t>
      </w:r>
      <w:bookmarkEnd w:id="4"/>
    </w:p>
    <w:p w:rsidR="00A92BFF" w:rsidRPr="003B5669" w:rsidRDefault="00A92BFF" w:rsidP="00A92BFF">
      <w:r w:rsidRPr="003B5669">
        <w:t xml:space="preserve">où la séquence de mots </w:t>
      </w:r>
      <w:r w:rsidRPr="003B5669">
        <w:rPr>
          <w:i/>
        </w:rPr>
        <w:t>C</w:t>
      </w:r>
      <w:r w:rsidRPr="003B5669">
        <w:rPr>
          <w:i/>
          <w:vertAlign w:val="subscript"/>
        </w:rPr>
        <w:t>B</w:t>
      </w:r>
      <w:r w:rsidRPr="003B5669">
        <w:t xml:space="preserve">, </w:t>
      </w:r>
      <w:r w:rsidRPr="003B5669">
        <w:rPr>
          <w:i/>
        </w:rPr>
        <w:t>Y</w:t>
      </w:r>
      <w:r w:rsidRPr="003B5669">
        <w:t xml:space="preserve">, </w:t>
      </w:r>
      <w:r w:rsidRPr="003B5669">
        <w:rPr>
          <w:i/>
        </w:rPr>
        <w:t>C</w:t>
      </w:r>
      <w:r w:rsidRPr="003B5669">
        <w:rPr>
          <w:i/>
          <w:vertAlign w:val="subscript"/>
        </w:rPr>
        <w:t>R</w:t>
      </w:r>
      <w:r w:rsidRPr="003B5669">
        <w:t xml:space="preserve"> se rapporte à des échantillons coïncidents de luminance et de différence de couleur, tandis que le mot </w:t>
      </w:r>
      <w:r w:rsidRPr="003B5669">
        <w:rPr>
          <w:i/>
        </w:rPr>
        <w:t>Y</w:t>
      </w:r>
      <w:r w:rsidRPr="003B5669">
        <w:t xml:space="preserve"> qui suit, correspond à l'échantillon de luminance suivant.</w:t>
      </w:r>
    </w:p>
    <w:p w:rsidR="00A92BFF" w:rsidRPr="003B5669" w:rsidRDefault="00A92BFF" w:rsidP="00A92BFF">
      <w:pPr>
        <w:pStyle w:val="Heading2"/>
      </w:pPr>
      <w:r w:rsidRPr="003B5669">
        <w:t>2.3</w:t>
      </w:r>
      <w:r w:rsidRPr="003B5669">
        <w:tab/>
        <w:t>Structure du signal d'interface</w:t>
      </w:r>
    </w:p>
    <w:p w:rsidR="00A92BFF" w:rsidRPr="003B5669" w:rsidRDefault="00A92BFF" w:rsidP="00A92BFF">
      <w:r w:rsidRPr="003B5669">
        <w:t>La Fig. 1 montre comment les données d'échantillons vidéo sont incorporées dans le train de données de l'interface. Sur cette Figure, l'identification des échantillons est conforme à la Recommandation UIT-R BT.601.</w:t>
      </w:r>
    </w:p>
    <w:p w:rsidR="00A92BFF" w:rsidRPr="003B5669" w:rsidRDefault="00A92BFF" w:rsidP="00A92BFF">
      <w:pPr>
        <w:pStyle w:val="Heading2"/>
      </w:pPr>
      <w:r w:rsidRPr="003B5669">
        <w:t>2.4</w:t>
      </w:r>
      <w:r w:rsidRPr="003B5669">
        <w:tab/>
        <w:t>Séquences de référence temporelle vidéo (SAV, EAV)</w:t>
      </w:r>
    </w:p>
    <w:p w:rsidR="00A92BFF" w:rsidRPr="003B5669" w:rsidRDefault="00A92BFF" w:rsidP="00A92BFF">
      <w:r w:rsidRPr="003B5669">
        <w:t>Il existe deux séquences de référence temporelle, l'une au début de chaque bloc de données vidéo (SAV, au début de la ligne vidéo active), l'autre à la fin de chaque bloc de données vidéo (EAV, fin de la ligne vidéo active) ainsi que le montre la Fig. 1.</w:t>
      </w:r>
    </w:p>
    <w:bookmarkStart w:id="5" w:name="_GoBack"/>
    <w:p w:rsidR="00A92BFF" w:rsidRPr="003B5669" w:rsidRDefault="004C0365" w:rsidP="004C0365">
      <w:pPr>
        <w:pStyle w:val="FigureNo"/>
      </w:pPr>
      <w:r>
        <w:object w:dxaOrig="8722" w:dyaOrig="10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36.2pt;height:534.6pt" o:ole="">
            <v:imagedata r:id="rId13" o:title=""/>
          </v:shape>
          <o:OLEObject Type="Embed" ProgID="CorelDRAW.Graphic.14" ShapeID="_x0000_i1037" DrawAspect="Content" ObjectID="_1359984400" r:id="rId14"/>
        </w:object>
      </w:r>
      <w:bookmarkEnd w:id="5"/>
    </w:p>
    <w:p w:rsidR="00A92BFF" w:rsidRPr="003B5669" w:rsidRDefault="00A92BFF" w:rsidP="00A92BFF">
      <w:pPr>
        <w:pStyle w:val="Normalaftertitle"/>
      </w:pPr>
      <w:r w:rsidRPr="003B5669">
        <w:t>Chaque séquence de référence temporelle se compose d'une suite de quatre mots ayant le format: 3FF 000 000 XYZ. (Les grandeurs sont exprimées en notation hexadécimale. L'utilisation des codes 3FF 000 est réservée aux séquences de référence temporelle.) Les trois premiers mots constituent un préambule fixe. Le quatrième mot contient les informations concernant l'identification de la trame 2, l'état de la période de suppression trame et l'état de la période de suppression ligne. Le Tableau 2 explique l'affectation des bits de ces mots dans la séquence de référence temporelle.</w:t>
      </w:r>
    </w:p>
    <w:p w:rsidR="00A92BFF" w:rsidRPr="003B5669" w:rsidRDefault="00A92BFF" w:rsidP="00A92BFF">
      <w:pPr>
        <w:pStyle w:val="TableNo"/>
      </w:pPr>
      <w:r w:rsidRPr="003B5669">
        <w:lastRenderedPageBreak/>
        <w:t>TABLEAU  2</w:t>
      </w:r>
    </w:p>
    <w:p w:rsidR="00A92BFF" w:rsidRPr="003B5669" w:rsidRDefault="00A92BFF" w:rsidP="00A92BFF">
      <w:pPr>
        <w:pStyle w:val="Tabletitle"/>
      </w:pPr>
      <w:r w:rsidRPr="003B5669">
        <w:t>Séquence de référence temporelle vidéo</w:t>
      </w:r>
    </w:p>
    <w:tbl>
      <w:tblPr>
        <w:tblW w:w="8505" w:type="dxa"/>
        <w:jc w:val="center"/>
        <w:tblLayout w:type="fixed"/>
        <w:tblLook w:val="0000" w:firstRow="0" w:lastRow="0" w:firstColumn="0" w:lastColumn="0" w:noHBand="0" w:noVBand="0"/>
      </w:tblPr>
      <w:tblGrid>
        <w:gridCol w:w="1701"/>
        <w:gridCol w:w="1701"/>
        <w:gridCol w:w="1701"/>
        <w:gridCol w:w="1701"/>
        <w:gridCol w:w="1701"/>
      </w:tblGrid>
      <w:tr w:rsidR="00A92BFF" w:rsidRPr="003B5669" w:rsidTr="00CB7F7C">
        <w:tblPrEx>
          <w:tblCellMar>
            <w:top w:w="0" w:type="dxa"/>
            <w:bottom w:w="0" w:type="dxa"/>
          </w:tblCellMar>
        </w:tblPrEx>
        <w:trPr>
          <w:cantSplit/>
          <w:jc w:val="center"/>
        </w:trPr>
        <w:tc>
          <w:tcPr>
            <w:tcW w:w="1418" w:type="dxa"/>
            <w:tcBorders>
              <w:top w:val="single" w:sz="6" w:space="0" w:color="auto"/>
              <w:left w:val="single" w:sz="6" w:space="0" w:color="auto"/>
              <w:bottom w:val="single" w:sz="6" w:space="0" w:color="auto"/>
            </w:tcBorders>
          </w:tcPr>
          <w:p w:rsidR="00A92BFF" w:rsidRPr="003B5669" w:rsidRDefault="00A92BFF" w:rsidP="00CB7F7C">
            <w:pPr>
              <w:pStyle w:val="Tablehead"/>
              <w:rPr>
                <w:b w:val="0"/>
                <w:bCs/>
                <w:sz w:val="18"/>
                <w:szCs w:val="18"/>
              </w:rPr>
            </w:pPr>
            <w:r w:rsidRPr="003B5669">
              <w:rPr>
                <w:b w:val="0"/>
                <w:bCs/>
                <w:sz w:val="18"/>
                <w:szCs w:val="18"/>
              </w:rPr>
              <w:t>Numéro</w:t>
            </w:r>
            <w:r w:rsidRPr="003B5669">
              <w:rPr>
                <w:b w:val="0"/>
                <w:bCs/>
                <w:sz w:val="18"/>
                <w:szCs w:val="18"/>
              </w:rPr>
              <w:br/>
              <w:t>du bit</w:t>
            </w:r>
          </w:p>
        </w:tc>
        <w:tc>
          <w:tcPr>
            <w:tcW w:w="1418" w:type="dxa"/>
            <w:tcBorders>
              <w:top w:val="single" w:sz="6" w:space="0" w:color="auto"/>
              <w:left w:val="single" w:sz="6" w:space="0" w:color="auto"/>
              <w:bottom w:val="single" w:sz="6" w:space="0" w:color="auto"/>
              <w:right w:val="single" w:sz="6" w:space="0" w:color="auto"/>
            </w:tcBorders>
          </w:tcPr>
          <w:p w:rsidR="00A92BFF" w:rsidRPr="003B5669" w:rsidRDefault="00A92BFF" w:rsidP="00CB7F7C">
            <w:pPr>
              <w:pStyle w:val="Tablehead"/>
              <w:rPr>
                <w:b w:val="0"/>
                <w:bCs/>
                <w:sz w:val="18"/>
                <w:szCs w:val="18"/>
              </w:rPr>
            </w:pPr>
            <w:r w:rsidRPr="003B5669">
              <w:rPr>
                <w:b w:val="0"/>
                <w:bCs/>
                <w:sz w:val="18"/>
                <w:szCs w:val="18"/>
              </w:rPr>
              <w:t>Premier mot</w:t>
            </w:r>
            <w:r w:rsidRPr="003B5669">
              <w:rPr>
                <w:b w:val="0"/>
                <w:bCs/>
                <w:sz w:val="18"/>
                <w:szCs w:val="18"/>
              </w:rPr>
              <w:br/>
              <w:t>(FF)</w:t>
            </w:r>
          </w:p>
        </w:tc>
        <w:tc>
          <w:tcPr>
            <w:tcW w:w="1418" w:type="dxa"/>
            <w:tcBorders>
              <w:top w:val="single" w:sz="6" w:space="0" w:color="auto"/>
              <w:bottom w:val="single" w:sz="6" w:space="0" w:color="auto"/>
              <w:right w:val="single" w:sz="6" w:space="0" w:color="auto"/>
            </w:tcBorders>
          </w:tcPr>
          <w:p w:rsidR="00A92BFF" w:rsidRPr="003B5669" w:rsidRDefault="00A92BFF" w:rsidP="00CB7F7C">
            <w:pPr>
              <w:pStyle w:val="Tablehead"/>
              <w:rPr>
                <w:b w:val="0"/>
                <w:bCs/>
                <w:sz w:val="18"/>
                <w:szCs w:val="18"/>
              </w:rPr>
            </w:pPr>
            <w:r w:rsidRPr="003B5669">
              <w:rPr>
                <w:b w:val="0"/>
                <w:bCs/>
                <w:sz w:val="18"/>
                <w:szCs w:val="18"/>
              </w:rPr>
              <w:t>Deuxième mot</w:t>
            </w:r>
            <w:r w:rsidRPr="003B5669">
              <w:rPr>
                <w:b w:val="0"/>
                <w:bCs/>
                <w:sz w:val="18"/>
                <w:szCs w:val="18"/>
              </w:rPr>
              <w:br/>
              <w:t>(00)</w:t>
            </w:r>
          </w:p>
        </w:tc>
        <w:tc>
          <w:tcPr>
            <w:tcW w:w="1418" w:type="dxa"/>
            <w:tcBorders>
              <w:top w:val="single" w:sz="6" w:space="0" w:color="auto"/>
              <w:bottom w:val="single" w:sz="6" w:space="0" w:color="auto"/>
              <w:right w:val="single" w:sz="6" w:space="0" w:color="auto"/>
            </w:tcBorders>
          </w:tcPr>
          <w:p w:rsidR="00A92BFF" w:rsidRPr="003B5669" w:rsidRDefault="00A92BFF" w:rsidP="00CB7F7C">
            <w:pPr>
              <w:pStyle w:val="Tablehead"/>
              <w:rPr>
                <w:b w:val="0"/>
                <w:bCs/>
                <w:sz w:val="18"/>
                <w:szCs w:val="18"/>
              </w:rPr>
            </w:pPr>
            <w:r w:rsidRPr="003B5669">
              <w:rPr>
                <w:b w:val="0"/>
                <w:bCs/>
                <w:sz w:val="18"/>
                <w:szCs w:val="18"/>
              </w:rPr>
              <w:t>Troisième mot</w:t>
            </w:r>
            <w:r w:rsidRPr="003B5669">
              <w:rPr>
                <w:b w:val="0"/>
                <w:bCs/>
                <w:sz w:val="18"/>
                <w:szCs w:val="18"/>
              </w:rPr>
              <w:br/>
              <w:t>(00)</w:t>
            </w:r>
          </w:p>
        </w:tc>
        <w:tc>
          <w:tcPr>
            <w:tcW w:w="1418" w:type="dxa"/>
            <w:tcBorders>
              <w:top w:val="single" w:sz="6" w:space="0" w:color="auto"/>
              <w:bottom w:val="single" w:sz="6" w:space="0" w:color="auto"/>
              <w:right w:val="single" w:sz="6" w:space="0" w:color="auto"/>
            </w:tcBorders>
          </w:tcPr>
          <w:p w:rsidR="00A92BFF" w:rsidRPr="003B5669" w:rsidRDefault="00A92BFF" w:rsidP="00CB7F7C">
            <w:pPr>
              <w:pStyle w:val="Tablehead"/>
              <w:rPr>
                <w:b w:val="0"/>
                <w:bCs/>
                <w:sz w:val="18"/>
                <w:szCs w:val="18"/>
              </w:rPr>
            </w:pPr>
            <w:r w:rsidRPr="003B5669">
              <w:rPr>
                <w:b w:val="0"/>
                <w:bCs/>
                <w:sz w:val="18"/>
                <w:szCs w:val="18"/>
              </w:rPr>
              <w:t>Quatrième mot</w:t>
            </w:r>
            <w:r w:rsidRPr="003B5669">
              <w:rPr>
                <w:b w:val="0"/>
                <w:bCs/>
                <w:sz w:val="18"/>
                <w:szCs w:val="18"/>
              </w:rPr>
              <w:br/>
              <w:t>(XY)</w:t>
            </w:r>
          </w:p>
        </w:tc>
      </w:tr>
      <w:tr w:rsidR="00A92BFF" w:rsidRPr="003B5669" w:rsidTr="00CB7F7C">
        <w:tblPrEx>
          <w:tblCellMar>
            <w:top w:w="0" w:type="dxa"/>
            <w:bottom w:w="0" w:type="dxa"/>
          </w:tblCellMar>
        </w:tblPrEx>
        <w:trPr>
          <w:cantSplit/>
          <w:jc w:val="center"/>
        </w:trPr>
        <w:tc>
          <w:tcPr>
            <w:tcW w:w="1418" w:type="dxa"/>
            <w:tcBorders>
              <w:top w:val="single" w:sz="6" w:space="0" w:color="auto"/>
              <w:left w:val="single" w:sz="6" w:space="0" w:color="auto"/>
            </w:tcBorders>
          </w:tcPr>
          <w:p w:rsidR="00A92BFF" w:rsidRPr="003B5669" w:rsidRDefault="00A92BFF" w:rsidP="00CB7F7C">
            <w:pPr>
              <w:pStyle w:val="TableText0"/>
              <w:jc w:val="center"/>
              <w:rPr>
                <w:lang w:val="fr-FR"/>
              </w:rPr>
            </w:pPr>
            <w:r w:rsidRPr="003B5669">
              <w:rPr>
                <w:lang w:val="fr-FR"/>
              </w:rPr>
              <w:t>9 (MSB)</w:t>
            </w:r>
          </w:p>
        </w:tc>
        <w:tc>
          <w:tcPr>
            <w:tcW w:w="1418" w:type="dxa"/>
            <w:tcBorders>
              <w:top w:val="single" w:sz="6" w:space="0" w:color="auto"/>
              <w:left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1</w:t>
            </w:r>
          </w:p>
        </w:tc>
        <w:tc>
          <w:tcPr>
            <w:tcW w:w="1418" w:type="dxa"/>
            <w:tcBorders>
              <w:top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top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top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1</w:t>
            </w:r>
          </w:p>
        </w:tc>
      </w:tr>
      <w:tr w:rsidR="00A92BFF" w:rsidRPr="003B5669" w:rsidTr="00CB7F7C">
        <w:tblPrEx>
          <w:tblCellMar>
            <w:top w:w="0" w:type="dxa"/>
            <w:bottom w:w="0" w:type="dxa"/>
          </w:tblCellMar>
        </w:tblPrEx>
        <w:trPr>
          <w:cantSplit/>
          <w:jc w:val="center"/>
        </w:trPr>
        <w:tc>
          <w:tcPr>
            <w:tcW w:w="1418" w:type="dxa"/>
            <w:tcBorders>
              <w:left w:val="single" w:sz="6" w:space="0" w:color="auto"/>
            </w:tcBorders>
          </w:tcPr>
          <w:p w:rsidR="00A92BFF" w:rsidRPr="003B5669" w:rsidRDefault="00A92BFF" w:rsidP="00CB7F7C">
            <w:pPr>
              <w:pStyle w:val="TableText0"/>
              <w:jc w:val="center"/>
              <w:rPr>
                <w:lang w:val="fr-FR"/>
              </w:rPr>
            </w:pPr>
            <w:r w:rsidRPr="003B5669">
              <w:rPr>
                <w:lang w:val="fr-FR"/>
              </w:rPr>
              <w:t>8</w:t>
            </w:r>
          </w:p>
        </w:tc>
        <w:tc>
          <w:tcPr>
            <w:tcW w:w="1418" w:type="dxa"/>
            <w:tcBorders>
              <w:left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1</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F</w:t>
            </w:r>
          </w:p>
        </w:tc>
      </w:tr>
      <w:tr w:rsidR="00A92BFF" w:rsidRPr="003B5669" w:rsidTr="00CB7F7C">
        <w:tblPrEx>
          <w:tblCellMar>
            <w:top w:w="0" w:type="dxa"/>
            <w:bottom w:w="0" w:type="dxa"/>
          </w:tblCellMar>
        </w:tblPrEx>
        <w:trPr>
          <w:cantSplit/>
          <w:jc w:val="center"/>
        </w:trPr>
        <w:tc>
          <w:tcPr>
            <w:tcW w:w="1418" w:type="dxa"/>
            <w:tcBorders>
              <w:left w:val="single" w:sz="6" w:space="0" w:color="auto"/>
            </w:tcBorders>
          </w:tcPr>
          <w:p w:rsidR="00A92BFF" w:rsidRPr="003B5669" w:rsidRDefault="00A92BFF" w:rsidP="00CB7F7C">
            <w:pPr>
              <w:pStyle w:val="TableText0"/>
              <w:jc w:val="center"/>
              <w:rPr>
                <w:lang w:val="fr-FR"/>
              </w:rPr>
            </w:pPr>
            <w:r w:rsidRPr="003B5669">
              <w:rPr>
                <w:lang w:val="fr-FR"/>
              </w:rPr>
              <w:t>7</w:t>
            </w:r>
          </w:p>
        </w:tc>
        <w:tc>
          <w:tcPr>
            <w:tcW w:w="1418" w:type="dxa"/>
            <w:tcBorders>
              <w:left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1</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V</w:t>
            </w:r>
          </w:p>
        </w:tc>
      </w:tr>
      <w:tr w:rsidR="00A92BFF" w:rsidRPr="003B5669" w:rsidTr="00CB7F7C">
        <w:tblPrEx>
          <w:tblCellMar>
            <w:top w:w="0" w:type="dxa"/>
            <w:bottom w:w="0" w:type="dxa"/>
          </w:tblCellMar>
        </w:tblPrEx>
        <w:trPr>
          <w:cantSplit/>
          <w:jc w:val="center"/>
        </w:trPr>
        <w:tc>
          <w:tcPr>
            <w:tcW w:w="1418" w:type="dxa"/>
            <w:tcBorders>
              <w:left w:val="single" w:sz="6" w:space="0" w:color="auto"/>
            </w:tcBorders>
          </w:tcPr>
          <w:p w:rsidR="00A92BFF" w:rsidRPr="003B5669" w:rsidRDefault="00A92BFF" w:rsidP="00CB7F7C">
            <w:pPr>
              <w:pStyle w:val="TableText0"/>
              <w:jc w:val="center"/>
              <w:rPr>
                <w:lang w:val="fr-FR"/>
              </w:rPr>
            </w:pPr>
            <w:r w:rsidRPr="003B5669">
              <w:rPr>
                <w:lang w:val="fr-FR"/>
              </w:rPr>
              <w:t>6</w:t>
            </w:r>
          </w:p>
        </w:tc>
        <w:tc>
          <w:tcPr>
            <w:tcW w:w="1418" w:type="dxa"/>
            <w:tcBorders>
              <w:left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1</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H</w:t>
            </w:r>
          </w:p>
        </w:tc>
      </w:tr>
      <w:tr w:rsidR="00A92BFF" w:rsidRPr="003B5669" w:rsidTr="00CB7F7C">
        <w:tblPrEx>
          <w:tblCellMar>
            <w:top w:w="0" w:type="dxa"/>
            <w:bottom w:w="0" w:type="dxa"/>
          </w:tblCellMar>
        </w:tblPrEx>
        <w:trPr>
          <w:cantSplit/>
          <w:jc w:val="center"/>
        </w:trPr>
        <w:tc>
          <w:tcPr>
            <w:tcW w:w="1418" w:type="dxa"/>
            <w:tcBorders>
              <w:left w:val="single" w:sz="6" w:space="0" w:color="auto"/>
            </w:tcBorders>
          </w:tcPr>
          <w:p w:rsidR="00A92BFF" w:rsidRPr="003B5669" w:rsidRDefault="00A92BFF" w:rsidP="00CB7F7C">
            <w:pPr>
              <w:pStyle w:val="TableText0"/>
              <w:jc w:val="center"/>
              <w:rPr>
                <w:lang w:val="fr-FR"/>
              </w:rPr>
            </w:pPr>
            <w:r w:rsidRPr="003B5669">
              <w:rPr>
                <w:lang w:val="fr-FR"/>
              </w:rPr>
              <w:t>5</w:t>
            </w:r>
          </w:p>
        </w:tc>
        <w:tc>
          <w:tcPr>
            <w:tcW w:w="1418" w:type="dxa"/>
            <w:tcBorders>
              <w:left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1</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P</w:t>
            </w:r>
            <w:r w:rsidRPr="003B5669">
              <w:rPr>
                <w:position w:val="-4"/>
                <w:sz w:val="14"/>
                <w:lang w:val="fr-FR"/>
              </w:rPr>
              <w:t>3</w:t>
            </w:r>
          </w:p>
        </w:tc>
      </w:tr>
      <w:tr w:rsidR="00A92BFF" w:rsidRPr="003B5669" w:rsidTr="00CB7F7C">
        <w:tblPrEx>
          <w:tblCellMar>
            <w:top w:w="0" w:type="dxa"/>
            <w:bottom w:w="0" w:type="dxa"/>
          </w:tblCellMar>
        </w:tblPrEx>
        <w:trPr>
          <w:cantSplit/>
          <w:jc w:val="center"/>
        </w:trPr>
        <w:tc>
          <w:tcPr>
            <w:tcW w:w="1418" w:type="dxa"/>
            <w:tcBorders>
              <w:left w:val="single" w:sz="6" w:space="0" w:color="auto"/>
            </w:tcBorders>
          </w:tcPr>
          <w:p w:rsidR="00A92BFF" w:rsidRPr="003B5669" w:rsidRDefault="00A92BFF" w:rsidP="00CB7F7C">
            <w:pPr>
              <w:pStyle w:val="TableText0"/>
              <w:jc w:val="center"/>
              <w:rPr>
                <w:lang w:val="fr-FR"/>
              </w:rPr>
            </w:pPr>
            <w:r w:rsidRPr="003B5669">
              <w:rPr>
                <w:lang w:val="fr-FR"/>
              </w:rPr>
              <w:t>4</w:t>
            </w:r>
          </w:p>
        </w:tc>
        <w:tc>
          <w:tcPr>
            <w:tcW w:w="1418" w:type="dxa"/>
            <w:tcBorders>
              <w:left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1</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P</w:t>
            </w:r>
            <w:r w:rsidRPr="003B5669">
              <w:rPr>
                <w:position w:val="-4"/>
                <w:sz w:val="14"/>
                <w:lang w:val="fr-FR"/>
              </w:rPr>
              <w:t>2</w:t>
            </w:r>
          </w:p>
        </w:tc>
      </w:tr>
      <w:tr w:rsidR="00A92BFF" w:rsidRPr="003B5669" w:rsidTr="00CB7F7C">
        <w:tblPrEx>
          <w:tblCellMar>
            <w:top w:w="0" w:type="dxa"/>
            <w:bottom w:w="0" w:type="dxa"/>
          </w:tblCellMar>
        </w:tblPrEx>
        <w:trPr>
          <w:cantSplit/>
          <w:jc w:val="center"/>
        </w:trPr>
        <w:tc>
          <w:tcPr>
            <w:tcW w:w="1418" w:type="dxa"/>
            <w:tcBorders>
              <w:left w:val="single" w:sz="6" w:space="0" w:color="auto"/>
            </w:tcBorders>
          </w:tcPr>
          <w:p w:rsidR="00A92BFF" w:rsidRPr="003B5669" w:rsidRDefault="00A92BFF" w:rsidP="00CB7F7C">
            <w:pPr>
              <w:pStyle w:val="TableText0"/>
              <w:jc w:val="center"/>
              <w:rPr>
                <w:lang w:val="fr-FR"/>
              </w:rPr>
            </w:pPr>
            <w:r w:rsidRPr="003B5669">
              <w:rPr>
                <w:lang w:val="fr-FR"/>
              </w:rPr>
              <w:t>3</w:t>
            </w:r>
          </w:p>
        </w:tc>
        <w:tc>
          <w:tcPr>
            <w:tcW w:w="1418" w:type="dxa"/>
            <w:tcBorders>
              <w:left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1</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P</w:t>
            </w:r>
            <w:r w:rsidRPr="003B5669">
              <w:rPr>
                <w:position w:val="-4"/>
                <w:sz w:val="14"/>
                <w:lang w:val="fr-FR"/>
              </w:rPr>
              <w:t>1</w:t>
            </w:r>
          </w:p>
        </w:tc>
      </w:tr>
      <w:tr w:rsidR="00A92BFF" w:rsidRPr="003B5669" w:rsidTr="00CB7F7C">
        <w:tblPrEx>
          <w:tblCellMar>
            <w:top w:w="0" w:type="dxa"/>
            <w:bottom w:w="0" w:type="dxa"/>
          </w:tblCellMar>
        </w:tblPrEx>
        <w:trPr>
          <w:cantSplit/>
          <w:jc w:val="center"/>
        </w:trPr>
        <w:tc>
          <w:tcPr>
            <w:tcW w:w="1418" w:type="dxa"/>
            <w:tcBorders>
              <w:left w:val="single" w:sz="6" w:space="0" w:color="auto"/>
            </w:tcBorders>
          </w:tcPr>
          <w:p w:rsidR="00A92BFF" w:rsidRPr="003B5669" w:rsidRDefault="00A92BFF" w:rsidP="00CB7F7C">
            <w:pPr>
              <w:pStyle w:val="TableText0"/>
              <w:jc w:val="center"/>
              <w:rPr>
                <w:lang w:val="fr-FR"/>
              </w:rPr>
            </w:pPr>
            <w:r w:rsidRPr="003B5669">
              <w:rPr>
                <w:lang w:val="fr-FR"/>
              </w:rPr>
              <w:t>2</w:t>
            </w:r>
          </w:p>
        </w:tc>
        <w:tc>
          <w:tcPr>
            <w:tcW w:w="1418" w:type="dxa"/>
            <w:tcBorders>
              <w:left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1</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P</w:t>
            </w:r>
            <w:r w:rsidRPr="003B5669">
              <w:rPr>
                <w:position w:val="-4"/>
                <w:sz w:val="14"/>
                <w:lang w:val="fr-FR"/>
              </w:rPr>
              <w:t>0</w:t>
            </w:r>
          </w:p>
        </w:tc>
      </w:tr>
      <w:tr w:rsidR="00A92BFF" w:rsidRPr="003B5669" w:rsidTr="00CB7F7C">
        <w:tblPrEx>
          <w:tblCellMar>
            <w:top w:w="0" w:type="dxa"/>
            <w:bottom w:w="0" w:type="dxa"/>
          </w:tblCellMar>
        </w:tblPrEx>
        <w:trPr>
          <w:cantSplit/>
          <w:jc w:val="center"/>
        </w:trPr>
        <w:tc>
          <w:tcPr>
            <w:tcW w:w="1418" w:type="dxa"/>
            <w:tcBorders>
              <w:left w:val="single" w:sz="6" w:space="0" w:color="auto"/>
            </w:tcBorders>
          </w:tcPr>
          <w:p w:rsidR="00A92BFF" w:rsidRPr="003B5669" w:rsidRDefault="00A92BFF" w:rsidP="00CB7F7C">
            <w:pPr>
              <w:pStyle w:val="TableText0"/>
              <w:jc w:val="center"/>
              <w:rPr>
                <w:lang w:val="fr-FR"/>
              </w:rPr>
            </w:pPr>
            <w:r w:rsidRPr="003B5669">
              <w:rPr>
                <w:lang w:val="fr-FR"/>
              </w:rPr>
              <w:t>1 (Note 2)</w:t>
            </w:r>
          </w:p>
        </w:tc>
        <w:tc>
          <w:tcPr>
            <w:tcW w:w="1418" w:type="dxa"/>
            <w:tcBorders>
              <w:left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1</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right w:val="single" w:sz="6" w:space="0" w:color="auto"/>
            </w:tcBorders>
          </w:tcPr>
          <w:p w:rsidR="00A92BFF" w:rsidRPr="003B5669" w:rsidRDefault="00A92BFF" w:rsidP="00CB7F7C">
            <w:pPr>
              <w:pStyle w:val="TableText0"/>
              <w:jc w:val="center"/>
              <w:rPr>
                <w:lang w:val="fr-FR"/>
              </w:rPr>
            </w:pPr>
            <w:r w:rsidRPr="003B5669">
              <w:rPr>
                <w:lang w:val="fr-FR"/>
              </w:rPr>
              <w:t>0</w:t>
            </w:r>
          </w:p>
        </w:tc>
      </w:tr>
      <w:tr w:rsidR="00A92BFF" w:rsidRPr="003B5669" w:rsidTr="00CB7F7C">
        <w:tblPrEx>
          <w:tblCellMar>
            <w:top w:w="0" w:type="dxa"/>
            <w:bottom w:w="0" w:type="dxa"/>
          </w:tblCellMar>
        </w:tblPrEx>
        <w:trPr>
          <w:cantSplit/>
          <w:jc w:val="center"/>
        </w:trPr>
        <w:tc>
          <w:tcPr>
            <w:tcW w:w="1418" w:type="dxa"/>
            <w:tcBorders>
              <w:left w:val="single" w:sz="6" w:space="0" w:color="auto"/>
              <w:bottom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left w:val="single" w:sz="6" w:space="0" w:color="auto"/>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1</w:t>
            </w:r>
          </w:p>
        </w:tc>
        <w:tc>
          <w:tcPr>
            <w:tcW w:w="1418" w:type="dxa"/>
            <w:tcBorders>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0</w:t>
            </w:r>
          </w:p>
        </w:tc>
        <w:tc>
          <w:tcPr>
            <w:tcW w:w="1418" w:type="dxa"/>
            <w:tcBorders>
              <w:bottom w:val="single" w:sz="6" w:space="0" w:color="auto"/>
              <w:right w:val="single" w:sz="6" w:space="0" w:color="auto"/>
            </w:tcBorders>
          </w:tcPr>
          <w:p w:rsidR="00A92BFF" w:rsidRPr="003B5669" w:rsidRDefault="00A92BFF" w:rsidP="00CB7F7C">
            <w:pPr>
              <w:pStyle w:val="TableText0"/>
              <w:jc w:val="center"/>
              <w:rPr>
                <w:lang w:val="fr-FR"/>
              </w:rPr>
            </w:pPr>
            <w:r w:rsidRPr="003B5669">
              <w:rPr>
                <w:lang w:val="fr-FR"/>
              </w:rPr>
              <w:t>0</w:t>
            </w:r>
          </w:p>
        </w:tc>
      </w:tr>
      <w:tr w:rsidR="00A92BFF" w:rsidRPr="003B5669" w:rsidTr="00CB7F7C">
        <w:tblPrEx>
          <w:tblCellMar>
            <w:top w:w="0" w:type="dxa"/>
            <w:bottom w:w="0" w:type="dxa"/>
          </w:tblCellMar>
        </w:tblPrEx>
        <w:trPr>
          <w:cantSplit/>
          <w:jc w:val="center"/>
        </w:trPr>
        <w:tc>
          <w:tcPr>
            <w:tcW w:w="7090" w:type="dxa"/>
            <w:gridSpan w:val="5"/>
          </w:tcPr>
          <w:p w:rsidR="00A92BFF" w:rsidRPr="00A92BFF" w:rsidRDefault="00A92BFF" w:rsidP="00CB7F7C">
            <w:pPr>
              <w:pStyle w:val="TableLegendNote"/>
              <w:rPr>
                <w:sz w:val="18"/>
                <w:szCs w:val="18"/>
                <w:lang w:val="fr-CH"/>
              </w:rPr>
            </w:pPr>
            <w:r w:rsidRPr="00A92BFF">
              <w:rPr>
                <w:sz w:val="18"/>
                <w:szCs w:val="18"/>
                <w:lang w:val="fr-CH"/>
              </w:rPr>
              <w:t>NOTE 1 – Les valeurs indiquées sont celles qui sont recommandées pour l'interface à 10 bits.</w:t>
            </w:r>
          </w:p>
          <w:p w:rsidR="00A92BFF" w:rsidRPr="00A92BFF" w:rsidRDefault="00A92BFF" w:rsidP="00CB7F7C">
            <w:pPr>
              <w:pStyle w:val="TableLegendNote"/>
              <w:rPr>
                <w:sz w:val="18"/>
                <w:szCs w:val="18"/>
                <w:lang w:val="fr-CH"/>
              </w:rPr>
            </w:pPr>
            <w:r w:rsidRPr="00A92BFF">
              <w:rPr>
                <w:sz w:val="18"/>
                <w:szCs w:val="18"/>
                <w:lang w:val="fr-CH"/>
              </w:rPr>
              <w:t>NOTE 2 – Pour assurer la compatibilité avec les interfaces à 8 bits existantes, les valeurs des bits D</w:t>
            </w:r>
            <w:r w:rsidRPr="00A92BFF">
              <w:rPr>
                <w:position w:val="-4"/>
                <w:sz w:val="18"/>
                <w:szCs w:val="18"/>
                <w:lang w:val="fr-CH"/>
              </w:rPr>
              <w:t>1</w:t>
            </w:r>
            <w:r w:rsidRPr="00A92BFF">
              <w:rPr>
                <w:sz w:val="18"/>
                <w:szCs w:val="18"/>
                <w:lang w:val="fr-CH"/>
              </w:rPr>
              <w:t xml:space="preserve"> et D</w:t>
            </w:r>
            <w:r w:rsidRPr="00A92BFF">
              <w:rPr>
                <w:position w:val="-4"/>
                <w:sz w:val="18"/>
                <w:szCs w:val="18"/>
                <w:lang w:val="fr-CH"/>
              </w:rPr>
              <w:t>0</w:t>
            </w:r>
            <w:r w:rsidRPr="00A92BFF">
              <w:rPr>
                <w:sz w:val="18"/>
                <w:szCs w:val="18"/>
                <w:lang w:val="fr-CH"/>
              </w:rPr>
              <w:t xml:space="preserve"> ne sont pas définies.</w:t>
            </w:r>
          </w:p>
          <w:p w:rsidR="00A92BFF" w:rsidRPr="00AB3433" w:rsidRDefault="00A92BFF" w:rsidP="00CB7F7C">
            <w:pPr>
              <w:pStyle w:val="TableLegendNote"/>
              <w:rPr>
                <w:sz w:val="18"/>
                <w:szCs w:val="18"/>
              </w:rPr>
            </w:pPr>
            <w:r w:rsidRPr="00AB3433">
              <w:rPr>
                <w:sz w:val="18"/>
                <w:szCs w:val="18"/>
              </w:rPr>
              <w:fldChar w:fldCharType="begin"/>
            </w:r>
            <w:r w:rsidRPr="00AB3433">
              <w:rPr>
                <w:sz w:val="18"/>
                <w:szCs w:val="18"/>
              </w:rPr>
              <w:instrText>eq F  =  \s(0 pendant la trame 1;1 pendant la trame 2)</w:instrText>
            </w:r>
            <w:r w:rsidRPr="00AB3433">
              <w:rPr>
                <w:sz w:val="18"/>
                <w:szCs w:val="18"/>
              </w:rPr>
              <w:fldChar w:fldCharType="end"/>
            </w:r>
          </w:p>
          <w:p w:rsidR="00A92BFF" w:rsidRPr="00A92BFF" w:rsidRDefault="00A92BFF" w:rsidP="00CB7F7C">
            <w:pPr>
              <w:pStyle w:val="TableLegendNote"/>
              <w:rPr>
                <w:sz w:val="18"/>
                <w:szCs w:val="18"/>
                <w:lang w:val="fr-CH"/>
              </w:rPr>
            </w:pPr>
            <w:r w:rsidRPr="00A92BFF">
              <w:rPr>
                <w:sz w:val="18"/>
                <w:szCs w:val="18"/>
                <w:lang w:val="fr-CH"/>
              </w:rPr>
              <w:t xml:space="preserve">V  =  </w:t>
            </w:r>
            <w:r w:rsidRPr="00AB3433">
              <w:rPr>
                <w:sz w:val="18"/>
                <w:szCs w:val="18"/>
              </w:rPr>
              <w:fldChar w:fldCharType="begin"/>
            </w:r>
            <w:r w:rsidRPr="00A92BFF">
              <w:rPr>
                <w:sz w:val="18"/>
                <w:szCs w:val="18"/>
                <w:lang w:val="fr-CH"/>
              </w:rPr>
              <w:instrText>eq \s(0 en dehors de la suppression de trame;1 pendant la période de suppression de trame)</w:instrText>
            </w:r>
            <w:r w:rsidRPr="00AB3433">
              <w:rPr>
                <w:sz w:val="18"/>
                <w:szCs w:val="18"/>
              </w:rPr>
              <w:fldChar w:fldCharType="end"/>
            </w:r>
          </w:p>
          <w:p w:rsidR="00A92BFF" w:rsidRPr="00A92BFF" w:rsidRDefault="00A92BFF" w:rsidP="00CB7F7C">
            <w:pPr>
              <w:pStyle w:val="TableLegendNote"/>
              <w:rPr>
                <w:sz w:val="18"/>
                <w:szCs w:val="18"/>
                <w:lang w:val="fr-CH"/>
              </w:rPr>
            </w:pPr>
            <w:r w:rsidRPr="00A92BFF">
              <w:rPr>
                <w:sz w:val="18"/>
                <w:szCs w:val="18"/>
                <w:lang w:val="fr-CH"/>
              </w:rPr>
              <w:t xml:space="preserve">H  =  </w:t>
            </w:r>
            <w:r w:rsidRPr="00AB3433">
              <w:rPr>
                <w:sz w:val="18"/>
                <w:szCs w:val="18"/>
              </w:rPr>
              <w:fldChar w:fldCharType="begin"/>
            </w:r>
            <w:r w:rsidRPr="00A92BFF">
              <w:rPr>
                <w:sz w:val="18"/>
                <w:szCs w:val="18"/>
                <w:lang w:val="fr-CH"/>
              </w:rPr>
              <w:instrText>eq \s(0 au début de la ligne vidéo active;1 à la fin de la ligne vidéo active)</w:instrText>
            </w:r>
            <w:r w:rsidRPr="00AB3433">
              <w:rPr>
                <w:sz w:val="18"/>
                <w:szCs w:val="18"/>
              </w:rPr>
              <w:fldChar w:fldCharType="end"/>
            </w:r>
          </w:p>
          <w:p w:rsidR="00A92BFF" w:rsidRPr="00A92BFF" w:rsidRDefault="00A92BFF" w:rsidP="00CB7F7C">
            <w:pPr>
              <w:pStyle w:val="TableLegendNote"/>
              <w:rPr>
                <w:sz w:val="18"/>
                <w:szCs w:val="18"/>
                <w:lang w:val="fr-CH"/>
              </w:rPr>
            </w:pPr>
            <w:r w:rsidRPr="00A92BFF">
              <w:rPr>
                <w:sz w:val="18"/>
                <w:szCs w:val="18"/>
                <w:lang w:val="fr-CH"/>
              </w:rPr>
              <w:t>P</w:t>
            </w:r>
            <w:r w:rsidRPr="00A92BFF">
              <w:rPr>
                <w:position w:val="-4"/>
                <w:sz w:val="18"/>
                <w:szCs w:val="18"/>
                <w:lang w:val="fr-CH"/>
              </w:rPr>
              <w:t>0</w:t>
            </w:r>
            <w:r w:rsidRPr="00A92BFF">
              <w:rPr>
                <w:sz w:val="18"/>
                <w:szCs w:val="18"/>
                <w:lang w:val="fr-CH"/>
              </w:rPr>
              <w:t>, P</w:t>
            </w:r>
            <w:r w:rsidRPr="00A92BFF">
              <w:rPr>
                <w:position w:val="-4"/>
                <w:sz w:val="18"/>
                <w:szCs w:val="18"/>
                <w:lang w:val="fr-CH"/>
              </w:rPr>
              <w:t>1</w:t>
            </w:r>
            <w:r w:rsidRPr="00A92BFF">
              <w:rPr>
                <w:sz w:val="18"/>
                <w:szCs w:val="18"/>
                <w:lang w:val="fr-CH"/>
              </w:rPr>
              <w:t>, P</w:t>
            </w:r>
            <w:r w:rsidRPr="00A92BFF">
              <w:rPr>
                <w:position w:val="-4"/>
                <w:sz w:val="18"/>
                <w:szCs w:val="18"/>
                <w:lang w:val="fr-CH"/>
              </w:rPr>
              <w:t>2</w:t>
            </w:r>
            <w:r w:rsidRPr="00A92BFF">
              <w:rPr>
                <w:sz w:val="18"/>
                <w:szCs w:val="18"/>
                <w:lang w:val="fr-CH"/>
              </w:rPr>
              <w:t>, P</w:t>
            </w:r>
            <w:r w:rsidRPr="00A92BFF">
              <w:rPr>
                <w:position w:val="-4"/>
                <w:sz w:val="18"/>
                <w:szCs w:val="18"/>
                <w:lang w:val="fr-CH"/>
              </w:rPr>
              <w:t>3</w:t>
            </w:r>
            <w:r w:rsidRPr="00A92BFF">
              <w:rPr>
                <w:sz w:val="18"/>
                <w:szCs w:val="18"/>
                <w:lang w:val="fr-CH"/>
              </w:rPr>
              <w:t>: bits de protection (voir le Tableau 3)</w:t>
            </w:r>
          </w:p>
          <w:p w:rsidR="00A92BFF" w:rsidRPr="00A92BFF" w:rsidRDefault="00A92BFF" w:rsidP="00CB7F7C">
            <w:pPr>
              <w:pStyle w:val="TableLegendNote"/>
              <w:rPr>
                <w:sz w:val="18"/>
                <w:szCs w:val="18"/>
                <w:lang w:val="fr-CH"/>
              </w:rPr>
            </w:pPr>
            <w:r w:rsidRPr="00A92BFF">
              <w:rPr>
                <w:sz w:val="18"/>
                <w:szCs w:val="18"/>
                <w:lang w:val="fr-CH"/>
              </w:rPr>
              <w:t>MSB: bit de plus fort poids</w:t>
            </w:r>
          </w:p>
          <w:p w:rsidR="00A92BFF" w:rsidRPr="00A92BFF" w:rsidRDefault="00A92BFF" w:rsidP="00CB7F7C">
            <w:pPr>
              <w:pStyle w:val="TableLegendNote"/>
              <w:rPr>
                <w:lang w:val="fr-CH"/>
              </w:rPr>
            </w:pPr>
            <w:r w:rsidRPr="00A92BFF">
              <w:rPr>
                <w:sz w:val="18"/>
                <w:szCs w:val="18"/>
                <w:lang w:val="fr-CH"/>
              </w:rPr>
              <w:t>Le Tableau 1 définit l'état des bits V et F.</w:t>
            </w:r>
          </w:p>
        </w:tc>
      </w:tr>
    </w:tbl>
    <w:p w:rsidR="00A92BFF" w:rsidRPr="003B5669" w:rsidRDefault="00A92BFF" w:rsidP="00A92BFF">
      <w:pPr>
        <w:pStyle w:val="Tablefin"/>
        <w:rPr>
          <w:sz w:val="2"/>
          <w:lang w:val="fr-FR"/>
        </w:rPr>
      </w:pPr>
    </w:p>
    <w:p w:rsidR="00A92BFF" w:rsidRPr="003B5669" w:rsidRDefault="00A92BFF" w:rsidP="00A92BFF">
      <w:pPr>
        <w:pStyle w:val="Normalaftertitle"/>
      </w:pPr>
      <w:r w:rsidRPr="003B5669">
        <w:t>L'état des bits P</w:t>
      </w:r>
      <w:r w:rsidRPr="003B5669">
        <w:rPr>
          <w:vertAlign w:val="subscript"/>
        </w:rPr>
        <w:t>0</w:t>
      </w:r>
      <w:r w:rsidRPr="003B5669">
        <w:t>, P</w:t>
      </w:r>
      <w:r w:rsidRPr="003B5669">
        <w:rPr>
          <w:vertAlign w:val="subscript"/>
        </w:rPr>
        <w:t>1</w:t>
      </w:r>
      <w:r w:rsidRPr="003B5669">
        <w:t>, P</w:t>
      </w:r>
      <w:r w:rsidRPr="003B5669">
        <w:rPr>
          <w:vertAlign w:val="subscript"/>
        </w:rPr>
        <w:t>2</w:t>
      </w:r>
      <w:r w:rsidRPr="003B5669">
        <w:t xml:space="preserve"> et P</w:t>
      </w:r>
      <w:r w:rsidRPr="003B5669">
        <w:rPr>
          <w:vertAlign w:val="subscript"/>
        </w:rPr>
        <w:t>3</w:t>
      </w:r>
      <w:r w:rsidRPr="003B5669">
        <w:t xml:space="preserve"> dépend de l'état des bits F, V et H (voir le Tableau 3). Cet arrangement permet, dans le récepteur, la correction des erreurs simples et la détection des erreurs doubles.</w:t>
      </w:r>
    </w:p>
    <w:p w:rsidR="00A92BFF" w:rsidRPr="003B5669" w:rsidRDefault="00A92BFF" w:rsidP="00A92BFF">
      <w:pPr>
        <w:pStyle w:val="TableNo"/>
      </w:pPr>
      <w:r w:rsidRPr="003B5669">
        <w:t>TABLEAU  3</w:t>
      </w:r>
    </w:p>
    <w:p w:rsidR="00A92BFF" w:rsidRPr="003B5669" w:rsidRDefault="00A92BFF" w:rsidP="00A92BFF">
      <w:pPr>
        <w:pStyle w:val="Tabletitle"/>
      </w:pPr>
      <w:r w:rsidRPr="003B5669">
        <w:t>Bits de protection</w:t>
      </w:r>
    </w:p>
    <w:tbl>
      <w:tblPr>
        <w:tblW w:w="0" w:type="auto"/>
        <w:jc w:val="center"/>
        <w:tblLayout w:type="fixed"/>
        <w:tblCellMar>
          <w:left w:w="107" w:type="dxa"/>
          <w:right w:w="107" w:type="dxa"/>
        </w:tblCellMar>
        <w:tblLook w:val="0000" w:firstRow="0" w:lastRow="0" w:firstColumn="0" w:lastColumn="0" w:noHBand="0" w:noVBand="0"/>
      </w:tblPr>
      <w:tblGrid>
        <w:gridCol w:w="851"/>
        <w:gridCol w:w="851"/>
        <w:gridCol w:w="851"/>
        <w:gridCol w:w="851"/>
        <w:gridCol w:w="851"/>
        <w:gridCol w:w="851"/>
        <w:gridCol w:w="851"/>
      </w:tblGrid>
      <w:tr w:rsidR="00A92BFF" w:rsidRPr="002F782B" w:rsidTr="00CB7F7C">
        <w:tblPrEx>
          <w:tblCellMar>
            <w:top w:w="0" w:type="dxa"/>
            <w:bottom w:w="0" w:type="dxa"/>
          </w:tblCellMar>
        </w:tblPrEx>
        <w:trPr>
          <w:cantSplit/>
          <w:jc w:val="center"/>
        </w:trPr>
        <w:tc>
          <w:tcPr>
            <w:tcW w:w="851" w:type="dxa"/>
            <w:tcBorders>
              <w:top w:val="single" w:sz="6" w:space="0" w:color="auto"/>
              <w:left w:val="single" w:sz="6" w:space="0" w:color="auto"/>
              <w:bottom w:val="single" w:sz="6" w:space="0" w:color="auto"/>
            </w:tcBorders>
          </w:tcPr>
          <w:p w:rsidR="00A92BFF" w:rsidRPr="002F782B" w:rsidRDefault="00A92BFF" w:rsidP="00CB7F7C">
            <w:pPr>
              <w:pStyle w:val="TableText0"/>
              <w:spacing w:before="20" w:after="20"/>
              <w:jc w:val="center"/>
            </w:pPr>
            <w:r w:rsidRPr="002F782B">
              <w:t>F</w:t>
            </w:r>
          </w:p>
        </w:tc>
        <w:tc>
          <w:tcPr>
            <w:tcW w:w="851" w:type="dxa"/>
            <w:tcBorders>
              <w:top w:val="single" w:sz="6" w:space="0" w:color="auto"/>
              <w:left w:val="single" w:sz="6" w:space="0" w:color="auto"/>
              <w:bottom w:val="single" w:sz="6" w:space="0" w:color="auto"/>
              <w:right w:val="single" w:sz="6" w:space="0" w:color="auto"/>
            </w:tcBorders>
          </w:tcPr>
          <w:p w:rsidR="00A92BFF" w:rsidRPr="002F782B" w:rsidRDefault="00A92BFF" w:rsidP="00CB7F7C">
            <w:pPr>
              <w:pStyle w:val="TableText0"/>
              <w:spacing w:before="20" w:after="20"/>
              <w:jc w:val="center"/>
            </w:pPr>
            <w:r w:rsidRPr="002F782B">
              <w:t>V</w:t>
            </w:r>
          </w:p>
        </w:tc>
        <w:tc>
          <w:tcPr>
            <w:tcW w:w="851" w:type="dxa"/>
            <w:tcBorders>
              <w:top w:val="single" w:sz="6" w:space="0" w:color="auto"/>
              <w:left w:val="single" w:sz="6" w:space="0" w:color="auto"/>
              <w:bottom w:val="single" w:sz="6" w:space="0" w:color="auto"/>
              <w:right w:val="single" w:sz="6" w:space="0" w:color="auto"/>
            </w:tcBorders>
          </w:tcPr>
          <w:p w:rsidR="00A92BFF" w:rsidRPr="002F782B" w:rsidRDefault="00A92BFF" w:rsidP="00CB7F7C">
            <w:pPr>
              <w:pStyle w:val="TableText0"/>
              <w:spacing w:before="20" w:after="20"/>
              <w:jc w:val="center"/>
            </w:pPr>
            <w:r w:rsidRPr="002F782B">
              <w:t>H</w:t>
            </w:r>
          </w:p>
        </w:tc>
        <w:tc>
          <w:tcPr>
            <w:tcW w:w="851" w:type="dxa"/>
            <w:tcBorders>
              <w:top w:val="single" w:sz="6" w:space="0" w:color="auto"/>
              <w:left w:val="single" w:sz="6" w:space="0" w:color="auto"/>
              <w:bottom w:val="single" w:sz="6" w:space="0" w:color="auto"/>
              <w:right w:val="single" w:sz="6" w:space="0" w:color="auto"/>
            </w:tcBorders>
          </w:tcPr>
          <w:p w:rsidR="00A92BFF" w:rsidRPr="002F782B" w:rsidRDefault="00A92BFF" w:rsidP="00CB7F7C">
            <w:pPr>
              <w:pStyle w:val="TableText0"/>
              <w:spacing w:before="20" w:after="20"/>
              <w:jc w:val="center"/>
            </w:pPr>
            <w:r w:rsidRPr="002F782B">
              <w:t>P</w:t>
            </w:r>
            <w:r w:rsidRPr="002F782B">
              <w:rPr>
                <w:vertAlign w:val="subscript"/>
              </w:rPr>
              <w:t>3</w:t>
            </w:r>
          </w:p>
        </w:tc>
        <w:tc>
          <w:tcPr>
            <w:tcW w:w="851" w:type="dxa"/>
            <w:tcBorders>
              <w:top w:val="single" w:sz="6" w:space="0" w:color="auto"/>
              <w:left w:val="single" w:sz="6" w:space="0" w:color="auto"/>
              <w:bottom w:val="single" w:sz="6" w:space="0" w:color="auto"/>
              <w:right w:val="single" w:sz="6" w:space="0" w:color="auto"/>
            </w:tcBorders>
          </w:tcPr>
          <w:p w:rsidR="00A92BFF" w:rsidRPr="002F782B" w:rsidRDefault="00A92BFF" w:rsidP="00CB7F7C">
            <w:pPr>
              <w:pStyle w:val="TableText0"/>
              <w:spacing w:before="20" w:after="20"/>
              <w:jc w:val="center"/>
            </w:pPr>
            <w:r w:rsidRPr="002F782B">
              <w:t>P</w:t>
            </w:r>
            <w:r w:rsidRPr="002F782B">
              <w:rPr>
                <w:vertAlign w:val="subscript"/>
              </w:rPr>
              <w:t>2</w:t>
            </w:r>
          </w:p>
        </w:tc>
        <w:tc>
          <w:tcPr>
            <w:tcW w:w="851" w:type="dxa"/>
            <w:tcBorders>
              <w:top w:val="single" w:sz="6" w:space="0" w:color="auto"/>
              <w:left w:val="single" w:sz="6" w:space="0" w:color="auto"/>
              <w:bottom w:val="single" w:sz="6" w:space="0" w:color="auto"/>
              <w:right w:val="single" w:sz="6" w:space="0" w:color="auto"/>
            </w:tcBorders>
          </w:tcPr>
          <w:p w:rsidR="00A92BFF" w:rsidRPr="002F782B" w:rsidRDefault="00A92BFF" w:rsidP="00CB7F7C">
            <w:pPr>
              <w:pStyle w:val="TableText0"/>
              <w:spacing w:before="20" w:after="20"/>
              <w:jc w:val="center"/>
            </w:pPr>
            <w:r w:rsidRPr="002F782B">
              <w:t>P</w:t>
            </w:r>
            <w:r w:rsidRPr="002F782B">
              <w:rPr>
                <w:vertAlign w:val="subscript"/>
              </w:rPr>
              <w:t>1</w:t>
            </w:r>
          </w:p>
        </w:tc>
        <w:tc>
          <w:tcPr>
            <w:tcW w:w="851" w:type="dxa"/>
            <w:tcBorders>
              <w:top w:val="single" w:sz="6" w:space="0" w:color="auto"/>
              <w:left w:val="single" w:sz="6" w:space="0" w:color="auto"/>
              <w:bottom w:val="single" w:sz="6" w:space="0" w:color="auto"/>
              <w:right w:val="single" w:sz="6" w:space="0" w:color="auto"/>
            </w:tcBorders>
          </w:tcPr>
          <w:p w:rsidR="00A92BFF" w:rsidRPr="002F782B" w:rsidRDefault="00A92BFF" w:rsidP="00CB7F7C">
            <w:pPr>
              <w:pStyle w:val="TableText0"/>
              <w:spacing w:before="20" w:after="20"/>
              <w:jc w:val="center"/>
            </w:pPr>
            <w:r w:rsidRPr="002F782B">
              <w:t>P</w:t>
            </w:r>
            <w:r w:rsidRPr="002F782B">
              <w:rPr>
                <w:vertAlign w:val="subscript"/>
              </w:rPr>
              <w:t>0</w:t>
            </w:r>
          </w:p>
        </w:tc>
      </w:tr>
      <w:tr w:rsidR="00A92BFF" w:rsidRPr="002F782B" w:rsidTr="00CB7F7C">
        <w:tblPrEx>
          <w:tblCellMar>
            <w:top w:w="0" w:type="dxa"/>
            <w:bottom w:w="0" w:type="dxa"/>
          </w:tblCellMar>
        </w:tblPrEx>
        <w:trPr>
          <w:cantSplit/>
          <w:jc w:val="center"/>
        </w:trPr>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r>
      <w:tr w:rsidR="00A92BFF" w:rsidRPr="002F782B" w:rsidTr="00CB7F7C">
        <w:tblPrEx>
          <w:tblCellMar>
            <w:top w:w="0" w:type="dxa"/>
            <w:bottom w:w="0" w:type="dxa"/>
          </w:tblCellMar>
        </w:tblPrEx>
        <w:trPr>
          <w:cantSplit/>
          <w:jc w:val="center"/>
        </w:trPr>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r>
      <w:tr w:rsidR="00A92BFF" w:rsidRPr="002F782B" w:rsidTr="00CB7F7C">
        <w:tblPrEx>
          <w:tblCellMar>
            <w:top w:w="0" w:type="dxa"/>
            <w:bottom w:w="0" w:type="dxa"/>
          </w:tblCellMar>
        </w:tblPrEx>
        <w:trPr>
          <w:cantSplit/>
          <w:jc w:val="center"/>
        </w:trPr>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r>
      <w:tr w:rsidR="00A92BFF" w:rsidRPr="002F782B" w:rsidTr="00CB7F7C">
        <w:tblPrEx>
          <w:tblCellMar>
            <w:top w:w="0" w:type="dxa"/>
            <w:bottom w:w="0" w:type="dxa"/>
          </w:tblCellMar>
        </w:tblPrEx>
        <w:trPr>
          <w:cantSplit/>
          <w:jc w:val="center"/>
        </w:trPr>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r>
      <w:tr w:rsidR="00A92BFF" w:rsidRPr="002F782B" w:rsidTr="00CB7F7C">
        <w:tblPrEx>
          <w:tblCellMar>
            <w:top w:w="0" w:type="dxa"/>
            <w:bottom w:w="0" w:type="dxa"/>
          </w:tblCellMar>
        </w:tblPrEx>
        <w:trPr>
          <w:cantSplit/>
          <w:jc w:val="center"/>
        </w:trPr>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r>
      <w:tr w:rsidR="00A92BFF" w:rsidRPr="002F782B" w:rsidTr="00CB7F7C">
        <w:tblPrEx>
          <w:tblCellMar>
            <w:top w:w="0" w:type="dxa"/>
            <w:bottom w:w="0" w:type="dxa"/>
          </w:tblCellMar>
        </w:tblPrEx>
        <w:trPr>
          <w:cantSplit/>
          <w:jc w:val="center"/>
        </w:trPr>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r>
      <w:tr w:rsidR="00A92BFF" w:rsidRPr="002F782B" w:rsidTr="00CB7F7C">
        <w:tblPrEx>
          <w:tblCellMar>
            <w:top w:w="0" w:type="dxa"/>
            <w:bottom w:w="0" w:type="dxa"/>
          </w:tblCellMar>
        </w:tblPrEx>
        <w:trPr>
          <w:cantSplit/>
          <w:jc w:val="center"/>
        </w:trPr>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r>
      <w:tr w:rsidR="00A92BFF" w:rsidRPr="002F782B" w:rsidTr="00CB7F7C">
        <w:tblPrEx>
          <w:tblCellMar>
            <w:top w:w="0" w:type="dxa"/>
            <w:bottom w:w="0" w:type="dxa"/>
          </w:tblCellMar>
        </w:tblPrEx>
        <w:trPr>
          <w:cantSplit/>
          <w:jc w:val="center"/>
        </w:trPr>
        <w:tc>
          <w:tcPr>
            <w:tcW w:w="851" w:type="dxa"/>
            <w:tcBorders>
              <w:left w:val="single" w:sz="6" w:space="0" w:color="auto"/>
              <w:bottom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bottom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bottom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c>
          <w:tcPr>
            <w:tcW w:w="851" w:type="dxa"/>
            <w:tcBorders>
              <w:left w:val="single" w:sz="6" w:space="0" w:color="auto"/>
              <w:bottom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bottom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bottom w:val="single" w:sz="6" w:space="0" w:color="auto"/>
              <w:right w:val="single" w:sz="6" w:space="0" w:color="auto"/>
            </w:tcBorders>
          </w:tcPr>
          <w:p w:rsidR="00A92BFF" w:rsidRPr="002F782B" w:rsidRDefault="00A92BFF" w:rsidP="00CB7F7C">
            <w:pPr>
              <w:pStyle w:val="TableText0"/>
              <w:spacing w:before="20" w:after="20"/>
              <w:jc w:val="center"/>
            </w:pPr>
            <w:r w:rsidRPr="002F782B">
              <w:t>0</w:t>
            </w:r>
          </w:p>
        </w:tc>
        <w:tc>
          <w:tcPr>
            <w:tcW w:w="851" w:type="dxa"/>
            <w:tcBorders>
              <w:left w:val="single" w:sz="6" w:space="0" w:color="auto"/>
              <w:bottom w:val="single" w:sz="6" w:space="0" w:color="auto"/>
              <w:right w:val="single" w:sz="6" w:space="0" w:color="auto"/>
            </w:tcBorders>
          </w:tcPr>
          <w:p w:rsidR="00A92BFF" w:rsidRPr="002F782B" w:rsidRDefault="00A92BFF" w:rsidP="00CB7F7C">
            <w:pPr>
              <w:pStyle w:val="TableText0"/>
              <w:spacing w:before="20" w:after="20"/>
              <w:jc w:val="center"/>
            </w:pPr>
            <w:r w:rsidRPr="002F782B">
              <w:t>1</w:t>
            </w:r>
          </w:p>
        </w:tc>
      </w:tr>
    </w:tbl>
    <w:p w:rsidR="00A92BFF" w:rsidRDefault="00A92BFF" w:rsidP="00A92BFF">
      <w:pPr>
        <w:pStyle w:val="Tablefin"/>
        <w:jc w:val="center"/>
      </w:pPr>
    </w:p>
    <w:p w:rsidR="00A92BFF" w:rsidRPr="003B5669" w:rsidRDefault="00A92BFF" w:rsidP="00A92BFF">
      <w:pPr>
        <w:pStyle w:val="Heading2"/>
      </w:pPr>
      <w:r w:rsidRPr="003B5669">
        <w:t>2.5</w:t>
      </w:r>
      <w:r w:rsidRPr="003B5669">
        <w:tab/>
        <w:t>Données auxiliaires</w:t>
      </w:r>
    </w:p>
    <w:p w:rsidR="00A92BFF" w:rsidRPr="003B5669" w:rsidRDefault="00A92BFF" w:rsidP="00A92BFF">
      <w:r w:rsidRPr="003B5669">
        <w:t>Les signaux auxiliaires devraient être conformes à la Recommandation UIT-R BT.1364.</w:t>
      </w:r>
    </w:p>
    <w:p w:rsidR="00A92BFF" w:rsidRPr="003B5669" w:rsidRDefault="00A92BFF" w:rsidP="00A92BFF">
      <w:pPr>
        <w:pStyle w:val="Heading2"/>
      </w:pPr>
      <w:r w:rsidRPr="003B5669">
        <w:lastRenderedPageBreak/>
        <w:t>2.6</w:t>
      </w:r>
      <w:r w:rsidRPr="003B5669">
        <w:tab/>
        <w:t>Mots de données pendant les suppressions</w:t>
      </w:r>
    </w:p>
    <w:p w:rsidR="00A92BFF" w:rsidRPr="003B5669" w:rsidRDefault="00A92BFF" w:rsidP="00A92BFF">
      <w:r w:rsidRPr="003B5669">
        <w:t>Les mots de données transmis pendant les intervalles de suppression numérique qui ne sont pas utilisés pour le signal de référence temporelle ou pour les données auxiliaires sont remplis avec la séquence 200</w:t>
      </w:r>
      <w:r w:rsidRPr="003B5669">
        <w:rPr>
          <w:vertAlign w:val="subscript"/>
        </w:rPr>
        <w:t>h</w:t>
      </w:r>
      <w:r w:rsidRPr="003B5669">
        <w:t>, 040</w:t>
      </w:r>
      <w:r w:rsidRPr="003B5669">
        <w:rPr>
          <w:vertAlign w:val="subscript"/>
        </w:rPr>
        <w:t>h</w:t>
      </w:r>
      <w:r w:rsidRPr="003B5669">
        <w:t>, 200</w:t>
      </w:r>
      <w:r w:rsidRPr="003B5669">
        <w:rPr>
          <w:vertAlign w:val="subscript"/>
        </w:rPr>
        <w:t>h</w:t>
      </w:r>
      <w:r w:rsidRPr="003B5669">
        <w:t>, 040</w:t>
      </w:r>
      <w:r w:rsidRPr="003B5669">
        <w:rPr>
          <w:vertAlign w:val="subscript"/>
        </w:rPr>
        <w:t>h</w:t>
      </w:r>
      <w:r w:rsidRPr="003B5669">
        <w:t xml:space="preserve">, etc. correspondant respectivement au niveau de suppression des signaux </w:t>
      </w:r>
      <w:r w:rsidRPr="003B5669">
        <w:rPr>
          <w:i/>
        </w:rPr>
        <w:t>C</w:t>
      </w:r>
      <w:r w:rsidRPr="003B5669">
        <w:rPr>
          <w:i/>
          <w:iCs/>
          <w:vertAlign w:val="subscript"/>
        </w:rPr>
        <w:t>B</w:t>
      </w:r>
      <w:r w:rsidRPr="003B5669">
        <w:t xml:space="preserve">, </w:t>
      </w:r>
      <w:r w:rsidRPr="003B5669">
        <w:rPr>
          <w:i/>
        </w:rPr>
        <w:t>Y</w:t>
      </w:r>
      <w:r w:rsidRPr="003B5669">
        <w:t xml:space="preserve">, </w:t>
      </w:r>
      <w:r w:rsidRPr="003B5669">
        <w:rPr>
          <w:i/>
        </w:rPr>
        <w:t>C</w:t>
      </w:r>
      <w:r w:rsidRPr="003B5669">
        <w:rPr>
          <w:i/>
          <w:iCs/>
          <w:vertAlign w:val="subscript"/>
        </w:rPr>
        <w:t>R</w:t>
      </w:r>
      <w:r w:rsidRPr="003B5669">
        <w:t xml:space="preserve">, </w:t>
      </w:r>
      <w:r w:rsidRPr="003B5669">
        <w:rPr>
          <w:i/>
        </w:rPr>
        <w:t>Y</w:t>
      </w:r>
      <w:r w:rsidRPr="003B5669">
        <w:t>, placés comme il convient dans les données multiplexées.</w:t>
      </w:r>
    </w:p>
    <w:p w:rsidR="00A92BFF" w:rsidRDefault="00A92BFF" w:rsidP="00A92BFF"/>
    <w:p w:rsidR="00A92BFF" w:rsidRDefault="00A92BFF" w:rsidP="00A92BFF"/>
    <w:p w:rsidR="00A92BFF" w:rsidRDefault="00A92BFF" w:rsidP="00A92BFF"/>
    <w:p w:rsidR="00A92BFF" w:rsidRPr="003B5669" w:rsidRDefault="00A92BFF" w:rsidP="00A92BFF"/>
    <w:p w:rsidR="00A92BFF" w:rsidRPr="003B5669" w:rsidRDefault="00A92BFF" w:rsidP="00A92BFF">
      <w:pPr>
        <w:pStyle w:val="PartNo"/>
        <w:jc w:val="center"/>
      </w:pPr>
      <w:r w:rsidRPr="003B5669">
        <w:t>PARTIE  2</w:t>
      </w:r>
    </w:p>
    <w:p w:rsidR="00A92BFF" w:rsidRPr="003B5669" w:rsidRDefault="00A92BFF" w:rsidP="00A92BFF">
      <w:pPr>
        <w:pStyle w:val="Parttitle"/>
      </w:pPr>
      <w:r w:rsidRPr="003B5669">
        <w:t>Interface série numérique</w:t>
      </w:r>
    </w:p>
    <w:p w:rsidR="00A92BFF" w:rsidRPr="003B5669" w:rsidRDefault="00A92BFF" w:rsidP="00A92BFF">
      <w:pPr>
        <w:pStyle w:val="Heading1"/>
      </w:pPr>
      <w:r w:rsidRPr="003B5669">
        <w:t>1</w:t>
      </w:r>
      <w:r w:rsidRPr="003B5669">
        <w:tab/>
        <w:t>Description générale de l'interface</w:t>
      </w:r>
    </w:p>
    <w:p w:rsidR="00A92BFF" w:rsidRPr="003B5669" w:rsidRDefault="00A92BFF" w:rsidP="00A92BFF">
      <w:r w:rsidRPr="003B5669">
        <w:t>Dans une interface série, les bits d'un mot de données et les mots de données successifs sont transmis en séquence sur un canal de transmission unique. L'interface série peut acheminer des données de type vidéo, audio et auxiliaires. Elle peut servir aussi à acheminer des données regroupées en paquets, conformément à la Recommandation UIT-R BT.1364.</w:t>
      </w:r>
    </w:p>
    <w:p w:rsidR="00A92BFF" w:rsidRPr="003B5669" w:rsidRDefault="00A92BFF" w:rsidP="00A92BFF">
      <w:r w:rsidRPr="003B5669">
        <w:t>La transmission des signaux peut être assurée par des moyens électriques, à l'aide de câbles coaxiaux, ou de moyens optiques à l'aide de fibres optiques. On préfère généralement les câbles coaxiaux pour les connexions de longueur moyenne (par exemple 300 m), tandis que les fibres optiques conviennent aux connexions très longues.</w:t>
      </w:r>
    </w:p>
    <w:p w:rsidR="00A92BFF" w:rsidRPr="003B5669" w:rsidRDefault="00A92BFF" w:rsidP="00A92BFF">
      <w:r w:rsidRPr="003B5669">
        <w:t>Il est possible d'installer un système de détection d'occurrence d'erreur à l'extrémité de réception de la connexion, dont la qualité de fonctionnement est ainsi automatiquement contrôlée.</w:t>
      </w:r>
    </w:p>
    <w:p w:rsidR="00A92BFF" w:rsidRPr="003B5669" w:rsidRDefault="00A92BFF" w:rsidP="00A92BFF">
      <w:r w:rsidRPr="003B5669">
        <w:t>Dans un système ou une installation numérique totalement intégré, il peut être utile que toutes les interconnexions soient transparentes relativement au flux numérique (soit indépendantes des contenus). Ainsi, une interface qui servira à transmettre un signal vidéo sera «transparente» relativement au contenu du message, c'est</w:t>
      </w:r>
      <w:r w:rsidRPr="003B5669">
        <w:noBreakHyphen/>
        <w:t>à</w:t>
      </w:r>
      <w:r w:rsidRPr="003B5669">
        <w:noBreakHyphen/>
        <w:t xml:space="preserve">dire que son fonctionnement ne dépendra pas de la structure connue du message lui-même. </w:t>
      </w:r>
    </w:p>
    <w:p w:rsidR="00A92BFF" w:rsidRPr="003B5669" w:rsidRDefault="00A92BFF" w:rsidP="00A92BFF">
      <w:r w:rsidRPr="003B5669">
        <w:t>Le flux numérique multiplexé de mots de 10 bits (décrit dans la Partie 1) est acheminé sur un canal unique sous forme numérique série. Avant la transmission, un codage additionnel assure la mise en forme du spectre et la synchronisation des mots et facilite la récupération de la fréquence d'horloge.</w:t>
      </w:r>
    </w:p>
    <w:p w:rsidR="00A92BFF" w:rsidRPr="003B5669" w:rsidRDefault="00A92BFF" w:rsidP="00A92BFF">
      <w:pPr>
        <w:pStyle w:val="Heading1"/>
      </w:pPr>
      <w:r w:rsidRPr="003B5669">
        <w:t>2</w:t>
      </w:r>
      <w:r w:rsidRPr="003B5669">
        <w:tab/>
        <w:t>Codage</w:t>
      </w:r>
    </w:p>
    <w:p w:rsidR="00A92BFF" w:rsidRPr="003B5669" w:rsidRDefault="00A92BFF" w:rsidP="00A92BFF">
      <w:pPr>
        <w:rPr>
          <w:rFonts w:ascii="timesnewroman" w:eastAsia="SimSun" w:hAnsi="timesnewroman" w:cs="timesnewroman"/>
          <w:szCs w:val="24"/>
          <w:lang w:eastAsia="zh-CN"/>
        </w:rPr>
      </w:pPr>
      <w:r w:rsidRPr="003B5669">
        <w:t>Le flux numérique série non codé est embrouillé selon le polynôme de génération</w:t>
      </w:r>
      <w:r w:rsidRPr="003B5669">
        <w:rPr>
          <w:rFonts w:eastAsia="SimSun"/>
          <w:i/>
          <w:iCs/>
          <w:szCs w:val="24"/>
          <w:lang w:eastAsia="zh-CN"/>
        </w:rPr>
        <w:t xml:space="preserve"> G</w:t>
      </w:r>
      <w:r w:rsidRPr="003B5669">
        <w:rPr>
          <w:rFonts w:ascii="timesnewroman" w:eastAsia="SimSun" w:hAnsi="timesnewroman" w:cs="timesnewroman"/>
          <w:szCs w:val="24"/>
          <w:lang w:eastAsia="zh-CN"/>
        </w:rPr>
        <w:t>1(</w:t>
      </w:r>
      <w:r w:rsidRPr="003B5669">
        <w:rPr>
          <w:rFonts w:eastAsia="SimSun"/>
          <w:i/>
          <w:iCs/>
          <w:szCs w:val="24"/>
          <w:lang w:eastAsia="zh-CN"/>
        </w:rPr>
        <w:t>x</w:t>
      </w:r>
      <w:r w:rsidRPr="003B5669">
        <w:rPr>
          <w:rFonts w:ascii="timesnewroman" w:eastAsia="SimSun" w:hAnsi="timesnewroman" w:cs="timesnewroman"/>
          <w:szCs w:val="24"/>
          <w:lang w:eastAsia="zh-CN"/>
        </w:rPr>
        <w:t xml:space="preserve">) × </w:t>
      </w:r>
      <w:r w:rsidRPr="003B5669">
        <w:rPr>
          <w:rFonts w:eastAsia="SimSun"/>
          <w:i/>
          <w:iCs/>
          <w:szCs w:val="24"/>
          <w:lang w:eastAsia="zh-CN"/>
        </w:rPr>
        <w:t>G</w:t>
      </w:r>
      <w:r w:rsidRPr="003B5669">
        <w:rPr>
          <w:rFonts w:ascii="timesnewroman" w:eastAsia="SimSun" w:hAnsi="timesnewroman" w:cs="timesnewroman"/>
          <w:szCs w:val="24"/>
          <w:lang w:eastAsia="zh-CN"/>
        </w:rPr>
        <w:t>2(</w:t>
      </w:r>
      <w:r w:rsidRPr="003B5669">
        <w:rPr>
          <w:rFonts w:eastAsia="SimSun"/>
          <w:i/>
          <w:iCs/>
          <w:szCs w:val="24"/>
          <w:lang w:eastAsia="zh-CN"/>
        </w:rPr>
        <w:t>x</w:t>
      </w:r>
      <w:r w:rsidRPr="003B5669">
        <w:rPr>
          <w:rFonts w:ascii="timesnewroman" w:eastAsia="SimSun" w:hAnsi="timesnewroman" w:cs="timesnewroman"/>
          <w:szCs w:val="24"/>
          <w:lang w:eastAsia="zh-CN"/>
        </w:rPr>
        <w:t xml:space="preserve">), </w:t>
      </w:r>
      <w:r w:rsidRPr="003B5669">
        <w:t>où:</w:t>
      </w:r>
    </w:p>
    <w:p w:rsidR="00A92BFF" w:rsidRPr="003B5669" w:rsidRDefault="00A92BFF" w:rsidP="00A92BFF">
      <w:pPr>
        <w:pStyle w:val="enumlev1"/>
        <w:rPr>
          <w:rFonts w:eastAsia="SimSun"/>
          <w:lang w:eastAsia="zh-CN"/>
        </w:rPr>
      </w:pPr>
      <w:r w:rsidRPr="003B5669">
        <w:rPr>
          <w:rFonts w:eastAsia="SimSun"/>
          <w:i/>
          <w:iCs/>
          <w:lang w:eastAsia="zh-CN"/>
        </w:rPr>
        <w:tab/>
        <w:t>G</w:t>
      </w:r>
      <w:r w:rsidRPr="003B5669">
        <w:rPr>
          <w:rFonts w:eastAsia="SimSun"/>
          <w:lang w:eastAsia="zh-CN"/>
        </w:rPr>
        <w:t>1(</w:t>
      </w:r>
      <w:r w:rsidRPr="003B5669">
        <w:rPr>
          <w:rFonts w:eastAsia="SimSun"/>
          <w:i/>
          <w:iCs/>
          <w:lang w:eastAsia="zh-CN"/>
        </w:rPr>
        <w:t>x</w:t>
      </w:r>
      <w:r w:rsidRPr="003B5669">
        <w:rPr>
          <w:rFonts w:eastAsia="SimSun"/>
          <w:lang w:eastAsia="zh-CN"/>
        </w:rPr>
        <w:t xml:space="preserve">) </w:t>
      </w:r>
      <w:r w:rsidRPr="003B5669">
        <w:rPr>
          <w:rFonts w:ascii="Symbol" w:eastAsia="SimSun" w:hAnsi="Symbol" w:cs="Symbol"/>
          <w:lang w:eastAsia="zh-CN"/>
        </w:rPr>
        <w:t></w:t>
      </w:r>
      <w:r w:rsidRPr="003B5669">
        <w:rPr>
          <w:rFonts w:ascii="Symbol" w:eastAsia="SimSun" w:hAnsi="Symbol" w:cs="Symbol"/>
          <w:lang w:eastAsia="zh-CN"/>
        </w:rPr>
        <w:t></w:t>
      </w:r>
      <w:r w:rsidRPr="003B5669">
        <w:rPr>
          <w:rFonts w:eastAsia="SimSun"/>
          <w:i/>
          <w:iCs/>
          <w:szCs w:val="24"/>
          <w:lang w:eastAsia="zh-CN"/>
        </w:rPr>
        <w:t>x</w:t>
      </w:r>
      <w:r w:rsidRPr="003B5669">
        <w:rPr>
          <w:rFonts w:eastAsia="SimSun"/>
          <w:szCs w:val="24"/>
          <w:vertAlign w:val="superscript"/>
          <w:lang w:eastAsia="zh-CN"/>
        </w:rPr>
        <w:t>9</w:t>
      </w:r>
      <w:r w:rsidRPr="003B5669">
        <w:rPr>
          <w:rFonts w:eastAsia="SimSun"/>
          <w:sz w:val="16"/>
          <w:szCs w:val="16"/>
          <w:lang w:eastAsia="zh-CN"/>
        </w:rPr>
        <w:t xml:space="preserve"> </w:t>
      </w:r>
      <w:r w:rsidRPr="003B5669">
        <w:rPr>
          <w:rFonts w:eastAsia="SimSun"/>
          <w:lang w:eastAsia="zh-CN"/>
        </w:rPr>
        <w:t xml:space="preserve">+ </w:t>
      </w:r>
      <w:r w:rsidRPr="003B5669">
        <w:rPr>
          <w:rFonts w:eastAsia="SimSun"/>
          <w:i/>
          <w:iCs/>
          <w:szCs w:val="24"/>
          <w:lang w:eastAsia="zh-CN"/>
        </w:rPr>
        <w:t>x</w:t>
      </w:r>
      <w:r w:rsidRPr="003B5669">
        <w:rPr>
          <w:rFonts w:eastAsia="SimSun"/>
          <w:szCs w:val="24"/>
          <w:vertAlign w:val="superscript"/>
          <w:lang w:eastAsia="zh-CN"/>
        </w:rPr>
        <w:t>4</w:t>
      </w:r>
      <w:r w:rsidRPr="003B5669">
        <w:rPr>
          <w:rFonts w:eastAsia="SimSun"/>
          <w:sz w:val="16"/>
          <w:szCs w:val="16"/>
          <w:lang w:eastAsia="zh-CN"/>
        </w:rPr>
        <w:t xml:space="preserve"> </w:t>
      </w:r>
      <w:r w:rsidRPr="003B5669">
        <w:rPr>
          <w:rFonts w:eastAsia="SimSun"/>
          <w:lang w:eastAsia="zh-CN"/>
        </w:rPr>
        <w:t xml:space="preserve">+ 1 </w:t>
      </w:r>
      <w:r w:rsidRPr="003B5669">
        <w:rPr>
          <w:rFonts w:eastAsia="SimSun"/>
          <w:lang w:eastAsia="zh-CN"/>
        </w:rPr>
        <w:tab/>
        <w:t>donne un signal NRZ embrouillé</w:t>
      </w:r>
    </w:p>
    <w:p w:rsidR="00A92BFF" w:rsidRPr="003B5669" w:rsidRDefault="00A92BFF" w:rsidP="00A92BFF">
      <w:pPr>
        <w:pStyle w:val="enumlev1"/>
        <w:rPr>
          <w:rFonts w:eastAsia="SimSun"/>
          <w:lang w:eastAsia="zh-CN"/>
        </w:rPr>
      </w:pPr>
      <w:r w:rsidRPr="003B5669">
        <w:rPr>
          <w:rFonts w:eastAsia="SimSun"/>
          <w:i/>
          <w:iCs/>
          <w:lang w:eastAsia="zh-CN"/>
        </w:rPr>
        <w:tab/>
        <w:t>G</w:t>
      </w:r>
      <w:r w:rsidRPr="003B5669">
        <w:rPr>
          <w:rFonts w:eastAsia="SimSun"/>
          <w:lang w:eastAsia="zh-CN"/>
        </w:rPr>
        <w:t>2(</w:t>
      </w:r>
      <w:r w:rsidRPr="003B5669">
        <w:rPr>
          <w:rFonts w:eastAsia="SimSun"/>
          <w:i/>
          <w:iCs/>
          <w:lang w:eastAsia="zh-CN"/>
        </w:rPr>
        <w:t>x</w:t>
      </w:r>
      <w:r w:rsidRPr="003B5669">
        <w:rPr>
          <w:rFonts w:eastAsia="SimSun"/>
          <w:lang w:eastAsia="zh-CN"/>
        </w:rPr>
        <w:t xml:space="preserve">) </w:t>
      </w:r>
      <w:r w:rsidRPr="003B5669">
        <w:rPr>
          <w:rFonts w:ascii="Symbol" w:eastAsia="SimSun" w:hAnsi="Symbol" w:cs="Symbol"/>
          <w:lang w:eastAsia="zh-CN"/>
        </w:rPr>
        <w:t></w:t>
      </w:r>
      <w:r w:rsidRPr="003B5669">
        <w:rPr>
          <w:rFonts w:ascii="Symbol" w:eastAsia="SimSun" w:hAnsi="Symbol" w:cs="Symbol"/>
          <w:lang w:eastAsia="zh-CN"/>
        </w:rPr>
        <w:t></w:t>
      </w:r>
      <w:r w:rsidRPr="003B5669">
        <w:rPr>
          <w:rFonts w:eastAsia="SimSun"/>
          <w:i/>
          <w:iCs/>
          <w:lang w:eastAsia="zh-CN"/>
        </w:rPr>
        <w:t xml:space="preserve">x </w:t>
      </w:r>
      <w:r w:rsidRPr="003B5669">
        <w:rPr>
          <w:rFonts w:eastAsia="SimSun"/>
          <w:lang w:eastAsia="zh-CN"/>
        </w:rPr>
        <w:t>+ 1</w:t>
      </w:r>
      <w:r w:rsidRPr="003B5669">
        <w:rPr>
          <w:rFonts w:eastAsia="SimSun"/>
          <w:lang w:eastAsia="zh-CN"/>
        </w:rPr>
        <w:tab/>
      </w:r>
      <w:r w:rsidRPr="003B5669">
        <w:rPr>
          <w:rFonts w:eastAsia="SimSun"/>
          <w:lang w:eastAsia="zh-CN"/>
        </w:rPr>
        <w:tab/>
        <w:t>donne une séquence NRZI sans polarité.</w:t>
      </w:r>
    </w:p>
    <w:p w:rsidR="00A92BFF" w:rsidRPr="003B5669" w:rsidRDefault="00A92BFF" w:rsidP="00A92BFF">
      <w:pPr>
        <w:pStyle w:val="Heading1"/>
        <w:rPr>
          <w:rFonts w:eastAsia="SimSun"/>
          <w:lang w:eastAsia="zh-CN"/>
        </w:rPr>
      </w:pPr>
      <w:r w:rsidRPr="003B5669">
        <w:rPr>
          <w:rFonts w:eastAsia="SimSun"/>
          <w:lang w:eastAsia="zh-CN"/>
        </w:rPr>
        <w:t>3</w:t>
      </w:r>
      <w:r w:rsidRPr="003B5669">
        <w:rPr>
          <w:rFonts w:eastAsia="SimSun"/>
          <w:lang w:eastAsia="zh-CN"/>
        </w:rPr>
        <w:tab/>
        <w:t>Ordre de transmission</w:t>
      </w:r>
    </w:p>
    <w:p w:rsidR="00A92BFF" w:rsidRPr="003B5669" w:rsidRDefault="00A92BFF" w:rsidP="00A92BFF">
      <w:pPr>
        <w:rPr>
          <w:lang w:eastAsia="zh-CN"/>
        </w:rPr>
      </w:pPr>
      <w:r w:rsidRPr="003B5669">
        <w:rPr>
          <w:lang w:eastAsia="zh-CN"/>
        </w:rPr>
        <w:t>Le bit de moindre poids de chaque mot de 10 bits est transmis en premier.</w:t>
      </w:r>
    </w:p>
    <w:p w:rsidR="00A92BFF" w:rsidRPr="003B5669" w:rsidRDefault="00A92BFF" w:rsidP="00A92BFF">
      <w:pPr>
        <w:pStyle w:val="Heading1"/>
      </w:pPr>
      <w:r w:rsidRPr="003B5669">
        <w:lastRenderedPageBreak/>
        <w:t>4</w:t>
      </w:r>
      <w:r w:rsidRPr="003B5669">
        <w:tab/>
        <w:t>Convention logique</w:t>
      </w:r>
    </w:p>
    <w:p w:rsidR="00A92BFF" w:rsidRPr="003B5669" w:rsidRDefault="00A92BFF" w:rsidP="00A92BFF">
      <w:r w:rsidRPr="003B5669">
        <w:t>Le signal est transmis en forme NRZI, dans laquelle la polarité des bits est indifférente.</w:t>
      </w:r>
    </w:p>
    <w:p w:rsidR="00A92BFF" w:rsidRPr="003B5669" w:rsidRDefault="00A92BFF" w:rsidP="00A92BFF">
      <w:pPr>
        <w:pStyle w:val="Heading1"/>
      </w:pPr>
      <w:r w:rsidRPr="003B5669">
        <w:t>5</w:t>
      </w:r>
      <w:r w:rsidRPr="003B5669">
        <w:tab/>
        <w:t>Transmission</w:t>
      </w:r>
    </w:p>
    <w:p w:rsidR="00A92BFF" w:rsidRPr="003B5669" w:rsidRDefault="00A92BFF" w:rsidP="00A92BFF">
      <w:r w:rsidRPr="003B5669">
        <w:t>Le flux de données peut être acheminé soit sur câble coaxial (§ 6) soit sur un support à fibres optiques (§ 7).</w:t>
      </w:r>
    </w:p>
    <w:p w:rsidR="00A92BFF" w:rsidRPr="003B5669" w:rsidRDefault="00A92BFF" w:rsidP="00A92BFF">
      <w:pPr>
        <w:pStyle w:val="Heading1"/>
      </w:pPr>
      <w:r w:rsidRPr="003B5669">
        <w:t>6</w:t>
      </w:r>
      <w:r w:rsidRPr="003B5669">
        <w:tab/>
        <w:t>Caractéristiques de l'interface électrique</w:t>
      </w:r>
    </w:p>
    <w:p w:rsidR="00A92BFF" w:rsidRPr="003B5669" w:rsidRDefault="00A92BFF" w:rsidP="00A92BFF">
      <w:pPr>
        <w:pStyle w:val="Heading2"/>
      </w:pPr>
      <w:r w:rsidRPr="003B5669">
        <w:t>6.1</w:t>
      </w:r>
      <w:r w:rsidRPr="003B5669">
        <w:tab/>
        <w:t>Caractéristiques de l'émetteur de ligne</w:t>
      </w:r>
      <w:r w:rsidRPr="003B5669">
        <w:rPr>
          <w:b w:val="0"/>
          <w:i/>
        </w:rPr>
        <w:t xml:space="preserve"> </w:t>
      </w:r>
      <w:r w:rsidRPr="003B5669">
        <w:rPr>
          <w:b w:val="0"/>
        </w:rPr>
        <w:t>(</w:t>
      </w:r>
      <w:r w:rsidRPr="003B5669">
        <w:rPr>
          <w:b w:val="0"/>
          <w:i/>
          <w:iCs/>
        </w:rPr>
        <w:t>source</w:t>
      </w:r>
      <w:r w:rsidRPr="003B5669">
        <w:rPr>
          <w:b w:val="0"/>
        </w:rPr>
        <w:t>)</w:t>
      </w:r>
    </w:p>
    <w:p w:rsidR="00A92BFF" w:rsidRPr="003B5669" w:rsidRDefault="00A92BFF" w:rsidP="00A92BFF">
      <w:pPr>
        <w:pStyle w:val="Heading3"/>
      </w:pPr>
      <w:r w:rsidRPr="003B5669">
        <w:t>6.1.1</w:t>
      </w:r>
      <w:r w:rsidRPr="003B5669">
        <w:tab/>
        <w:t>Impédance de sortie</w:t>
      </w:r>
    </w:p>
    <w:p w:rsidR="00A92BFF" w:rsidRPr="003B5669" w:rsidRDefault="00A92BFF" w:rsidP="00A92BFF">
      <w:r w:rsidRPr="003B5669">
        <w:t xml:space="preserve">L'émetteur de ligne présente une sortie non symétrique, avec impédance source de 75 </w:t>
      </w:r>
      <w:r w:rsidRPr="003B5669">
        <w:rPr>
          <w:rFonts w:ascii="Symbol" w:hAnsi="Symbol"/>
        </w:rPr>
        <w:t></w:t>
      </w:r>
      <w:r w:rsidRPr="003B5669">
        <w:t>, et un affaiblissement d'équilibrage d'au moins 15 dB sur une gamme de fréquences de 5-270 MHz.</w:t>
      </w:r>
    </w:p>
    <w:p w:rsidR="00A92BFF" w:rsidRPr="003B5669" w:rsidRDefault="00A92BFF" w:rsidP="00A92BFF">
      <w:pPr>
        <w:pStyle w:val="Heading3"/>
      </w:pPr>
      <w:r w:rsidRPr="003B5669">
        <w:t>6.1.2</w:t>
      </w:r>
      <w:r w:rsidRPr="003B5669">
        <w:tab/>
        <w:t>Amplitude du signal</w:t>
      </w:r>
    </w:p>
    <w:p w:rsidR="00A92BFF" w:rsidRPr="003B5669" w:rsidRDefault="00A92BFF" w:rsidP="00A92BFF">
      <w:r w:rsidRPr="003B5669">
        <w:t xml:space="preserve">L'amplitude du signal, crête à crête, est de 800 mV </w:t>
      </w:r>
      <w:r w:rsidRPr="003B5669">
        <w:rPr>
          <w:rFonts w:ascii="Symbol" w:hAnsi="Symbol"/>
        </w:rPr>
        <w:t></w:t>
      </w:r>
      <w:r w:rsidRPr="003B5669">
        <w:t> 10</w:t>
      </w:r>
      <w:r w:rsidRPr="003B5669">
        <w:rPr>
          <w:rFonts w:ascii="Symbol" w:hAnsi="Symbol"/>
        </w:rPr>
        <w:t></w:t>
      </w:r>
      <w:r w:rsidRPr="003B5669">
        <w:t>, mesurée sur une charge résistive de 75 </w:t>
      </w:r>
      <w:r w:rsidRPr="003B5669">
        <w:rPr>
          <w:rFonts w:ascii="Symbol" w:hAnsi="Symbol"/>
        </w:rPr>
        <w:t></w:t>
      </w:r>
      <w:r w:rsidRPr="003B5669">
        <w:t xml:space="preserve"> reliée directement aux bornes de sortie, sans ligne de transmission.</w:t>
      </w:r>
    </w:p>
    <w:p w:rsidR="00A92BFF" w:rsidRPr="003B5669" w:rsidRDefault="00A92BFF" w:rsidP="00A92BFF">
      <w:pPr>
        <w:pStyle w:val="Heading3"/>
      </w:pPr>
      <w:r w:rsidRPr="003B5669">
        <w:t>6.1.3</w:t>
      </w:r>
      <w:r w:rsidRPr="003B5669">
        <w:tab/>
        <w:t>Variation en courant continu</w:t>
      </w:r>
    </w:p>
    <w:p w:rsidR="00A92BFF" w:rsidRPr="003B5669" w:rsidRDefault="00A92BFF" w:rsidP="00A92BFF">
      <w:r w:rsidRPr="003B5669">
        <w:t>La variation en courant continu, par rapport à l'amplitude moyenne du signal, est de +0,5/–0,5 V.</w:t>
      </w:r>
    </w:p>
    <w:p w:rsidR="00A92BFF" w:rsidRPr="003B5669" w:rsidRDefault="00A92BFF" w:rsidP="00A92BFF">
      <w:pPr>
        <w:pStyle w:val="Heading3"/>
      </w:pPr>
      <w:r w:rsidRPr="003B5669">
        <w:t>6.1.4</w:t>
      </w:r>
      <w:r w:rsidRPr="003B5669">
        <w:tab/>
        <w:t>Temps de montée et de descente</w:t>
      </w:r>
    </w:p>
    <w:p w:rsidR="00A92BFF" w:rsidRPr="003B5669" w:rsidRDefault="00A92BFF" w:rsidP="00A92BFF">
      <w:r w:rsidRPr="003B5669">
        <w:t>Les temps de montée et de descente, déterminés entre les points d'amplitude 20</w:t>
      </w:r>
      <w:r w:rsidRPr="003B5669">
        <w:rPr>
          <w:rFonts w:ascii="Symbol" w:hAnsi="Symbol"/>
        </w:rPr>
        <w:t></w:t>
      </w:r>
      <w:r w:rsidRPr="003B5669">
        <w:t xml:space="preserve"> et 80</w:t>
      </w:r>
      <w:r w:rsidRPr="003B5669">
        <w:rPr>
          <w:rFonts w:ascii="Symbol" w:hAnsi="Symbol"/>
        </w:rPr>
        <w:t></w:t>
      </w:r>
      <w:r w:rsidRPr="003B5669">
        <w:t xml:space="preserve"> et mesurés sur une charge résistive de 75 </w:t>
      </w:r>
      <w:r w:rsidRPr="003B5669">
        <w:rPr>
          <w:rFonts w:ascii="Symbol" w:hAnsi="Symbol"/>
        </w:rPr>
        <w:t></w:t>
      </w:r>
      <w:r w:rsidRPr="003B5669">
        <w:t xml:space="preserve"> connectée directement aux bornes de sortie, doivent être compris entre 0,75 et 1,50 ns et ne pas différer de plus de 0,50 ns.</w:t>
      </w:r>
    </w:p>
    <w:p w:rsidR="00A92BFF" w:rsidRPr="003B5669" w:rsidRDefault="00A92BFF" w:rsidP="00A92BFF">
      <w:pPr>
        <w:pStyle w:val="Heading3"/>
      </w:pPr>
      <w:r w:rsidRPr="003B5669">
        <w:t>6.1.5</w:t>
      </w:r>
      <w:r w:rsidRPr="003B5669">
        <w:tab/>
        <w:t xml:space="preserve">Gigue </w:t>
      </w:r>
    </w:p>
    <w:p w:rsidR="00A92BFF" w:rsidRPr="003B5669" w:rsidRDefault="00A92BFF" w:rsidP="00A92BFF">
      <w:r w:rsidRPr="003B5669">
        <w:t>La gigue en sortie est spécifiée comme suit:</w:t>
      </w:r>
    </w:p>
    <w:p w:rsidR="00A92BFF" w:rsidRPr="003B5669" w:rsidRDefault="00A92BFF" w:rsidP="00A92BFF">
      <w:pPr>
        <w:pStyle w:val="enumlev1"/>
        <w:ind w:left="2880" w:hanging="2880"/>
        <w:jc w:val="left"/>
      </w:pPr>
      <w:r w:rsidRPr="003B5669">
        <w:t>Gigue en sortie (Note 1)</w:t>
      </w:r>
      <w:r w:rsidRPr="003B5669">
        <w:tab/>
        <w:t>f</w:t>
      </w:r>
      <w:r w:rsidRPr="003B5669">
        <w:rPr>
          <w:vertAlign w:val="subscript"/>
        </w:rPr>
        <w:t>1</w:t>
      </w:r>
      <w:r w:rsidRPr="003B5669">
        <w:t xml:space="preserve">  </w:t>
      </w:r>
      <w:r w:rsidRPr="003B5669">
        <w:rPr>
          <w:rFonts w:ascii="Symbol" w:hAnsi="Symbol"/>
        </w:rPr>
        <w:t></w:t>
      </w:r>
      <w:r w:rsidRPr="003B5669">
        <w:t xml:space="preserve">  10 Hz</w:t>
      </w:r>
      <w:r w:rsidRPr="003B5669">
        <w:br/>
        <w:t>f</w:t>
      </w:r>
      <w:r w:rsidRPr="003B5669">
        <w:rPr>
          <w:vertAlign w:val="subscript"/>
        </w:rPr>
        <w:t>3</w:t>
      </w:r>
      <w:r w:rsidRPr="003B5669">
        <w:t xml:space="preserve">  </w:t>
      </w:r>
      <w:r w:rsidRPr="003B5669">
        <w:rPr>
          <w:rFonts w:ascii="Symbol" w:hAnsi="Symbol"/>
        </w:rPr>
        <w:t></w:t>
      </w:r>
      <w:r w:rsidRPr="003B5669">
        <w:t xml:space="preserve">  1 kHz</w:t>
      </w:r>
      <w:r w:rsidRPr="003B5669">
        <w:br/>
        <w:t>f</w:t>
      </w:r>
      <w:r w:rsidRPr="003B5669">
        <w:rPr>
          <w:vertAlign w:val="subscript"/>
        </w:rPr>
        <w:t>4</w:t>
      </w:r>
      <w:r w:rsidRPr="003B5669">
        <w:t xml:space="preserve">  </w:t>
      </w:r>
      <w:r w:rsidRPr="003B5669">
        <w:rPr>
          <w:rFonts w:ascii="Symbol" w:hAnsi="Symbol"/>
        </w:rPr>
        <w:t></w:t>
      </w:r>
      <w:r w:rsidRPr="003B5669">
        <w:t xml:space="preserve">  1/10 de la cadence d'horloge</w:t>
      </w:r>
      <w:r w:rsidRPr="003B5669">
        <w:br/>
        <w:t>A</w:t>
      </w:r>
      <w:r w:rsidRPr="003B5669">
        <w:rPr>
          <w:vertAlign w:val="subscript"/>
        </w:rPr>
        <w:t>1</w:t>
      </w:r>
      <w:r w:rsidRPr="003B5669">
        <w:rPr>
          <w:sz w:val="18"/>
          <w:vertAlign w:val="subscript"/>
        </w:rPr>
        <w:t xml:space="preserve"> </w:t>
      </w:r>
      <w:r w:rsidRPr="003B5669">
        <w:t xml:space="preserve"> </w:t>
      </w:r>
      <w:r w:rsidRPr="003B5669">
        <w:rPr>
          <w:rFonts w:ascii="Symbol" w:hAnsi="Symbol"/>
        </w:rPr>
        <w:t></w:t>
      </w:r>
      <w:r w:rsidRPr="003B5669">
        <w:t xml:space="preserve"> 0,2 UI (UI; intervalle unitaire)</w:t>
      </w:r>
      <w:r w:rsidRPr="003B5669">
        <w:br/>
        <w:t>A</w:t>
      </w:r>
      <w:r w:rsidRPr="003B5669">
        <w:rPr>
          <w:vertAlign w:val="subscript"/>
        </w:rPr>
        <w:t>2</w:t>
      </w:r>
      <w:r w:rsidRPr="003B5669">
        <w:t xml:space="preserve">  </w:t>
      </w:r>
      <w:r w:rsidRPr="003B5669">
        <w:rPr>
          <w:rFonts w:ascii="Symbol" w:hAnsi="Symbol"/>
        </w:rPr>
        <w:t></w:t>
      </w:r>
      <w:r w:rsidRPr="003B5669">
        <w:t xml:space="preserve"> 0,2 UI</w:t>
      </w:r>
    </w:p>
    <w:p w:rsidR="00A92BFF" w:rsidRPr="003B5669" w:rsidRDefault="00A92BFF" w:rsidP="00A92BFF">
      <w:pPr>
        <w:pStyle w:val="Note"/>
      </w:pPr>
      <w:r w:rsidRPr="003B5669">
        <w:t>NOTE 1 – 1 UI correspond à 3,7 ns et 0,2 UI à 0,74 ns.</w:t>
      </w:r>
    </w:p>
    <w:p w:rsidR="00A92BFF" w:rsidRPr="003B5669" w:rsidRDefault="00A92BFF" w:rsidP="00A92BFF">
      <w:r w:rsidRPr="003B5669">
        <w:t>La spécification de la gigue et les méthodes de mesure de la gigue respecteront la Recommandation UIT-R BT.1363 – Spécifications de la gigue et méthodes de mesure de la gigue pour des signaux numériques série conformes aux Recommandations UIT-R BT.656, UIT</w:t>
      </w:r>
      <w:r w:rsidRPr="003B5669">
        <w:noBreakHyphen/>
        <w:t>R BT.799 et UIT-R BT.1120.</w:t>
      </w:r>
    </w:p>
    <w:p w:rsidR="00A92BFF" w:rsidRPr="003B5669" w:rsidRDefault="00A92BFF" w:rsidP="00A92BFF">
      <w:pPr>
        <w:pStyle w:val="Heading2"/>
      </w:pPr>
      <w:r w:rsidRPr="003B5669">
        <w:t>6.2</w:t>
      </w:r>
      <w:r w:rsidRPr="003B5669">
        <w:tab/>
        <w:t>Caractéristiques du récepteur de ligne</w:t>
      </w:r>
      <w:r w:rsidRPr="003B5669">
        <w:rPr>
          <w:b w:val="0"/>
          <w:i/>
        </w:rPr>
        <w:t xml:space="preserve"> </w:t>
      </w:r>
      <w:r w:rsidRPr="003B5669">
        <w:rPr>
          <w:b w:val="0"/>
        </w:rPr>
        <w:t>(</w:t>
      </w:r>
      <w:r w:rsidRPr="003B5669">
        <w:rPr>
          <w:b w:val="0"/>
          <w:i/>
        </w:rPr>
        <w:t>destination</w:t>
      </w:r>
      <w:r w:rsidRPr="003B5669">
        <w:rPr>
          <w:b w:val="0"/>
        </w:rPr>
        <w:t>)</w:t>
      </w:r>
    </w:p>
    <w:p w:rsidR="00A92BFF" w:rsidRPr="003B5669" w:rsidRDefault="00A92BFF" w:rsidP="00A92BFF">
      <w:pPr>
        <w:pStyle w:val="Heading3"/>
      </w:pPr>
      <w:r w:rsidRPr="003B5669">
        <w:t>6.2.1</w:t>
      </w:r>
      <w:r w:rsidRPr="003B5669">
        <w:tab/>
        <w:t>Impédance de terminaison</w:t>
      </w:r>
    </w:p>
    <w:p w:rsidR="00A92BFF" w:rsidRPr="003B5669" w:rsidRDefault="00A92BFF" w:rsidP="00A92BFF">
      <w:r w:rsidRPr="003B5669">
        <w:t xml:space="preserve">Le câble se termine sur une résistance de 75 </w:t>
      </w:r>
      <w:r w:rsidRPr="003B5669">
        <w:rPr>
          <w:rFonts w:ascii="Symbol" w:hAnsi="Symbol"/>
        </w:rPr>
        <w:t></w:t>
      </w:r>
      <w:r w:rsidRPr="003B5669">
        <w:t xml:space="preserve"> avec un affaiblissement d'équilibrage d'au moins 15 dB sur une gamme de fréquences de 5</w:t>
      </w:r>
      <w:r w:rsidRPr="003B5669">
        <w:noBreakHyphen/>
        <w:t>270 MHz.</w:t>
      </w:r>
    </w:p>
    <w:p w:rsidR="00A92BFF" w:rsidRPr="003B5669" w:rsidRDefault="00A92BFF" w:rsidP="00A92BFF">
      <w:pPr>
        <w:pStyle w:val="Heading3"/>
      </w:pPr>
      <w:r w:rsidRPr="003B5669">
        <w:lastRenderedPageBreak/>
        <w:t>6.2.2</w:t>
      </w:r>
      <w:r w:rsidRPr="003B5669">
        <w:tab/>
        <w:t>Sensibilité du récepteur</w:t>
      </w:r>
    </w:p>
    <w:p w:rsidR="00A92BFF" w:rsidRPr="003B5669" w:rsidRDefault="00A92BFF" w:rsidP="00A92BFF">
      <w:r w:rsidRPr="003B5669">
        <w:t>Le récepteur de ligne doit détecter correctement un flux de données binaire aléatoire lorsqu'il est connecté à un émetteur de ligne fonctionnant aux limites de tension extrême autorisées par le § 6.1.2 ou lorsqu'il est connecté par un câble présentant un affaiblissement de 40 dB à 270 MHz, avec une caractéristique d'affaiblissement de 1 / </w:t>
      </w:r>
      <w:r w:rsidRPr="003B5669">
        <w:fldChar w:fldCharType="begin"/>
      </w:r>
      <w:r w:rsidRPr="003B5669">
        <w:rPr>
          <w:i/>
        </w:rPr>
        <w:instrText>eq \r(f)</w:instrText>
      </w:r>
      <w:r w:rsidRPr="003B5669">
        <w:fldChar w:fldCharType="end"/>
      </w:r>
      <w:r w:rsidRPr="003B5669">
        <w:t>.</w:t>
      </w:r>
    </w:p>
    <w:p w:rsidR="00A92BFF" w:rsidRPr="003B5669" w:rsidRDefault="00A92BFF" w:rsidP="00A92BFF">
      <w:pPr>
        <w:pStyle w:val="Heading3"/>
        <w:rPr>
          <w:b w:val="0"/>
        </w:rPr>
      </w:pPr>
      <w:r w:rsidRPr="003B5669">
        <w:t>6.2.3</w:t>
      </w:r>
      <w:r w:rsidRPr="003B5669">
        <w:tab/>
        <w:t>Discrimination de brouillage</w:t>
      </w:r>
    </w:p>
    <w:p w:rsidR="00A92BFF" w:rsidRPr="003B5669" w:rsidRDefault="00A92BFF" w:rsidP="00A92BFF">
      <w:r w:rsidRPr="003B5669">
        <w:t>Lorsqu'il est connecté directement à un émetteur de ligne fonctionnant à la limite inférieure spécifiée au § 6.1.2, le récepteur de ligne doit détecter correctement le flux binaire en présence d'un signal brouilleur superposé aux niveaux suivants:</w:t>
      </w:r>
    </w:p>
    <w:p w:rsidR="00A92BFF" w:rsidRPr="003B5669" w:rsidRDefault="00A92BFF" w:rsidP="00A92BFF">
      <w:pPr>
        <w:pStyle w:val="enumlev1"/>
      </w:pPr>
      <w:r w:rsidRPr="003B5669">
        <w:t>Signal continu</w:t>
      </w:r>
      <w:r w:rsidRPr="003B5669">
        <w:tab/>
      </w:r>
      <w:r w:rsidRPr="003B5669">
        <w:tab/>
      </w:r>
      <w:r w:rsidRPr="003B5669">
        <w:tab/>
      </w:r>
      <w:r w:rsidRPr="003B5669">
        <w:tab/>
      </w:r>
      <w:r w:rsidRPr="003B5669">
        <w:rPr>
          <w:rFonts w:ascii="Symbol" w:hAnsi="Symbol"/>
        </w:rPr>
        <w:t></w:t>
      </w:r>
      <w:r w:rsidRPr="003B5669">
        <w:t> 2,5 V</w:t>
      </w:r>
    </w:p>
    <w:p w:rsidR="00A92BFF" w:rsidRPr="003B5669" w:rsidRDefault="00A92BFF" w:rsidP="00A92BFF">
      <w:pPr>
        <w:pStyle w:val="enumlev1"/>
      </w:pPr>
      <w:r w:rsidRPr="003B5669">
        <w:t>Au-dessous de 1 kHz:</w:t>
      </w:r>
      <w:r w:rsidRPr="003B5669">
        <w:tab/>
      </w:r>
      <w:r w:rsidRPr="003B5669">
        <w:tab/>
        <w:t>2,5 V crête</w:t>
      </w:r>
      <w:r>
        <w:t>-</w:t>
      </w:r>
      <w:r w:rsidRPr="003B5669">
        <w:t>à</w:t>
      </w:r>
      <w:r>
        <w:t>-</w:t>
      </w:r>
      <w:r w:rsidRPr="003B5669">
        <w:t xml:space="preserve">crête </w:t>
      </w:r>
    </w:p>
    <w:p w:rsidR="00A92BFF" w:rsidRPr="003B5669" w:rsidRDefault="00A92BFF" w:rsidP="00A92BFF">
      <w:pPr>
        <w:pStyle w:val="enumlev1"/>
      </w:pPr>
      <w:r w:rsidRPr="003B5669">
        <w:t>1 kHz à 5 MHz:</w:t>
      </w:r>
      <w:r w:rsidRPr="003B5669">
        <w:tab/>
      </w:r>
      <w:r w:rsidRPr="003B5669">
        <w:tab/>
      </w:r>
      <w:r w:rsidRPr="003B5669">
        <w:tab/>
      </w:r>
      <w:r w:rsidRPr="003B5669">
        <w:tab/>
        <w:t>100 mV crête</w:t>
      </w:r>
      <w:r>
        <w:t>-</w:t>
      </w:r>
      <w:r w:rsidRPr="003B5669">
        <w:t>à</w:t>
      </w:r>
      <w:r>
        <w:t>-</w:t>
      </w:r>
      <w:r w:rsidRPr="003B5669">
        <w:t>crête</w:t>
      </w:r>
    </w:p>
    <w:p w:rsidR="00A92BFF" w:rsidRPr="003B5669" w:rsidRDefault="00A92BFF" w:rsidP="00A92BFF">
      <w:pPr>
        <w:pStyle w:val="enumlev1"/>
      </w:pPr>
      <w:r w:rsidRPr="003B5669">
        <w:t>Au-dessus de 5 MHz:</w:t>
      </w:r>
      <w:r w:rsidRPr="003B5669">
        <w:tab/>
      </w:r>
      <w:r w:rsidRPr="003B5669">
        <w:tab/>
        <w:t>40 mV crête</w:t>
      </w:r>
      <w:r>
        <w:t>-</w:t>
      </w:r>
      <w:r w:rsidRPr="003B5669">
        <w:t>à</w:t>
      </w:r>
      <w:r>
        <w:t>-</w:t>
      </w:r>
      <w:r w:rsidRPr="003B5669">
        <w:t>crête</w:t>
      </w:r>
    </w:p>
    <w:p w:rsidR="00A92BFF" w:rsidRPr="003B5669" w:rsidRDefault="00A92BFF" w:rsidP="00A92BFF">
      <w:pPr>
        <w:pStyle w:val="Heading2"/>
      </w:pPr>
      <w:r w:rsidRPr="003B5669">
        <w:t>6.3</w:t>
      </w:r>
      <w:r w:rsidRPr="003B5669">
        <w:tab/>
      </w:r>
      <w:r w:rsidRPr="003B5669">
        <w:rPr>
          <w:lang w:eastAsia="ja-JP"/>
        </w:rPr>
        <w:t>Câbles coaxiaux et connecteurs</w:t>
      </w:r>
    </w:p>
    <w:p w:rsidR="00A92BFF" w:rsidRPr="003B5669" w:rsidRDefault="00A92BFF" w:rsidP="00A92BFF">
      <w:pPr>
        <w:pStyle w:val="Heading3"/>
      </w:pPr>
      <w:r w:rsidRPr="003B5669">
        <w:t>6.3.1</w:t>
      </w:r>
      <w:r w:rsidRPr="003B5669">
        <w:tab/>
        <w:t>Câble</w:t>
      </w:r>
    </w:p>
    <w:p w:rsidR="00A92BFF" w:rsidRPr="003B5669" w:rsidRDefault="00A92BFF" w:rsidP="00A92BFF">
      <w:r w:rsidRPr="003B5669">
        <w:t>On recommande de choisir un câble coaxial répondant à toutes les normes nationales applicables concernant les rayonnements électromagnétiques.</w:t>
      </w:r>
    </w:p>
    <w:p w:rsidR="00A92BFF" w:rsidRPr="003B5669" w:rsidRDefault="00A92BFF" w:rsidP="00A92BFF">
      <w:pPr>
        <w:pStyle w:val="Note"/>
        <w:rPr>
          <w:lang w:eastAsia="ja-JP"/>
        </w:rPr>
      </w:pPr>
      <w:r w:rsidRPr="003B5669">
        <w:t>NOTE 1 – </w:t>
      </w:r>
      <w:r w:rsidRPr="003B5669">
        <w:rPr>
          <w:lang w:eastAsia="ja-JP"/>
        </w:rPr>
        <w:t xml:space="preserve">Le traitement et la transmission de données numériques, par exemple de signaux vidéo numériques à haut débit de données, produisent un large spectre d'énergie susceptible d'occasionner de la diaphonie ou des brouillages. Il convient de noter que la neuvième et la dix-huitième harmoniques de la fréquence d'échantillonnage de </w:t>
      </w:r>
      <w:r w:rsidRPr="003B5669">
        <w:t xml:space="preserve">13,5 MHz (valeur nominale) spécifiée dans la Recommandation UIT-R BT.601 coïncident avec les fréquences de détresse aéronautique 121,5 et 243 MHz. En conséquence, il faudra prendre des précautions appropriées au niveau de la conception et de l'exploitation de ces interfaces pour veiller à ce qu'aucun brouillage ne soit occasionné à ces fréquences. Les niveaux maximum admissibles de rayonnement provoqué par les équipements de traitement de données numériques font l'objet de diverses normes nationales et internationales, et il convient de noter à cet égard que les niveaux d'émission des équipements concernés sont spécifiés dans la Recommandation CISPR </w:t>
      </w:r>
      <w:r w:rsidRPr="003B5669">
        <w:rPr>
          <w:i/>
          <w:iCs/>
        </w:rPr>
        <w:t>Information technology equipment – limits of interference and measuring methods</w:t>
      </w:r>
      <w:r w:rsidRPr="003B5669">
        <w:t xml:space="preserve"> (Doc. CISPR/B (Central Office) 16). En tout état de cause, le numéro </w:t>
      </w:r>
      <w:r w:rsidRPr="003B5669">
        <w:rPr>
          <w:lang w:eastAsia="ja-JP"/>
        </w:rPr>
        <w:t>4.22</w:t>
      </w:r>
      <w:r w:rsidRPr="003B5669">
        <w:t xml:space="preserve"> du Règlement des radiocommunications interdit tout brouillage préjudiciable sur les fréquences d'urgence (se reporter également à la Recommandation UIT-R BT.803).</w:t>
      </w:r>
    </w:p>
    <w:p w:rsidR="00A92BFF" w:rsidRPr="003B5669" w:rsidRDefault="00A92BFF" w:rsidP="00A92BFF">
      <w:pPr>
        <w:pStyle w:val="Note"/>
        <w:rPr>
          <w:lang w:eastAsia="ja-JP"/>
        </w:rPr>
      </w:pPr>
      <w:r w:rsidRPr="003B5669">
        <w:t>NOTE </w:t>
      </w:r>
      <w:r w:rsidRPr="003B5669">
        <w:rPr>
          <w:lang w:eastAsia="ja-JP"/>
        </w:rPr>
        <w:t>2</w:t>
      </w:r>
      <w:r w:rsidRPr="003B5669">
        <w:t> – </w:t>
      </w:r>
      <w:r w:rsidRPr="003B5669">
        <w:rPr>
          <w:lang w:eastAsia="ja-JP"/>
        </w:rPr>
        <w:t>La transmission par fibres optiques supprime le problème du rayonnement produit par les câbles ainsi que celui des rayonnements induits en mode commun, mais il est par ailleurs possible d'obtenir un fonctionnement quasi parfait avec des câbles coaxiaux. On estime que la plus grande partie des rayonnements éventuels aurait pour origine la logique de traitement et les émetteurs de forte puissance utilisés avec les deux méthodes. En raison de la nature large bande et aléatoire du signal numérique, l'optimisation en fréquence n'apporte que très peu d'avantages.</w:t>
      </w:r>
    </w:p>
    <w:p w:rsidR="00A92BFF" w:rsidRPr="003B5669" w:rsidRDefault="00A92BFF" w:rsidP="00A92BFF">
      <w:pPr>
        <w:pStyle w:val="Heading3"/>
      </w:pPr>
      <w:r w:rsidRPr="003B5669">
        <w:t>6.3.2</w:t>
      </w:r>
      <w:r w:rsidRPr="003B5669">
        <w:tab/>
        <w:t>Impédance caractéristique</w:t>
      </w:r>
    </w:p>
    <w:p w:rsidR="00A92BFF" w:rsidRPr="003B5669" w:rsidRDefault="00A92BFF" w:rsidP="00A92BFF">
      <w:r w:rsidRPr="003B5669">
        <w:t xml:space="preserve">Le câble coaxial utilisé devra présenter une impédance caractéristique nominale de 75 </w:t>
      </w:r>
      <w:r w:rsidRPr="003B5669">
        <w:rPr>
          <w:rFonts w:ascii="Symbol" w:hAnsi="Symbol"/>
        </w:rPr>
        <w:t></w:t>
      </w:r>
      <w:r w:rsidRPr="003B5669">
        <w:t>.</w:t>
      </w:r>
    </w:p>
    <w:p w:rsidR="00A92BFF" w:rsidRPr="003B5669" w:rsidRDefault="00A92BFF" w:rsidP="00A92BFF">
      <w:pPr>
        <w:pStyle w:val="Heading3"/>
      </w:pPr>
      <w:r>
        <w:t>6.3.3</w:t>
      </w:r>
      <w:r>
        <w:tab/>
      </w:r>
      <w:r w:rsidRPr="003B5669">
        <w:t>Caractéristiques du connecteur</w:t>
      </w:r>
    </w:p>
    <w:p w:rsidR="00A92BFF" w:rsidRPr="003B5669" w:rsidRDefault="00A92BFF" w:rsidP="00A92BFF">
      <w:r w:rsidRPr="003B5669">
        <w:t>Le connecteur présentera des caractéristiques mécaniques conformes à la norme BNC type CEI </w:t>
      </w:r>
      <w:r w:rsidRPr="003B5669">
        <w:rPr>
          <w:rFonts w:eastAsia="SimSun"/>
          <w:lang w:eastAsia="zh-CN"/>
        </w:rPr>
        <w:t>61169-8 (2007-2)</w:t>
      </w:r>
      <w:r w:rsidRPr="003B5669">
        <w:rPr>
          <w:rStyle w:val="FootnoteReference"/>
          <w:rFonts w:eastAsia="SimSun"/>
          <w:lang w:eastAsia="zh-CN"/>
        </w:rPr>
        <w:footnoteReference w:customMarkFollows="1" w:id="2"/>
        <w:t>*</w:t>
      </w:r>
      <w:r w:rsidRPr="003B5669">
        <w:t xml:space="preserve"> – </w:t>
      </w:r>
      <w:r>
        <w:t>«</w:t>
      </w:r>
      <w:r w:rsidRPr="00206673">
        <w:rPr>
          <w:rFonts w:eastAsia="SimSun"/>
          <w:lang w:eastAsia="zh-CN"/>
        </w:rPr>
        <w:t xml:space="preserve">Part 8: Sectional specification – RF coaxial connectors with inner </w:t>
      </w:r>
      <w:r w:rsidRPr="00206673">
        <w:rPr>
          <w:rFonts w:eastAsia="SimSun"/>
          <w:lang w:eastAsia="zh-CN"/>
        </w:rPr>
        <w:lastRenderedPageBreak/>
        <w:t xml:space="preserve">diameter of outer conductor 6.5 mm (0.256 in) with bayonet lock-characteristic impedance 50 Ω </w:t>
      </w:r>
      <w:r w:rsidRPr="00206673">
        <w:rPr>
          <w:rFonts w:eastAsia="SimSun"/>
          <w:szCs w:val="24"/>
          <w:lang w:eastAsia="zh-CN"/>
        </w:rPr>
        <w:t>(type BNC),</w:t>
      </w:r>
      <w:r w:rsidRPr="00206673">
        <w:rPr>
          <w:rFonts w:eastAsia="SimSun"/>
          <w:lang w:eastAsia="zh-CN"/>
        </w:rPr>
        <w:t xml:space="preserve"> Annex A (Normative) Information for interface dimensions of 75 Ω </w:t>
      </w:r>
      <w:r w:rsidRPr="00206673">
        <w:rPr>
          <w:rFonts w:eastAsia="SimSun"/>
          <w:szCs w:val="24"/>
          <w:lang w:eastAsia="zh-CN"/>
        </w:rPr>
        <w:t>c</w:t>
      </w:r>
      <w:r w:rsidRPr="00206673">
        <w:rPr>
          <w:rFonts w:eastAsia="SimSun"/>
          <w:lang w:eastAsia="zh-CN"/>
        </w:rPr>
        <w:t>haracteristic impedance connector with unspecified reflection factor</w:t>
      </w:r>
      <w:r>
        <w:rPr>
          <w:rFonts w:eastAsia="SimSun"/>
          <w:lang w:eastAsia="zh-CN"/>
        </w:rPr>
        <w:t>»</w:t>
      </w:r>
      <w:r w:rsidRPr="003B5669">
        <w:rPr>
          <w:rFonts w:eastAsia="SimSun"/>
          <w:lang w:eastAsia="zh-CN"/>
        </w:rPr>
        <w:t>.</w:t>
      </w:r>
    </w:p>
    <w:p w:rsidR="00A92BFF" w:rsidRPr="003B5669" w:rsidRDefault="00A92BFF" w:rsidP="00A92BFF">
      <w:pPr>
        <w:pStyle w:val="Heading1"/>
      </w:pPr>
      <w:r w:rsidRPr="003B5669">
        <w:t>7</w:t>
      </w:r>
      <w:r w:rsidRPr="003B5669">
        <w:tab/>
        <w:t>Caractéristiques de l'interface optique</w:t>
      </w:r>
    </w:p>
    <w:p w:rsidR="00A92BFF" w:rsidRPr="003B5669" w:rsidRDefault="00A92BFF" w:rsidP="00A92BFF">
      <w:r w:rsidRPr="003B5669">
        <w:t>Les spécifications caractérisant l'interface optique seront conformes aux règles générales indiquées dans la Recommandation UIT</w:t>
      </w:r>
      <w:r w:rsidRPr="003B5669">
        <w:noBreakHyphen/>
        <w:t>R BT.1367 – Systèmes de transmission numérique série par fibres optiques pour signaux conformes aux Recommandations UIT-R BT.656, UIT-R BT.799 et UIT</w:t>
      </w:r>
      <w:r w:rsidRPr="003B5669">
        <w:noBreakHyphen/>
        <w:t>R BT.1120.</w:t>
      </w:r>
    </w:p>
    <w:p w:rsidR="00A92BFF" w:rsidRPr="003B5669" w:rsidRDefault="00A92BFF" w:rsidP="00A92BFF">
      <w:r w:rsidRPr="003B5669">
        <w:t>Pour appliquer cette Recommandation, les spécifications suivantes sont nécessaires:</w:t>
      </w:r>
    </w:p>
    <w:p w:rsidR="00A92BFF" w:rsidRPr="003B5669" w:rsidRDefault="00A92BFF" w:rsidP="00A92BFF">
      <w:pPr>
        <w:pStyle w:val="enumlev1"/>
      </w:pPr>
      <w:r w:rsidRPr="003B5669">
        <w:t>Temps de montée et de descente</w:t>
      </w:r>
      <w:r w:rsidRPr="003B5669">
        <w:tab/>
      </w:r>
      <w:r w:rsidRPr="003B5669">
        <w:rPr>
          <w:rFonts w:ascii="Symbol" w:hAnsi="Symbol"/>
        </w:rPr>
        <w:t></w:t>
      </w:r>
      <w:r w:rsidRPr="003B5669">
        <w:t xml:space="preserve"> 1,5 ns (20</w:t>
      </w:r>
      <w:r w:rsidRPr="003B5669">
        <w:rPr>
          <w:rFonts w:ascii="Symbol" w:hAnsi="Symbol"/>
        </w:rPr>
        <w:t></w:t>
      </w:r>
      <w:r w:rsidRPr="003B5669">
        <w:t xml:space="preserve"> à 80</w:t>
      </w:r>
      <w:r w:rsidRPr="003B5669">
        <w:rPr>
          <w:rFonts w:ascii="Symbol" w:hAnsi="Symbol"/>
        </w:rPr>
        <w:t></w:t>
      </w:r>
      <w:r w:rsidRPr="003B5669">
        <w:t>)</w:t>
      </w:r>
    </w:p>
    <w:p w:rsidR="00A92BFF" w:rsidRPr="003B5669" w:rsidRDefault="00A92BFF" w:rsidP="00A92BFF">
      <w:pPr>
        <w:pStyle w:val="enumlev1"/>
        <w:tabs>
          <w:tab w:val="clear" w:pos="1985"/>
          <w:tab w:val="left" w:pos="2880"/>
        </w:tabs>
      </w:pPr>
      <w:r w:rsidRPr="003B5669">
        <w:t>Gigue en sortie (Note 1)</w:t>
      </w:r>
      <w:r w:rsidRPr="003B5669">
        <w:tab/>
      </w:r>
      <w:r w:rsidRPr="003B5669">
        <w:tab/>
        <w:t>f</w:t>
      </w:r>
      <w:r w:rsidRPr="003B5669">
        <w:rPr>
          <w:vertAlign w:val="subscript"/>
        </w:rPr>
        <w:t xml:space="preserve">1 </w:t>
      </w:r>
      <w:r w:rsidRPr="003B5669">
        <w:t xml:space="preserve"> </w:t>
      </w:r>
      <w:r w:rsidRPr="003B5669">
        <w:rPr>
          <w:rFonts w:ascii="Symbol" w:hAnsi="Symbol"/>
        </w:rPr>
        <w:t></w:t>
      </w:r>
      <w:r w:rsidRPr="003B5669">
        <w:t xml:space="preserve">   10 Hz</w:t>
      </w:r>
    </w:p>
    <w:p w:rsidR="00A92BFF" w:rsidRPr="003B5669" w:rsidRDefault="00A92BFF" w:rsidP="00A92BFF">
      <w:pPr>
        <w:pStyle w:val="enumlev1"/>
        <w:tabs>
          <w:tab w:val="clear" w:pos="1191"/>
          <w:tab w:val="clear" w:pos="1588"/>
          <w:tab w:val="clear" w:pos="1985"/>
          <w:tab w:val="left" w:pos="2880"/>
        </w:tabs>
      </w:pPr>
      <w:r w:rsidRPr="003B5669">
        <w:tab/>
      </w:r>
      <w:r w:rsidRPr="003B5669">
        <w:tab/>
      </w:r>
      <w:r w:rsidRPr="003B5669">
        <w:tab/>
        <w:t>f</w:t>
      </w:r>
      <w:r w:rsidRPr="003B5669">
        <w:rPr>
          <w:vertAlign w:val="subscript"/>
        </w:rPr>
        <w:t>3</w:t>
      </w:r>
      <w:r w:rsidRPr="003B5669">
        <w:t xml:space="preserve">  </w:t>
      </w:r>
      <w:r w:rsidRPr="003B5669">
        <w:rPr>
          <w:rFonts w:ascii="Symbol" w:hAnsi="Symbol"/>
        </w:rPr>
        <w:t></w:t>
      </w:r>
      <w:r w:rsidRPr="003B5669">
        <w:t xml:space="preserve">   1 kHz</w:t>
      </w:r>
    </w:p>
    <w:p w:rsidR="00A92BFF" w:rsidRPr="003B5669" w:rsidRDefault="00A92BFF" w:rsidP="00A92BFF">
      <w:pPr>
        <w:pStyle w:val="enumlev1"/>
        <w:tabs>
          <w:tab w:val="clear" w:pos="1191"/>
          <w:tab w:val="clear" w:pos="1588"/>
          <w:tab w:val="clear" w:pos="1985"/>
          <w:tab w:val="left" w:pos="2880"/>
        </w:tabs>
      </w:pPr>
      <w:r w:rsidRPr="003B5669">
        <w:tab/>
      </w:r>
      <w:r w:rsidRPr="003B5669">
        <w:tab/>
      </w:r>
      <w:r w:rsidRPr="003B5669">
        <w:tab/>
        <w:t>f</w:t>
      </w:r>
      <w:r w:rsidRPr="003B5669">
        <w:rPr>
          <w:vertAlign w:val="subscript"/>
        </w:rPr>
        <w:t>4</w:t>
      </w:r>
      <w:r w:rsidRPr="003B5669">
        <w:t xml:space="preserve">  </w:t>
      </w:r>
      <w:r w:rsidRPr="003B5669">
        <w:rPr>
          <w:rFonts w:ascii="Symbol" w:hAnsi="Symbol"/>
        </w:rPr>
        <w:t></w:t>
      </w:r>
      <w:r w:rsidRPr="003B5669">
        <w:t xml:space="preserve">   1/10 de la cadence d'horloge</w:t>
      </w:r>
    </w:p>
    <w:p w:rsidR="00A92BFF" w:rsidRPr="003B5669" w:rsidRDefault="00A92BFF" w:rsidP="00A92BFF">
      <w:pPr>
        <w:pStyle w:val="enumlev1"/>
        <w:tabs>
          <w:tab w:val="clear" w:pos="1191"/>
          <w:tab w:val="clear" w:pos="1588"/>
          <w:tab w:val="clear" w:pos="1985"/>
          <w:tab w:val="left" w:pos="2880"/>
        </w:tabs>
      </w:pPr>
      <w:r w:rsidRPr="003B5669">
        <w:tab/>
      </w:r>
      <w:r w:rsidRPr="003B5669">
        <w:tab/>
      </w:r>
      <w:r w:rsidRPr="003B5669">
        <w:tab/>
        <w:t>A</w:t>
      </w:r>
      <w:r w:rsidRPr="003B5669">
        <w:rPr>
          <w:vertAlign w:val="subscript"/>
        </w:rPr>
        <w:t>1</w:t>
      </w:r>
      <w:r w:rsidRPr="003B5669">
        <w:t xml:space="preserve">  </w:t>
      </w:r>
      <w:r w:rsidRPr="003B5669">
        <w:rPr>
          <w:rFonts w:ascii="Symbol" w:hAnsi="Symbol"/>
        </w:rPr>
        <w:t></w:t>
      </w:r>
      <w:r w:rsidRPr="003B5669">
        <w:t xml:space="preserve">  0</w:t>
      </w:r>
      <w:r>
        <w:t>,</w:t>
      </w:r>
      <w:r w:rsidRPr="003B5669">
        <w:t>135 UI (UI; intervalle unitaire)</w:t>
      </w:r>
    </w:p>
    <w:p w:rsidR="00A92BFF" w:rsidRPr="003B5669" w:rsidRDefault="00A92BFF" w:rsidP="00A92BFF">
      <w:pPr>
        <w:pStyle w:val="enumlev1"/>
        <w:tabs>
          <w:tab w:val="clear" w:pos="1191"/>
          <w:tab w:val="clear" w:pos="1588"/>
          <w:tab w:val="clear" w:pos="1985"/>
          <w:tab w:val="left" w:pos="2880"/>
        </w:tabs>
      </w:pPr>
      <w:r w:rsidRPr="003B5669">
        <w:tab/>
      </w:r>
      <w:r w:rsidRPr="003B5669">
        <w:tab/>
      </w:r>
      <w:r w:rsidRPr="003B5669">
        <w:tab/>
        <w:t>A</w:t>
      </w:r>
      <w:r w:rsidRPr="003B5669">
        <w:rPr>
          <w:vertAlign w:val="subscript"/>
        </w:rPr>
        <w:t>2</w:t>
      </w:r>
      <w:r w:rsidRPr="003B5669">
        <w:t xml:space="preserve">  </w:t>
      </w:r>
      <w:r w:rsidRPr="003B5669">
        <w:rPr>
          <w:rFonts w:ascii="Symbol" w:hAnsi="Symbol"/>
        </w:rPr>
        <w:t></w:t>
      </w:r>
      <w:r w:rsidRPr="003B5669">
        <w:t xml:space="preserve">  0</w:t>
      </w:r>
      <w:r>
        <w:t>,</w:t>
      </w:r>
      <w:r w:rsidRPr="003B5669">
        <w:t>135 UI</w:t>
      </w:r>
    </w:p>
    <w:p w:rsidR="00A92BFF" w:rsidRPr="003B5669" w:rsidRDefault="00A92BFF" w:rsidP="00A92BFF">
      <w:pPr>
        <w:pStyle w:val="Note"/>
      </w:pPr>
      <w:r w:rsidRPr="003B5669">
        <w:t>NOTE 1 – La spécification de la gigue et des méthodes de mesure de la gigue seront conformes à la Recommandation UIT</w:t>
      </w:r>
      <w:r w:rsidRPr="003B5669">
        <w:noBreakHyphen/>
        <w:t>R BT.1363 – Spécifications de gigue et méthodes pour mesurer la gigue des signaux série conformes aux Recommandations UIT-R BT.656, UIT-R BT.799 et UIT-R BT.1120.</w:t>
      </w:r>
    </w:p>
    <w:p w:rsidR="00A92BFF" w:rsidRDefault="00A92BFF" w:rsidP="00A92BFF"/>
    <w:p w:rsidR="00A92BFF" w:rsidRDefault="00A92BFF" w:rsidP="00A92BFF"/>
    <w:p w:rsidR="00A92BFF" w:rsidRPr="003B5669" w:rsidRDefault="00A92BFF" w:rsidP="00A92BFF">
      <w:pPr>
        <w:pStyle w:val="AppendixNoTitle"/>
      </w:pPr>
      <w:r w:rsidRPr="003B5669">
        <w:t>Appendice 1</w:t>
      </w:r>
      <w:r w:rsidRPr="003B5669">
        <w:br/>
        <w:t>(publié à titre d'information)</w:t>
      </w:r>
    </w:p>
    <w:p w:rsidR="00A92BFF" w:rsidRPr="003B5669" w:rsidRDefault="00A92BFF" w:rsidP="00A92BFF">
      <w:pPr>
        <w:pStyle w:val="Parttitle"/>
      </w:pPr>
      <w:r w:rsidRPr="003B5669">
        <w:t>Interface parallèle</w:t>
      </w:r>
      <w:r w:rsidRPr="00AB3433">
        <w:rPr>
          <w:rStyle w:val="FootnoteReference"/>
          <w:b w:val="0"/>
          <w:bCs/>
        </w:rPr>
        <w:footnoteReference w:id="3"/>
      </w:r>
    </w:p>
    <w:p w:rsidR="00A92BFF" w:rsidRPr="003B5669" w:rsidRDefault="00A92BFF" w:rsidP="00A92BFF">
      <w:pPr>
        <w:pStyle w:val="Heading1"/>
      </w:pPr>
      <w:r w:rsidRPr="003B5669">
        <w:t>1</w:t>
      </w:r>
      <w:r w:rsidRPr="003B5669">
        <w:tab/>
        <w:t>Description générale de l'interface</w:t>
      </w:r>
    </w:p>
    <w:p w:rsidR="00A92BFF" w:rsidRPr="003B5669" w:rsidRDefault="00A92BFF" w:rsidP="00A92BFF">
      <w:r w:rsidRPr="003B5669">
        <w:t xml:space="preserve">Les bits des mots de code qui décrivent le signal vidéo sont transmis en parallèle sur huit paires de conducteurs (dix, en option). Chaque paire de conducteurs achemine un train multiplexé formé de bits (de même poids) provenant de chacun des signaux de composantes </w:t>
      </w:r>
      <w:r w:rsidRPr="003B5669">
        <w:rPr>
          <w:i/>
        </w:rPr>
        <w:t>C</w:t>
      </w:r>
      <w:r w:rsidRPr="003B5669">
        <w:rPr>
          <w:i/>
          <w:position w:val="-4"/>
          <w:sz w:val="16"/>
        </w:rPr>
        <w:t>B</w:t>
      </w:r>
      <w:r w:rsidRPr="003B5669">
        <w:t xml:space="preserve">, </w:t>
      </w:r>
      <w:r w:rsidRPr="003B5669">
        <w:rPr>
          <w:i/>
        </w:rPr>
        <w:t>Y</w:t>
      </w:r>
      <w:r w:rsidRPr="003B5669">
        <w:t xml:space="preserve">, </w:t>
      </w:r>
      <w:r w:rsidRPr="003B5669">
        <w:rPr>
          <w:i/>
        </w:rPr>
        <w:t>C</w:t>
      </w:r>
      <w:r w:rsidRPr="003B5669">
        <w:rPr>
          <w:i/>
          <w:position w:val="-4"/>
          <w:sz w:val="16"/>
        </w:rPr>
        <w:t>R</w:t>
      </w:r>
      <w:r w:rsidRPr="003B5669">
        <w:t xml:space="preserve">, </w:t>
      </w:r>
      <w:r w:rsidRPr="003B5669">
        <w:rPr>
          <w:i/>
        </w:rPr>
        <w:t>Y</w:t>
      </w:r>
      <w:r w:rsidRPr="003B5669">
        <w:t>. Ces huit paires de conducteurs acheminent également des données auxiliaires multiplexées dans le temps et introduites dans le train de données pendant les intervalles de suppression du signal vidéo. Une neuvième paire fournit une horloge synchrone à 27 MHz.</w:t>
      </w:r>
    </w:p>
    <w:p w:rsidR="00A92BFF" w:rsidRPr="003B5669" w:rsidRDefault="00A92BFF" w:rsidP="00A92BFF">
      <w:r w:rsidRPr="003B5669">
        <w:t>Les signaux à l'interface sont transmis au moyen de paires de conducteurs symétriques. On peut utiliser des longueurs de câble allant jusqu'à 50 m (</w:t>
      </w:r>
      <w:r w:rsidRPr="003B5669">
        <w:fldChar w:fldCharType="begin"/>
      </w:r>
      <w:r w:rsidRPr="003B5669">
        <w:instrText>eq \o(\s\up1(~);</w:instrText>
      </w:r>
      <w:r w:rsidRPr="003B5669">
        <w:rPr>
          <w:position w:val="-3"/>
        </w:rPr>
        <w:instrText>–</w:instrText>
      </w:r>
      <w:r w:rsidRPr="003B5669">
        <w:instrText>)</w:instrText>
      </w:r>
      <w:r w:rsidRPr="003B5669">
        <w:fldChar w:fldCharType="end"/>
      </w:r>
      <w:r w:rsidRPr="003B5669">
        <w:t xml:space="preserve"> 160 pieds) sans égalisation et jusqu'à 200 m  (</w:t>
      </w:r>
      <w:r w:rsidRPr="003B5669">
        <w:fldChar w:fldCharType="begin"/>
      </w:r>
      <w:r w:rsidRPr="003B5669">
        <w:instrText>eq \o(\s\up1(~);</w:instrText>
      </w:r>
      <w:r w:rsidRPr="003B5669">
        <w:rPr>
          <w:position w:val="-3"/>
        </w:rPr>
        <w:instrText>–</w:instrText>
      </w:r>
      <w:r w:rsidRPr="003B5669">
        <w:instrText>)</w:instrText>
      </w:r>
      <w:r w:rsidRPr="003B5669">
        <w:fldChar w:fldCharType="end"/>
      </w:r>
      <w:r w:rsidRPr="003B5669">
        <w:t> 650 pieds) avec l'égalisation adéquate.</w:t>
      </w:r>
    </w:p>
    <w:p w:rsidR="00A92BFF" w:rsidRPr="003B5669" w:rsidRDefault="00A92BFF" w:rsidP="00A92BFF">
      <w:r w:rsidRPr="003B5669">
        <w:lastRenderedPageBreak/>
        <w:t>L'interconnexion se fait au moyen d'un connecteur subminiature de type D, à 25 broches, avec un mécanisme de verrouillage (voir le § 5).</w:t>
      </w:r>
    </w:p>
    <w:p w:rsidR="00A92BFF" w:rsidRPr="003B5669" w:rsidRDefault="00A92BFF" w:rsidP="00A92BFF">
      <w:r w:rsidRPr="003B5669">
        <w:t>Pour plus de commodité, les bits du mot de données portent les désignations DONNÉE 0 à DONNÉE 9. Le mot complet est désigné par DONNÉES (0-9). DONNÉE 9 correspond au bit de plus fort poids. Les mots de données à 8 bits occupent DONNÉES (2-9).</w:t>
      </w:r>
    </w:p>
    <w:p w:rsidR="00A92BFF" w:rsidRPr="003B5669" w:rsidRDefault="00A92BFF" w:rsidP="00A92BFF">
      <w:r w:rsidRPr="003B5669">
        <w:t>Les données vidéo sont transmises sous forme NRZ en temps réel (sans mémoire tampon). Cette transmission se fait par blocs, chaque bloc contenant une ligne active de télévision.</w:t>
      </w:r>
    </w:p>
    <w:p w:rsidR="00A92BFF" w:rsidRPr="003B5669" w:rsidRDefault="00A92BFF" w:rsidP="00A92BFF">
      <w:pPr>
        <w:pStyle w:val="Heading1"/>
      </w:pPr>
      <w:r w:rsidRPr="003B5669">
        <w:t>2</w:t>
      </w:r>
      <w:r w:rsidRPr="003B5669">
        <w:tab/>
        <w:t>Format de signaux de données</w:t>
      </w:r>
    </w:p>
    <w:p w:rsidR="00A92BFF" w:rsidRPr="003B5669" w:rsidRDefault="00A92BFF" w:rsidP="00A92BFF">
      <w:r w:rsidRPr="003B5669">
        <w:t>Les données sont acheminées à travers l'interface sous la forme de 8 bits (dix en option) transmis en parallèle, avec une horloge synchrone séparée. Les données sont codées en NRZ. La Partie 1 décrit le format recommandé pour les données.</w:t>
      </w:r>
    </w:p>
    <w:p w:rsidR="00A92BFF" w:rsidRPr="003B5669" w:rsidRDefault="00A92BFF" w:rsidP="00A92BFF">
      <w:pPr>
        <w:pStyle w:val="Heading1"/>
      </w:pPr>
      <w:r w:rsidRPr="003B5669">
        <w:t>3</w:t>
      </w:r>
      <w:r w:rsidRPr="003B5669">
        <w:tab/>
        <w:t>Signal d'horloge</w:t>
      </w:r>
    </w:p>
    <w:p w:rsidR="00A92BFF" w:rsidRPr="003B5669" w:rsidRDefault="00A92BFF" w:rsidP="00A92BFF">
      <w:pPr>
        <w:pStyle w:val="Heading2"/>
      </w:pPr>
      <w:r w:rsidRPr="003B5669">
        <w:t>3.1</w:t>
      </w:r>
      <w:r w:rsidRPr="003B5669">
        <w:tab/>
        <w:t>Observations générales</w:t>
      </w:r>
    </w:p>
    <w:p w:rsidR="00A92BFF" w:rsidRPr="003B5669" w:rsidRDefault="00A92BFF" w:rsidP="00A92BFF">
      <w:r w:rsidRPr="003B5669">
        <w:t>Le signal d'horloge est une onde carrée à 27 MHz, dans laquelle la transition 0-1 représente l'instant de transfert des données. Ce signal présente les caractéristiques suivantes:</w:t>
      </w:r>
    </w:p>
    <w:p w:rsidR="00A92BFF" w:rsidRPr="003B5669" w:rsidRDefault="00A92BFF" w:rsidP="00A92BFF">
      <w:r w:rsidRPr="003B5669">
        <w:rPr>
          <w:i/>
        </w:rPr>
        <w:t>Durée:</w:t>
      </w:r>
      <w:r w:rsidRPr="003B5669">
        <w:tab/>
        <w:t xml:space="preserve">18,5 </w:t>
      </w:r>
      <w:r w:rsidRPr="003B5669">
        <w:rPr>
          <w:rFonts w:ascii="Symbol" w:hAnsi="Symbol"/>
        </w:rPr>
        <w:t></w:t>
      </w:r>
      <w:r w:rsidRPr="003B5669">
        <w:t xml:space="preserve"> 3 ns</w:t>
      </w:r>
    </w:p>
    <w:p w:rsidR="00A92BFF" w:rsidRPr="003B5669" w:rsidRDefault="00A92BFF" w:rsidP="00A92BFF">
      <w:r w:rsidRPr="003B5669">
        <w:rPr>
          <w:i/>
        </w:rPr>
        <w:t>Gigue:</w:t>
      </w:r>
      <w:r w:rsidRPr="003B5669">
        <w:tab/>
        <w:t>moins de 3 ns sur la durée moyenne d'une trame.</w:t>
      </w:r>
    </w:p>
    <w:p w:rsidR="00A92BFF" w:rsidRPr="003B5669" w:rsidRDefault="00A92BFF" w:rsidP="00A92BFF">
      <w:pPr>
        <w:pStyle w:val="Note"/>
      </w:pPr>
      <w:r w:rsidRPr="003B5669">
        <w:t>NOTE 1 – Bien qu'adaptée à une interface parallèle efficace, cette spécification ne convient pas pour une horloge de conversion numérique-analogique ou parallèle-série.</w:t>
      </w:r>
    </w:p>
    <w:p w:rsidR="00A92BFF" w:rsidRPr="003B5669" w:rsidRDefault="00A92BFF" w:rsidP="00A92BFF">
      <w:pPr>
        <w:pStyle w:val="Heading2"/>
      </w:pPr>
      <w:r w:rsidRPr="003B5669">
        <w:t>3.2</w:t>
      </w:r>
      <w:r w:rsidRPr="003B5669">
        <w:tab/>
        <w:t>Relation temporelle entre les signaux d'horloge et les signaux de données</w:t>
      </w:r>
    </w:p>
    <w:p w:rsidR="00A92BFF" w:rsidRPr="003B5669" w:rsidRDefault="00A92BFF" w:rsidP="00A92BFF">
      <w:r w:rsidRPr="003B5669">
        <w:t>Les transitions positives du signal d'horloge doivent se produire au milieu de l'intervalle de temps qui sépare deux transitions de signaux de données, comme l'indique la Fig. 2.</w:t>
      </w:r>
    </w:p>
    <w:p w:rsidR="00A92BFF" w:rsidRPr="003B5669" w:rsidRDefault="00A92BFF" w:rsidP="00A92BFF">
      <w:pPr>
        <w:pStyle w:val="Heading1"/>
      </w:pPr>
      <w:r w:rsidRPr="003B5669">
        <w:t>4</w:t>
      </w:r>
      <w:r w:rsidRPr="003B5669">
        <w:tab/>
        <w:t>Caractéristiques électriques de l'interface</w:t>
      </w:r>
    </w:p>
    <w:p w:rsidR="00A92BFF" w:rsidRPr="003B5669" w:rsidRDefault="00A92BFF" w:rsidP="00A92BFF">
      <w:pPr>
        <w:pStyle w:val="Heading2"/>
      </w:pPr>
      <w:r w:rsidRPr="003B5669">
        <w:t>4.1</w:t>
      </w:r>
      <w:r w:rsidRPr="003B5669">
        <w:tab/>
        <w:t>Observations générales</w:t>
      </w:r>
    </w:p>
    <w:p w:rsidR="00A92BFF" w:rsidRPr="003B5669" w:rsidRDefault="00A92BFF" w:rsidP="00A92BFF">
      <w:r w:rsidRPr="003B5669">
        <w:t>Chaque émetteur de ligne (source) a une sortie symétrique, le récepteur de ligne correspondant a (destination) une entrée symétrique (voir la Fig. 3).</w:t>
      </w:r>
    </w:p>
    <w:p w:rsidR="00A92BFF" w:rsidRPr="003B5669" w:rsidRDefault="00A92BFF" w:rsidP="00A92BFF">
      <w:r w:rsidRPr="003B5669">
        <w:t>Il n'est pas obligatoire d'utiliser la technologie ECL, mais l'émetteur et le récepteur de ligne doivent être compatibles avec elle, c'est-à-dire permettre l'utilisation de composants ECL aussi bien pour les émetteurs que pour les récepteurs.</w:t>
      </w:r>
    </w:p>
    <w:p w:rsidR="00A92BFF" w:rsidRPr="003B5669" w:rsidRDefault="00A92BFF" w:rsidP="00A92BFF">
      <w:r w:rsidRPr="003B5669">
        <w:t>La durée des impulsions numériques est toujours mesurée entre points à mi-amplitude.</w:t>
      </w:r>
    </w:p>
    <w:p w:rsidR="00A92BFF" w:rsidRPr="003B5669" w:rsidRDefault="00A92BFF" w:rsidP="00A92BFF">
      <w:pPr>
        <w:pStyle w:val="Heading2"/>
      </w:pPr>
      <w:r w:rsidRPr="003B5669">
        <w:t>4.2</w:t>
      </w:r>
      <w:r w:rsidRPr="003B5669">
        <w:tab/>
        <w:t>Convention logique</w:t>
      </w:r>
    </w:p>
    <w:p w:rsidR="00A92BFF" w:rsidRPr="003B5669" w:rsidRDefault="00A92BFF" w:rsidP="00A92BFF">
      <w:r w:rsidRPr="003B5669">
        <w:t>La borne A de l'émetteur de ligne est positive par rapport à la borne B pour la valeur binaire 1 et négative pour la valeur 0 (voir la Fig. 3).</w:t>
      </w:r>
    </w:p>
    <w:p w:rsidR="00A92BFF" w:rsidRPr="003B5669" w:rsidRDefault="00A92BFF" w:rsidP="00A92BFF">
      <w:pPr>
        <w:pStyle w:val="FigureNo"/>
      </w:pPr>
      <w:r w:rsidRPr="003B5669">
        <w:object w:dxaOrig="6468" w:dyaOrig="7144">
          <v:shape id="_x0000_i1026" type="#_x0000_t75" style="width:323.4pt;height:357pt" o:ole="" o:allowoverlap="f">
            <v:imagedata r:id="rId15" o:title=""/>
          </v:shape>
          <o:OLEObject Type="Embed" ProgID="CorelDRAW.Graphic.12" ShapeID="_x0000_i1026" DrawAspect="Content" ObjectID="_1359984401" r:id="rId16"/>
        </w:object>
      </w:r>
    </w:p>
    <w:p w:rsidR="00A92BFF" w:rsidRPr="003B5669" w:rsidRDefault="00A92BFF" w:rsidP="00A92BFF">
      <w:pPr>
        <w:pStyle w:val="FigureNo"/>
      </w:pPr>
      <w:r w:rsidRPr="003B5669">
        <w:object w:dxaOrig="6517" w:dyaOrig="3802">
          <v:shape id="_x0000_i1027" type="#_x0000_t75" style="width:325.8pt;height:189.6pt" o:ole="" o:allowoverlap="f">
            <v:imagedata r:id="rId17" o:title=""/>
          </v:shape>
          <o:OLEObject Type="Embed" ProgID="CorelDRAW.Graphic.12" ShapeID="_x0000_i1027" DrawAspect="Content" ObjectID="_1359984402" r:id="rId18"/>
        </w:object>
      </w:r>
    </w:p>
    <w:p w:rsidR="00A92BFF" w:rsidRPr="003B5669" w:rsidRDefault="00A92BFF" w:rsidP="00A92BFF">
      <w:pPr>
        <w:pStyle w:val="Heading2"/>
        <w:keepNext w:val="0"/>
        <w:keepLines w:val="0"/>
      </w:pPr>
      <w:r w:rsidRPr="003B5669">
        <w:t>4.3</w:t>
      </w:r>
      <w:r w:rsidRPr="003B5669">
        <w:tab/>
        <w:t xml:space="preserve">Caractéristiques de l'émetteur de ligne </w:t>
      </w:r>
      <w:r w:rsidRPr="003B5669">
        <w:rPr>
          <w:b w:val="0"/>
          <w:i/>
        </w:rPr>
        <w:t>(source)</w:t>
      </w:r>
    </w:p>
    <w:p w:rsidR="00A92BFF" w:rsidRPr="003B5669" w:rsidRDefault="00A92BFF" w:rsidP="00A92BFF">
      <w:r w:rsidRPr="003B5669">
        <w:rPr>
          <w:b/>
        </w:rPr>
        <w:t>4.3.1</w:t>
      </w:r>
      <w:r w:rsidRPr="003B5669">
        <w:rPr>
          <w:b/>
        </w:rPr>
        <w:tab/>
      </w:r>
      <w:r w:rsidRPr="003B5669">
        <w:rPr>
          <w:i/>
        </w:rPr>
        <w:t>Impédance de sortie:</w:t>
      </w:r>
      <w:r w:rsidRPr="003B5669">
        <w:t xml:space="preserve"> 110 </w:t>
      </w:r>
      <w:r w:rsidRPr="003B5669">
        <w:rPr>
          <w:rFonts w:ascii="Symbol" w:hAnsi="Symbol"/>
        </w:rPr>
        <w:t></w:t>
      </w:r>
      <w:r w:rsidRPr="003B5669">
        <w:t xml:space="preserve"> maximum.</w:t>
      </w:r>
    </w:p>
    <w:p w:rsidR="00A92BFF" w:rsidRPr="003B5669" w:rsidRDefault="00A92BFF" w:rsidP="00A92BFF">
      <w:r w:rsidRPr="003B5669">
        <w:rPr>
          <w:b/>
        </w:rPr>
        <w:t>4.3.2</w:t>
      </w:r>
      <w:r w:rsidRPr="003B5669">
        <w:rPr>
          <w:b/>
        </w:rPr>
        <w:tab/>
      </w:r>
      <w:r w:rsidRPr="003B5669">
        <w:rPr>
          <w:i/>
        </w:rPr>
        <w:t>Tension de mode commun:</w:t>
      </w:r>
      <w:r w:rsidRPr="003B5669">
        <w:t xml:space="preserve"> –</w:t>
      </w:r>
      <w:r w:rsidRPr="003B5669">
        <w:rPr>
          <w:sz w:val="12"/>
        </w:rPr>
        <w:t> </w:t>
      </w:r>
      <w:r w:rsidRPr="003B5669">
        <w:t xml:space="preserve">1,29 V </w:t>
      </w:r>
      <w:r w:rsidRPr="003B5669">
        <w:rPr>
          <w:rFonts w:ascii="Symbol" w:hAnsi="Symbol"/>
        </w:rPr>
        <w:t></w:t>
      </w:r>
      <w:r w:rsidRPr="003B5669">
        <w:t xml:space="preserve"> 15</w:t>
      </w:r>
      <w:r w:rsidRPr="003B5669">
        <w:rPr>
          <w:rFonts w:ascii="Symbol" w:hAnsi="Symbol"/>
        </w:rPr>
        <w:t></w:t>
      </w:r>
      <w:r w:rsidRPr="003B5669">
        <w:t xml:space="preserve"> (pour les deux bornes, par rapport à la terre).</w:t>
      </w:r>
    </w:p>
    <w:p w:rsidR="00A92BFF" w:rsidRPr="003B5669" w:rsidRDefault="00A92BFF" w:rsidP="00A92BFF">
      <w:r w:rsidRPr="003B5669">
        <w:rPr>
          <w:b/>
        </w:rPr>
        <w:t>4.3.3</w:t>
      </w:r>
      <w:r w:rsidRPr="003B5669">
        <w:rPr>
          <w:b/>
        </w:rPr>
        <w:tab/>
      </w:r>
      <w:r w:rsidRPr="003B5669">
        <w:rPr>
          <w:i/>
        </w:rPr>
        <w:t>Amplitude du signal:</w:t>
      </w:r>
      <w:r w:rsidRPr="003B5669">
        <w:t xml:space="preserve"> 0,8 à 2,0 V crête-à-crête, mesurée aux bornes d'une charge résistive de 110 </w:t>
      </w:r>
      <w:r w:rsidRPr="003B5669">
        <w:rPr>
          <w:rFonts w:ascii="Symbol" w:hAnsi="Symbol"/>
        </w:rPr>
        <w:t></w:t>
      </w:r>
      <w:r w:rsidRPr="003B5669">
        <w:t>.</w:t>
      </w:r>
    </w:p>
    <w:p w:rsidR="00A92BFF" w:rsidRPr="003B5669" w:rsidRDefault="00A92BFF" w:rsidP="00A92BFF">
      <w:r w:rsidRPr="003B5669">
        <w:rPr>
          <w:b/>
        </w:rPr>
        <w:lastRenderedPageBreak/>
        <w:t>4.3.4</w:t>
      </w:r>
      <w:r w:rsidRPr="003B5669">
        <w:rPr>
          <w:b/>
        </w:rPr>
        <w:tab/>
      </w:r>
      <w:r w:rsidRPr="003B5669">
        <w:rPr>
          <w:i/>
        </w:rPr>
        <w:t>Temps de montée et de descente:</w:t>
      </w:r>
      <w:r w:rsidRPr="003B5669">
        <w:t xml:space="preserve"> inférieurs à 5 ns, mesurés entre les points d'amplitude 20</w:t>
      </w:r>
      <w:r w:rsidRPr="003B5669">
        <w:rPr>
          <w:rFonts w:ascii="Symbol" w:hAnsi="Symbol"/>
        </w:rPr>
        <w:t></w:t>
      </w:r>
      <w:r w:rsidRPr="003B5669">
        <w:t xml:space="preserve"> et 80</w:t>
      </w:r>
      <w:r w:rsidRPr="003B5669">
        <w:rPr>
          <w:rFonts w:ascii="Symbol" w:hAnsi="Symbol"/>
        </w:rPr>
        <w:t></w:t>
      </w:r>
      <w:r w:rsidRPr="003B5669">
        <w:t xml:space="preserve">, avec une charge résistive de 110 </w:t>
      </w:r>
      <w:r w:rsidRPr="003B5669">
        <w:rPr>
          <w:rFonts w:ascii="Symbol" w:hAnsi="Symbol"/>
        </w:rPr>
        <w:t></w:t>
      </w:r>
      <w:r w:rsidRPr="003B5669">
        <w:t>. La différence entre les temps de montée et de descente ne doit pas dépasser 2 ns.</w:t>
      </w:r>
    </w:p>
    <w:p w:rsidR="00A92BFF" w:rsidRPr="003B5669" w:rsidRDefault="00A92BFF" w:rsidP="00A92BFF">
      <w:pPr>
        <w:pStyle w:val="Heading2"/>
        <w:rPr>
          <w:b w:val="0"/>
          <w:i/>
        </w:rPr>
      </w:pPr>
      <w:r w:rsidRPr="003B5669">
        <w:t>4.4</w:t>
      </w:r>
      <w:r w:rsidRPr="003B5669">
        <w:tab/>
        <w:t xml:space="preserve">Caractéristiques du récepteur de ligne </w:t>
      </w:r>
      <w:r w:rsidRPr="003B5669">
        <w:rPr>
          <w:b w:val="0"/>
          <w:i/>
        </w:rPr>
        <w:t>(destination)</w:t>
      </w:r>
    </w:p>
    <w:p w:rsidR="00A92BFF" w:rsidRPr="003B5669" w:rsidRDefault="00A92BFF" w:rsidP="00A92BFF">
      <w:r w:rsidRPr="003B5669">
        <w:rPr>
          <w:b/>
        </w:rPr>
        <w:t>4.4.1</w:t>
      </w:r>
      <w:r w:rsidRPr="003B5669">
        <w:rPr>
          <w:b/>
        </w:rPr>
        <w:tab/>
      </w:r>
      <w:r w:rsidRPr="003B5669">
        <w:rPr>
          <w:i/>
        </w:rPr>
        <w:t>Impédance d'entrée:</w:t>
      </w:r>
      <w:r w:rsidRPr="003B5669">
        <w:t xml:space="preserve"> 110 </w:t>
      </w:r>
      <w:r w:rsidRPr="003B5669">
        <w:rPr>
          <w:rFonts w:ascii="Symbol" w:hAnsi="Symbol"/>
        </w:rPr>
        <w:t></w:t>
      </w:r>
      <w:r w:rsidRPr="003B5669">
        <w:t xml:space="preserve"> </w:t>
      </w:r>
      <w:r w:rsidRPr="003B5669">
        <w:rPr>
          <w:rFonts w:ascii="Symbol" w:hAnsi="Symbol"/>
        </w:rPr>
        <w:t></w:t>
      </w:r>
      <w:r w:rsidRPr="003B5669">
        <w:t xml:space="preserve"> 10 </w:t>
      </w:r>
      <w:r w:rsidRPr="003B5669">
        <w:rPr>
          <w:rFonts w:ascii="Symbol" w:hAnsi="Symbol"/>
        </w:rPr>
        <w:t></w:t>
      </w:r>
      <w:r w:rsidRPr="003B5669">
        <w:t>.</w:t>
      </w:r>
    </w:p>
    <w:p w:rsidR="00A92BFF" w:rsidRPr="003B5669" w:rsidRDefault="00A92BFF" w:rsidP="00A92BFF">
      <w:r w:rsidRPr="003B5669">
        <w:rPr>
          <w:b/>
        </w:rPr>
        <w:t>4.4.2</w:t>
      </w:r>
      <w:r w:rsidRPr="003B5669">
        <w:rPr>
          <w:b/>
        </w:rPr>
        <w:tab/>
      </w:r>
      <w:r w:rsidRPr="003B5669">
        <w:rPr>
          <w:i/>
        </w:rPr>
        <w:t>Niveau maximal du signal d'entrée:</w:t>
      </w:r>
      <w:r w:rsidRPr="003B5669">
        <w:t xml:space="preserve"> 2,0 V crête-à-crête.</w:t>
      </w:r>
    </w:p>
    <w:p w:rsidR="00A92BFF" w:rsidRPr="003B5669" w:rsidRDefault="00A92BFF" w:rsidP="00A92BFF">
      <w:r w:rsidRPr="003B5669">
        <w:rPr>
          <w:b/>
        </w:rPr>
        <w:t>4.4.3</w:t>
      </w:r>
      <w:r w:rsidRPr="003B5669">
        <w:rPr>
          <w:b/>
        </w:rPr>
        <w:tab/>
      </w:r>
      <w:r w:rsidRPr="003B5669">
        <w:rPr>
          <w:i/>
        </w:rPr>
        <w:t>Niveau minimal du signal d'entrée:</w:t>
      </w:r>
      <w:r w:rsidRPr="003B5669">
        <w:t xml:space="preserve"> 185 mV crête-à-crête.</w:t>
      </w:r>
    </w:p>
    <w:p w:rsidR="00A92BFF" w:rsidRPr="003B5669" w:rsidRDefault="00A92BFF" w:rsidP="00A92BFF">
      <w:r w:rsidRPr="003B5669">
        <w:t xml:space="preserve">Cependant, le récepteur doit reconnaître correctement les données binaires lorsqu'un signal de données aléatoires produit les conditions présentées par le diagramme en </w:t>
      </w:r>
      <w:r w:rsidRPr="003B5669">
        <w:rPr>
          <w:spacing w:val="-35"/>
        </w:rPr>
        <w:t>œ</w:t>
      </w:r>
      <w:r w:rsidRPr="003B5669">
        <w:t>il de la Fig. 4 au point de détection des données.</w:t>
      </w:r>
    </w:p>
    <w:p w:rsidR="00A92BFF" w:rsidRPr="003B5669" w:rsidRDefault="00A92BFF" w:rsidP="00A92BFF">
      <w:r w:rsidRPr="003B5669">
        <w:rPr>
          <w:b/>
        </w:rPr>
        <w:t>4.4.4</w:t>
      </w:r>
      <w:r w:rsidRPr="003B5669">
        <w:rPr>
          <w:b/>
        </w:rPr>
        <w:tab/>
      </w:r>
      <w:r w:rsidRPr="003B5669">
        <w:rPr>
          <w:i/>
        </w:rPr>
        <w:t>Niveau maximal du signal du mode commun:</w:t>
      </w:r>
      <w:r w:rsidRPr="003B5669">
        <w:t xml:space="preserve"> </w:t>
      </w:r>
      <w:r w:rsidRPr="003B5669">
        <w:rPr>
          <w:rFonts w:ascii="Symbol" w:hAnsi="Symbol"/>
        </w:rPr>
        <w:t></w:t>
      </w:r>
      <w:r w:rsidRPr="003B5669">
        <w:t xml:space="preserve"> 0,5 V, y compris les perturbations entre 0 et 15 kHz (par rapport à la masse pour les deux bornes).</w:t>
      </w:r>
    </w:p>
    <w:p w:rsidR="00A92BFF" w:rsidRPr="003B5669" w:rsidRDefault="00A92BFF" w:rsidP="00A92BFF">
      <w:r w:rsidRPr="003B5669">
        <w:rPr>
          <w:b/>
        </w:rPr>
        <w:t>4.4.5</w:t>
      </w:r>
      <w:r w:rsidRPr="003B5669">
        <w:rPr>
          <w:b/>
        </w:rPr>
        <w:tab/>
      </w:r>
      <w:r w:rsidRPr="003B5669">
        <w:rPr>
          <w:i/>
        </w:rPr>
        <w:t>Temps de propagation différentiel:</w:t>
      </w:r>
      <w:r w:rsidRPr="003B5669">
        <w:t xml:space="preserve"> les données doivent être détectées correctement quand la différence de temps de propagation entre le signal d'horloge et les données se situe dans une plage de </w:t>
      </w:r>
      <w:r w:rsidRPr="003B5669">
        <w:rPr>
          <w:rFonts w:ascii="Symbol" w:hAnsi="Symbol"/>
        </w:rPr>
        <w:t></w:t>
      </w:r>
      <w:r w:rsidRPr="003B5669">
        <w:t> 11 ns (voir la Fig. 4).</w:t>
      </w:r>
    </w:p>
    <w:p w:rsidR="00A92BFF" w:rsidRPr="003B5669" w:rsidRDefault="00A92BFF" w:rsidP="00A92BFF">
      <w:pPr>
        <w:pStyle w:val="FigureNo"/>
        <w:keepNext w:val="0"/>
        <w:keepLines w:val="0"/>
      </w:pPr>
      <w:r w:rsidRPr="003B5669">
        <w:object w:dxaOrig="5286" w:dyaOrig="7312">
          <v:shape id="_x0000_i1028" type="#_x0000_t75" style="width:264.6pt;height:365.4pt" o:ole="">
            <v:imagedata r:id="rId19" o:title=""/>
          </v:shape>
          <o:OLEObject Type="Embed" ProgID="CorelDRAW.Graphic.12" ShapeID="_x0000_i1028" DrawAspect="Content" ObjectID="_1359984403" r:id="rId20"/>
        </w:object>
      </w:r>
    </w:p>
    <w:p w:rsidR="00A92BFF" w:rsidRPr="003B5669" w:rsidRDefault="00A92BFF" w:rsidP="00A92BFF">
      <w:pPr>
        <w:pStyle w:val="Heading1"/>
      </w:pPr>
      <w:r w:rsidRPr="003B5669">
        <w:lastRenderedPageBreak/>
        <w:t>5</w:t>
      </w:r>
      <w:r w:rsidRPr="003B5669">
        <w:tab/>
        <w:t>Caractéristiques mécaniques du connecteur</w:t>
      </w:r>
    </w:p>
    <w:p w:rsidR="00A92BFF" w:rsidRPr="003B5669" w:rsidRDefault="00A92BFF" w:rsidP="00A92BFF">
      <w:r w:rsidRPr="003B5669">
        <w:t>L'interface utilise le connecteur subminiature de type D, à 25 contacts, spécifié dans le Document </w:t>
      </w:r>
      <w:r w:rsidRPr="003B5669">
        <w:fldChar w:fldCharType="begin"/>
      </w:r>
      <w:r w:rsidRPr="003B5669">
        <w:instrText>eq ISO 2110-1980</w:instrText>
      </w:r>
      <w:r w:rsidRPr="003B5669">
        <w:fldChar w:fldCharType="end"/>
      </w:r>
      <w:r w:rsidRPr="003B5669">
        <w:t>. L'affectation des contacts est indiquée dans le Tableau 4.</w:t>
      </w:r>
    </w:p>
    <w:p w:rsidR="00A92BFF" w:rsidRPr="003B5669" w:rsidRDefault="00A92BFF" w:rsidP="00A92BFF">
      <w:r w:rsidRPr="003B5669">
        <w:t>Les connecteurs sont verrouillés par deux vis de type UNC 4-40 situées sur les connecteurs du câble, qui se fixent sur des verrous femelles à pas de vis montés sur le connecteur de l'équipement. Le câble porte un connecteur à contacts mâles et l'équipement un connecteur à contacts femelles. Le câble d'interconnexion et ses connecteurs sont obligatoirement blindés (voir la Note 1).</w:t>
      </w:r>
    </w:p>
    <w:p w:rsidR="00A92BFF" w:rsidRPr="003B5669" w:rsidRDefault="00A92BFF" w:rsidP="00A92BFF">
      <w:pPr>
        <w:pStyle w:val="TableNo"/>
      </w:pPr>
      <w:r w:rsidRPr="003B5669">
        <w:t>TABLEAU 4</w:t>
      </w:r>
    </w:p>
    <w:p w:rsidR="00A92BFF" w:rsidRPr="003B5669" w:rsidRDefault="00A92BFF" w:rsidP="00A92BFF">
      <w:pPr>
        <w:pStyle w:val="Tabletitle"/>
      </w:pPr>
      <w:r w:rsidRPr="003B5669">
        <w:t>Affectation des contacts</w:t>
      </w:r>
    </w:p>
    <w:tbl>
      <w:tblPr>
        <w:tblW w:w="0" w:type="auto"/>
        <w:jc w:val="center"/>
        <w:tblLayout w:type="fixed"/>
        <w:tblLook w:val="0000" w:firstRow="0" w:lastRow="0" w:firstColumn="0" w:lastColumn="0" w:noHBand="0" w:noVBand="0"/>
      </w:tblPr>
      <w:tblGrid>
        <w:gridCol w:w="3686"/>
        <w:gridCol w:w="3686"/>
      </w:tblGrid>
      <w:tr w:rsidR="00A92BFF" w:rsidRPr="003B5669" w:rsidTr="00CB7F7C">
        <w:tblPrEx>
          <w:tblCellMar>
            <w:top w:w="0" w:type="dxa"/>
            <w:bottom w:w="0" w:type="dxa"/>
          </w:tblCellMar>
        </w:tblPrEx>
        <w:trPr>
          <w:cantSplit/>
          <w:jc w:val="center"/>
        </w:trPr>
        <w:tc>
          <w:tcPr>
            <w:tcW w:w="3686" w:type="dxa"/>
            <w:tcBorders>
              <w:top w:val="single" w:sz="6" w:space="0" w:color="auto"/>
              <w:left w:val="single" w:sz="6" w:space="0" w:color="auto"/>
              <w:bottom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Contact</w:t>
            </w:r>
          </w:p>
        </w:tc>
        <w:tc>
          <w:tcPr>
            <w:tcW w:w="3686" w:type="dxa"/>
            <w:tcBorders>
              <w:top w:val="single" w:sz="6" w:space="0" w:color="auto"/>
              <w:left w:val="single" w:sz="6" w:space="0" w:color="auto"/>
              <w:bottom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Ligne de signaux</w:t>
            </w:r>
          </w:p>
        </w:tc>
      </w:tr>
      <w:tr w:rsidR="00A92BFF" w:rsidRPr="003B5669" w:rsidTr="00CB7F7C">
        <w:tblPrEx>
          <w:tblCellMar>
            <w:top w:w="0" w:type="dxa"/>
            <w:bottom w:w="0" w:type="dxa"/>
          </w:tblCellMar>
        </w:tblPrEx>
        <w:trPr>
          <w:cantSplit/>
          <w:jc w:val="center"/>
        </w:trPr>
        <w:tc>
          <w:tcPr>
            <w:tcW w:w="3686" w:type="dxa"/>
            <w:tcBorders>
              <w:top w:val="single" w:sz="6" w:space="0" w:color="auto"/>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1</w:t>
            </w:r>
          </w:p>
        </w:tc>
        <w:tc>
          <w:tcPr>
            <w:tcW w:w="3686" w:type="dxa"/>
            <w:tcBorders>
              <w:top w:val="single" w:sz="6" w:space="0" w:color="auto"/>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Horloge</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2</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Masse A du système</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3</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Données 9 (MSB)</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4</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Données 8</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5</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Données 7</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6</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Données 6</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7</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Données 5</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8</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Données 4</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9</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Données 3</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10</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Données 2</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11</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Données 1</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12</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Données 0</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13</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Blindage du câble</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14</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Retour horloge</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15</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Masse B du système</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16</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Retour données 9</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17</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Retour données 8</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18</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Retour données 7</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19</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Retour données 6</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20</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Retour données 5</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21</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Retour données 4</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22</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Retour données 3</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23</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Retour données 2</w:t>
            </w:r>
          </w:p>
        </w:tc>
      </w:tr>
      <w:tr w:rsidR="00A92BFF" w:rsidRPr="003B5669" w:rsidTr="00CB7F7C">
        <w:tblPrEx>
          <w:tblCellMar>
            <w:top w:w="0" w:type="dxa"/>
            <w:bottom w:w="0" w:type="dxa"/>
          </w:tblCellMar>
        </w:tblPrEx>
        <w:trPr>
          <w:cantSplit/>
          <w:jc w:val="center"/>
        </w:trPr>
        <w:tc>
          <w:tcPr>
            <w:tcW w:w="3686" w:type="dxa"/>
            <w:tcBorders>
              <w:lef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24</w:t>
            </w:r>
          </w:p>
        </w:tc>
        <w:tc>
          <w:tcPr>
            <w:tcW w:w="3686" w:type="dxa"/>
            <w:tcBorders>
              <w:left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Retour données 1</w:t>
            </w:r>
          </w:p>
        </w:tc>
      </w:tr>
      <w:tr w:rsidR="00A92BFF" w:rsidRPr="003B5669" w:rsidTr="00CB7F7C">
        <w:tblPrEx>
          <w:tblCellMar>
            <w:top w:w="0" w:type="dxa"/>
            <w:bottom w:w="0" w:type="dxa"/>
          </w:tblCellMar>
        </w:tblPrEx>
        <w:trPr>
          <w:cantSplit/>
          <w:jc w:val="center"/>
        </w:trPr>
        <w:tc>
          <w:tcPr>
            <w:tcW w:w="3686" w:type="dxa"/>
            <w:tcBorders>
              <w:left w:val="single" w:sz="6" w:space="0" w:color="auto"/>
              <w:bottom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25</w:t>
            </w:r>
          </w:p>
        </w:tc>
        <w:tc>
          <w:tcPr>
            <w:tcW w:w="3686" w:type="dxa"/>
            <w:tcBorders>
              <w:left w:val="single" w:sz="6" w:space="0" w:color="auto"/>
              <w:bottom w:val="single" w:sz="6" w:space="0" w:color="auto"/>
              <w:right w:val="single" w:sz="6" w:space="0" w:color="auto"/>
            </w:tcBorders>
          </w:tcPr>
          <w:p w:rsidR="00A92BFF" w:rsidRPr="003B5669" w:rsidRDefault="00A92BFF" w:rsidP="00CB7F7C">
            <w:pPr>
              <w:pStyle w:val="TableText0"/>
              <w:keepNext w:val="0"/>
              <w:spacing w:beforeLines="20" w:before="48" w:afterLines="20" w:after="48"/>
              <w:jc w:val="center"/>
              <w:rPr>
                <w:lang w:val="fr-FR"/>
              </w:rPr>
            </w:pPr>
            <w:r w:rsidRPr="003B5669">
              <w:rPr>
                <w:lang w:val="fr-FR"/>
              </w:rPr>
              <w:t>Retour données 0</w:t>
            </w:r>
          </w:p>
        </w:tc>
      </w:tr>
      <w:tr w:rsidR="00A92BFF" w:rsidRPr="003B5669" w:rsidTr="00CB7F7C">
        <w:tblPrEx>
          <w:tblCellMar>
            <w:top w:w="0" w:type="dxa"/>
            <w:bottom w:w="0" w:type="dxa"/>
          </w:tblCellMar>
        </w:tblPrEx>
        <w:trPr>
          <w:cantSplit/>
          <w:jc w:val="center"/>
        </w:trPr>
        <w:tc>
          <w:tcPr>
            <w:tcW w:w="7372" w:type="dxa"/>
            <w:gridSpan w:val="2"/>
          </w:tcPr>
          <w:p w:rsidR="00A92BFF" w:rsidRPr="00A92BFF" w:rsidRDefault="00A92BFF" w:rsidP="00CB7F7C">
            <w:pPr>
              <w:pStyle w:val="TableLegendNote"/>
              <w:rPr>
                <w:sz w:val="18"/>
                <w:szCs w:val="18"/>
                <w:lang w:val="fr-CH"/>
              </w:rPr>
            </w:pPr>
            <w:r w:rsidRPr="00A92BFF">
              <w:rPr>
                <w:sz w:val="18"/>
                <w:szCs w:val="18"/>
                <w:lang w:val="fr-CH"/>
              </w:rPr>
              <w:t>NOTE 1 – Le blindage du câble (contact 13) a pour objet de retenir le rayonnement électromagnétique propre au câble. Il est recommandé que le contact 13 assure la continuité aux fréquences hautes avec la masse du châssis – aux deux extrémités – et aussi la continuité avec la masse du châssis à l'extrémité émettrice.</w:t>
            </w:r>
          </w:p>
        </w:tc>
      </w:tr>
    </w:tbl>
    <w:p w:rsidR="00A92BFF" w:rsidRPr="00A92BFF" w:rsidRDefault="00A92BFF" w:rsidP="00A92BFF">
      <w:pPr>
        <w:pStyle w:val="Tablefin"/>
        <w:rPr>
          <w:lang w:val="fr-FR"/>
        </w:rPr>
      </w:pPr>
    </w:p>
    <w:p w:rsidR="00A92BFF" w:rsidRDefault="00A92BFF" w:rsidP="00A92BFF"/>
    <w:p w:rsidR="00A92BFF" w:rsidRDefault="00A92BFF" w:rsidP="00A92BFF"/>
    <w:p w:rsidR="00A92BFF" w:rsidRPr="00A92BFF" w:rsidRDefault="00A92BFF" w:rsidP="00A92BFF">
      <w:pPr>
        <w:pStyle w:val="Line"/>
        <w:rPr>
          <w:lang w:val="fr-CH"/>
        </w:rPr>
      </w:pPr>
    </w:p>
    <w:sectPr w:rsidR="00A92BFF" w:rsidRPr="00A92BFF" w:rsidSect="00FE0C15">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F51" w:rsidRDefault="001E7F51">
      <w:r>
        <w:separator/>
      </w:r>
    </w:p>
  </w:endnote>
  <w:endnote w:type="continuationSeparator" w:id="0">
    <w:p w:rsidR="001E7F51" w:rsidRDefault="001E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F51" w:rsidRDefault="001E7F51">
      <w:r>
        <w:separator/>
      </w:r>
    </w:p>
  </w:footnote>
  <w:footnote w:type="continuationSeparator" w:id="0">
    <w:p w:rsidR="001E7F51" w:rsidRDefault="001E7F51">
      <w:r>
        <w:continuationSeparator/>
      </w:r>
    </w:p>
  </w:footnote>
  <w:footnote w:id="1">
    <w:p w:rsidR="00A92BFF" w:rsidRPr="009304AB" w:rsidRDefault="00A92BFF" w:rsidP="00A92BFF">
      <w:pPr>
        <w:pStyle w:val="FootnoteText"/>
        <w:rPr>
          <w:lang w:val="fr-CH"/>
        </w:rPr>
      </w:pPr>
      <w:r>
        <w:rPr>
          <w:rStyle w:val="FootnoteReference"/>
        </w:rPr>
        <w:t>*</w:t>
      </w:r>
      <w:r>
        <w:t xml:space="preserve"> </w:t>
      </w:r>
      <w:r>
        <w:rPr>
          <w:lang w:val="fr-CH"/>
        </w:rPr>
        <w:tab/>
      </w:r>
      <w:r>
        <w:t xml:space="preserve">Recommandation UIT-R BT.601-6 – </w:t>
      </w:r>
      <w:r w:rsidRPr="00CD3E83">
        <w:t>Paramètres de codage</w:t>
      </w:r>
      <w:r>
        <w:t xml:space="preserve"> </w:t>
      </w:r>
      <w:r w:rsidRPr="00CD3E83">
        <w:t>en</w:t>
      </w:r>
      <w:r>
        <w:t xml:space="preserve"> </w:t>
      </w:r>
      <w:r w:rsidRPr="00CD3E83">
        <w:t>studio</w:t>
      </w:r>
      <w:r>
        <w:t xml:space="preserve"> </w:t>
      </w:r>
      <w:r w:rsidRPr="00CD3E83">
        <w:t>de</w:t>
      </w:r>
      <w:r>
        <w:t xml:space="preserve"> </w:t>
      </w:r>
      <w:r w:rsidRPr="00CD3E83">
        <w:t>la</w:t>
      </w:r>
      <w:r>
        <w:t xml:space="preserve"> </w:t>
      </w:r>
      <w:r w:rsidRPr="00CD3E83">
        <w:t>télévision</w:t>
      </w:r>
      <w:r>
        <w:t xml:space="preserve"> </w:t>
      </w:r>
      <w:r w:rsidRPr="00CD3E83">
        <w:t>numérique pour</w:t>
      </w:r>
      <w:r>
        <w:t xml:space="preserve"> </w:t>
      </w:r>
      <w:r w:rsidRPr="00CD3E83">
        <w:t>des</w:t>
      </w:r>
      <w:r>
        <w:t xml:space="preserve"> </w:t>
      </w:r>
      <w:r w:rsidRPr="00CD3E83">
        <w:t>formats</w:t>
      </w:r>
      <w:r>
        <w:t xml:space="preserve"> </w:t>
      </w:r>
      <w:r w:rsidRPr="00CD3E83">
        <w:t>standards</w:t>
      </w:r>
      <w:r>
        <w:t xml:space="preserve"> </w:t>
      </w:r>
      <w:r w:rsidRPr="00CD3E83">
        <w:t>d'image</w:t>
      </w:r>
      <w:r>
        <w:t xml:space="preserve"> </w:t>
      </w:r>
      <w:r w:rsidRPr="00CD3E83">
        <w:t>4:3</w:t>
      </w:r>
      <w:r>
        <w:t xml:space="preserve"> </w:t>
      </w:r>
      <w:r w:rsidRPr="00CD3E83">
        <w:t>(normalisé) et</w:t>
      </w:r>
      <w:r>
        <w:t xml:space="preserve"> </w:t>
      </w:r>
      <w:r w:rsidRPr="00CD3E83">
        <w:t>16:9</w:t>
      </w:r>
      <w:r>
        <w:t xml:space="preserve"> </w:t>
      </w:r>
      <w:r w:rsidRPr="00CD3E83">
        <w:t>(écran</w:t>
      </w:r>
      <w:r>
        <w:t xml:space="preserve"> </w:t>
      </w:r>
      <w:r w:rsidRPr="00CD3E83">
        <w:t>panoramique)</w:t>
      </w:r>
      <w:r>
        <w:t>.</w:t>
      </w:r>
    </w:p>
  </w:footnote>
  <w:footnote w:id="2">
    <w:p w:rsidR="00A92BFF" w:rsidRPr="0067327C" w:rsidRDefault="00A92BFF" w:rsidP="00A92BFF">
      <w:pPr>
        <w:pStyle w:val="FootnoteText"/>
        <w:jc w:val="left"/>
      </w:pPr>
      <w:r w:rsidRPr="0067327C">
        <w:rPr>
          <w:rStyle w:val="FootnoteReference"/>
        </w:rPr>
        <w:t>*</w:t>
      </w:r>
      <w:r w:rsidRPr="0067327C">
        <w:tab/>
        <w:t xml:space="preserve">NOTE – La norme CEI 61169-8 (2007-2) est disponible en version électronique sous: </w:t>
      </w:r>
      <w:hyperlink r:id="rId1" w:history="1">
        <w:r w:rsidRPr="0067327C">
          <w:rPr>
            <w:rStyle w:val="Hyperlink"/>
          </w:rPr>
          <w:t>http://www.itu.int/md/R03-WP6A-C-0142/en</w:t>
        </w:r>
      </w:hyperlink>
      <w:r w:rsidRPr="0067327C">
        <w:t>.</w:t>
      </w:r>
    </w:p>
  </w:footnote>
  <w:footnote w:id="3">
    <w:p w:rsidR="00A92BFF" w:rsidRPr="00273344" w:rsidRDefault="00A92BFF" w:rsidP="00A92BFF">
      <w:pPr>
        <w:pStyle w:val="FootnoteText"/>
        <w:rPr>
          <w:lang w:val="fr-CH"/>
        </w:rPr>
      </w:pPr>
      <w:r>
        <w:rPr>
          <w:rStyle w:val="FootnoteReference"/>
        </w:rPr>
        <w:footnoteRef/>
      </w:r>
      <w:r>
        <w:t xml:space="preserve"> </w:t>
      </w:r>
      <w:r>
        <w:rPr>
          <w:lang w:val="fr-CH"/>
        </w:rPr>
        <w:tab/>
        <w:t xml:space="preserve">NOTE </w:t>
      </w:r>
      <w:r w:rsidRPr="00273344">
        <w:rPr>
          <w:lang w:val="fr-CH"/>
        </w:rPr>
        <w:t>–</w:t>
      </w:r>
      <w:r>
        <w:rPr>
          <w:lang w:val="fr-CH"/>
        </w:rPr>
        <w:t xml:space="preserve"> L'interface numérique parallèle n'est plus utilisée, mais sa description en est reproduite dans ces lignes pour les installations déjà anciennes. La structure de données est utilisée à l'entrée de l'interface numérique série.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89F" w:rsidRDefault="0043089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89F" w:rsidRDefault="007B518B" w:rsidP="0014322C">
    <w:pPr>
      <w:pStyle w:val="Header"/>
      <w:ind w:right="360" w:firstLine="360"/>
    </w:pPr>
    <w:r>
      <w:rPr>
        <w:noProof/>
        <w:lang w:val="en-US" w:eastAsia="zh-CN"/>
      </w:rPr>
      <w:drawing>
        <wp:anchor distT="0" distB="0" distL="114300" distR="114300" simplePos="0" relativeHeight="251658240" behindDoc="1" locked="0" layoutInCell="1" allowOverlap="1" wp14:anchorId="1BB9AB4E" wp14:editId="3CEDA14F">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89F" w:rsidRDefault="00E4537B">
    <w:pPr>
      <w:pStyle w:val="Header"/>
      <w:jc w:val="left"/>
      <w:rPr>
        <w:lang w:val="en-US"/>
      </w:rPr>
    </w:pPr>
    <w:r>
      <w:rPr>
        <w:rStyle w:val="PageNumber"/>
        <w:b/>
        <w:bCs/>
      </w:rPr>
      <w:fldChar w:fldCharType="begin"/>
    </w:r>
    <w:r w:rsidR="0043089F">
      <w:rPr>
        <w:rStyle w:val="PageNumber"/>
        <w:b/>
        <w:bCs/>
        <w:lang w:val="en-US"/>
      </w:rPr>
      <w:instrText xml:space="preserve"> PAGE </w:instrText>
    </w:r>
    <w:r>
      <w:rPr>
        <w:rStyle w:val="PageNumber"/>
        <w:b/>
        <w:bCs/>
      </w:rPr>
      <w:fldChar w:fldCharType="separate"/>
    </w:r>
    <w:r w:rsidR="004C0365">
      <w:rPr>
        <w:rStyle w:val="PageNumber"/>
        <w:b/>
        <w:bCs/>
        <w:noProof/>
        <w:lang w:val="en-US"/>
      </w:rPr>
      <w:t>ii</w:t>
    </w:r>
    <w:r>
      <w:rPr>
        <w:rStyle w:val="PageNumber"/>
        <w:b/>
        <w:bCs/>
      </w:rPr>
      <w:fldChar w:fldCharType="end"/>
    </w:r>
    <w:r w:rsidR="0043089F">
      <w:rPr>
        <w:lang w:val="en-US"/>
      </w:rPr>
      <w:tab/>
    </w:r>
    <w:r w:rsidR="004C0365">
      <w:fldChar w:fldCharType="begin"/>
    </w:r>
    <w:r w:rsidR="004C0365">
      <w:instrText xml:space="preserve"> DOCPROPERTY "Header" \* MERGEFORMAT </w:instrText>
    </w:r>
    <w:r w:rsidR="004C0365">
      <w:fldChar w:fldCharType="separate"/>
    </w:r>
    <w:r w:rsidR="004C0365" w:rsidRPr="004C0365">
      <w:rPr>
        <w:b/>
        <w:bCs/>
        <w:lang w:val="en-US"/>
      </w:rPr>
      <w:t xml:space="preserve">Rec. </w:t>
    </w:r>
    <w:r w:rsidR="004C0365">
      <w:rPr>
        <w:b/>
        <w:bCs/>
        <w:lang w:val="en-US"/>
      </w:rPr>
      <w:fldChar w:fldCharType="end"/>
    </w:r>
    <w:r w:rsidR="0043089F">
      <w:rPr>
        <w:b/>
        <w:bCs/>
      </w:rPr>
      <w:t xml:space="preserve"> </w:t>
    </w:r>
    <w:r>
      <w:rPr>
        <w:b/>
        <w:bCs/>
      </w:rPr>
      <w:fldChar w:fldCharType="begin"/>
    </w:r>
    <w:r w:rsidR="0043089F">
      <w:rPr>
        <w:b/>
        <w:bCs/>
        <w:lang w:val="en-US"/>
      </w:rPr>
      <w:instrText>styleref href</w:instrText>
    </w:r>
    <w:r>
      <w:rPr>
        <w:b/>
        <w:bCs/>
      </w:rPr>
      <w:fldChar w:fldCharType="separate"/>
    </w:r>
    <w:r w:rsidR="004C0365">
      <w:rPr>
        <w:b/>
        <w:bCs/>
        <w:noProof/>
      </w:rPr>
      <w:t>UIT-R  BT.656-5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89F" w:rsidRDefault="0043089F">
    <w:pPr>
      <w:pStyle w:val="Header"/>
    </w:pPr>
    <w:r>
      <w:tab/>
    </w:r>
    <w:r w:rsidR="004C0365">
      <w:fldChar w:fldCharType="begin"/>
    </w:r>
    <w:r w:rsidR="004C0365">
      <w:instrText xml:space="preserve"> DOCPROPERTY "Header" \* MERGEFORMAT </w:instrText>
    </w:r>
    <w:r w:rsidR="004C0365">
      <w:fldChar w:fldCharType="separate"/>
    </w:r>
    <w:r w:rsidR="004C0365" w:rsidRPr="004C0365">
      <w:rPr>
        <w:b/>
        <w:bCs/>
      </w:rPr>
      <w:t xml:space="preserve">Rec. </w:t>
    </w:r>
    <w:r w:rsidR="004C0365">
      <w:rPr>
        <w:b/>
        <w:bCs/>
      </w:rPr>
      <w:fldChar w:fldCharType="end"/>
    </w:r>
    <w:r>
      <w:rPr>
        <w:b/>
        <w:bCs/>
      </w:rPr>
      <w:t xml:space="preserve"> </w:t>
    </w:r>
    <w:r w:rsidR="00E4537B">
      <w:rPr>
        <w:b/>
        <w:bCs/>
      </w:rPr>
      <w:fldChar w:fldCharType="begin"/>
    </w:r>
    <w:r>
      <w:rPr>
        <w:b/>
        <w:bCs/>
      </w:rPr>
      <w:instrText>styleref href</w:instrText>
    </w:r>
    <w:r w:rsidR="00E4537B">
      <w:rPr>
        <w:b/>
        <w:bCs/>
      </w:rPr>
      <w:fldChar w:fldCharType="separate"/>
    </w:r>
    <w:r w:rsidR="004C0365">
      <w:rPr>
        <w:b/>
        <w:bCs/>
        <w:noProof/>
      </w:rPr>
      <w:t>UIT-R  BT.656-5</w:t>
    </w:r>
    <w:r w:rsidR="00E4537B">
      <w:rPr>
        <w:b/>
        <w:bCs/>
      </w:rPr>
      <w:fldChar w:fldCharType="end"/>
    </w:r>
    <w:r>
      <w:tab/>
    </w:r>
    <w:r w:rsidR="00E4537B">
      <w:rPr>
        <w:rStyle w:val="PageNumber"/>
        <w:b/>
        <w:bCs/>
      </w:rPr>
      <w:fldChar w:fldCharType="begin"/>
    </w:r>
    <w:r>
      <w:rPr>
        <w:rStyle w:val="PageNumber"/>
        <w:b/>
        <w:bCs/>
      </w:rPr>
      <w:instrText xml:space="preserve"> PAGE </w:instrText>
    </w:r>
    <w:r w:rsidR="00E4537B">
      <w:rPr>
        <w:rStyle w:val="PageNumber"/>
        <w:b/>
        <w:bCs/>
      </w:rPr>
      <w:fldChar w:fldCharType="separate"/>
    </w:r>
    <w:r>
      <w:rPr>
        <w:rStyle w:val="PageNumber"/>
        <w:b/>
        <w:bCs/>
        <w:noProof/>
      </w:rPr>
      <w:t>1</w:t>
    </w:r>
    <w:r w:rsidR="00E4537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89F" w:rsidRDefault="00E4537B">
    <w:pPr>
      <w:pStyle w:val="Header"/>
      <w:jc w:val="left"/>
      <w:rPr>
        <w:lang w:val="en-US"/>
      </w:rPr>
    </w:pPr>
    <w:r>
      <w:rPr>
        <w:rStyle w:val="PageNumber"/>
        <w:b/>
        <w:bCs/>
      </w:rPr>
      <w:fldChar w:fldCharType="begin"/>
    </w:r>
    <w:r w:rsidR="0043089F">
      <w:rPr>
        <w:rStyle w:val="PageNumber"/>
        <w:b/>
        <w:bCs/>
        <w:lang w:val="en-US"/>
      </w:rPr>
      <w:instrText xml:space="preserve"> PAGE </w:instrText>
    </w:r>
    <w:r>
      <w:rPr>
        <w:rStyle w:val="PageNumber"/>
        <w:b/>
        <w:bCs/>
      </w:rPr>
      <w:fldChar w:fldCharType="separate"/>
    </w:r>
    <w:r w:rsidR="004C0365">
      <w:rPr>
        <w:rStyle w:val="PageNumber"/>
        <w:b/>
        <w:bCs/>
        <w:noProof/>
        <w:lang w:val="en-US"/>
      </w:rPr>
      <w:t>4</w:t>
    </w:r>
    <w:r>
      <w:rPr>
        <w:rStyle w:val="PageNumber"/>
        <w:b/>
        <w:bCs/>
      </w:rPr>
      <w:fldChar w:fldCharType="end"/>
    </w:r>
    <w:r w:rsidR="0043089F">
      <w:rPr>
        <w:lang w:val="en-US"/>
      </w:rPr>
      <w:tab/>
    </w:r>
    <w:r w:rsidR="004C0365">
      <w:fldChar w:fldCharType="begin"/>
    </w:r>
    <w:r w:rsidR="004C0365">
      <w:instrText xml:space="preserve"> DOCPROPERTY "Header" \* MERGEFORMAT </w:instrText>
    </w:r>
    <w:r w:rsidR="004C0365">
      <w:fldChar w:fldCharType="separate"/>
    </w:r>
    <w:r w:rsidR="004C0365" w:rsidRPr="004C0365">
      <w:rPr>
        <w:b/>
        <w:bCs/>
        <w:lang w:val="en-US"/>
      </w:rPr>
      <w:t xml:space="preserve">Rec. </w:t>
    </w:r>
    <w:r w:rsidR="004C0365">
      <w:rPr>
        <w:b/>
        <w:bCs/>
        <w:lang w:val="en-US"/>
      </w:rPr>
      <w:fldChar w:fldCharType="end"/>
    </w:r>
    <w:r w:rsidR="0043089F">
      <w:rPr>
        <w:b/>
        <w:bCs/>
      </w:rPr>
      <w:t xml:space="preserve"> </w:t>
    </w:r>
    <w:r>
      <w:rPr>
        <w:b/>
        <w:bCs/>
      </w:rPr>
      <w:fldChar w:fldCharType="begin"/>
    </w:r>
    <w:r w:rsidR="0043089F">
      <w:rPr>
        <w:b/>
        <w:bCs/>
        <w:lang w:val="en-US"/>
      </w:rPr>
      <w:instrText>styleref href</w:instrText>
    </w:r>
    <w:r>
      <w:rPr>
        <w:b/>
        <w:bCs/>
      </w:rPr>
      <w:fldChar w:fldCharType="separate"/>
    </w:r>
    <w:r w:rsidR="004C0365">
      <w:rPr>
        <w:b/>
        <w:bCs/>
        <w:noProof/>
      </w:rPr>
      <w:t>UIT-R  BT.656-5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89F" w:rsidRDefault="0043089F">
    <w:pPr>
      <w:pStyle w:val="Header"/>
    </w:pPr>
    <w:r>
      <w:tab/>
    </w:r>
    <w:r w:rsidR="004C0365">
      <w:fldChar w:fldCharType="begin"/>
    </w:r>
    <w:r w:rsidR="004C0365">
      <w:instrText xml:space="preserve"> DOCPROPERTY "Head</w:instrText>
    </w:r>
    <w:r w:rsidR="004C0365">
      <w:instrText xml:space="preserve">er" \* MERGEFORMAT </w:instrText>
    </w:r>
    <w:r w:rsidR="004C0365">
      <w:fldChar w:fldCharType="separate"/>
    </w:r>
    <w:r w:rsidR="004C0365" w:rsidRPr="004C0365">
      <w:rPr>
        <w:b/>
        <w:bCs/>
      </w:rPr>
      <w:t xml:space="preserve">Rec. </w:t>
    </w:r>
    <w:r w:rsidR="004C0365">
      <w:rPr>
        <w:b/>
        <w:bCs/>
      </w:rPr>
      <w:fldChar w:fldCharType="end"/>
    </w:r>
    <w:r>
      <w:rPr>
        <w:b/>
        <w:bCs/>
      </w:rPr>
      <w:t xml:space="preserve"> </w:t>
    </w:r>
    <w:r w:rsidR="00E4537B">
      <w:rPr>
        <w:b/>
        <w:bCs/>
      </w:rPr>
      <w:fldChar w:fldCharType="begin"/>
    </w:r>
    <w:r>
      <w:rPr>
        <w:b/>
        <w:bCs/>
      </w:rPr>
      <w:instrText>styleref href</w:instrText>
    </w:r>
    <w:r w:rsidR="00E4537B">
      <w:rPr>
        <w:b/>
        <w:bCs/>
      </w:rPr>
      <w:fldChar w:fldCharType="separate"/>
    </w:r>
    <w:r w:rsidR="004C0365">
      <w:rPr>
        <w:b/>
        <w:bCs/>
        <w:noProof/>
      </w:rPr>
      <w:t>UIT-R  BT.656-5</w:t>
    </w:r>
    <w:r w:rsidR="00E4537B">
      <w:rPr>
        <w:b/>
        <w:bCs/>
      </w:rPr>
      <w:fldChar w:fldCharType="end"/>
    </w:r>
    <w:r>
      <w:tab/>
    </w:r>
    <w:r w:rsidR="00E4537B">
      <w:rPr>
        <w:rStyle w:val="PageNumber"/>
        <w:b/>
        <w:bCs/>
      </w:rPr>
      <w:fldChar w:fldCharType="begin"/>
    </w:r>
    <w:r>
      <w:rPr>
        <w:rStyle w:val="PageNumber"/>
        <w:b/>
        <w:bCs/>
      </w:rPr>
      <w:instrText xml:space="preserve"> PAGE </w:instrText>
    </w:r>
    <w:r w:rsidR="00E4537B">
      <w:rPr>
        <w:rStyle w:val="PageNumber"/>
        <w:b/>
        <w:bCs/>
      </w:rPr>
      <w:fldChar w:fldCharType="separate"/>
    </w:r>
    <w:r w:rsidR="004C0365">
      <w:rPr>
        <w:rStyle w:val="PageNumber"/>
        <w:b/>
        <w:bCs/>
        <w:noProof/>
      </w:rPr>
      <w:t>3</w:t>
    </w:r>
    <w:r w:rsidR="00E4537B">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476"/>
    <w:rsid w:val="001031B5"/>
    <w:rsid w:val="0014322C"/>
    <w:rsid w:val="001E7F51"/>
    <w:rsid w:val="002D76C4"/>
    <w:rsid w:val="003B0FEF"/>
    <w:rsid w:val="00403476"/>
    <w:rsid w:val="0043089F"/>
    <w:rsid w:val="004C0365"/>
    <w:rsid w:val="00586BCF"/>
    <w:rsid w:val="00595B2F"/>
    <w:rsid w:val="00607D68"/>
    <w:rsid w:val="00613D63"/>
    <w:rsid w:val="0071229D"/>
    <w:rsid w:val="007468DA"/>
    <w:rsid w:val="007B518B"/>
    <w:rsid w:val="00972400"/>
    <w:rsid w:val="009D3E41"/>
    <w:rsid w:val="00A6617B"/>
    <w:rsid w:val="00A92BFF"/>
    <w:rsid w:val="00AB0DC8"/>
    <w:rsid w:val="00B23B3C"/>
    <w:rsid w:val="00B44E24"/>
    <w:rsid w:val="00B818CF"/>
    <w:rsid w:val="00DF4176"/>
    <w:rsid w:val="00E4537B"/>
    <w:rsid w:val="00FE0C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B518B"/>
    <w:pPr>
      <w:keepNext/>
      <w:keepLines/>
      <w:spacing w:before="480"/>
      <w:ind w:left="794" w:hanging="794"/>
      <w:outlineLvl w:val="0"/>
    </w:pPr>
    <w:rPr>
      <w:b/>
    </w:rPr>
  </w:style>
  <w:style w:type="paragraph" w:styleId="Heading2">
    <w:name w:val="heading 2"/>
    <w:basedOn w:val="Heading1"/>
    <w:next w:val="Normal"/>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518B"/>
    <w:pPr>
      <w:keepNext/>
      <w:spacing w:before="360" w:after="120"/>
      <w:jc w:val="center"/>
    </w:pPr>
  </w:style>
  <w:style w:type="paragraph" w:customStyle="1" w:styleId="Tabletext">
    <w:name w:val="Table_text"/>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518B"/>
    <w:pPr>
      <w:keepNext/>
      <w:keepLines/>
      <w:spacing w:before="480" w:after="80"/>
      <w:jc w:val="center"/>
    </w:pPr>
    <w:rPr>
      <w:caps/>
      <w:sz w:val="18"/>
    </w:rPr>
  </w:style>
  <w:style w:type="paragraph" w:customStyle="1" w:styleId="Figuretitle">
    <w:name w:val="Figure_title"/>
    <w:basedOn w:val="Normal"/>
    <w:next w:val="Figure"/>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semiHidden/>
    <w:rsid w:val="007B518B"/>
    <w:rPr>
      <w:position w:val="6"/>
      <w:sz w:val="18"/>
    </w:rPr>
  </w:style>
  <w:style w:type="paragraph" w:styleId="FootnoteText">
    <w:name w:val="footnote text"/>
    <w:basedOn w:val="Normal"/>
    <w:link w:val="FootnoteTextChar"/>
    <w:semiHidden/>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character" w:customStyle="1" w:styleId="FootnoteTextChar">
    <w:name w:val="Footnote Text Char"/>
    <w:basedOn w:val="DefaultParagraphFont"/>
    <w:link w:val="FootnoteText"/>
    <w:semiHidden/>
    <w:rsid w:val="00A92BFF"/>
    <w:rPr>
      <w:sz w:val="22"/>
      <w:lang w:val="fr-FR" w:eastAsia="en-US"/>
    </w:rPr>
  </w:style>
  <w:style w:type="paragraph" w:customStyle="1" w:styleId="TableText0">
    <w:name w:val="Table_Text"/>
    <w:basedOn w:val="Normal"/>
    <w:rsid w:val="00A92BFF"/>
    <w:pPr>
      <w:keepNext/>
      <w:tabs>
        <w:tab w:val="left" w:pos="794"/>
        <w:tab w:val="left" w:pos="1191"/>
        <w:tab w:val="left" w:pos="1588"/>
        <w:tab w:val="left" w:pos="1985"/>
      </w:tabs>
      <w:spacing w:before="100" w:after="100" w:line="190" w:lineRule="exact"/>
    </w:pPr>
    <w:rPr>
      <w:sz w:val="18"/>
      <w:lang w:val="en-GB"/>
    </w:rPr>
  </w:style>
  <w:style w:type="paragraph" w:customStyle="1" w:styleId="Fig">
    <w:name w:val="Fig"/>
    <w:basedOn w:val="Normal"/>
    <w:next w:val="Normal"/>
    <w:rsid w:val="00A92BFF"/>
    <w:pPr>
      <w:spacing w:before="136"/>
      <w:jc w:val="center"/>
    </w:pPr>
    <w:rPr>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B518B"/>
    <w:pPr>
      <w:keepNext/>
      <w:keepLines/>
      <w:spacing w:before="480"/>
      <w:ind w:left="794" w:hanging="794"/>
      <w:outlineLvl w:val="0"/>
    </w:pPr>
    <w:rPr>
      <w:b/>
    </w:rPr>
  </w:style>
  <w:style w:type="paragraph" w:styleId="Heading2">
    <w:name w:val="heading 2"/>
    <w:basedOn w:val="Heading1"/>
    <w:next w:val="Normal"/>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518B"/>
    <w:pPr>
      <w:keepNext/>
      <w:spacing w:before="360" w:after="120"/>
      <w:jc w:val="center"/>
    </w:pPr>
  </w:style>
  <w:style w:type="paragraph" w:customStyle="1" w:styleId="Tabletext">
    <w:name w:val="Table_text"/>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518B"/>
    <w:pPr>
      <w:keepNext/>
      <w:keepLines/>
      <w:spacing w:before="480" w:after="80"/>
      <w:jc w:val="center"/>
    </w:pPr>
    <w:rPr>
      <w:caps/>
      <w:sz w:val="18"/>
    </w:rPr>
  </w:style>
  <w:style w:type="paragraph" w:customStyle="1" w:styleId="Figuretitle">
    <w:name w:val="Figure_title"/>
    <w:basedOn w:val="Normal"/>
    <w:next w:val="Figure"/>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semiHidden/>
    <w:rsid w:val="007B518B"/>
    <w:rPr>
      <w:position w:val="6"/>
      <w:sz w:val="18"/>
    </w:rPr>
  </w:style>
  <w:style w:type="paragraph" w:styleId="FootnoteText">
    <w:name w:val="footnote text"/>
    <w:basedOn w:val="Normal"/>
    <w:link w:val="FootnoteTextChar"/>
    <w:semiHidden/>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character" w:customStyle="1" w:styleId="FootnoteTextChar">
    <w:name w:val="Footnote Text Char"/>
    <w:basedOn w:val="DefaultParagraphFont"/>
    <w:link w:val="FootnoteText"/>
    <w:semiHidden/>
    <w:rsid w:val="00A92BFF"/>
    <w:rPr>
      <w:sz w:val="22"/>
      <w:lang w:val="fr-FR" w:eastAsia="en-US"/>
    </w:rPr>
  </w:style>
  <w:style w:type="paragraph" w:customStyle="1" w:styleId="TableText0">
    <w:name w:val="Table_Text"/>
    <w:basedOn w:val="Normal"/>
    <w:rsid w:val="00A92BFF"/>
    <w:pPr>
      <w:keepNext/>
      <w:tabs>
        <w:tab w:val="left" w:pos="794"/>
        <w:tab w:val="left" w:pos="1191"/>
        <w:tab w:val="left" w:pos="1588"/>
        <w:tab w:val="left" w:pos="1985"/>
      </w:tabs>
      <w:spacing w:before="100" w:after="100" w:line="190" w:lineRule="exact"/>
    </w:pPr>
    <w:rPr>
      <w:sz w:val="18"/>
      <w:lang w:val="en-GB"/>
    </w:rPr>
  </w:style>
  <w:style w:type="paragraph" w:customStyle="1" w:styleId="Fig">
    <w:name w:val="Fig"/>
    <w:basedOn w:val="Normal"/>
    <w:next w:val="Normal"/>
    <w:rsid w:val="00A92BFF"/>
    <w:pPr>
      <w:spacing w:before="136"/>
      <w:jc w:val="center"/>
    </w:pPr>
    <w:rPr>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md/R03-WP6A-C-0142/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TotalTime>
  <Pages>15</Pages>
  <Words>4071</Words>
  <Characters>21545</Characters>
  <Application>Microsoft Office Word</Application>
  <DocSecurity>0</DocSecurity>
  <Lines>179</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25565</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santosbo</cp:lastModifiedBy>
  <cp:revision>3</cp:revision>
  <cp:lastPrinted>2005-02-10T14:54:00Z</cp:lastPrinted>
  <dcterms:created xsi:type="dcterms:W3CDTF">2011-02-23T15:30:00Z</dcterms:created>
  <dcterms:modified xsi:type="dcterms:W3CDTF">2011-02-23T15:34:00Z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