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1331" w14:textId="77777777" w:rsidR="00FE79FE" w:rsidRDefault="00FE79FE"/>
    <w:p w14:paraId="12EC0084" w14:textId="77777777" w:rsidR="00013002" w:rsidRDefault="00013002" w:rsidP="00DE5556">
      <w:pPr>
        <w:tabs>
          <w:tab w:val="clear" w:pos="794"/>
          <w:tab w:val="clear" w:pos="1191"/>
          <w:tab w:val="clear" w:pos="1588"/>
          <w:tab w:val="clear" w:pos="1985"/>
        </w:tabs>
      </w:pPr>
    </w:p>
    <w:p w14:paraId="02DC86E6" w14:textId="55EA3EC0"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41AF2">
        <w:rPr>
          <w:lang w:val="es-ES"/>
        </w:rPr>
        <w:t>BT</w:t>
      </w:r>
      <w:r w:rsidRPr="00F111D6">
        <w:rPr>
          <w:lang w:val="es-ES"/>
        </w:rPr>
        <w:t>.</w:t>
      </w:r>
      <w:r w:rsidR="00CC7C52">
        <w:rPr>
          <w:lang w:val="es-ES"/>
        </w:rPr>
        <w:t>2166-0</w:t>
      </w:r>
    </w:p>
    <w:p w14:paraId="612FC8D8" w14:textId="51C5EEE0" w:rsidR="00D5024B" w:rsidRPr="00F111D6" w:rsidRDefault="00D5024B" w:rsidP="00D5024B">
      <w:pPr>
        <w:pStyle w:val="CoverDate"/>
        <w:rPr>
          <w:lang w:val="es-ES"/>
        </w:rPr>
      </w:pPr>
      <w:r w:rsidRPr="00F111D6">
        <w:rPr>
          <w:lang w:val="es-ES"/>
        </w:rPr>
        <w:t>(</w:t>
      </w:r>
      <w:r w:rsidR="00CC7C52">
        <w:rPr>
          <w:lang w:val="es-ES"/>
        </w:rPr>
        <w:t>02/2025</w:t>
      </w:r>
      <w:r w:rsidRPr="00F111D6">
        <w:rPr>
          <w:lang w:val="es-ES"/>
        </w:rPr>
        <w:t>)</w:t>
      </w:r>
    </w:p>
    <w:p w14:paraId="0138F585"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41AF2">
        <w:rPr>
          <w:lang w:val="es-ES"/>
        </w:rPr>
        <w:t>BT</w:t>
      </w:r>
      <w:r w:rsidR="00D5024B" w:rsidRPr="00F111D6">
        <w:rPr>
          <w:lang w:val="es-ES"/>
        </w:rPr>
        <w:t xml:space="preserve">: </w:t>
      </w:r>
      <w:r w:rsidR="00441AF2" w:rsidRPr="00441AF2">
        <w:rPr>
          <w:lang w:val="es-ES"/>
        </w:rPr>
        <w:t>Servicio de radiodifusión (televisión)</w:t>
      </w:r>
    </w:p>
    <w:p w14:paraId="012F9AC7" w14:textId="7A562751" w:rsidR="00D5024B" w:rsidRPr="00F111D6" w:rsidRDefault="00CC7C52" w:rsidP="00D5024B">
      <w:pPr>
        <w:pStyle w:val="CoverTitle"/>
        <w:rPr>
          <w:lang w:val="es-ES"/>
        </w:rPr>
      </w:pPr>
      <w:r w:rsidRPr="00501907">
        <w:rPr>
          <w:lang w:val="es-ES"/>
        </w:rPr>
        <w:t>Condiciones de visualización en monitores muy próximos de gama dinámica elevada y gama dinámi</w:t>
      </w:r>
      <w:r>
        <w:rPr>
          <w:lang w:val="es-ES"/>
        </w:rPr>
        <w:t>ca normal en un entorno de producción de gama dinámica elevada de formato único</w:t>
      </w:r>
    </w:p>
    <w:p w14:paraId="1A518542" w14:textId="77777777" w:rsidR="00FE79FE" w:rsidRPr="00F111D6" w:rsidRDefault="00FE79FE" w:rsidP="005373E0"/>
    <w:p w14:paraId="44720675" w14:textId="77777777" w:rsidR="00A71FE5" w:rsidRPr="00F111D6" w:rsidRDefault="00A71FE5" w:rsidP="005373E0"/>
    <w:p w14:paraId="656EA103"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6023E4D4"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5C0E72B4"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31534D7E"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63D0960A"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5418F179" w14:textId="7653191A"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00A239D6" w:rsidRPr="00CF60AB">
          <w:rPr>
            <w:rStyle w:val="Hyperlink"/>
            <w:sz w:val="20"/>
            <w:lang w:val="es-ES_tradnl"/>
          </w:rPr>
          <w:t>https://www.itu.int/ITU-R/go/patents/es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5BF481C0" w14:textId="77777777" w:rsidR="0069322D" w:rsidRPr="007C36CA" w:rsidRDefault="0069322D" w:rsidP="0069322D">
      <w:pPr>
        <w:spacing w:before="0"/>
        <w:jc w:val="center"/>
        <w:rPr>
          <w:sz w:val="22"/>
          <w:lang w:val="es-ES_tradnl"/>
        </w:rPr>
      </w:pPr>
    </w:p>
    <w:p w14:paraId="4E2297F0"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31B9F" w14:paraId="4672FC8F" w14:textId="77777777" w:rsidTr="0069322D">
        <w:tc>
          <w:tcPr>
            <w:tcW w:w="9360" w:type="dxa"/>
            <w:gridSpan w:val="2"/>
          </w:tcPr>
          <w:p w14:paraId="202BAF53"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46F1D486"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5D74DB5E" w14:textId="77777777" w:rsidTr="00B96572">
        <w:tc>
          <w:tcPr>
            <w:tcW w:w="1140" w:type="dxa"/>
            <w:tcBorders>
              <w:bottom w:val="nil"/>
            </w:tcBorders>
            <w:vAlign w:val="bottom"/>
          </w:tcPr>
          <w:p w14:paraId="444FD8A9"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463795A6"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5A0E5BEE" w14:textId="77777777" w:rsidTr="0069322D">
        <w:tc>
          <w:tcPr>
            <w:tcW w:w="1140" w:type="dxa"/>
            <w:tcBorders>
              <w:top w:val="nil"/>
              <w:bottom w:val="nil"/>
            </w:tcBorders>
            <w:shd w:val="clear" w:color="auto" w:fill="auto"/>
          </w:tcPr>
          <w:p w14:paraId="67108BB9"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00CD2B9A"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5A20C1" w14:paraId="07798BB0" w14:textId="77777777" w:rsidTr="0069322D">
        <w:tc>
          <w:tcPr>
            <w:tcW w:w="1140" w:type="dxa"/>
            <w:tcBorders>
              <w:top w:val="nil"/>
              <w:bottom w:val="nil"/>
            </w:tcBorders>
            <w:shd w:val="clear" w:color="auto" w:fill="auto"/>
          </w:tcPr>
          <w:p w14:paraId="73E9A103"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64D2D671"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1DEF0B08" w14:textId="77777777" w:rsidTr="00441AF2">
        <w:tc>
          <w:tcPr>
            <w:tcW w:w="1140" w:type="dxa"/>
            <w:tcBorders>
              <w:top w:val="nil"/>
              <w:bottom w:val="nil"/>
            </w:tcBorders>
            <w:shd w:val="clear" w:color="auto" w:fill="auto"/>
          </w:tcPr>
          <w:p w14:paraId="5CF0A239"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168C42E5"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441AF2" w:rsidRPr="00441AF2" w14:paraId="2DEE7E8C" w14:textId="77777777" w:rsidTr="00441AF2">
        <w:tc>
          <w:tcPr>
            <w:tcW w:w="1140" w:type="dxa"/>
            <w:tcBorders>
              <w:top w:val="nil"/>
              <w:bottom w:val="nil"/>
            </w:tcBorders>
            <w:shd w:val="clear" w:color="auto" w:fill="F2F2F2" w:themeFill="background1" w:themeFillShade="F2"/>
          </w:tcPr>
          <w:p w14:paraId="76870273" w14:textId="77777777" w:rsidR="0069322D" w:rsidRPr="00441AF2" w:rsidRDefault="0069322D" w:rsidP="000B4BD9">
            <w:pPr>
              <w:spacing w:before="30" w:after="30"/>
              <w:ind w:left="57"/>
              <w:jc w:val="left"/>
              <w:rPr>
                <w:b/>
                <w:bCs/>
                <w:color w:val="000080"/>
                <w:sz w:val="20"/>
                <w:lang w:val="en-US"/>
              </w:rPr>
            </w:pPr>
            <w:r w:rsidRPr="00441AF2">
              <w:rPr>
                <w:b/>
                <w:bCs/>
                <w:color w:val="000080"/>
                <w:sz w:val="20"/>
                <w:lang w:val="en-US"/>
              </w:rPr>
              <w:t>BT</w:t>
            </w:r>
          </w:p>
        </w:tc>
        <w:tc>
          <w:tcPr>
            <w:tcW w:w="8220" w:type="dxa"/>
            <w:tcBorders>
              <w:top w:val="nil"/>
              <w:bottom w:val="nil"/>
            </w:tcBorders>
            <w:shd w:val="clear" w:color="auto" w:fill="F2F2F2" w:themeFill="background1" w:themeFillShade="F2"/>
          </w:tcPr>
          <w:p w14:paraId="34760019" w14:textId="77777777" w:rsidR="0069322D" w:rsidRPr="00441AF2"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441AF2">
              <w:rPr>
                <w:bCs/>
                <w:color w:val="000080"/>
                <w:sz w:val="20"/>
              </w:rPr>
              <w:t>Servicio de radiodifusión (televisión)</w:t>
            </w:r>
          </w:p>
        </w:tc>
      </w:tr>
      <w:tr w:rsidR="0069322D" w:rsidRPr="00366CEE" w14:paraId="34E450D6" w14:textId="77777777" w:rsidTr="0069322D">
        <w:tc>
          <w:tcPr>
            <w:tcW w:w="1140" w:type="dxa"/>
            <w:tcBorders>
              <w:top w:val="nil"/>
              <w:bottom w:val="nil"/>
            </w:tcBorders>
            <w:shd w:val="clear" w:color="auto" w:fill="auto"/>
          </w:tcPr>
          <w:p w14:paraId="317994EE" w14:textId="77777777" w:rsidR="0069322D" w:rsidRPr="00366CEE" w:rsidRDefault="0069322D" w:rsidP="000B4BD9">
            <w:pPr>
              <w:spacing w:before="30" w:after="30"/>
              <w:ind w:left="57"/>
              <w:jc w:val="left"/>
              <w:rPr>
                <w:b/>
                <w:bCs/>
                <w:sz w:val="20"/>
                <w:lang w:val="fr-CH"/>
              </w:rPr>
            </w:pPr>
            <w:r w:rsidRPr="00366CEE">
              <w:rPr>
                <w:b/>
                <w:bCs/>
                <w:sz w:val="20"/>
                <w:lang w:val="fr-CH"/>
              </w:rPr>
              <w:t>F</w:t>
            </w:r>
          </w:p>
        </w:tc>
        <w:tc>
          <w:tcPr>
            <w:tcW w:w="8220" w:type="dxa"/>
            <w:tcBorders>
              <w:top w:val="nil"/>
              <w:bottom w:val="nil"/>
            </w:tcBorders>
            <w:shd w:val="clear" w:color="auto" w:fill="auto"/>
          </w:tcPr>
          <w:p w14:paraId="205340A9" w14:textId="77777777" w:rsidR="0069322D" w:rsidRPr="00366CEE"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66CEE">
              <w:rPr>
                <w:sz w:val="20"/>
              </w:rPr>
              <w:t>Servicio fijo</w:t>
            </w:r>
          </w:p>
        </w:tc>
      </w:tr>
      <w:tr w:rsidR="0069322D" w:rsidRPr="005A20C1" w14:paraId="4A7380EC" w14:textId="77777777" w:rsidTr="0069322D">
        <w:tc>
          <w:tcPr>
            <w:tcW w:w="1140" w:type="dxa"/>
            <w:tcBorders>
              <w:top w:val="nil"/>
              <w:bottom w:val="nil"/>
            </w:tcBorders>
            <w:shd w:val="clear" w:color="auto" w:fill="auto"/>
          </w:tcPr>
          <w:p w14:paraId="35FDF97C"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6B58D86B"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5A20C1" w14:paraId="359C6275" w14:textId="77777777" w:rsidTr="0069322D">
        <w:tc>
          <w:tcPr>
            <w:tcW w:w="1140" w:type="dxa"/>
            <w:tcBorders>
              <w:top w:val="nil"/>
              <w:bottom w:val="nil"/>
            </w:tcBorders>
            <w:shd w:val="clear" w:color="auto" w:fill="auto"/>
          </w:tcPr>
          <w:p w14:paraId="4C25C7E8"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6072F7E1"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4F15D5B3" w14:textId="77777777" w:rsidTr="0069322D">
        <w:tc>
          <w:tcPr>
            <w:tcW w:w="1140" w:type="dxa"/>
            <w:tcBorders>
              <w:top w:val="nil"/>
              <w:bottom w:val="nil"/>
            </w:tcBorders>
            <w:shd w:val="clear" w:color="auto" w:fill="auto"/>
          </w:tcPr>
          <w:p w14:paraId="4B79F5AD"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20D2B927"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5A20C1" w14:paraId="02DDEFCE" w14:textId="77777777" w:rsidTr="0069322D">
        <w:tc>
          <w:tcPr>
            <w:tcW w:w="1140" w:type="dxa"/>
            <w:tcBorders>
              <w:top w:val="nil"/>
              <w:bottom w:val="nil"/>
            </w:tcBorders>
            <w:shd w:val="clear" w:color="auto" w:fill="auto"/>
          </w:tcPr>
          <w:p w14:paraId="13B40747"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7C87DAB3"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B3F54A8" w14:textId="77777777" w:rsidTr="00441AF2">
        <w:tc>
          <w:tcPr>
            <w:tcW w:w="1140" w:type="dxa"/>
            <w:tcBorders>
              <w:top w:val="nil"/>
              <w:bottom w:val="nil"/>
            </w:tcBorders>
            <w:shd w:val="clear" w:color="auto" w:fill="auto"/>
          </w:tcPr>
          <w:p w14:paraId="17455F2C"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5B60CA57" w14:textId="77777777" w:rsidR="0069322D" w:rsidRPr="00025336" w:rsidRDefault="0069322D" w:rsidP="000B4BD9">
            <w:pPr>
              <w:spacing w:before="30" w:after="30"/>
              <w:jc w:val="left"/>
              <w:rPr>
                <w:sz w:val="20"/>
                <w:lang w:val="en-US"/>
              </w:rPr>
            </w:pPr>
            <w:r w:rsidRPr="00025336">
              <w:rPr>
                <w:sz w:val="20"/>
              </w:rPr>
              <w:t>Servicio fijo por satélite</w:t>
            </w:r>
          </w:p>
        </w:tc>
      </w:tr>
      <w:tr w:rsidR="00441AF2" w:rsidRPr="00441AF2" w14:paraId="4F243FFD" w14:textId="77777777" w:rsidTr="00441AF2">
        <w:tc>
          <w:tcPr>
            <w:tcW w:w="1140" w:type="dxa"/>
            <w:tcBorders>
              <w:top w:val="nil"/>
              <w:bottom w:val="nil"/>
            </w:tcBorders>
            <w:shd w:val="clear" w:color="auto" w:fill="FFFFFF" w:themeFill="background1"/>
          </w:tcPr>
          <w:p w14:paraId="379F7DD5" w14:textId="77777777" w:rsidR="0069322D" w:rsidRPr="00441AF2" w:rsidRDefault="0069322D" w:rsidP="000B4BD9">
            <w:pPr>
              <w:spacing w:before="30" w:after="30"/>
              <w:ind w:left="57"/>
              <w:jc w:val="left"/>
              <w:rPr>
                <w:b/>
                <w:bCs/>
                <w:sz w:val="20"/>
                <w:lang w:val="en-US"/>
              </w:rPr>
            </w:pPr>
            <w:r w:rsidRPr="00441AF2">
              <w:rPr>
                <w:b/>
                <w:bCs/>
                <w:sz w:val="20"/>
                <w:lang w:val="en-US"/>
              </w:rPr>
              <w:t>SA</w:t>
            </w:r>
          </w:p>
        </w:tc>
        <w:tc>
          <w:tcPr>
            <w:tcW w:w="8220" w:type="dxa"/>
            <w:tcBorders>
              <w:top w:val="nil"/>
              <w:bottom w:val="nil"/>
            </w:tcBorders>
            <w:shd w:val="clear" w:color="auto" w:fill="FFFFFF" w:themeFill="background1"/>
          </w:tcPr>
          <w:p w14:paraId="7CAB352F" w14:textId="77777777" w:rsidR="0069322D" w:rsidRPr="00441AF2" w:rsidRDefault="0069322D" w:rsidP="000B4BD9">
            <w:pPr>
              <w:spacing w:before="30" w:after="30"/>
              <w:jc w:val="left"/>
              <w:rPr>
                <w:sz w:val="20"/>
                <w:lang w:val="en-US"/>
              </w:rPr>
            </w:pPr>
            <w:r w:rsidRPr="00441AF2">
              <w:rPr>
                <w:sz w:val="20"/>
              </w:rPr>
              <w:t>Aplicaciones espaciales y meteorología</w:t>
            </w:r>
          </w:p>
        </w:tc>
      </w:tr>
      <w:tr w:rsidR="0069322D" w:rsidRPr="005A20C1" w14:paraId="416239A0" w14:textId="77777777" w:rsidTr="0069322D">
        <w:tc>
          <w:tcPr>
            <w:tcW w:w="1140" w:type="dxa"/>
            <w:tcBorders>
              <w:top w:val="nil"/>
            </w:tcBorders>
          </w:tcPr>
          <w:p w14:paraId="3CB7A6C0"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6C84E56B"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769CBEA4" w14:textId="77777777" w:rsidTr="0069322D">
        <w:tc>
          <w:tcPr>
            <w:tcW w:w="1140" w:type="dxa"/>
            <w:shd w:val="clear" w:color="auto" w:fill="auto"/>
          </w:tcPr>
          <w:p w14:paraId="70497D6C"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4E5D9151"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1368A5E6" w14:textId="77777777" w:rsidTr="0069322D">
        <w:tc>
          <w:tcPr>
            <w:tcW w:w="1140" w:type="dxa"/>
          </w:tcPr>
          <w:p w14:paraId="764AA132"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2816F2AD"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5A20C1" w14:paraId="076511D8" w14:textId="77777777" w:rsidTr="0069322D">
        <w:tc>
          <w:tcPr>
            <w:tcW w:w="1140" w:type="dxa"/>
          </w:tcPr>
          <w:p w14:paraId="30B1343C"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192DA6CF"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705F3330" w14:textId="77777777" w:rsidTr="0069322D">
        <w:tc>
          <w:tcPr>
            <w:tcW w:w="1140" w:type="dxa"/>
          </w:tcPr>
          <w:p w14:paraId="4B6A3940"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4523256A"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0F3BB6EB"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71121627" w14:textId="77777777" w:rsidTr="000B4BD9">
        <w:tc>
          <w:tcPr>
            <w:tcW w:w="720" w:type="dxa"/>
          </w:tcPr>
          <w:p w14:paraId="00E5203B"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5A20C1" w14:paraId="456CBAB7" w14:textId="77777777" w:rsidTr="00B96572">
        <w:tc>
          <w:tcPr>
            <w:tcW w:w="9360" w:type="dxa"/>
          </w:tcPr>
          <w:p w14:paraId="5DE8C224" w14:textId="7C770D47" w:rsidR="0069322D" w:rsidRPr="00F111D6" w:rsidRDefault="0069322D" w:rsidP="00A239D6">
            <w:pPr>
              <w:spacing w:before="92" w:after="92"/>
              <w:jc w:val="left"/>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A239D6">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7743DDF0" w14:textId="77777777" w:rsidR="0069322D" w:rsidRPr="00763D08" w:rsidRDefault="0069322D" w:rsidP="0069322D">
      <w:pPr>
        <w:spacing w:before="0"/>
        <w:jc w:val="center"/>
        <w:rPr>
          <w:sz w:val="22"/>
          <w:lang w:val="es-ES_tradnl"/>
        </w:rPr>
      </w:pPr>
    </w:p>
    <w:p w14:paraId="01A629C4"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5E9CF521" w14:textId="454E6603"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CC7C52">
        <w:rPr>
          <w:sz w:val="20"/>
          <w:lang w:val="es-ES_tradnl"/>
        </w:rPr>
        <w:t>5</w:t>
      </w:r>
    </w:p>
    <w:p w14:paraId="4674E448" w14:textId="77777777" w:rsidR="0069322D" w:rsidRPr="00763D08" w:rsidRDefault="0069322D" w:rsidP="0069322D">
      <w:pPr>
        <w:spacing w:before="0" w:after="120"/>
        <w:jc w:val="center"/>
        <w:rPr>
          <w:sz w:val="22"/>
          <w:lang w:val="es-ES_tradnl"/>
        </w:rPr>
      </w:pPr>
    </w:p>
    <w:p w14:paraId="0D6675AD" w14:textId="0500892F"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CC7C52">
        <w:rPr>
          <w:sz w:val="20"/>
          <w:lang w:val="es-ES_tradnl"/>
        </w:rPr>
        <w:t>5</w:t>
      </w:r>
    </w:p>
    <w:p w14:paraId="2EBD2752"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299A347B"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1BDC154C" w14:textId="07E2D89A" w:rsidR="00B874C6" w:rsidRPr="00B111CE" w:rsidRDefault="00B874C6" w:rsidP="00A936CB">
      <w:pPr>
        <w:pStyle w:val="RecNo"/>
        <w:spacing w:before="0"/>
      </w:pPr>
      <w:bookmarkStart w:id="2" w:name="irecnoe"/>
      <w:bookmarkEnd w:id="2"/>
      <w:r w:rsidRPr="00BF487A">
        <w:lastRenderedPageBreak/>
        <w:t>RECOM</w:t>
      </w:r>
      <w:r w:rsidR="00C94436">
        <w:t>ENDACIÓN</w:t>
      </w:r>
      <w:r w:rsidRPr="00BF487A">
        <w:t xml:space="preserve">  </w:t>
      </w:r>
      <w:r w:rsidR="00A25EE2" w:rsidRPr="00B111CE">
        <w:rPr>
          <w:rStyle w:val="href"/>
        </w:rPr>
        <w:t>UI</w:t>
      </w:r>
      <w:r w:rsidRPr="00B111CE">
        <w:rPr>
          <w:rStyle w:val="href"/>
        </w:rPr>
        <w:t xml:space="preserve">T-R  </w:t>
      </w:r>
      <w:r w:rsidR="00441AF2">
        <w:rPr>
          <w:rStyle w:val="href"/>
        </w:rPr>
        <w:t>BT</w:t>
      </w:r>
      <w:r w:rsidRPr="00B111CE">
        <w:rPr>
          <w:rStyle w:val="href"/>
        </w:rPr>
        <w:t>.</w:t>
      </w:r>
      <w:r w:rsidR="00CC7C52">
        <w:rPr>
          <w:rStyle w:val="href"/>
        </w:rPr>
        <w:t>2166-0</w:t>
      </w:r>
    </w:p>
    <w:p w14:paraId="23435F09" w14:textId="77777777" w:rsidR="00CC7C52" w:rsidRPr="00501907" w:rsidRDefault="00CC7C52" w:rsidP="00CC7C52">
      <w:pPr>
        <w:pStyle w:val="Rectitle"/>
      </w:pPr>
      <w:r w:rsidRPr="00501907">
        <w:t>Condiciones de visualización en monitores muy próximos de gama dinámica elevada y gama dinámica normal en un entorno de producción de gama dinámi</w:t>
      </w:r>
      <w:r>
        <w:t>ca elevada de formato único</w:t>
      </w:r>
      <w:r w:rsidRPr="001232F1">
        <w:rPr>
          <w:rStyle w:val="FootnoteReference"/>
        </w:rPr>
        <w:footnoteReference w:id="1"/>
      </w:r>
    </w:p>
    <w:p w14:paraId="6AA1AD0A" w14:textId="77777777" w:rsidR="00CC7C52" w:rsidRPr="008D4584" w:rsidRDefault="00CC7C52" w:rsidP="00CC7C52">
      <w:pPr>
        <w:pStyle w:val="Recdate"/>
      </w:pPr>
      <w:r w:rsidRPr="008D4584">
        <w:t>(2025)</w:t>
      </w:r>
    </w:p>
    <w:p w14:paraId="5778517E" w14:textId="77777777" w:rsidR="00CC7C52" w:rsidRPr="008D4584" w:rsidRDefault="00CC7C52" w:rsidP="00A239D6">
      <w:pPr>
        <w:pStyle w:val="HeadingSum"/>
      </w:pPr>
      <w:r w:rsidRPr="008D4584">
        <w:t>Alcance</w:t>
      </w:r>
    </w:p>
    <w:p w14:paraId="3DDB2817" w14:textId="77777777" w:rsidR="00CC7C52" w:rsidRPr="00A239D6" w:rsidRDefault="00CC7C52" w:rsidP="00A239D6">
      <w:pPr>
        <w:pStyle w:val="Summary"/>
      </w:pPr>
      <w:r w:rsidRPr="00A239D6">
        <w:t>En esta Recomendación se especifican las condiciones de visualización recomendadas adecuadas para su utilización en producciones de gama dinámica elevada (HDR) de formato único cuando las imágenes de gama dinámica normal (SDR) y HDR están muy próximas.</w:t>
      </w:r>
    </w:p>
    <w:p w14:paraId="1B9DC19D" w14:textId="77777777" w:rsidR="00CC7C52" w:rsidRPr="008D4584" w:rsidRDefault="00CC7C52" w:rsidP="00CC7C52">
      <w:pPr>
        <w:pStyle w:val="Headingb"/>
      </w:pPr>
      <w:r w:rsidRPr="008D4584">
        <w:t>Palabras clave</w:t>
      </w:r>
    </w:p>
    <w:p w14:paraId="0E1973E9" w14:textId="6176D5C5" w:rsidR="00CC7C52" w:rsidRPr="00E01BCA" w:rsidRDefault="00CC7C52" w:rsidP="00CC7C52">
      <w:r w:rsidRPr="00E01BCA">
        <w:t>Formato único, gama dinámica normal (SDR), gama dinámica elevada (HDR), televisión HDR (TV</w:t>
      </w:r>
      <w:r w:rsidR="00A239D6">
        <w:noBreakHyphen/>
      </w:r>
      <w:r w:rsidRPr="00E01BCA">
        <w:t>HDR), producción de televisión</w:t>
      </w:r>
      <w:r>
        <w:t>, intercambio internacional de programas, cuantización</w:t>
      </w:r>
      <w:r w:rsidRPr="00E01BCA">
        <w:t xml:space="preserve"> </w:t>
      </w:r>
      <w:r>
        <w:t>perceptiva</w:t>
      </w:r>
      <w:r w:rsidRPr="00E01BCA">
        <w:t xml:space="preserve"> (PQ), </w:t>
      </w:r>
      <w:bookmarkStart w:id="3" w:name="_Hlk187945273"/>
      <w:r>
        <w:t>híbrido</w:t>
      </w:r>
      <w:r w:rsidRPr="00E01BCA">
        <w:t xml:space="preserve"> log-gamma (HLG)</w:t>
      </w:r>
      <w:bookmarkEnd w:id="3"/>
      <w:r w:rsidRPr="00E01BCA">
        <w:t xml:space="preserve">, </w:t>
      </w:r>
      <w:r>
        <w:t>entorno de visualización</w:t>
      </w:r>
    </w:p>
    <w:p w14:paraId="01807D40" w14:textId="77777777" w:rsidR="00CC7C52" w:rsidRPr="00E01BCA" w:rsidRDefault="00CC7C52" w:rsidP="00CC7C52">
      <w:pPr>
        <w:pStyle w:val="Normalaftertitle"/>
        <w:rPr>
          <w:szCs w:val="24"/>
        </w:rPr>
      </w:pPr>
      <w:r w:rsidRPr="00E01BCA">
        <w:t>La Asamblea de Radiocomunicaciones de la UIT,</w:t>
      </w:r>
    </w:p>
    <w:p w14:paraId="3951BE4B" w14:textId="77777777" w:rsidR="00CC7C52" w:rsidRPr="008D4584" w:rsidRDefault="00CC7C52" w:rsidP="00CC7C52">
      <w:pPr>
        <w:pStyle w:val="Call"/>
      </w:pPr>
      <w:r w:rsidRPr="008D4584">
        <w:t>considerando</w:t>
      </w:r>
    </w:p>
    <w:p w14:paraId="0FFE0603" w14:textId="77777777" w:rsidR="00CC7C52" w:rsidRPr="00984911" w:rsidRDefault="00CC7C52" w:rsidP="00CC7C52">
      <w:r w:rsidRPr="00984911">
        <w:rPr>
          <w:i/>
          <w:iCs/>
        </w:rPr>
        <w:t>a)</w:t>
      </w:r>
      <w:r w:rsidRPr="00984911">
        <w:tab/>
        <w:t>que por motivos de eficiencia suele utilizarse una producción HDR de formato único cuya producción principal es HDR y la SDR se deriva por simplificación por correspondencia;</w:t>
      </w:r>
    </w:p>
    <w:p w14:paraId="1F3959F6" w14:textId="77777777" w:rsidR="00CC7C52" w:rsidRPr="00984911" w:rsidRDefault="00CC7C52" w:rsidP="00CC7C52">
      <w:bookmarkStart w:id="4" w:name="_Hlk129107983"/>
      <w:r w:rsidRPr="00984911">
        <w:rPr>
          <w:i/>
          <w:iCs/>
        </w:rPr>
        <w:t>b)</w:t>
      </w:r>
      <w:r w:rsidRPr="00984911">
        <w:tab/>
        <w:t>que en el caso de las producciones HDR de formato únic</w:t>
      </w:r>
      <w:r>
        <w:t>o suele ser inevitable la visualización en estrecha proximidad de imágenes HDR y SDR</w:t>
      </w:r>
      <w:bookmarkEnd w:id="4"/>
      <w:r w:rsidRPr="00984911">
        <w:t>;</w:t>
      </w:r>
    </w:p>
    <w:p w14:paraId="763D0708" w14:textId="77777777" w:rsidR="00CC7C52" w:rsidRPr="00984911" w:rsidRDefault="00CC7C52" w:rsidP="00CC7C52">
      <w:r w:rsidRPr="00984911">
        <w:rPr>
          <w:i/>
          <w:iCs/>
        </w:rPr>
        <w:t>c)</w:t>
      </w:r>
      <w:r w:rsidRPr="00984911">
        <w:tab/>
        <w:t>que las imágenes HDR son notablemente más brillantes qu</w:t>
      </w:r>
      <w:r>
        <w:t>e las imágenes SDR en sus respectivos entornos de visualización de referencia</w:t>
      </w:r>
      <w:r w:rsidRPr="00984911">
        <w:t>;</w:t>
      </w:r>
    </w:p>
    <w:p w14:paraId="1E43C7DA" w14:textId="77777777" w:rsidR="00CC7C52" w:rsidRPr="00984911" w:rsidRDefault="00CC7C52" w:rsidP="00CC7C52">
      <w:r w:rsidRPr="00984911">
        <w:rPr>
          <w:i/>
          <w:iCs/>
        </w:rPr>
        <w:t>d)</w:t>
      </w:r>
      <w:r w:rsidRPr="00984911">
        <w:tab/>
        <w:t>que la visualización en estrecha pro</w:t>
      </w:r>
      <w:r>
        <w:t>x</w:t>
      </w:r>
      <w:r w:rsidRPr="00984911">
        <w:t>imidad causa problemas de adaptación</w:t>
      </w:r>
      <w:r>
        <w:t xml:space="preserve"> visual a menos que se establezca un nivel de blanco unificado entre las imágenes HDS y SDR mostradas</w:t>
      </w:r>
      <w:r w:rsidRPr="00984911">
        <w:t>;</w:t>
      </w:r>
    </w:p>
    <w:p w14:paraId="2956B91C" w14:textId="77777777" w:rsidR="00CC7C52" w:rsidRPr="00984911" w:rsidRDefault="00CC7C52" w:rsidP="00CC7C52">
      <w:r w:rsidRPr="00984911">
        <w:rPr>
          <w:i/>
          <w:iCs/>
        </w:rPr>
        <w:t>e)</w:t>
      </w:r>
      <w:r w:rsidRPr="00984911">
        <w:tab/>
        <w:t xml:space="preserve">que un nivel de blanco unificado puede lograrse </w:t>
      </w:r>
      <w:r>
        <w:t>aumentando</w:t>
      </w:r>
      <w:r w:rsidRPr="00984911">
        <w:t xml:space="preserve"> la </w:t>
      </w:r>
      <w:r>
        <w:t>luminancia</w:t>
      </w:r>
      <w:r w:rsidRPr="00984911">
        <w:t xml:space="preserve"> SDR o reducien</w:t>
      </w:r>
      <w:r>
        <w:t>do la luminancia HDR con respecto a sus niveles de referencia respectivos</w:t>
      </w:r>
      <w:r w:rsidRPr="00984911">
        <w:t>;</w:t>
      </w:r>
    </w:p>
    <w:p w14:paraId="7F082283" w14:textId="77777777" w:rsidR="00CC7C52" w:rsidRPr="00984911" w:rsidRDefault="00CC7C52" w:rsidP="00CC7C52">
      <w:r w:rsidRPr="00984911">
        <w:rPr>
          <w:i/>
          <w:iCs/>
        </w:rPr>
        <w:t>f)</w:t>
      </w:r>
      <w:r w:rsidRPr="00984911">
        <w:tab/>
        <w:t>que, cuando los monitories estén muy próximos, SDR y HDR estarán en</w:t>
      </w:r>
      <w:r>
        <w:t xml:space="preserve"> un mismo entorno</w:t>
      </w:r>
      <w:r w:rsidRPr="00984911">
        <w:t>;</w:t>
      </w:r>
    </w:p>
    <w:p w14:paraId="7620F665" w14:textId="12C4D308" w:rsidR="00CC7C52" w:rsidRPr="00A239D6" w:rsidRDefault="00CC7C52" w:rsidP="00CC7C52">
      <w:r w:rsidRPr="00A239D6">
        <w:rPr>
          <w:i/>
          <w:iCs/>
        </w:rPr>
        <w:t>g)</w:t>
      </w:r>
      <w:r w:rsidRPr="00A239D6">
        <w:tab/>
        <w:t xml:space="preserve">que las series de producción SDR generalmente utilizan niveles de luminancia ambiente semejantes a los de la Recomendación </w:t>
      </w:r>
      <w:bookmarkStart w:id="5" w:name="_Hlk187944113"/>
      <w:r w:rsidRPr="00A239D6">
        <w:fldChar w:fldCharType="begin"/>
      </w:r>
      <w:r w:rsidR="00A239D6">
        <w:instrText>HYPERLINK "https://www.itu.int/rec/R-REC-BT.2100/es"</w:instrText>
      </w:r>
      <w:r w:rsidRPr="00A239D6">
        <w:fldChar w:fldCharType="separate"/>
      </w:r>
      <w:r w:rsidRPr="00A239D6">
        <w:rPr>
          <w:rStyle w:val="Hyperlink"/>
          <w:color w:val="auto"/>
          <w:u w:val="none"/>
        </w:rPr>
        <w:t>UIT-R BT.2100</w:t>
      </w:r>
      <w:r w:rsidRPr="00A239D6">
        <w:fldChar w:fldCharType="end"/>
      </w:r>
      <w:bookmarkEnd w:id="5"/>
      <w:r w:rsidRPr="00A239D6">
        <w:t xml:space="preserve">, que difieren de los niveles especificados en la Recomendación </w:t>
      </w:r>
      <w:hyperlink r:id="rId14" w:history="1">
        <w:r w:rsidRPr="00A239D6">
          <w:rPr>
            <w:rStyle w:val="Hyperlink"/>
            <w:color w:val="auto"/>
            <w:u w:val="none"/>
          </w:rPr>
          <w:t>UIT-R BT.2035</w:t>
        </w:r>
      </w:hyperlink>
      <w:r w:rsidRPr="00A239D6">
        <w:t>,</w:t>
      </w:r>
    </w:p>
    <w:p w14:paraId="699975CD" w14:textId="77777777" w:rsidR="00CC7C52" w:rsidRPr="008D4584" w:rsidRDefault="00CC7C52" w:rsidP="00CC7C52">
      <w:pPr>
        <w:pStyle w:val="Call"/>
      </w:pPr>
      <w:r w:rsidRPr="008D4584">
        <w:t>reconociendo</w:t>
      </w:r>
    </w:p>
    <w:p w14:paraId="3F493614" w14:textId="3A759B37" w:rsidR="00CC7C52" w:rsidRPr="00A239D6" w:rsidRDefault="00CC7C52" w:rsidP="00CC7C52">
      <w:r w:rsidRPr="00A239D6">
        <w:rPr>
          <w:i/>
          <w:iCs/>
        </w:rPr>
        <w:t>a)</w:t>
      </w:r>
      <w:r w:rsidRPr="00A239D6">
        <w:tab/>
        <w:t xml:space="preserve">que en la Recomendación </w:t>
      </w:r>
      <w:bookmarkStart w:id="6" w:name="_Hlk187944241"/>
      <w:r w:rsidRPr="00A239D6">
        <w:fldChar w:fldCharType="begin"/>
      </w:r>
      <w:r w:rsidR="00A239D6">
        <w:instrText>HYPERLINK "https://www.itu.int/rec/R-REC-BT.2035/es"</w:instrText>
      </w:r>
      <w:r w:rsidRPr="00A239D6">
        <w:fldChar w:fldCharType="separate"/>
      </w:r>
      <w:r w:rsidRPr="00A239D6">
        <w:rPr>
          <w:rStyle w:val="Hyperlink"/>
          <w:color w:val="auto"/>
          <w:u w:val="none"/>
        </w:rPr>
        <w:t>UIT-R BT.2035</w:t>
      </w:r>
      <w:r w:rsidRPr="00A239D6">
        <w:fldChar w:fldCharType="end"/>
      </w:r>
      <w:bookmarkEnd w:id="6"/>
      <w:r w:rsidRPr="00A239D6">
        <w:t xml:space="preserve"> se especifica un blanco de referencia SDR de 100 cd/m</w:t>
      </w:r>
      <w:r w:rsidRPr="00A239D6">
        <w:rPr>
          <w:vertAlign w:val="superscript"/>
        </w:rPr>
        <w:t>2</w:t>
      </w:r>
      <w:r w:rsidRPr="00A239D6">
        <w:t>;</w:t>
      </w:r>
    </w:p>
    <w:p w14:paraId="76AC79B9" w14:textId="7004B6ED" w:rsidR="00CC7C52" w:rsidRPr="00A239D6" w:rsidRDefault="00CC7C52" w:rsidP="00CC7C52">
      <w:r w:rsidRPr="00A239D6">
        <w:rPr>
          <w:i/>
          <w:iCs/>
        </w:rPr>
        <w:t>b)</w:t>
      </w:r>
      <w:r w:rsidRPr="00A239D6">
        <w:tab/>
        <w:t xml:space="preserve">que en la Recomendación </w:t>
      </w:r>
      <w:hyperlink r:id="rId15" w:history="1">
        <w:r w:rsidRPr="00A239D6">
          <w:rPr>
            <w:rStyle w:val="Hyperlink"/>
            <w:color w:val="auto"/>
            <w:u w:val="none"/>
          </w:rPr>
          <w:t>UIT-R BT.2100</w:t>
        </w:r>
      </w:hyperlink>
      <w:r w:rsidRPr="00A239D6">
        <w:t xml:space="preserve"> se especifica un nivel de luminancia ≥ 1 000 cd/m</w:t>
      </w:r>
      <w:r w:rsidRPr="00A239D6">
        <w:rPr>
          <w:vertAlign w:val="superscript"/>
        </w:rPr>
        <w:t>2</w:t>
      </w:r>
      <w:r w:rsidRPr="00A239D6">
        <w:t xml:space="preserve"> para un monitor de referencia y para la observación crítica de imágenes HDR;</w:t>
      </w:r>
    </w:p>
    <w:p w14:paraId="51C6B3F4" w14:textId="79E1AFEE" w:rsidR="00CC7C52" w:rsidRPr="00A239D6" w:rsidRDefault="00CC7C52" w:rsidP="00CC7C52">
      <w:r w:rsidRPr="00A239D6">
        <w:rPr>
          <w:i/>
          <w:iCs/>
        </w:rPr>
        <w:lastRenderedPageBreak/>
        <w:t>c)</w:t>
      </w:r>
      <w:r w:rsidRPr="00A239D6">
        <w:rPr>
          <w:i/>
          <w:iCs/>
        </w:rPr>
        <w:tab/>
      </w:r>
      <w:r w:rsidRPr="00A239D6">
        <w:t xml:space="preserve">que en el Informe </w:t>
      </w:r>
      <w:hyperlink r:id="rId16" w:history="1">
        <w:r w:rsidRPr="00A239D6">
          <w:rPr>
            <w:rStyle w:val="Hyperlink"/>
            <w:color w:val="auto"/>
            <w:u w:val="none"/>
          </w:rPr>
          <w:t>UIT-R BT.2408</w:t>
        </w:r>
      </w:hyperlink>
      <w:r w:rsidRPr="00A239D6">
        <w:t xml:space="preserve"> se describe un blanco de referencia HDR de 203 cd/m</w:t>
      </w:r>
      <w:r w:rsidRPr="00A239D6">
        <w:rPr>
          <w:vertAlign w:val="superscript"/>
        </w:rPr>
        <w:t xml:space="preserve">2 </w:t>
      </w:r>
      <w:r w:rsidRPr="00A239D6">
        <w:t>para un monitor de cuantización perceptiva (PQ) de referencia, lo que corresponde a un monitor híbrido Log-Gamma (HLG) con una luminancia de cresta de 1 000 cd/m</w:t>
      </w:r>
      <w:r w:rsidRPr="00A239D6">
        <w:rPr>
          <w:vertAlign w:val="superscript"/>
        </w:rPr>
        <w:t>2</w:t>
      </w:r>
      <w:r w:rsidRPr="00A239D6">
        <w:t>;</w:t>
      </w:r>
    </w:p>
    <w:p w14:paraId="4EF27A52" w14:textId="07E720A1" w:rsidR="00CC7C52" w:rsidRPr="00A239D6" w:rsidRDefault="00CC7C52" w:rsidP="00CC7C52">
      <w:pPr>
        <w:tabs>
          <w:tab w:val="clear" w:pos="794"/>
          <w:tab w:val="clear" w:pos="1191"/>
          <w:tab w:val="clear" w:pos="1588"/>
          <w:tab w:val="clear" w:pos="1985"/>
          <w:tab w:val="left" w:pos="1134"/>
          <w:tab w:val="left" w:pos="1871"/>
          <w:tab w:val="left" w:pos="2268"/>
        </w:tabs>
        <w:jc w:val="left"/>
      </w:pPr>
      <w:r w:rsidRPr="00A239D6">
        <w:rPr>
          <w:i/>
          <w:iCs/>
        </w:rPr>
        <w:t>d)</w:t>
      </w:r>
      <w:r w:rsidRPr="00A239D6">
        <w:tab/>
        <w:t xml:space="preserve">que en la Recomendación </w:t>
      </w:r>
      <w:hyperlink r:id="rId17" w:history="1">
        <w:r w:rsidRPr="00A239D6">
          <w:rPr>
            <w:rStyle w:val="Hyperlink"/>
            <w:color w:val="auto"/>
            <w:u w:val="none"/>
          </w:rPr>
          <w:t>UIT-R BT.2100</w:t>
        </w:r>
      </w:hyperlink>
      <w:r w:rsidRPr="00A239D6">
        <w:t xml:space="preserve"> se especifica una luminancia ambiente de control de 5 cd/m</w:t>
      </w:r>
      <w:r w:rsidRPr="00A239D6">
        <w:rPr>
          <w:vertAlign w:val="superscript"/>
        </w:rPr>
        <w:t>2</w:t>
      </w:r>
      <w:r w:rsidRPr="00A239D6">
        <w:t>,</w:t>
      </w:r>
    </w:p>
    <w:p w14:paraId="474B7E18" w14:textId="77777777" w:rsidR="00CC7C52" w:rsidRPr="008D4584" w:rsidRDefault="00CC7C52" w:rsidP="00CC7C52">
      <w:pPr>
        <w:pStyle w:val="Call"/>
      </w:pPr>
      <w:r w:rsidRPr="008D4584">
        <w:t>recomienda</w:t>
      </w:r>
    </w:p>
    <w:p w14:paraId="3631448C" w14:textId="743F8F7A" w:rsidR="00CC7C52" w:rsidRPr="00CC7C52" w:rsidRDefault="00CC7C52" w:rsidP="00CC7C52">
      <w:r w:rsidRPr="00CC7C52">
        <w:t>que para las producciones HDR de formato único donde los monitores de programas SDR y HDR deban muy próximos se utilicen las condiciones de visualización recomendadas descritas en el Anexo 1.</w:t>
      </w:r>
    </w:p>
    <w:p w14:paraId="1B1F82EE" w14:textId="77777777" w:rsidR="00CC7C52" w:rsidRPr="005B3B8C" w:rsidRDefault="00CC7C52" w:rsidP="00A239D6">
      <w:pPr>
        <w:rPr>
          <w:u w:color="000000"/>
          <w:bdr w:val="nil"/>
          <w:lang w:eastAsia="en-GB"/>
        </w:rPr>
      </w:pPr>
    </w:p>
    <w:p w14:paraId="22EEB6A9" w14:textId="77777777" w:rsidR="00CC7C52" w:rsidRPr="005B3B8C" w:rsidRDefault="00CC7C52" w:rsidP="00A239D6">
      <w:pPr>
        <w:rPr>
          <w:u w:color="000000"/>
          <w:bdr w:val="nil"/>
          <w:lang w:eastAsia="en-GB"/>
        </w:rPr>
      </w:pPr>
    </w:p>
    <w:p w14:paraId="3AE22ED6" w14:textId="04DCE20C" w:rsidR="00CC7C52" w:rsidRPr="005B3B8C" w:rsidRDefault="00CC7C52" w:rsidP="00CC7C52">
      <w:pPr>
        <w:pStyle w:val="AnnexNoTitle"/>
        <w:rPr>
          <w:rFonts w:eastAsia="MS Mincho"/>
        </w:rPr>
      </w:pPr>
      <w:r w:rsidRPr="005B3B8C">
        <w:rPr>
          <w:rFonts w:eastAsia="MS Mincho"/>
        </w:rPr>
        <w:t>Anexo 1</w:t>
      </w:r>
      <w:r w:rsidRPr="005B3B8C">
        <w:rPr>
          <w:rFonts w:eastAsia="MS Mincho"/>
        </w:rPr>
        <w:br/>
      </w:r>
      <w:r w:rsidRPr="005B3B8C">
        <w:rPr>
          <w:rFonts w:eastAsia="MS Mincho"/>
        </w:rPr>
        <w:br/>
        <w:t xml:space="preserve">Condiciones de visualización recomendadas para imágenes HDR </w:t>
      </w:r>
      <w:r>
        <w:rPr>
          <w:rFonts w:eastAsia="MS Mincho"/>
        </w:rPr>
        <w:t>y SDR en monitores muy próximos</w:t>
      </w:r>
    </w:p>
    <w:p w14:paraId="122B9F7D" w14:textId="77777777" w:rsidR="00CC7C52" w:rsidRPr="008D4584" w:rsidRDefault="00CC7C52" w:rsidP="00CC7C52">
      <w:pPr>
        <w:pStyle w:val="Headingb"/>
        <w:rPr>
          <w:lang w:eastAsia="zh-CN"/>
        </w:rPr>
      </w:pPr>
      <w:r w:rsidRPr="008D4584">
        <w:rPr>
          <w:rFonts w:eastAsia="Arial Unicode MS"/>
          <w:lang w:eastAsia="zh-CN"/>
        </w:rPr>
        <w:t>Generalidades</w:t>
      </w:r>
    </w:p>
    <w:p w14:paraId="2E92266C" w14:textId="23EA3062" w:rsidR="00CC7C52" w:rsidRPr="001E3647" w:rsidRDefault="00CC7C52" w:rsidP="00CC7C52">
      <w:r w:rsidRPr="005B3B8C">
        <w:rPr>
          <w:rFonts w:eastAsia="Arial Unicode MS"/>
        </w:rPr>
        <w:t>El objetivo de esta Recomendación es especificar las condiciones de visualización de imágenes SDR y SDR en un entorno de producción HDR de formato único donde las pantallas HDR o SDR utilicen un nivel de luminancia de c</w:t>
      </w:r>
      <w:r>
        <w:rPr>
          <w:rFonts w:eastAsia="Arial Unicode MS"/>
        </w:rPr>
        <w:t xml:space="preserve">resta nominal de referencia. </w:t>
      </w:r>
      <w:r w:rsidRPr="005B3B8C">
        <w:rPr>
          <w:rFonts w:eastAsia="Arial Unicode MS"/>
        </w:rPr>
        <w:t>La visualización de imágenes HDR y SDR en estrecha proximidad suele darse habitualmente en la aposición HDR/SDR, cuando se uti</w:t>
      </w:r>
      <w:r>
        <w:rPr>
          <w:rFonts w:eastAsia="Arial Unicode MS"/>
        </w:rPr>
        <w:t xml:space="preserve">lizan monitores de multivisión (un monitor contiene múltiples imágenes muy próximas en distintos formatos) o cuando se el asistente visual realiza evaluaciones cualitativas básicas. </w:t>
      </w:r>
      <w:r w:rsidRPr="001E3647">
        <w:rPr>
          <w:rFonts w:eastAsia="Arial Unicode MS"/>
        </w:rPr>
        <w:t>En la Sección</w:t>
      </w:r>
      <w:r>
        <w:rPr>
          <w:rFonts w:eastAsia="Arial Unicode MS"/>
        </w:rPr>
        <w:t> </w:t>
      </w:r>
      <w:r w:rsidRPr="001E3647">
        <w:rPr>
          <w:rFonts w:eastAsia="Arial Unicode MS"/>
        </w:rPr>
        <w:t>1 se exponen las especificaciones del entorno</w:t>
      </w:r>
      <w:r>
        <w:rPr>
          <w:rFonts w:eastAsia="Arial Unicode MS"/>
        </w:rPr>
        <w:t xml:space="preserve"> </w:t>
      </w:r>
      <w:r w:rsidRPr="001E3647">
        <w:rPr>
          <w:rFonts w:eastAsia="Arial Unicode MS"/>
        </w:rPr>
        <w:t>de visualización recomendadas en relación con l</w:t>
      </w:r>
      <w:r>
        <w:rPr>
          <w:rFonts w:eastAsia="Arial Unicode MS"/>
        </w:rPr>
        <w:t xml:space="preserve">as condiciones de luz ambiente y la distancia de visualización. </w:t>
      </w:r>
      <w:r w:rsidRPr="001E3647">
        <w:rPr>
          <w:rFonts w:eastAsia="Arial Unicode MS"/>
        </w:rPr>
        <w:t>La Sección 2 con</w:t>
      </w:r>
      <w:r>
        <w:rPr>
          <w:rFonts w:eastAsia="Arial Unicode MS"/>
        </w:rPr>
        <w:t>t</w:t>
      </w:r>
      <w:r w:rsidRPr="001E3647">
        <w:rPr>
          <w:rFonts w:eastAsia="Arial Unicode MS"/>
        </w:rPr>
        <w:t>iene los parámetros de configuración de monitores para imágenes HDR y SDR.</w:t>
      </w:r>
    </w:p>
    <w:p w14:paraId="37D8D6ED" w14:textId="77777777" w:rsidR="00CC7C52" w:rsidRPr="001E3647" w:rsidRDefault="00CC7C52" w:rsidP="00CC7C52">
      <w:pPr>
        <w:pStyle w:val="Heading1"/>
      </w:pPr>
      <w:r w:rsidRPr="001E3647">
        <w:t>1</w:t>
      </w:r>
      <w:r w:rsidRPr="001E3647">
        <w:tab/>
        <w:t>Entorno de visualización recomenda</w:t>
      </w:r>
      <w:r>
        <w:t>do</w:t>
      </w:r>
    </w:p>
    <w:p w14:paraId="14BA05D6" w14:textId="64D3E889" w:rsidR="00CC7C52" w:rsidRPr="00A239D6" w:rsidRDefault="00CC7C52" w:rsidP="00CC7C52">
      <w:r w:rsidRPr="00A239D6">
        <w:rPr>
          <w:rFonts w:eastAsia="Arial Unicode MS"/>
        </w:rPr>
        <w:t xml:space="preserve">El entorno de visualización recomendado se basa parcialmente en el entorno de visualización de referencia del Cuadro 3 de la Recomendación </w:t>
      </w:r>
      <w:hyperlink r:id="rId18" w:history="1">
        <w:r w:rsidRPr="00A239D6">
          <w:rPr>
            <w:rStyle w:val="Hyperlink"/>
            <w:color w:val="auto"/>
            <w:u w:val="none"/>
          </w:rPr>
          <w:t>UIT-R BT.2100</w:t>
        </w:r>
      </w:hyperlink>
      <w:r w:rsidRPr="00A239D6">
        <w:rPr>
          <w:rFonts w:eastAsia="Arial Unicode MS"/>
        </w:rPr>
        <w:t>. Los parámetros utilizados se enumeran en el Cuadro 1.</w:t>
      </w:r>
    </w:p>
    <w:p w14:paraId="3F7E9E03" w14:textId="77777777" w:rsidR="00CC7C52" w:rsidRPr="001E3647" w:rsidRDefault="00CC7C52" w:rsidP="00CC7C52">
      <w:pPr>
        <w:pStyle w:val="TableNo"/>
      </w:pPr>
      <w:r w:rsidRPr="001E3647">
        <w:lastRenderedPageBreak/>
        <w:t>CUADRO 1</w:t>
      </w:r>
    </w:p>
    <w:p w14:paraId="7780A690" w14:textId="69BB3BFF" w:rsidR="00CC7C52" w:rsidRPr="001E3647" w:rsidRDefault="00CC7C52" w:rsidP="00CC7C52">
      <w:pPr>
        <w:pStyle w:val="Tabletitle"/>
      </w:pPr>
      <w:r w:rsidRPr="001E3647">
        <w:t>En</w:t>
      </w:r>
      <w:r>
        <w:t>torno de visualización recomendado para la observación crítica de</w:t>
      </w:r>
      <w:r>
        <w:br/>
        <w:t>imágenes HDR y SDR en estrecha proximidad</w:t>
      </w: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835"/>
        <w:gridCol w:w="6804"/>
      </w:tblGrid>
      <w:tr w:rsidR="00CC7C52" w:rsidRPr="001232F1" w14:paraId="3977D8AA" w14:textId="77777777" w:rsidTr="004A4682">
        <w:trPr>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2DB79" w14:textId="77777777" w:rsidR="00CC7C52" w:rsidRPr="001232F1" w:rsidRDefault="00CC7C52" w:rsidP="004A4682">
            <w:pPr>
              <w:pStyle w:val="Tablehead"/>
            </w:pPr>
            <w:r w:rsidRPr="001232F1">
              <w:t>Par</w:t>
            </w:r>
            <w:r>
              <w:t>ámetro</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7FDB" w14:textId="77777777" w:rsidR="00CC7C52" w:rsidRPr="001232F1" w:rsidRDefault="00CC7C52" w:rsidP="004A4682">
            <w:pPr>
              <w:pStyle w:val="Tablehead"/>
            </w:pPr>
            <w:r>
              <w:t>Valor</w:t>
            </w:r>
          </w:p>
        </w:tc>
      </w:tr>
      <w:tr w:rsidR="00CC7C52" w:rsidRPr="001232F1" w14:paraId="38ACDF5F" w14:textId="77777777" w:rsidTr="004A4682">
        <w:trPr>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FBF02" w14:textId="77777777" w:rsidR="00CC7C52" w:rsidRPr="001232F1" w:rsidRDefault="00CC7C52" w:rsidP="004A4682">
            <w:pPr>
              <w:pStyle w:val="Tabletext"/>
            </w:pPr>
            <w:r>
              <w:t>Entorno y periferia</w:t>
            </w:r>
            <w:r w:rsidRPr="001232F1">
              <w:t xml:space="preserve"> </w:t>
            </w:r>
            <w:r w:rsidRPr="004156D7">
              <w:rPr>
                <w:szCs w:val="22"/>
                <w:vertAlign w:val="superscript"/>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93FA" w14:textId="77777777" w:rsidR="00CC7C52" w:rsidRPr="001232F1" w:rsidRDefault="00CC7C52" w:rsidP="004A4682">
            <w:pPr>
              <w:pStyle w:val="Tabletext"/>
              <w:jc w:val="center"/>
            </w:pPr>
            <w:r>
              <w:t>Gris neutro de</w:t>
            </w:r>
            <w:r w:rsidRPr="001232F1">
              <w:t xml:space="preserve"> D65</w:t>
            </w:r>
          </w:p>
        </w:tc>
      </w:tr>
      <w:tr w:rsidR="00CC7C52" w:rsidRPr="001232F1" w14:paraId="0151E55F" w14:textId="77777777" w:rsidTr="004A4682">
        <w:trPr>
          <w:cantSplit/>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21B86" w14:textId="77777777" w:rsidR="00CC7C52" w:rsidRPr="001232F1" w:rsidRDefault="00CC7C52" w:rsidP="004A4682">
            <w:pPr>
              <w:pStyle w:val="Tabletext"/>
            </w:pPr>
            <w:r>
              <w:t>Luminancia del entorno</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BF9D" w14:textId="77777777" w:rsidR="00CC7C52" w:rsidRPr="001232F1" w:rsidRDefault="00CC7C52" w:rsidP="004A4682">
            <w:pPr>
              <w:pStyle w:val="Tabletext"/>
              <w:jc w:val="center"/>
            </w:pPr>
            <w:r w:rsidRPr="001232F1">
              <w:t>5 cd/m</w:t>
            </w:r>
            <w:r w:rsidRPr="001232F1">
              <w:rPr>
                <w:vertAlign w:val="superscript"/>
              </w:rPr>
              <w:t>2</w:t>
            </w:r>
          </w:p>
        </w:tc>
      </w:tr>
      <w:tr w:rsidR="00CC7C52" w:rsidRPr="001232F1" w14:paraId="4E39F8DB" w14:textId="77777777" w:rsidTr="004A4682">
        <w:trPr>
          <w:cantSplit/>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92063" w14:textId="77777777" w:rsidR="00CC7C52" w:rsidRPr="001232F1" w:rsidRDefault="00CC7C52" w:rsidP="004A4682">
            <w:pPr>
              <w:pStyle w:val="Tabletext"/>
            </w:pPr>
            <w:r>
              <w:t>Luminancia de la periferia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C5C9E" w14:textId="77777777" w:rsidR="00CC7C52" w:rsidRPr="001232F1" w:rsidRDefault="00CC7C52" w:rsidP="004A4682">
            <w:pPr>
              <w:pStyle w:val="Tabletext"/>
              <w:jc w:val="center"/>
            </w:pPr>
            <w:r w:rsidRPr="001232F1">
              <w:t>≤ 5 cd/m</w:t>
            </w:r>
            <w:r w:rsidRPr="001232F1">
              <w:rPr>
                <w:vertAlign w:val="superscript"/>
              </w:rPr>
              <w:t>2</w:t>
            </w:r>
          </w:p>
        </w:tc>
      </w:tr>
      <w:tr w:rsidR="00CC7C52" w:rsidRPr="008D4584" w14:paraId="71F922FF" w14:textId="77777777" w:rsidTr="004A4682">
        <w:trPr>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D323" w14:textId="77777777" w:rsidR="00CC7C52" w:rsidRPr="001232F1" w:rsidRDefault="00CC7C52" w:rsidP="004A4682">
            <w:pPr>
              <w:pStyle w:val="Tabletext"/>
              <w:keepNext/>
              <w:keepLines/>
            </w:pPr>
            <w:r>
              <w:t>Iluminación ambiente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9692" w14:textId="77777777" w:rsidR="00CC7C52" w:rsidRPr="001E3647" w:rsidRDefault="00CC7C52" w:rsidP="004A4682">
            <w:pPr>
              <w:pStyle w:val="Tabletext"/>
              <w:keepNext/>
              <w:keepLines/>
              <w:jc w:val="center"/>
            </w:pPr>
            <w:r w:rsidRPr="001E3647">
              <w:t>Evitar que la luz in</w:t>
            </w:r>
            <w:r>
              <w:t>cida en la pantalla</w:t>
            </w:r>
          </w:p>
        </w:tc>
      </w:tr>
      <w:tr w:rsidR="00CC7C52" w:rsidRPr="008D4584" w14:paraId="11039313" w14:textId="77777777" w:rsidTr="004A4682">
        <w:tblPrEx>
          <w:shd w:val="clear" w:color="auto" w:fill="CED7E7"/>
        </w:tblPrEx>
        <w:trPr>
          <w:trHeight w:val="74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0872B" w14:textId="77777777" w:rsidR="00CC7C52" w:rsidRPr="001232F1" w:rsidRDefault="00CC7C52" w:rsidP="004A4682">
            <w:pPr>
              <w:pStyle w:val="Tabletext"/>
              <w:keepNext/>
              <w:keepLines/>
            </w:pPr>
            <w:r>
              <w:t>Distancia de observación</w:t>
            </w:r>
            <w:r w:rsidRPr="001232F1">
              <w:t xml:space="preserve"> </w:t>
            </w:r>
            <w:r w:rsidRPr="004156D7">
              <w:rPr>
                <w:szCs w:val="22"/>
                <w:vertAlign w:val="superscript"/>
              </w:rPr>
              <w:t>(</w:t>
            </w:r>
            <w:r>
              <w:rPr>
                <w:szCs w:val="22"/>
                <w:vertAlign w:val="superscript"/>
              </w:rPr>
              <w:t>2</w:t>
            </w:r>
            <w:r w:rsidRPr="004156D7">
              <w:rPr>
                <w:szCs w:val="22"/>
                <w:vertAlign w:val="superscript"/>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8A9C" w14:textId="77777777" w:rsidR="00CC7C52" w:rsidRPr="001E3647" w:rsidRDefault="00CC7C52" w:rsidP="004A4682">
            <w:pPr>
              <w:pStyle w:val="Tabletext"/>
              <w:keepNext/>
              <w:keepLines/>
              <w:jc w:val="center"/>
            </w:pPr>
            <w:r w:rsidRPr="001E3647">
              <w:t>Para el formato 1 920 × 1 080 o inferior: 3,2 altur</w:t>
            </w:r>
            <w:r>
              <w:t>as de imagen</w:t>
            </w:r>
          </w:p>
          <w:p w14:paraId="6EE8649A" w14:textId="77777777" w:rsidR="00CC7C52" w:rsidRPr="001E3647" w:rsidRDefault="00CC7C52" w:rsidP="004A4682">
            <w:pPr>
              <w:pStyle w:val="Tabletext"/>
              <w:keepNext/>
              <w:keepLines/>
              <w:jc w:val="center"/>
            </w:pPr>
            <w:r w:rsidRPr="001E3647">
              <w:t>Para el formato 3 840 × 2 160: 1,6 a 3,2 alturas d</w:t>
            </w:r>
            <w:r>
              <w:t>e imagen</w:t>
            </w:r>
          </w:p>
          <w:p w14:paraId="6468514B" w14:textId="77777777" w:rsidR="00CC7C52" w:rsidRPr="001E3647" w:rsidRDefault="00CC7C52" w:rsidP="004A4682">
            <w:pPr>
              <w:pStyle w:val="Tabletext"/>
              <w:keepNext/>
              <w:keepLines/>
              <w:jc w:val="center"/>
            </w:pPr>
            <w:r w:rsidRPr="001E3647">
              <w:t>Para el formato 7 680 × 4 320: 0,8 a 3,2 alturas de image</w:t>
            </w:r>
            <w:r>
              <w:t>n</w:t>
            </w:r>
          </w:p>
        </w:tc>
      </w:tr>
      <w:tr w:rsidR="00CC7C52" w:rsidRPr="008D4584" w14:paraId="6430A895" w14:textId="77777777" w:rsidTr="004A4682">
        <w:tblPrEx>
          <w:shd w:val="clear" w:color="auto" w:fill="CED7E7"/>
        </w:tblPrEx>
        <w:trPr>
          <w:trHeight w:val="847"/>
          <w:jc w:val="center"/>
        </w:trPr>
        <w:tc>
          <w:tcPr>
            <w:tcW w:w="963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512DF7CC" w14:textId="7AC1AF88" w:rsidR="00CC7C52" w:rsidRPr="008D4584" w:rsidRDefault="00CC7C52" w:rsidP="004A4682">
            <w:pPr>
              <w:pStyle w:val="Tablelegend"/>
              <w:keepNext/>
              <w:keepLines/>
              <w:tabs>
                <w:tab w:val="clear" w:pos="284"/>
                <w:tab w:val="clear" w:pos="567"/>
                <w:tab w:val="clear" w:pos="851"/>
                <w:tab w:val="clear" w:pos="1134"/>
                <w:tab w:val="clear" w:pos="1418"/>
                <w:tab w:val="left" w:pos="477"/>
                <w:tab w:val="left" w:pos="1044"/>
              </w:tabs>
              <w:ind w:left="0" w:firstLine="0"/>
              <w:rPr>
                <w:szCs w:val="22"/>
              </w:rPr>
            </w:pPr>
            <w:r w:rsidRPr="001E3647">
              <w:rPr>
                <w:szCs w:val="22"/>
                <w:vertAlign w:val="superscript"/>
              </w:rPr>
              <w:t>(1)</w:t>
            </w:r>
            <w:r w:rsidRPr="001E3647">
              <w:rPr>
                <w:szCs w:val="22"/>
              </w:rPr>
              <w:tab/>
              <w:t xml:space="preserve">El </w:t>
            </w:r>
            <w:r>
              <w:rPr>
                <w:szCs w:val="22"/>
              </w:rPr>
              <w:t>«</w:t>
            </w:r>
            <w:r w:rsidRPr="001E3647">
              <w:rPr>
                <w:szCs w:val="22"/>
              </w:rPr>
              <w:t>entorno</w:t>
            </w:r>
            <w:r>
              <w:rPr>
                <w:szCs w:val="22"/>
              </w:rPr>
              <w:t>»</w:t>
            </w:r>
            <w:r w:rsidRPr="001E3647">
              <w:rPr>
                <w:szCs w:val="22"/>
              </w:rPr>
              <w:t xml:space="preserve"> es la zona que rodea al dispositivo de visualización y que puede afectar a la adaptación del ojo, </w:t>
            </w:r>
            <w:r w:rsidR="008C5A72" w:rsidRPr="001E3647">
              <w:rPr>
                <w:szCs w:val="22"/>
              </w:rPr>
              <w:t>normalmente</w:t>
            </w:r>
            <w:r w:rsidRPr="001E3647">
              <w:rPr>
                <w:szCs w:val="22"/>
              </w:rPr>
              <w:t xml:space="preserve"> una pared o una cortina. </w:t>
            </w:r>
            <w:r w:rsidRPr="008D4584">
              <w:rPr>
                <w:szCs w:val="22"/>
              </w:rPr>
              <w:t xml:space="preserve">Por </w:t>
            </w:r>
            <w:r>
              <w:rPr>
                <w:szCs w:val="22"/>
              </w:rPr>
              <w:t>«</w:t>
            </w:r>
            <w:r w:rsidRPr="008D4584">
              <w:rPr>
                <w:szCs w:val="22"/>
              </w:rPr>
              <w:t>periferia</w:t>
            </w:r>
            <w:r>
              <w:rPr>
                <w:szCs w:val="22"/>
              </w:rPr>
              <w:t>»</w:t>
            </w:r>
            <w:r w:rsidRPr="008D4584">
              <w:rPr>
                <w:szCs w:val="22"/>
              </w:rPr>
              <w:t xml:space="preserve"> se entiende el resto del entorno físico.</w:t>
            </w:r>
          </w:p>
          <w:p w14:paraId="6B883A47" w14:textId="77777777" w:rsidR="00CC7C52" w:rsidRPr="001E3647" w:rsidRDefault="00CC7C52" w:rsidP="004A4682">
            <w:pPr>
              <w:pStyle w:val="Tablelegend"/>
              <w:keepNext/>
              <w:keepLines/>
              <w:tabs>
                <w:tab w:val="clear" w:pos="284"/>
                <w:tab w:val="clear" w:pos="567"/>
                <w:tab w:val="clear" w:pos="851"/>
                <w:tab w:val="clear" w:pos="1134"/>
                <w:tab w:val="left" w:pos="477"/>
              </w:tabs>
              <w:ind w:left="0" w:firstLine="0"/>
            </w:pPr>
            <w:r w:rsidRPr="001E3647">
              <w:rPr>
                <w:szCs w:val="22"/>
                <w:vertAlign w:val="superscript"/>
              </w:rPr>
              <w:t>(2)</w:t>
            </w:r>
            <w:r w:rsidRPr="001E3647">
              <w:rPr>
                <w:szCs w:val="22"/>
              </w:rPr>
              <w:tab/>
              <w:t>Cuando la evaluación de la imagen se refiere a la resolución, se utilizará el valor menor de la distancia de observación. Cuando no se evalúe la resolución se puede utilizar cualquier distancia de</w:t>
            </w:r>
            <w:r>
              <w:rPr>
                <w:szCs w:val="22"/>
              </w:rPr>
              <w:t xml:space="preserve"> </w:t>
            </w:r>
            <w:r w:rsidRPr="001E3647">
              <w:rPr>
                <w:szCs w:val="22"/>
              </w:rPr>
              <w:t>observación de la gama indicada.</w:t>
            </w:r>
          </w:p>
        </w:tc>
      </w:tr>
    </w:tbl>
    <w:p w14:paraId="2EDAEF10" w14:textId="77777777" w:rsidR="00A239D6" w:rsidRDefault="00A239D6" w:rsidP="00A239D6">
      <w:pPr>
        <w:pStyle w:val="Tablefin"/>
      </w:pPr>
    </w:p>
    <w:p w14:paraId="39C04075" w14:textId="62CEB3F7" w:rsidR="00CC7C52" w:rsidRPr="001E3647" w:rsidRDefault="00CC7C52" w:rsidP="00CC7C52">
      <w:pPr>
        <w:pStyle w:val="Heading1"/>
      </w:pPr>
      <w:r w:rsidRPr="001E3647">
        <w:t>2</w:t>
      </w:r>
      <w:r w:rsidRPr="001E3647">
        <w:tab/>
        <w:t>Parámetros recomendados para los mo</w:t>
      </w:r>
      <w:r>
        <w:t>nitores HDR y SDR</w:t>
      </w:r>
    </w:p>
    <w:p w14:paraId="1F75AAAA" w14:textId="6BFC8C6D" w:rsidR="00CC7C52" w:rsidRPr="00C0106D" w:rsidRDefault="00CC7C52" w:rsidP="00CC7C52">
      <w:pPr>
        <w:rPr>
          <w:rFonts w:eastAsia="Arial Unicode MS"/>
        </w:rPr>
      </w:pPr>
      <w:r w:rsidRPr="001E3647">
        <w:rPr>
          <w:rFonts w:eastAsia="Arial Unicode MS"/>
        </w:rPr>
        <w:t>En esta sección se presentan las características y configuraciones de los monitores para la o</w:t>
      </w:r>
      <w:r>
        <w:rPr>
          <w:rFonts w:eastAsia="Arial Unicode MS"/>
        </w:rPr>
        <w:t xml:space="preserve">bservación muy próxima de imágenes HDR y SDR en una producción HDR de formato único. </w:t>
      </w:r>
      <w:r w:rsidRPr="00C0106D">
        <w:rPr>
          <w:rFonts w:eastAsia="Arial Unicode MS"/>
        </w:rPr>
        <w:t>Para evitar problemas de adaptación del ojo a la pantalla SDR cuando las pantallas HDR y SDR está</w:t>
      </w:r>
      <w:r>
        <w:rPr>
          <w:rFonts w:eastAsia="Arial Unicode MS"/>
        </w:rPr>
        <w:t xml:space="preserve">n muy próximas, éstas deberán tener un nivel de blanco unificado. </w:t>
      </w:r>
      <w:r w:rsidRPr="008D4584">
        <w:rPr>
          <w:rFonts w:eastAsia="Arial Unicode MS"/>
        </w:rPr>
        <w:t xml:space="preserve">Hay dos métodos para conseguirlo. </w:t>
      </w:r>
      <w:r w:rsidRPr="00C0106D">
        <w:rPr>
          <w:rFonts w:eastAsia="Arial Unicode MS"/>
        </w:rPr>
        <w:t>En el Anexo</w:t>
      </w:r>
      <w:r>
        <w:rPr>
          <w:rFonts w:eastAsia="Arial Unicode MS"/>
        </w:rPr>
        <w:t> </w:t>
      </w:r>
      <w:r w:rsidRPr="00C0106D">
        <w:rPr>
          <w:rFonts w:eastAsia="Arial Unicode MS"/>
        </w:rPr>
        <w:t xml:space="preserve">2 informativo se indica en qué casos se utiliza cada uno de ellos. </w:t>
      </w:r>
      <w:r w:rsidRPr="008D4584">
        <w:rPr>
          <w:rFonts w:eastAsia="Arial Unicode MS"/>
        </w:rPr>
        <w:t>El orden en que se presentan los métodos en el Anexo</w:t>
      </w:r>
      <w:r>
        <w:rPr>
          <w:rFonts w:eastAsia="Arial Unicode MS"/>
        </w:rPr>
        <w:t> </w:t>
      </w:r>
      <w:r w:rsidRPr="008D4584">
        <w:rPr>
          <w:rFonts w:eastAsia="Arial Unicode MS"/>
        </w:rPr>
        <w:t xml:space="preserve">2 no implica preferencia. </w:t>
      </w:r>
      <w:r w:rsidRPr="00C0106D">
        <w:rPr>
          <w:rFonts w:eastAsia="Arial Unicode MS"/>
        </w:rPr>
        <w:t>Puede encontrarse información general sobre cada uno de los métodos en las referencias informativas del Anexo 3.</w:t>
      </w:r>
    </w:p>
    <w:p w14:paraId="0020ED4A" w14:textId="69AF0C0A" w:rsidR="00CC7C52" w:rsidRPr="00A239D6" w:rsidRDefault="00CC7C52" w:rsidP="00CC7C52">
      <w:pPr>
        <w:pStyle w:val="enumlev1"/>
        <w:rPr>
          <w:rFonts w:eastAsia="Arial Unicode MS"/>
        </w:rPr>
      </w:pPr>
      <w:r w:rsidRPr="00A239D6">
        <w:rPr>
          <w:rFonts w:eastAsia="Arial Unicode MS"/>
        </w:rPr>
        <w:sym w:font="Wingdings" w:char="F09F"/>
      </w:r>
      <w:r w:rsidRPr="00A239D6">
        <w:rPr>
          <w:rFonts w:eastAsia="Arial Unicode MS"/>
        </w:rPr>
        <w:tab/>
        <w:t xml:space="preserve">El método A (§ 2.1) utilizan imágenes visualizadas en un monitor SDR con los niveles de luminancia de cresta nominal de referencia de la Recomendación </w:t>
      </w:r>
      <w:hyperlink r:id="rId19" w:history="1">
        <w:r w:rsidRPr="00A239D6">
          <w:rPr>
            <w:rStyle w:val="Hyperlink"/>
            <w:color w:val="auto"/>
            <w:u w:val="none"/>
          </w:rPr>
          <w:t>UIT-R BT.2035</w:t>
        </w:r>
      </w:hyperlink>
      <w:r w:rsidRPr="00A239D6">
        <w:rPr>
          <w:rFonts w:eastAsia="Arial Unicode MS"/>
        </w:rPr>
        <w:t xml:space="preserve"> y un monitor HDR HLG con niveles de luminancia adaptados (descritos en el Cuadro 2) para una comparabilidad óptima. Este método sólo se aplica a las imágenes HLG y SDR muy próximas.</w:t>
      </w:r>
    </w:p>
    <w:p w14:paraId="0A3BE5D6" w14:textId="4A1802D0" w:rsidR="00CC7C52" w:rsidRPr="00A239D6" w:rsidRDefault="00CC7C52" w:rsidP="00CC7C52">
      <w:pPr>
        <w:pStyle w:val="enumlev1"/>
        <w:rPr>
          <w:rFonts w:eastAsia="Arial Unicode MS"/>
        </w:rPr>
      </w:pPr>
      <w:r w:rsidRPr="00A239D6">
        <w:rPr>
          <w:rFonts w:eastAsia="Arial Unicode MS"/>
        </w:rPr>
        <w:sym w:font="Wingdings" w:char="F09F"/>
      </w:r>
      <w:r w:rsidRPr="00A239D6">
        <w:rPr>
          <w:rFonts w:eastAsia="Arial Unicode MS"/>
        </w:rPr>
        <w:tab/>
        <w:t xml:space="preserve">El método B (§ 2.2) utiliza imágenes visualizadas en un monitor HDR con los niveles de luminancia de cresta nominal de referencia de la Recomendación </w:t>
      </w:r>
      <w:hyperlink r:id="rId20" w:history="1">
        <w:r w:rsidRPr="00A239D6">
          <w:rPr>
            <w:rStyle w:val="Hyperlink"/>
            <w:color w:val="auto"/>
            <w:u w:val="none"/>
          </w:rPr>
          <w:t>UIT-R BT.2100</w:t>
        </w:r>
      </w:hyperlink>
      <w:r w:rsidRPr="00A239D6">
        <w:rPr>
          <w:rFonts w:eastAsia="Arial Unicode MS"/>
        </w:rPr>
        <w:t xml:space="preserve"> para monitories PQ o HLG y un monitor SDR con niveles de luminancia ajustados (descritos en el Cuadro 3) para una comparabilidad óptima.</w:t>
      </w:r>
    </w:p>
    <w:p w14:paraId="36ECEDD4" w14:textId="77777777" w:rsidR="00CC7C52" w:rsidRPr="00C0106D" w:rsidRDefault="00CC7C52" w:rsidP="00CC7C52">
      <w:pPr>
        <w:pStyle w:val="Heading2"/>
      </w:pPr>
      <w:r w:rsidRPr="00C0106D">
        <w:t>2.1</w:t>
      </w:r>
      <w:r w:rsidRPr="00C0106D">
        <w:tab/>
        <w:t>Método A: niveles de blanco unificados utilizando una pantalla SDR con luminancia de cresta de referen</w:t>
      </w:r>
      <w:r>
        <w:t>cia y una pantalla HLG con niveles de luminancia de creta ajustados</w:t>
      </w:r>
    </w:p>
    <w:p w14:paraId="3A6CB0E1" w14:textId="31349075" w:rsidR="00CC7C52" w:rsidRPr="00A239D6" w:rsidRDefault="00CC7C52" w:rsidP="00CC7C52">
      <w:r w:rsidRPr="00A239D6">
        <w:t xml:space="preserve">Este método emplea un monitor SDR conforme con la Recomendación </w:t>
      </w:r>
      <w:hyperlink r:id="rId21" w:history="1">
        <w:r w:rsidRPr="00A239D6">
          <w:rPr>
            <w:rStyle w:val="Hyperlink"/>
            <w:color w:val="auto"/>
            <w:u w:val="none"/>
          </w:rPr>
          <w:t>UIT-R BT.1886</w:t>
        </w:r>
      </w:hyperlink>
      <w:r w:rsidRPr="00A239D6">
        <w:t xml:space="preserve"> con una luminancia de pantalla para blanco (L</w:t>
      </w:r>
      <w:r w:rsidRPr="00A239D6">
        <w:rPr>
          <w:vertAlign w:val="subscript"/>
        </w:rPr>
        <w:t>w</w:t>
      </w:r>
      <w:r w:rsidRPr="00A239D6">
        <w:t>) de 100 cd/m</w:t>
      </w:r>
      <w:r w:rsidRPr="00A239D6">
        <w:rPr>
          <w:vertAlign w:val="superscript"/>
        </w:rPr>
        <w:t>2</w:t>
      </w:r>
      <w:r w:rsidRPr="00A239D6">
        <w:t xml:space="preserve">, de conformidad con la Recomendación </w:t>
      </w:r>
      <w:hyperlink r:id="rId22" w:history="1">
        <w:r w:rsidRPr="00A239D6">
          <w:rPr>
            <w:rStyle w:val="Hyperlink"/>
            <w:color w:val="auto"/>
            <w:u w:val="none"/>
          </w:rPr>
          <w:t>UIT</w:t>
        </w:r>
        <w:r w:rsidR="00A239D6">
          <w:rPr>
            <w:rStyle w:val="Hyperlink"/>
            <w:color w:val="auto"/>
            <w:u w:val="none"/>
          </w:rPr>
          <w:noBreakHyphen/>
        </w:r>
        <w:r w:rsidRPr="00A239D6">
          <w:rPr>
            <w:rStyle w:val="Hyperlink"/>
            <w:color w:val="auto"/>
            <w:u w:val="none"/>
          </w:rPr>
          <w:t>R</w:t>
        </w:r>
        <w:r w:rsidR="00A239D6">
          <w:rPr>
            <w:rStyle w:val="Hyperlink"/>
            <w:color w:val="auto"/>
            <w:u w:val="none"/>
          </w:rPr>
          <w:t> </w:t>
        </w:r>
        <w:r w:rsidRPr="00A239D6">
          <w:rPr>
            <w:rStyle w:val="Hyperlink"/>
            <w:color w:val="auto"/>
            <w:u w:val="none"/>
          </w:rPr>
          <w:t>BT.2035</w:t>
        </w:r>
      </w:hyperlink>
      <w:r w:rsidRPr="00A239D6">
        <w:t xml:space="preserve">, y un monitor HLG con un nivel de luminancia de cresta más bajo y un gamma de sistema ajustado conforme a la Nota 5f al Cuadro 5 de la Recomendación </w:t>
      </w:r>
      <w:hyperlink r:id="rId23" w:history="1">
        <w:r w:rsidRPr="00A239D6">
          <w:rPr>
            <w:rStyle w:val="Hyperlink"/>
            <w:color w:val="auto"/>
            <w:u w:val="none"/>
          </w:rPr>
          <w:t>UIT-R BT.2100</w:t>
        </w:r>
      </w:hyperlink>
      <w:r w:rsidRPr="00A239D6">
        <w:t>.</w:t>
      </w:r>
    </w:p>
    <w:p w14:paraId="76CA6E3E" w14:textId="35B4F553" w:rsidR="00CC7C52" w:rsidRPr="00341EE2" w:rsidRDefault="00CC7C52" w:rsidP="00CC7C52">
      <w:r w:rsidRPr="00341EE2">
        <w:lastRenderedPageBreak/>
        <w:t xml:space="preserve">Como se ve en el Cuadro 2, la luminancia de cresta nominal de la pantalla HLG se ajusta de manera que se </w:t>
      </w:r>
      <w:r>
        <w:t>encuentre en la gama</w:t>
      </w:r>
      <w:r w:rsidRPr="00341EE2">
        <w:t xml:space="preserve"> 300-600 cd/m</w:t>
      </w:r>
      <w:r w:rsidRPr="00341EE2">
        <w:rPr>
          <w:vertAlign w:val="superscript"/>
        </w:rPr>
        <w:t>2</w:t>
      </w:r>
      <w:r w:rsidRPr="00341EE2">
        <w:t xml:space="preserve"> </w:t>
      </w:r>
      <w:r>
        <w:t xml:space="preserve">y el gamma de sistema convenientemente ajustado de </w:t>
      </w:r>
      <w:r w:rsidRPr="00A239D6">
        <w:t xml:space="preserve">acuerdo con la Recomendación </w:t>
      </w:r>
      <w:hyperlink r:id="rId24" w:history="1">
        <w:r w:rsidRPr="00A239D6">
          <w:rPr>
            <w:rStyle w:val="Hyperlink"/>
            <w:color w:val="auto"/>
            <w:u w:val="none"/>
          </w:rPr>
          <w:t>UIT-R BT.2100</w:t>
        </w:r>
      </w:hyperlink>
      <w:r w:rsidRPr="00A239D6">
        <w:t xml:space="preserve">. El resultado es un nivel de luminancia del blanco de </w:t>
      </w:r>
      <w:r w:rsidRPr="00341EE2">
        <w:t>refere</w:t>
      </w:r>
      <w:r>
        <w:t>n</w:t>
      </w:r>
      <w:r w:rsidRPr="00341EE2">
        <w:t>cia HDR (HLG al 75 % del nivel de señal nominal) más próximo a la l</w:t>
      </w:r>
      <w:r>
        <w:t>uminancia de cresta de la pantalla SDR, dando al mismo tiempo a las imágenes HDR brillo suficiente para una producción típica</w:t>
      </w:r>
      <w:r w:rsidRPr="00341EE2">
        <w:t>.</w:t>
      </w:r>
    </w:p>
    <w:p w14:paraId="4EF43DCE" w14:textId="77777777" w:rsidR="00CC7C52" w:rsidRPr="00D971D7" w:rsidRDefault="00CC7C52" w:rsidP="00CC7C52">
      <w:pPr>
        <w:pStyle w:val="TableNo"/>
      </w:pPr>
      <w:r>
        <w:t>CUADRO</w:t>
      </w:r>
      <w:r w:rsidRPr="00D971D7">
        <w:t xml:space="preserve"> 2</w:t>
      </w:r>
    </w:p>
    <w:p w14:paraId="0AF3D64A" w14:textId="77777777" w:rsidR="00CC7C52" w:rsidRPr="00341EE2" w:rsidRDefault="00CC7C52" w:rsidP="00CC7C52">
      <w:pPr>
        <w:pStyle w:val="Tabletitle"/>
      </w:pPr>
      <w:r w:rsidRPr="00341EE2">
        <w:t>Parámetros para pantalla HLG</w:t>
      </w:r>
    </w:p>
    <w:tbl>
      <w:tblPr>
        <w:tblW w:w="96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60"/>
        <w:gridCol w:w="5379"/>
      </w:tblGrid>
      <w:tr w:rsidR="00CC7C52" w:rsidRPr="00D971D7" w14:paraId="3D872D29" w14:textId="77777777" w:rsidTr="004A4682">
        <w:trPr>
          <w:trHeight w:val="222"/>
          <w:tblHead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08F2D" w14:textId="77777777" w:rsidR="00CC7C52" w:rsidRPr="00D971D7" w:rsidRDefault="00CC7C52" w:rsidP="004A4682">
            <w:pPr>
              <w:pStyle w:val="Tablehead"/>
            </w:pPr>
            <w:r>
              <w:t>Parámetro de ajuste</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19753" w14:textId="77777777" w:rsidR="00CC7C52" w:rsidRPr="00D971D7" w:rsidRDefault="00CC7C52" w:rsidP="004A4682">
            <w:pPr>
              <w:pStyle w:val="Tablehead"/>
            </w:pPr>
            <w:r>
              <w:t>Valor</w:t>
            </w:r>
          </w:p>
        </w:tc>
      </w:tr>
      <w:tr w:rsidR="00CC7C52" w:rsidRPr="00D971D7" w14:paraId="6B8F8AA9" w14:textId="77777777" w:rsidTr="004A4682">
        <w:trPr>
          <w:trHeight w:val="222"/>
          <w:tblHead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05DC47DA" w14:textId="6F1775EB" w:rsidR="00CC7C52" w:rsidRPr="00341EE2" w:rsidRDefault="00CC7C52" w:rsidP="00CC7C52">
            <w:pPr>
              <w:pStyle w:val="Tabletext"/>
              <w:jc w:val="left"/>
            </w:pPr>
            <w:r w:rsidRPr="00341EE2">
              <w:t>Luminancia de cresta nominal de la pantalla</w:t>
            </w:r>
            <w:r>
              <w:t> </w:t>
            </w:r>
            <w:r w:rsidRPr="00341EE2">
              <w:t>HLG</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6EBD3462" w14:textId="77777777" w:rsidR="00CC7C52" w:rsidRPr="00D971D7" w:rsidRDefault="00CC7C52" w:rsidP="004A4682">
            <w:pPr>
              <w:pStyle w:val="Tabletext"/>
              <w:jc w:val="center"/>
            </w:pPr>
            <w:r w:rsidRPr="00D971D7">
              <w:t>300-600 cd/m</w:t>
            </w:r>
            <w:r w:rsidRPr="00D971D7">
              <w:rPr>
                <w:vertAlign w:val="superscript"/>
              </w:rPr>
              <w:t>2</w:t>
            </w:r>
          </w:p>
        </w:tc>
      </w:tr>
      <w:tr w:rsidR="00CC7C52" w:rsidRPr="00D971D7" w14:paraId="72291FB8" w14:textId="77777777" w:rsidTr="004A4682">
        <w:tblPrEx>
          <w:shd w:val="clear" w:color="auto" w:fill="CED7E7"/>
        </w:tblPrEx>
        <w:trPr>
          <w:trHeight w:val="222"/>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7CC7675B" w14:textId="77777777" w:rsidR="00CC7C52" w:rsidRPr="00341EE2" w:rsidRDefault="00CC7C52" w:rsidP="004A4682">
            <w:pPr>
              <w:pStyle w:val="Tabletext"/>
            </w:pPr>
            <w:r w:rsidRPr="00341EE2">
              <w:t>Luminancia para el 75 % de la señal HLG</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08D518E8" w14:textId="77777777" w:rsidR="00CC7C52" w:rsidRPr="00D971D7" w:rsidRDefault="00CC7C52" w:rsidP="004A4682">
            <w:pPr>
              <w:pStyle w:val="Tabletext"/>
              <w:jc w:val="center"/>
            </w:pPr>
            <w:r w:rsidRPr="00D971D7">
              <w:t>79-138 cd/m</w:t>
            </w:r>
            <w:r w:rsidRPr="00D971D7">
              <w:rPr>
                <w:vertAlign w:val="superscript"/>
              </w:rPr>
              <w:t>2</w:t>
            </w:r>
          </w:p>
        </w:tc>
      </w:tr>
      <w:tr w:rsidR="00CC7C52" w:rsidRPr="00D971D7" w14:paraId="7165AEFF" w14:textId="77777777" w:rsidTr="004A4682">
        <w:tblPrEx>
          <w:shd w:val="clear" w:color="auto" w:fill="CED7E7"/>
        </w:tblPrEx>
        <w:trPr>
          <w:trHeight w:val="222"/>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2EB2D2D3" w14:textId="77777777" w:rsidR="00CC7C52" w:rsidRPr="00D971D7" w:rsidRDefault="00CC7C52" w:rsidP="004A4682">
            <w:pPr>
              <w:pStyle w:val="Tabletext"/>
            </w:pPr>
            <w:r>
              <w:t>Gamma del sistema</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1D4EC198" w14:textId="77777777" w:rsidR="00CC7C52" w:rsidRPr="00D971D7" w:rsidRDefault="00CC7C52" w:rsidP="004A4682">
            <w:pPr>
              <w:pStyle w:val="Tabletext"/>
              <w:jc w:val="center"/>
            </w:pPr>
            <w:r w:rsidRPr="00D971D7">
              <w:t>1</w:t>
            </w:r>
            <w:r>
              <w:t>,</w:t>
            </w:r>
            <w:r w:rsidRPr="00D971D7">
              <w:t>00-1</w:t>
            </w:r>
            <w:r>
              <w:t>,</w:t>
            </w:r>
            <w:r w:rsidRPr="00D971D7">
              <w:t>11</w:t>
            </w:r>
          </w:p>
        </w:tc>
      </w:tr>
    </w:tbl>
    <w:p w14:paraId="72B712C4" w14:textId="77777777" w:rsidR="00A239D6" w:rsidRDefault="00A239D6" w:rsidP="00A239D6">
      <w:pPr>
        <w:pStyle w:val="Tablefin"/>
      </w:pPr>
    </w:p>
    <w:p w14:paraId="64F7511D" w14:textId="77777777" w:rsidR="00CC7C52" w:rsidRPr="00341EE2" w:rsidRDefault="00CC7C52" w:rsidP="00CC7C52">
      <w:pPr>
        <w:pStyle w:val="Heading2"/>
      </w:pPr>
      <w:r w:rsidRPr="00341EE2">
        <w:t>2.2</w:t>
      </w:r>
      <w:r w:rsidRPr="00341EE2">
        <w:tab/>
        <w:t>Método B: niveles de blanco unificados utilizando una pantalla HDR con luminancia de cresta de referencia y una pantalla SDR con niveles de luminancia de cresta ajustados</w:t>
      </w:r>
    </w:p>
    <w:p w14:paraId="7EEFB5B3" w14:textId="63D63C28" w:rsidR="00CC7C52" w:rsidRPr="00A239D6" w:rsidRDefault="00CC7C52" w:rsidP="00CC7C52">
      <w:r w:rsidRPr="00A239D6">
        <w:rPr>
          <w:rFonts w:eastAsia="Arial Unicode MS"/>
        </w:rPr>
        <w:t xml:space="preserve">Con este método se utiliza una pantalla de referencia HDR, especificada en la Recomendación </w:t>
      </w:r>
      <w:hyperlink r:id="rId25" w:history="1">
        <w:r w:rsidRPr="00A239D6">
          <w:rPr>
            <w:rStyle w:val="Hyperlink"/>
            <w:color w:val="auto"/>
            <w:u w:val="none"/>
          </w:rPr>
          <w:t>UIT</w:t>
        </w:r>
        <w:r w:rsidR="00A239D6" w:rsidRPr="00A239D6">
          <w:rPr>
            <w:rStyle w:val="Hyperlink"/>
            <w:color w:val="auto"/>
            <w:u w:val="none"/>
          </w:rPr>
          <w:noBreakHyphen/>
        </w:r>
        <w:r w:rsidRPr="00A239D6">
          <w:rPr>
            <w:rStyle w:val="Hyperlink"/>
            <w:color w:val="auto"/>
            <w:u w:val="none"/>
          </w:rPr>
          <w:t>R</w:t>
        </w:r>
        <w:r w:rsidR="00A239D6" w:rsidRPr="00A239D6">
          <w:rPr>
            <w:rStyle w:val="Hyperlink"/>
            <w:color w:val="auto"/>
            <w:u w:val="none"/>
          </w:rPr>
          <w:t> </w:t>
        </w:r>
        <w:r w:rsidRPr="00A239D6">
          <w:rPr>
            <w:rStyle w:val="Hyperlink"/>
            <w:color w:val="auto"/>
            <w:u w:val="none"/>
          </w:rPr>
          <w:t>BT.2100</w:t>
        </w:r>
      </w:hyperlink>
      <w:r w:rsidRPr="00A239D6">
        <w:rPr>
          <w:rStyle w:val="Hyperlink"/>
          <w:color w:val="auto"/>
          <w:u w:val="none"/>
        </w:rPr>
        <w:t>,</w:t>
      </w:r>
      <w:r w:rsidRPr="00A239D6">
        <w:rPr>
          <w:rFonts w:eastAsia="Arial Unicode MS"/>
        </w:rPr>
        <w:t xml:space="preserve"> y una pantalla</w:t>
      </w:r>
      <w:r w:rsidRPr="00A239D6">
        <w:t xml:space="preserve"> SDR con niveles de luminancia ajustados como se muestra en el Cuadro 3. En el caso concreto de las pantallas HLG, el nivel de luminancia de cresta nominal debe ser de</w:t>
      </w:r>
      <w:r w:rsidRPr="00A239D6">
        <w:rPr>
          <w:rFonts w:eastAsia="Arial Unicode MS"/>
        </w:rPr>
        <w:t xml:space="preserve"> 1 000 cd/m</w:t>
      </w:r>
      <w:r w:rsidRPr="00A239D6">
        <w:rPr>
          <w:rFonts w:eastAsia="Arial Unicode MS"/>
          <w:vertAlign w:val="superscript"/>
        </w:rPr>
        <w:t>2</w:t>
      </w:r>
      <w:r w:rsidRPr="00A239D6">
        <w:rPr>
          <w:rFonts w:eastAsia="Arial Unicode MS"/>
        </w:rPr>
        <w:t>.</w:t>
      </w:r>
    </w:p>
    <w:p w14:paraId="4D1A9102" w14:textId="77777777" w:rsidR="00CC7C52" w:rsidRPr="00D971D7" w:rsidRDefault="00CC7C52" w:rsidP="00CC7C52">
      <w:pPr>
        <w:pStyle w:val="TableNo"/>
      </w:pPr>
      <w:r>
        <w:t>CUADRO</w:t>
      </w:r>
      <w:r w:rsidRPr="00D971D7">
        <w:t xml:space="preserve"> 3</w:t>
      </w:r>
    </w:p>
    <w:p w14:paraId="0F39D2AB" w14:textId="77777777" w:rsidR="00CC7C52" w:rsidRPr="00D971D7" w:rsidRDefault="00CC7C52" w:rsidP="00CC7C52">
      <w:pPr>
        <w:pStyle w:val="Tabletitle"/>
      </w:pPr>
      <w:r w:rsidRPr="00D971D7">
        <w:t>Par</w:t>
      </w:r>
      <w:r>
        <w:t>ámetros para pantalla SDR</w:t>
      </w: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390"/>
        <w:gridCol w:w="5249"/>
      </w:tblGrid>
      <w:tr w:rsidR="00CC7C52" w:rsidRPr="00D971D7" w14:paraId="5486E2FF" w14:textId="77777777" w:rsidTr="004A4682">
        <w:trPr>
          <w:trHeight w:val="222"/>
          <w:tblHeade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3B4E6" w14:textId="77777777" w:rsidR="00CC7C52" w:rsidRPr="00D971D7" w:rsidRDefault="00CC7C52" w:rsidP="004A4682">
            <w:pPr>
              <w:pStyle w:val="Tablehead"/>
            </w:pPr>
            <w:r>
              <w:t>Parámetro de ajuste</w:t>
            </w:r>
          </w:p>
        </w:tc>
        <w:tc>
          <w:tcPr>
            <w:tcW w:w="5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FC008" w14:textId="77777777" w:rsidR="00CC7C52" w:rsidRPr="00D971D7" w:rsidRDefault="00CC7C52" w:rsidP="004A4682">
            <w:pPr>
              <w:pStyle w:val="Tablehead"/>
            </w:pPr>
            <w:r w:rsidRPr="00D971D7">
              <w:t>Val</w:t>
            </w:r>
            <w:r>
              <w:t>or</w:t>
            </w:r>
          </w:p>
        </w:tc>
      </w:tr>
      <w:tr w:rsidR="00A90FF5" w:rsidRPr="00A90FF5" w14:paraId="55BA7F8D" w14:textId="77777777" w:rsidTr="004A4682">
        <w:tblPrEx>
          <w:shd w:val="clear" w:color="auto" w:fill="CED7E7"/>
        </w:tblPrEx>
        <w:trPr>
          <w:trHeight w:val="442"/>
          <w:jc w:val="center"/>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5BF46A6" w14:textId="3936E953" w:rsidR="00CC7C52" w:rsidRPr="00A90FF5" w:rsidRDefault="00CC7C52" w:rsidP="004A4682">
            <w:pPr>
              <w:pStyle w:val="Tabletext"/>
            </w:pPr>
            <w:r w:rsidRPr="00A90FF5">
              <w:t>Luminancia de cresta de la pantalla SDR (ajuste de L</w:t>
            </w:r>
            <w:r w:rsidRPr="00A90FF5">
              <w:rPr>
                <w:vertAlign w:val="subscript"/>
              </w:rPr>
              <w:t>w</w:t>
            </w:r>
            <w:r w:rsidRPr="00A90FF5">
              <w:t xml:space="preserve"> descrito en la Rec. </w:t>
            </w:r>
            <w:hyperlink r:id="rId26" w:history="1">
              <w:r w:rsidRPr="00A90FF5">
                <w:rPr>
                  <w:rStyle w:val="Hyperlink"/>
                  <w:color w:val="auto"/>
                  <w:u w:val="none"/>
                </w:rPr>
                <w:t>UIT-R BT.1886</w:t>
              </w:r>
            </w:hyperlink>
            <w:r w:rsidRPr="00A90FF5">
              <w:t>)</w:t>
            </w:r>
          </w:p>
        </w:tc>
        <w:tc>
          <w:tcPr>
            <w:tcW w:w="524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6062B5E" w14:textId="0D51EDCB" w:rsidR="00CC7C52" w:rsidRPr="00A90FF5" w:rsidRDefault="00A90FF5" w:rsidP="004A4682">
            <w:pPr>
              <w:pStyle w:val="Tabletext"/>
              <w:jc w:val="center"/>
            </w:pPr>
            <w:r w:rsidRPr="00A90FF5">
              <w:t xml:space="preserve">Blanco </w:t>
            </w:r>
            <w:r w:rsidR="00CC7C52" w:rsidRPr="00A90FF5">
              <w:t xml:space="preserve">de referencia HDR </w:t>
            </w:r>
            <w:r w:rsidR="00CC7C52" w:rsidRPr="00A90FF5">
              <w:rPr>
                <w:vertAlign w:val="superscript"/>
              </w:rPr>
              <w:t>(1)</w:t>
            </w:r>
          </w:p>
        </w:tc>
      </w:tr>
      <w:tr w:rsidR="00A90FF5" w:rsidRPr="00A90FF5" w14:paraId="43F9650B" w14:textId="77777777" w:rsidTr="004A4682">
        <w:tblPrEx>
          <w:shd w:val="clear" w:color="auto" w:fill="CED7E7"/>
        </w:tblPrEx>
        <w:trPr>
          <w:trHeight w:val="442"/>
          <w:jc w:val="center"/>
        </w:trPr>
        <w:tc>
          <w:tcPr>
            <w:tcW w:w="9639" w:type="dxa"/>
            <w:gridSpan w:val="2"/>
            <w:tcBorders>
              <w:top w:val="single" w:sz="4" w:space="0" w:color="auto"/>
              <w:left w:val="nil"/>
              <w:bottom w:val="nil"/>
              <w:right w:val="nil"/>
            </w:tcBorders>
            <w:shd w:val="clear" w:color="auto" w:fill="auto"/>
            <w:tcMar>
              <w:top w:w="80" w:type="dxa"/>
              <w:left w:w="80" w:type="dxa"/>
              <w:bottom w:w="80" w:type="dxa"/>
              <w:right w:w="80" w:type="dxa"/>
            </w:tcMar>
          </w:tcPr>
          <w:p w14:paraId="6EBC2C38" w14:textId="4D1866AC" w:rsidR="00CC7C52" w:rsidRPr="00A90FF5" w:rsidRDefault="00CC7C52" w:rsidP="004A4682">
            <w:pPr>
              <w:pStyle w:val="Tabletext"/>
              <w:tabs>
                <w:tab w:val="clear" w:pos="284"/>
              </w:tabs>
              <w:ind w:left="59"/>
              <w:rPr>
                <w:szCs w:val="22"/>
              </w:rPr>
            </w:pPr>
            <w:r w:rsidRPr="00A90FF5">
              <w:rPr>
                <w:szCs w:val="22"/>
                <w:vertAlign w:val="superscript"/>
              </w:rPr>
              <w:t>(1)</w:t>
            </w:r>
            <w:r w:rsidRPr="00A90FF5">
              <w:rPr>
                <w:szCs w:val="22"/>
              </w:rPr>
              <w:tab/>
              <w:t>La luminancia de la pantalla</w:t>
            </w:r>
            <w:r w:rsidRPr="00A90FF5">
              <w:t xml:space="preserve"> SDR debe ajustarse para coincidir con el nivel de luminancia blanca de referencia HDR de la producción, habida cuenta de que en el Informe </w:t>
            </w:r>
            <w:hyperlink r:id="rId27" w:history="1">
              <w:r w:rsidRPr="00A90FF5">
                <w:rPr>
                  <w:rStyle w:val="Hyperlink"/>
                  <w:color w:val="auto"/>
                  <w:u w:val="none"/>
                </w:rPr>
                <w:t>UIT-R BT.2408</w:t>
              </w:r>
            </w:hyperlink>
            <w:r w:rsidRPr="00A90FF5">
              <w:t xml:space="preserve"> se describe un blanco de referencia HDR nominal de 203 cd/m</w:t>
            </w:r>
            <w:r w:rsidRPr="00A90FF5">
              <w:rPr>
                <w:vertAlign w:val="superscript"/>
              </w:rPr>
              <w:t>2</w:t>
            </w:r>
            <w:r w:rsidRPr="00A90FF5">
              <w:t>.</w:t>
            </w:r>
          </w:p>
        </w:tc>
      </w:tr>
    </w:tbl>
    <w:p w14:paraId="1CFF6FA5" w14:textId="77777777" w:rsidR="00A90FF5" w:rsidRDefault="00A90FF5" w:rsidP="00A90FF5">
      <w:pPr>
        <w:pStyle w:val="Tablefin"/>
      </w:pPr>
    </w:p>
    <w:p w14:paraId="51A624D9" w14:textId="77777777" w:rsidR="00CC7C52" w:rsidRDefault="00CC7C52" w:rsidP="00CC7C52">
      <w:pPr>
        <w:tabs>
          <w:tab w:val="clear" w:pos="794"/>
          <w:tab w:val="clear" w:pos="1191"/>
          <w:tab w:val="clear" w:pos="1588"/>
          <w:tab w:val="clear" w:pos="1985"/>
          <w:tab w:val="left" w:pos="1134"/>
          <w:tab w:val="left" w:pos="1871"/>
          <w:tab w:val="left" w:pos="2268"/>
        </w:tabs>
        <w:jc w:val="left"/>
      </w:pPr>
    </w:p>
    <w:p w14:paraId="3E15D9D0" w14:textId="77777777" w:rsidR="00A90FF5" w:rsidRPr="00341EE2" w:rsidRDefault="00A90FF5" w:rsidP="00CC7C52">
      <w:pPr>
        <w:tabs>
          <w:tab w:val="clear" w:pos="794"/>
          <w:tab w:val="clear" w:pos="1191"/>
          <w:tab w:val="clear" w:pos="1588"/>
          <w:tab w:val="clear" w:pos="1985"/>
          <w:tab w:val="left" w:pos="1134"/>
          <w:tab w:val="left" w:pos="1871"/>
          <w:tab w:val="left" w:pos="2268"/>
        </w:tabs>
        <w:jc w:val="left"/>
      </w:pPr>
    </w:p>
    <w:p w14:paraId="6DE0681B" w14:textId="273C58F1" w:rsidR="00CC7C52" w:rsidRPr="00341EE2" w:rsidRDefault="00CC7C52" w:rsidP="00CC7C52">
      <w:pPr>
        <w:pStyle w:val="AnnexNoTitle"/>
      </w:pPr>
      <w:r w:rsidRPr="00341EE2">
        <w:lastRenderedPageBreak/>
        <w:t>Anexo 2</w:t>
      </w:r>
      <w:r w:rsidRPr="00341EE2">
        <w:br/>
        <w:t>(informativo)</w:t>
      </w:r>
      <w:r w:rsidRPr="00341EE2">
        <w:br/>
      </w:r>
      <w:r w:rsidRPr="00341EE2">
        <w:br/>
        <w:t>Casos de uso de cada método</w:t>
      </w:r>
    </w:p>
    <w:p w14:paraId="5506B464" w14:textId="77777777" w:rsidR="00CC7C52" w:rsidRPr="00341EE2" w:rsidRDefault="00CC7C52" w:rsidP="00CC7C52">
      <w:pPr>
        <w:pStyle w:val="Normalaftertitle"/>
        <w:rPr>
          <w:lang w:eastAsia="zh-CN"/>
        </w:rPr>
      </w:pPr>
      <w:r w:rsidRPr="00341EE2">
        <w:rPr>
          <w:lang w:eastAsia="zh-CN"/>
        </w:rPr>
        <w:t>El método A se utiliza para la supe</w:t>
      </w:r>
      <w:r>
        <w:rPr>
          <w:lang w:eastAsia="zh-CN"/>
        </w:rPr>
        <w:t>r</w:t>
      </w:r>
      <w:r w:rsidRPr="00341EE2">
        <w:rPr>
          <w:lang w:eastAsia="zh-CN"/>
        </w:rPr>
        <w:t>visión de visión en paralelo, la mul</w:t>
      </w:r>
      <w:r>
        <w:rPr>
          <w:lang w:eastAsia="zh-CN"/>
        </w:rPr>
        <w:t>t</w:t>
      </w:r>
      <w:r w:rsidRPr="00341EE2">
        <w:rPr>
          <w:lang w:eastAsia="zh-CN"/>
        </w:rPr>
        <w:t>ivis</w:t>
      </w:r>
      <w:r>
        <w:rPr>
          <w:lang w:eastAsia="zh-CN"/>
        </w:rPr>
        <w:t>ión o cuando las salas de control de las imágenes HDR y SDR están muy próximas</w:t>
      </w:r>
      <w:r w:rsidRPr="00341EE2">
        <w:rPr>
          <w:lang w:eastAsia="zh-CN"/>
        </w:rPr>
        <w:t>.</w:t>
      </w:r>
    </w:p>
    <w:p w14:paraId="7D433F69" w14:textId="77777777" w:rsidR="00CC7C52" w:rsidRPr="00341EE2" w:rsidRDefault="00CC7C52" w:rsidP="00CC7C52">
      <w:pPr>
        <w:rPr>
          <w:lang w:eastAsia="zh-CN"/>
        </w:rPr>
      </w:pPr>
      <w:r w:rsidRPr="00341EE2">
        <w:rPr>
          <w:lang w:eastAsia="zh-CN"/>
        </w:rPr>
        <w:t>El método B se utiliza para la aposición de vídeo, la supervisión de visión, la multivisi</w:t>
      </w:r>
      <w:r>
        <w:rPr>
          <w:lang w:eastAsia="zh-CN"/>
        </w:rPr>
        <w:t>ón o cuando las salas de control de las imágenes HDR y SDR están muy próximas</w:t>
      </w:r>
      <w:r w:rsidRPr="00341EE2">
        <w:rPr>
          <w:lang w:eastAsia="zh-CN"/>
        </w:rPr>
        <w:t>.</w:t>
      </w:r>
    </w:p>
    <w:p w14:paraId="17E48C3E" w14:textId="77777777" w:rsidR="00CC7C52" w:rsidRDefault="00CC7C52" w:rsidP="00A90FF5">
      <w:pPr>
        <w:rPr>
          <w:lang w:eastAsia="zh-CN"/>
        </w:rPr>
      </w:pPr>
    </w:p>
    <w:p w14:paraId="0C34020C" w14:textId="77777777" w:rsidR="00A90FF5" w:rsidRPr="00341EE2" w:rsidRDefault="00A90FF5" w:rsidP="00A90FF5">
      <w:pPr>
        <w:rPr>
          <w:lang w:eastAsia="zh-CN"/>
        </w:rPr>
      </w:pPr>
    </w:p>
    <w:p w14:paraId="35E4EBFC" w14:textId="77777777" w:rsidR="00CC7C52" w:rsidRPr="008D4584" w:rsidRDefault="00CC7C52" w:rsidP="00CC7C52">
      <w:pPr>
        <w:pStyle w:val="AnnexNoTitle"/>
      </w:pPr>
      <w:r w:rsidRPr="008D4584">
        <w:t>Anexo 3</w:t>
      </w:r>
      <w:r w:rsidRPr="008D4584">
        <w:br/>
        <w:t>(informativo)</w:t>
      </w:r>
      <w:r w:rsidRPr="008D4584">
        <w:br/>
      </w:r>
      <w:r w:rsidRPr="008D4584">
        <w:br/>
        <w:t>Referencia informativa</w:t>
      </w:r>
    </w:p>
    <w:p w14:paraId="51F9C5B5" w14:textId="757368C1" w:rsidR="00B874C6" w:rsidRPr="00A90FF5" w:rsidRDefault="00CC7C52" w:rsidP="00A90FF5">
      <w:pPr>
        <w:pStyle w:val="Reftext"/>
        <w:spacing w:before="320"/>
        <w:jc w:val="left"/>
        <w:rPr>
          <w:szCs w:val="22"/>
          <w:lang w:val="en-US"/>
        </w:rPr>
      </w:pPr>
      <w:r w:rsidRPr="00A90FF5">
        <w:rPr>
          <w:szCs w:val="22"/>
          <w:lang w:val="en-US"/>
        </w:rPr>
        <w:t>[1]</w:t>
      </w:r>
      <w:r w:rsidRPr="00A90FF5">
        <w:rPr>
          <w:szCs w:val="22"/>
          <w:lang w:val="en-US"/>
        </w:rPr>
        <w:tab/>
        <w:t>Informe UIT-R BT.2408-8 Suggested guidance for operational practices in HDR Television Production (</w:t>
      </w:r>
      <w:r w:rsidRPr="00A90FF5">
        <w:rPr>
          <w:i/>
          <w:iCs/>
          <w:szCs w:val="22"/>
          <w:lang w:val="en-US"/>
        </w:rPr>
        <w:t>Sección 7 y Anexos 9, 10, 11</w:t>
      </w:r>
      <w:r w:rsidRPr="00A90FF5">
        <w:rPr>
          <w:szCs w:val="22"/>
          <w:lang w:val="en-US"/>
        </w:rPr>
        <w:t>)</w:t>
      </w:r>
      <w:r w:rsidR="003C634B" w:rsidRPr="00A90FF5">
        <w:rPr>
          <w:szCs w:val="22"/>
          <w:lang w:val="en-US"/>
        </w:rPr>
        <w:t>.</w:t>
      </w:r>
    </w:p>
    <w:p w14:paraId="05DBECE6" w14:textId="77777777" w:rsidR="003F3E5F" w:rsidRDefault="003F3E5F" w:rsidP="00A90FF5"/>
    <w:p w14:paraId="536EA27C" w14:textId="77777777" w:rsidR="00A90FF5" w:rsidRDefault="00A90FF5" w:rsidP="00A90FF5">
      <w:pPr>
        <w:pStyle w:val="Line"/>
      </w:pPr>
    </w:p>
    <w:sectPr w:rsidR="00A90FF5" w:rsidSect="007565CC">
      <w:footerReference w:type="default" r:id="rId28"/>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709F" w14:textId="77777777" w:rsidR="00CC7C52" w:rsidRDefault="00CC7C52">
      <w:r>
        <w:separator/>
      </w:r>
    </w:p>
  </w:endnote>
  <w:endnote w:type="continuationSeparator" w:id="0">
    <w:p w14:paraId="0654939C" w14:textId="77777777" w:rsidR="00CC7C52" w:rsidRDefault="00CC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3FAB9" w14:textId="77777777" w:rsidR="00301DB3" w:rsidRDefault="00301DB3">
    <w:pPr>
      <w:pStyle w:val="Footer"/>
    </w:pPr>
    <w:r>
      <w:drawing>
        <wp:anchor distT="0" distB="0" distL="0" distR="0" simplePos="0" relativeHeight="251656192" behindDoc="0" locked="0" layoutInCell="1" allowOverlap="1" wp14:anchorId="68AF7B93" wp14:editId="2F24A3A6">
          <wp:simplePos x="0" y="0"/>
          <wp:positionH relativeFrom="page">
            <wp:posOffset>6346209</wp:posOffset>
          </wp:positionH>
          <wp:positionV relativeFrom="page">
            <wp:posOffset>9501505</wp:posOffset>
          </wp:positionV>
          <wp:extent cx="738000" cy="813600"/>
          <wp:effectExtent l="0" t="0" r="0" b="0"/>
          <wp:wrapNone/>
          <wp:docPr id="18"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7EA2"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2900F" w14:textId="77777777" w:rsidR="00CC7C52" w:rsidRDefault="00CC7C52">
      <w:r>
        <w:separator/>
      </w:r>
    </w:p>
  </w:footnote>
  <w:footnote w:type="continuationSeparator" w:id="0">
    <w:p w14:paraId="68C1C84F" w14:textId="77777777" w:rsidR="00CC7C52" w:rsidRDefault="00CC7C52">
      <w:r>
        <w:continuationSeparator/>
      </w:r>
    </w:p>
  </w:footnote>
  <w:footnote w:id="1">
    <w:p w14:paraId="2378FCA3" w14:textId="6F6EFD14" w:rsidR="00CC7C52" w:rsidRPr="00E01BCA" w:rsidRDefault="00CC7C52" w:rsidP="00CC7C52">
      <w:pPr>
        <w:pStyle w:val="FootnoteText"/>
      </w:pPr>
      <w:r>
        <w:rPr>
          <w:rStyle w:val="FootnoteReference"/>
        </w:rPr>
        <w:footnoteRef/>
      </w:r>
      <w:r w:rsidRPr="00E01BCA">
        <w:tab/>
        <w:t xml:space="preserve">Una </w:t>
      </w:r>
      <w:r>
        <w:t>«</w:t>
      </w:r>
      <w:r w:rsidRPr="00E01BCA">
        <w:t>producción HDR de formato único</w:t>
      </w:r>
      <w:r>
        <w:t>»</w:t>
      </w:r>
      <w:r w:rsidRPr="00E01BCA">
        <w:t xml:space="preserve"> es un método de producción que utiliza un formato de ví</w:t>
      </w:r>
      <w:r>
        <w:t xml:space="preserve">deo HDR único (maestro) en el mezclador de imagen (conmutador de vídeo). </w:t>
      </w:r>
      <w:r w:rsidRPr="00E01BCA">
        <w:t xml:space="preserve">El producto de una </w:t>
      </w:r>
      <w:r>
        <w:t>«</w:t>
      </w:r>
      <w:r w:rsidRPr="00E01BCA">
        <w:t>producción HDR de formato único</w:t>
      </w:r>
      <w:r>
        <w:t>»</w:t>
      </w:r>
      <w:r w:rsidRPr="00E01BCA">
        <w:t xml:space="preserve"> inc</w:t>
      </w:r>
      <w:r>
        <w:t>l</w:t>
      </w:r>
      <w:r w:rsidRPr="00E01BCA">
        <w:t>uye simultáneament</w:t>
      </w:r>
      <w:r>
        <w:t>e el producto HDR nativo y un producto SDR simplificado por correspondencia</w:t>
      </w:r>
      <w:r w:rsidRPr="00E01B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C59D"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348ED170" w14:textId="77777777" w:rsidTr="0019307B">
      <w:tc>
        <w:tcPr>
          <w:tcW w:w="4634" w:type="dxa"/>
          <w:vAlign w:val="center"/>
        </w:tcPr>
        <w:p w14:paraId="1B09B514"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E7473E4"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C94436">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C94436">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4BF9ED8D" w14:textId="77777777" w:rsidTr="0019307B">
      <w:tc>
        <w:tcPr>
          <w:tcW w:w="4634" w:type="dxa"/>
          <w:vAlign w:val="center"/>
        </w:tcPr>
        <w:p w14:paraId="660586D5"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7D128EB7"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E1B29CA"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62C36CB" wp14:editId="093EC565">
          <wp:simplePos x="0" y="0"/>
          <wp:positionH relativeFrom="column">
            <wp:posOffset>-252095</wp:posOffset>
          </wp:positionH>
          <wp:positionV relativeFrom="paragraph">
            <wp:posOffset>-562165</wp:posOffset>
          </wp:positionV>
          <wp:extent cx="1781299" cy="383901"/>
          <wp:effectExtent l="0" t="0" r="0" b="0"/>
          <wp:wrapNone/>
          <wp:docPr id="17" name="Picture 1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75748" wp14:editId="284C49B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0BF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31F15FC"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11B49BD1" wp14:editId="58CA6C74">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BAD97"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8AFB" w14:textId="0CCF89D3"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CC7C52">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3927E8">
      <w:rPr>
        <w:b/>
        <w:bCs/>
        <w:noProof/>
        <w:lang w:val="en-US"/>
      </w:rPr>
      <w:t>UIT-R  BT.2166-0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D4AB" w14:textId="10475205"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CC7C52">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3927E8">
      <w:rPr>
        <w:b/>
        <w:bCs/>
        <w:noProof/>
      </w:rPr>
      <w:t>UIT-R  BT.2166-0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52"/>
    <w:rsid w:val="00013002"/>
    <w:rsid w:val="00036EE3"/>
    <w:rsid w:val="00050108"/>
    <w:rsid w:val="00072484"/>
    <w:rsid w:val="00095530"/>
    <w:rsid w:val="00096612"/>
    <w:rsid w:val="000A4A32"/>
    <w:rsid w:val="000B1B2B"/>
    <w:rsid w:val="000B7683"/>
    <w:rsid w:val="000D0677"/>
    <w:rsid w:val="000E0548"/>
    <w:rsid w:val="000E6A6E"/>
    <w:rsid w:val="00102934"/>
    <w:rsid w:val="00147110"/>
    <w:rsid w:val="001511A6"/>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927E8"/>
    <w:rsid w:val="003C634B"/>
    <w:rsid w:val="003E5516"/>
    <w:rsid w:val="003F3E5F"/>
    <w:rsid w:val="003F4B75"/>
    <w:rsid w:val="00420DFD"/>
    <w:rsid w:val="00425BC7"/>
    <w:rsid w:val="00437A76"/>
    <w:rsid w:val="00441AF2"/>
    <w:rsid w:val="00453AAC"/>
    <w:rsid w:val="004604B2"/>
    <w:rsid w:val="00470E28"/>
    <w:rsid w:val="0047379B"/>
    <w:rsid w:val="00474170"/>
    <w:rsid w:val="00477729"/>
    <w:rsid w:val="004842E2"/>
    <w:rsid w:val="00486EB3"/>
    <w:rsid w:val="004934C5"/>
    <w:rsid w:val="004A6FEB"/>
    <w:rsid w:val="004E61FF"/>
    <w:rsid w:val="005373E0"/>
    <w:rsid w:val="00556548"/>
    <w:rsid w:val="00571B1C"/>
    <w:rsid w:val="00576D47"/>
    <w:rsid w:val="00586EF8"/>
    <w:rsid w:val="005A20C1"/>
    <w:rsid w:val="005B0371"/>
    <w:rsid w:val="005B49AB"/>
    <w:rsid w:val="005B50E7"/>
    <w:rsid w:val="005C4BAB"/>
    <w:rsid w:val="005E12A5"/>
    <w:rsid w:val="005E69F0"/>
    <w:rsid w:val="005E7B4F"/>
    <w:rsid w:val="005F003B"/>
    <w:rsid w:val="005F2E73"/>
    <w:rsid w:val="00601882"/>
    <w:rsid w:val="00607D68"/>
    <w:rsid w:val="00613212"/>
    <w:rsid w:val="006149B1"/>
    <w:rsid w:val="00636DC4"/>
    <w:rsid w:val="00640332"/>
    <w:rsid w:val="00680D2B"/>
    <w:rsid w:val="00681B32"/>
    <w:rsid w:val="0069322D"/>
    <w:rsid w:val="00697887"/>
    <w:rsid w:val="006B1D2B"/>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7B7428"/>
    <w:rsid w:val="008310C9"/>
    <w:rsid w:val="008335F0"/>
    <w:rsid w:val="00834306"/>
    <w:rsid w:val="00853CC5"/>
    <w:rsid w:val="00877E6E"/>
    <w:rsid w:val="008B083A"/>
    <w:rsid w:val="008C5A72"/>
    <w:rsid w:val="008C7848"/>
    <w:rsid w:val="00906589"/>
    <w:rsid w:val="00906AD6"/>
    <w:rsid w:val="00917AF2"/>
    <w:rsid w:val="0092418A"/>
    <w:rsid w:val="00930E85"/>
    <w:rsid w:val="00934ED7"/>
    <w:rsid w:val="00940D16"/>
    <w:rsid w:val="009543C3"/>
    <w:rsid w:val="00966E1B"/>
    <w:rsid w:val="00972F51"/>
    <w:rsid w:val="00984A02"/>
    <w:rsid w:val="009947C0"/>
    <w:rsid w:val="009A4039"/>
    <w:rsid w:val="009A41F9"/>
    <w:rsid w:val="009D4BBD"/>
    <w:rsid w:val="009F2D2C"/>
    <w:rsid w:val="009F5580"/>
    <w:rsid w:val="00A03C0E"/>
    <w:rsid w:val="00A16BE1"/>
    <w:rsid w:val="00A239D1"/>
    <w:rsid w:val="00A239D6"/>
    <w:rsid w:val="00A25EE2"/>
    <w:rsid w:val="00A31928"/>
    <w:rsid w:val="00A35B27"/>
    <w:rsid w:val="00A507D4"/>
    <w:rsid w:val="00A5147A"/>
    <w:rsid w:val="00A57985"/>
    <w:rsid w:val="00A62A14"/>
    <w:rsid w:val="00A6617B"/>
    <w:rsid w:val="00A71FE5"/>
    <w:rsid w:val="00A7534B"/>
    <w:rsid w:val="00A76007"/>
    <w:rsid w:val="00A86DD2"/>
    <w:rsid w:val="00A90FF5"/>
    <w:rsid w:val="00A936CB"/>
    <w:rsid w:val="00A971A1"/>
    <w:rsid w:val="00AA3AD8"/>
    <w:rsid w:val="00AB0DC8"/>
    <w:rsid w:val="00AB405C"/>
    <w:rsid w:val="00AC015D"/>
    <w:rsid w:val="00AE698D"/>
    <w:rsid w:val="00AF0286"/>
    <w:rsid w:val="00AF5326"/>
    <w:rsid w:val="00B019A2"/>
    <w:rsid w:val="00B0286E"/>
    <w:rsid w:val="00B033C8"/>
    <w:rsid w:val="00B111CE"/>
    <w:rsid w:val="00B20E43"/>
    <w:rsid w:val="00B33425"/>
    <w:rsid w:val="00B42334"/>
    <w:rsid w:val="00B44E24"/>
    <w:rsid w:val="00B54ECC"/>
    <w:rsid w:val="00B60AC0"/>
    <w:rsid w:val="00B714F3"/>
    <w:rsid w:val="00B75A52"/>
    <w:rsid w:val="00B874C6"/>
    <w:rsid w:val="00B87B6B"/>
    <w:rsid w:val="00B9169E"/>
    <w:rsid w:val="00B96572"/>
    <w:rsid w:val="00BA08E7"/>
    <w:rsid w:val="00BB7886"/>
    <w:rsid w:val="00BC5D77"/>
    <w:rsid w:val="00BD4283"/>
    <w:rsid w:val="00BD73AB"/>
    <w:rsid w:val="00BF487A"/>
    <w:rsid w:val="00BF5544"/>
    <w:rsid w:val="00C15F3E"/>
    <w:rsid w:val="00C46BD9"/>
    <w:rsid w:val="00C55258"/>
    <w:rsid w:val="00C62F5C"/>
    <w:rsid w:val="00C73560"/>
    <w:rsid w:val="00C84DB7"/>
    <w:rsid w:val="00C87A35"/>
    <w:rsid w:val="00C94436"/>
    <w:rsid w:val="00CA6227"/>
    <w:rsid w:val="00CB0F14"/>
    <w:rsid w:val="00CC7C52"/>
    <w:rsid w:val="00CD659B"/>
    <w:rsid w:val="00CE0A43"/>
    <w:rsid w:val="00CF130D"/>
    <w:rsid w:val="00D00118"/>
    <w:rsid w:val="00D0483A"/>
    <w:rsid w:val="00D16749"/>
    <w:rsid w:val="00D37764"/>
    <w:rsid w:val="00D5024B"/>
    <w:rsid w:val="00D61962"/>
    <w:rsid w:val="00D72007"/>
    <w:rsid w:val="00D72623"/>
    <w:rsid w:val="00D83556"/>
    <w:rsid w:val="00DE5556"/>
    <w:rsid w:val="00DF4176"/>
    <w:rsid w:val="00E0095C"/>
    <w:rsid w:val="00E17240"/>
    <w:rsid w:val="00E31B9F"/>
    <w:rsid w:val="00E74595"/>
    <w:rsid w:val="00E77485"/>
    <w:rsid w:val="00EB1CB6"/>
    <w:rsid w:val="00EB7C57"/>
    <w:rsid w:val="00ED2695"/>
    <w:rsid w:val="00ED3CA8"/>
    <w:rsid w:val="00EE04BA"/>
    <w:rsid w:val="00EE47C4"/>
    <w:rsid w:val="00EF2D52"/>
    <w:rsid w:val="00F111D6"/>
    <w:rsid w:val="00F30C9B"/>
    <w:rsid w:val="00F354B1"/>
    <w:rsid w:val="00F354D7"/>
    <w:rsid w:val="00F6343F"/>
    <w:rsid w:val="00F72776"/>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3D86B53C"/>
  <w15:docId w15:val="{879AD53D-AC17-45D1-B51D-CBBDB48F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42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rsid w:val="00A239D6"/>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239D6"/>
    <w:pPr>
      <w:spacing w:before="240"/>
    </w:pPr>
    <w:rPr>
      <w:sz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A936CB"/>
    <w:rPr>
      <w:position w:val="6"/>
      <w:sz w:val="18"/>
    </w:rPr>
  </w:style>
  <w:style w:type="paragraph" w:styleId="FootnoteText">
    <w:name w:val="footnote text"/>
    <w:aliases w:val="ALTS FOOTNOTE,footnote text,Footnote Text Char1,Footnote Text Char Char1,Footnote Text Char4 Char Char,Footnote Text Char1 Char1 Char1 Char,Footnote Text Char Char1 Char1 Char Char,Footnote Text Char1 Char1 Char1 Char Char Char1,DNV-,DNV"/>
    <w:basedOn w:val="Normal"/>
    <w:link w:val="FootnoteTextChar"/>
    <w:uiPriority w:val="99"/>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link w:val="ReftextChar"/>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239D6"/>
    <w:pPr>
      <w:spacing w:after="240"/>
    </w:pPr>
    <w:rPr>
      <w:sz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CC7C52"/>
    <w:rPr>
      <w:b/>
      <w:sz w:val="24"/>
      <w:lang w:val="es-ES" w:eastAsia="en-US"/>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CC7C52"/>
    <w:rPr>
      <w:sz w:val="22"/>
      <w:lang w:val="es-ES" w:eastAsia="en-US"/>
    </w:rPr>
  </w:style>
  <w:style w:type="character" w:customStyle="1" w:styleId="HeadingbChar">
    <w:name w:val="Heading_b Char"/>
    <w:basedOn w:val="DefaultParagraphFont"/>
    <w:link w:val="Headingb"/>
    <w:locked/>
    <w:rsid w:val="00CC7C52"/>
    <w:rPr>
      <w:b/>
      <w:sz w:val="24"/>
      <w:lang w:val="es-ES" w:eastAsia="en-US"/>
    </w:rPr>
  </w:style>
  <w:style w:type="character" w:customStyle="1" w:styleId="enumlev1Char">
    <w:name w:val="enumlev1 Char"/>
    <w:basedOn w:val="DefaultParagraphFont"/>
    <w:link w:val="enumlev1"/>
    <w:locked/>
    <w:rsid w:val="00CC7C52"/>
    <w:rPr>
      <w:sz w:val="24"/>
      <w:lang w:val="es-ES" w:eastAsia="en-US"/>
    </w:rPr>
  </w:style>
  <w:style w:type="character" w:customStyle="1" w:styleId="NormalaftertitleChar">
    <w:name w:val="Normal_after_title Char"/>
    <w:basedOn w:val="DefaultParagraphFont"/>
    <w:link w:val="Normalaftertitle"/>
    <w:locked/>
    <w:rsid w:val="00CC7C52"/>
    <w:rPr>
      <w:sz w:val="24"/>
      <w:lang w:val="es-ES" w:eastAsia="en-US"/>
    </w:rPr>
  </w:style>
  <w:style w:type="character" w:customStyle="1" w:styleId="RectitleChar">
    <w:name w:val="Rec_title Char"/>
    <w:link w:val="Rectitle"/>
    <w:locked/>
    <w:rsid w:val="00CC7C52"/>
    <w:rPr>
      <w:b/>
      <w:sz w:val="28"/>
      <w:lang w:val="es-ES" w:eastAsia="en-US"/>
    </w:rPr>
  </w:style>
  <w:style w:type="character" w:customStyle="1" w:styleId="Heading2Char">
    <w:name w:val="Heading 2 Char"/>
    <w:basedOn w:val="DefaultParagraphFont"/>
    <w:link w:val="Heading2"/>
    <w:rsid w:val="00CC7C52"/>
    <w:rPr>
      <w:b/>
      <w:sz w:val="24"/>
      <w:lang w:val="es-ES" w:eastAsia="en-US"/>
    </w:rPr>
  </w:style>
  <w:style w:type="character" w:customStyle="1" w:styleId="TabletextChar">
    <w:name w:val="Table_text Char"/>
    <w:basedOn w:val="DefaultParagraphFont"/>
    <w:link w:val="Tabletext"/>
    <w:rsid w:val="00CC7C52"/>
    <w:rPr>
      <w:sz w:val="22"/>
      <w:lang w:val="es-ES" w:eastAsia="en-US"/>
    </w:rPr>
  </w:style>
  <w:style w:type="character" w:customStyle="1" w:styleId="TablelegendChar">
    <w:name w:val="Table_legend Char"/>
    <w:basedOn w:val="DefaultParagraphFont"/>
    <w:link w:val="Tablelegend"/>
    <w:rsid w:val="00CC7C52"/>
    <w:rPr>
      <w:sz w:val="22"/>
      <w:lang w:val="es-ES" w:eastAsia="en-US"/>
    </w:rPr>
  </w:style>
  <w:style w:type="character" w:customStyle="1" w:styleId="TableheadChar">
    <w:name w:val="Table_head Char"/>
    <w:link w:val="Tablehead"/>
    <w:locked/>
    <w:rsid w:val="00CC7C52"/>
    <w:rPr>
      <w:b/>
      <w:sz w:val="22"/>
      <w:lang w:val="es-ES" w:eastAsia="en-US"/>
    </w:rPr>
  </w:style>
  <w:style w:type="character" w:customStyle="1" w:styleId="ReftextChar">
    <w:name w:val="Ref_text Char"/>
    <w:basedOn w:val="DefaultParagraphFont"/>
    <w:link w:val="Reftext"/>
    <w:rsid w:val="00CC7C52"/>
    <w:rPr>
      <w:sz w:val="22"/>
      <w:lang w:val="es-ES" w:eastAsia="en-US"/>
    </w:rPr>
  </w:style>
  <w:style w:type="character" w:customStyle="1" w:styleId="AnnexNoTitleChar">
    <w:name w:val="Annex_NoTitle Char"/>
    <w:basedOn w:val="DefaultParagraphFont"/>
    <w:link w:val="AnnexNoTitle"/>
    <w:locked/>
    <w:rsid w:val="00A239D6"/>
    <w:rPr>
      <w:b/>
      <w:sz w:val="28"/>
      <w:lang w:val="es-ES" w:eastAsia="en-US"/>
    </w:rPr>
  </w:style>
  <w:style w:type="paragraph" w:customStyle="1" w:styleId="Reasons">
    <w:name w:val="Reasons"/>
    <w:basedOn w:val="Normal"/>
    <w:qFormat/>
    <w:rsid w:val="003F3E5F"/>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Revision">
    <w:name w:val="Revision"/>
    <w:hidden/>
    <w:uiPriority w:val="99"/>
    <w:semiHidden/>
    <w:rsid w:val="00C62F5C"/>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itu.int/rec/R-REC-BT.2100/es" TargetMode="External"/><Relationship Id="rId26" Type="http://schemas.openxmlformats.org/officeDocument/2006/relationships/hyperlink" Target="https://www.itu.int/rec/R-REC-BT.1886/es" TargetMode="External"/><Relationship Id="rId3" Type="http://schemas.openxmlformats.org/officeDocument/2006/relationships/settings" Target="settings.xml"/><Relationship Id="rId21" Type="http://schemas.openxmlformats.org/officeDocument/2006/relationships/hyperlink" Target="https://www.itu.int/rec/R-REC-BT.1886/es"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itu.int/rec/R-REC-BT.2100/es" TargetMode="External"/><Relationship Id="rId25" Type="http://schemas.openxmlformats.org/officeDocument/2006/relationships/hyperlink" Target="https://www.itu.int/rec/R-REC-BT.2100/es" TargetMode="External"/><Relationship Id="rId2" Type="http://schemas.openxmlformats.org/officeDocument/2006/relationships/styles" Target="styles.xml"/><Relationship Id="rId16" Type="http://schemas.openxmlformats.org/officeDocument/2006/relationships/hyperlink" Target="https://www.itu.int/pub/R-REP-BT.2408/es" TargetMode="External"/><Relationship Id="rId20" Type="http://schemas.openxmlformats.org/officeDocument/2006/relationships/hyperlink" Target="https://www.itu.int/rec/R-REC-BT.2100/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24" Type="http://schemas.openxmlformats.org/officeDocument/2006/relationships/hyperlink" Target="https://www.itu.int/rec/R-REC-BT.2100/es" TargetMode="External"/><Relationship Id="rId5" Type="http://schemas.openxmlformats.org/officeDocument/2006/relationships/footnotes" Target="footnotes.xml"/><Relationship Id="rId15" Type="http://schemas.openxmlformats.org/officeDocument/2006/relationships/hyperlink" Target="https://www.itu.int/rec/R-REC-BT.2100/es" TargetMode="External"/><Relationship Id="rId23" Type="http://schemas.openxmlformats.org/officeDocument/2006/relationships/hyperlink" Target="https://www.itu.int/rec/R-REC-BT.2100/es" TargetMode="External"/><Relationship Id="rId28" Type="http://schemas.openxmlformats.org/officeDocument/2006/relationships/footer" Target="footer2.xml"/><Relationship Id="rId10" Type="http://schemas.openxmlformats.org/officeDocument/2006/relationships/hyperlink" Target="https://www.itu.int/ITU-R/go/patents/es" TargetMode="External"/><Relationship Id="rId19" Type="http://schemas.openxmlformats.org/officeDocument/2006/relationships/hyperlink" Target="https://www.itu.int/rec/R-REC-BT.2035/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BT.2035/es" TargetMode="External"/><Relationship Id="rId22" Type="http://schemas.openxmlformats.org/officeDocument/2006/relationships/hyperlink" Target="https://www.itu.int/rec/R-REC-BT.2035/es" TargetMode="External"/><Relationship Id="rId27" Type="http://schemas.openxmlformats.org/officeDocument/2006/relationships/hyperlink" Target="https://www.itu.int/pub/R-REP-BT.2408/e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Local\Temp\6c6ac8c2-551c-4d05-8ec8-74444149060a_Nueva%20carpeta%20comprimida%20(en%20zip)%20(002).zip.60a\2023-ITU-R_REC_BT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2023-ITU-R_REC_BT_S.dotx</Template>
  <TotalTime>249</TotalTime>
  <Pages>7</Pages>
  <Words>1841</Words>
  <Characters>10826</Characters>
  <Application>Microsoft Office Word</Application>
  <DocSecurity>0</DocSecurity>
  <Lines>270</Lines>
  <Paragraphs>164</Paragraphs>
  <ScaleCrop>false</ScaleCrop>
  <HeadingPairs>
    <vt:vector size="2" baseType="variant">
      <vt:variant>
        <vt:lpstr>Title</vt:lpstr>
      </vt:variant>
      <vt:variant>
        <vt:i4>1</vt:i4>
      </vt:variant>
    </vt:vector>
  </HeadingPairs>
  <TitlesOfParts>
    <vt:vector size="1" baseType="lpstr">
      <vt:lpstr>RECOMENDACIÓN  UIT-R  BT.2166-0 - Condiciones de visualización en monitores muy próximos de gama dinámica elevada y gama dinámica normal en un entorno de producción de gama dinámica elevada de formato único</vt:lpstr>
    </vt:vector>
  </TitlesOfParts>
  <Manager/>
  <Company>ITU</Company>
  <LinksUpToDate>false</LinksUpToDate>
  <CharactersWithSpaces>12503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BT.2166-0 (02/2025) - Condiciones de visualización en monitores muy próximos de gama dinámica elevada y gama dinámica normal en un entorno de producción de gama dinámica elevada de formato único</dc:title>
  <dc:subject>Serie BT = Servicio de radiodifusión (televisión)</dc:subject>
  <dc:creator>Oficina de Radiocomunicaciones del UIT (BR)</dc:creator>
  <cp:keywords/>
  <dc:description>Saez, 19/03/2025, ITU51017659</dc:description>
  <cp:lastModifiedBy>Saez Grau, Ricardo</cp:lastModifiedBy>
  <cp:revision>14</cp:revision>
  <cp:lastPrinted>2023-03-17T15:41:00Z</cp:lastPrinted>
  <dcterms:created xsi:type="dcterms:W3CDTF">2025-03-19T10:43:00Z</dcterms:created>
  <dcterms:modified xsi:type="dcterms:W3CDTF">2025-03-19T15:26:00Z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19 March 2025</vt:lpwstr>
  </property>
</Properties>
</file>