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333DF" w14:textId="77777777" w:rsidR="00FE79FE" w:rsidRPr="00B76C09" w:rsidRDefault="00FE79FE">
      <w:bookmarkStart w:id="0" w:name="c2tope"/>
      <w:bookmarkEnd w:id="0"/>
    </w:p>
    <w:p w14:paraId="11B0E2A9" w14:textId="77777777" w:rsidR="009E7C05" w:rsidRPr="00B76C09" w:rsidRDefault="009E7C05" w:rsidP="009E7C05">
      <w:pPr>
        <w:tabs>
          <w:tab w:val="clear" w:pos="794"/>
          <w:tab w:val="clear" w:pos="1191"/>
          <w:tab w:val="clear" w:pos="1588"/>
          <w:tab w:val="clear" w:pos="1985"/>
        </w:tabs>
      </w:pPr>
    </w:p>
    <w:p w14:paraId="49F424FE" w14:textId="7E54E516" w:rsidR="009E7C05" w:rsidRPr="00B76C09" w:rsidRDefault="009E7C05" w:rsidP="009E7C05">
      <w:pPr>
        <w:pStyle w:val="CoverNumber"/>
        <w:rPr>
          <w:lang w:val="ru-RU"/>
        </w:rPr>
      </w:pPr>
      <w:r w:rsidRPr="00B76C09">
        <w:rPr>
          <w:lang w:val="ru-RU"/>
        </w:rPr>
        <w:t>Рекомендация МСЭ-R B</w:t>
      </w:r>
      <w:r w:rsidR="00DF48BB" w:rsidRPr="00B76C09">
        <w:rPr>
          <w:lang w:val="ru-RU"/>
        </w:rPr>
        <w:t>T</w:t>
      </w:r>
      <w:r w:rsidRPr="00B76C09">
        <w:rPr>
          <w:lang w:val="ru-RU"/>
        </w:rPr>
        <w:t>.</w:t>
      </w:r>
      <w:r w:rsidR="008F1F77" w:rsidRPr="00B76C09">
        <w:rPr>
          <w:lang w:val="ru-RU"/>
        </w:rPr>
        <w:t>2166-0</w:t>
      </w:r>
    </w:p>
    <w:p w14:paraId="363BF592" w14:textId="4A384B14" w:rsidR="009E7C05" w:rsidRPr="00B76C09" w:rsidRDefault="009E7C05" w:rsidP="009E7C05">
      <w:pPr>
        <w:pStyle w:val="CoverDate"/>
        <w:rPr>
          <w:lang w:val="ru-RU"/>
        </w:rPr>
      </w:pPr>
      <w:r w:rsidRPr="00B76C09">
        <w:rPr>
          <w:lang w:val="ru-RU"/>
        </w:rPr>
        <w:t>(</w:t>
      </w:r>
      <w:r w:rsidR="008F1F77" w:rsidRPr="00B76C09">
        <w:rPr>
          <w:lang w:val="ru-RU"/>
        </w:rPr>
        <w:t>02/2025</w:t>
      </w:r>
      <w:r w:rsidRPr="00B76C09">
        <w:rPr>
          <w:lang w:val="ru-RU"/>
        </w:rPr>
        <w:t>)</w:t>
      </w:r>
    </w:p>
    <w:p w14:paraId="3548BEF3" w14:textId="796F3436" w:rsidR="009E7C05" w:rsidRPr="00B76C09" w:rsidRDefault="009E7C05" w:rsidP="009E7C05">
      <w:pPr>
        <w:pStyle w:val="CoverSeries"/>
        <w:rPr>
          <w:bCs w:val="0"/>
          <w:lang w:val="ru-RU"/>
        </w:rPr>
      </w:pPr>
      <w:r w:rsidRPr="00B76C09">
        <w:rPr>
          <w:lang w:val="ru-RU"/>
        </w:rPr>
        <w:t>Серия B</w:t>
      </w:r>
      <w:r w:rsidR="00DF48BB" w:rsidRPr="00B76C09">
        <w:rPr>
          <w:lang w:val="ru-RU"/>
        </w:rPr>
        <w:t>T</w:t>
      </w:r>
      <w:r w:rsidRPr="00B76C09">
        <w:rPr>
          <w:lang w:val="ru-RU"/>
        </w:rPr>
        <w:t xml:space="preserve">: </w:t>
      </w:r>
      <w:r w:rsidR="00DF48BB" w:rsidRPr="00B76C09">
        <w:rPr>
          <w:bCs w:val="0"/>
          <w:iCs/>
          <w:lang w:val="ru-RU"/>
        </w:rPr>
        <w:t xml:space="preserve">Радиовещательная служба </w:t>
      </w:r>
      <w:r w:rsidR="00DF48BB" w:rsidRPr="00B76C09">
        <w:rPr>
          <w:bCs w:val="0"/>
          <w:iCs/>
          <w:lang w:val="ru-RU"/>
        </w:rPr>
        <w:br/>
        <w:t>(телевизионная)</w:t>
      </w:r>
    </w:p>
    <w:p w14:paraId="42D2531C" w14:textId="4D491CD9" w:rsidR="009E7C05" w:rsidRPr="00B76C09" w:rsidRDefault="008F1F77" w:rsidP="009E7C05">
      <w:pPr>
        <w:pStyle w:val="CoverTitle"/>
        <w:rPr>
          <w:lang w:val="ru-RU"/>
        </w:rPr>
      </w:pPr>
      <w:bookmarkStart w:id="1" w:name="_Hlk206575637"/>
      <w:r w:rsidRPr="00B76C09">
        <w:rPr>
          <w:sz w:val="40"/>
          <w:szCs w:val="40"/>
          <w:lang w:val="ru-RU"/>
        </w:rPr>
        <w:t>Условия просмотра для мониторинга расположенных рядом изображений с большим динамическим диапазоном и стандартным динамическим диапазоном в среде производства программ большого динамического диапазона с одной мастер-копией</w:t>
      </w:r>
      <w:bookmarkEnd w:id="1"/>
    </w:p>
    <w:p w14:paraId="19CB230E" w14:textId="77777777" w:rsidR="009E7C05" w:rsidRPr="00B76C09" w:rsidRDefault="009E7C05" w:rsidP="009E7C05"/>
    <w:p w14:paraId="210C874F" w14:textId="77777777" w:rsidR="009E7C05" w:rsidRPr="00B76C09" w:rsidRDefault="009E7C05" w:rsidP="009E7C05"/>
    <w:p w14:paraId="78AFB684" w14:textId="77777777" w:rsidR="009E7C05" w:rsidRPr="00B76C09" w:rsidRDefault="009E7C05" w:rsidP="009E7C05">
      <w:pPr>
        <w:sectPr w:rsidR="009E7C05" w:rsidRPr="00B76C09" w:rsidSect="0027411A">
          <w:headerReference w:type="even" r:id="rId8"/>
          <w:headerReference w:type="default" r:id="rId9"/>
          <w:footerReference w:type="default" r:id="rId10"/>
          <w:pgSz w:w="11907" w:h="16840" w:code="9"/>
          <w:pgMar w:top="1089" w:right="1089" w:bottom="284" w:left="1089" w:header="737" w:footer="284" w:gutter="0"/>
          <w:pgNumType w:start="1"/>
          <w:cols w:space="720"/>
          <w:docGrid w:linePitch="326"/>
        </w:sectPr>
      </w:pPr>
    </w:p>
    <w:p w14:paraId="5F9A0793" w14:textId="77777777" w:rsidR="00131900" w:rsidRPr="00B76C09" w:rsidRDefault="00131900" w:rsidP="00ED5D31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center"/>
        <w:textAlignment w:val="auto"/>
        <w:rPr>
          <w:b/>
          <w:bCs/>
          <w:szCs w:val="22"/>
        </w:rPr>
      </w:pPr>
      <w:r w:rsidRPr="00B76C09">
        <w:rPr>
          <w:b/>
          <w:bCs/>
          <w:szCs w:val="22"/>
        </w:rPr>
        <w:lastRenderedPageBreak/>
        <w:t>Предисловие</w:t>
      </w:r>
    </w:p>
    <w:p w14:paraId="33216B58" w14:textId="77777777" w:rsidR="00131900" w:rsidRPr="00B76C09" w:rsidRDefault="00131900" w:rsidP="0013190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sz w:val="20"/>
        </w:rPr>
      </w:pPr>
      <w:r w:rsidRPr="00B76C09">
        <w:rPr>
          <w:sz w:val="20"/>
        </w:rPr>
        <w:t>Роль Сектора радиосвязи заключается в обеспечении рационального, справедливого, эффективного и экономичного использования радиочастотного спектра всеми службами радиосвязи, включая спутниковые службы, и проведении в неограниченном частотном диапазоне исследований, на основании которых принимаются Рекомендации.</w:t>
      </w:r>
    </w:p>
    <w:p w14:paraId="241FD9C0" w14:textId="77777777" w:rsidR="00131900" w:rsidRPr="00B76C09" w:rsidRDefault="00131900" w:rsidP="0013190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sz w:val="20"/>
        </w:rPr>
      </w:pPr>
      <w:r w:rsidRPr="00B76C09">
        <w:rPr>
          <w:sz w:val="20"/>
        </w:rPr>
        <w:t xml:space="preserve">Всемирные и региональные конференции радиосвязи и ассамблеи радиосвязи при поддержке исследовательских комиссий выполняют регламентарную и политическую функции Сектора радиосвязи. </w:t>
      </w:r>
    </w:p>
    <w:p w14:paraId="74F158DD" w14:textId="77777777" w:rsidR="00131900" w:rsidRPr="00B76C09" w:rsidRDefault="00131900" w:rsidP="0013562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360"/>
        <w:jc w:val="center"/>
        <w:textAlignment w:val="auto"/>
        <w:rPr>
          <w:b/>
          <w:bCs/>
          <w:szCs w:val="22"/>
        </w:rPr>
      </w:pPr>
      <w:r w:rsidRPr="00B76C09">
        <w:rPr>
          <w:b/>
          <w:bCs/>
          <w:szCs w:val="22"/>
        </w:rPr>
        <w:t>Политика в области прав интеллектуальной собственности (ПИС)</w:t>
      </w:r>
    </w:p>
    <w:p w14:paraId="69EB0660" w14:textId="72BEFCE9" w:rsidR="00131900" w:rsidRPr="00B76C09" w:rsidRDefault="00131900" w:rsidP="00D4030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sz w:val="20"/>
        </w:rPr>
      </w:pPr>
      <w:r w:rsidRPr="00B76C09">
        <w:rPr>
          <w:sz w:val="20"/>
        </w:rPr>
        <w:t>Политика МСЭ-R в области ПИС излагается в общей патентной политике МСЭ-Т/МСЭ-R/ИСО/МЭК, упоминаемой в Резолюции МСЭ-R</w:t>
      </w:r>
      <w:r w:rsidR="001D53F9" w:rsidRPr="00B76C09">
        <w:rPr>
          <w:sz w:val="20"/>
        </w:rPr>
        <w:t xml:space="preserve"> 1</w:t>
      </w:r>
      <w:r w:rsidRPr="00B76C09">
        <w:rPr>
          <w:sz w:val="20"/>
        </w:rPr>
        <w:t xml:space="preserve">. Формы, которые владельцам патентов следует использовать для представления патентных заявлений и деклараций о лицензировании, представлены по адресу: </w:t>
      </w:r>
      <w:hyperlink r:id="rId11" w:history="1">
        <w:r w:rsidR="00805C36" w:rsidRPr="00B76C09">
          <w:rPr>
            <w:rFonts w:eastAsia="SimSun"/>
            <w:color w:val="0000FF"/>
            <w:sz w:val="20"/>
            <w:u w:val="single"/>
            <w:lang w:eastAsia="zh-CN"/>
          </w:rPr>
          <w:t>https://www.itu.int/ITU-R/go/patents/en</w:t>
        </w:r>
      </w:hyperlink>
      <w:r w:rsidRPr="00B76C09">
        <w:rPr>
          <w:sz w:val="20"/>
        </w:rPr>
        <w:t>, где также содержатся Руководящие принципы по выполнению общей патентной политики МСЭ-Т/МСЭ-R/ИСО/МЭК и база данных патентной информации МСЭ-R.</w:t>
      </w:r>
    </w:p>
    <w:p w14:paraId="786086E2" w14:textId="77777777" w:rsidR="00131900" w:rsidRPr="00B76C09" w:rsidRDefault="00131900" w:rsidP="0013190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jc w:val="left"/>
        <w:textAlignment w:val="auto"/>
        <w:rPr>
          <w:rFonts w:eastAsia="SimSun"/>
          <w:sz w:val="20"/>
          <w:lang w:eastAsia="zh-CN"/>
        </w:rPr>
      </w:pPr>
    </w:p>
    <w:tbl>
      <w:tblPr>
        <w:tblW w:w="0" w:type="auto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</w:tblBorders>
        <w:tblLook w:val="04A0" w:firstRow="1" w:lastRow="0" w:firstColumn="1" w:lastColumn="0" w:noHBand="0" w:noVBand="1"/>
      </w:tblPr>
      <w:tblGrid>
        <w:gridCol w:w="1188"/>
        <w:gridCol w:w="7668"/>
      </w:tblGrid>
      <w:tr w:rsidR="00DF48BB" w:rsidRPr="00B76C09" w14:paraId="13A69284" w14:textId="77777777" w:rsidTr="00520E77">
        <w:trPr>
          <w:jc w:val="center"/>
        </w:trPr>
        <w:tc>
          <w:tcPr>
            <w:tcW w:w="8856" w:type="dxa"/>
            <w:gridSpan w:val="2"/>
          </w:tcPr>
          <w:p w14:paraId="5D3C9854" w14:textId="77777777" w:rsidR="00DF48BB" w:rsidRPr="00B76C09" w:rsidRDefault="00DF48BB" w:rsidP="00EB171C">
            <w:pPr>
              <w:spacing w:before="180"/>
              <w:jc w:val="center"/>
              <w:rPr>
                <w:b/>
                <w:bCs/>
                <w:szCs w:val="22"/>
              </w:rPr>
            </w:pPr>
            <w:r w:rsidRPr="00B76C09">
              <w:rPr>
                <w:b/>
                <w:bCs/>
                <w:szCs w:val="22"/>
              </w:rPr>
              <w:t>Серии Рекомендаций МСЭ-R</w:t>
            </w:r>
          </w:p>
          <w:p w14:paraId="78ACAE45" w14:textId="5EECE12D" w:rsidR="00DF48BB" w:rsidRPr="00B76C09" w:rsidRDefault="00DF48BB" w:rsidP="00EB171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B76C09">
              <w:rPr>
                <w:sz w:val="18"/>
                <w:szCs w:val="18"/>
              </w:rPr>
              <w:t xml:space="preserve">(Представлены также в онлайновой форме по адресу: </w:t>
            </w:r>
            <w:hyperlink r:id="rId12" w:history="1">
              <w:r w:rsidR="00805C36" w:rsidRPr="00B76C09">
                <w:rPr>
                  <w:rStyle w:val="Hyperlink"/>
                  <w:sz w:val="18"/>
                </w:rPr>
                <w:t>https://www.itu.int/publ/R-REC/ru</w:t>
              </w:r>
            </w:hyperlink>
            <w:r w:rsidRPr="00B76C09">
              <w:rPr>
                <w:sz w:val="18"/>
                <w:szCs w:val="18"/>
              </w:rPr>
              <w:t>.)</w:t>
            </w:r>
          </w:p>
        </w:tc>
      </w:tr>
      <w:tr w:rsidR="00DF48BB" w:rsidRPr="00B76C09" w14:paraId="57CF3E08" w14:textId="77777777" w:rsidTr="00520E77">
        <w:trPr>
          <w:jc w:val="center"/>
        </w:trPr>
        <w:tc>
          <w:tcPr>
            <w:tcW w:w="1188" w:type="dxa"/>
          </w:tcPr>
          <w:p w14:paraId="784F98C2" w14:textId="77777777" w:rsidR="00DF48BB" w:rsidRPr="00B76C09" w:rsidRDefault="00DF48BB" w:rsidP="00EB171C">
            <w:pPr>
              <w:spacing w:before="40" w:after="40"/>
              <w:rPr>
                <w:b/>
                <w:bCs/>
                <w:sz w:val="20"/>
              </w:rPr>
            </w:pPr>
            <w:r w:rsidRPr="00B76C09">
              <w:rPr>
                <w:b/>
                <w:bCs/>
                <w:sz w:val="20"/>
              </w:rPr>
              <w:t>Серия</w:t>
            </w:r>
          </w:p>
        </w:tc>
        <w:tc>
          <w:tcPr>
            <w:tcW w:w="7668" w:type="dxa"/>
          </w:tcPr>
          <w:p w14:paraId="20A43D45" w14:textId="77777777" w:rsidR="00DF48BB" w:rsidRPr="00B76C09" w:rsidRDefault="00DF48BB" w:rsidP="00EB171C">
            <w:pPr>
              <w:spacing w:before="40" w:after="40"/>
              <w:jc w:val="center"/>
              <w:rPr>
                <w:rFonts w:eastAsia="SimSun"/>
                <w:b/>
                <w:bCs/>
                <w:sz w:val="20"/>
                <w:lang w:eastAsia="zh-CN"/>
              </w:rPr>
            </w:pPr>
            <w:r w:rsidRPr="00B76C09">
              <w:rPr>
                <w:b/>
                <w:bCs/>
                <w:sz w:val="20"/>
              </w:rPr>
              <w:t>Название</w:t>
            </w:r>
          </w:p>
        </w:tc>
      </w:tr>
      <w:tr w:rsidR="00DF48BB" w:rsidRPr="00B76C09" w14:paraId="3ACAB1B4" w14:textId="77777777" w:rsidTr="00520E77">
        <w:trPr>
          <w:jc w:val="center"/>
        </w:trPr>
        <w:tc>
          <w:tcPr>
            <w:tcW w:w="1188" w:type="dxa"/>
          </w:tcPr>
          <w:p w14:paraId="448B9B10" w14:textId="77777777" w:rsidR="00DF48BB" w:rsidRPr="00B76C09" w:rsidRDefault="00DF48BB" w:rsidP="00EB171C">
            <w:pPr>
              <w:spacing w:before="40" w:after="40"/>
              <w:rPr>
                <w:b/>
                <w:bCs/>
                <w:sz w:val="20"/>
              </w:rPr>
            </w:pPr>
            <w:r w:rsidRPr="00B76C09">
              <w:rPr>
                <w:b/>
                <w:bCs/>
                <w:sz w:val="20"/>
              </w:rPr>
              <w:t>BO</w:t>
            </w:r>
          </w:p>
        </w:tc>
        <w:tc>
          <w:tcPr>
            <w:tcW w:w="7668" w:type="dxa"/>
          </w:tcPr>
          <w:p w14:paraId="3AC88CB4" w14:textId="77777777" w:rsidR="00DF48BB" w:rsidRPr="00B76C09" w:rsidRDefault="00DF48BB" w:rsidP="00EB171C">
            <w:pPr>
              <w:spacing w:before="40" w:after="40"/>
              <w:jc w:val="left"/>
              <w:rPr>
                <w:sz w:val="20"/>
              </w:rPr>
            </w:pPr>
            <w:r w:rsidRPr="00B76C09">
              <w:rPr>
                <w:sz w:val="20"/>
              </w:rPr>
              <w:t>Спутниковое радиовещание</w:t>
            </w:r>
          </w:p>
        </w:tc>
      </w:tr>
      <w:tr w:rsidR="00DF48BB" w:rsidRPr="00B76C09" w14:paraId="73801671" w14:textId="77777777" w:rsidTr="00520E77">
        <w:trPr>
          <w:jc w:val="center"/>
        </w:trPr>
        <w:tc>
          <w:tcPr>
            <w:tcW w:w="1188" w:type="dxa"/>
          </w:tcPr>
          <w:p w14:paraId="0D1017D7" w14:textId="77777777" w:rsidR="00DF48BB" w:rsidRPr="00B76C09" w:rsidRDefault="00DF48BB" w:rsidP="00EB171C">
            <w:pPr>
              <w:spacing w:before="40" w:after="40"/>
              <w:rPr>
                <w:b/>
                <w:bCs/>
                <w:sz w:val="20"/>
              </w:rPr>
            </w:pPr>
            <w:r w:rsidRPr="00B76C09">
              <w:rPr>
                <w:b/>
                <w:bCs/>
                <w:sz w:val="20"/>
              </w:rPr>
              <w:t>BR</w:t>
            </w:r>
          </w:p>
        </w:tc>
        <w:tc>
          <w:tcPr>
            <w:tcW w:w="7668" w:type="dxa"/>
          </w:tcPr>
          <w:p w14:paraId="3D6F5797" w14:textId="77777777" w:rsidR="00DF48BB" w:rsidRPr="00B76C09" w:rsidRDefault="00DF48BB" w:rsidP="00EB171C">
            <w:pPr>
              <w:spacing w:before="40" w:after="40"/>
              <w:jc w:val="left"/>
              <w:rPr>
                <w:sz w:val="20"/>
              </w:rPr>
            </w:pPr>
            <w:r w:rsidRPr="00B76C09">
              <w:rPr>
                <w:sz w:val="20"/>
              </w:rPr>
              <w:t>Запись для производства, архивирования и воспроизведения; пленки для телевидения</w:t>
            </w:r>
          </w:p>
        </w:tc>
      </w:tr>
      <w:tr w:rsidR="00DF48BB" w:rsidRPr="00B76C09" w14:paraId="0351DA1C" w14:textId="77777777" w:rsidTr="00520E77">
        <w:trPr>
          <w:jc w:val="center"/>
        </w:trPr>
        <w:tc>
          <w:tcPr>
            <w:tcW w:w="1188" w:type="dxa"/>
            <w:shd w:val="clear" w:color="auto" w:fill="FFFFFF" w:themeFill="background1"/>
          </w:tcPr>
          <w:p w14:paraId="13E9DE0C" w14:textId="77777777" w:rsidR="00DF48BB" w:rsidRPr="00B76C09" w:rsidRDefault="00DF48BB" w:rsidP="00EB171C">
            <w:pPr>
              <w:spacing w:before="40" w:after="40"/>
              <w:rPr>
                <w:b/>
                <w:bCs/>
                <w:sz w:val="20"/>
              </w:rPr>
            </w:pPr>
            <w:r w:rsidRPr="00B76C09">
              <w:rPr>
                <w:b/>
                <w:bCs/>
                <w:sz w:val="20"/>
              </w:rPr>
              <w:t>BS</w:t>
            </w:r>
          </w:p>
        </w:tc>
        <w:tc>
          <w:tcPr>
            <w:tcW w:w="7668" w:type="dxa"/>
            <w:shd w:val="clear" w:color="auto" w:fill="FFFFFF" w:themeFill="background1"/>
          </w:tcPr>
          <w:p w14:paraId="0DF8228B" w14:textId="77777777" w:rsidR="00DF48BB" w:rsidRPr="00B76C09" w:rsidRDefault="00DF48BB" w:rsidP="00EB171C">
            <w:pPr>
              <w:spacing w:before="40" w:after="40"/>
              <w:jc w:val="left"/>
              <w:rPr>
                <w:sz w:val="20"/>
              </w:rPr>
            </w:pPr>
            <w:r w:rsidRPr="00B76C09">
              <w:rPr>
                <w:sz w:val="20"/>
              </w:rPr>
              <w:t>Радиовещательная служба (звуковая)</w:t>
            </w:r>
          </w:p>
        </w:tc>
      </w:tr>
      <w:tr w:rsidR="00DF48BB" w:rsidRPr="00B76C09" w14:paraId="713F5F40" w14:textId="77777777" w:rsidTr="00520E77">
        <w:trPr>
          <w:jc w:val="center"/>
        </w:trPr>
        <w:tc>
          <w:tcPr>
            <w:tcW w:w="1188" w:type="dxa"/>
            <w:shd w:val="clear" w:color="auto" w:fill="F2F2F2" w:themeFill="background1" w:themeFillShade="F2"/>
          </w:tcPr>
          <w:p w14:paraId="76290CB5" w14:textId="77777777" w:rsidR="00DF48BB" w:rsidRPr="00B76C09" w:rsidRDefault="00DF48BB" w:rsidP="00EB171C">
            <w:pPr>
              <w:spacing w:before="40" w:after="40"/>
              <w:rPr>
                <w:b/>
                <w:bCs/>
                <w:color w:val="000080"/>
                <w:sz w:val="20"/>
              </w:rPr>
            </w:pPr>
            <w:r w:rsidRPr="00B76C09">
              <w:rPr>
                <w:b/>
                <w:bCs/>
                <w:color w:val="000080"/>
                <w:sz w:val="20"/>
              </w:rPr>
              <w:t>BT</w:t>
            </w:r>
          </w:p>
        </w:tc>
        <w:tc>
          <w:tcPr>
            <w:tcW w:w="7668" w:type="dxa"/>
            <w:shd w:val="clear" w:color="auto" w:fill="F2F2F2" w:themeFill="background1" w:themeFillShade="F2"/>
          </w:tcPr>
          <w:p w14:paraId="1FD95FDD" w14:textId="77777777" w:rsidR="00DF48BB" w:rsidRPr="00B76C09" w:rsidRDefault="00DF48BB" w:rsidP="00EB171C">
            <w:pPr>
              <w:spacing w:before="40" w:after="40"/>
              <w:jc w:val="left"/>
              <w:rPr>
                <w:b/>
                <w:bCs/>
                <w:color w:val="000080"/>
                <w:sz w:val="20"/>
              </w:rPr>
            </w:pPr>
            <w:r w:rsidRPr="00B76C09">
              <w:rPr>
                <w:b/>
                <w:bCs/>
                <w:color w:val="000080"/>
                <w:sz w:val="20"/>
              </w:rPr>
              <w:t>Радиовещательная служба (телевизионная)</w:t>
            </w:r>
          </w:p>
        </w:tc>
      </w:tr>
      <w:tr w:rsidR="00DF48BB" w:rsidRPr="00B76C09" w14:paraId="551CD789" w14:textId="77777777" w:rsidTr="00520E77">
        <w:trPr>
          <w:jc w:val="center"/>
        </w:trPr>
        <w:tc>
          <w:tcPr>
            <w:tcW w:w="1188" w:type="dxa"/>
          </w:tcPr>
          <w:p w14:paraId="2735FC68" w14:textId="77777777" w:rsidR="00DF48BB" w:rsidRPr="00B76C09" w:rsidRDefault="00DF48BB" w:rsidP="00EB171C">
            <w:pPr>
              <w:spacing w:before="40" w:after="40"/>
              <w:rPr>
                <w:b/>
                <w:bCs/>
                <w:sz w:val="20"/>
              </w:rPr>
            </w:pPr>
            <w:r w:rsidRPr="00B76C09">
              <w:rPr>
                <w:b/>
                <w:bCs/>
                <w:sz w:val="20"/>
              </w:rPr>
              <w:t>F</w:t>
            </w:r>
          </w:p>
        </w:tc>
        <w:tc>
          <w:tcPr>
            <w:tcW w:w="7668" w:type="dxa"/>
          </w:tcPr>
          <w:p w14:paraId="5D20F9D2" w14:textId="77777777" w:rsidR="00DF48BB" w:rsidRPr="00B76C09" w:rsidRDefault="00DF48BB" w:rsidP="00EB171C">
            <w:pPr>
              <w:spacing w:before="40" w:after="40"/>
              <w:jc w:val="left"/>
              <w:rPr>
                <w:sz w:val="20"/>
              </w:rPr>
            </w:pPr>
            <w:r w:rsidRPr="00B76C09">
              <w:rPr>
                <w:sz w:val="20"/>
              </w:rPr>
              <w:t>Фиксированная служба</w:t>
            </w:r>
          </w:p>
        </w:tc>
      </w:tr>
      <w:tr w:rsidR="00DF48BB" w:rsidRPr="00B76C09" w14:paraId="79CA83A6" w14:textId="77777777" w:rsidTr="00520E77">
        <w:trPr>
          <w:jc w:val="center"/>
        </w:trPr>
        <w:tc>
          <w:tcPr>
            <w:tcW w:w="1188" w:type="dxa"/>
            <w:shd w:val="clear" w:color="auto" w:fill="FFFFFF"/>
          </w:tcPr>
          <w:p w14:paraId="4E859256" w14:textId="77777777" w:rsidR="00DF48BB" w:rsidRPr="00B76C09" w:rsidRDefault="00DF48BB" w:rsidP="00EB171C">
            <w:pPr>
              <w:spacing w:before="40" w:after="40"/>
              <w:rPr>
                <w:b/>
                <w:bCs/>
                <w:sz w:val="20"/>
              </w:rPr>
            </w:pPr>
            <w:r w:rsidRPr="00B76C09">
              <w:rPr>
                <w:b/>
                <w:bCs/>
                <w:sz w:val="20"/>
              </w:rPr>
              <w:t>M</w:t>
            </w:r>
          </w:p>
        </w:tc>
        <w:tc>
          <w:tcPr>
            <w:tcW w:w="7668" w:type="dxa"/>
            <w:shd w:val="clear" w:color="auto" w:fill="FFFFFF"/>
          </w:tcPr>
          <w:p w14:paraId="754BD8D6" w14:textId="77777777" w:rsidR="00DF48BB" w:rsidRPr="00B76C09" w:rsidRDefault="00DF48BB" w:rsidP="00EB171C">
            <w:pPr>
              <w:spacing w:before="40" w:after="40"/>
              <w:jc w:val="left"/>
              <w:rPr>
                <w:sz w:val="20"/>
              </w:rPr>
            </w:pPr>
            <w:r w:rsidRPr="00B76C09">
              <w:rPr>
                <w:sz w:val="20"/>
              </w:rPr>
              <w:t>Подвижные службы, служба радиоопределения, любительская служба и относящиеся к ним спутниковые службы</w:t>
            </w:r>
          </w:p>
        </w:tc>
      </w:tr>
      <w:tr w:rsidR="00DF48BB" w:rsidRPr="00B76C09" w14:paraId="569BF60E" w14:textId="77777777" w:rsidTr="00520E77">
        <w:trPr>
          <w:jc w:val="center"/>
        </w:trPr>
        <w:tc>
          <w:tcPr>
            <w:tcW w:w="1188" w:type="dxa"/>
            <w:shd w:val="clear" w:color="auto" w:fill="FFFFFF" w:themeFill="background1"/>
          </w:tcPr>
          <w:p w14:paraId="69296586" w14:textId="77777777" w:rsidR="00DF48BB" w:rsidRPr="00B76C09" w:rsidRDefault="00DF48BB" w:rsidP="00EB171C">
            <w:pPr>
              <w:spacing w:before="40" w:after="40"/>
              <w:rPr>
                <w:b/>
                <w:bCs/>
                <w:sz w:val="20"/>
              </w:rPr>
            </w:pPr>
            <w:r w:rsidRPr="00B76C09">
              <w:rPr>
                <w:b/>
                <w:bCs/>
                <w:sz w:val="20"/>
              </w:rPr>
              <w:t>P</w:t>
            </w:r>
          </w:p>
        </w:tc>
        <w:tc>
          <w:tcPr>
            <w:tcW w:w="7668" w:type="dxa"/>
            <w:shd w:val="clear" w:color="auto" w:fill="FFFFFF" w:themeFill="background1"/>
          </w:tcPr>
          <w:p w14:paraId="7428A702" w14:textId="77777777" w:rsidR="00DF48BB" w:rsidRPr="00B76C09" w:rsidRDefault="00DF48BB" w:rsidP="00EB171C">
            <w:pPr>
              <w:spacing w:before="40" w:after="40"/>
              <w:jc w:val="left"/>
              <w:rPr>
                <w:sz w:val="20"/>
              </w:rPr>
            </w:pPr>
            <w:r w:rsidRPr="00B76C09">
              <w:rPr>
                <w:sz w:val="20"/>
              </w:rPr>
              <w:t>Распространение радиоволн</w:t>
            </w:r>
          </w:p>
        </w:tc>
      </w:tr>
      <w:tr w:rsidR="00DF48BB" w:rsidRPr="00B76C09" w14:paraId="6C2E01F5" w14:textId="77777777" w:rsidTr="00520E77">
        <w:trPr>
          <w:jc w:val="center"/>
        </w:trPr>
        <w:tc>
          <w:tcPr>
            <w:tcW w:w="1188" w:type="dxa"/>
          </w:tcPr>
          <w:p w14:paraId="383B5A84" w14:textId="77777777" w:rsidR="00DF48BB" w:rsidRPr="00B76C09" w:rsidRDefault="00DF48BB" w:rsidP="00EB171C">
            <w:pPr>
              <w:spacing w:before="40" w:after="40"/>
              <w:rPr>
                <w:b/>
                <w:bCs/>
                <w:sz w:val="20"/>
              </w:rPr>
            </w:pPr>
            <w:r w:rsidRPr="00B76C09">
              <w:rPr>
                <w:b/>
                <w:bCs/>
                <w:sz w:val="20"/>
              </w:rPr>
              <w:t>RA</w:t>
            </w:r>
          </w:p>
        </w:tc>
        <w:tc>
          <w:tcPr>
            <w:tcW w:w="7668" w:type="dxa"/>
          </w:tcPr>
          <w:p w14:paraId="580C5537" w14:textId="77777777" w:rsidR="00DF48BB" w:rsidRPr="00B76C09" w:rsidRDefault="00DF48BB" w:rsidP="00EB171C">
            <w:pPr>
              <w:spacing w:before="40" w:after="40"/>
              <w:jc w:val="left"/>
              <w:rPr>
                <w:sz w:val="20"/>
              </w:rPr>
            </w:pPr>
            <w:r w:rsidRPr="00B76C09">
              <w:rPr>
                <w:sz w:val="20"/>
              </w:rPr>
              <w:t>Радиоастрономия</w:t>
            </w:r>
          </w:p>
        </w:tc>
      </w:tr>
      <w:tr w:rsidR="00DF48BB" w:rsidRPr="00B76C09" w14:paraId="5CEB6070" w14:textId="77777777" w:rsidTr="00520E77">
        <w:trPr>
          <w:jc w:val="center"/>
        </w:trPr>
        <w:tc>
          <w:tcPr>
            <w:tcW w:w="1188" w:type="dxa"/>
          </w:tcPr>
          <w:p w14:paraId="3C0E122F" w14:textId="77777777" w:rsidR="00DF48BB" w:rsidRPr="00B76C09" w:rsidRDefault="00DF48BB" w:rsidP="00EB171C">
            <w:pPr>
              <w:spacing w:before="40" w:after="40"/>
              <w:rPr>
                <w:b/>
                <w:bCs/>
                <w:sz w:val="20"/>
              </w:rPr>
            </w:pPr>
            <w:r w:rsidRPr="00B76C09">
              <w:rPr>
                <w:b/>
                <w:bCs/>
                <w:sz w:val="20"/>
              </w:rPr>
              <w:t>RS</w:t>
            </w:r>
          </w:p>
        </w:tc>
        <w:tc>
          <w:tcPr>
            <w:tcW w:w="7668" w:type="dxa"/>
          </w:tcPr>
          <w:p w14:paraId="02DC6A6C" w14:textId="77777777" w:rsidR="00DF48BB" w:rsidRPr="00B76C09" w:rsidRDefault="00DF48BB" w:rsidP="00EB171C">
            <w:pPr>
              <w:spacing w:before="40" w:after="40"/>
              <w:jc w:val="left"/>
              <w:rPr>
                <w:sz w:val="20"/>
              </w:rPr>
            </w:pPr>
            <w:r w:rsidRPr="00B76C09">
              <w:rPr>
                <w:sz w:val="20"/>
              </w:rPr>
              <w:t>Системы дистанционного зондирования</w:t>
            </w:r>
          </w:p>
        </w:tc>
      </w:tr>
      <w:tr w:rsidR="00DF48BB" w:rsidRPr="00B76C09" w14:paraId="5EEAFFE4" w14:textId="77777777" w:rsidTr="00520E77">
        <w:trPr>
          <w:jc w:val="center"/>
        </w:trPr>
        <w:tc>
          <w:tcPr>
            <w:tcW w:w="1188" w:type="dxa"/>
          </w:tcPr>
          <w:p w14:paraId="4CDF932A" w14:textId="77777777" w:rsidR="00DF48BB" w:rsidRPr="00B76C09" w:rsidRDefault="00DF48BB" w:rsidP="00EB171C">
            <w:pPr>
              <w:spacing w:before="40" w:after="40"/>
              <w:rPr>
                <w:b/>
                <w:bCs/>
                <w:sz w:val="20"/>
              </w:rPr>
            </w:pPr>
            <w:r w:rsidRPr="00B76C09">
              <w:rPr>
                <w:b/>
                <w:bCs/>
                <w:sz w:val="20"/>
              </w:rPr>
              <w:t>S</w:t>
            </w:r>
          </w:p>
        </w:tc>
        <w:tc>
          <w:tcPr>
            <w:tcW w:w="7668" w:type="dxa"/>
          </w:tcPr>
          <w:p w14:paraId="381D8102" w14:textId="77777777" w:rsidR="00DF48BB" w:rsidRPr="00B76C09" w:rsidRDefault="00DF48BB" w:rsidP="00EB171C">
            <w:pPr>
              <w:spacing w:before="40" w:after="40"/>
              <w:jc w:val="left"/>
              <w:rPr>
                <w:sz w:val="20"/>
              </w:rPr>
            </w:pPr>
            <w:r w:rsidRPr="00B76C09">
              <w:rPr>
                <w:sz w:val="20"/>
              </w:rPr>
              <w:t>Фиксированная спутниковая служба</w:t>
            </w:r>
          </w:p>
        </w:tc>
      </w:tr>
      <w:tr w:rsidR="00DF48BB" w:rsidRPr="00B76C09" w14:paraId="66753B7F" w14:textId="77777777" w:rsidTr="00520E77">
        <w:trPr>
          <w:jc w:val="center"/>
        </w:trPr>
        <w:tc>
          <w:tcPr>
            <w:tcW w:w="1188" w:type="dxa"/>
            <w:shd w:val="clear" w:color="auto" w:fill="auto"/>
          </w:tcPr>
          <w:p w14:paraId="7867C9AE" w14:textId="77777777" w:rsidR="00DF48BB" w:rsidRPr="00B76C09" w:rsidRDefault="00DF48BB" w:rsidP="00EB171C">
            <w:pPr>
              <w:spacing w:before="40" w:after="40"/>
              <w:rPr>
                <w:b/>
                <w:bCs/>
                <w:sz w:val="20"/>
              </w:rPr>
            </w:pPr>
            <w:r w:rsidRPr="00B76C09">
              <w:rPr>
                <w:b/>
                <w:bCs/>
                <w:sz w:val="20"/>
              </w:rPr>
              <w:t>SA</w:t>
            </w:r>
          </w:p>
        </w:tc>
        <w:tc>
          <w:tcPr>
            <w:tcW w:w="7668" w:type="dxa"/>
            <w:shd w:val="clear" w:color="auto" w:fill="auto"/>
          </w:tcPr>
          <w:p w14:paraId="40B12214" w14:textId="77777777" w:rsidR="00DF48BB" w:rsidRPr="00B76C09" w:rsidRDefault="00DF48BB" w:rsidP="00EB171C">
            <w:pPr>
              <w:spacing w:before="40" w:after="40"/>
              <w:jc w:val="left"/>
              <w:rPr>
                <w:sz w:val="20"/>
              </w:rPr>
            </w:pPr>
            <w:r w:rsidRPr="00B76C09">
              <w:rPr>
                <w:sz w:val="20"/>
              </w:rPr>
              <w:t>Космические применения и метеорология</w:t>
            </w:r>
          </w:p>
        </w:tc>
      </w:tr>
      <w:tr w:rsidR="00DF48BB" w:rsidRPr="00B76C09" w14:paraId="3B0869D7" w14:textId="77777777" w:rsidTr="00520E77">
        <w:trPr>
          <w:jc w:val="center"/>
        </w:trPr>
        <w:tc>
          <w:tcPr>
            <w:tcW w:w="1188" w:type="dxa"/>
          </w:tcPr>
          <w:p w14:paraId="3A7855FF" w14:textId="77777777" w:rsidR="00DF48BB" w:rsidRPr="00B76C09" w:rsidRDefault="00DF48BB" w:rsidP="00EB171C">
            <w:pPr>
              <w:spacing w:before="40" w:after="40"/>
              <w:rPr>
                <w:b/>
                <w:bCs/>
                <w:sz w:val="20"/>
              </w:rPr>
            </w:pPr>
            <w:r w:rsidRPr="00B76C09">
              <w:rPr>
                <w:b/>
                <w:bCs/>
                <w:sz w:val="20"/>
              </w:rPr>
              <w:t>SF</w:t>
            </w:r>
          </w:p>
        </w:tc>
        <w:tc>
          <w:tcPr>
            <w:tcW w:w="7668" w:type="dxa"/>
          </w:tcPr>
          <w:p w14:paraId="3587EFD4" w14:textId="77777777" w:rsidR="00DF48BB" w:rsidRPr="00B76C09" w:rsidRDefault="00DF48BB" w:rsidP="00EB171C">
            <w:pPr>
              <w:spacing w:before="40" w:after="40"/>
              <w:jc w:val="left"/>
              <w:rPr>
                <w:sz w:val="20"/>
              </w:rPr>
            </w:pPr>
            <w:r w:rsidRPr="00B76C09">
              <w:rPr>
                <w:sz w:val="20"/>
              </w:rPr>
              <w:t>Совместное использование частот и координация между системами фиксированной спутниковой службы и фиксированной службы</w:t>
            </w:r>
          </w:p>
        </w:tc>
      </w:tr>
      <w:tr w:rsidR="00DF48BB" w:rsidRPr="00B76C09" w14:paraId="50E6072E" w14:textId="77777777" w:rsidTr="00520E77">
        <w:trPr>
          <w:jc w:val="center"/>
        </w:trPr>
        <w:tc>
          <w:tcPr>
            <w:tcW w:w="1188" w:type="dxa"/>
            <w:shd w:val="clear" w:color="auto" w:fill="auto"/>
          </w:tcPr>
          <w:p w14:paraId="4CD11E11" w14:textId="77777777" w:rsidR="00DF48BB" w:rsidRPr="00B76C09" w:rsidRDefault="00DF48BB" w:rsidP="00EB171C">
            <w:pPr>
              <w:spacing w:before="40" w:after="40"/>
              <w:rPr>
                <w:b/>
                <w:bCs/>
                <w:sz w:val="20"/>
              </w:rPr>
            </w:pPr>
            <w:r w:rsidRPr="00B76C09">
              <w:rPr>
                <w:b/>
                <w:bCs/>
                <w:sz w:val="20"/>
              </w:rPr>
              <w:t>SM</w:t>
            </w:r>
          </w:p>
        </w:tc>
        <w:tc>
          <w:tcPr>
            <w:tcW w:w="7668" w:type="dxa"/>
            <w:shd w:val="clear" w:color="auto" w:fill="auto"/>
          </w:tcPr>
          <w:p w14:paraId="0D7B5E87" w14:textId="77777777" w:rsidR="00DF48BB" w:rsidRPr="00B76C09" w:rsidRDefault="00DF48BB" w:rsidP="00EB171C">
            <w:pPr>
              <w:spacing w:before="40" w:after="40"/>
              <w:jc w:val="left"/>
              <w:rPr>
                <w:sz w:val="20"/>
              </w:rPr>
            </w:pPr>
            <w:r w:rsidRPr="00B76C09">
              <w:rPr>
                <w:sz w:val="20"/>
              </w:rPr>
              <w:t>Управление использованием спектра</w:t>
            </w:r>
          </w:p>
        </w:tc>
      </w:tr>
      <w:tr w:rsidR="00DF48BB" w:rsidRPr="00B76C09" w14:paraId="0542C61C" w14:textId="77777777" w:rsidTr="00520E77">
        <w:trPr>
          <w:jc w:val="center"/>
        </w:trPr>
        <w:tc>
          <w:tcPr>
            <w:tcW w:w="1188" w:type="dxa"/>
          </w:tcPr>
          <w:p w14:paraId="23AE5B03" w14:textId="77777777" w:rsidR="00DF48BB" w:rsidRPr="00B76C09" w:rsidRDefault="00DF48BB" w:rsidP="00EB171C">
            <w:pPr>
              <w:spacing w:before="40" w:after="40"/>
              <w:rPr>
                <w:b/>
                <w:bCs/>
                <w:sz w:val="20"/>
              </w:rPr>
            </w:pPr>
            <w:r w:rsidRPr="00B76C09">
              <w:rPr>
                <w:b/>
                <w:bCs/>
                <w:sz w:val="20"/>
              </w:rPr>
              <w:t>SNG</w:t>
            </w:r>
          </w:p>
        </w:tc>
        <w:tc>
          <w:tcPr>
            <w:tcW w:w="7668" w:type="dxa"/>
          </w:tcPr>
          <w:p w14:paraId="72E639C2" w14:textId="77777777" w:rsidR="00DF48BB" w:rsidRPr="00B76C09" w:rsidRDefault="00DF48BB" w:rsidP="00EB171C">
            <w:pPr>
              <w:spacing w:before="40" w:after="40"/>
              <w:jc w:val="left"/>
              <w:rPr>
                <w:sz w:val="20"/>
              </w:rPr>
            </w:pPr>
            <w:r w:rsidRPr="00B76C09">
              <w:rPr>
                <w:sz w:val="20"/>
              </w:rPr>
              <w:t>Спутниковый сбор новостей</w:t>
            </w:r>
          </w:p>
        </w:tc>
      </w:tr>
      <w:tr w:rsidR="00DF48BB" w:rsidRPr="00B76C09" w14:paraId="702F51AB" w14:textId="77777777" w:rsidTr="00520E77">
        <w:trPr>
          <w:jc w:val="center"/>
        </w:trPr>
        <w:tc>
          <w:tcPr>
            <w:tcW w:w="1188" w:type="dxa"/>
          </w:tcPr>
          <w:p w14:paraId="6DB6D2BF" w14:textId="77777777" w:rsidR="00DF48BB" w:rsidRPr="00B76C09" w:rsidRDefault="00DF48BB" w:rsidP="00EB171C">
            <w:pPr>
              <w:spacing w:before="40" w:after="40"/>
              <w:rPr>
                <w:b/>
                <w:bCs/>
                <w:sz w:val="20"/>
              </w:rPr>
            </w:pPr>
            <w:r w:rsidRPr="00B76C09">
              <w:rPr>
                <w:b/>
                <w:bCs/>
                <w:sz w:val="20"/>
              </w:rPr>
              <w:t>TF</w:t>
            </w:r>
          </w:p>
        </w:tc>
        <w:tc>
          <w:tcPr>
            <w:tcW w:w="7668" w:type="dxa"/>
          </w:tcPr>
          <w:p w14:paraId="19BFDA88" w14:textId="77777777" w:rsidR="00DF48BB" w:rsidRPr="00B76C09" w:rsidRDefault="00DF48BB" w:rsidP="00EB171C">
            <w:pPr>
              <w:spacing w:before="40" w:after="40"/>
              <w:jc w:val="left"/>
              <w:rPr>
                <w:sz w:val="20"/>
              </w:rPr>
            </w:pPr>
            <w:r w:rsidRPr="00B76C09">
              <w:rPr>
                <w:sz w:val="20"/>
              </w:rPr>
              <w:t>Передача сигналов времени и эталонных частот</w:t>
            </w:r>
          </w:p>
        </w:tc>
      </w:tr>
      <w:tr w:rsidR="00DF48BB" w:rsidRPr="00B76C09" w14:paraId="55B30AF4" w14:textId="77777777" w:rsidTr="00520E77">
        <w:trPr>
          <w:jc w:val="center"/>
        </w:trPr>
        <w:tc>
          <w:tcPr>
            <w:tcW w:w="1188" w:type="dxa"/>
          </w:tcPr>
          <w:p w14:paraId="625D0B26" w14:textId="77777777" w:rsidR="00DF48BB" w:rsidRPr="00B76C09" w:rsidRDefault="00DF48BB" w:rsidP="00EB171C">
            <w:pPr>
              <w:spacing w:before="40" w:after="40"/>
              <w:rPr>
                <w:b/>
                <w:bCs/>
                <w:sz w:val="20"/>
              </w:rPr>
            </w:pPr>
            <w:r w:rsidRPr="00B76C09">
              <w:rPr>
                <w:b/>
                <w:bCs/>
                <w:sz w:val="20"/>
              </w:rPr>
              <w:t>V</w:t>
            </w:r>
          </w:p>
        </w:tc>
        <w:tc>
          <w:tcPr>
            <w:tcW w:w="7668" w:type="dxa"/>
          </w:tcPr>
          <w:p w14:paraId="26819EBA" w14:textId="77777777" w:rsidR="00DF48BB" w:rsidRPr="00B76C09" w:rsidRDefault="00DF48BB" w:rsidP="00EB171C">
            <w:pPr>
              <w:spacing w:before="40" w:after="180"/>
              <w:jc w:val="left"/>
              <w:rPr>
                <w:sz w:val="20"/>
              </w:rPr>
            </w:pPr>
            <w:r w:rsidRPr="00B76C09">
              <w:rPr>
                <w:sz w:val="20"/>
              </w:rPr>
              <w:t>Словарь и связанные с ним вопросы</w:t>
            </w:r>
          </w:p>
        </w:tc>
      </w:tr>
    </w:tbl>
    <w:p w14:paraId="23157806" w14:textId="77777777" w:rsidR="00131900" w:rsidRPr="00B76C09" w:rsidRDefault="00131900" w:rsidP="0013190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rFonts w:eastAsia="SimSun"/>
          <w:szCs w:val="24"/>
          <w:lang w:eastAsia="zh-CN"/>
        </w:rPr>
      </w:pPr>
    </w:p>
    <w:tbl>
      <w:tblPr>
        <w:tblW w:w="0" w:type="auto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ook w:val="04A0" w:firstRow="1" w:lastRow="0" w:firstColumn="1" w:lastColumn="0" w:noHBand="0" w:noVBand="1"/>
      </w:tblPr>
      <w:tblGrid>
        <w:gridCol w:w="8856"/>
      </w:tblGrid>
      <w:tr w:rsidR="00131900" w:rsidRPr="00B76C09" w14:paraId="6322B5F9" w14:textId="77777777" w:rsidTr="00520E77">
        <w:trPr>
          <w:jc w:val="center"/>
        </w:trPr>
        <w:tc>
          <w:tcPr>
            <w:tcW w:w="8856" w:type="dxa"/>
          </w:tcPr>
          <w:p w14:paraId="09AA3E3F" w14:textId="77777777" w:rsidR="00131900" w:rsidRPr="00B76C09" w:rsidRDefault="00131900" w:rsidP="001D53F9">
            <w:pPr>
              <w:spacing w:after="120"/>
              <w:jc w:val="left"/>
              <w:rPr>
                <w:rFonts w:eastAsia="SimSun"/>
                <w:i/>
                <w:iCs/>
                <w:sz w:val="20"/>
                <w:lang w:eastAsia="zh-CN"/>
              </w:rPr>
            </w:pPr>
            <w:r w:rsidRPr="00B76C09">
              <w:rPr>
                <w:b/>
                <w:bCs/>
                <w:i/>
                <w:iCs/>
                <w:sz w:val="20"/>
              </w:rPr>
              <w:t>Примечание</w:t>
            </w:r>
            <w:r w:rsidRPr="00B76C09">
              <w:rPr>
                <w:i/>
                <w:iCs/>
                <w:sz w:val="20"/>
              </w:rPr>
              <w:t>. – Настоящая Рекомендация МСЭ-R утверждена на английском языке в</w:t>
            </w:r>
            <w:r w:rsidR="000F09B1" w:rsidRPr="00B76C09">
              <w:rPr>
                <w:i/>
                <w:iCs/>
                <w:sz w:val="20"/>
              </w:rPr>
              <w:t> </w:t>
            </w:r>
            <w:r w:rsidRPr="00B76C09">
              <w:rPr>
                <w:i/>
                <w:iCs/>
                <w:sz w:val="20"/>
              </w:rPr>
              <w:t>соответствии с процедурой, изложенной в Резолюции МСЭ-R</w:t>
            </w:r>
            <w:r w:rsidR="001D53F9" w:rsidRPr="00B76C09">
              <w:rPr>
                <w:i/>
                <w:iCs/>
                <w:sz w:val="20"/>
              </w:rPr>
              <w:t xml:space="preserve"> 1</w:t>
            </w:r>
            <w:r w:rsidRPr="00B76C09">
              <w:rPr>
                <w:i/>
                <w:iCs/>
                <w:sz w:val="20"/>
              </w:rPr>
              <w:t>.</w:t>
            </w:r>
          </w:p>
        </w:tc>
      </w:tr>
    </w:tbl>
    <w:p w14:paraId="45AC0F69" w14:textId="23735F79" w:rsidR="00131900" w:rsidRPr="00B76C09" w:rsidRDefault="00131900" w:rsidP="00652125">
      <w:pPr>
        <w:spacing w:before="360"/>
        <w:jc w:val="right"/>
        <w:rPr>
          <w:sz w:val="20"/>
        </w:rPr>
      </w:pPr>
      <w:r w:rsidRPr="00B76C09">
        <w:rPr>
          <w:i/>
          <w:iCs/>
          <w:sz w:val="20"/>
        </w:rPr>
        <w:t>Электронная публикация</w:t>
      </w:r>
      <w:r w:rsidRPr="00B76C09">
        <w:rPr>
          <w:i/>
          <w:iCs/>
          <w:sz w:val="20"/>
        </w:rPr>
        <w:br/>
      </w:r>
      <w:r w:rsidRPr="00B76C09">
        <w:rPr>
          <w:sz w:val="20"/>
        </w:rPr>
        <w:t>Женева, 20</w:t>
      </w:r>
      <w:r w:rsidR="009E7C05" w:rsidRPr="00B76C09">
        <w:rPr>
          <w:sz w:val="20"/>
        </w:rPr>
        <w:t>2</w:t>
      </w:r>
      <w:r w:rsidR="00805C36" w:rsidRPr="00B76C09">
        <w:rPr>
          <w:sz w:val="20"/>
        </w:rPr>
        <w:t>5</w:t>
      </w:r>
      <w:r w:rsidRPr="00B76C09">
        <w:rPr>
          <w:sz w:val="20"/>
        </w:rPr>
        <w:t xml:space="preserve"> г.</w:t>
      </w:r>
    </w:p>
    <w:p w14:paraId="74D815F1" w14:textId="575D1D7F" w:rsidR="00CB5488" w:rsidRPr="00B76C09" w:rsidRDefault="00CB5488" w:rsidP="00652125">
      <w:pPr>
        <w:jc w:val="center"/>
        <w:rPr>
          <w:sz w:val="20"/>
        </w:rPr>
      </w:pPr>
      <w:r w:rsidRPr="00B76C09">
        <w:rPr>
          <w:sz w:val="20"/>
        </w:rPr>
        <w:sym w:font="Symbol" w:char="F0E3"/>
      </w:r>
      <w:r w:rsidRPr="00B76C09">
        <w:rPr>
          <w:sz w:val="20"/>
        </w:rPr>
        <w:t xml:space="preserve"> ITU </w:t>
      </w:r>
      <w:bookmarkStart w:id="2" w:name="iiannee"/>
      <w:bookmarkEnd w:id="2"/>
      <w:r w:rsidRPr="00B76C09">
        <w:rPr>
          <w:sz w:val="20"/>
        </w:rPr>
        <w:t>20</w:t>
      </w:r>
      <w:r w:rsidR="009E7C05" w:rsidRPr="00B76C09">
        <w:rPr>
          <w:sz w:val="20"/>
        </w:rPr>
        <w:t>2</w:t>
      </w:r>
      <w:r w:rsidR="00805C36" w:rsidRPr="00B76C09">
        <w:rPr>
          <w:sz w:val="20"/>
        </w:rPr>
        <w:t>5</w:t>
      </w:r>
    </w:p>
    <w:p w14:paraId="20CEC6D9" w14:textId="77777777" w:rsidR="00CB5488" w:rsidRPr="00B76C09" w:rsidRDefault="00131900" w:rsidP="00CB5488">
      <w:pPr>
        <w:rPr>
          <w:i/>
          <w:sz w:val="20"/>
        </w:rPr>
      </w:pPr>
      <w:r w:rsidRPr="00B76C09">
        <w:rPr>
          <w:sz w:val="20"/>
        </w:rPr>
        <w:t>Все права сохранены. Ни одна из частей данной публикации не может быть воспроизведена с помощью каких бы то ни было средств без предварительного письменного разрешения МСЭ.</w:t>
      </w:r>
    </w:p>
    <w:p w14:paraId="37AF35E5" w14:textId="77777777" w:rsidR="00CB5488" w:rsidRPr="00B76C09" w:rsidRDefault="00CB5488" w:rsidP="00CB5488">
      <w:pPr>
        <w:spacing w:before="160"/>
        <w:rPr>
          <w:i/>
          <w:sz w:val="20"/>
        </w:rPr>
        <w:sectPr w:rsidR="00CB5488" w:rsidRPr="00B76C09" w:rsidSect="002058CE">
          <w:headerReference w:type="even" r:id="rId13"/>
          <w:headerReference w:type="default" r:id="rId14"/>
          <w:footerReference w:type="even" r:id="rId15"/>
          <w:pgSz w:w="11907" w:h="16834" w:code="9"/>
          <w:pgMar w:top="1418" w:right="1134" w:bottom="1134" w:left="1134" w:header="720" w:footer="482" w:gutter="0"/>
          <w:paperSrc w:first="15" w:other="15"/>
          <w:pgNumType w:fmt="lowerRoman" w:start="2"/>
          <w:cols w:space="720"/>
        </w:sectPr>
      </w:pPr>
    </w:p>
    <w:p w14:paraId="6A38D660" w14:textId="77777777" w:rsidR="008F1F77" w:rsidRPr="00B76C09" w:rsidRDefault="000F09B1" w:rsidP="008F1F77">
      <w:pPr>
        <w:pStyle w:val="RecNo"/>
        <w:spacing w:before="0"/>
      </w:pPr>
      <w:bookmarkStart w:id="3" w:name="irecnoe"/>
      <w:bookmarkEnd w:id="3"/>
      <w:r w:rsidRPr="00B76C09">
        <w:lastRenderedPageBreak/>
        <w:t xml:space="preserve">РЕКОМЕНДАЦИЯ  </w:t>
      </w:r>
      <w:r w:rsidRPr="00B76C09">
        <w:rPr>
          <w:rStyle w:val="href"/>
        </w:rPr>
        <w:t xml:space="preserve">МСЭ-R  </w:t>
      </w:r>
      <w:r w:rsidR="008F1F77" w:rsidRPr="00B76C09">
        <w:rPr>
          <w:rStyle w:val="href"/>
          <w:szCs w:val="26"/>
        </w:rPr>
        <w:t>BT.2166-0</w:t>
      </w:r>
    </w:p>
    <w:p w14:paraId="2185086E" w14:textId="77777777" w:rsidR="008F1F77" w:rsidRPr="00B76C09" w:rsidRDefault="008F1F77" w:rsidP="008F1F77">
      <w:pPr>
        <w:pStyle w:val="Rectitle"/>
        <w:rPr>
          <w:szCs w:val="26"/>
        </w:rPr>
      </w:pPr>
      <w:r w:rsidRPr="00B76C09">
        <w:rPr>
          <w:bCs/>
        </w:rPr>
        <w:t>Условия просмотра для мониторинга расположенных рядом изображений с большим динамическим диапазоном и стандартным динамическим диапазоном в среде производства программ большого динамического диапазона с одной мастер-копией</w:t>
      </w:r>
      <w:r w:rsidRPr="00B76C09">
        <w:rPr>
          <w:rStyle w:val="FootnoteReference"/>
        </w:rPr>
        <w:footnoteReference w:id="1"/>
      </w:r>
    </w:p>
    <w:p w14:paraId="07A1187D" w14:textId="77777777" w:rsidR="008F1F77" w:rsidRPr="00B76C09" w:rsidRDefault="008F1F77" w:rsidP="008F1F77">
      <w:pPr>
        <w:pStyle w:val="Recdate"/>
      </w:pPr>
      <w:r w:rsidRPr="00B76C09">
        <w:t>(</w:t>
      </w:r>
      <w:r w:rsidRPr="00B76C09">
        <w:rPr>
          <w:lang w:eastAsia="ja-JP"/>
        </w:rPr>
        <w:t>2025</w:t>
      </w:r>
      <w:r w:rsidRPr="00B76C09">
        <w:t>)</w:t>
      </w:r>
    </w:p>
    <w:p w14:paraId="4A35338C" w14:textId="77777777" w:rsidR="008F1F77" w:rsidRPr="00B76C09" w:rsidRDefault="008F1F77" w:rsidP="008F1F77">
      <w:pPr>
        <w:pStyle w:val="Headingb"/>
      </w:pPr>
      <w:bookmarkStart w:id="4" w:name="_Hlk206581985"/>
      <w:r w:rsidRPr="00B76C09">
        <w:t>Сфера применения</w:t>
      </w:r>
    </w:p>
    <w:p w14:paraId="76076E47" w14:textId="77777777" w:rsidR="008F1F77" w:rsidRPr="00B76C09" w:rsidRDefault="008F1F77" w:rsidP="008F1F77">
      <w:r w:rsidRPr="00B76C09">
        <w:t>В настоящей Рекомендации определены рекомендуемые условия просмотра, подходящие для использования при производстве программ большого динамического диапазона (HDR) с одной мастер-копией, когда изображения со стандартным динамическим диапазоном (SDR) и изображения HDR находятся рядом.</w:t>
      </w:r>
    </w:p>
    <w:bookmarkEnd w:id="4"/>
    <w:p w14:paraId="161E93A1" w14:textId="77777777" w:rsidR="008F1F77" w:rsidRPr="00B76C09" w:rsidRDefault="008F1F77" w:rsidP="008F1F77">
      <w:pPr>
        <w:pStyle w:val="Headingb"/>
      </w:pPr>
      <w:r w:rsidRPr="00B76C09">
        <w:rPr>
          <w:bCs/>
        </w:rPr>
        <w:t>Ключевые слова</w:t>
      </w:r>
    </w:p>
    <w:p w14:paraId="2E124874" w14:textId="77777777" w:rsidR="008F1F77" w:rsidRPr="00B76C09" w:rsidRDefault="008F1F77" w:rsidP="008F1F77">
      <w:r w:rsidRPr="00B76C09">
        <w:t>Одна мастер-копия, стандартный динамический диапазон (SDR), большой динамический диапазон (HDR), телевидение HDR (HDR-TV), производство телевизионных программ, международный обмен программами, перцептивное квантование (PQ), гибридная гамма-логарифмическая коррекция (HLG), среда просмотра</w:t>
      </w:r>
    </w:p>
    <w:p w14:paraId="0E725021" w14:textId="77777777" w:rsidR="008F1F77" w:rsidRPr="00B76C09" w:rsidRDefault="008F1F77" w:rsidP="008F1F77">
      <w:pPr>
        <w:pStyle w:val="Normalaftertitle"/>
        <w:rPr>
          <w:szCs w:val="24"/>
        </w:rPr>
      </w:pPr>
      <w:r w:rsidRPr="00B76C09">
        <w:t>Ассамблея радиосвязи МСЭ,</w:t>
      </w:r>
    </w:p>
    <w:p w14:paraId="5278A820" w14:textId="77777777" w:rsidR="008F1F77" w:rsidRPr="00B76C09" w:rsidRDefault="008F1F77" w:rsidP="008F1F77">
      <w:pPr>
        <w:pStyle w:val="Call"/>
      </w:pPr>
      <w:r w:rsidRPr="00B76C09">
        <w:rPr>
          <w:iCs/>
        </w:rPr>
        <w:t>учитывая</w:t>
      </w:r>
      <w:r w:rsidRPr="00B76C09">
        <w:rPr>
          <w:i w:val="0"/>
        </w:rPr>
        <w:t>,</w:t>
      </w:r>
    </w:p>
    <w:p w14:paraId="79D6BEEB" w14:textId="77777777" w:rsidR="008F1F77" w:rsidRPr="00B76C09" w:rsidRDefault="008F1F77" w:rsidP="008F1F77">
      <w:r w:rsidRPr="00B76C09">
        <w:rPr>
          <w:i/>
          <w:iCs/>
        </w:rPr>
        <w:t>a)</w:t>
      </w:r>
      <w:r w:rsidRPr="00B76C09">
        <w:tab/>
        <w:t>что производство программ HDR с одной мастер-копией, при котором основное производство осуществляется в формате HDR, а формат SDR получается путем понижающего преобразования, нередко используется из соображений эффективности;</w:t>
      </w:r>
    </w:p>
    <w:p w14:paraId="3E6741C5" w14:textId="77777777" w:rsidR="008F1F77" w:rsidRPr="00B76C09" w:rsidRDefault="008F1F77" w:rsidP="008F1F77">
      <w:r w:rsidRPr="00B76C09">
        <w:rPr>
          <w:i/>
          <w:iCs/>
        </w:rPr>
        <w:t>b)</w:t>
      </w:r>
      <w:r w:rsidRPr="00B76C09">
        <w:tab/>
        <w:t>что при производстве программ HDR с одной мастер-копией зачастую неизбежен просмотр расположенных рядом изображений HDR и SDR;</w:t>
      </w:r>
    </w:p>
    <w:p w14:paraId="1A52FAE9" w14:textId="77777777" w:rsidR="008F1F77" w:rsidRPr="00B76C09" w:rsidRDefault="008F1F77" w:rsidP="008F1F77">
      <w:r w:rsidRPr="00B76C09">
        <w:rPr>
          <w:i/>
          <w:iCs/>
        </w:rPr>
        <w:t>c)</w:t>
      </w:r>
      <w:r w:rsidRPr="00B76C09">
        <w:tab/>
        <w:t>что в соответствующих эталонных условиях просмотра изображения HDR будут значительно более яркими, чем изображения SDR;</w:t>
      </w:r>
    </w:p>
    <w:p w14:paraId="7C707609" w14:textId="77777777" w:rsidR="008F1F77" w:rsidRPr="00B76C09" w:rsidRDefault="008F1F77" w:rsidP="008F1F77">
      <w:r w:rsidRPr="00B76C09">
        <w:rPr>
          <w:i/>
          <w:iCs/>
        </w:rPr>
        <w:t>d)</w:t>
      </w:r>
      <w:r w:rsidRPr="00B76C09">
        <w:tab/>
        <w:t>что просмотр расположенных рядом изображений приведет к проблеме с адаптацией зрения, если не будет установлен единый уровень белого для воспроизводимых изображений HDR и SDR;</w:t>
      </w:r>
    </w:p>
    <w:p w14:paraId="016D3CB9" w14:textId="77777777" w:rsidR="008F1F77" w:rsidRPr="00B76C09" w:rsidRDefault="008F1F77" w:rsidP="008F1F77">
      <w:r w:rsidRPr="00B76C09">
        <w:rPr>
          <w:i/>
          <w:iCs/>
        </w:rPr>
        <w:t>e)</w:t>
      </w:r>
      <w:r w:rsidRPr="00B76C09">
        <w:tab/>
        <w:t>что единый уровень белого может быть получен путем повышения уровня яркости SDR или снижения уровня яркости HDR относительно соответствующих опорных значений;</w:t>
      </w:r>
    </w:p>
    <w:p w14:paraId="56BF25A6" w14:textId="77777777" w:rsidR="008F1F77" w:rsidRPr="00B76C09" w:rsidRDefault="008F1F77" w:rsidP="008F1F77">
      <w:r w:rsidRPr="00B76C09">
        <w:rPr>
          <w:i/>
          <w:iCs/>
        </w:rPr>
        <w:t>f)</w:t>
      </w:r>
      <w:r w:rsidRPr="00B76C09">
        <w:tab/>
        <w:t>что при мониторинге расположенных рядом изображений SDR и HDR условия окружения будут одинаковыми;</w:t>
      </w:r>
    </w:p>
    <w:p w14:paraId="7E144418" w14:textId="77777777" w:rsidR="008F1F77" w:rsidRPr="00B76C09" w:rsidRDefault="008F1F77" w:rsidP="008F1F77">
      <w:r w:rsidRPr="00B76C09">
        <w:rPr>
          <w:i/>
          <w:iCs/>
        </w:rPr>
        <w:t>g)</w:t>
      </w:r>
      <w:r w:rsidRPr="00B76C09">
        <w:tab/>
        <w:t>что в аппаратных для производства программ SDR, как правило, используются уровни яркости окружения, аналогичные уровням в Рекомендации МСЭ-R BT.2100, которые отличаются от уровней, указанных в Рекомендации МСЭ-R BT.2035,</w:t>
      </w:r>
    </w:p>
    <w:p w14:paraId="6A853C82" w14:textId="77777777" w:rsidR="008F1F77" w:rsidRPr="00B76C09" w:rsidRDefault="008F1F77" w:rsidP="008F1F77">
      <w:pPr>
        <w:pStyle w:val="Call"/>
      </w:pPr>
      <w:r w:rsidRPr="00B76C09">
        <w:rPr>
          <w:iCs/>
        </w:rPr>
        <w:t>признавая</w:t>
      </w:r>
      <w:r w:rsidRPr="00B76C09">
        <w:rPr>
          <w:i w:val="0"/>
        </w:rPr>
        <w:t>,</w:t>
      </w:r>
    </w:p>
    <w:p w14:paraId="146F47BB" w14:textId="77777777" w:rsidR="008F1F77" w:rsidRPr="00B76C09" w:rsidRDefault="008F1F77" w:rsidP="008F1F77">
      <w:r w:rsidRPr="00B76C09">
        <w:rPr>
          <w:i/>
          <w:iCs/>
        </w:rPr>
        <w:t>a)</w:t>
      </w:r>
      <w:r w:rsidRPr="00B76C09">
        <w:tab/>
        <w:t>что в Рекомендации МСЭ-R BT.2035 определен опорный уровень белого для SDR, равный 100 кд/м</w:t>
      </w:r>
      <w:r w:rsidRPr="00B76C09">
        <w:rPr>
          <w:vertAlign w:val="superscript"/>
        </w:rPr>
        <w:t>2</w:t>
      </w:r>
      <w:r w:rsidRPr="00B76C09">
        <w:t>;</w:t>
      </w:r>
    </w:p>
    <w:p w14:paraId="0C1F981E" w14:textId="77777777" w:rsidR="008F1F77" w:rsidRPr="00B76C09" w:rsidRDefault="008F1F77" w:rsidP="008F1F77">
      <w:r w:rsidRPr="00B76C09">
        <w:rPr>
          <w:i/>
          <w:iCs/>
        </w:rPr>
        <w:t>b)</w:t>
      </w:r>
      <w:r w:rsidRPr="00B76C09">
        <w:tab/>
        <w:t>что в Рекомендации МСЭ-R BT.2100 определен пиковый уровень яркости ≥ 1000 кд/м</w:t>
      </w:r>
      <w:r w:rsidRPr="00B76C09">
        <w:rPr>
          <w:vertAlign w:val="superscript"/>
        </w:rPr>
        <w:t>2</w:t>
      </w:r>
      <w:r w:rsidRPr="00B76C09">
        <w:t xml:space="preserve"> для эталонного монитора и оценки HDR;</w:t>
      </w:r>
    </w:p>
    <w:p w14:paraId="331B7FCE" w14:textId="77777777" w:rsidR="008F1F77" w:rsidRPr="00B76C09" w:rsidRDefault="008F1F77" w:rsidP="008F1F77">
      <w:r w:rsidRPr="00B76C09">
        <w:rPr>
          <w:i/>
          <w:iCs/>
        </w:rPr>
        <w:lastRenderedPageBreak/>
        <w:t>c)</w:t>
      </w:r>
      <w:r w:rsidRPr="00B76C09">
        <w:tab/>
        <w:t>что в Отчете МСЭ-R BT.2408 указан опорный уровень белого для HDR, равный 203 кд/м</w:t>
      </w:r>
      <w:r w:rsidRPr="00B76C09">
        <w:rPr>
          <w:vertAlign w:val="superscript"/>
        </w:rPr>
        <w:t>2</w:t>
      </w:r>
      <w:r w:rsidRPr="00B76C09">
        <w:t>, для эталонного монитора с функцией перцептивного квантования (PQ), что в случае использования гибридной гамма-логарифмической коррекции (HLG) соответствует дисплею HLG с пиковой яркостью 1000 кд/м</w:t>
      </w:r>
      <w:r w:rsidRPr="00B76C09">
        <w:rPr>
          <w:vertAlign w:val="superscript"/>
        </w:rPr>
        <w:t>2</w:t>
      </w:r>
      <w:r w:rsidRPr="00B76C09">
        <w:t>;</w:t>
      </w:r>
    </w:p>
    <w:p w14:paraId="4102D18F" w14:textId="77777777" w:rsidR="008F1F77" w:rsidRPr="00B76C09" w:rsidRDefault="008F1F77" w:rsidP="008F1F77">
      <w:r w:rsidRPr="00B76C09">
        <w:rPr>
          <w:i/>
          <w:iCs/>
        </w:rPr>
        <w:t>d)</w:t>
      </w:r>
      <w:r w:rsidRPr="00B76C09">
        <w:tab/>
        <w:t>что в Рекомендации МСЭ-R BT.2100 определен уровень яркости окружения при мониторинге, равный 5 кд/м</w:t>
      </w:r>
      <w:r w:rsidRPr="00B76C09">
        <w:rPr>
          <w:vertAlign w:val="superscript"/>
        </w:rPr>
        <w:t>2</w:t>
      </w:r>
      <w:r w:rsidRPr="00B76C09">
        <w:t>,</w:t>
      </w:r>
    </w:p>
    <w:p w14:paraId="242E3EFB" w14:textId="77777777" w:rsidR="008F1F77" w:rsidRPr="00B76C09" w:rsidRDefault="008F1F77" w:rsidP="008F1F77">
      <w:pPr>
        <w:keepNext/>
        <w:keepLines/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before="160"/>
        <w:ind w:left="1134"/>
        <w:jc w:val="left"/>
        <w:rPr>
          <w:i/>
        </w:rPr>
      </w:pPr>
      <w:r w:rsidRPr="00B76C09">
        <w:rPr>
          <w:i/>
          <w:iCs/>
        </w:rPr>
        <w:t>рекомендует</w:t>
      </w:r>
    </w:p>
    <w:p w14:paraId="1D32E978" w14:textId="77777777" w:rsidR="008F1F77" w:rsidRPr="00B76C09" w:rsidRDefault="008F1F77" w:rsidP="008F1F77">
      <w:pPr>
        <w:rPr>
          <w:color w:val="000000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B76C09">
        <w:t>использовать рекомендуемые условия просмотра, описанные в Приложении 1, при производстве программ HDR с одной мастер-копией, когда мониторы программ SDR и HDR должны находиться рядом.</w:t>
      </w:r>
    </w:p>
    <w:p w14:paraId="4533629B" w14:textId="77777777" w:rsidR="008F1F77" w:rsidRPr="00B76C09" w:rsidRDefault="008F1F77" w:rsidP="008F1F7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94"/>
          <w:tab w:val="clear" w:pos="1191"/>
          <w:tab w:val="clear" w:pos="1588"/>
          <w:tab w:val="clear" w:pos="1985"/>
          <w:tab w:val="left" w:pos="720"/>
          <w:tab w:val="left" w:pos="1871"/>
          <w:tab w:val="left" w:pos="2268"/>
        </w:tabs>
        <w:overflowPunct/>
        <w:autoSpaceDE/>
        <w:autoSpaceDN/>
        <w:adjustRightInd/>
        <w:jc w:val="left"/>
        <w:textAlignment w:val="auto"/>
        <w:rPr>
          <w:color w:val="000000"/>
          <w:szCs w:val="24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5F5AAF1F" w14:textId="77777777" w:rsidR="008F1F77" w:rsidRPr="00B76C09" w:rsidRDefault="008F1F77" w:rsidP="008F1F7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94"/>
          <w:tab w:val="clear" w:pos="1191"/>
          <w:tab w:val="clear" w:pos="1588"/>
          <w:tab w:val="clear" w:pos="1985"/>
          <w:tab w:val="left" w:pos="720"/>
          <w:tab w:val="left" w:pos="1871"/>
          <w:tab w:val="left" w:pos="2268"/>
        </w:tabs>
        <w:overflowPunct/>
        <w:autoSpaceDE/>
        <w:autoSpaceDN/>
        <w:adjustRightInd/>
        <w:jc w:val="left"/>
        <w:textAlignment w:val="auto"/>
        <w:rPr>
          <w:color w:val="000000"/>
          <w:szCs w:val="24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6C86B749" w14:textId="77777777" w:rsidR="008F1F77" w:rsidRPr="00B76C09" w:rsidRDefault="008F1F77" w:rsidP="008F1F7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94"/>
          <w:tab w:val="clear" w:pos="1191"/>
          <w:tab w:val="clear" w:pos="1588"/>
          <w:tab w:val="clear" w:pos="1985"/>
          <w:tab w:val="left" w:pos="720"/>
          <w:tab w:val="left" w:pos="1871"/>
          <w:tab w:val="left" w:pos="2268"/>
        </w:tabs>
        <w:overflowPunct/>
        <w:autoSpaceDE/>
        <w:autoSpaceDN/>
        <w:adjustRightInd/>
        <w:jc w:val="left"/>
        <w:textAlignment w:val="auto"/>
        <w:rPr>
          <w:color w:val="000000"/>
          <w:szCs w:val="24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073264FB" w14:textId="77777777" w:rsidR="008F1F77" w:rsidRPr="00B76C09" w:rsidRDefault="008F1F77" w:rsidP="008F1F77">
      <w:pPr>
        <w:pStyle w:val="AnnexNoTitle"/>
        <w:rPr>
          <w:rFonts w:eastAsia="MS Mincho"/>
        </w:rPr>
      </w:pPr>
      <w:r w:rsidRPr="00B76C09">
        <w:rPr>
          <w:bCs/>
        </w:rPr>
        <w:t>Приложение 1</w:t>
      </w:r>
      <w:r w:rsidRPr="00B76C09">
        <w:rPr>
          <w:bCs/>
        </w:rPr>
        <w:br/>
      </w:r>
      <w:r w:rsidRPr="00B76C09">
        <w:rPr>
          <w:bCs/>
        </w:rPr>
        <w:br/>
        <w:t>Рекомендуемые условия просмотра для мониторинга расположенных рядом изображений HDR и SDR</w:t>
      </w:r>
      <w:r w:rsidRPr="00B76C09">
        <w:t xml:space="preserve"> </w:t>
      </w:r>
    </w:p>
    <w:p w14:paraId="3358B598" w14:textId="77777777" w:rsidR="008F1F77" w:rsidRPr="00B76C09" w:rsidRDefault="008F1F77" w:rsidP="008F1F77">
      <w:pPr>
        <w:pStyle w:val="Headingb"/>
      </w:pPr>
      <w:r w:rsidRPr="00B76C09">
        <w:rPr>
          <w:bCs/>
        </w:rPr>
        <w:t>Обзор</w:t>
      </w:r>
    </w:p>
    <w:p w14:paraId="6D3B5BD6" w14:textId="77777777" w:rsidR="008F1F77" w:rsidRPr="00B76C09" w:rsidRDefault="008F1F77" w:rsidP="008F1F77">
      <w:r w:rsidRPr="00B76C09">
        <w:t>Цель настоящей Рекомендации заключается в определении условий просмотра для мониторинга расположенных рядом изображений HDR и SDR при производстве программ HDR с одной мастер-копией, когда либо дисплей HDR, либо дисплей SDR использует номинальный пиковый опорный уровень яркости. Некоторые распространенные примеры просмотра расположенных рядом изображений HDR и SDR включают параллельную настройку параметров этих изображений при использовании многопроекционных мониторов (один монитор воспроизводит несколько расположенных рядом изображений разных форматов) или для базовой оценки качества помощником видеоинженера. В разделе 1 содержится набор общих описаний рекомендуемой среды просмотра, которые относятся к условиям внешнего освещения и расстоянию просмотра. Раздел 2 содержит параметры настройки монитора для воспроизведения изображений HDR и SDR.</w:t>
      </w:r>
    </w:p>
    <w:p w14:paraId="193F15DC" w14:textId="77777777" w:rsidR="008F1F77" w:rsidRPr="00B76C09" w:rsidRDefault="008F1F77" w:rsidP="008F1F77">
      <w:pPr>
        <w:pStyle w:val="Heading1"/>
      </w:pPr>
      <w:r w:rsidRPr="00B76C09">
        <w:rPr>
          <w:bCs/>
        </w:rPr>
        <w:t>1</w:t>
      </w:r>
      <w:r w:rsidRPr="00B76C09">
        <w:tab/>
      </w:r>
      <w:r w:rsidRPr="00B76C09">
        <w:rPr>
          <w:bCs/>
        </w:rPr>
        <w:t>Рекомендуемая среда просмотра</w:t>
      </w:r>
    </w:p>
    <w:p w14:paraId="243648CE" w14:textId="77777777" w:rsidR="008F1F77" w:rsidRPr="00B76C09" w:rsidRDefault="008F1F77" w:rsidP="008F1F77">
      <w:r w:rsidRPr="00B76C09">
        <w:t>Рекомендуемая среда просмотра частично основана на эталонной среде просмотра, описанной в таблице 3 Рекомендации МСЭ-R BT.2100. Использованные параметры приведены в таблице 1.</w:t>
      </w:r>
    </w:p>
    <w:p w14:paraId="5193BCEF" w14:textId="77777777" w:rsidR="008F1F77" w:rsidRPr="00B76C09" w:rsidRDefault="008F1F77" w:rsidP="006C3305">
      <w:pPr>
        <w:pStyle w:val="TableNo"/>
        <w:keepLines/>
      </w:pPr>
      <w:r w:rsidRPr="00B76C09">
        <w:lastRenderedPageBreak/>
        <w:t>ТАБЛИЦА 1</w:t>
      </w:r>
    </w:p>
    <w:p w14:paraId="2BC3FC36" w14:textId="77777777" w:rsidR="008F1F77" w:rsidRPr="00B76C09" w:rsidRDefault="008F1F77" w:rsidP="006C3305">
      <w:pPr>
        <w:pStyle w:val="Tabletitle"/>
        <w:keepLines/>
      </w:pPr>
      <w:r w:rsidRPr="00B76C09">
        <w:rPr>
          <w:bCs/>
        </w:rPr>
        <w:t>Рекомендуемая среда просмотра для оценки расположенных рядом изображений HDR и SDR</w:t>
      </w:r>
    </w:p>
    <w:tbl>
      <w:tblPr>
        <w:tblW w:w="963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8F1F77" w:rsidRPr="00B76C09" w14:paraId="03E30BEE" w14:textId="77777777" w:rsidTr="005256DE">
        <w:trPr>
          <w:trHeight w:val="156"/>
          <w:tblHeader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F5FDD" w14:textId="77777777" w:rsidR="008F1F77" w:rsidRPr="00B76C09" w:rsidRDefault="008F1F77" w:rsidP="006C3305">
            <w:pPr>
              <w:pStyle w:val="Tablehead"/>
              <w:keepLines/>
            </w:pPr>
            <w:r w:rsidRPr="00B76C09">
              <w:t>Параметр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D5643" w14:textId="77777777" w:rsidR="008F1F77" w:rsidRPr="00B76C09" w:rsidRDefault="008F1F77" w:rsidP="006C3305">
            <w:pPr>
              <w:pStyle w:val="Tablehead"/>
              <w:keepLines/>
            </w:pPr>
            <w:r w:rsidRPr="00B76C09">
              <w:t>Значения</w:t>
            </w:r>
          </w:p>
        </w:tc>
      </w:tr>
      <w:tr w:rsidR="008F1F77" w:rsidRPr="00B76C09" w14:paraId="5CB1CA47" w14:textId="77777777" w:rsidTr="005256DE">
        <w:trPr>
          <w:trHeight w:val="24"/>
          <w:tblHeader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D56CB" w14:textId="77777777" w:rsidR="008F1F77" w:rsidRPr="00B76C09" w:rsidRDefault="008F1F77" w:rsidP="006C3305">
            <w:pPr>
              <w:pStyle w:val="Tabletext"/>
              <w:keepNext/>
              <w:keepLines/>
            </w:pPr>
            <w:r w:rsidRPr="00B76C09">
              <w:t>Окружение и периферия</w:t>
            </w:r>
            <w:r w:rsidRPr="00B76C09">
              <w:rPr>
                <w:color w:val="000000"/>
                <w:vertAlign w:val="superscript"/>
              </w:rPr>
              <w:t>(1)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77F78" w14:textId="77777777" w:rsidR="008F1F77" w:rsidRPr="00B76C09" w:rsidRDefault="008F1F77" w:rsidP="006C3305">
            <w:pPr>
              <w:pStyle w:val="Tabletext"/>
              <w:keepNext/>
              <w:keepLines/>
              <w:jc w:val="center"/>
            </w:pPr>
            <w:r w:rsidRPr="00B76C09">
              <w:t>Нейтральный серый, D65</w:t>
            </w:r>
          </w:p>
        </w:tc>
      </w:tr>
      <w:tr w:rsidR="008F1F77" w:rsidRPr="00B76C09" w14:paraId="3799D0DD" w14:textId="77777777" w:rsidTr="005256DE">
        <w:trPr>
          <w:trHeight w:val="222"/>
          <w:tblHeader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9DBAA" w14:textId="77777777" w:rsidR="008F1F77" w:rsidRPr="00B76C09" w:rsidRDefault="008F1F77" w:rsidP="006C3305">
            <w:pPr>
              <w:pStyle w:val="Tabletext"/>
              <w:keepNext/>
              <w:keepLines/>
            </w:pPr>
            <w:r w:rsidRPr="00B76C09">
              <w:t xml:space="preserve">Яркость окружения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CC261" w14:textId="77777777" w:rsidR="008F1F77" w:rsidRPr="00B76C09" w:rsidRDefault="008F1F77" w:rsidP="006C3305">
            <w:pPr>
              <w:pStyle w:val="Tabletext"/>
              <w:keepNext/>
              <w:keepLines/>
              <w:jc w:val="center"/>
            </w:pPr>
            <w:r w:rsidRPr="00B76C09">
              <w:t>5 кд/м</w:t>
            </w:r>
            <w:r w:rsidRPr="00B76C09">
              <w:rPr>
                <w:vertAlign w:val="superscript"/>
              </w:rPr>
              <w:t>2</w:t>
            </w:r>
          </w:p>
        </w:tc>
      </w:tr>
      <w:tr w:rsidR="008F1F77" w:rsidRPr="00B76C09" w14:paraId="2ECB1BF1" w14:textId="77777777" w:rsidTr="005256DE">
        <w:trPr>
          <w:trHeight w:val="222"/>
          <w:tblHeader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E8F05" w14:textId="77777777" w:rsidR="008F1F77" w:rsidRPr="00B76C09" w:rsidRDefault="008F1F77" w:rsidP="00D740F2">
            <w:pPr>
              <w:pStyle w:val="Tabletext"/>
              <w:keepNext/>
              <w:keepLines/>
            </w:pPr>
            <w:r w:rsidRPr="00B76C09">
              <w:t>Яркость периферии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17966" w14:textId="77777777" w:rsidR="008F1F77" w:rsidRPr="00B76C09" w:rsidRDefault="008F1F77" w:rsidP="00D740F2">
            <w:pPr>
              <w:pStyle w:val="Tabletext"/>
              <w:keepNext/>
              <w:keepLines/>
              <w:jc w:val="center"/>
            </w:pPr>
            <w:r w:rsidRPr="00B76C09">
              <w:t>≤ 5 кд/м</w:t>
            </w:r>
            <w:r w:rsidRPr="00B76C09">
              <w:rPr>
                <w:vertAlign w:val="superscript"/>
              </w:rPr>
              <w:t>2</w:t>
            </w:r>
          </w:p>
        </w:tc>
      </w:tr>
      <w:tr w:rsidR="008F1F77" w:rsidRPr="00B76C09" w14:paraId="0AA78607" w14:textId="77777777" w:rsidTr="005256DE">
        <w:trPr>
          <w:trHeight w:val="222"/>
          <w:tblHeader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BB6E1" w14:textId="77777777" w:rsidR="008F1F77" w:rsidRPr="00B76C09" w:rsidRDefault="008F1F77" w:rsidP="00D740F2">
            <w:pPr>
              <w:pStyle w:val="Tabletext"/>
              <w:keepNext/>
              <w:keepLines/>
            </w:pPr>
            <w:r w:rsidRPr="00B76C09">
              <w:t>Внешнее освещение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3B6C6" w14:textId="77777777" w:rsidR="008F1F77" w:rsidRPr="00B76C09" w:rsidRDefault="008F1F77" w:rsidP="00D740F2">
            <w:pPr>
              <w:pStyle w:val="Tabletext"/>
              <w:keepNext/>
              <w:keepLines/>
              <w:jc w:val="center"/>
            </w:pPr>
            <w:r w:rsidRPr="00B76C09">
              <w:t>Без прямого попадания света на экран</w:t>
            </w:r>
          </w:p>
        </w:tc>
      </w:tr>
      <w:tr w:rsidR="008F1F77" w:rsidRPr="00B76C09" w14:paraId="65265C65" w14:textId="77777777" w:rsidTr="005256DE">
        <w:tblPrEx>
          <w:shd w:val="clear" w:color="auto" w:fill="CED7E7"/>
        </w:tblPrEx>
        <w:trPr>
          <w:trHeight w:val="742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D6194" w14:textId="77777777" w:rsidR="008F1F77" w:rsidRPr="00B76C09" w:rsidRDefault="008F1F77" w:rsidP="00D740F2">
            <w:pPr>
              <w:pStyle w:val="Tabletext"/>
              <w:keepNext/>
              <w:keepLines/>
            </w:pPr>
            <w:r w:rsidRPr="00B76C09">
              <w:t>Расстояние просмотра</w:t>
            </w:r>
            <w:r w:rsidRPr="00B76C09">
              <w:rPr>
                <w:color w:val="000000"/>
                <w:vertAlign w:val="superscript"/>
              </w:rPr>
              <w:t>(2)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55CF4" w14:textId="57F0F730" w:rsidR="008F1F77" w:rsidRPr="00B76C09" w:rsidRDefault="008F1F77" w:rsidP="00D740F2">
            <w:pPr>
              <w:pStyle w:val="Tabletext"/>
              <w:keepNext/>
              <w:keepLines/>
              <w:jc w:val="center"/>
            </w:pPr>
            <w:r w:rsidRPr="00B76C09">
              <w:t>Для формата 1</w:t>
            </w:r>
            <w:r w:rsidR="000745B3" w:rsidRPr="00B76C09">
              <w:t xml:space="preserve"> </w:t>
            </w:r>
            <w:r w:rsidRPr="00B76C09">
              <w:t>920</w:t>
            </w:r>
            <w:r w:rsidR="00525E38" w:rsidRPr="00B76C09">
              <w:t xml:space="preserve"> </w:t>
            </w:r>
            <w:r w:rsidRPr="00B76C09">
              <w:t>×</w:t>
            </w:r>
            <w:r w:rsidR="00525E38" w:rsidRPr="00B76C09">
              <w:t xml:space="preserve"> </w:t>
            </w:r>
            <w:r w:rsidRPr="00B76C09">
              <w:t>1</w:t>
            </w:r>
            <w:r w:rsidR="000745B3" w:rsidRPr="00B76C09">
              <w:t xml:space="preserve"> </w:t>
            </w:r>
            <w:r w:rsidRPr="00B76C09">
              <w:t>080 – 3,2 высоты изображения</w:t>
            </w:r>
          </w:p>
          <w:p w14:paraId="1D6BF5F4" w14:textId="697F180D" w:rsidR="008F1F77" w:rsidRPr="00B76C09" w:rsidRDefault="008F1F77" w:rsidP="00D740F2">
            <w:pPr>
              <w:pStyle w:val="Tabletext"/>
              <w:keepNext/>
              <w:keepLines/>
              <w:jc w:val="center"/>
            </w:pPr>
            <w:r w:rsidRPr="00B76C09">
              <w:t>Для формата 3</w:t>
            </w:r>
            <w:r w:rsidR="000745B3" w:rsidRPr="00B76C09">
              <w:t xml:space="preserve"> </w:t>
            </w:r>
            <w:r w:rsidRPr="00B76C09">
              <w:t>840</w:t>
            </w:r>
            <w:r w:rsidR="00525E38" w:rsidRPr="00B76C09">
              <w:t xml:space="preserve"> </w:t>
            </w:r>
            <w:r w:rsidRPr="00B76C09">
              <w:t>×</w:t>
            </w:r>
            <w:r w:rsidR="00525E38" w:rsidRPr="00B76C09">
              <w:t xml:space="preserve"> </w:t>
            </w:r>
            <w:r w:rsidRPr="00B76C09">
              <w:t>2</w:t>
            </w:r>
            <w:r w:rsidR="000745B3" w:rsidRPr="00B76C09">
              <w:t xml:space="preserve"> </w:t>
            </w:r>
            <w:r w:rsidRPr="00B76C09">
              <w:t>160 – 1,6–3,2 высоты изображения</w:t>
            </w:r>
          </w:p>
          <w:p w14:paraId="51C7481D" w14:textId="56DCCF86" w:rsidR="008F1F77" w:rsidRPr="00B76C09" w:rsidRDefault="008F1F77" w:rsidP="00D740F2">
            <w:pPr>
              <w:pStyle w:val="Tabletext"/>
              <w:keepNext/>
              <w:keepLines/>
              <w:jc w:val="center"/>
            </w:pPr>
            <w:r w:rsidRPr="00B76C09">
              <w:t>Для формата 7</w:t>
            </w:r>
            <w:r w:rsidR="000745B3" w:rsidRPr="00B76C09">
              <w:t xml:space="preserve"> </w:t>
            </w:r>
            <w:r w:rsidRPr="00B76C09">
              <w:t>680</w:t>
            </w:r>
            <w:r w:rsidR="00525E38" w:rsidRPr="00B76C09">
              <w:t xml:space="preserve"> </w:t>
            </w:r>
            <w:r w:rsidRPr="00B76C09">
              <w:t>×</w:t>
            </w:r>
            <w:r w:rsidR="00525E38" w:rsidRPr="00B76C09">
              <w:t xml:space="preserve"> </w:t>
            </w:r>
            <w:r w:rsidRPr="00B76C09">
              <w:t>4</w:t>
            </w:r>
            <w:r w:rsidR="000745B3" w:rsidRPr="00B76C09">
              <w:t xml:space="preserve"> </w:t>
            </w:r>
            <w:r w:rsidRPr="00B76C09">
              <w:t>320 – 0,8–3,2 высоты изображения</w:t>
            </w:r>
          </w:p>
        </w:tc>
      </w:tr>
      <w:tr w:rsidR="008F1F77" w:rsidRPr="00B76C09" w14:paraId="1CB474F4" w14:textId="77777777" w:rsidTr="005256DE">
        <w:tblPrEx>
          <w:shd w:val="clear" w:color="auto" w:fill="CED7E7"/>
        </w:tblPrEx>
        <w:trPr>
          <w:trHeight w:val="847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3830F" w14:textId="77777777" w:rsidR="008F1F77" w:rsidRPr="00B76C09" w:rsidRDefault="008F1F77" w:rsidP="006C3305">
            <w:pPr>
              <w:pStyle w:val="Tablelegend"/>
              <w:rPr>
                <w:szCs w:val="22"/>
              </w:rPr>
            </w:pPr>
            <w:r w:rsidRPr="00B76C09">
              <w:rPr>
                <w:vertAlign w:val="superscript"/>
              </w:rPr>
              <w:t>(1)</w:t>
            </w:r>
            <w:r w:rsidRPr="00B76C09">
              <w:tab/>
              <w:t>"Окружение" – это область, окружающая дисплей, которая может повлиять на адаптацию глаз, обычно стена или занавеска за дисплеем; "периферия" – это остальная среда за пределами окружения.</w:t>
            </w:r>
          </w:p>
          <w:p w14:paraId="00B78D4D" w14:textId="77777777" w:rsidR="008F1F77" w:rsidRPr="00B76C09" w:rsidRDefault="008F1F77" w:rsidP="006C3305">
            <w:pPr>
              <w:pStyle w:val="Tablelegend"/>
            </w:pPr>
            <w:r w:rsidRPr="00B76C09">
              <w:rPr>
                <w:vertAlign w:val="superscript"/>
              </w:rPr>
              <w:t>(2)</w:t>
            </w:r>
            <w:r w:rsidRPr="00B76C09">
              <w:tab/>
              <w:t>Когда при оценке изображения учитывается оптическое разрешение, следует использовать наименьшие значения расстояния просмотра. Если оптическое разрешение не оценивается, можно использовать любое расстояние просмотра в указанном диапазоне.</w:t>
            </w:r>
          </w:p>
        </w:tc>
      </w:tr>
    </w:tbl>
    <w:p w14:paraId="3BC4C060" w14:textId="77777777" w:rsidR="00717C71" w:rsidRDefault="00717C71" w:rsidP="00717C71">
      <w:pPr>
        <w:pStyle w:val="Tablefin"/>
      </w:pPr>
    </w:p>
    <w:p w14:paraId="51F76E09" w14:textId="56BA1502" w:rsidR="008F1F77" w:rsidRPr="00B76C09" w:rsidRDefault="008F1F77" w:rsidP="008F1F77">
      <w:pPr>
        <w:pStyle w:val="Heading1"/>
      </w:pPr>
      <w:r w:rsidRPr="00B76C09">
        <w:rPr>
          <w:bCs/>
        </w:rPr>
        <w:t>2</w:t>
      </w:r>
      <w:r w:rsidRPr="00B76C09">
        <w:tab/>
      </w:r>
      <w:r w:rsidRPr="00B76C09">
        <w:rPr>
          <w:bCs/>
        </w:rPr>
        <w:t>Рекомендуемые параметры дисплеев SDR и HDR</w:t>
      </w:r>
    </w:p>
    <w:p w14:paraId="1C4539DC" w14:textId="77777777" w:rsidR="008F1F77" w:rsidRPr="00B76C09" w:rsidRDefault="008F1F77" w:rsidP="008F1F77">
      <w:pPr>
        <w:rPr>
          <w:rFonts w:eastAsia="Arial Unicode MS"/>
        </w:rPr>
      </w:pPr>
      <w:r w:rsidRPr="00B76C09">
        <w:t>В данном разделе приведены настройки и характеристики дисплеев для мониторинга расположенных рядом изображений HDR и SDR при производстве программ HDR с одной мастер-копией. Чтобы избежать проблем с адаптацией глаз к экрану SDR в случае расположенных рядом дисплеев HDR и SDR, эти дисплеи должны иметь единый уровень белого. Для достижения такого результата существует два подхода. Сценарии использования каждого из подходов приведены в информационном Приложении 2. Очередность описания подходов, приведенных ниже и в Приложении 2, не следует считать указанием на предпочтительный метод. Базовая информация по каждому из подходов содержится в информационном справочном документе в Приложении 3.</w:t>
      </w:r>
    </w:p>
    <w:p w14:paraId="26C95BFB" w14:textId="4D392093" w:rsidR="008F1F77" w:rsidRPr="00B76C09" w:rsidRDefault="006C3305" w:rsidP="008F1F77">
      <w:pPr>
        <w:pStyle w:val="enumlev1"/>
        <w:rPr>
          <w:rFonts w:eastAsia="Arial Unicode MS"/>
        </w:rPr>
      </w:pPr>
      <w:r w:rsidRPr="00B76C09">
        <w:rPr>
          <w:rFonts w:eastAsia="Arial Unicode MS"/>
        </w:rPr>
        <w:t>•</w:t>
      </w:r>
      <w:r w:rsidR="008F1F77" w:rsidRPr="00B76C09">
        <w:tab/>
        <w:t xml:space="preserve">В рамках подхода A (п. 2.1) для обеспечения оптимальной сопоставимости изображения просматриваются на мониторе SDR с номинальными опорными пиковыми уровнями яркости, определенными в Рекомендации МСЭ-R BT.2035, и на мониторе HLG HDR с отрегулированными уровнями яркости (описаны в таблице 2). Этот подход применяется только к расположенным рядом изображениям HLG и SDR. </w:t>
      </w:r>
    </w:p>
    <w:p w14:paraId="15DA625C" w14:textId="52C9BF67" w:rsidR="008F1F77" w:rsidRPr="00B76C09" w:rsidRDefault="006C3305" w:rsidP="008F1F77">
      <w:pPr>
        <w:pStyle w:val="enumlev1"/>
        <w:rPr>
          <w:rFonts w:eastAsia="Arial Unicode MS"/>
        </w:rPr>
      </w:pPr>
      <w:r w:rsidRPr="00B76C09">
        <w:rPr>
          <w:rFonts w:eastAsia="Arial Unicode MS"/>
        </w:rPr>
        <w:t>•</w:t>
      </w:r>
      <w:r w:rsidR="008F1F77" w:rsidRPr="00B76C09">
        <w:tab/>
        <w:t xml:space="preserve">В рамках подхода В (п. 2.2) для обеспечения оптимальной сопоставимости изображения просматриваются на мониторе HDR с номинальными опорными пиковыми уровнями яркости, определенными в Рекомендации МСЭ-R BT.2100 применительно к PQ или HLG, и на мониторе HDR с отрегулированными уровнями яркости (описаны в таблице 3). </w:t>
      </w:r>
    </w:p>
    <w:p w14:paraId="75FC2368" w14:textId="77777777" w:rsidR="008F1F77" w:rsidRPr="00B76C09" w:rsidRDefault="008F1F77" w:rsidP="008F1F77">
      <w:pPr>
        <w:pStyle w:val="Heading2"/>
      </w:pPr>
      <w:r w:rsidRPr="00B76C09">
        <w:rPr>
          <w:bCs/>
        </w:rPr>
        <w:t>2.1</w:t>
      </w:r>
      <w:r w:rsidRPr="00B76C09">
        <w:tab/>
      </w:r>
      <w:r w:rsidRPr="00B76C09">
        <w:rPr>
          <w:bCs/>
        </w:rPr>
        <w:t>Подход A – Получение единых уровней белого за счет использования дисплея SDR с опорной пиковой яркостью и дисплея HLG с отрегулированными пиковыми уровнями яркости</w:t>
      </w:r>
    </w:p>
    <w:p w14:paraId="64E751A1" w14:textId="363EF07B" w:rsidR="008F1F77" w:rsidRPr="00B76C09" w:rsidRDefault="008F1F77" w:rsidP="008F1F77">
      <w:r w:rsidRPr="00B76C09">
        <w:t>В рамках этого метода используется монитор SDR в соответствии с Рекомендацией МСЭ-R BT.1886 с яркостью экрана, соответствующей уровню белого (L</w:t>
      </w:r>
      <w:r w:rsidRPr="00B76C09">
        <w:rPr>
          <w:vertAlign w:val="subscript"/>
        </w:rPr>
        <w:t>w</w:t>
      </w:r>
      <w:r w:rsidRPr="00B76C09">
        <w:t>), 100 кд/м</w:t>
      </w:r>
      <w:r w:rsidRPr="00B76C09">
        <w:rPr>
          <w:vertAlign w:val="superscript"/>
        </w:rPr>
        <w:t>2</w:t>
      </w:r>
      <w:r w:rsidRPr="00B76C09">
        <w:t xml:space="preserve"> согласно Рекомендации МСЭ</w:t>
      </w:r>
      <w:r w:rsidR="006C3305" w:rsidRPr="00B76C09">
        <w:t>‑</w:t>
      </w:r>
      <w:r w:rsidRPr="00B76C09">
        <w:t>R</w:t>
      </w:r>
      <w:r w:rsidR="006C3305" w:rsidRPr="00B76C09">
        <w:t> </w:t>
      </w:r>
      <w:r w:rsidRPr="00B76C09">
        <w:t>BT.2035, а также дисплей HLG с более низким пиковым уровнем яркости и гаммой системы, настроенной согласно примечанию 5f таблицы 5 в Рекомендации МСЭ-R BT.2100.</w:t>
      </w:r>
    </w:p>
    <w:p w14:paraId="19336947" w14:textId="77777777" w:rsidR="008F1F77" w:rsidRPr="00B76C09" w:rsidRDefault="008F1F77" w:rsidP="008F1F77">
      <w:r w:rsidRPr="00B76C09">
        <w:t>Как показано в таблице 2, номинальная пиковая яркость дисплея HLG регулируется таким образом, чтобы она находилась в диапазоне 300–600 кд/м</w:t>
      </w:r>
      <w:r w:rsidRPr="00B76C09">
        <w:rPr>
          <w:vertAlign w:val="superscript"/>
        </w:rPr>
        <w:t>2</w:t>
      </w:r>
      <w:r w:rsidRPr="00B76C09">
        <w:t xml:space="preserve"> при соответствующей настройке гаммы системы, определенной в Рекомендации МСЭ-R BT.2100. Это позволяет добиться более точного соответствия уровней яркости, соответствующих опорному уровню белого для HDR (номинальный уровень сигнала 75% по шкале HLG), пиковой яркости SDR-дисплея; при этом обеспечивается достаточная яркость изображения HDR для типичной практики производства.</w:t>
      </w:r>
    </w:p>
    <w:p w14:paraId="645A8FD3" w14:textId="77777777" w:rsidR="008F1F77" w:rsidRPr="00B76C09" w:rsidRDefault="008F1F77" w:rsidP="008F1F77">
      <w:pPr>
        <w:pStyle w:val="TableNo"/>
      </w:pPr>
      <w:r w:rsidRPr="00B76C09">
        <w:lastRenderedPageBreak/>
        <w:t>ТАБЛИЦА 2</w:t>
      </w:r>
    </w:p>
    <w:p w14:paraId="014C72FD" w14:textId="77777777" w:rsidR="008F1F77" w:rsidRPr="00B76C09" w:rsidRDefault="008F1F77" w:rsidP="008F1F77">
      <w:pPr>
        <w:pStyle w:val="Tabletitle"/>
        <w:rPr>
          <w:bCs/>
        </w:rPr>
      </w:pPr>
      <w:r w:rsidRPr="00B76C09">
        <w:rPr>
          <w:bCs/>
        </w:rPr>
        <w:t>Параметры дисплея HLG</w:t>
      </w:r>
    </w:p>
    <w:tbl>
      <w:tblPr>
        <w:tblStyle w:val="TableGrid"/>
        <w:tblW w:w="9639" w:type="dxa"/>
        <w:jc w:val="center"/>
        <w:tblLook w:val="04A0" w:firstRow="1" w:lastRow="0" w:firstColumn="1" w:lastColumn="0" w:noHBand="0" w:noVBand="1"/>
      </w:tblPr>
      <w:tblGrid>
        <w:gridCol w:w="4829"/>
        <w:gridCol w:w="4810"/>
      </w:tblGrid>
      <w:tr w:rsidR="001D5525" w:rsidRPr="00B76C09" w14:paraId="3385636A" w14:textId="77777777" w:rsidTr="001D5525">
        <w:trPr>
          <w:jc w:val="center"/>
        </w:trPr>
        <w:tc>
          <w:tcPr>
            <w:tcW w:w="4829" w:type="dxa"/>
          </w:tcPr>
          <w:p w14:paraId="0AC38874" w14:textId="43568CC6" w:rsidR="001D5525" w:rsidRPr="00B76C09" w:rsidRDefault="001D5525" w:rsidP="001D5525">
            <w:pPr>
              <w:pStyle w:val="Tablehead"/>
              <w:rPr>
                <w:rFonts w:ascii="Times New Roman" w:hAnsi="Times New Roman" w:cs="Times New Roman"/>
              </w:rPr>
            </w:pPr>
            <w:r w:rsidRPr="00B76C09">
              <w:rPr>
                <w:rFonts w:ascii="Times New Roman" w:hAnsi="Times New Roman" w:cs="Times New Roman"/>
              </w:rPr>
              <w:t>Регулировочный параметр</w:t>
            </w:r>
          </w:p>
        </w:tc>
        <w:tc>
          <w:tcPr>
            <w:tcW w:w="4810" w:type="dxa"/>
          </w:tcPr>
          <w:p w14:paraId="0A568051" w14:textId="4FFE69FF" w:rsidR="001D5525" w:rsidRPr="00B76C09" w:rsidRDefault="001D5525" w:rsidP="001D5525">
            <w:pPr>
              <w:pStyle w:val="Tablehead"/>
              <w:rPr>
                <w:rFonts w:ascii="Times New Roman" w:hAnsi="Times New Roman" w:cs="Times New Roman"/>
              </w:rPr>
            </w:pPr>
            <w:r w:rsidRPr="00B76C09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1D5525" w:rsidRPr="00B76C09" w14:paraId="1ED9B7FA" w14:textId="77777777" w:rsidTr="001D5525">
        <w:trPr>
          <w:jc w:val="center"/>
        </w:trPr>
        <w:tc>
          <w:tcPr>
            <w:tcW w:w="4829" w:type="dxa"/>
          </w:tcPr>
          <w:p w14:paraId="1F43B7FF" w14:textId="5B6A5F66" w:rsidR="001D5525" w:rsidRPr="00B76C09" w:rsidRDefault="001D5525" w:rsidP="001D5525">
            <w:pPr>
              <w:pStyle w:val="Tabletext"/>
              <w:rPr>
                <w:rFonts w:ascii="Times New Roman" w:hAnsi="Times New Roman" w:cs="Times New Roman"/>
              </w:rPr>
            </w:pPr>
            <w:r w:rsidRPr="00B76C09">
              <w:rPr>
                <w:rFonts w:ascii="Times New Roman" w:hAnsi="Times New Roman" w:cs="Times New Roman"/>
              </w:rPr>
              <w:t>Номинальная пиковая яркость дисплея HLG</w:t>
            </w:r>
          </w:p>
        </w:tc>
        <w:tc>
          <w:tcPr>
            <w:tcW w:w="4810" w:type="dxa"/>
          </w:tcPr>
          <w:p w14:paraId="03F666FD" w14:textId="4D26552B" w:rsidR="001D5525" w:rsidRPr="00B76C09" w:rsidRDefault="001D5525" w:rsidP="002174DA">
            <w:pPr>
              <w:pStyle w:val="Tabletext"/>
              <w:jc w:val="center"/>
              <w:rPr>
                <w:rFonts w:ascii="Times New Roman" w:hAnsi="Times New Roman" w:cs="Times New Roman"/>
              </w:rPr>
            </w:pPr>
            <w:r w:rsidRPr="00B76C09">
              <w:rPr>
                <w:rFonts w:ascii="Times New Roman" w:hAnsi="Times New Roman" w:cs="Times New Roman"/>
              </w:rPr>
              <w:t>300−600 кд/м</w:t>
            </w:r>
            <w:r w:rsidRPr="00B76C0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1D5525" w:rsidRPr="00B76C09" w14:paraId="0F008E9A" w14:textId="77777777" w:rsidTr="001D5525">
        <w:trPr>
          <w:jc w:val="center"/>
        </w:trPr>
        <w:tc>
          <w:tcPr>
            <w:tcW w:w="4829" w:type="dxa"/>
          </w:tcPr>
          <w:p w14:paraId="2173B0EA" w14:textId="1ADAB76E" w:rsidR="001D5525" w:rsidRPr="00B76C09" w:rsidRDefault="001D5525" w:rsidP="001D5525">
            <w:pPr>
              <w:pStyle w:val="Tabletext"/>
              <w:rPr>
                <w:rFonts w:ascii="Times New Roman" w:hAnsi="Times New Roman" w:cs="Times New Roman"/>
              </w:rPr>
            </w:pPr>
            <w:r w:rsidRPr="00B76C09">
              <w:rPr>
                <w:rFonts w:ascii="Times New Roman" w:hAnsi="Times New Roman" w:cs="Times New Roman"/>
              </w:rPr>
              <w:t xml:space="preserve">Яркость для уровня сигнала 75% по шкале HLG </w:t>
            </w:r>
          </w:p>
        </w:tc>
        <w:tc>
          <w:tcPr>
            <w:tcW w:w="4810" w:type="dxa"/>
          </w:tcPr>
          <w:p w14:paraId="6E56B23C" w14:textId="529E2C16" w:rsidR="001D5525" w:rsidRPr="00B76C09" w:rsidRDefault="001D5525" w:rsidP="002174DA">
            <w:pPr>
              <w:pStyle w:val="Tabletext"/>
              <w:jc w:val="center"/>
              <w:rPr>
                <w:rFonts w:ascii="Times New Roman" w:hAnsi="Times New Roman" w:cs="Times New Roman"/>
              </w:rPr>
            </w:pPr>
            <w:r w:rsidRPr="00B76C09">
              <w:rPr>
                <w:rFonts w:ascii="Times New Roman" w:hAnsi="Times New Roman" w:cs="Times New Roman"/>
              </w:rPr>
              <w:t>79–138 кд/м</w:t>
            </w:r>
            <w:r w:rsidRPr="00B76C0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1D5525" w:rsidRPr="00B76C09" w14:paraId="3E624EDD" w14:textId="77777777" w:rsidTr="001D5525">
        <w:trPr>
          <w:jc w:val="center"/>
        </w:trPr>
        <w:tc>
          <w:tcPr>
            <w:tcW w:w="4829" w:type="dxa"/>
          </w:tcPr>
          <w:p w14:paraId="236B6584" w14:textId="53BBB59A" w:rsidR="001D5525" w:rsidRPr="00B76C09" w:rsidRDefault="001D5525" w:rsidP="001D5525">
            <w:pPr>
              <w:pStyle w:val="Tabletext"/>
              <w:rPr>
                <w:rFonts w:ascii="Times New Roman" w:hAnsi="Times New Roman" w:cs="Times New Roman"/>
              </w:rPr>
            </w:pPr>
            <w:r w:rsidRPr="00B76C09">
              <w:rPr>
                <w:rFonts w:ascii="Times New Roman" w:hAnsi="Times New Roman" w:cs="Times New Roman"/>
              </w:rPr>
              <w:t>Гамма системы</w:t>
            </w:r>
          </w:p>
        </w:tc>
        <w:tc>
          <w:tcPr>
            <w:tcW w:w="4810" w:type="dxa"/>
          </w:tcPr>
          <w:p w14:paraId="6A223BF0" w14:textId="190E1D30" w:rsidR="001D5525" w:rsidRPr="00B76C09" w:rsidRDefault="001D5525" w:rsidP="002174DA">
            <w:pPr>
              <w:pStyle w:val="Tabletext"/>
              <w:jc w:val="center"/>
              <w:rPr>
                <w:rFonts w:ascii="Times New Roman" w:hAnsi="Times New Roman" w:cs="Times New Roman"/>
              </w:rPr>
            </w:pPr>
            <w:r w:rsidRPr="00B76C09">
              <w:rPr>
                <w:rFonts w:ascii="Times New Roman" w:hAnsi="Times New Roman" w:cs="Times New Roman"/>
              </w:rPr>
              <w:t>1,00−1,11</w:t>
            </w:r>
          </w:p>
        </w:tc>
      </w:tr>
    </w:tbl>
    <w:p w14:paraId="1C20562D" w14:textId="77777777" w:rsidR="00717C71" w:rsidRDefault="00717C71" w:rsidP="00717C71">
      <w:pPr>
        <w:pStyle w:val="Tablefin"/>
      </w:pPr>
    </w:p>
    <w:p w14:paraId="0FBD9101" w14:textId="1A2BC48F" w:rsidR="008F1F77" w:rsidRPr="00B76C09" w:rsidRDefault="008F1F77" w:rsidP="008F1F77">
      <w:pPr>
        <w:pStyle w:val="Heading2"/>
      </w:pPr>
      <w:r w:rsidRPr="00B76C09">
        <w:rPr>
          <w:bCs/>
        </w:rPr>
        <w:t>2.2</w:t>
      </w:r>
      <w:r w:rsidRPr="00B76C09">
        <w:tab/>
      </w:r>
      <w:r w:rsidRPr="00B76C09">
        <w:rPr>
          <w:bCs/>
        </w:rPr>
        <w:t>Подход B – Получение единых уровней белого за счет использования дисплея HDR с опорной пиковой яркостью и дисплея SDR с отрегулированными пиковыми уровнями яркости</w:t>
      </w:r>
    </w:p>
    <w:p w14:paraId="76709034" w14:textId="77777777" w:rsidR="008F1F77" w:rsidRPr="00B76C09" w:rsidRDefault="008F1F77" w:rsidP="008F1F77">
      <w:r w:rsidRPr="00B76C09">
        <w:t>В рамках данного подхода используется эталонный дисплей HDR, который определен в Рекомендации МСЭ-R BT.2100, и дисплей SDR с отрегулированными уровнями яркости, как показано в таблице 3. В конкретном случае HLG номинальный пиковый уровень яркости должен составлять 1000 кд/м</w:t>
      </w:r>
      <w:r w:rsidRPr="00B76C09">
        <w:rPr>
          <w:vertAlign w:val="superscript"/>
        </w:rPr>
        <w:t>2</w:t>
      </w:r>
      <w:r w:rsidRPr="00B76C09">
        <w:t>.</w:t>
      </w:r>
    </w:p>
    <w:p w14:paraId="5759079C" w14:textId="77777777" w:rsidR="008F1F77" w:rsidRPr="00B76C09" w:rsidRDefault="008F1F77" w:rsidP="008F1F77">
      <w:pPr>
        <w:pStyle w:val="TableNo"/>
      </w:pPr>
      <w:r w:rsidRPr="00B76C09">
        <w:t>ТАБЛИЦА 3</w:t>
      </w:r>
    </w:p>
    <w:p w14:paraId="0D85DB18" w14:textId="77777777" w:rsidR="008F1F77" w:rsidRPr="00B76C09" w:rsidRDefault="008F1F77" w:rsidP="008F1F77">
      <w:pPr>
        <w:pStyle w:val="Tabletitle"/>
      </w:pPr>
      <w:r w:rsidRPr="00B76C09">
        <w:rPr>
          <w:bCs/>
        </w:rPr>
        <w:t>Параметры дисплея SDR</w:t>
      </w:r>
    </w:p>
    <w:tbl>
      <w:tblPr>
        <w:tblW w:w="963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4820"/>
        <w:gridCol w:w="4819"/>
      </w:tblGrid>
      <w:tr w:rsidR="008F1F77" w:rsidRPr="00B76C09" w14:paraId="40EBA98E" w14:textId="77777777" w:rsidTr="00023864">
        <w:trPr>
          <w:trHeight w:val="218"/>
          <w:tblHeader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2DF04" w14:textId="77777777" w:rsidR="008F1F77" w:rsidRPr="00B76C09" w:rsidRDefault="008F1F77" w:rsidP="00097C2E">
            <w:pPr>
              <w:pStyle w:val="Tablehead"/>
            </w:pPr>
            <w:r w:rsidRPr="00B76C09">
              <w:t>Регулировочный параметр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2783E" w14:textId="77777777" w:rsidR="008F1F77" w:rsidRPr="00B76C09" w:rsidRDefault="008F1F77" w:rsidP="00097C2E">
            <w:pPr>
              <w:pStyle w:val="Tablehead"/>
            </w:pPr>
            <w:r w:rsidRPr="00B76C09">
              <w:t>Значение</w:t>
            </w:r>
          </w:p>
        </w:tc>
      </w:tr>
      <w:tr w:rsidR="008F1F77" w:rsidRPr="00B76C09" w14:paraId="26C4EE86" w14:textId="77777777" w:rsidTr="00023864">
        <w:tblPrEx>
          <w:shd w:val="clear" w:color="auto" w:fill="CED7E7"/>
        </w:tblPrEx>
        <w:trPr>
          <w:trHeight w:val="442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48DEB" w14:textId="68513137" w:rsidR="008F1F77" w:rsidRPr="00B76C09" w:rsidRDefault="008F1F77" w:rsidP="00023864">
            <w:pPr>
              <w:pStyle w:val="Tabletext"/>
              <w:jc w:val="left"/>
            </w:pPr>
            <w:r w:rsidRPr="00B76C09">
              <w:t xml:space="preserve">Пиковая яркость дисплея SDR </w:t>
            </w:r>
            <w:r w:rsidR="00023864" w:rsidRPr="00B76C09">
              <w:br/>
            </w:r>
            <w:r w:rsidRPr="00B76C09">
              <w:t>(регулировка L</w:t>
            </w:r>
            <w:r w:rsidRPr="006369A3">
              <w:rPr>
                <w:vertAlign w:val="subscript"/>
              </w:rPr>
              <w:t>w</w:t>
            </w:r>
            <w:r w:rsidRPr="00B76C09">
              <w:t xml:space="preserve"> описана в Рек. МСЭ-R BT.1886)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54857" w14:textId="77777777" w:rsidR="008F1F77" w:rsidRPr="00B76C09" w:rsidRDefault="008F1F77" w:rsidP="00097C2E">
            <w:pPr>
              <w:pStyle w:val="Tabletext"/>
              <w:jc w:val="center"/>
            </w:pPr>
            <w:r w:rsidRPr="00B76C09">
              <w:t>Опорный уровень белого для HDR</w:t>
            </w:r>
            <w:r w:rsidRPr="00B76C09">
              <w:rPr>
                <w:color w:val="000000"/>
                <w:vertAlign w:val="superscript"/>
              </w:rPr>
              <w:t>(1)</w:t>
            </w:r>
          </w:p>
        </w:tc>
      </w:tr>
      <w:tr w:rsidR="008F1F77" w:rsidRPr="00B76C09" w14:paraId="3DE00996" w14:textId="77777777" w:rsidTr="00023864">
        <w:tblPrEx>
          <w:shd w:val="clear" w:color="auto" w:fill="CED7E7"/>
        </w:tblPrEx>
        <w:trPr>
          <w:trHeight w:val="442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F5801" w14:textId="77777777" w:rsidR="008F1F77" w:rsidRPr="00B76C09" w:rsidRDefault="008F1F77" w:rsidP="00023864">
            <w:pPr>
              <w:pStyle w:val="Tablelegend"/>
              <w:rPr>
                <w:szCs w:val="22"/>
              </w:rPr>
            </w:pPr>
            <w:r w:rsidRPr="00B76C09">
              <w:rPr>
                <w:vertAlign w:val="superscript"/>
              </w:rPr>
              <w:t>(1)</w:t>
            </w:r>
            <w:r w:rsidRPr="00B76C09">
              <w:tab/>
              <w:t>Яркость дисплея SDR должна быть отрегулирована таким образом, чтобы она соответствовала опорному уровню яркости белого для HDR, принятому в производстве программ, принимая во внимание, что в Отчете МСЭ-R BT.2408 указан номинальный опорный уровень белого для HDR, равный 203 кд/м</w:t>
            </w:r>
            <w:r w:rsidRPr="00B76C09">
              <w:rPr>
                <w:vertAlign w:val="superscript"/>
              </w:rPr>
              <w:t>2</w:t>
            </w:r>
            <w:r w:rsidRPr="00B76C09">
              <w:t>.</w:t>
            </w:r>
          </w:p>
        </w:tc>
      </w:tr>
    </w:tbl>
    <w:p w14:paraId="56DC96A2" w14:textId="77777777" w:rsidR="008F1F77" w:rsidRPr="00B76C09" w:rsidRDefault="008F1F77" w:rsidP="00717C71">
      <w:pPr>
        <w:pStyle w:val="Tablefin"/>
      </w:pPr>
    </w:p>
    <w:p w14:paraId="645C251D" w14:textId="77777777" w:rsidR="00023864" w:rsidRDefault="00023864" w:rsidP="008F1F77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jc w:val="left"/>
        <w:rPr>
          <w:lang w:val="en-US"/>
        </w:rPr>
      </w:pPr>
    </w:p>
    <w:p w14:paraId="1BFE1B74" w14:textId="77777777" w:rsidR="00717C71" w:rsidRPr="00717C71" w:rsidRDefault="00717C71" w:rsidP="008F1F77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jc w:val="left"/>
        <w:rPr>
          <w:lang w:val="en-US"/>
        </w:rPr>
      </w:pPr>
    </w:p>
    <w:p w14:paraId="678BA834" w14:textId="77777777" w:rsidR="008F1F77" w:rsidRPr="00B76C09" w:rsidRDefault="008F1F77" w:rsidP="008F1F77">
      <w:pPr>
        <w:pStyle w:val="AnnexNoTitle"/>
      </w:pPr>
      <w:r w:rsidRPr="00B76C09">
        <w:rPr>
          <w:bCs/>
        </w:rPr>
        <w:t>Приложение 2</w:t>
      </w:r>
      <w:r w:rsidRPr="00B76C09">
        <w:rPr>
          <w:bCs/>
        </w:rPr>
        <w:br/>
        <w:t>(информационное)</w:t>
      </w:r>
      <w:r w:rsidRPr="00B76C09">
        <w:rPr>
          <w:bCs/>
        </w:rPr>
        <w:br/>
      </w:r>
      <w:r w:rsidRPr="00B76C09">
        <w:rPr>
          <w:bCs/>
        </w:rPr>
        <w:br/>
        <w:t>Сценарии использования для каждого подхода</w:t>
      </w:r>
      <w:r w:rsidRPr="00B76C09">
        <w:t xml:space="preserve"> </w:t>
      </w:r>
    </w:p>
    <w:p w14:paraId="73C0CD8C" w14:textId="77777777" w:rsidR="008F1F77" w:rsidRPr="00B76C09" w:rsidRDefault="008F1F77" w:rsidP="008F1F77">
      <w:pPr>
        <w:pStyle w:val="Normalaftertitle"/>
      </w:pPr>
      <w:r w:rsidRPr="00B76C09">
        <w:t>Подход A используется для параллельного визуального контроля изображений, на многопроекционных мониторах, а также когда изображения HDR и SDR в аппаратной расположены рядом.</w:t>
      </w:r>
    </w:p>
    <w:p w14:paraId="469A5AF6" w14:textId="77777777" w:rsidR="008F1F77" w:rsidRPr="00B76C09" w:rsidRDefault="008F1F77" w:rsidP="008F1F77">
      <w:r w:rsidRPr="00B76C09">
        <w:t>Подход B используется для параллельной настройки параметров видеоизображений, визуального контроля, на многопроекционных мониторах, а также когда изображения HDR и SDR в аппаратной расположены рядом.</w:t>
      </w:r>
    </w:p>
    <w:p w14:paraId="2AA066CF" w14:textId="77777777" w:rsidR="008F1F77" w:rsidRPr="00B76C09" w:rsidRDefault="008F1F77" w:rsidP="008F1F77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jc w:val="left"/>
        <w:rPr>
          <w:lang w:eastAsia="zh-CN"/>
        </w:rPr>
      </w:pPr>
    </w:p>
    <w:p w14:paraId="6C4E003D" w14:textId="77777777" w:rsidR="00023864" w:rsidRPr="00B76C09" w:rsidRDefault="00023864" w:rsidP="008F1F77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jc w:val="left"/>
        <w:rPr>
          <w:lang w:eastAsia="zh-CN"/>
        </w:rPr>
      </w:pPr>
    </w:p>
    <w:p w14:paraId="6694EC10" w14:textId="77777777" w:rsidR="008F1F77" w:rsidRPr="00B76C09" w:rsidRDefault="008F1F77" w:rsidP="008F1F77">
      <w:pPr>
        <w:pStyle w:val="AnnexNoTitle"/>
        <w:rPr>
          <w:bCs/>
        </w:rPr>
      </w:pPr>
      <w:r w:rsidRPr="00B76C09">
        <w:rPr>
          <w:bCs/>
        </w:rPr>
        <w:lastRenderedPageBreak/>
        <w:t xml:space="preserve">Приложение 3 </w:t>
      </w:r>
      <w:r w:rsidRPr="00B76C09">
        <w:rPr>
          <w:bCs/>
        </w:rPr>
        <w:br/>
        <w:t xml:space="preserve">(информационное) </w:t>
      </w:r>
      <w:r w:rsidRPr="00B76C09">
        <w:rPr>
          <w:bCs/>
        </w:rPr>
        <w:br/>
      </w:r>
      <w:r w:rsidRPr="00B76C09">
        <w:rPr>
          <w:bCs/>
        </w:rPr>
        <w:br/>
        <w:t>Информационные справочные документы</w:t>
      </w:r>
    </w:p>
    <w:p w14:paraId="6B078D35" w14:textId="77777777" w:rsidR="00C365D3" w:rsidRPr="00B76C09" w:rsidRDefault="00C365D3" w:rsidP="00C365D3"/>
    <w:p w14:paraId="7A310BFC" w14:textId="4F6E7F3C" w:rsidR="008F1F77" w:rsidRPr="00B76C09" w:rsidRDefault="008F1F77" w:rsidP="00C365D3">
      <w:pPr>
        <w:pStyle w:val="Reftext"/>
      </w:pPr>
      <w:r w:rsidRPr="00B76C09">
        <w:t>[1]</w:t>
      </w:r>
      <w:r w:rsidRPr="00B76C09">
        <w:tab/>
        <w:t>Отчет МСЭ-R BT.</w:t>
      </w:r>
      <w:proofErr w:type="gramStart"/>
      <w:r w:rsidRPr="00B76C09">
        <w:t>2408-8</w:t>
      </w:r>
      <w:proofErr w:type="gramEnd"/>
      <w:r w:rsidR="007D4F48" w:rsidRPr="00B76C09">
        <w:t>,</w:t>
      </w:r>
      <w:r w:rsidRPr="00B76C09">
        <w:t xml:space="preserve"> </w:t>
      </w:r>
      <w:r w:rsidRPr="00B76C09">
        <w:rPr>
          <w:i/>
          <w:iCs/>
        </w:rPr>
        <w:t xml:space="preserve">Руководство по </w:t>
      </w:r>
      <w:r w:rsidRPr="001358E2">
        <w:rPr>
          <w:i/>
          <w:iCs/>
        </w:rPr>
        <w:t>эксплуатационной</w:t>
      </w:r>
      <w:r w:rsidRPr="00B76C09">
        <w:rPr>
          <w:i/>
          <w:iCs/>
        </w:rPr>
        <w:t xml:space="preserve"> практике при производстве</w:t>
      </w:r>
      <w:r w:rsidR="00C365D3" w:rsidRPr="00B76C09">
        <w:rPr>
          <w:i/>
          <w:iCs/>
        </w:rPr>
        <w:t> </w:t>
      </w:r>
      <w:r w:rsidRPr="00B76C09">
        <w:rPr>
          <w:i/>
          <w:iCs/>
        </w:rPr>
        <w:t>программ телевидения большого динамического диапазона</w:t>
      </w:r>
      <w:r w:rsidRPr="00B76C09">
        <w:t xml:space="preserve"> </w:t>
      </w:r>
      <w:r w:rsidRPr="001358E2">
        <w:t>(раздел</w:t>
      </w:r>
      <w:r w:rsidR="00C365D3" w:rsidRPr="001358E2">
        <w:t> </w:t>
      </w:r>
      <w:r w:rsidRPr="001358E2">
        <w:t>7 и Приложения 9, 10, 11)</w:t>
      </w:r>
      <w:r w:rsidRPr="001358E2">
        <w:rPr>
          <w:i/>
          <w:iCs/>
        </w:rPr>
        <w:t>.</w:t>
      </w:r>
    </w:p>
    <w:p w14:paraId="36D347E8" w14:textId="77777777" w:rsidR="001B6BE1" w:rsidRPr="00B76C09" w:rsidRDefault="001B6BE1" w:rsidP="001B6BE1"/>
    <w:p w14:paraId="627A4EAB" w14:textId="77777777" w:rsidR="001B6BE1" w:rsidRPr="004F3F6F" w:rsidRDefault="001B6BE1" w:rsidP="001B6BE1">
      <w:pPr>
        <w:pStyle w:val="Line"/>
        <w:rPr>
          <w:lang w:val="fr-FR"/>
        </w:rPr>
      </w:pPr>
    </w:p>
    <w:sectPr w:rsidR="001B6BE1" w:rsidRPr="004F3F6F" w:rsidSect="008B0F0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1418" w:right="1134" w:bottom="1134" w:left="1134" w:header="720" w:footer="4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919ED" w14:textId="77777777" w:rsidR="001D407F" w:rsidRPr="00B76C09" w:rsidRDefault="001D407F">
      <w:r w:rsidRPr="00B76C09">
        <w:separator/>
      </w:r>
    </w:p>
  </w:endnote>
  <w:endnote w:type="continuationSeparator" w:id="0">
    <w:p w14:paraId="09C39FB9" w14:textId="77777777" w:rsidR="001D407F" w:rsidRPr="00B76C09" w:rsidRDefault="001D407F">
      <w:r w:rsidRPr="00B76C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Medium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3" w:csb1="00000000"/>
  </w:font>
  <w:font w:name="AvenirNext LT Pro Regula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7BC0A" w14:textId="77777777" w:rsidR="009E7C05" w:rsidRPr="00B76C09" w:rsidRDefault="009E7C05">
    <w:pPr>
      <w:pStyle w:val="Footer"/>
      <w:rPr>
        <w:noProof w:val="0"/>
      </w:rPr>
    </w:pPr>
    <w:r w:rsidRPr="00B76C09">
      <w:rPr>
        <w:noProof w:val="0"/>
      </w:rPr>
      <w:drawing>
        <wp:anchor distT="0" distB="0" distL="0" distR="0" simplePos="0" relativeHeight="251657216" behindDoc="0" locked="0" layoutInCell="1" allowOverlap="1" wp14:anchorId="00C6E6A8" wp14:editId="698B75D9">
          <wp:simplePos x="0" y="0"/>
          <wp:positionH relativeFrom="page">
            <wp:posOffset>6346209</wp:posOffset>
          </wp:positionH>
          <wp:positionV relativeFrom="page">
            <wp:posOffset>9501505</wp:posOffset>
          </wp:positionV>
          <wp:extent cx="738000" cy="813600"/>
          <wp:effectExtent l="0" t="0" r="0" b="0"/>
          <wp:wrapNone/>
          <wp:docPr id="1" name="image1.png" descr="International Telecommunication Un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nternational Telecommunication Union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8000" cy="81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CB6D1" w14:textId="77777777" w:rsidR="006C3305" w:rsidRPr="00B76C09" w:rsidRDefault="006C3305">
    <w:pPr>
      <w:pStyle w:val="Footer"/>
      <w:rPr>
        <w:noProof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F0F5C" w14:textId="77777777" w:rsidR="006C3305" w:rsidRPr="00B76C09" w:rsidRDefault="006C3305">
    <w:pPr>
      <w:pStyle w:val="Footer"/>
      <w:rPr>
        <w:noProof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399B4" w14:textId="2471A30B" w:rsidR="006C3305" w:rsidRPr="00B76C09" w:rsidRDefault="006C3305">
    <w:pPr>
      <w:pStyle w:val="Footer"/>
      <w:rPr>
        <w:noProof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A83B1" w14:textId="77777777" w:rsidR="006C3305" w:rsidRPr="00B76C09" w:rsidRDefault="006C3305">
    <w:pPr>
      <w:pStyle w:val="Footer"/>
      <w:rPr>
        <w:noProof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B5AF2" w14:textId="77777777" w:rsidR="001D407F" w:rsidRPr="00B76C09" w:rsidRDefault="001D407F">
      <w:r w:rsidRPr="00B76C09">
        <w:separator/>
      </w:r>
    </w:p>
  </w:footnote>
  <w:footnote w:type="continuationSeparator" w:id="0">
    <w:p w14:paraId="46F51616" w14:textId="77777777" w:rsidR="001D407F" w:rsidRPr="00B76C09" w:rsidRDefault="001D407F">
      <w:r w:rsidRPr="00B76C09">
        <w:continuationSeparator/>
      </w:r>
    </w:p>
  </w:footnote>
  <w:footnote w:id="1">
    <w:p w14:paraId="0B5DEA12" w14:textId="77777777" w:rsidR="008F1F77" w:rsidRPr="002264A4" w:rsidRDefault="008F1F77" w:rsidP="008F1F77">
      <w:pPr>
        <w:pStyle w:val="FootnoteText"/>
      </w:pPr>
      <w:r w:rsidRPr="00B76C09">
        <w:rPr>
          <w:rStyle w:val="FootnoteReference"/>
        </w:rPr>
        <w:footnoteRef/>
      </w:r>
      <w:r w:rsidRPr="00B76C09">
        <w:tab/>
        <w:t>"Производство программ HDR с одной мастер-копией" − это метод производства, при котором в видеомикшере (видеокоммутаторе) используется один (мастер) видеоформат HDR. Результат "производства программ HDR с одной мастер-копией" наряду с основным выходным сигналом HDR одновременно включает выходной сигнал SDR, полученный путем понижающего преобразования.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BF7A1" w14:textId="77777777" w:rsidR="009E7C05" w:rsidRPr="00B76C09" w:rsidRDefault="009E7C05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tblInd w:w="-3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74"/>
      <w:gridCol w:w="5916"/>
    </w:tblGrid>
    <w:tr w:rsidR="009E7C05" w:rsidRPr="00B76C09" w14:paraId="744105BD" w14:textId="77777777" w:rsidTr="0019307B">
      <w:tc>
        <w:tcPr>
          <w:tcW w:w="4634" w:type="dxa"/>
          <w:vAlign w:val="center"/>
        </w:tcPr>
        <w:p w14:paraId="34AEFC88" w14:textId="77777777" w:rsidR="009E7C05" w:rsidRPr="00B76C09" w:rsidRDefault="009E7C05" w:rsidP="00B9169E">
          <w:pPr>
            <w:pStyle w:val="Header"/>
            <w:jc w:val="left"/>
            <w:rPr>
              <w:rFonts w:ascii="Arial Black" w:hAnsi="Arial Black" w:cs="Arial"/>
              <w:color w:val="FFFFFF" w:themeColor="background1"/>
              <w:sz w:val="32"/>
              <w:szCs w:val="32"/>
            </w:rPr>
          </w:pPr>
          <w:r w:rsidRPr="00B76C09">
            <w:rPr>
              <w:rFonts w:ascii="Arial Black" w:hAnsi="Arial Black" w:cs="Arial"/>
              <w:color w:val="FFFFFF" w:themeColor="background1"/>
              <w:sz w:val="32"/>
              <w:szCs w:val="32"/>
            </w:rPr>
            <w:t xml:space="preserve"> </w:t>
          </w:r>
        </w:p>
      </w:tc>
      <w:tc>
        <w:tcPr>
          <w:tcW w:w="5998" w:type="dxa"/>
          <w:vAlign w:val="center"/>
        </w:tcPr>
        <w:p w14:paraId="381AB93C" w14:textId="77777777" w:rsidR="009E7C05" w:rsidRPr="00B76C09" w:rsidRDefault="009E7C05" w:rsidP="00744F8B">
          <w:pPr>
            <w:pStyle w:val="Header"/>
            <w:jc w:val="right"/>
            <w:rPr>
              <w:rFonts w:asciiTheme="minorBidi" w:hAnsiTheme="minorBidi"/>
              <w:b/>
              <w:spacing w:val="4"/>
              <w:szCs w:val="24"/>
            </w:rPr>
          </w:pPr>
          <w:r w:rsidRPr="00B76C09">
            <w:rPr>
              <w:rFonts w:asciiTheme="minorBidi" w:hAnsiTheme="minorBidi"/>
              <w:b/>
              <w:spacing w:val="4"/>
              <w:szCs w:val="24"/>
            </w:rPr>
            <w:t>Международный союз электросвязи</w:t>
          </w:r>
        </w:p>
      </w:tc>
    </w:tr>
    <w:tr w:rsidR="009E7C05" w:rsidRPr="00B76C09" w14:paraId="4C43BFF2" w14:textId="77777777" w:rsidTr="0019307B">
      <w:tc>
        <w:tcPr>
          <w:tcW w:w="4634" w:type="dxa"/>
          <w:vAlign w:val="center"/>
        </w:tcPr>
        <w:p w14:paraId="7D8626C8" w14:textId="77777777" w:rsidR="009E7C05" w:rsidRPr="00B76C09" w:rsidRDefault="009E7C05" w:rsidP="00744F8B">
          <w:pPr>
            <w:pStyle w:val="Header"/>
            <w:jc w:val="left"/>
            <w:rPr>
              <w:rFonts w:asciiTheme="minorBidi" w:hAnsiTheme="minorBidi"/>
              <w:spacing w:val="4"/>
              <w:sz w:val="21"/>
              <w:szCs w:val="21"/>
            </w:rPr>
          </w:pPr>
          <w:r w:rsidRPr="00B76C09">
            <w:rPr>
              <w:rFonts w:asciiTheme="minorBidi" w:hAnsiTheme="minorBidi"/>
              <w:spacing w:val="4"/>
              <w:szCs w:val="24"/>
            </w:rPr>
            <w:t>Рекомендации</w:t>
          </w:r>
        </w:p>
      </w:tc>
      <w:tc>
        <w:tcPr>
          <w:tcW w:w="5998" w:type="dxa"/>
          <w:vAlign w:val="center"/>
        </w:tcPr>
        <w:p w14:paraId="1E8AC211" w14:textId="77777777" w:rsidR="009E7C05" w:rsidRPr="00B76C09" w:rsidRDefault="009E7C05" w:rsidP="00744F8B">
          <w:pPr>
            <w:pStyle w:val="Header"/>
            <w:jc w:val="right"/>
            <w:rPr>
              <w:rFonts w:asciiTheme="minorBidi" w:hAnsiTheme="minorBidi"/>
              <w:spacing w:val="4"/>
              <w:szCs w:val="24"/>
            </w:rPr>
          </w:pPr>
          <w:r w:rsidRPr="00B76C09">
            <w:rPr>
              <w:rFonts w:asciiTheme="minorBidi" w:hAnsiTheme="minorBidi"/>
              <w:spacing w:val="4"/>
              <w:szCs w:val="24"/>
            </w:rPr>
            <w:t>Сектор радиосвязи</w:t>
          </w:r>
        </w:p>
      </w:tc>
    </w:tr>
  </w:tbl>
  <w:p w14:paraId="5E27827A" w14:textId="77777777" w:rsidR="009E7C05" w:rsidRPr="00B76C09" w:rsidRDefault="009E7C05" w:rsidP="004A6FEB">
    <w:pPr>
      <w:pStyle w:val="Header"/>
    </w:pPr>
    <w:r w:rsidRPr="00B76C09">
      <w:rPr>
        <w:rFonts w:ascii="Arial Black" w:hAnsi="Arial Black" w:cs="Arial"/>
        <w:sz w:val="32"/>
        <w:szCs w:val="32"/>
      </w:rPr>
      <w:drawing>
        <wp:anchor distT="0" distB="0" distL="114300" distR="114300" simplePos="0" relativeHeight="251660288" behindDoc="0" locked="0" layoutInCell="1" allowOverlap="1" wp14:anchorId="0FD9E688" wp14:editId="3683D9F8">
          <wp:simplePos x="0" y="0"/>
          <wp:positionH relativeFrom="column">
            <wp:posOffset>-335280</wp:posOffset>
          </wp:positionH>
          <wp:positionV relativeFrom="paragraph">
            <wp:posOffset>-548005</wp:posOffset>
          </wp:positionV>
          <wp:extent cx="1733550" cy="374924"/>
          <wp:effectExtent l="0" t="0" r="0" b="0"/>
          <wp:wrapNone/>
          <wp:docPr id="7" name="Picture 7" descr="ITUПубликаци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TUПубликации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374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6C09">
      <w:rPr>
        <w:rFonts w:ascii="Arial" w:hAnsi="Arial" w:cs="Aria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8B119E" wp14:editId="7B4DDF60">
              <wp:simplePos x="0" y="0"/>
              <wp:positionH relativeFrom="column">
                <wp:posOffset>-106045</wp:posOffset>
              </wp:positionH>
              <wp:positionV relativeFrom="paragraph">
                <wp:posOffset>164465</wp:posOffset>
              </wp:positionV>
              <wp:extent cx="301625" cy="172085"/>
              <wp:effectExtent l="17780" t="12065" r="23495" b="15875"/>
              <wp:wrapNone/>
              <wp:docPr id="6" name="AutoShap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301625" cy="17208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F8F8F8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4E5C3B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" o:spid="_x0000_s1026" type="#_x0000_t5" alt="&quot;&quot;" style="position:absolute;margin-left:-8.35pt;margin-top:12.95pt;width:23.75pt;height:13.55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" fillcolor="white [3212]" strokecolor="#f8f8f8"/>
          </w:pict>
        </mc:Fallback>
      </mc:AlternateContent>
    </w:r>
  </w:p>
  <w:p w14:paraId="2CC55AD0" w14:textId="77777777" w:rsidR="009E7C05" w:rsidRPr="00B76C09" w:rsidRDefault="009E7C05" w:rsidP="004A6FEB">
    <w:pPr>
      <w:pStyle w:val="Header"/>
      <w:ind w:right="360"/>
      <w:jc w:val="both"/>
    </w:pPr>
    <w:r w:rsidRPr="00B76C09">
      <mc:AlternateContent>
        <mc:Choice Requires="wpg">
          <w:drawing>
            <wp:anchor distT="0" distB="0" distL="114300" distR="114300" simplePos="0" relativeHeight="251659264" behindDoc="0" locked="0" layoutInCell="1" allowOverlap="1" wp14:anchorId="20E8B0E9" wp14:editId="5BFBEA7E">
              <wp:simplePos x="0" y="0"/>
              <wp:positionH relativeFrom="page">
                <wp:posOffset>0</wp:posOffset>
              </wp:positionH>
              <wp:positionV relativeFrom="page">
                <wp:posOffset>1196340</wp:posOffset>
              </wp:positionV>
              <wp:extent cx="7560310" cy="236220"/>
              <wp:effectExtent l="9525" t="5715" r="12065" b="5715"/>
              <wp:wrapNone/>
              <wp:docPr id="2" name="docshapegroup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236220"/>
                        <a:chOff x="0" y="1884"/>
                        <a:chExt cx="11906" cy="372"/>
                      </a:xfrm>
                    </wpg:grpSpPr>
                    <wps:wsp>
                      <wps:cNvPr id="3" name="docshape7" descr="Header separator line"/>
                      <wps:cNvSpPr>
                        <a:spLocks noChangeArrowheads="1"/>
                      </wps:cNvSpPr>
                      <wps:spPr bwMode="auto">
                        <a:xfrm>
                          <a:off x="0" y="1944"/>
                          <a:ext cx="11906" cy="312"/>
                        </a:xfrm>
                        <a:prstGeom prst="rect">
                          <a:avLst/>
                        </a:prstGeom>
                        <a:solidFill>
                          <a:srgbClr val="009CD6"/>
                        </a:solidFill>
                        <a:ln w="9525">
                          <a:solidFill>
                            <a:srgbClr val="009CD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docshape8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1109" y="1884"/>
                          <a:ext cx="627" cy="314"/>
                        </a:xfrm>
                        <a:custGeom>
                          <a:avLst/>
                          <a:gdLst>
                            <a:gd name="T0" fmla="+- 0 1736 1109"/>
                            <a:gd name="T1" fmla="*/ T0 w 627"/>
                            <a:gd name="T2" fmla="+- 0 1884 1884"/>
                            <a:gd name="T3" fmla="*/ 1884 h 314"/>
                            <a:gd name="T4" fmla="+- 0 1109 1109"/>
                            <a:gd name="T5" fmla="*/ T4 w 627"/>
                            <a:gd name="T6" fmla="+- 0 1884 1884"/>
                            <a:gd name="T7" fmla="*/ 1884 h 314"/>
                            <a:gd name="T8" fmla="+- 0 1423 1109"/>
                            <a:gd name="T9" fmla="*/ T8 w 627"/>
                            <a:gd name="T10" fmla="+- 0 2197 1884"/>
                            <a:gd name="T11" fmla="*/ 2197 h 314"/>
                            <a:gd name="T12" fmla="+- 0 1736 1109"/>
                            <a:gd name="T13" fmla="*/ T12 w 627"/>
                            <a:gd name="T14" fmla="+- 0 1884 1884"/>
                            <a:gd name="T15" fmla="*/ 1884 h 3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627" h="314">
                              <a:moveTo>
                                <a:pt x="627" y="0"/>
                              </a:moveTo>
                              <a:lnTo>
                                <a:pt x="0" y="0"/>
                              </a:lnTo>
                              <a:lnTo>
                                <a:pt x="314" y="313"/>
                              </a:lnTo>
                              <a:lnTo>
                                <a:pt x="627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CD6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F023F7" id="docshapegroup6" o:spid="_x0000_s1026" alt="&quot;&quot;" style="position:absolute;margin-left:0;margin-top:94.2pt;width:595.3pt;height:18.6pt;z-index:251659264;mso-position-horizontal-relative:page;mso-position-vertical-relative:page" coordorigin=",1884" coordsize="11906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">
              <v:rect id="docshape7" o:spid="_x0000_s1027" alt="Header separator line" style="position:absolute;top:1944;width:1190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" fillcolor="#009cd6" strokecolor="#009cd6"/>
              <v:shape id="docshape8" o:spid="_x0000_s1028" alt="&quot;&quot;" style="position:absolute;left:1109;top:1884;width:627;height:314;visibility:visible;mso-wrap-style:square;v-text-anchor:top" coordsize="62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" path="m627,l,,314,313,627,xe" fillcolor="white [3212]" stroked="f" strokecolor="#009cd6">
                <v:path arrowok="t" o:connecttype="custom" o:connectlocs="627,1884;0,1884;314,2197;627,1884" o:connectangles="0,0,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5A3B7" w14:textId="3DEA9EC6" w:rsidR="00CB5488" w:rsidRPr="00B76C09" w:rsidRDefault="00CB5488" w:rsidP="00020FCC">
    <w:pPr>
      <w:pStyle w:val="Header"/>
      <w:jc w:val="left"/>
    </w:pPr>
    <w:r w:rsidRPr="00B76C09">
      <w:rPr>
        <w:rStyle w:val="PageNumber"/>
        <w:b/>
        <w:bCs/>
      </w:rPr>
      <w:fldChar w:fldCharType="begin"/>
    </w:r>
    <w:r w:rsidRPr="00B76C09">
      <w:rPr>
        <w:rStyle w:val="PageNumber"/>
        <w:b/>
        <w:bCs/>
      </w:rPr>
      <w:instrText xml:space="preserve"> PAGE </w:instrText>
    </w:r>
    <w:r w:rsidRPr="00B76C09">
      <w:rPr>
        <w:rStyle w:val="PageNumber"/>
        <w:b/>
        <w:bCs/>
      </w:rPr>
      <w:fldChar w:fldCharType="separate"/>
    </w:r>
    <w:r w:rsidR="00652125" w:rsidRPr="00B76C09">
      <w:rPr>
        <w:rStyle w:val="PageNumber"/>
        <w:b/>
        <w:bCs/>
      </w:rPr>
      <w:t>ii</w:t>
    </w:r>
    <w:r w:rsidRPr="00B76C09">
      <w:rPr>
        <w:rStyle w:val="PageNumber"/>
        <w:b/>
        <w:bCs/>
      </w:rPr>
      <w:fldChar w:fldCharType="end"/>
    </w:r>
    <w:r w:rsidRPr="00B76C09">
      <w:tab/>
    </w:r>
    <w:r w:rsidR="00020FCC" w:rsidRPr="00B76C09">
      <w:rPr>
        <w:b/>
        <w:szCs w:val="22"/>
      </w:rPr>
      <w:t xml:space="preserve">Рек.  </w:t>
    </w:r>
    <w:r w:rsidR="00020FCC" w:rsidRPr="00B76C09">
      <w:rPr>
        <w:b/>
        <w:bCs/>
        <w:szCs w:val="22"/>
      </w:rPr>
      <w:fldChar w:fldCharType="begin"/>
    </w:r>
    <w:r w:rsidR="00020FCC" w:rsidRPr="00B76C09">
      <w:rPr>
        <w:b/>
        <w:bCs/>
        <w:szCs w:val="22"/>
      </w:rPr>
      <w:instrText>styleref href</w:instrText>
    </w:r>
    <w:r w:rsidR="00020FCC" w:rsidRPr="00B76C09">
      <w:rPr>
        <w:b/>
        <w:bCs/>
        <w:szCs w:val="22"/>
      </w:rPr>
      <w:fldChar w:fldCharType="separate"/>
    </w:r>
    <w:r w:rsidR="00436F7E">
      <w:rPr>
        <w:b/>
        <w:bCs/>
        <w:noProof/>
        <w:szCs w:val="22"/>
      </w:rPr>
      <w:t>МСЭ-R  BT.2166-0</w:t>
    </w:r>
    <w:r w:rsidR="00020FCC" w:rsidRPr="00B76C09">
      <w:rPr>
        <w:b/>
        <w:bCs/>
        <w:szCs w:val="22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2A3A" w14:textId="4838CB67" w:rsidR="00CB5488" w:rsidRPr="00B76C09" w:rsidRDefault="00CB5488">
    <w:pPr>
      <w:pStyle w:val="Header"/>
    </w:pPr>
    <w:r w:rsidRPr="00B76C09">
      <w:tab/>
    </w:r>
    <w:r w:rsidR="00B1099F" w:rsidRPr="00B76C09">
      <w:rPr>
        <w:b/>
        <w:bCs/>
      </w:rPr>
      <w:t>Рек.</w:t>
    </w:r>
    <w:r w:rsidR="00B1099F" w:rsidRPr="00B76C09">
      <w:t xml:space="preserve">  </w:t>
    </w:r>
    <w:r w:rsidRPr="00B76C09">
      <w:rPr>
        <w:b/>
        <w:bCs/>
      </w:rPr>
      <w:fldChar w:fldCharType="begin"/>
    </w:r>
    <w:r w:rsidRPr="00B76C09">
      <w:rPr>
        <w:b/>
        <w:bCs/>
      </w:rPr>
      <w:instrText>styleref href</w:instrText>
    </w:r>
    <w:r w:rsidRPr="00B76C09">
      <w:rPr>
        <w:b/>
        <w:bCs/>
      </w:rPr>
      <w:fldChar w:fldCharType="separate"/>
    </w:r>
    <w:r w:rsidR="00436F7E">
      <w:rPr>
        <w:b/>
        <w:bCs/>
        <w:noProof/>
      </w:rPr>
      <w:t>МСЭ-R  BT.2166-0</w:t>
    </w:r>
    <w:r w:rsidRPr="00B76C09">
      <w:rPr>
        <w:b/>
        <w:bCs/>
      </w:rPr>
      <w:fldChar w:fldCharType="end"/>
    </w:r>
    <w:r w:rsidRPr="00B76C09">
      <w:tab/>
    </w:r>
    <w:r w:rsidRPr="00B76C09">
      <w:rPr>
        <w:rStyle w:val="PageNumber"/>
        <w:b/>
        <w:bCs/>
      </w:rPr>
      <w:fldChar w:fldCharType="begin"/>
    </w:r>
    <w:r w:rsidRPr="00B76C09">
      <w:rPr>
        <w:rStyle w:val="PageNumber"/>
        <w:b/>
        <w:bCs/>
      </w:rPr>
      <w:instrText xml:space="preserve"> PAGE </w:instrText>
    </w:r>
    <w:r w:rsidRPr="00B76C09">
      <w:rPr>
        <w:rStyle w:val="PageNumber"/>
        <w:b/>
        <w:bCs/>
      </w:rPr>
      <w:fldChar w:fldCharType="separate"/>
    </w:r>
    <w:r w:rsidR="004B5A61" w:rsidRPr="00B76C09">
      <w:rPr>
        <w:rStyle w:val="PageNumber"/>
        <w:b/>
        <w:bCs/>
      </w:rPr>
      <w:t>iii</w:t>
    </w:r>
    <w:r w:rsidRPr="00B76C09">
      <w:rPr>
        <w:rStyle w:val="PageNumber"/>
        <w:b/>
        <w:bCs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21E5F" w14:textId="0271C52D" w:rsidR="00B1099F" w:rsidRPr="00B76C09" w:rsidRDefault="00B1099F" w:rsidP="00020FCC">
    <w:pPr>
      <w:pStyle w:val="Header"/>
      <w:jc w:val="left"/>
    </w:pPr>
    <w:r w:rsidRPr="00B76C09">
      <w:rPr>
        <w:rStyle w:val="PageNumber"/>
        <w:b/>
        <w:bCs/>
      </w:rPr>
      <w:fldChar w:fldCharType="begin"/>
    </w:r>
    <w:r w:rsidRPr="00B76C09">
      <w:rPr>
        <w:rStyle w:val="PageNumber"/>
        <w:b/>
        <w:bCs/>
      </w:rPr>
      <w:instrText xml:space="preserve"> PAGE </w:instrText>
    </w:r>
    <w:r w:rsidRPr="00B76C09">
      <w:rPr>
        <w:rStyle w:val="PageNumber"/>
        <w:b/>
        <w:bCs/>
      </w:rPr>
      <w:fldChar w:fldCharType="separate"/>
    </w:r>
    <w:r w:rsidRPr="00B76C09">
      <w:rPr>
        <w:rStyle w:val="PageNumber"/>
        <w:b/>
        <w:bCs/>
      </w:rPr>
      <w:t>ii</w:t>
    </w:r>
    <w:r w:rsidRPr="00B76C09">
      <w:rPr>
        <w:rStyle w:val="PageNumber"/>
        <w:b/>
        <w:bCs/>
      </w:rPr>
      <w:fldChar w:fldCharType="end"/>
    </w:r>
    <w:r w:rsidRPr="00B76C09">
      <w:tab/>
    </w:r>
    <w:r w:rsidRPr="00B76C09">
      <w:rPr>
        <w:b/>
        <w:szCs w:val="22"/>
      </w:rPr>
      <w:t xml:space="preserve">Рек.  </w:t>
    </w:r>
    <w:r w:rsidRPr="00B76C09">
      <w:rPr>
        <w:b/>
        <w:bCs/>
        <w:szCs w:val="22"/>
      </w:rPr>
      <w:fldChar w:fldCharType="begin"/>
    </w:r>
    <w:r w:rsidRPr="00B76C09">
      <w:rPr>
        <w:b/>
        <w:bCs/>
        <w:szCs w:val="22"/>
      </w:rPr>
      <w:instrText>styleref href</w:instrText>
    </w:r>
    <w:r w:rsidRPr="00B76C09">
      <w:rPr>
        <w:b/>
        <w:bCs/>
        <w:szCs w:val="22"/>
      </w:rPr>
      <w:fldChar w:fldCharType="separate"/>
    </w:r>
    <w:r w:rsidR="00436F7E">
      <w:rPr>
        <w:b/>
        <w:bCs/>
        <w:noProof/>
        <w:szCs w:val="22"/>
      </w:rPr>
      <w:t>МСЭ-R  BT.2166-0</w:t>
    </w:r>
    <w:r w:rsidRPr="00B76C09">
      <w:rPr>
        <w:b/>
        <w:bCs/>
        <w:szCs w:val="22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7AB24" w14:textId="3790B84B" w:rsidR="00B1099F" w:rsidRPr="00B76C09" w:rsidRDefault="00B1099F">
    <w:pPr>
      <w:pStyle w:val="Header"/>
    </w:pPr>
    <w:r w:rsidRPr="00B76C09">
      <w:tab/>
    </w:r>
    <w:r w:rsidRPr="00B76C09">
      <w:rPr>
        <w:b/>
        <w:bCs/>
      </w:rPr>
      <w:t>Рек.</w:t>
    </w:r>
    <w:r w:rsidRPr="00B76C09">
      <w:t xml:space="preserve">  </w:t>
    </w:r>
    <w:r w:rsidRPr="00B76C09">
      <w:rPr>
        <w:b/>
        <w:bCs/>
      </w:rPr>
      <w:fldChar w:fldCharType="begin"/>
    </w:r>
    <w:r w:rsidRPr="00B76C09">
      <w:rPr>
        <w:b/>
        <w:bCs/>
      </w:rPr>
      <w:instrText>styleref href</w:instrText>
    </w:r>
    <w:r w:rsidRPr="00B76C09">
      <w:rPr>
        <w:b/>
        <w:bCs/>
      </w:rPr>
      <w:fldChar w:fldCharType="separate"/>
    </w:r>
    <w:r w:rsidR="00436F7E">
      <w:rPr>
        <w:b/>
        <w:bCs/>
        <w:noProof/>
      </w:rPr>
      <w:t>МСЭ-R  BT.2166-0</w:t>
    </w:r>
    <w:r w:rsidRPr="00B76C09">
      <w:rPr>
        <w:b/>
        <w:bCs/>
      </w:rPr>
      <w:fldChar w:fldCharType="end"/>
    </w:r>
    <w:r w:rsidRPr="00B76C09">
      <w:tab/>
    </w:r>
    <w:r w:rsidRPr="00B76C09">
      <w:rPr>
        <w:rStyle w:val="PageNumber"/>
        <w:b/>
        <w:bCs/>
      </w:rPr>
      <w:fldChar w:fldCharType="begin"/>
    </w:r>
    <w:r w:rsidRPr="00B76C09">
      <w:rPr>
        <w:rStyle w:val="PageNumber"/>
        <w:b/>
        <w:bCs/>
      </w:rPr>
      <w:instrText xml:space="preserve"> PAGE </w:instrText>
    </w:r>
    <w:r w:rsidRPr="00B76C09">
      <w:rPr>
        <w:rStyle w:val="PageNumber"/>
        <w:b/>
        <w:bCs/>
      </w:rPr>
      <w:fldChar w:fldCharType="separate"/>
    </w:r>
    <w:r w:rsidRPr="00B76C09">
      <w:rPr>
        <w:rStyle w:val="PageNumber"/>
        <w:b/>
        <w:bCs/>
      </w:rPr>
      <w:t>iii</w:t>
    </w:r>
    <w:r w:rsidRPr="00B76C09">
      <w:rPr>
        <w:rStyle w:val="PageNumber"/>
        <w:b/>
        <w:bCs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2BB4B" w14:textId="0110C94C" w:rsidR="00805C36" w:rsidRPr="00B76C09" w:rsidRDefault="000F09B1" w:rsidP="009D71E4">
    <w:pPr>
      <w:pStyle w:val="Header"/>
      <w:rPr>
        <w:b/>
        <w:bCs/>
      </w:rPr>
    </w:pPr>
    <w:r w:rsidRPr="00B76C09">
      <w:rPr>
        <w:b/>
        <w:bCs/>
      </w:rPr>
      <w:tab/>
      <w:t xml:space="preserve">Рек.  </w:t>
    </w:r>
    <w:r w:rsidRPr="00B76C09">
      <w:rPr>
        <w:b/>
        <w:bCs/>
      </w:rPr>
      <w:fldChar w:fldCharType="begin"/>
    </w:r>
    <w:r w:rsidRPr="00B76C09">
      <w:rPr>
        <w:b/>
        <w:bCs/>
      </w:rPr>
      <w:instrText>styleref href</w:instrText>
    </w:r>
    <w:r w:rsidRPr="00B76C09">
      <w:rPr>
        <w:b/>
        <w:bCs/>
      </w:rPr>
      <w:fldChar w:fldCharType="separate"/>
    </w:r>
    <w:r w:rsidR="00436F7E">
      <w:rPr>
        <w:b/>
        <w:bCs/>
        <w:noProof/>
      </w:rPr>
      <w:t>МСЭ-R  BT.2166-0</w:t>
    </w:r>
    <w:r w:rsidRPr="00B76C09">
      <w:rPr>
        <w:b/>
        <w:bCs/>
      </w:rPr>
      <w:fldChar w:fldCharType="end"/>
    </w:r>
    <w:r w:rsidRPr="00B76C09">
      <w:rPr>
        <w:b/>
        <w:bCs/>
      </w:rPr>
      <w:tab/>
    </w:r>
    <w:r w:rsidRPr="00B76C09">
      <w:rPr>
        <w:rStyle w:val="PageNumber"/>
        <w:b/>
        <w:bCs/>
      </w:rPr>
      <w:fldChar w:fldCharType="begin"/>
    </w:r>
    <w:r w:rsidRPr="00B76C09">
      <w:rPr>
        <w:rStyle w:val="PageNumber"/>
        <w:b/>
        <w:bCs/>
      </w:rPr>
      <w:instrText xml:space="preserve"> PAGE </w:instrText>
    </w:r>
    <w:r w:rsidRPr="00B76C09">
      <w:rPr>
        <w:rStyle w:val="PageNumber"/>
        <w:b/>
        <w:bCs/>
      </w:rPr>
      <w:fldChar w:fldCharType="separate"/>
    </w:r>
    <w:r w:rsidR="00652125" w:rsidRPr="00B76C09">
      <w:rPr>
        <w:rStyle w:val="PageNumber"/>
        <w:b/>
        <w:bCs/>
      </w:rPr>
      <w:t>1</w:t>
    </w:r>
    <w:r w:rsidRPr="00B76C09">
      <w:rPr>
        <w:rStyle w:val="PageNumber"/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E0741"/>
    <w:multiLevelType w:val="hybridMultilevel"/>
    <w:tmpl w:val="73506790"/>
    <w:lvl w:ilvl="0" w:tplc="9FA02DF4">
      <w:numFmt w:val="bullet"/>
      <w:lvlText w:val="–"/>
      <w:lvlJc w:val="left"/>
      <w:pPr>
        <w:tabs>
          <w:tab w:val="num" w:pos="795"/>
        </w:tabs>
        <w:ind w:left="795" w:hanging="79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5147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mirrorMargins/>
  <w:activeWritingStyle w:appName="MSWord" w:lang="en-US" w:vendorID="64" w:dllVersion="5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fr-CH" w:vendorID="64" w:dllVersion="6" w:nlCheck="1" w:checkStyle="1"/>
  <w:activeWritingStyle w:appName="MSWord" w:lang="es-ES_tradnl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80897">
      <o:colormru v:ext="edit" colors="#d62a47"/>
      <o:colormenu v:ext="edit" strokecolor="#d62a4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4ED7"/>
    <w:rsid w:val="00013002"/>
    <w:rsid w:val="00020FCC"/>
    <w:rsid w:val="00023864"/>
    <w:rsid w:val="00036EE3"/>
    <w:rsid w:val="00072484"/>
    <w:rsid w:val="000745B3"/>
    <w:rsid w:val="00096612"/>
    <w:rsid w:val="00097C70"/>
    <w:rsid w:val="000B7683"/>
    <w:rsid w:val="000D0677"/>
    <w:rsid w:val="000E6A6E"/>
    <w:rsid w:val="000F09B1"/>
    <w:rsid w:val="000F2C79"/>
    <w:rsid w:val="00102934"/>
    <w:rsid w:val="00127730"/>
    <w:rsid w:val="00131900"/>
    <w:rsid w:val="00135623"/>
    <w:rsid w:val="001358E2"/>
    <w:rsid w:val="00147110"/>
    <w:rsid w:val="001511A6"/>
    <w:rsid w:val="001821A0"/>
    <w:rsid w:val="00197B47"/>
    <w:rsid w:val="001A225C"/>
    <w:rsid w:val="001B6BE1"/>
    <w:rsid w:val="001D407F"/>
    <w:rsid w:val="001D53F9"/>
    <w:rsid w:val="001D5525"/>
    <w:rsid w:val="002058CE"/>
    <w:rsid w:val="002165F1"/>
    <w:rsid w:val="002174DA"/>
    <w:rsid w:val="002510BD"/>
    <w:rsid w:val="0025422D"/>
    <w:rsid w:val="00272A10"/>
    <w:rsid w:val="00276D21"/>
    <w:rsid w:val="00296D7F"/>
    <w:rsid w:val="002B3CF6"/>
    <w:rsid w:val="002C768A"/>
    <w:rsid w:val="002D76C4"/>
    <w:rsid w:val="002E2C47"/>
    <w:rsid w:val="002F5199"/>
    <w:rsid w:val="00305A41"/>
    <w:rsid w:val="00356B5D"/>
    <w:rsid w:val="0036003A"/>
    <w:rsid w:val="003646F2"/>
    <w:rsid w:val="003A38D7"/>
    <w:rsid w:val="003C38BA"/>
    <w:rsid w:val="003F2D6C"/>
    <w:rsid w:val="00420DFD"/>
    <w:rsid w:val="00424855"/>
    <w:rsid w:val="00436F7E"/>
    <w:rsid w:val="00437A76"/>
    <w:rsid w:val="00470E28"/>
    <w:rsid w:val="00477D27"/>
    <w:rsid w:val="00484A27"/>
    <w:rsid w:val="004934C5"/>
    <w:rsid w:val="004A517F"/>
    <w:rsid w:val="004B5A61"/>
    <w:rsid w:val="004C6600"/>
    <w:rsid w:val="004E05E5"/>
    <w:rsid w:val="004E1938"/>
    <w:rsid w:val="00520E77"/>
    <w:rsid w:val="005256DE"/>
    <w:rsid w:val="00525E38"/>
    <w:rsid w:val="00556548"/>
    <w:rsid w:val="00571788"/>
    <w:rsid w:val="005728F1"/>
    <w:rsid w:val="00586EF8"/>
    <w:rsid w:val="005A127F"/>
    <w:rsid w:val="005B49AB"/>
    <w:rsid w:val="005B50E7"/>
    <w:rsid w:val="005E7B4F"/>
    <w:rsid w:val="00601882"/>
    <w:rsid w:val="00607D68"/>
    <w:rsid w:val="006114CA"/>
    <w:rsid w:val="00613212"/>
    <w:rsid w:val="006149B1"/>
    <w:rsid w:val="006369A3"/>
    <w:rsid w:val="00652125"/>
    <w:rsid w:val="00680D2B"/>
    <w:rsid w:val="00681B32"/>
    <w:rsid w:val="006B1D2B"/>
    <w:rsid w:val="006B3748"/>
    <w:rsid w:val="006C3305"/>
    <w:rsid w:val="006E1131"/>
    <w:rsid w:val="006E2037"/>
    <w:rsid w:val="006E6199"/>
    <w:rsid w:val="00712870"/>
    <w:rsid w:val="00717C71"/>
    <w:rsid w:val="00743D85"/>
    <w:rsid w:val="00753CF4"/>
    <w:rsid w:val="007565CC"/>
    <w:rsid w:val="00763B9A"/>
    <w:rsid w:val="007910AE"/>
    <w:rsid w:val="007A6AA8"/>
    <w:rsid w:val="007D056D"/>
    <w:rsid w:val="007D4F48"/>
    <w:rsid w:val="00805C36"/>
    <w:rsid w:val="008310C9"/>
    <w:rsid w:val="00852A54"/>
    <w:rsid w:val="00853CC5"/>
    <w:rsid w:val="00870848"/>
    <w:rsid w:val="00876395"/>
    <w:rsid w:val="008A0ADD"/>
    <w:rsid w:val="008A5C81"/>
    <w:rsid w:val="008B0F02"/>
    <w:rsid w:val="008C7848"/>
    <w:rsid w:val="008E79DF"/>
    <w:rsid w:val="008F1F77"/>
    <w:rsid w:val="00906589"/>
    <w:rsid w:val="00906AD6"/>
    <w:rsid w:val="00917AF2"/>
    <w:rsid w:val="0092418A"/>
    <w:rsid w:val="00934ED7"/>
    <w:rsid w:val="009543C3"/>
    <w:rsid w:val="00966E1B"/>
    <w:rsid w:val="0098568D"/>
    <w:rsid w:val="009947C0"/>
    <w:rsid w:val="009A1747"/>
    <w:rsid w:val="009D71E4"/>
    <w:rsid w:val="009E3058"/>
    <w:rsid w:val="009E7C05"/>
    <w:rsid w:val="009F2D2C"/>
    <w:rsid w:val="00A25DEC"/>
    <w:rsid w:val="00A31928"/>
    <w:rsid w:val="00A62A14"/>
    <w:rsid w:val="00A6617B"/>
    <w:rsid w:val="00A71FE5"/>
    <w:rsid w:val="00A971A1"/>
    <w:rsid w:val="00AA3AD8"/>
    <w:rsid w:val="00AB0DC8"/>
    <w:rsid w:val="00AF302B"/>
    <w:rsid w:val="00B033C8"/>
    <w:rsid w:val="00B1099F"/>
    <w:rsid w:val="00B26EF5"/>
    <w:rsid w:val="00B33425"/>
    <w:rsid w:val="00B44E24"/>
    <w:rsid w:val="00B54ECC"/>
    <w:rsid w:val="00B714F3"/>
    <w:rsid w:val="00B76C09"/>
    <w:rsid w:val="00B87B6B"/>
    <w:rsid w:val="00BB283C"/>
    <w:rsid w:val="00BC1DBD"/>
    <w:rsid w:val="00BC5D77"/>
    <w:rsid w:val="00BF0366"/>
    <w:rsid w:val="00BF487A"/>
    <w:rsid w:val="00C365D3"/>
    <w:rsid w:val="00C46BD9"/>
    <w:rsid w:val="00C55258"/>
    <w:rsid w:val="00C73560"/>
    <w:rsid w:val="00C904F9"/>
    <w:rsid w:val="00CA7519"/>
    <w:rsid w:val="00CB0F14"/>
    <w:rsid w:val="00CB5488"/>
    <w:rsid w:val="00CD659B"/>
    <w:rsid w:val="00CE0A43"/>
    <w:rsid w:val="00D10006"/>
    <w:rsid w:val="00D27E6C"/>
    <w:rsid w:val="00D40303"/>
    <w:rsid w:val="00D54BEC"/>
    <w:rsid w:val="00D740F2"/>
    <w:rsid w:val="00D83556"/>
    <w:rsid w:val="00DF4176"/>
    <w:rsid w:val="00DF48BB"/>
    <w:rsid w:val="00E10D7E"/>
    <w:rsid w:val="00E17240"/>
    <w:rsid w:val="00E62341"/>
    <w:rsid w:val="00E74595"/>
    <w:rsid w:val="00EB7C57"/>
    <w:rsid w:val="00ED2695"/>
    <w:rsid w:val="00ED5D31"/>
    <w:rsid w:val="00F074C2"/>
    <w:rsid w:val="00F30C9B"/>
    <w:rsid w:val="00F354B1"/>
    <w:rsid w:val="00F53FD3"/>
    <w:rsid w:val="00F76900"/>
    <w:rsid w:val="00FA1C26"/>
    <w:rsid w:val="00FA5A91"/>
    <w:rsid w:val="00FB0E4E"/>
    <w:rsid w:val="00FD3C61"/>
    <w:rsid w:val="00FE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o:colormru v:ext="edit" colors="#d62a47"/>
      <o:colormenu v:ext="edit" strokecolor="#d62a47"/>
    </o:shapedefaults>
    <o:shapelayout v:ext="edit">
      <o:idmap v:ext="edit" data="1"/>
    </o:shapelayout>
  </w:shapeDefaults>
  <w:decimalSymbol w:val="."/>
  <w:listSeparator w:val=","/>
  <w14:docId w14:val="5EC59D31"/>
  <w15:docId w15:val="{2357FB50-BD2F-4DB5-AED4-2DD1D631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0D7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5A127F"/>
    <w:pPr>
      <w:keepNext/>
      <w:keepLines/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5A127F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5A127F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5A127F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5A127F"/>
    <w:pPr>
      <w:outlineLvl w:val="4"/>
    </w:pPr>
  </w:style>
  <w:style w:type="paragraph" w:styleId="Heading6">
    <w:name w:val="heading 6"/>
    <w:basedOn w:val="Heading4"/>
    <w:next w:val="Normal"/>
    <w:qFormat/>
    <w:rsid w:val="005A127F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5A127F"/>
    <w:pPr>
      <w:outlineLvl w:val="6"/>
    </w:pPr>
  </w:style>
  <w:style w:type="paragraph" w:styleId="Heading8">
    <w:name w:val="heading 8"/>
    <w:basedOn w:val="Heading6"/>
    <w:next w:val="Normal"/>
    <w:qFormat/>
    <w:rsid w:val="005A127F"/>
    <w:pPr>
      <w:outlineLvl w:val="7"/>
    </w:pPr>
  </w:style>
  <w:style w:type="paragraph" w:styleId="Heading9">
    <w:name w:val="heading 9"/>
    <w:basedOn w:val="Heading6"/>
    <w:next w:val="Normal"/>
    <w:qFormat/>
    <w:rsid w:val="005A127F"/>
    <w:pPr>
      <w:jc w:val="left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127F"/>
    <w:pPr>
      <w:tabs>
        <w:tab w:val="clear" w:pos="794"/>
        <w:tab w:val="clear" w:pos="1191"/>
        <w:tab w:val="clear" w:pos="1588"/>
        <w:tab w:val="clear" w:pos="1985"/>
        <w:tab w:val="center" w:pos="4848"/>
        <w:tab w:val="right" w:pos="9696"/>
      </w:tabs>
      <w:spacing w:before="0"/>
      <w:jc w:val="center"/>
    </w:pPr>
  </w:style>
  <w:style w:type="paragraph" w:styleId="Footer">
    <w:name w:val="footer"/>
    <w:basedOn w:val="Normal"/>
    <w:rsid w:val="005A127F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noProof/>
      <w:sz w:val="18"/>
    </w:rPr>
  </w:style>
  <w:style w:type="character" w:styleId="PageNumber">
    <w:name w:val="page number"/>
    <w:basedOn w:val="DefaultParagraphFont"/>
    <w:rsid w:val="005A127F"/>
  </w:style>
  <w:style w:type="paragraph" w:customStyle="1" w:styleId="Headingb">
    <w:name w:val="Heading_b"/>
    <w:basedOn w:val="Heading3"/>
    <w:next w:val="Normal"/>
    <w:link w:val="HeadingbChar"/>
    <w:qFormat/>
    <w:rsid w:val="005A127F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rsid w:val="005A127F"/>
    <w:pPr>
      <w:spacing w:before="160"/>
      <w:ind w:left="0" w:firstLine="0"/>
    </w:pPr>
    <w:rPr>
      <w:b w:val="0"/>
      <w:i/>
    </w:rPr>
  </w:style>
  <w:style w:type="character" w:customStyle="1" w:styleId="href">
    <w:name w:val="href"/>
    <w:basedOn w:val="DefaultParagraphFont"/>
    <w:rsid w:val="005A127F"/>
  </w:style>
  <w:style w:type="paragraph" w:customStyle="1" w:styleId="AnnexNoTitle">
    <w:name w:val="Annex_NoTitle"/>
    <w:basedOn w:val="Heading1"/>
    <w:next w:val="Normalaftertitle"/>
    <w:link w:val="AnnexNoTitleChar"/>
    <w:rsid w:val="00023864"/>
    <w:pPr>
      <w:spacing w:after="80"/>
      <w:ind w:left="0" w:firstLine="0"/>
      <w:jc w:val="center"/>
    </w:pPr>
    <w:rPr>
      <w:sz w:val="26"/>
    </w:rPr>
  </w:style>
  <w:style w:type="paragraph" w:customStyle="1" w:styleId="Normalaftertitle">
    <w:name w:val="Normal_after_title"/>
    <w:basedOn w:val="Normal"/>
    <w:next w:val="Normal"/>
    <w:link w:val="NormalaftertitleChar"/>
    <w:rsid w:val="005A127F"/>
    <w:pPr>
      <w:spacing w:before="320"/>
    </w:pPr>
  </w:style>
  <w:style w:type="paragraph" w:customStyle="1" w:styleId="enumlev2">
    <w:name w:val="enumlev2"/>
    <w:basedOn w:val="enumlev1"/>
    <w:rsid w:val="005A127F"/>
    <w:pPr>
      <w:ind w:left="1191" w:hanging="397"/>
    </w:pPr>
  </w:style>
  <w:style w:type="paragraph" w:customStyle="1" w:styleId="enumlev1">
    <w:name w:val="enumlev1"/>
    <w:basedOn w:val="Normal"/>
    <w:link w:val="enumlev1Char"/>
    <w:rsid w:val="005A127F"/>
    <w:pPr>
      <w:spacing w:before="80"/>
      <w:ind w:left="794" w:hanging="794"/>
    </w:pPr>
  </w:style>
  <w:style w:type="paragraph" w:customStyle="1" w:styleId="enumlev3">
    <w:name w:val="enumlev3"/>
    <w:basedOn w:val="enumlev2"/>
    <w:rsid w:val="005A127F"/>
    <w:pPr>
      <w:ind w:left="1588"/>
    </w:pPr>
  </w:style>
  <w:style w:type="paragraph" w:customStyle="1" w:styleId="Note">
    <w:name w:val="Note"/>
    <w:basedOn w:val="Normal"/>
    <w:rsid w:val="008E79DF"/>
    <w:pPr>
      <w:tabs>
        <w:tab w:val="clear" w:pos="794"/>
        <w:tab w:val="clear" w:pos="1191"/>
        <w:tab w:val="clear" w:pos="1588"/>
        <w:tab w:val="clear" w:pos="1985"/>
      </w:tabs>
      <w:spacing w:before="80"/>
    </w:pPr>
    <w:rPr>
      <w:sz w:val="20"/>
    </w:rPr>
  </w:style>
  <w:style w:type="paragraph" w:customStyle="1" w:styleId="RecNo">
    <w:name w:val="Rec_No"/>
    <w:basedOn w:val="Normal"/>
    <w:next w:val="Rectitle"/>
    <w:rsid w:val="000F09B1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sz w:val="26"/>
    </w:rPr>
  </w:style>
  <w:style w:type="paragraph" w:customStyle="1" w:styleId="Rectitle">
    <w:name w:val="Rec_title"/>
    <w:basedOn w:val="Normal"/>
    <w:next w:val="Recref"/>
    <w:uiPriority w:val="99"/>
    <w:rsid w:val="000F09B1"/>
    <w:pPr>
      <w:keepNext/>
      <w:keepLines/>
      <w:spacing w:before="240"/>
      <w:jc w:val="center"/>
    </w:pPr>
    <w:rPr>
      <w:b/>
      <w:sz w:val="26"/>
    </w:rPr>
  </w:style>
  <w:style w:type="paragraph" w:customStyle="1" w:styleId="Recref">
    <w:name w:val="Rec_ref"/>
    <w:basedOn w:val="Normal"/>
    <w:next w:val="Recdate"/>
    <w:rsid w:val="005A127F"/>
    <w:pPr>
      <w:jc w:val="center"/>
    </w:pPr>
  </w:style>
  <w:style w:type="paragraph" w:customStyle="1" w:styleId="Recdate">
    <w:name w:val="Rec_date"/>
    <w:basedOn w:val="Recref"/>
    <w:next w:val="Normalaftertitle"/>
    <w:rsid w:val="005A127F"/>
    <w:pPr>
      <w:jc w:val="right"/>
    </w:pPr>
  </w:style>
  <w:style w:type="paragraph" w:customStyle="1" w:styleId="HeadingSum">
    <w:name w:val="Heading_Sum"/>
    <w:basedOn w:val="Headingb"/>
    <w:next w:val="Normal"/>
    <w:rsid w:val="005A127F"/>
    <w:pPr>
      <w:spacing w:before="240"/>
    </w:pPr>
    <w:rPr>
      <w:lang w:val="es-ES_tradnl"/>
    </w:rPr>
  </w:style>
  <w:style w:type="paragraph" w:customStyle="1" w:styleId="AppendixNoTitle">
    <w:name w:val="Appendix_NoTitle"/>
    <w:basedOn w:val="AnnexNoTitle"/>
    <w:next w:val="Normal"/>
    <w:rsid w:val="005A127F"/>
  </w:style>
  <w:style w:type="paragraph" w:customStyle="1" w:styleId="Tablefin">
    <w:name w:val="Table_fin"/>
    <w:basedOn w:val="Normal"/>
    <w:next w:val="Normal"/>
    <w:rsid w:val="005A127F"/>
    <w:pPr>
      <w:spacing w:before="0"/>
    </w:pPr>
    <w:rPr>
      <w:sz w:val="20"/>
      <w:lang w:val="en-GB"/>
    </w:rPr>
  </w:style>
  <w:style w:type="paragraph" w:customStyle="1" w:styleId="Tablehead">
    <w:name w:val="Table_head"/>
    <w:basedOn w:val="Normal"/>
    <w:next w:val="Normal"/>
    <w:link w:val="TableheadChar"/>
    <w:rsid w:val="000F09B1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legend">
    <w:name w:val="Table_legend"/>
    <w:basedOn w:val="Normal"/>
    <w:link w:val="TablelegendChar"/>
    <w:rsid w:val="000F09B1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/>
      <w:ind w:left="284" w:right="-85" w:hanging="369"/>
    </w:pPr>
    <w:rPr>
      <w:sz w:val="20"/>
    </w:rPr>
  </w:style>
  <w:style w:type="paragraph" w:customStyle="1" w:styleId="TableNo">
    <w:name w:val="Table_No"/>
    <w:basedOn w:val="Normal"/>
    <w:next w:val="Normal"/>
    <w:link w:val="TableNoChar"/>
    <w:rsid w:val="005A127F"/>
    <w:pPr>
      <w:keepNext/>
      <w:spacing w:before="360" w:after="120"/>
      <w:jc w:val="center"/>
    </w:pPr>
  </w:style>
  <w:style w:type="paragraph" w:customStyle="1" w:styleId="Tabletext">
    <w:name w:val="Table_text"/>
    <w:basedOn w:val="Normal"/>
    <w:link w:val="TabletextChar"/>
    <w:rsid w:val="000F09B1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Equation">
    <w:name w:val="Equation"/>
    <w:basedOn w:val="Normal"/>
    <w:rsid w:val="005A127F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5A127F"/>
    <w:pPr>
      <w:tabs>
        <w:tab w:val="clear" w:pos="794"/>
        <w:tab w:val="clear" w:pos="1191"/>
        <w:tab w:val="clear" w:pos="1588"/>
        <w:tab w:val="right" w:pos="1701"/>
      </w:tabs>
      <w:spacing w:before="80"/>
      <w:ind w:left="1985" w:hanging="1985"/>
    </w:pPr>
    <w:rPr>
      <w:lang w:val="en-US"/>
    </w:rPr>
  </w:style>
  <w:style w:type="paragraph" w:styleId="NormalIndent">
    <w:name w:val="Normal Indent"/>
    <w:basedOn w:val="Normal"/>
    <w:rsid w:val="005A127F"/>
    <w:pPr>
      <w:ind w:left="794"/>
    </w:pPr>
  </w:style>
  <w:style w:type="paragraph" w:customStyle="1" w:styleId="Figurelegend">
    <w:name w:val="Figure_legend"/>
    <w:basedOn w:val="Normal"/>
    <w:rsid w:val="005A127F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5A127F"/>
    <w:pPr>
      <w:keepNext/>
      <w:keepLines/>
      <w:spacing w:before="480" w:after="80"/>
      <w:jc w:val="center"/>
    </w:pPr>
    <w:rPr>
      <w:caps/>
      <w:sz w:val="18"/>
    </w:rPr>
  </w:style>
  <w:style w:type="paragraph" w:customStyle="1" w:styleId="Figuretitle">
    <w:name w:val="Figure_title"/>
    <w:basedOn w:val="Normal"/>
    <w:next w:val="Figure"/>
    <w:rsid w:val="005A127F"/>
    <w:pPr>
      <w:keepNext/>
      <w:spacing w:before="0" w:after="120"/>
      <w:jc w:val="center"/>
    </w:pPr>
    <w:rPr>
      <w:rFonts w:ascii="Times New Roman Bold" w:hAnsi="Times New Roman Bold"/>
      <w:b/>
      <w:sz w:val="18"/>
    </w:rPr>
  </w:style>
  <w:style w:type="paragraph" w:customStyle="1" w:styleId="Figure">
    <w:name w:val="Figure"/>
    <w:basedOn w:val="FigureNo"/>
    <w:next w:val="Normal"/>
    <w:rsid w:val="005A127F"/>
    <w:pPr>
      <w:keepNext w:val="0"/>
      <w:spacing w:before="0" w:after="240"/>
    </w:pPr>
  </w:style>
  <w:style w:type="paragraph" w:customStyle="1" w:styleId="tocpart">
    <w:name w:val="tocpart"/>
    <w:basedOn w:val="Normal"/>
    <w:rsid w:val="005A127F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</w:pPr>
  </w:style>
  <w:style w:type="paragraph" w:customStyle="1" w:styleId="ArtNo">
    <w:name w:val="Art_No"/>
    <w:basedOn w:val="Normal"/>
    <w:next w:val="Normal"/>
    <w:rsid w:val="000F09B1"/>
    <w:pPr>
      <w:keepNext/>
      <w:keepLines/>
      <w:spacing w:before="480"/>
      <w:jc w:val="center"/>
    </w:pPr>
    <w:rPr>
      <w:sz w:val="26"/>
    </w:rPr>
  </w:style>
  <w:style w:type="paragraph" w:customStyle="1" w:styleId="Arttitle">
    <w:name w:val="Art_title"/>
    <w:basedOn w:val="Normal"/>
    <w:next w:val="Normalaftertitle"/>
    <w:rsid w:val="000F09B1"/>
    <w:pPr>
      <w:keepNext/>
      <w:keepLines/>
      <w:spacing w:before="240"/>
      <w:jc w:val="center"/>
    </w:pPr>
    <w:rPr>
      <w:b/>
      <w:sz w:val="26"/>
    </w:rPr>
  </w:style>
  <w:style w:type="paragraph" w:customStyle="1" w:styleId="Blanc">
    <w:name w:val="Blanc"/>
    <w:basedOn w:val="Normal"/>
    <w:next w:val="Tabletext"/>
    <w:rsid w:val="005A127F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sz w:val="16"/>
      <w:lang w:val="en-GB"/>
    </w:rPr>
  </w:style>
  <w:style w:type="paragraph" w:customStyle="1" w:styleId="ASN1">
    <w:name w:val="ASN.1"/>
    <w:basedOn w:val="Normal"/>
    <w:next w:val="Normal"/>
    <w:rsid w:val="005A127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5A127F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0F09B1"/>
    <w:rPr>
      <w:b/>
    </w:rPr>
  </w:style>
  <w:style w:type="paragraph" w:customStyle="1" w:styleId="Chaptitle">
    <w:name w:val="Chap_title"/>
    <w:basedOn w:val="Arttitle"/>
    <w:next w:val="Normalaftertitle"/>
    <w:rsid w:val="005A127F"/>
  </w:style>
  <w:style w:type="character" w:styleId="FootnoteReference">
    <w:name w:val="footnote reference"/>
    <w:basedOn w:val="DefaultParagraphFont"/>
    <w:uiPriority w:val="99"/>
    <w:rsid w:val="001D53F9"/>
    <w:rPr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qFormat/>
    <w:rsid w:val="001D53F9"/>
    <w:pPr>
      <w:keepLines/>
      <w:tabs>
        <w:tab w:val="left" w:pos="284"/>
      </w:tabs>
      <w:spacing w:before="60"/>
      <w:ind w:left="284" w:hanging="284"/>
    </w:pPr>
    <w:rPr>
      <w:sz w:val="20"/>
    </w:rPr>
  </w:style>
  <w:style w:type="paragraph" w:styleId="Index1">
    <w:name w:val="index 1"/>
    <w:basedOn w:val="Normal"/>
    <w:next w:val="Normal"/>
    <w:semiHidden/>
    <w:rsid w:val="005A127F"/>
  </w:style>
  <w:style w:type="paragraph" w:styleId="Index2">
    <w:name w:val="index 2"/>
    <w:basedOn w:val="Normal"/>
    <w:next w:val="Normal"/>
    <w:semiHidden/>
    <w:rsid w:val="005A127F"/>
    <w:pPr>
      <w:ind w:left="283"/>
    </w:pPr>
  </w:style>
  <w:style w:type="paragraph" w:styleId="Index3">
    <w:name w:val="index 3"/>
    <w:basedOn w:val="Normal"/>
    <w:next w:val="Normal"/>
    <w:semiHidden/>
    <w:rsid w:val="005A127F"/>
    <w:pPr>
      <w:ind w:left="566"/>
    </w:pPr>
  </w:style>
  <w:style w:type="paragraph" w:styleId="IndexHeading">
    <w:name w:val="index heading"/>
    <w:basedOn w:val="Normal"/>
    <w:next w:val="Index1"/>
    <w:semiHidden/>
    <w:rsid w:val="005A127F"/>
  </w:style>
  <w:style w:type="paragraph" w:customStyle="1" w:styleId="Line">
    <w:name w:val="Line"/>
    <w:basedOn w:val="Normal"/>
    <w:next w:val="Normal"/>
    <w:rsid w:val="005A127F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sz w:val="20"/>
      <w:lang w:val="en-GB"/>
    </w:rPr>
  </w:style>
  <w:style w:type="paragraph" w:customStyle="1" w:styleId="toctemp">
    <w:name w:val="toctemp"/>
    <w:basedOn w:val="Normal"/>
    <w:rsid w:val="005A127F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</w:pPr>
  </w:style>
  <w:style w:type="paragraph" w:customStyle="1" w:styleId="PartNo">
    <w:name w:val="Part_No"/>
    <w:basedOn w:val="Normal"/>
    <w:next w:val="Normal"/>
    <w:rsid w:val="005A127F"/>
  </w:style>
  <w:style w:type="paragraph" w:customStyle="1" w:styleId="Partref">
    <w:name w:val="Part_ref"/>
    <w:basedOn w:val="Normal"/>
    <w:next w:val="Normal"/>
    <w:rsid w:val="005A127F"/>
    <w:pPr>
      <w:keepNext/>
      <w:keepLines/>
      <w:spacing w:after="280"/>
      <w:jc w:val="center"/>
    </w:pPr>
  </w:style>
  <w:style w:type="paragraph" w:customStyle="1" w:styleId="Parttitle">
    <w:name w:val="Part_title"/>
    <w:basedOn w:val="Normal"/>
    <w:next w:val="Normalaftertitle"/>
    <w:rsid w:val="000F09B1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80" w:after="40"/>
      <w:jc w:val="center"/>
    </w:pPr>
    <w:rPr>
      <w:b/>
      <w:sz w:val="26"/>
    </w:rPr>
  </w:style>
  <w:style w:type="paragraph" w:customStyle="1" w:styleId="Questiondate">
    <w:name w:val="Question_date"/>
    <w:basedOn w:val="Recdate"/>
    <w:next w:val="Normalaftertitle"/>
    <w:rsid w:val="005A127F"/>
  </w:style>
  <w:style w:type="paragraph" w:customStyle="1" w:styleId="QuestionNo">
    <w:name w:val="Question_No"/>
    <w:basedOn w:val="RecNo"/>
    <w:next w:val="Normal"/>
    <w:rsid w:val="000F09B1"/>
  </w:style>
  <w:style w:type="paragraph" w:customStyle="1" w:styleId="Questionref">
    <w:name w:val="Question_ref"/>
    <w:basedOn w:val="Recref"/>
    <w:next w:val="Questiondate"/>
    <w:rsid w:val="005A127F"/>
  </w:style>
  <w:style w:type="paragraph" w:customStyle="1" w:styleId="Questiontitle">
    <w:name w:val="Question_title"/>
    <w:basedOn w:val="Normal"/>
    <w:next w:val="Questionref"/>
    <w:rsid w:val="005A127F"/>
  </w:style>
  <w:style w:type="paragraph" w:customStyle="1" w:styleId="Reftext">
    <w:name w:val="Ref_text"/>
    <w:basedOn w:val="Normal"/>
    <w:rsid w:val="005A127F"/>
    <w:pPr>
      <w:ind w:left="794" w:hanging="794"/>
    </w:pPr>
  </w:style>
  <w:style w:type="paragraph" w:customStyle="1" w:styleId="Reftitle">
    <w:name w:val="Ref_title"/>
    <w:basedOn w:val="Normal"/>
    <w:next w:val="Reftext"/>
    <w:rsid w:val="000F09B1"/>
    <w:pPr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6"/>
    </w:rPr>
  </w:style>
  <w:style w:type="paragraph" w:customStyle="1" w:styleId="Repdate">
    <w:name w:val="Rep_date"/>
    <w:basedOn w:val="Recdate"/>
    <w:next w:val="Normal"/>
    <w:rsid w:val="005A127F"/>
  </w:style>
  <w:style w:type="paragraph" w:customStyle="1" w:styleId="RepNo">
    <w:name w:val="Rep_No"/>
    <w:basedOn w:val="RecNo"/>
    <w:next w:val="Reptitle"/>
    <w:rsid w:val="000F09B1"/>
  </w:style>
  <w:style w:type="paragraph" w:customStyle="1" w:styleId="Reptitle">
    <w:name w:val="Rep_title"/>
    <w:basedOn w:val="Rectitle"/>
    <w:next w:val="Repref"/>
    <w:rsid w:val="000F09B1"/>
  </w:style>
  <w:style w:type="paragraph" w:customStyle="1" w:styleId="Repref">
    <w:name w:val="Rep_ref"/>
    <w:basedOn w:val="Recref"/>
    <w:next w:val="Repdate"/>
    <w:rsid w:val="005A127F"/>
  </w:style>
  <w:style w:type="paragraph" w:customStyle="1" w:styleId="Resdate">
    <w:name w:val="Res_date"/>
    <w:basedOn w:val="Recdate"/>
    <w:next w:val="Normalaftertitle"/>
    <w:rsid w:val="005A127F"/>
  </w:style>
  <w:style w:type="paragraph" w:customStyle="1" w:styleId="ResNo">
    <w:name w:val="Res_No"/>
    <w:basedOn w:val="RecNo"/>
    <w:next w:val="Restitle"/>
    <w:rsid w:val="000F09B1"/>
  </w:style>
  <w:style w:type="paragraph" w:customStyle="1" w:styleId="Restitle">
    <w:name w:val="Res_title"/>
    <w:basedOn w:val="Normal"/>
    <w:next w:val="Resref"/>
    <w:rsid w:val="000F09B1"/>
    <w:pPr>
      <w:spacing w:before="240"/>
      <w:jc w:val="center"/>
    </w:pPr>
    <w:rPr>
      <w:b/>
      <w:sz w:val="26"/>
    </w:rPr>
  </w:style>
  <w:style w:type="paragraph" w:customStyle="1" w:styleId="Resref">
    <w:name w:val="Res_ref"/>
    <w:basedOn w:val="Recref"/>
    <w:next w:val="Resdate"/>
    <w:rsid w:val="005A127F"/>
  </w:style>
  <w:style w:type="paragraph" w:customStyle="1" w:styleId="SectionNo">
    <w:name w:val="Section_No"/>
    <w:basedOn w:val="Normal"/>
    <w:next w:val="Normal"/>
    <w:rsid w:val="005A127F"/>
  </w:style>
  <w:style w:type="paragraph" w:customStyle="1" w:styleId="Sectiontitle">
    <w:name w:val="Section_title"/>
    <w:basedOn w:val="Normal"/>
    <w:next w:val="Normalaftertitle"/>
    <w:rsid w:val="000F09B1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80" w:after="40"/>
      <w:jc w:val="center"/>
    </w:pPr>
    <w:rPr>
      <w:b/>
      <w:sz w:val="26"/>
    </w:rPr>
  </w:style>
  <w:style w:type="paragraph" w:customStyle="1" w:styleId="toc0">
    <w:name w:val="toc 0"/>
    <w:basedOn w:val="Normal"/>
    <w:next w:val="TOC1"/>
    <w:rsid w:val="005A127F"/>
    <w:pPr>
      <w:tabs>
        <w:tab w:val="clear" w:pos="794"/>
        <w:tab w:val="clear" w:pos="1191"/>
        <w:tab w:val="clear" w:pos="1588"/>
        <w:tab w:val="clear" w:pos="1985"/>
        <w:tab w:val="right" w:pos="9611"/>
      </w:tabs>
    </w:pPr>
    <w:rPr>
      <w:i/>
    </w:rPr>
  </w:style>
  <w:style w:type="paragraph" w:styleId="TOC1">
    <w:name w:val="toc 1"/>
    <w:basedOn w:val="Normal"/>
    <w:semiHidden/>
    <w:rsid w:val="005A127F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leader="dot" w:pos="8789"/>
        <w:tab w:val="right" w:pos="9611"/>
      </w:tabs>
      <w:spacing w:before="240"/>
      <w:ind w:left="567" w:right="851" w:hanging="567"/>
    </w:pPr>
    <w:rPr>
      <w:lang w:val="en-US"/>
    </w:rPr>
  </w:style>
  <w:style w:type="paragraph" w:styleId="TOC2">
    <w:name w:val="toc 2"/>
    <w:basedOn w:val="TOC1"/>
    <w:semiHidden/>
    <w:rsid w:val="005A127F"/>
    <w:pPr>
      <w:tabs>
        <w:tab w:val="clear" w:pos="567"/>
        <w:tab w:val="left" w:pos="1276"/>
      </w:tabs>
      <w:spacing w:before="160"/>
      <w:ind w:left="1276" w:hanging="709"/>
    </w:pPr>
  </w:style>
  <w:style w:type="paragraph" w:styleId="TOC3">
    <w:name w:val="toc 3"/>
    <w:basedOn w:val="TOC2"/>
    <w:semiHidden/>
    <w:rsid w:val="005A127F"/>
    <w:pPr>
      <w:tabs>
        <w:tab w:val="clear" w:pos="1276"/>
        <w:tab w:val="left" w:pos="2155"/>
      </w:tabs>
      <w:ind w:left="2155" w:hanging="879"/>
    </w:pPr>
  </w:style>
  <w:style w:type="paragraph" w:styleId="TOC4">
    <w:name w:val="toc 4"/>
    <w:basedOn w:val="TOC3"/>
    <w:semiHidden/>
    <w:rsid w:val="005A127F"/>
    <w:pPr>
      <w:tabs>
        <w:tab w:val="left" w:pos="3261"/>
      </w:tabs>
      <w:spacing w:before="80"/>
      <w:ind w:left="3261" w:hanging="993"/>
    </w:pPr>
  </w:style>
  <w:style w:type="paragraph" w:styleId="TOC5">
    <w:name w:val="toc 5"/>
    <w:basedOn w:val="TOC4"/>
    <w:semiHidden/>
    <w:rsid w:val="005A127F"/>
  </w:style>
  <w:style w:type="paragraph" w:styleId="TOC6">
    <w:name w:val="toc 6"/>
    <w:basedOn w:val="TOC4"/>
    <w:semiHidden/>
    <w:rsid w:val="005A127F"/>
  </w:style>
  <w:style w:type="paragraph" w:styleId="TOC7">
    <w:name w:val="toc 7"/>
    <w:basedOn w:val="TOC4"/>
    <w:semiHidden/>
    <w:rsid w:val="005A127F"/>
  </w:style>
  <w:style w:type="paragraph" w:styleId="TOC8">
    <w:name w:val="toc 8"/>
    <w:basedOn w:val="TOC4"/>
    <w:semiHidden/>
    <w:rsid w:val="005A127F"/>
  </w:style>
  <w:style w:type="paragraph" w:customStyle="1" w:styleId="Annexref">
    <w:name w:val="Annex_ref"/>
    <w:basedOn w:val="Normal"/>
    <w:next w:val="Normalaftertitle"/>
    <w:rsid w:val="005A127F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Normalaftertitle"/>
    <w:rsid w:val="005A127F"/>
  </w:style>
  <w:style w:type="paragraph" w:customStyle="1" w:styleId="Tabletitle">
    <w:name w:val="Table_title"/>
    <w:basedOn w:val="Normal"/>
    <w:next w:val="Tablehead"/>
    <w:link w:val="TabletitleChar"/>
    <w:rsid w:val="005A127F"/>
    <w:pPr>
      <w:keepNext/>
      <w:spacing w:before="0" w:after="120"/>
      <w:jc w:val="center"/>
    </w:pPr>
    <w:rPr>
      <w:b/>
    </w:rPr>
  </w:style>
  <w:style w:type="paragraph" w:customStyle="1" w:styleId="Summary">
    <w:name w:val="Summary"/>
    <w:basedOn w:val="Normal"/>
    <w:next w:val="Normalaftertitle"/>
    <w:rsid w:val="005A127F"/>
    <w:pPr>
      <w:spacing w:after="480"/>
    </w:pPr>
    <w:rPr>
      <w:lang w:val="es-ES_tradnl"/>
    </w:rPr>
  </w:style>
  <w:style w:type="character" w:styleId="Hyperlink">
    <w:name w:val="Hyperlink"/>
    <w:basedOn w:val="DefaultParagraphFont"/>
    <w:rsid w:val="00934ED7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852A54"/>
    <w:rPr>
      <w:sz w:val="24"/>
      <w:lang w:val="fr-FR" w:eastAsia="en-US"/>
    </w:rPr>
  </w:style>
  <w:style w:type="paragraph" w:customStyle="1" w:styleId="TableLegendNote">
    <w:name w:val="Table_Legend_Note"/>
    <w:basedOn w:val="Tablelegend"/>
    <w:next w:val="Tablelegend"/>
    <w:rsid w:val="00097C70"/>
    <w:pPr>
      <w:ind w:left="-85" w:firstLine="0"/>
    </w:pPr>
    <w:rPr>
      <w:lang w:val="en-US"/>
    </w:rPr>
  </w:style>
  <w:style w:type="table" w:styleId="TableGrid">
    <w:name w:val="Table Grid"/>
    <w:basedOn w:val="TableNormal"/>
    <w:uiPriority w:val="39"/>
    <w:rsid w:val="009E7C05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Number">
    <w:name w:val="Cover Number"/>
    <w:basedOn w:val="Normal"/>
    <w:qFormat/>
    <w:rsid w:val="009E7C05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spacing w:before="93"/>
      <w:ind w:left="284"/>
      <w:jc w:val="left"/>
      <w:textAlignment w:val="auto"/>
      <w:outlineLvl w:val="0"/>
    </w:pPr>
    <w:rPr>
      <w:rFonts w:ascii="Arial" w:eastAsia="AvenirNext LT Pro Medium" w:hAnsi="Arial" w:cs="AvenirNext LT Pro Medium"/>
      <w:b/>
      <w:bCs/>
      <w:spacing w:val="-10"/>
      <w:sz w:val="44"/>
      <w:szCs w:val="52"/>
      <w:lang w:val="en-US"/>
    </w:rPr>
  </w:style>
  <w:style w:type="paragraph" w:customStyle="1" w:styleId="CoverDate">
    <w:name w:val="Cover Date"/>
    <w:basedOn w:val="Normal"/>
    <w:qFormat/>
    <w:rsid w:val="009E7C05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spacing w:before="126"/>
      <w:ind w:left="284"/>
      <w:jc w:val="left"/>
      <w:textAlignment w:val="auto"/>
    </w:pPr>
    <w:rPr>
      <w:rFonts w:ascii="Arial" w:eastAsia="AvenirNext LT Pro Regular" w:hAnsi="Arial" w:cs="AvenirNext LT Pro Regular"/>
      <w:b/>
      <w:spacing w:val="-2"/>
      <w:sz w:val="36"/>
      <w:szCs w:val="22"/>
      <w:lang w:val="en-US"/>
    </w:rPr>
  </w:style>
  <w:style w:type="paragraph" w:customStyle="1" w:styleId="CoverSeries">
    <w:name w:val="Cover Series"/>
    <w:basedOn w:val="Normal"/>
    <w:qFormat/>
    <w:rsid w:val="009E7C05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spacing w:before="241" w:line="244" w:lineRule="auto"/>
      <w:ind w:left="284"/>
      <w:jc w:val="left"/>
      <w:textAlignment w:val="auto"/>
    </w:pPr>
    <w:rPr>
      <w:rFonts w:ascii="Arial" w:eastAsia="AvenirNext LT Pro Regular" w:hAnsi="Arial" w:cs="AvenirNext LT Pro Regular"/>
      <w:bCs/>
      <w:color w:val="1A1A1A"/>
      <w:spacing w:val="-4"/>
      <w:sz w:val="40"/>
      <w:szCs w:val="48"/>
      <w:lang w:val="en-US"/>
    </w:rPr>
  </w:style>
  <w:style w:type="paragraph" w:customStyle="1" w:styleId="CoverTitle">
    <w:name w:val="Cover Title"/>
    <w:basedOn w:val="Normal"/>
    <w:qFormat/>
    <w:rsid w:val="009E7C05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spacing w:before="338" w:line="244" w:lineRule="auto"/>
      <w:ind w:left="284" w:right="1002"/>
      <w:jc w:val="left"/>
      <w:textAlignment w:val="auto"/>
    </w:pPr>
    <w:rPr>
      <w:rFonts w:ascii="Arial" w:eastAsia="AvenirNext LT Pro Regular" w:hAnsi="Arial" w:cs="AvenirNext LT Pro Regular"/>
      <w:b/>
      <w:bCs/>
      <w:sz w:val="44"/>
      <w:szCs w:val="48"/>
      <w:lang w:val="en-US"/>
    </w:rPr>
  </w:style>
  <w:style w:type="character" w:styleId="FollowedHyperlink">
    <w:name w:val="FollowedHyperlink"/>
    <w:basedOn w:val="DefaultParagraphFont"/>
    <w:semiHidden/>
    <w:unhideWhenUsed/>
    <w:rsid w:val="007910AE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F1F77"/>
    <w:rPr>
      <w:lang w:val="fr-FR" w:eastAsia="en-US"/>
    </w:rPr>
  </w:style>
  <w:style w:type="character" w:customStyle="1" w:styleId="Heading2Char">
    <w:name w:val="Heading 2 Char"/>
    <w:link w:val="Heading2"/>
    <w:rsid w:val="008F1F77"/>
    <w:rPr>
      <w:b/>
      <w:sz w:val="22"/>
      <w:lang w:val="fr-FR" w:eastAsia="en-US"/>
    </w:rPr>
  </w:style>
  <w:style w:type="character" w:customStyle="1" w:styleId="TableNoChar">
    <w:name w:val="Table_No Char"/>
    <w:link w:val="TableNo"/>
    <w:qFormat/>
    <w:rsid w:val="008F1F77"/>
    <w:rPr>
      <w:sz w:val="22"/>
      <w:lang w:val="fr-FR" w:eastAsia="en-US"/>
    </w:rPr>
  </w:style>
  <w:style w:type="character" w:customStyle="1" w:styleId="CallChar">
    <w:name w:val="Call Char"/>
    <w:link w:val="Call"/>
    <w:rsid w:val="008F1F77"/>
    <w:rPr>
      <w:i/>
      <w:sz w:val="22"/>
      <w:lang w:val="fr-FR" w:eastAsia="en-US"/>
    </w:rPr>
  </w:style>
  <w:style w:type="character" w:customStyle="1" w:styleId="TabletitleChar">
    <w:name w:val="Table_title Char"/>
    <w:link w:val="Tabletitle"/>
    <w:qFormat/>
    <w:rsid w:val="008F1F77"/>
    <w:rPr>
      <w:b/>
      <w:sz w:val="22"/>
      <w:lang w:val="fr-FR" w:eastAsia="en-US"/>
    </w:rPr>
  </w:style>
  <w:style w:type="character" w:customStyle="1" w:styleId="Heading1Char">
    <w:name w:val="Heading 1 Char"/>
    <w:basedOn w:val="DefaultParagraphFont"/>
    <w:link w:val="Heading1"/>
    <w:qFormat/>
    <w:rsid w:val="008F1F77"/>
    <w:rPr>
      <w:b/>
      <w:sz w:val="22"/>
      <w:lang w:val="fr-FR" w:eastAsia="en-US"/>
    </w:rPr>
  </w:style>
  <w:style w:type="character" w:customStyle="1" w:styleId="HeadingbChar">
    <w:name w:val="Heading_b Char"/>
    <w:link w:val="Headingb"/>
    <w:locked/>
    <w:rsid w:val="008F1F77"/>
    <w:rPr>
      <w:b/>
      <w:sz w:val="22"/>
      <w:lang w:val="fr-FR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8F1F77"/>
    <w:rPr>
      <w:sz w:val="22"/>
      <w:lang w:val="fr-FR" w:eastAsia="en-US"/>
    </w:rPr>
  </w:style>
  <w:style w:type="character" w:customStyle="1" w:styleId="enumlev1Char">
    <w:name w:val="enumlev1 Char"/>
    <w:basedOn w:val="DefaultParagraphFont"/>
    <w:link w:val="enumlev1"/>
    <w:locked/>
    <w:rsid w:val="008F1F77"/>
    <w:rPr>
      <w:sz w:val="22"/>
      <w:lang w:val="fr-FR" w:eastAsia="en-US"/>
    </w:rPr>
  </w:style>
  <w:style w:type="character" w:customStyle="1" w:styleId="TabletextChar">
    <w:name w:val="Table_text Char"/>
    <w:basedOn w:val="DefaultParagraphFont"/>
    <w:link w:val="Tabletext"/>
    <w:rsid w:val="008F1F77"/>
    <w:rPr>
      <w:lang w:val="fr-FR" w:eastAsia="en-US"/>
    </w:rPr>
  </w:style>
  <w:style w:type="character" w:customStyle="1" w:styleId="TablelegendChar">
    <w:name w:val="Table_legend Char"/>
    <w:basedOn w:val="DefaultParagraphFont"/>
    <w:link w:val="Tablelegend"/>
    <w:rsid w:val="008F1F77"/>
    <w:rPr>
      <w:lang w:val="fr-FR" w:eastAsia="en-US"/>
    </w:rPr>
  </w:style>
  <w:style w:type="character" w:customStyle="1" w:styleId="TableheadChar">
    <w:name w:val="Table_head Char"/>
    <w:link w:val="Tablehead"/>
    <w:locked/>
    <w:rsid w:val="008F1F77"/>
    <w:rPr>
      <w:b/>
      <w:lang w:val="fr-FR" w:eastAsia="en-US"/>
    </w:rPr>
  </w:style>
  <w:style w:type="character" w:customStyle="1" w:styleId="AnnexNoTitleChar">
    <w:name w:val="Annex_NoTitle Char"/>
    <w:basedOn w:val="DefaultParagraphFont"/>
    <w:link w:val="AnnexNoTitle"/>
    <w:locked/>
    <w:rsid w:val="00023864"/>
    <w:rPr>
      <w:b/>
      <w:sz w:val="2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2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https://www.itu.int/publ/R-REC/ru" TargetMode="Externa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ITU-R/go/patents/e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dyeva\Application%20Data\Microsoft\Templates\QuickPub\BR_Rec_200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B84A7-45CB-4024-B458-539945B0F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BR_Rec_2005.dotm</Template>
  <TotalTime>71</TotalTime>
  <Pages>7</Pages>
  <Words>1513</Words>
  <Characters>10402</Characters>
  <Application>Microsoft Office Word</Application>
  <DocSecurity>0</DocSecurity>
  <Lines>253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РЕКОМЕНДАЦИЯ  МСЭ-R  BT.2166-0 (02/2025) Условия просмотра для мониторинга расположенных рядом изображений с большим динамическим диапазоном и стандартным динамическим диапазоном в среде производства программ большого динамического диапазона с одной масте</vt:lpstr>
    </vt:vector>
  </TitlesOfParts>
  <Manager/>
  <Company>ITU</Company>
  <LinksUpToDate>false</LinksUpToDate>
  <CharactersWithSpaces>11770</CharactersWithSpaces>
  <SharedDoc>false</SharedDoc>
  <HLinks>
    <vt:vector size="12" baseType="variant">
      <vt:variant>
        <vt:i4>1114207</vt:i4>
      </vt:variant>
      <vt:variant>
        <vt:i4>3</vt:i4>
      </vt:variant>
      <vt:variant>
        <vt:i4>0</vt:i4>
      </vt:variant>
      <vt:variant>
        <vt:i4>5</vt:i4>
      </vt:variant>
      <vt:variant>
        <vt:lpwstr>http://www.itu.int/publications/R-REC/en</vt:lpwstr>
      </vt:variant>
      <vt:variant>
        <vt:lpwstr/>
      </vt:variant>
      <vt:variant>
        <vt:i4>3997742</vt:i4>
      </vt:variant>
      <vt:variant>
        <vt:i4>0</vt:i4>
      </vt:variant>
      <vt:variant>
        <vt:i4>0</vt:i4>
      </vt:variant>
      <vt:variant>
        <vt:i4>5</vt:i4>
      </vt:variant>
      <vt:variant>
        <vt:lpwstr>http://www.itu.int/ITU-R/go/patents/en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РЕКОМЕНДАЦИЯ  МСЭ-R  BT.2166-0 (02/2025) Условия просмотра для мониторинга расположенных рядом изображений с большим динамическим диапазоном и стандартным динамическим диапазоном в среде производства программ большого динамического диапазона с одной мастер-копией</dc:title>
  <dc:subject>BT Series = Broadcasting service (television)</dc:subject>
  <dc:creator>ITU Radiocommunication Bureau (BR)</dc:creator>
  <cp:keywords>Одна мастер-копия, стандартный динамический диапазон (SDR), большой динамический диапазон (HDR), телевидение HDR (HDR-TV), производство телевизионных программ, международный обмен программами, перцептивное квантование (PQ), гибридная гамма-логарифмическая коррекция (HLG), среда просмотра</cp:keywords>
  <dc:description>Berdyeva, 20/08/2025, ITU51017645</dc:description>
  <cp:lastModifiedBy>Berdyeva, Elena</cp:lastModifiedBy>
  <cp:revision>60</cp:revision>
  <cp:lastPrinted>2025-08-20T09:27:00Z</cp:lastPrinted>
  <dcterms:created xsi:type="dcterms:W3CDTF">2011-03-08T14:22:00Z</dcterms:created>
  <dcterms:modified xsi:type="dcterms:W3CDTF">2025-08-20T09:33:00Z</dcterms:modified>
  <cp:category>Template:  BR_Rec_2005.dot   (dès 25.10.2002)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Rec. </vt:lpwstr>
  </property>
  <property fmtid="{D5CDD505-2E9C-101B-9397-08002B2CF9AE}" pid="3" name="Header 1">
    <vt:lpwstr>Rap. </vt:lpwstr>
  </property>
  <property fmtid="{D5CDD505-2E9C-101B-9397-08002B2CF9AE}" pid="4" name="Header 2">
    <vt:lpwstr>Rep. </vt:lpwstr>
  </property>
  <property fmtid="{D5CDD505-2E9C-101B-9397-08002B2CF9AE}" pid="5" name="Header 3">
    <vt:lpwstr>I. </vt:lpwstr>
  </property>
  <property fmtid="{D5CDD505-2E9C-101B-9397-08002B2CF9AE}" pid="6" name="Header 4">
    <vt:lpwstr>Op. </vt:lpwstr>
  </property>
  <property fmtid="{D5CDD505-2E9C-101B-9397-08002B2CF9AE}" pid="7" name="Header 5">
    <vt:lpwstr>V. </vt:lpwstr>
  </property>
  <property fmtid="{D5CDD505-2E9C-101B-9397-08002B2CF9AE}" pid="8" name="Header 6">
    <vt:lpwstr>Ru. </vt:lpwstr>
  </property>
  <property fmtid="{D5CDD505-2E9C-101B-9397-08002B2CF9AE}" pid="9" name="Language">
    <vt:lpwstr>Russian</vt:lpwstr>
  </property>
  <property fmtid="{D5CDD505-2E9C-101B-9397-08002B2CF9AE}" pid="10" name="Typist">
    <vt:lpwstr>Berdyeva</vt:lpwstr>
  </property>
  <property fmtid="{D5CDD505-2E9C-101B-9397-08002B2CF9AE}" pid="11" name="Date completed">
    <vt:lpwstr>20 August 2025</vt:lpwstr>
  </property>
</Properties>
</file>