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2F504" w14:textId="77777777" w:rsidR="00F335DC" w:rsidRDefault="00F335DC" w:rsidP="00F335DC"/>
    <w:p w14:paraId="42EE66A8" w14:textId="77777777" w:rsidR="00F335DC" w:rsidRDefault="00F335DC" w:rsidP="00F335DC">
      <w:pPr>
        <w:tabs>
          <w:tab w:val="clear" w:pos="794"/>
          <w:tab w:val="clear" w:pos="1191"/>
          <w:tab w:val="clear" w:pos="1588"/>
          <w:tab w:val="clear" w:pos="1985"/>
        </w:tabs>
      </w:pPr>
    </w:p>
    <w:p w14:paraId="4EE52175" w14:textId="636E7AD9" w:rsidR="00F335DC" w:rsidRPr="00D45E17" w:rsidRDefault="00F335DC" w:rsidP="00F335DC">
      <w:pPr>
        <w:pStyle w:val="CoverNumber"/>
        <w:rPr>
          <w:lang w:val="en-GB"/>
        </w:rPr>
      </w:pPr>
      <w:r w:rsidRPr="00D45E17">
        <w:rPr>
          <w:lang w:val="en-GB"/>
        </w:rPr>
        <w:t>Recommendation ITU-R BT.216</w:t>
      </w:r>
      <w:r w:rsidR="005C0A8E">
        <w:rPr>
          <w:lang w:val="en-GB"/>
        </w:rPr>
        <w:t>6</w:t>
      </w:r>
      <w:r w:rsidRPr="00D45E17">
        <w:rPr>
          <w:lang w:val="en-GB"/>
        </w:rPr>
        <w:t>-0</w:t>
      </w:r>
    </w:p>
    <w:p w14:paraId="47416AF5" w14:textId="7F9129DA" w:rsidR="00F335DC" w:rsidRPr="00D45E17" w:rsidRDefault="00F335DC" w:rsidP="00F335DC">
      <w:pPr>
        <w:pStyle w:val="DateCover"/>
        <w:rPr>
          <w:lang w:val="en-GB"/>
        </w:rPr>
      </w:pPr>
      <w:r w:rsidRPr="00D45E17">
        <w:rPr>
          <w:lang w:val="en-GB"/>
        </w:rPr>
        <w:t>(</w:t>
      </w:r>
      <w:r w:rsidR="005C0A8E">
        <w:rPr>
          <w:lang w:val="en-GB"/>
        </w:rPr>
        <w:t>02</w:t>
      </w:r>
      <w:r w:rsidRPr="00D45E17">
        <w:rPr>
          <w:lang w:val="en-GB"/>
        </w:rPr>
        <w:t>/</w:t>
      </w:r>
      <w:r w:rsidR="008030EF" w:rsidRPr="00D45E17">
        <w:rPr>
          <w:lang w:val="en-GB"/>
        </w:rPr>
        <w:t>202</w:t>
      </w:r>
      <w:r w:rsidR="005C0A8E">
        <w:rPr>
          <w:lang w:val="en-GB"/>
        </w:rPr>
        <w:t>5</w:t>
      </w:r>
      <w:r w:rsidRPr="00D45E17">
        <w:rPr>
          <w:lang w:val="en-GB"/>
        </w:rPr>
        <w:t>)</w:t>
      </w:r>
    </w:p>
    <w:p w14:paraId="33B11099" w14:textId="77777777" w:rsidR="00F335DC" w:rsidRPr="004A6FEB" w:rsidRDefault="00F335DC" w:rsidP="00F335DC">
      <w:pPr>
        <w:pStyle w:val="CoverSeries"/>
      </w:pPr>
      <w:r>
        <w:t>BT</w:t>
      </w:r>
      <w:r w:rsidRPr="00146733">
        <w:t xml:space="preserve"> Series: </w:t>
      </w:r>
      <w:r w:rsidRPr="00F335DC">
        <w:rPr>
          <w:bCs w:val="0"/>
          <w:lang w:val="en-GB"/>
        </w:rPr>
        <w:t>Broadcasting service (television)</w:t>
      </w:r>
    </w:p>
    <w:p w14:paraId="2AD67E06" w14:textId="5CE18C12" w:rsidR="00F335DC" w:rsidRPr="004A6FEB" w:rsidRDefault="00F92570" w:rsidP="00F335DC">
      <w:pPr>
        <w:pStyle w:val="TitleCover"/>
      </w:pPr>
      <w:r w:rsidRPr="001232F1">
        <w:t xml:space="preserve">Viewing conditions for </w:t>
      </w:r>
      <w:bookmarkStart w:id="0" w:name="_Hlk181979233"/>
      <w:r w:rsidRPr="001232F1">
        <w:t>high dynamic range</w:t>
      </w:r>
      <w:bookmarkEnd w:id="0"/>
      <w:r w:rsidRPr="001232F1">
        <w:t xml:space="preserve"> and standard dynamic range monitoring in </w:t>
      </w:r>
      <w:proofErr w:type="gramStart"/>
      <w:r w:rsidRPr="001232F1">
        <w:t>close proximity</w:t>
      </w:r>
      <w:proofErr w:type="gramEnd"/>
      <w:r w:rsidRPr="001232F1">
        <w:t xml:space="preserve"> within a single-master high dynamic range production</w:t>
      </w:r>
      <w:r w:rsidRPr="008030EF">
        <w:rPr>
          <w:lang w:val="en-GB"/>
        </w:rPr>
        <w:t xml:space="preserve"> </w:t>
      </w:r>
      <w:r w:rsidR="00EB30B5">
        <w:rPr>
          <w:lang w:val="en-GB"/>
        </w:rPr>
        <w:t>environment</w:t>
      </w:r>
    </w:p>
    <w:p w14:paraId="01AD67C0" w14:textId="77777777" w:rsidR="00F335DC" w:rsidRPr="005373E0" w:rsidRDefault="00F335DC" w:rsidP="00F335DC">
      <w:pPr>
        <w:rPr>
          <w:lang w:val="en-US"/>
        </w:rPr>
      </w:pPr>
    </w:p>
    <w:p w14:paraId="7471F3BC" w14:textId="77777777" w:rsidR="00F335DC" w:rsidRPr="005373E0" w:rsidRDefault="00F335DC" w:rsidP="00F335DC"/>
    <w:p w14:paraId="52A05BF9" w14:textId="77777777" w:rsidR="00F335DC" w:rsidRPr="005373E0" w:rsidRDefault="00F335DC" w:rsidP="00F335DC">
      <w:pPr>
        <w:sectPr w:rsidR="00F335DC" w:rsidRPr="005373E0" w:rsidSect="0027411A">
          <w:headerReference w:type="even" r:id="rId10"/>
          <w:headerReference w:type="default" r:id="rId11"/>
          <w:footerReference w:type="default" r:id="rId12"/>
          <w:pgSz w:w="11907" w:h="16840" w:code="9"/>
          <w:pgMar w:top="1089" w:right="1089" w:bottom="284" w:left="1089" w:header="737" w:footer="284" w:gutter="0"/>
          <w:pgNumType w:start="1"/>
          <w:cols w:space="720"/>
          <w:docGrid w:linePitch="326"/>
        </w:sectPr>
      </w:pPr>
    </w:p>
    <w:p w14:paraId="6CF546C8" w14:textId="77777777" w:rsidR="00F335DC" w:rsidRPr="00586EF8" w:rsidRDefault="00F335DC" w:rsidP="00F335D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1" w:name="c2tope"/>
      <w:bookmarkEnd w:id="1"/>
      <w:r w:rsidRPr="00586EF8">
        <w:rPr>
          <w:bCs/>
          <w:sz w:val="24"/>
          <w:szCs w:val="24"/>
          <w:lang w:val="en-US"/>
        </w:rPr>
        <w:lastRenderedPageBreak/>
        <w:t>Foreword</w:t>
      </w:r>
    </w:p>
    <w:p w14:paraId="18A95301" w14:textId="77777777" w:rsidR="00F335DC" w:rsidRDefault="00F335DC" w:rsidP="00F335DC">
      <w:pPr>
        <w:spacing w:before="240"/>
        <w:rPr>
          <w:sz w:val="20"/>
          <w:lang w:val="en-US"/>
        </w:rPr>
      </w:pPr>
      <w:r>
        <w:rPr>
          <w:sz w:val="20"/>
          <w:lang w:val="en-US"/>
        </w:rPr>
        <w:t xml:space="preserve">The role of the Radiocommunication Sector is to ensure the rational, equitable, efficient and economical use of the radio-frequency spectrum by all radiocommunication services, including satellite services, and carry out studies without limit of frequency range </w:t>
      </w:r>
      <w:proofErr w:type="gramStart"/>
      <w:r>
        <w:rPr>
          <w:sz w:val="20"/>
          <w:lang w:val="en-US"/>
        </w:rPr>
        <w:t>on the basis of</w:t>
      </w:r>
      <w:proofErr w:type="gramEnd"/>
      <w:r>
        <w:rPr>
          <w:sz w:val="20"/>
          <w:lang w:val="en-US"/>
        </w:rPr>
        <w:t xml:space="preserve"> which Recommendations are adopted.</w:t>
      </w:r>
    </w:p>
    <w:p w14:paraId="32E21A04" w14:textId="77777777" w:rsidR="00F335DC" w:rsidRDefault="00F335DC" w:rsidP="00F335DC">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270CDE53" w14:textId="77777777" w:rsidR="00F335DC" w:rsidRPr="00B714F3" w:rsidRDefault="00F335DC" w:rsidP="00F335DC">
      <w:pPr>
        <w:pStyle w:val="Heading1"/>
        <w:spacing w:before="680"/>
        <w:jc w:val="center"/>
        <w:rPr>
          <w:szCs w:val="24"/>
          <w:lang w:val="en-US"/>
        </w:rPr>
      </w:pPr>
      <w:r w:rsidRPr="00B714F3">
        <w:rPr>
          <w:szCs w:val="24"/>
          <w:lang w:val="en-US"/>
        </w:rPr>
        <w:t>Policy on Intellectual Property Right (IPR)</w:t>
      </w:r>
    </w:p>
    <w:p w14:paraId="33B9EBF2" w14:textId="5EDF4D8D" w:rsidR="00F335DC" w:rsidRPr="00B714F3" w:rsidRDefault="00F335DC" w:rsidP="00F335DC">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Pr>
          <w:sz w:val="20"/>
          <w:lang w:val="en-US"/>
        </w:rPr>
        <w:noBreakHyphen/>
      </w:r>
      <w:r w:rsidRPr="00B714F3">
        <w:rPr>
          <w:sz w:val="20"/>
          <w:lang w:val="en-US"/>
        </w:rPr>
        <w:t xml:space="preserve">R 1. Forms to be used for the submission of patent statements and licensing declarations by patent holders are available from </w:t>
      </w:r>
      <w:hyperlink r:id="rId13" w:history="1">
        <w:r w:rsidR="00E559BD" w:rsidRPr="00E907B7">
          <w:rPr>
            <w:rStyle w:val="Hyperlink"/>
            <w:sz w:val="20"/>
            <w:lang w:val="en-US"/>
          </w:rPr>
          <w:t>https://www.itu.int/ITU-R/go/patents/en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7E9D7BED" w14:textId="77777777" w:rsidR="00F335DC" w:rsidRDefault="00F335DC" w:rsidP="00F335DC">
      <w:pPr>
        <w:jc w:val="center"/>
        <w:rPr>
          <w:sz w:val="22"/>
          <w:lang w:val="en-US"/>
        </w:rPr>
      </w:pPr>
    </w:p>
    <w:p w14:paraId="7AA82B34" w14:textId="77777777" w:rsidR="00F335DC" w:rsidRDefault="00F335DC" w:rsidP="00F335DC">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F335DC" w:rsidRPr="005F7CD0" w14:paraId="1218D7F8" w14:textId="77777777" w:rsidTr="00773F61">
        <w:tc>
          <w:tcPr>
            <w:tcW w:w="9360" w:type="dxa"/>
            <w:gridSpan w:val="2"/>
          </w:tcPr>
          <w:p w14:paraId="208E70B0" w14:textId="77777777" w:rsidR="00F335DC" w:rsidRPr="00036EE3" w:rsidRDefault="00F335DC" w:rsidP="00773F61">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1385E116" w14:textId="77777777" w:rsidR="00F335DC" w:rsidRPr="00036EE3"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4" w:history="1">
              <w:r>
                <w:rPr>
                  <w:rStyle w:val="Hyperlink"/>
                  <w:b w:val="0"/>
                  <w:sz w:val="18"/>
                  <w:szCs w:val="18"/>
                  <w:lang w:val="en-US"/>
                </w:rPr>
                <w:t>https://www.itu.int/publ/R-REC/en</w:t>
              </w:r>
            </w:hyperlink>
            <w:r w:rsidRPr="00CE0A43">
              <w:rPr>
                <w:b w:val="0"/>
                <w:sz w:val="18"/>
                <w:szCs w:val="18"/>
                <w:lang w:val="en-US"/>
              </w:rPr>
              <w:t>)</w:t>
            </w:r>
          </w:p>
        </w:tc>
      </w:tr>
      <w:tr w:rsidR="00F335DC" w:rsidRPr="00036EE3" w14:paraId="3535A45C" w14:textId="77777777" w:rsidTr="00773F61">
        <w:tc>
          <w:tcPr>
            <w:tcW w:w="1140" w:type="dxa"/>
            <w:tcBorders>
              <w:bottom w:val="nil"/>
            </w:tcBorders>
            <w:vAlign w:val="bottom"/>
          </w:tcPr>
          <w:p w14:paraId="5E2209CD" w14:textId="77777777" w:rsidR="00F335DC" w:rsidRPr="00036EE3" w:rsidRDefault="00F335DC" w:rsidP="00773F61">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5ADEECF7" w14:textId="77777777" w:rsidR="00F335DC" w:rsidRPr="00036EE3"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F335DC" w:rsidRPr="00A4173A" w14:paraId="067668A7" w14:textId="77777777" w:rsidTr="00773F61">
        <w:tc>
          <w:tcPr>
            <w:tcW w:w="1140" w:type="dxa"/>
            <w:tcBorders>
              <w:top w:val="nil"/>
              <w:bottom w:val="nil"/>
            </w:tcBorders>
            <w:shd w:val="clear" w:color="auto" w:fill="auto"/>
          </w:tcPr>
          <w:p w14:paraId="65EF3516" w14:textId="77777777" w:rsidR="00F335DC" w:rsidRPr="00A4173A" w:rsidRDefault="00F335DC" w:rsidP="00773F61">
            <w:pPr>
              <w:spacing w:before="30" w:after="30"/>
              <w:ind w:left="57"/>
              <w:jc w:val="left"/>
              <w:rPr>
                <w:b/>
                <w:sz w:val="20"/>
                <w:lang w:val="en-US"/>
              </w:rPr>
            </w:pPr>
            <w:r w:rsidRPr="00A4173A">
              <w:rPr>
                <w:b/>
                <w:sz w:val="20"/>
                <w:lang w:val="en-US"/>
              </w:rPr>
              <w:t>BO</w:t>
            </w:r>
          </w:p>
        </w:tc>
        <w:tc>
          <w:tcPr>
            <w:tcW w:w="8220" w:type="dxa"/>
            <w:tcBorders>
              <w:top w:val="nil"/>
              <w:bottom w:val="nil"/>
            </w:tcBorders>
            <w:shd w:val="clear" w:color="auto" w:fill="auto"/>
          </w:tcPr>
          <w:p w14:paraId="24D47AC4" w14:textId="77777777" w:rsidR="00F335DC" w:rsidRPr="00A4173A"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A4173A">
              <w:rPr>
                <w:b w:val="0"/>
                <w:bCs/>
                <w:sz w:val="20"/>
                <w:lang w:val="en-US"/>
              </w:rPr>
              <w:t>Satellite delivery</w:t>
            </w:r>
          </w:p>
        </w:tc>
      </w:tr>
      <w:tr w:rsidR="00F335DC" w:rsidRPr="005F7CD0" w14:paraId="475BBDBF" w14:textId="77777777" w:rsidTr="00773F61">
        <w:tc>
          <w:tcPr>
            <w:tcW w:w="1140" w:type="dxa"/>
            <w:tcBorders>
              <w:top w:val="nil"/>
            </w:tcBorders>
          </w:tcPr>
          <w:p w14:paraId="07999208" w14:textId="77777777" w:rsidR="00F335DC" w:rsidRPr="00036EE3" w:rsidRDefault="00F335DC" w:rsidP="00773F61">
            <w:pPr>
              <w:spacing w:before="30" w:after="30"/>
              <w:ind w:left="57"/>
              <w:jc w:val="left"/>
              <w:rPr>
                <w:b/>
                <w:bCs/>
                <w:sz w:val="20"/>
                <w:lang w:val="en-US"/>
              </w:rPr>
            </w:pPr>
            <w:r w:rsidRPr="00036EE3">
              <w:rPr>
                <w:b/>
                <w:bCs/>
                <w:sz w:val="20"/>
                <w:lang w:val="en-US"/>
              </w:rPr>
              <w:t>BR</w:t>
            </w:r>
          </w:p>
        </w:tc>
        <w:tc>
          <w:tcPr>
            <w:tcW w:w="8220" w:type="dxa"/>
            <w:tcBorders>
              <w:top w:val="nil"/>
            </w:tcBorders>
          </w:tcPr>
          <w:p w14:paraId="2983FBB3" w14:textId="77777777" w:rsidR="00F335DC" w:rsidRPr="00036EE3"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Recording for production, archival and play-out; film for television</w:t>
            </w:r>
          </w:p>
        </w:tc>
      </w:tr>
      <w:tr w:rsidR="00F335DC" w:rsidRPr="00B76D85" w14:paraId="70E2056C" w14:textId="77777777" w:rsidTr="00773F61">
        <w:tc>
          <w:tcPr>
            <w:tcW w:w="1140" w:type="dxa"/>
            <w:shd w:val="clear" w:color="auto" w:fill="FFFFFF" w:themeFill="background1"/>
          </w:tcPr>
          <w:p w14:paraId="258B1950" w14:textId="77777777" w:rsidR="00F335DC" w:rsidRPr="00192E38" w:rsidRDefault="00F335DC" w:rsidP="00773F61">
            <w:pPr>
              <w:spacing w:before="30" w:after="30"/>
              <w:ind w:left="57"/>
              <w:jc w:val="left"/>
              <w:rPr>
                <w:b/>
                <w:bCs/>
                <w:sz w:val="20"/>
                <w:lang w:val="en-US"/>
              </w:rPr>
            </w:pPr>
            <w:r w:rsidRPr="00192E38">
              <w:rPr>
                <w:b/>
                <w:bCs/>
                <w:sz w:val="20"/>
                <w:lang w:val="en-US"/>
              </w:rPr>
              <w:t>BS</w:t>
            </w:r>
          </w:p>
        </w:tc>
        <w:tc>
          <w:tcPr>
            <w:tcW w:w="8220" w:type="dxa"/>
            <w:shd w:val="clear" w:color="auto" w:fill="FFFFFF" w:themeFill="background1"/>
          </w:tcPr>
          <w:p w14:paraId="6456CC21" w14:textId="77777777" w:rsidR="00F335DC" w:rsidRPr="00192E38"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192E38">
              <w:rPr>
                <w:sz w:val="20"/>
                <w:lang w:val="fr-CH"/>
              </w:rPr>
              <w:t>Broadcasting service (</w:t>
            </w:r>
            <w:proofErr w:type="spellStart"/>
            <w:r w:rsidRPr="00192E38">
              <w:rPr>
                <w:sz w:val="20"/>
                <w:lang w:val="fr-CH"/>
              </w:rPr>
              <w:t>sound</w:t>
            </w:r>
            <w:proofErr w:type="spellEnd"/>
            <w:r w:rsidRPr="00192E38">
              <w:rPr>
                <w:sz w:val="20"/>
                <w:lang w:val="fr-CH"/>
              </w:rPr>
              <w:t>)</w:t>
            </w:r>
          </w:p>
        </w:tc>
      </w:tr>
      <w:tr w:rsidR="00F335DC" w:rsidRPr="00ED2695" w14:paraId="223302B5" w14:textId="77777777" w:rsidTr="00773F61">
        <w:tc>
          <w:tcPr>
            <w:tcW w:w="1140" w:type="dxa"/>
            <w:shd w:val="clear" w:color="auto" w:fill="F2F2F2" w:themeFill="background1" w:themeFillShade="F2"/>
          </w:tcPr>
          <w:p w14:paraId="29F6EE9B" w14:textId="77777777" w:rsidR="00F335DC" w:rsidRPr="00192E38" w:rsidRDefault="00F335DC" w:rsidP="00773F61">
            <w:pPr>
              <w:spacing w:before="30" w:after="30"/>
              <w:ind w:left="57"/>
              <w:jc w:val="left"/>
              <w:rPr>
                <w:b/>
                <w:bCs/>
                <w:color w:val="000080"/>
                <w:sz w:val="20"/>
                <w:lang w:val="en-US"/>
              </w:rPr>
            </w:pPr>
            <w:r w:rsidRPr="00192E38">
              <w:rPr>
                <w:b/>
                <w:bCs/>
                <w:color w:val="000080"/>
                <w:sz w:val="20"/>
                <w:lang w:val="en-US"/>
              </w:rPr>
              <w:t>BT</w:t>
            </w:r>
          </w:p>
        </w:tc>
        <w:tc>
          <w:tcPr>
            <w:tcW w:w="8220" w:type="dxa"/>
            <w:shd w:val="clear" w:color="auto" w:fill="F2F2F2" w:themeFill="background1" w:themeFillShade="F2"/>
          </w:tcPr>
          <w:p w14:paraId="012C7938" w14:textId="77777777" w:rsidR="00F335DC" w:rsidRPr="00192E38"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192E38">
              <w:rPr>
                <w:bCs/>
                <w:color w:val="000080"/>
                <w:sz w:val="20"/>
                <w:lang w:val="en-US"/>
              </w:rPr>
              <w:t>Broadcasting service (television)</w:t>
            </w:r>
          </w:p>
        </w:tc>
      </w:tr>
      <w:tr w:rsidR="00F335DC" w:rsidRPr="00036EE3" w14:paraId="10C17C7B" w14:textId="77777777" w:rsidTr="00773F61">
        <w:tc>
          <w:tcPr>
            <w:tcW w:w="1140" w:type="dxa"/>
            <w:shd w:val="clear" w:color="auto" w:fill="auto"/>
          </w:tcPr>
          <w:p w14:paraId="19FB976C" w14:textId="77777777" w:rsidR="00F335DC" w:rsidRPr="00036EE3" w:rsidRDefault="00F335DC" w:rsidP="00773F61">
            <w:pPr>
              <w:spacing w:before="30" w:after="30"/>
              <w:ind w:left="57"/>
              <w:jc w:val="left"/>
              <w:rPr>
                <w:b/>
                <w:bCs/>
                <w:sz w:val="20"/>
                <w:lang w:val="fr-CH"/>
              </w:rPr>
            </w:pPr>
            <w:r w:rsidRPr="00036EE3">
              <w:rPr>
                <w:b/>
                <w:bCs/>
                <w:sz w:val="20"/>
                <w:lang w:val="fr-CH"/>
              </w:rPr>
              <w:t>F</w:t>
            </w:r>
          </w:p>
        </w:tc>
        <w:tc>
          <w:tcPr>
            <w:tcW w:w="8220" w:type="dxa"/>
            <w:shd w:val="clear" w:color="auto" w:fill="auto"/>
          </w:tcPr>
          <w:p w14:paraId="63ECDC04" w14:textId="77777777" w:rsidR="00F335DC" w:rsidRPr="00036EE3"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proofErr w:type="spellStart"/>
            <w:r w:rsidRPr="00036EE3">
              <w:rPr>
                <w:sz w:val="20"/>
                <w:lang w:val="fr-CH"/>
              </w:rPr>
              <w:t>Fixed</w:t>
            </w:r>
            <w:proofErr w:type="spellEnd"/>
            <w:r w:rsidRPr="00036EE3">
              <w:rPr>
                <w:sz w:val="20"/>
                <w:lang w:val="fr-CH"/>
              </w:rPr>
              <w:t xml:space="preserve"> service</w:t>
            </w:r>
          </w:p>
        </w:tc>
      </w:tr>
      <w:tr w:rsidR="00F335DC" w:rsidRPr="00036EE3" w14:paraId="46F6EBFD" w14:textId="77777777" w:rsidTr="00773F61">
        <w:tc>
          <w:tcPr>
            <w:tcW w:w="1140" w:type="dxa"/>
            <w:shd w:val="clear" w:color="auto" w:fill="auto"/>
          </w:tcPr>
          <w:p w14:paraId="69D12F95" w14:textId="77777777" w:rsidR="00F335DC" w:rsidRPr="00906589" w:rsidRDefault="00F335DC" w:rsidP="00773F61">
            <w:pPr>
              <w:spacing w:before="30" w:after="30"/>
              <w:ind w:left="57"/>
              <w:jc w:val="left"/>
              <w:rPr>
                <w:b/>
                <w:bCs/>
                <w:sz w:val="20"/>
                <w:lang w:val="en-US"/>
              </w:rPr>
            </w:pPr>
            <w:r w:rsidRPr="00906589">
              <w:rPr>
                <w:b/>
                <w:bCs/>
                <w:sz w:val="20"/>
                <w:lang w:val="en-US"/>
              </w:rPr>
              <w:t>M</w:t>
            </w:r>
          </w:p>
        </w:tc>
        <w:tc>
          <w:tcPr>
            <w:tcW w:w="8220" w:type="dxa"/>
            <w:shd w:val="clear" w:color="auto" w:fill="auto"/>
          </w:tcPr>
          <w:p w14:paraId="191B4A1D" w14:textId="77777777" w:rsidR="00F335DC" w:rsidRPr="00906589"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906589">
              <w:rPr>
                <w:b w:val="0"/>
                <w:sz w:val="20"/>
                <w:lang w:val="en-US"/>
              </w:rPr>
              <w:t>Mobile, radiodetermination, amateur and related satellite services</w:t>
            </w:r>
          </w:p>
        </w:tc>
      </w:tr>
      <w:tr w:rsidR="00F335DC" w:rsidRPr="00036EE3" w14:paraId="1A5EC430" w14:textId="77777777" w:rsidTr="00773F61">
        <w:tc>
          <w:tcPr>
            <w:tcW w:w="1140" w:type="dxa"/>
          </w:tcPr>
          <w:p w14:paraId="09C81E42" w14:textId="77777777" w:rsidR="00F335DC" w:rsidRPr="00036EE3" w:rsidRDefault="00F335DC" w:rsidP="00773F61">
            <w:pPr>
              <w:spacing w:before="30" w:after="30"/>
              <w:ind w:left="57"/>
              <w:jc w:val="left"/>
              <w:rPr>
                <w:b/>
                <w:bCs/>
                <w:sz w:val="20"/>
                <w:lang w:val="fr-CH"/>
              </w:rPr>
            </w:pPr>
            <w:r w:rsidRPr="00036EE3">
              <w:rPr>
                <w:b/>
                <w:bCs/>
                <w:sz w:val="20"/>
                <w:lang w:val="fr-CH"/>
              </w:rPr>
              <w:t>P</w:t>
            </w:r>
          </w:p>
        </w:tc>
        <w:tc>
          <w:tcPr>
            <w:tcW w:w="8220" w:type="dxa"/>
          </w:tcPr>
          <w:p w14:paraId="5D3D792E" w14:textId="77777777" w:rsidR="00F335DC" w:rsidRPr="00036EE3" w:rsidRDefault="00F335DC" w:rsidP="00773F61">
            <w:pPr>
              <w:spacing w:before="30" w:after="30"/>
              <w:jc w:val="left"/>
              <w:rPr>
                <w:sz w:val="20"/>
                <w:lang w:val="fr-CH"/>
              </w:rPr>
            </w:pPr>
            <w:proofErr w:type="spellStart"/>
            <w:r w:rsidRPr="00036EE3">
              <w:rPr>
                <w:sz w:val="20"/>
                <w:lang w:val="fr-CH"/>
              </w:rPr>
              <w:t>Radiowave</w:t>
            </w:r>
            <w:proofErr w:type="spellEnd"/>
            <w:r w:rsidRPr="00036EE3">
              <w:rPr>
                <w:sz w:val="20"/>
                <w:lang w:val="fr-CH"/>
              </w:rPr>
              <w:t xml:space="preserve"> propagation</w:t>
            </w:r>
          </w:p>
        </w:tc>
      </w:tr>
      <w:tr w:rsidR="00F335DC" w:rsidRPr="00036EE3" w14:paraId="4BB1725E" w14:textId="77777777" w:rsidTr="00773F61">
        <w:tc>
          <w:tcPr>
            <w:tcW w:w="1140" w:type="dxa"/>
          </w:tcPr>
          <w:p w14:paraId="40991D2F" w14:textId="77777777" w:rsidR="00F335DC" w:rsidRPr="00036EE3" w:rsidRDefault="00F335DC" w:rsidP="00773F61">
            <w:pPr>
              <w:spacing w:before="30" w:after="30"/>
              <w:ind w:left="57"/>
              <w:jc w:val="left"/>
              <w:rPr>
                <w:b/>
                <w:bCs/>
                <w:sz w:val="20"/>
                <w:lang w:val="en-US"/>
              </w:rPr>
            </w:pPr>
            <w:r w:rsidRPr="00036EE3">
              <w:rPr>
                <w:b/>
                <w:bCs/>
                <w:sz w:val="20"/>
                <w:lang w:val="en-US"/>
              </w:rPr>
              <w:t>RA</w:t>
            </w:r>
          </w:p>
        </w:tc>
        <w:tc>
          <w:tcPr>
            <w:tcW w:w="8220" w:type="dxa"/>
          </w:tcPr>
          <w:p w14:paraId="4D01734F" w14:textId="77777777" w:rsidR="00F335DC" w:rsidRPr="00036EE3"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F335DC" w:rsidRPr="00036EE3" w14:paraId="1134C34F" w14:textId="77777777" w:rsidTr="00773F61">
        <w:tc>
          <w:tcPr>
            <w:tcW w:w="1140" w:type="dxa"/>
          </w:tcPr>
          <w:p w14:paraId="717D63BA" w14:textId="77777777" w:rsidR="00F335DC" w:rsidRPr="00036EE3" w:rsidRDefault="00F335DC" w:rsidP="00773F61">
            <w:pPr>
              <w:spacing w:before="30" w:after="30"/>
              <w:ind w:left="57"/>
              <w:jc w:val="left"/>
              <w:rPr>
                <w:b/>
                <w:bCs/>
                <w:sz w:val="20"/>
                <w:lang w:val="en-US"/>
              </w:rPr>
            </w:pPr>
            <w:r w:rsidRPr="00036EE3">
              <w:rPr>
                <w:b/>
                <w:bCs/>
                <w:sz w:val="20"/>
                <w:lang w:val="en-US"/>
              </w:rPr>
              <w:t>RS</w:t>
            </w:r>
          </w:p>
        </w:tc>
        <w:tc>
          <w:tcPr>
            <w:tcW w:w="8220" w:type="dxa"/>
          </w:tcPr>
          <w:p w14:paraId="7267BFC4" w14:textId="77777777" w:rsidR="00F335DC" w:rsidRPr="00036EE3"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F335DC" w:rsidRPr="00036EE3" w14:paraId="15A873F5" w14:textId="77777777" w:rsidTr="00773F61">
        <w:tc>
          <w:tcPr>
            <w:tcW w:w="1140" w:type="dxa"/>
            <w:tcBorders>
              <w:bottom w:val="nil"/>
            </w:tcBorders>
          </w:tcPr>
          <w:p w14:paraId="30355FFA" w14:textId="77777777" w:rsidR="00F335DC" w:rsidRPr="00036EE3" w:rsidRDefault="00F335DC" w:rsidP="00773F61">
            <w:pPr>
              <w:spacing w:before="30" w:after="30"/>
              <w:ind w:left="57"/>
              <w:jc w:val="left"/>
              <w:rPr>
                <w:b/>
                <w:bCs/>
                <w:sz w:val="20"/>
                <w:lang w:val="en-US"/>
              </w:rPr>
            </w:pPr>
            <w:r w:rsidRPr="00036EE3">
              <w:rPr>
                <w:b/>
                <w:bCs/>
                <w:sz w:val="20"/>
                <w:lang w:val="en-US"/>
              </w:rPr>
              <w:t>S</w:t>
            </w:r>
          </w:p>
        </w:tc>
        <w:tc>
          <w:tcPr>
            <w:tcW w:w="8220" w:type="dxa"/>
            <w:tcBorders>
              <w:bottom w:val="nil"/>
            </w:tcBorders>
          </w:tcPr>
          <w:p w14:paraId="0AAFCF18" w14:textId="77777777" w:rsidR="00F335DC" w:rsidRPr="00036EE3" w:rsidRDefault="00F335DC" w:rsidP="00773F61">
            <w:pPr>
              <w:spacing w:before="30" w:after="30"/>
              <w:jc w:val="left"/>
              <w:rPr>
                <w:sz w:val="20"/>
                <w:lang w:val="en-US"/>
              </w:rPr>
            </w:pPr>
            <w:r w:rsidRPr="00036EE3">
              <w:rPr>
                <w:sz w:val="20"/>
                <w:lang w:val="en-US"/>
              </w:rPr>
              <w:t>Fixed-satellite service</w:t>
            </w:r>
          </w:p>
        </w:tc>
      </w:tr>
      <w:tr w:rsidR="00F335DC" w:rsidRPr="00B76D85" w14:paraId="2555C93D" w14:textId="77777777" w:rsidTr="00773F61">
        <w:tc>
          <w:tcPr>
            <w:tcW w:w="1140" w:type="dxa"/>
            <w:tcBorders>
              <w:top w:val="nil"/>
              <w:bottom w:val="nil"/>
            </w:tcBorders>
            <w:shd w:val="clear" w:color="auto" w:fill="FFFFFF" w:themeFill="background1"/>
          </w:tcPr>
          <w:p w14:paraId="7A75463B" w14:textId="77777777" w:rsidR="00F335DC" w:rsidRPr="00B76D85" w:rsidRDefault="00F335DC" w:rsidP="00773F61">
            <w:pPr>
              <w:spacing w:before="30" w:after="30"/>
              <w:ind w:left="57"/>
              <w:jc w:val="left"/>
              <w:rPr>
                <w:b/>
                <w:bCs/>
                <w:sz w:val="20"/>
                <w:lang w:val="en-US"/>
              </w:rPr>
            </w:pPr>
            <w:r w:rsidRPr="00B76D85">
              <w:rPr>
                <w:b/>
                <w:bCs/>
                <w:sz w:val="20"/>
                <w:lang w:val="en-US"/>
              </w:rPr>
              <w:t>SA</w:t>
            </w:r>
          </w:p>
        </w:tc>
        <w:tc>
          <w:tcPr>
            <w:tcW w:w="8220" w:type="dxa"/>
            <w:tcBorders>
              <w:top w:val="nil"/>
              <w:bottom w:val="nil"/>
            </w:tcBorders>
            <w:shd w:val="clear" w:color="auto" w:fill="FFFFFF" w:themeFill="background1"/>
          </w:tcPr>
          <w:p w14:paraId="00144989" w14:textId="77777777" w:rsidR="00F335DC" w:rsidRPr="00B76D85" w:rsidRDefault="00F335DC" w:rsidP="00773F61">
            <w:pPr>
              <w:spacing w:before="30" w:after="30"/>
              <w:jc w:val="left"/>
              <w:rPr>
                <w:sz w:val="20"/>
                <w:lang w:val="en-US"/>
              </w:rPr>
            </w:pPr>
            <w:r w:rsidRPr="00B76D85">
              <w:rPr>
                <w:sz w:val="20"/>
                <w:lang w:val="en-US"/>
              </w:rPr>
              <w:t>Space applications and meteorology</w:t>
            </w:r>
          </w:p>
        </w:tc>
      </w:tr>
      <w:tr w:rsidR="00F335DC" w:rsidRPr="005F7CD0" w14:paraId="04C8F5A1" w14:textId="77777777" w:rsidTr="00773F61">
        <w:tc>
          <w:tcPr>
            <w:tcW w:w="1140" w:type="dxa"/>
            <w:tcBorders>
              <w:top w:val="nil"/>
              <w:bottom w:val="nil"/>
            </w:tcBorders>
          </w:tcPr>
          <w:p w14:paraId="6715F30A" w14:textId="77777777" w:rsidR="00F335DC" w:rsidRPr="00036EE3" w:rsidRDefault="00F335DC" w:rsidP="00773F61">
            <w:pPr>
              <w:spacing w:before="30" w:after="30"/>
              <w:ind w:left="57"/>
              <w:jc w:val="left"/>
              <w:rPr>
                <w:b/>
                <w:bCs/>
                <w:sz w:val="20"/>
                <w:lang w:val="en-US"/>
              </w:rPr>
            </w:pPr>
            <w:r w:rsidRPr="00036EE3">
              <w:rPr>
                <w:b/>
                <w:bCs/>
                <w:sz w:val="20"/>
                <w:lang w:val="en-US"/>
              </w:rPr>
              <w:t>SF</w:t>
            </w:r>
          </w:p>
        </w:tc>
        <w:tc>
          <w:tcPr>
            <w:tcW w:w="8220" w:type="dxa"/>
            <w:tcBorders>
              <w:top w:val="nil"/>
              <w:bottom w:val="nil"/>
            </w:tcBorders>
          </w:tcPr>
          <w:p w14:paraId="5019B1DB" w14:textId="77777777" w:rsidR="00F335DC" w:rsidRPr="00036EE3" w:rsidRDefault="00F335DC" w:rsidP="00773F61">
            <w:pPr>
              <w:spacing w:before="30" w:after="30"/>
              <w:jc w:val="left"/>
              <w:rPr>
                <w:sz w:val="20"/>
                <w:lang w:val="en-US"/>
              </w:rPr>
            </w:pPr>
            <w:r w:rsidRPr="00036EE3">
              <w:rPr>
                <w:sz w:val="20"/>
                <w:lang w:val="en-US"/>
              </w:rPr>
              <w:t>Frequency sharing and coordination between fixed-satellite and fixed service systems</w:t>
            </w:r>
          </w:p>
        </w:tc>
      </w:tr>
      <w:tr w:rsidR="00F335DC" w:rsidRPr="00036EE3" w14:paraId="7A342E16" w14:textId="77777777" w:rsidTr="00773F61">
        <w:tc>
          <w:tcPr>
            <w:tcW w:w="1140" w:type="dxa"/>
            <w:tcBorders>
              <w:top w:val="nil"/>
              <w:bottom w:val="nil"/>
            </w:tcBorders>
            <w:shd w:val="clear" w:color="auto" w:fill="auto"/>
          </w:tcPr>
          <w:p w14:paraId="2C83D783" w14:textId="77777777" w:rsidR="00F335DC" w:rsidRPr="001B164E" w:rsidRDefault="00F335DC" w:rsidP="00773F61">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58EF9501" w14:textId="77777777" w:rsidR="00F335DC" w:rsidRPr="001B164E" w:rsidRDefault="00F335DC" w:rsidP="00773F61">
            <w:pPr>
              <w:spacing w:before="30" w:after="30"/>
              <w:jc w:val="left"/>
              <w:rPr>
                <w:rFonts w:hAnsi="Times New Roman Bold"/>
                <w:sz w:val="20"/>
                <w:lang w:val="en-US"/>
              </w:rPr>
            </w:pPr>
            <w:r w:rsidRPr="001B164E">
              <w:rPr>
                <w:rFonts w:hAnsi="Times New Roman Bold"/>
                <w:sz w:val="20"/>
                <w:lang w:val="en-US"/>
              </w:rPr>
              <w:t>Spectrum management</w:t>
            </w:r>
          </w:p>
        </w:tc>
      </w:tr>
      <w:tr w:rsidR="00F335DC" w:rsidRPr="00036EE3" w14:paraId="784A243B" w14:textId="77777777" w:rsidTr="00773F61">
        <w:tc>
          <w:tcPr>
            <w:tcW w:w="1140" w:type="dxa"/>
            <w:tcBorders>
              <w:top w:val="nil"/>
            </w:tcBorders>
          </w:tcPr>
          <w:p w14:paraId="3ED90352" w14:textId="77777777" w:rsidR="00F335DC" w:rsidRPr="00036EE3" w:rsidRDefault="00F335DC" w:rsidP="00773F61">
            <w:pPr>
              <w:spacing w:before="30" w:after="30"/>
              <w:ind w:left="57"/>
              <w:jc w:val="left"/>
              <w:rPr>
                <w:b/>
                <w:bCs/>
                <w:sz w:val="20"/>
                <w:lang w:val="en-US"/>
              </w:rPr>
            </w:pPr>
            <w:r w:rsidRPr="00036EE3">
              <w:rPr>
                <w:b/>
                <w:bCs/>
                <w:sz w:val="20"/>
                <w:lang w:val="en-US"/>
              </w:rPr>
              <w:t>SNG</w:t>
            </w:r>
          </w:p>
        </w:tc>
        <w:tc>
          <w:tcPr>
            <w:tcW w:w="8220" w:type="dxa"/>
            <w:tcBorders>
              <w:top w:val="nil"/>
            </w:tcBorders>
          </w:tcPr>
          <w:p w14:paraId="2661280C" w14:textId="77777777" w:rsidR="00F335DC" w:rsidRPr="00036EE3" w:rsidRDefault="00F335DC" w:rsidP="00773F61">
            <w:pPr>
              <w:spacing w:before="30" w:after="30"/>
              <w:jc w:val="left"/>
              <w:rPr>
                <w:sz w:val="20"/>
                <w:lang w:val="en-US"/>
              </w:rPr>
            </w:pPr>
            <w:r w:rsidRPr="00036EE3">
              <w:rPr>
                <w:sz w:val="20"/>
                <w:lang w:val="en-US"/>
              </w:rPr>
              <w:t>Satellite news gathering</w:t>
            </w:r>
          </w:p>
        </w:tc>
      </w:tr>
      <w:tr w:rsidR="00F335DC" w:rsidRPr="005F7CD0" w14:paraId="651E2F7F" w14:textId="77777777" w:rsidTr="00773F61">
        <w:tc>
          <w:tcPr>
            <w:tcW w:w="1140" w:type="dxa"/>
          </w:tcPr>
          <w:p w14:paraId="4F5CDD66" w14:textId="77777777" w:rsidR="00F335DC" w:rsidRPr="00036EE3" w:rsidRDefault="00F335DC" w:rsidP="00773F61">
            <w:pPr>
              <w:spacing w:before="30" w:after="30"/>
              <w:ind w:left="57"/>
              <w:jc w:val="left"/>
              <w:rPr>
                <w:b/>
                <w:bCs/>
                <w:sz w:val="20"/>
                <w:lang w:val="en-US"/>
              </w:rPr>
            </w:pPr>
            <w:r w:rsidRPr="00036EE3">
              <w:rPr>
                <w:b/>
                <w:bCs/>
                <w:sz w:val="20"/>
                <w:lang w:val="en-US"/>
              </w:rPr>
              <w:t>TF</w:t>
            </w:r>
          </w:p>
        </w:tc>
        <w:tc>
          <w:tcPr>
            <w:tcW w:w="8220" w:type="dxa"/>
          </w:tcPr>
          <w:p w14:paraId="38A67689" w14:textId="77777777" w:rsidR="00F335DC" w:rsidRPr="00036EE3" w:rsidRDefault="00F335DC" w:rsidP="00773F61">
            <w:pPr>
              <w:spacing w:before="30" w:after="30"/>
              <w:jc w:val="left"/>
              <w:rPr>
                <w:sz w:val="20"/>
                <w:lang w:val="en-US"/>
              </w:rPr>
            </w:pPr>
            <w:r w:rsidRPr="00036EE3">
              <w:rPr>
                <w:sz w:val="20"/>
                <w:lang w:val="en-US"/>
              </w:rPr>
              <w:t>Time signals and frequency standards emissions</w:t>
            </w:r>
          </w:p>
        </w:tc>
      </w:tr>
      <w:tr w:rsidR="00F335DC" w:rsidRPr="00036EE3" w14:paraId="69F2FE0D" w14:textId="77777777" w:rsidTr="00773F61">
        <w:tc>
          <w:tcPr>
            <w:tcW w:w="1140" w:type="dxa"/>
          </w:tcPr>
          <w:p w14:paraId="52111126" w14:textId="77777777" w:rsidR="00F335DC" w:rsidRPr="00036EE3" w:rsidRDefault="00F335DC" w:rsidP="00773F61">
            <w:pPr>
              <w:spacing w:before="30" w:after="30"/>
              <w:ind w:left="57"/>
              <w:jc w:val="left"/>
              <w:rPr>
                <w:b/>
                <w:bCs/>
                <w:sz w:val="20"/>
                <w:lang w:val="en-US"/>
              </w:rPr>
            </w:pPr>
            <w:r w:rsidRPr="00036EE3">
              <w:rPr>
                <w:b/>
                <w:bCs/>
                <w:sz w:val="20"/>
                <w:lang w:val="en-US"/>
              </w:rPr>
              <w:t>V</w:t>
            </w:r>
          </w:p>
        </w:tc>
        <w:tc>
          <w:tcPr>
            <w:tcW w:w="8220" w:type="dxa"/>
          </w:tcPr>
          <w:p w14:paraId="73CBBBDD" w14:textId="77777777" w:rsidR="00F335DC" w:rsidRPr="00036EE3" w:rsidRDefault="00F335DC" w:rsidP="00773F61">
            <w:pPr>
              <w:spacing w:before="30" w:after="180"/>
              <w:jc w:val="left"/>
              <w:rPr>
                <w:sz w:val="20"/>
                <w:lang w:val="en-US"/>
              </w:rPr>
            </w:pPr>
            <w:r w:rsidRPr="00036EE3">
              <w:rPr>
                <w:sz w:val="20"/>
                <w:lang w:val="en-US"/>
              </w:rPr>
              <w:t>Vocabulary and related subjects</w:t>
            </w:r>
          </w:p>
        </w:tc>
      </w:tr>
    </w:tbl>
    <w:p w14:paraId="2A0920CD" w14:textId="77777777" w:rsidR="00F335DC" w:rsidRPr="00036EE3" w:rsidRDefault="00F335DC" w:rsidP="00F335DC">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F335DC" w14:paraId="0B5B072A" w14:textId="77777777" w:rsidTr="00773F61">
        <w:tc>
          <w:tcPr>
            <w:tcW w:w="720" w:type="dxa"/>
          </w:tcPr>
          <w:p w14:paraId="3B3C176A" w14:textId="77777777" w:rsidR="00F335DC" w:rsidRDefault="00F335DC" w:rsidP="00773F61">
            <w:pPr>
              <w:jc w:val="center"/>
              <w:rPr>
                <w:sz w:val="22"/>
                <w:lang w:val="en-US"/>
              </w:rPr>
            </w:pPr>
          </w:p>
        </w:tc>
      </w:tr>
    </w:tbl>
    <w:p w14:paraId="3E2E9EF0" w14:textId="77777777" w:rsidR="00F335DC" w:rsidRPr="00036EE3" w:rsidRDefault="00F335DC" w:rsidP="00F335DC">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F335DC" w:rsidRPr="005F7CD0" w14:paraId="5B298C8A" w14:textId="77777777" w:rsidTr="00773F61">
        <w:tc>
          <w:tcPr>
            <w:tcW w:w="9360" w:type="dxa"/>
          </w:tcPr>
          <w:p w14:paraId="1D943E5F" w14:textId="77777777" w:rsidR="00F335DC" w:rsidRPr="002F5199" w:rsidRDefault="00F335DC" w:rsidP="00773F61">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640175A7" w14:textId="77777777" w:rsidR="00F335DC" w:rsidRDefault="00F335DC" w:rsidP="00F335DC">
      <w:pPr>
        <w:spacing w:before="0"/>
        <w:jc w:val="center"/>
        <w:rPr>
          <w:sz w:val="22"/>
          <w:lang w:val="en-US"/>
        </w:rPr>
      </w:pPr>
    </w:p>
    <w:p w14:paraId="270B7A9C" w14:textId="77777777" w:rsidR="00F335DC" w:rsidRDefault="00F335DC" w:rsidP="00F335DC">
      <w:pPr>
        <w:spacing w:before="0"/>
        <w:jc w:val="center"/>
        <w:rPr>
          <w:sz w:val="22"/>
          <w:lang w:val="en-US"/>
        </w:rPr>
      </w:pPr>
    </w:p>
    <w:p w14:paraId="7E6B7E92" w14:textId="77777777" w:rsidR="00F335DC" w:rsidRPr="002F5199" w:rsidRDefault="00F335DC" w:rsidP="00F335DC">
      <w:pPr>
        <w:spacing w:before="0"/>
        <w:jc w:val="right"/>
        <w:rPr>
          <w:i/>
          <w:iCs/>
          <w:sz w:val="20"/>
          <w:lang w:val="en-US"/>
        </w:rPr>
      </w:pPr>
      <w:r w:rsidRPr="002F5199">
        <w:rPr>
          <w:i/>
          <w:iCs/>
          <w:sz w:val="20"/>
          <w:lang w:val="en-US"/>
        </w:rPr>
        <w:t>Electronic Publication</w:t>
      </w:r>
    </w:p>
    <w:p w14:paraId="7CE3A750" w14:textId="217A8621" w:rsidR="00F335DC" w:rsidRPr="002F5199" w:rsidRDefault="00F335DC" w:rsidP="00F335DC">
      <w:pPr>
        <w:spacing w:before="0"/>
        <w:jc w:val="right"/>
        <w:rPr>
          <w:sz w:val="20"/>
          <w:lang w:val="en-US"/>
        </w:rPr>
      </w:pPr>
      <w:r w:rsidRPr="002F5199">
        <w:rPr>
          <w:sz w:val="20"/>
          <w:lang w:val="en-US"/>
        </w:rPr>
        <w:t>Geneva, 20</w:t>
      </w:r>
      <w:r>
        <w:rPr>
          <w:sz w:val="20"/>
          <w:lang w:val="en-US"/>
        </w:rPr>
        <w:t>2</w:t>
      </w:r>
      <w:r w:rsidR="00EB30B5">
        <w:rPr>
          <w:sz w:val="20"/>
          <w:lang w:val="en-US"/>
        </w:rPr>
        <w:t>5</w:t>
      </w:r>
    </w:p>
    <w:p w14:paraId="4496A711" w14:textId="77777777" w:rsidR="00F335DC" w:rsidRDefault="00F335DC" w:rsidP="00F335DC">
      <w:pPr>
        <w:jc w:val="center"/>
        <w:rPr>
          <w:sz w:val="22"/>
          <w:lang w:val="en-US"/>
        </w:rPr>
      </w:pPr>
    </w:p>
    <w:p w14:paraId="62940C84" w14:textId="569D90C8" w:rsidR="00F335DC" w:rsidRPr="00470E28" w:rsidRDefault="00F335DC" w:rsidP="00F335DC">
      <w:pPr>
        <w:jc w:val="center"/>
        <w:rPr>
          <w:sz w:val="20"/>
          <w:lang w:val="en-US"/>
        </w:rPr>
      </w:pPr>
      <w:r w:rsidRPr="00470E28">
        <w:rPr>
          <w:sz w:val="20"/>
          <w:lang w:val="en-US"/>
        </w:rPr>
        <w:sym w:font="Symbol" w:char="F0E3"/>
      </w:r>
      <w:r w:rsidRPr="00470E28">
        <w:rPr>
          <w:sz w:val="20"/>
          <w:lang w:val="en-US"/>
        </w:rPr>
        <w:t xml:space="preserve"> ITU </w:t>
      </w:r>
      <w:bookmarkStart w:id="2" w:name="iiannee"/>
      <w:bookmarkEnd w:id="2"/>
      <w:r w:rsidRPr="00470E28">
        <w:rPr>
          <w:sz w:val="20"/>
          <w:lang w:val="en-US"/>
        </w:rPr>
        <w:t>20</w:t>
      </w:r>
      <w:r>
        <w:rPr>
          <w:sz w:val="20"/>
          <w:lang w:val="en-US"/>
        </w:rPr>
        <w:t>2</w:t>
      </w:r>
      <w:r w:rsidR="00EB30B5">
        <w:rPr>
          <w:sz w:val="20"/>
          <w:lang w:val="en-US"/>
        </w:rPr>
        <w:t>5</w:t>
      </w:r>
    </w:p>
    <w:p w14:paraId="64B11FE2" w14:textId="77777777" w:rsidR="00F335DC" w:rsidRPr="00470E28" w:rsidRDefault="00F335DC" w:rsidP="00F335DC">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7A210B92" w14:textId="77777777" w:rsidR="00F335DC" w:rsidRDefault="00F335DC" w:rsidP="00F335DC">
      <w:pPr>
        <w:spacing w:before="160"/>
        <w:rPr>
          <w:i/>
          <w:sz w:val="20"/>
          <w:lang w:val="en-US"/>
        </w:rPr>
        <w:sectPr w:rsidR="00F335DC" w:rsidSect="002058CE">
          <w:headerReference w:type="even" r:id="rId15"/>
          <w:headerReference w:type="default" r:id="rId16"/>
          <w:pgSz w:w="11907" w:h="16834" w:code="9"/>
          <w:pgMar w:top="1418" w:right="1134" w:bottom="1134" w:left="1134" w:header="720" w:footer="482" w:gutter="0"/>
          <w:paperSrc w:first="15" w:other="15"/>
          <w:pgNumType w:fmt="lowerRoman" w:start="2"/>
          <w:cols w:space="720"/>
        </w:sectPr>
      </w:pPr>
    </w:p>
    <w:p w14:paraId="60C5E483" w14:textId="13850538" w:rsidR="00F335DC" w:rsidRPr="00B874C6" w:rsidRDefault="00F335DC" w:rsidP="00F335DC">
      <w:pPr>
        <w:pStyle w:val="RecNo"/>
        <w:spacing w:before="0"/>
        <w:rPr>
          <w:lang w:val="en-US"/>
        </w:rPr>
      </w:pPr>
      <w:bookmarkStart w:id="3" w:name="irecnoe"/>
      <w:bookmarkEnd w:id="3"/>
      <w:r w:rsidRPr="00BF487A">
        <w:lastRenderedPageBreak/>
        <w:t xml:space="preserve">RECOMMENDATION  </w:t>
      </w:r>
      <w:r w:rsidRPr="00BF487A">
        <w:rPr>
          <w:rStyle w:val="href"/>
          <w:lang w:val="en-US"/>
        </w:rPr>
        <w:t xml:space="preserve">ITU-R  </w:t>
      </w:r>
      <w:r>
        <w:rPr>
          <w:rStyle w:val="href"/>
          <w:lang w:val="en-US"/>
        </w:rPr>
        <w:t>BT</w:t>
      </w:r>
      <w:r w:rsidRPr="00BF487A">
        <w:rPr>
          <w:rStyle w:val="href"/>
          <w:lang w:val="en-US"/>
        </w:rPr>
        <w:t>.</w:t>
      </w:r>
      <w:r w:rsidR="008030EF">
        <w:rPr>
          <w:rStyle w:val="href"/>
          <w:lang w:val="en-US"/>
        </w:rPr>
        <w:t>216</w:t>
      </w:r>
      <w:r w:rsidR="00BC0133">
        <w:rPr>
          <w:rStyle w:val="href"/>
          <w:lang w:val="en-US"/>
        </w:rPr>
        <w:t>6</w:t>
      </w:r>
      <w:r w:rsidR="008030EF">
        <w:rPr>
          <w:rStyle w:val="href"/>
          <w:lang w:val="en-US"/>
        </w:rPr>
        <w:t>-0</w:t>
      </w:r>
    </w:p>
    <w:p w14:paraId="590F476B" w14:textId="2E96C858" w:rsidR="008030EF" w:rsidRPr="0013472D" w:rsidRDefault="00C103EC" w:rsidP="008030EF">
      <w:pPr>
        <w:pStyle w:val="Rectitle"/>
      </w:pPr>
      <w:r w:rsidRPr="00C103EC">
        <w:t xml:space="preserve">Viewing conditions for high dynamic range and standard dynamic range monitoring in close proximity within a single-master high dynamic range </w:t>
      </w:r>
      <w:r w:rsidR="00540D93" w:rsidRPr="001232F1">
        <w:t>production</w:t>
      </w:r>
      <w:r w:rsidR="00540D93" w:rsidRPr="001232F1">
        <w:rPr>
          <w:rStyle w:val="FootnoteReference"/>
        </w:rPr>
        <w:footnoteReference w:id="2"/>
      </w:r>
      <w:r w:rsidR="00540D93" w:rsidRPr="001232F1">
        <w:t xml:space="preserve"> environment</w:t>
      </w:r>
    </w:p>
    <w:p w14:paraId="6E2B534D" w14:textId="51BDA55E" w:rsidR="008030EF" w:rsidRPr="00536F61" w:rsidRDefault="008030EF" w:rsidP="008030EF">
      <w:pPr>
        <w:pStyle w:val="Recdate"/>
      </w:pPr>
      <w:r>
        <w:t>(202</w:t>
      </w:r>
      <w:r w:rsidR="00BC0133">
        <w:t>5</w:t>
      </w:r>
      <w:r>
        <w:t>)</w:t>
      </w:r>
    </w:p>
    <w:p w14:paraId="0F279DD9" w14:textId="77777777" w:rsidR="008030EF" w:rsidRPr="0013472D" w:rsidRDefault="008030EF" w:rsidP="008030EF">
      <w:pPr>
        <w:pStyle w:val="HeadingSum"/>
        <w:rPr>
          <w:lang w:val="en-GB"/>
        </w:rPr>
      </w:pPr>
      <w:r w:rsidRPr="0013472D">
        <w:rPr>
          <w:lang w:val="en-GB"/>
        </w:rPr>
        <w:t>Scope</w:t>
      </w:r>
    </w:p>
    <w:p w14:paraId="7DDF3E75" w14:textId="226E3086" w:rsidR="008030EF" w:rsidRDefault="00876A91" w:rsidP="00876A91">
      <w:pPr>
        <w:pStyle w:val="Summary"/>
        <w:spacing w:after="240"/>
        <w:rPr>
          <w:lang w:val="en-GB"/>
        </w:rPr>
      </w:pPr>
      <w:r w:rsidRPr="00876A91">
        <w:rPr>
          <w:lang w:val="en-GB"/>
        </w:rPr>
        <w:t>This Recommendation specifies recommended viewing conditions that are appropriate for use in single-master high dynamic range (HDR) productions where standard dynamic range (SDR) and HDR images are in close proximity.</w:t>
      </w:r>
    </w:p>
    <w:p w14:paraId="786C0A48" w14:textId="77777777" w:rsidR="008030EF" w:rsidRPr="0013472D" w:rsidRDefault="008030EF" w:rsidP="008030EF">
      <w:pPr>
        <w:pStyle w:val="Headingb"/>
      </w:pPr>
      <w:r w:rsidRPr="0013472D">
        <w:t>Keywords</w:t>
      </w:r>
    </w:p>
    <w:p w14:paraId="5AB47D6F" w14:textId="32A58407" w:rsidR="001D5E91" w:rsidRPr="001D5E91" w:rsidRDefault="001D5E91" w:rsidP="00E559BD">
      <w:r w:rsidRPr="001D5E91">
        <w:t>Single-master, standard dynamic range (SDR), high dynamic range (HDR)</w:t>
      </w:r>
      <w:r>
        <w:t>,</w:t>
      </w:r>
      <w:r w:rsidRPr="001D5E91">
        <w:t xml:space="preserve"> HDR television (HDR</w:t>
      </w:r>
      <w:r w:rsidRPr="001D5E91">
        <w:noBreakHyphen/>
        <w:t xml:space="preserve">TV), television production, international programme exchange, perceptual quantization (PQ), </w:t>
      </w:r>
      <w:bookmarkStart w:id="4" w:name="_Hlk187945273"/>
      <w:r w:rsidRPr="001D5E91">
        <w:t>hybrid log-gamma</w:t>
      </w:r>
      <w:r w:rsidR="00C74CA4">
        <w:t xml:space="preserve"> </w:t>
      </w:r>
      <w:r w:rsidRPr="001D5E91">
        <w:t>(HLG)</w:t>
      </w:r>
      <w:bookmarkEnd w:id="4"/>
      <w:r w:rsidRPr="001D5E91">
        <w:t>, viewing environment</w:t>
      </w:r>
    </w:p>
    <w:p w14:paraId="41585283" w14:textId="77777777" w:rsidR="008030EF" w:rsidRPr="0013472D" w:rsidRDefault="008030EF" w:rsidP="008030EF">
      <w:pPr>
        <w:pStyle w:val="Normalaftertitle"/>
        <w:rPr>
          <w:szCs w:val="24"/>
        </w:rPr>
      </w:pPr>
      <w:r w:rsidRPr="0013472D">
        <w:t>The ITU Radiocommunication Assembly,</w:t>
      </w:r>
    </w:p>
    <w:p w14:paraId="7462510A" w14:textId="77777777" w:rsidR="008030EF" w:rsidRPr="0013472D" w:rsidRDefault="008030EF" w:rsidP="008030EF">
      <w:pPr>
        <w:pStyle w:val="Call"/>
      </w:pPr>
      <w:r w:rsidRPr="007A0566">
        <w:t>considering</w:t>
      </w:r>
    </w:p>
    <w:p w14:paraId="7177FAFF" w14:textId="6E9112AB" w:rsidR="00D971D7" w:rsidRPr="00D971D7" w:rsidRDefault="00D971D7" w:rsidP="002B689D">
      <w:r w:rsidRPr="00D971D7">
        <w:rPr>
          <w:i/>
          <w:iCs/>
        </w:rPr>
        <w:t>a)</w:t>
      </w:r>
      <w:r w:rsidRPr="00D971D7">
        <w:tab/>
      </w:r>
      <w:r w:rsidR="00AB0FF2">
        <w:t xml:space="preserve">that </w:t>
      </w:r>
      <w:r w:rsidRPr="00D971D7">
        <w:t>a single-master HDR production, where the core production is in HDR and SDR is derived from down-mapping, is often used for reasons of efficiency;</w:t>
      </w:r>
    </w:p>
    <w:p w14:paraId="22E503A2" w14:textId="77777777" w:rsidR="00D971D7" w:rsidRPr="00D971D7" w:rsidRDefault="00D971D7" w:rsidP="002B689D">
      <w:bookmarkStart w:id="5" w:name="_Hlk129107983"/>
      <w:r w:rsidRPr="00D971D7">
        <w:rPr>
          <w:i/>
          <w:iCs/>
        </w:rPr>
        <w:t>b)</w:t>
      </w:r>
      <w:r w:rsidRPr="00D971D7">
        <w:tab/>
        <w:t>that in single-master HDR productions, close proximity viewing of both HDR and SDR is often unavoidable</w:t>
      </w:r>
      <w:bookmarkEnd w:id="5"/>
      <w:r w:rsidRPr="00D971D7">
        <w:t>;</w:t>
      </w:r>
    </w:p>
    <w:p w14:paraId="46C92ACE" w14:textId="77777777" w:rsidR="00D971D7" w:rsidRPr="00D971D7" w:rsidRDefault="00D971D7" w:rsidP="002B689D">
      <w:r w:rsidRPr="00D971D7">
        <w:rPr>
          <w:i/>
          <w:iCs/>
        </w:rPr>
        <w:t>c)</w:t>
      </w:r>
      <w:r w:rsidRPr="00D971D7">
        <w:tab/>
        <w:t>that HDR images are significantly brighter than SDR images in their respective reference viewing environments;</w:t>
      </w:r>
    </w:p>
    <w:p w14:paraId="2E7BE938" w14:textId="77777777" w:rsidR="00D971D7" w:rsidRPr="00D971D7" w:rsidRDefault="00D971D7" w:rsidP="002B689D">
      <w:r w:rsidRPr="00D971D7">
        <w:rPr>
          <w:i/>
          <w:iCs/>
        </w:rPr>
        <w:t>d)</w:t>
      </w:r>
      <w:r w:rsidRPr="00D971D7">
        <w:tab/>
        <w:t>that close proximity viewing will cause eye adaptation issues unless a unified white level is established between displayed HDR and SDR images;</w:t>
      </w:r>
    </w:p>
    <w:p w14:paraId="62AECEA7" w14:textId="77777777" w:rsidR="00D971D7" w:rsidRPr="00D971D7" w:rsidRDefault="00D971D7" w:rsidP="002B689D">
      <w:r w:rsidRPr="00D971D7">
        <w:rPr>
          <w:i/>
          <w:iCs/>
        </w:rPr>
        <w:t>e)</w:t>
      </w:r>
      <w:r w:rsidRPr="00D971D7">
        <w:tab/>
        <w:t>that a unified white level can be achieved by either raising SDR luminance or lowering HDR luminance away from their respective reference levels;</w:t>
      </w:r>
    </w:p>
    <w:p w14:paraId="673AB72E" w14:textId="77777777" w:rsidR="00D971D7" w:rsidRPr="00D971D7" w:rsidRDefault="00D971D7" w:rsidP="002B689D">
      <w:r w:rsidRPr="00D971D7">
        <w:rPr>
          <w:i/>
          <w:iCs/>
        </w:rPr>
        <w:t>f)</w:t>
      </w:r>
      <w:r w:rsidRPr="00D971D7">
        <w:tab/>
        <w:t>that when monitoring in close proximity, the same surround environment for SDR and HDR will be present;</w:t>
      </w:r>
    </w:p>
    <w:p w14:paraId="529249BC" w14:textId="10E34F18" w:rsidR="00D971D7" w:rsidRPr="00D971D7" w:rsidRDefault="00D971D7" w:rsidP="002B689D">
      <w:r w:rsidRPr="00D971D7">
        <w:rPr>
          <w:i/>
          <w:iCs/>
        </w:rPr>
        <w:t>g)</w:t>
      </w:r>
      <w:r w:rsidRPr="00D971D7">
        <w:tab/>
        <w:t xml:space="preserve">that SDR production suites generally employ surround luminance levels similar to those of Recommendation </w:t>
      </w:r>
      <w:bookmarkStart w:id="6" w:name="_Hlk187944113"/>
      <w:r w:rsidR="001D73BE" w:rsidRPr="001D73BE">
        <w:fldChar w:fldCharType="begin"/>
      </w:r>
      <w:r w:rsidR="001D73BE" w:rsidRPr="001D73BE">
        <w:instrText>HYPERLINK "https://www.itu.int/rec/R-REC-BT.2100/en"</w:instrText>
      </w:r>
      <w:r w:rsidR="001D73BE" w:rsidRPr="001D73BE">
        <w:fldChar w:fldCharType="separate"/>
      </w:r>
      <w:r w:rsidRPr="00D971D7">
        <w:rPr>
          <w:rStyle w:val="Hyperlink"/>
          <w:color w:val="auto"/>
          <w:u w:val="none"/>
        </w:rPr>
        <w:t>ITU-R BT.2100</w:t>
      </w:r>
      <w:r w:rsidR="001D73BE" w:rsidRPr="001D73BE">
        <w:fldChar w:fldCharType="end"/>
      </w:r>
      <w:bookmarkEnd w:id="6"/>
      <w:r w:rsidRPr="00D971D7">
        <w:t xml:space="preserve"> which differ from the levels specified in Recommendation </w:t>
      </w:r>
      <w:hyperlink r:id="rId17" w:history="1">
        <w:r w:rsidR="00D30CA6" w:rsidRPr="00D971D7">
          <w:rPr>
            <w:rStyle w:val="Hyperlink"/>
            <w:color w:val="auto"/>
            <w:u w:val="none"/>
          </w:rPr>
          <w:t>ITU-R BT.2035</w:t>
        </w:r>
      </w:hyperlink>
      <w:r w:rsidRPr="00D971D7">
        <w:t>,</w:t>
      </w:r>
    </w:p>
    <w:p w14:paraId="51238BF6" w14:textId="77777777" w:rsidR="00D971D7" w:rsidRPr="00D971D7" w:rsidRDefault="00D971D7" w:rsidP="00A82416">
      <w:pPr>
        <w:pStyle w:val="Call"/>
      </w:pPr>
      <w:r w:rsidRPr="00D971D7">
        <w:t>recognizing</w:t>
      </w:r>
    </w:p>
    <w:p w14:paraId="5BBD2DF6" w14:textId="09D8E0B4" w:rsidR="00D971D7" w:rsidRPr="00D971D7" w:rsidRDefault="00D971D7" w:rsidP="002B689D">
      <w:r w:rsidRPr="00D971D7">
        <w:rPr>
          <w:i/>
          <w:iCs/>
        </w:rPr>
        <w:t>a)</w:t>
      </w:r>
      <w:r w:rsidRPr="00D971D7">
        <w:tab/>
        <w:t xml:space="preserve">that Recommendation </w:t>
      </w:r>
      <w:bookmarkStart w:id="7" w:name="_Hlk187944241"/>
      <w:r w:rsidR="00913943" w:rsidRPr="00913943">
        <w:fldChar w:fldCharType="begin"/>
      </w:r>
      <w:r w:rsidR="00913943" w:rsidRPr="00913943">
        <w:instrText>HYPERLINK "https://www.itu.int/rec/R-REC-BT.2035/en"</w:instrText>
      </w:r>
      <w:r w:rsidR="00913943" w:rsidRPr="00913943">
        <w:fldChar w:fldCharType="separate"/>
      </w:r>
      <w:r w:rsidRPr="00D971D7">
        <w:rPr>
          <w:rStyle w:val="Hyperlink"/>
          <w:color w:val="auto"/>
          <w:u w:val="none"/>
        </w:rPr>
        <w:t>ITU-R BT.2035</w:t>
      </w:r>
      <w:r w:rsidR="00913943" w:rsidRPr="00913943">
        <w:fldChar w:fldCharType="end"/>
      </w:r>
      <w:bookmarkEnd w:id="7"/>
      <w:r w:rsidRPr="00D971D7">
        <w:t xml:space="preserve"> specifies an SDR reference white of 100 cd/m</w:t>
      </w:r>
      <w:r w:rsidRPr="00D971D7">
        <w:rPr>
          <w:vertAlign w:val="superscript"/>
        </w:rPr>
        <w:t>2</w:t>
      </w:r>
      <w:r w:rsidRPr="00D971D7">
        <w:t>;</w:t>
      </w:r>
    </w:p>
    <w:p w14:paraId="03992F28" w14:textId="68840764" w:rsidR="00D971D7" w:rsidRPr="00D971D7" w:rsidRDefault="00D971D7" w:rsidP="002B689D">
      <w:r w:rsidRPr="00D971D7">
        <w:rPr>
          <w:i/>
          <w:iCs/>
        </w:rPr>
        <w:t>b)</w:t>
      </w:r>
      <w:r w:rsidRPr="00D971D7">
        <w:tab/>
        <w:t xml:space="preserve">that Recommendation </w:t>
      </w:r>
      <w:hyperlink r:id="rId18" w:history="1">
        <w:r w:rsidR="001D73BE" w:rsidRPr="00D971D7">
          <w:rPr>
            <w:rStyle w:val="Hyperlink"/>
            <w:color w:val="auto"/>
            <w:u w:val="none"/>
          </w:rPr>
          <w:t>ITU-R BT.2100</w:t>
        </w:r>
      </w:hyperlink>
      <w:r w:rsidRPr="00D971D7">
        <w:t xml:space="preserve"> specifies a peak luminance level of ≥</w:t>
      </w:r>
      <w:r w:rsidR="004500D0">
        <w:t> </w:t>
      </w:r>
      <w:r w:rsidRPr="00D971D7">
        <w:t>1</w:t>
      </w:r>
      <w:r w:rsidR="004500D0">
        <w:t> </w:t>
      </w:r>
      <w:r w:rsidRPr="00D971D7">
        <w:t>000</w:t>
      </w:r>
      <w:r w:rsidR="004500D0">
        <w:t> </w:t>
      </w:r>
      <w:r w:rsidRPr="00D971D7">
        <w:t>cd/m</w:t>
      </w:r>
      <w:r w:rsidRPr="00D971D7">
        <w:rPr>
          <w:vertAlign w:val="superscript"/>
        </w:rPr>
        <w:t>2</w:t>
      </w:r>
      <w:r w:rsidRPr="00D971D7">
        <w:t xml:space="preserve"> for a reference monitor and critical viewing of HDR;</w:t>
      </w:r>
    </w:p>
    <w:p w14:paraId="26B2BD84" w14:textId="40F7B448" w:rsidR="00D971D7" w:rsidRPr="00D971D7" w:rsidRDefault="00D971D7" w:rsidP="002B689D">
      <w:r w:rsidRPr="00D971D7">
        <w:rPr>
          <w:i/>
          <w:iCs/>
        </w:rPr>
        <w:lastRenderedPageBreak/>
        <w:t>c)</w:t>
      </w:r>
      <w:r w:rsidRPr="00D971D7">
        <w:rPr>
          <w:i/>
          <w:iCs/>
        </w:rPr>
        <w:tab/>
      </w:r>
      <w:r w:rsidRPr="00D971D7">
        <w:t xml:space="preserve">that Report </w:t>
      </w:r>
      <w:hyperlink r:id="rId19" w:history="1">
        <w:r w:rsidR="004E31EA" w:rsidRPr="00D971D7">
          <w:rPr>
            <w:rStyle w:val="Hyperlink"/>
            <w:color w:val="auto"/>
            <w:u w:val="none"/>
          </w:rPr>
          <w:t>ITU-R BT.2408</w:t>
        </w:r>
      </w:hyperlink>
      <w:r w:rsidRPr="00D971D7">
        <w:t xml:space="preserve"> describes an HDR reference white of 203 cd/m</w:t>
      </w:r>
      <w:r w:rsidRPr="00D971D7">
        <w:rPr>
          <w:vertAlign w:val="superscript"/>
        </w:rPr>
        <w:t xml:space="preserve">2 </w:t>
      </w:r>
      <w:r w:rsidRPr="00D971D7">
        <w:t xml:space="preserve">for a </w:t>
      </w:r>
      <w:r w:rsidR="00A9460C">
        <w:t>P</w:t>
      </w:r>
      <w:r w:rsidR="004500D0" w:rsidRPr="001D5E91">
        <w:t xml:space="preserve">erceptual </w:t>
      </w:r>
      <w:r w:rsidR="00A9460C">
        <w:t>Q</w:t>
      </w:r>
      <w:r w:rsidR="004500D0" w:rsidRPr="001D5E91">
        <w:t>uantization (PQ)</w:t>
      </w:r>
      <w:r w:rsidRPr="00D971D7">
        <w:t xml:space="preserve"> reference monitor, which for HLG corresponds to a </w:t>
      </w:r>
      <w:r w:rsidR="00A9460C">
        <w:t>H</w:t>
      </w:r>
      <w:r w:rsidR="004500D0" w:rsidRPr="001D5E91">
        <w:t xml:space="preserve">ybrid </w:t>
      </w:r>
      <w:r w:rsidR="00A9460C">
        <w:t>L</w:t>
      </w:r>
      <w:r w:rsidR="004500D0" w:rsidRPr="001D5E91">
        <w:t>og-</w:t>
      </w:r>
      <w:r w:rsidR="00A9460C">
        <w:t>G</w:t>
      </w:r>
      <w:r w:rsidR="004500D0" w:rsidRPr="001D5E91">
        <w:t>amma</w:t>
      </w:r>
      <w:r w:rsidR="00ED175C">
        <w:t xml:space="preserve"> </w:t>
      </w:r>
      <w:r w:rsidR="004500D0" w:rsidRPr="001D5E91">
        <w:t>(HLG)</w:t>
      </w:r>
      <w:r w:rsidR="00ED175C">
        <w:t xml:space="preserve"> </w:t>
      </w:r>
      <w:r w:rsidRPr="00D971D7">
        <w:t>display with a peak luminance of 1 000 cd/m</w:t>
      </w:r>
      <w:r w:rsidRPr="00D971D7">
        <w:rPr>
          <w:vertAlign w:val="superscript"/>
        </w:rPr>
        <w:t>2</w:t>
      </w:r>
      <w:r w:rsidRPr="00D971D7">
        <w:t>;</w:t>
      </w:r>
    </w:p>
    <w:p w14:paraId="321D3C55" w14:textId="1254C204" w:rsidR="00D971D7" w:rsidRPr="00D971D7" w:rsidRDefault="00D971D7" w:rsidP="00D971D7">
      <w:pPr>
        <w:tabs>
          <w:tab w:val="clear" w:pos="794"/>
          <w:tab w:val="clear" w:pos="1191"/>
          <w:tab w:val="clear" w:pos="1588"/>
          <w:tab w:val="clear" w:pos="1985"/>
          <w:tab w:val="left" w:pos="1134"/>
          <w:tab w:val="left" w:pos="1871"/>
          <w:tab w:val="left" w:pos="2268"/>
        </w:tabs>
        <w:jc w:val="left"/>
      </w:pPr>
      <w:r w:rsidRPr="00D971D7">
        <w:rPr>
          <w:i/>
          <w:iCs/>
        </w:rPr>
        <w:t>d)</w:t>
      </w:r>
      <w:r w:rsidRPr="00D971D7">
        <w:tab/>
        <w:t xml:space="preserve">that Recommendation </w:t>
      </w:r>
      <w:hyperlink r:id="rId20" w:history="1">
        <w:r w:rsidR="001D73BE" w:rsidRPr="00D971D7">
          <w:rPr>
            <w:rStyle w:val="Hyperlink"/>
            <w:color w:val="auto"/>
            <w:u w:val="none"/>
          </w:rPr>
          <w:t>ITU-R BT.2100</w:t>
        </w:r>
      </w:hyperlink>
      <w:r w:rsidRPr="00D971D7">
        <w:t xml:space="preserve"> has specified a monitoring surround luminance level of 5 cd/m</w:t>
      </w:r>
      <w:r w:rsidRPr="00D971D7">
        <w:rPr>
          <w:vertAlign w:val="superscript"/>
        </w:rPr>
        <w:t>2</w:t>
      </w:r>
      <w:r w:rsidRPr="00D971D7">
        <w:t>,</w:t>
      </w:r>
    </w:p>
    <w:p w14:paraId="26A05861" w14:textId="77777777" w:rsidR="00D971D7" w:rsidRPr="00D971D7" w:rsidRDefault="00D971D7" w:rsidP="00D971D7">
      <w:pPr>
        <w:keepNext/>
        <w:keepLines/>
        <w:tabs>
          <w:tab w:val="clear" w:pos="794"/>
          <w:tab w:val="clear" w:pos="1191"/>
          <w:tab w:val="clear" w:pos="1588"/>
          <w:tab w:val="clear" w:pos="1985"/>
          <w:tab w:val="left" w:pos="1134"/>
          <w:tab w:val="left" w:pos="1871"/>
          <w:tab w:val="left" w:pos="2268"/>
        </w:tabs>
        <w:spacing w:before="160"/>
        <w:ind w:left="1134"/>
        <w:jc w:val="left"/>
        <w:rPr>
          <w:i/>
        </w:rPr>
      </w:pPr>
      <w:r w:rsidRPr="00D971D7">
        <w:rPr>
          <w:i/>
        </w:rPr>
        <w:t>recommends</w:t>
      </w:r>
    </w:p>
    <w:p w14:paraId="48852AA2" w14:textId="320E3AE2" w:rsidR="00CF2956" w:rsidRDefault="00D971D7" w:rsidP="00D971D7">
      <w:pPr>
        <w:pBdr>
          <w:top w:val="nil"/>
          <w:left w:val="nil"/>
          <w:bottom w:val="nil"/>
          <w:right w:val="nil"/>
          <w:between w:val="nil"/>
          <w:bar w:val="nil"/>
        </w:pBdr>
        <w:tabs>
          <w:tab w:val="clear" w:pos="794"/>
          <w:tab w:val="clear" w:pos="1191"/>
          <w:tab w:val="clear" w:pos="1588"/>
          <w:tab w:val="clear" w:pos="1985"/>
          <w:tab w:val="left" w:pos="720"/>
          <w:tab w:val="left" w:pos="1871"/>
          <w:tab w:val="left" w:pos="2268"/>
        </w:tabs>
        <w:overflowPunct/>
        <w:autoSpaceDE/>
        <w:autoSpaceDN/>
        <w:adjustRightInd/>
        <w:jc w:val="left"/>
        <w:textAlignment w:val="auto"/>
        <w:rPr>
          <w:color w:val="000000"/>
          <w:szCs w:val="24"/>
          <w:u w:color="000000"/>
          <w:bdr w:val="nil"/>
          <w:lang w:eastAsia="en-GB"/>
          <w14:textOutline w14:w="0" w14:cap="flat" w14:cmpd="sng" w14:algn="ctr">
            <w14:noFill/>
            <w14:prstDash w14:val="solid"/>
            <w14:bevel/>
          </w14:textOutline>
        </w:rPr>
      </w:pPr>
      <w:r w:rsidRPr="00D971D7">
        <w:rPr>
          <w:color w:val="000000"/>
          <w:szCs w:val="24"/>
          <w:u w:color="000000"/>
          <w:bdr w:val="nil"/>
          <w:lang w:eastAsia="en-GB"/>
          <w14:textOutline w14:w="0" w14:cap="flat" w14:cmpd="sng" w14:algn="ctr">
            <w14:noFill/>
            <w14:prstDash w14:val="solid"/>
            <w14:bevel/>
          </w14:textOutline>
        </w:rPr>
        <w:t>that for single-master HDR productions where SDR and HDR programme monitors must be in close proximity, the recommended viewing conditions described in Annex 1 should be used.</w:t>
      </w:r>
    </w:p>
    <w:p w14:paraId="354F66AF" w14:textId="77777777" w:rsidR="004156D7" w:rsidRDefault="004156D7" w:rsidP="00D971D7">
      <w:pPr>
        <w:pBdr>
          <w:top w:val="nil"/>
          <w:left w:val="nil"/>
          <w:bottom w:val="nil"/>
          <w:right w:val="nil"/>
          <w:between w:val="nil"/>
          <w:bar w:val="nil"/>
        </w:pBdr>
        <w:tabs>
          <w:tab w:val="clear" w:pos="794"/>
          <w:tab w:val="clear" w:pos="1191"/>
          <w:tab w:val="clear" w:pos="1588"/>
          <w:tab w:val="clear" w:pos="1985"/>
          <w:tab w:val="left" w:pos="720"/>
          <w:tab w:val="left" w:pos="1871"/>
          <w:tab w:val="left" w:pos="2268"/>
        </w:tabs>
        <w:overflowPunct/>
        <w:autoSpaceDE/>
        <w:autoSpaceDN/>
        <w:adjustRightInd/>
        <w:jc w:val="left"/>
        <w:textAlignment w:val="auto"/>
        <w:rPr>
          <w:color w:val="000000"/>
          <w:szCs w:val="24"/>
          <w:u w:color="000000"/>
          <w:bdr w:val="nil"/>
          <w:lang w:eastAsia="en-GB"/>
          <w14:textOutline w14:w="0" w14:cap="flat" w14:cmpd="sng" w14:algn="ctr">
            <w14:noFill/>
            <w14:prstDash w14:val="solid"/>
            <w14:bevel/>
          </w14:textOutline>
        </w:rPr>
      </w:pPr>
    </w:p>
    <w:p w14:paraId="00BE3057" w14:textId="77777777" w:rsidR="004156D7" w:rsidRPr="00D971D7" w:rsidRDefault="004156D7" w:rsidP="00D971D7">
      <w:pPr>
        <w:pBdr>
          <w:top w:val="nil"/>
          <w:left w:val="nil"/>
          <w:bottom w:val="nil"/>
          <w:right w:val="nil"/>
          <w:between w:val="nil"/>
          <w:bar w:val="nil"/>
        </w:pBdr>
        <w:tabs>
          <w:tab w:val="clear" w:pos="794"/>
          <w:tab w:val="clear" w:pos="1191"/>
          <w:tab w:val="clear" w:pos="1588"/>
          <w:tab w:val="clear" w:pos="1985"/>
          <w:tab w:val="left" w:pos="720"/>
          <w:tab w:val="left" w:pos="1871"/>
          <w:tab w:val="left" w:pos="2268"/>
        </w:tabs>
        <w:overflowPunct/>
        <w:autoSpaceDE/>
        <w:autoSpaceDN/>
        <w:adjustRightInd/>
        <w:jc w:val="left"/>
        <w:textAlignment w:val="auto"/>
        <w:rPr>
          <w:color w:val="000000"/>
          <w:szCs w:val="24"/>
          <w:u w:color="000000"/>
          <w:bdr w:val="nil"/>
          <w:lang w:eastAsia="en-GB"/>
          <w14:textOutline w14:w="0" w14:cap="flat" w14:cmpd="sng" w14:algn="ctr">
            <w14:noFill/>
            <w14:prstDash w14:val="solid"/>
            <w14:bevel/>
          </w14:textOutline>
        </w:rPr>
      </w:pPr>
    </w:p>
    <w:p w14:paraId="114BB5DE" w14:textId="77777777" w:rsidR="00D971D7" w:rsidRPr="00D971D7" w:rsidRDefault="00D971D7" w:rsidP="00256992">
      <w:pPr>
        <w:pStyle w:val="AnnexNoTitle"/>
        <w:rPr>
          <w:rFonts w:eastAsia="MS Mincho"/>
        </w:rPr>
      </w:pPr>
      <w:r w:rsidRPr="00D971D7">
        <w:rPr>
          <w:rFonts w:eastAsia="MS Mincho"/>
        </w:rPr>
        <w:t>Annex 1</w:t>
      </w:r>
      <w:r w:rsidRPr="00D971D7">
        <w:rPr>
          <w:rFonts w:eastAsia="MS Mincho"/>
        </w:rPr>
        <w:br/>
      </w:r>
      <w:r w:rsidRPr="00D971D7">
        <w:rPr>
          <w:rFonts w:eastAsia="MS Mincho"/>
        </w:rPr>
        <w:br/>
        <w:t>Recommended viewing conditions for monitoring HDR and SDR</w:t>
      </w:r>
      <w:r w:rsidRPr="00D971D7">
        <w:rPr>
          <w:rFonts w:eastAsia="MS Mincho"/>
        </w:rPr>
        <w:br/>
        <w:t xml:space="preserve">images in close proximity </w:t>
      </w:r>
    </w:p>
    <w:p w14:paraId="208CD227" w14:textId="77777777" w:rsidR="00D971D7" w:rsidRPr="00D971D7" w:rsidRDefault="00D971D7" w:rsidP="00256992">
      <w:pPr>
        <w:pStyle w:val="Headingb"/>
        <w:rPr>
          <w:lang w:eastAsia="zh-CN"/>
        </w:rPr>
      </w:pPr>
      <w:r w:rsidRPr="00D971D7">
        <w:rPr>
          <w:rFonts w:eastAsia="Arial Unicode MS"/>
          <w:lang w:eastAsia="zh-CN"/>
        </w:rPr>
        <w:t>Overview</w:t>
      </w:r>
    </w:p>
    <w:p w14:paraId="5566E71A" w14:textId="77777777" w:rsidR="00D971D7" w:rsidRPr="00D971D7" w:rsidRDefault="00D971D7" w:rsidP="00D74830">
      <w:r w:rsidRPr="00D971D7">
        <w:rPr>
          <w:rFonts w:eastAsia="Arial Unicode MS"/>
        </w:rPr>
        <w:t xml:space="preserve">The intent of this Recommendation is to specify viewing conditions for close proximity HDR and SDR image monitoring within a </w:t>
      </w:r>
      <w:bookmarkStart w:id="8" w:name="_Hlk176425462"/>
      <w:r w:rsidRPr="00D971D7">
        <w:rPr>
          <w:rFonts w:eastAsia="Arial Unicode MS"/>
        </w:rPr>
        <w:t xml:space="preserve">single-master HDR production </w:t>
      </w:r>
      <w:bookmarkEnd w:id="8"/>
      <w:r w:rsidRPr="00D971D7">
        <w:rPr>
          <w:rFonts w:eastAsia="Arial Unicode MS"/>
        </w:rPr>
        <w:t>where either the HDR or SDR display uses a nominal peak reference luminance level. Some common examples for close proximity viewing of HDR and SDR include side-by-side HDR/SDR shading, when using multiview monitors (one monitor containing multiple images of different formats in close proximity), or for basic quality assessments by the vision assist. Section 1 contains a set of common recommended viewing environment specifications which relate to ambient light surround conditions and viewing distance. Section 2 contains monitor setup parameters for HDR and SDR imagery.</w:t>
      </w:r>
    </w:p>
    <w:p w14:paraId="67BCAE7A" w14:textId="77777777" w:rsidR="00D971D7" w:rsidRPr="00D971D7" w:rsidRDefault="00D971D7" w:rsidP="00D74830">
      <w:pPr>
        <w:pStyle w:val="Heading1"/>
      </w:pPr>
      <w:r w:rsidRPr="00D971D7">
        <w:t>1</w:t>
      </w:r>
      <w:r w:rsidRPr="00D971D7">
        <w:tab/>
        <w:t>Recommended viewing environment</w:t>
      </w:r>
    </w:p>
    <w:p w14:paraId="4C7E7CF3" w14:textId="629BDD84" w:rsidR="00D971D7" w:rsidRPr="00D971D7" w:rsidRDefault="00D971D7" w:rsidP="00D74830">
      <w:r w:rsidRPr="00D971D7">
        <w:rPr>
          <w:rFonts w:eastAsia="Arial Unicode MS"/>
        </w:rPr>
        <w:t xml:space="preserve">The recommended viewing environment is based in part on the reference viewing environment described in Table 3 of Recommendation </w:t>
      </w:r>
      <w:hyperlink r:id="rId21" w:history="1">
        <w:r w:rsidR="001D73BE" w:rsidRPr="00D971D7">
          <w:rPr>
            <w:rStyle w:val="Hyperlink"/>
            <w:color w:val="auto"/>
            <w:u w:val="none"/>
          </w:rPr>
          <w:t>ITU-R BT.2100</w:t>
        </w:r>
      </w:hyperlink>
      <w:r w:rsidRPr="00D971D7">
        <w:rPr>
          <w:rFonts w:eastAsia="Arial Unicode MS"/>
        </w:rPr>
        <w:t>. The parameters used are listed in Table</w:t>
      </w:r>
      <w:r w:rsidR="0021295D">
        <w:rPr>
          <w:rFonts w:eastAsia="Arial Unicode MS"/>
        </w:rPr>
        <w:t> </w:t>
      </w:r>
      <w:r w:rsidRPr="00D971D7">
        <w:rPr>
          <w:rFonts w:eastAsia="Arial Unicode MS"/>
        </w:rPr>
        <w:t>1.</w:t>
      </w:r>
    </w:p>
    <w:p w14:paraId="40C22262" w14:textId="77777777" w:rsidR="00D971D7" w:rsidRPr="00D971D7" w:rsidRDefault="00D971D7" w:rsidP="00570495">
      <w:pPr>
        <w:pStyle w:val="TableNo"/>
      </w:pPr>
      <w:r w:rsidRPr="00D971D7">
        <w:lastRenderedPageBreak/>
        <w:t>TABLE 1</w:t>
      </w:r>
    </w:p>
    <w:p w14:paraId="72ADCFF5" w14:textId="44BA1E66" w:rsidR="00D971D7" w:rsidRDefault="00D971D7" w:rsidP="00570495">
      <w:pPr>
        <w:pStyle w:val="Tabletitle"/>
      </w:pPr>
      <w:r w:rsidRPr="00D971D7">
        <w:t xml:space="preserve">Recommended viewing environment for critical monitoring of HDR and SDR images </w:t>
      </w:r>
      <w:r w:rsidR="008B5D30">
        <w:br/>
      </w:r>
      <w:r w:rsidRPr="00D971D7">
        <w:t>in close proximity</w:t>
      </w: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835"/>
        <w:gridCol w:w="6804"/>
      </w:tblGrid>
      <w:tr w:rsidR="00906D8C" w:rsidRPr="001232F1" w14:paraId="72176DAA" w14:textId="77777777" w:rsidTr="00EA704E">
        <w:trPr>
          <w:trHeight w:val="222"/>
          <w:tblHeade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A8BA9" w14:textId="77777777" w:rsidR="00906D8C" w:rsidRPr="001232F1" w:rsidRDefault="00906D8C" w:rsidP="00603A95">
            <w:pPr>
              <w:pStyle w:val="Tablehead"/>
            </w:pPr>
            <w:r w:rsidRPr="001232F1">
              <w:t>Parameter</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CAAF7" w14:textId="77777777" w:rsidR="00906D8C" w:rsidRPr="001232F1" w:rsidRDefault="00906D8C" w:rsidP="00603A95">
            <w:pPr>
              <w:pStyle w:val="Tablehead"/>
            </w:pPr>
            <w:r w:rsidRPr="001232F1">
              <w:t>Values</w:t>
            </w:r>
          </w:p>
        </w:tc>
      </w:tr>
      <w:tr w:rsidR="00906D8C" w:rsidRPr="001232F1" w14:paraId="4E1AC269" w14:textId="77777777" w:rsidTr="00603A95">
        <w:trPr>
          <w:trHeight w:val="222"/>
          <w:tblHeade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0BD8" w14:textId="11819067" w:rsidR="00906D8C" w:rsidRPr="001232F1" w:rsidRDefault="00906D8C" w:rsidP="00603A95">
            <w:pPr>
              <w:pStyle w:val="Tabletext"/>
            </w:pPr>
            <w:r w:rsidRPr="001232F1">
              <w:t xml:space="preserve">Surround and periphery </w:t>
            </w:r>
            <w:r w:rsidR="004156D7" w:rsidRPr="004156D7">
              <w:rPr>
                <w:szCs w:val="22"/>
                <w:vertAlign w:val="superscript"/>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E2553" w14:textId="77777777" w:rsidR="00906D8C" w:rsidRPr="001232F1" w:rsidRDefault="00906D8C" w:rsidP="00603A95">
            <w:pPr>
              <w:pStyle w:val="Tabletext"/>
              <w:jc w:val="center"/>
            </w:pPr>
            <w:r w:rsidRPr="001232F1">
              <w:t>Neutral grey at D65</w:t>
            </w:r>
          </w:p>
        </w:tc>
      </w:tr>
      <w:tr w:rsidR="00906D8C" w:rsidRPr="001232F1" w14:paraId="0CA656A3" w14:textId="77777777" w:rsidTr="00603A95">
        <w:trPr>
          <w:cantSplit/>
          <w:trHeight w:val="222"/>
          <w:tblHeade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10724" w14:textId="77777777" w:rsidR="00906D8C" w:rsidRPr="001232F1" w:rsidRDefault="00906D8C" w:rsidP="00603A95">
            <w:pPr>
              <w:pStyle w:val="Tabletext"/>
            </w:pPr>
            <w:r w:rsidRPr="001232F1">
              <w:t xml:space="preserve">Luminance of surround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BD77C" w14:textId="77777777" w:rsidR="00906D8C" w:rsidRPr="001232F1" w:rsidRDefault="00906D8C" w:rsidP="00603A95">
            <w:pPr>
              <w:pStyle w:val="Tabletext"/>
              <w:jc w:val="center"/>
            </w:pPr>
            <w:r w:rsidRPr="001232F1">
              <w:t>5 cd/m</w:t>
            </w:r>
            <w:r w:rsidRPr="001232F1">
              <w:rPr>
                <w:vertAlign w:val="superscript"/>
              </w:rPr>
              <w:t>2</w:t>
            </w:r>
          </w:p>
        </w:tc>
      </w:tr>
      <w:tr w:rsidR="00906D8C" w:rsidRPr="001232F1" w14:paraId="2B59FA58" w14:textId="77777777" w:rsidTr="00603A95">
        <w:trPr>
          <w:cantSplit/>
          <w:trHeight w:val="222"/>
          <w:tblHeade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67398" w14:textId="77777777" w:rsidR="00906D8C" w:rsidRPr="001232F1" w:rsidRDefault="00906D8C" w:rsidP="00603A95">
            <w:pPr>
              <w:pStyle w:val="Tabletext"/>
            </w:pPr>
            <w:r w:rsidRPr="001232F1">
              <w:t>Luminance of periphery</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D79E4" w14:textId="77777777" w:rsidR="00906D8C" w:rsidRPr="001232F1" w:rsidRDefault="00906D8C" w:rsidP="00603A95">
            <w:pPr>
              <w:pStyle w:val="Tabletext"/>
              <w:jc w:val="center"/>
            </w:pPr>
            <w:r w:rsidRPr="001232F1">
              <w:t>≤ 5 cd/m</w:t>
            </w:r>
            <w:r w:rsidRPr="001232F1">
              <w:rPr>
                <w:vertAlign w:val="superscript"/>
              </w:rPr>
              <w:t>2</w:t>
            </w:r>
          </w:p>
        </w:tc>
      </w:tr>
      <w:tr w:rsidR="00906D8C" w:rsidRPr="001232F1" w14:paraId="639C85C3" w14:textId="77777777" w:rsidTr="00603A95">
        <w:trPr>
          <w:trHeight w:val="222"/>
          <w:tblHeade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5C5A1" w14:textId="77777777" w:rsidR="00906D8C" w:rsidRPr="001232F1" w:rsidRDefault="00906D8C" w:rsidP="00EA704E">
            <w:pPr>
              <w:pStyle w:val="Tabletext"/>
              <w:keepNext/>
              <w:keepLines/>
            </w:pPr>
            <w:r w:rsidRPr="001232F1">
              <w:t>Ambient lighting</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B8C27" w14:textId="77777777" w:rsidR="00906D8C" w:rsidRPr="001232F1" w:rsidRDefault="00906D8C" w:rsidP="00EA704E">
            <w:pPr>
              <w:pStyle w:val="Tabletext"/>
              <w:keepNext/>
              <w:keepLines/>
              <w:jc w:val="center"/>
            </w:pPr>
            <w:r w:rsidRPr="001232F1">
              <w:t>Avoid light falling on the screen</w:t>
            </w:r>
          </w:p>
        </w:tc>
      </w:tr>
      <w:tr w:rsidR="00906D8C" w:rsidRPr="001232F1" w14:paraId="79002525" w14:textId="77777777" w:rsidTr="00603A95">
        <w:tblPrEx>
          <w:shd w:val="clear" w:color="auto" w:fill="CED7E7"/>
        </w:tblPrEx>
        <w:trPr>
          <w:trHeight w:val="742"/>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482A1" w14:textId="5ACD8149" w:rsidR="00906D8C" w:rsidRPr="001232F1" w:rsidRDefault="00906D8C" w:rsidP="00EA704E">
            <w:pPr>
              <w:pStyle w:val="Tabletext"/>
              <w:keepNext/>
              <w:keepLines/>
            </w:pPr>
            <w:r w:rsidRPr="001232F1">
              <w:t xml:space="preserve">Viewing distance </w:t>
            </w:r>
            <w:r w:rsidR="004156D7" w:rsidRPr="004156D7">
              <w:rPr>
                <w:szCs w:val="22"/>
                <w:vertAlign w:val="superscript"/>
              </w:rPr>
              <w:t>(</w:t>
            </w:r>
            <w:r w:rsidR="004156D7">
              <w:rPr>
                <w:szCs w:val="22"/>
                <w:vertAlign w:val="superscript"/>
              </w:rPr>
              <w:t>2</w:t>
            </w:r>
            <w:r w:rsidR="004156D7" w:rsidRPr="004156D7">
              <w:rPr>
                <w:szCs w:val="22"/>
                <w:vertAlign w:val="superscript"/>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40679" w14:textId="77777777" w:rsidR="00906D8C" w:rsidRPr="001232F1" w:rsidRDefault="00906D8C" w:rsidP="00EA704E">
            <w:pPr>
              <w:pStyle w:val="Tabletext"/>
              <w:keepNext/>
              <w:keepLines/>
              <w:jc w:val="center"/>
            </w:pPr>
            <w:r w:rsidRPr="001232F1">
              <w:t>For 1 920 × 1 080 format or lower: 3.2 picture heights</w:t>
            </w:r>
          </w:p>
          <w:p w14:paraId="50091B56" w14:textId="77777777" w:rsidR="00906D8C" w:rsidRPr="001232F1" w:rsidRDefault="00906D8C" w:rsidP="00EA704E">
            <w:pPr>
              <w:pStyle w:val="Tabletext"/>
              <w:keepNext/>
              <w:keepLines/>
              <w:jc w:val="center"/>
            </w:pPr>
            <w:r w:rsidRPr="001232F1">
              <w:t>For 3 840 × 2 160 format: 1.6 to 3.2 picture heights</w:t>
            </w:r>
          </w:p>
          <w:p w14:paraId="086A81BF" w14:textId="77777777" w:rsidR="00906D8C" w:rsidRPr="001232F1" w:rsidRDefault="00906D8C" w:rsidP="00EA704E">
            <w:pPr>
              <w:pStyle w:val="Tabletext"/>
              <w:keepNext/>
              <w:keepLines/>
              <w:jc w:val="center"/>
            </w:pPr>
            <w:r w:rsidRPr="001232F1">
              <w:t>For 7 680 × 4 320 format: 0.8 to 3.2 picture heights</w:t>
            </w:r>
          </w:p>
        </w:tc>
      </w:tr>
      <w:tr w:rsidR="00906D8C" w:rsidRPr="001232F1" w14:paraId="501BE5CA" w14:textId="77777777" w:rsidTr="00603A95">
        <w:tblPrEx>
          <w:shd w:val="clear" w:color="auto" w:fill="CED7E7"/>
        </w:tblPrEx>
        <w:trPr>
          <w:trHeight w:val="847"/>
          <w:jc w:val="center"/>
        </w:trPr>
        <w:tc>
          <w:tcPr>
            <w:tcW w:w="963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159DF574" w14:textId="709ACE46" w:rsidR="00906D8C" w:rsidRPr="00953FB0" w:rsidRDefault="004156D7" w:rsidP="004156D7">
            <w:pPr>
              <w:pStyle w:val="Tablelegend"/>
              <w:keepNext/>
              <w:keepLines/>
              <w:tabs>
                <w:tab w:val="clear" w:pos="284"/>
                <w:tab w:val="clear" w:pos="567"/>
                <w:tab w:val="clear" w:pos="851"/>
                <w:tab w:val="clear" w:pos="1134"/>
                <w:tab w:val="clear" w:pos="1418"/>
                <w:tab w:val="left" w:pos="477"/>
                <w:tab w:val="left" w:pos="1044"/>
              </w:tabs>
              <w:ind w:left="0" w:firstLine="0"/>
              <w:rPr>
                <w:szCs w:val="22"/>
              </w:rPr>
            </w:pPr>
            <w:r w:rsidRPr="004156D7">
              <w:rPr>
                <w:szCs w:val="22"/>
                <w:vertAlign w:val="superscript"/>
              </w:rPr>
              <w:t>(1)</w:t>
            </w:r>
            <w:r>
              <w:rPr>
                <w:szCs w:val="22"/>
              </w:rPr>
              <w:tab/>
            </w:r>
            <w:r w:rsidR="00906D8C" w:rsidRPr="00953FB0">
              <w:rPr>
                <w:szCs w:val="22"/>
              </w:rPr>
              <w:t>“Surround” is the area surrounding a display that can affect the adaptation of the eye, typically the wall or curtain behind the display; “periphery” is the remaining environment outside of the surround.</w:t>
            </w:r>
          </w:p>
          <w:p w14:paraId="67DE241A" w14:textId="7748C751" w:rsidR="00906D8C" w:rsidRPr="001232F1" w:rsidRDefault="004156D7" w:rsidP="004156D7">
            <w:pPr>
              <w:pStyle w:val="Tablelegend"/>
              <w:keepNext/>
              <w:keepLines/>
              <w:tabs>
                <w:tab w:val="clear" w:pos="284"/>
                <w:tab w:val="clear" w:pos="567"/>
                <w:tab w:val="clear" w:pos="851"/>
                <w:tab w:val="clear" w:pos="1134"/>
                <w:tab w:val="left" w:pos="477"/>
              </w:tabs>
              <w:ind w:left="0" w:firstLine="0"/>
            </w:pPr>
            <w:r w:rsidRPr="004156D7">
              <w:rPr>
                <w:szCs w:val="22"/>
                <w:vertAlign w:val="superscript"/>
              </w:rPr>
              <w:t>(</w:t>
            </w:r>
            <w:r>
              <w:rPr>
                <w:szCs w:val="22"/>
                <w:vertAlign w:val="superscript"/>
              </w:rPr>
              <w:t>2</w:t>
            </w:r>
            <w:r w:rsidRPr="004156D7">
              <w:rPr>
                <w:szCs w:val="22"/>
                <w:vertAlign w:val="superscript"/>
              </w:rPr>
              <w:t>)</w:t>
            </w:r>
            <w:r>
              <w:rPr>
                <w:szCs w:val="22"/>
              </w:rPr>
              <w:tab/>
            </w:r>
            <w:r w:rsidR="00906D8C" w:rsidRPr="00953FB0">
              <w:rPr>
                <w:szCs w:val="22"/>
              </w:rPr>
              <w:t>When picture evaluation involves resolution, the lower value of viewing distance should be used. When resolution is not being evaluated, any viewing distance in the indicated range may be used.</w:t>
            </w:r>
          </w:p>
        </w:tc>
      </w:tr>
    </w:tbl>
    <w:p w14:paraId="3CCF12B8" w14:textId="0833961A" w:rsidR="00D971D7" w:rsidRPr="00D971D7" w:rsidRDefault="00D971D7" w:rsidP="00D74830">
      <w:pPr>
        <w:pStyle w:val="Heading1"/>
      </w:pPr>
      <w:r w:rsidRPr="00D971D7">
        <w:t>2</w:t>
      </w:r>
      <w:r w:rsidRPr="00D971D7">
        <w:tab/>
        <w:t>Recommended SDR and HDR display parameters</w:t>
      </w:r>
    </w:p>
    <w:p w14:paraId="6F0DE526" w14:textId="77777777" w:rsidR="00D971D7" w:rsidRPr="00D971D7" w:rsidRDefault="00D971D7" w:rsidP="00D74830">
      <w:pPr>
        <w:rPr>
          <w:rFonts w:eastAsia="Arial Unicode MS"/>
        </w:rPr>
      </w:pPr>
      <w:r w:rsidRPr="00D971D7">
        <w:rPr>
          <w:rFonts w:eastAsia="Arial Unicode MS"/>
        </w:rPr>
        <w:t>The display settings and characteristics for close proximity HDR and SDR image monitoring within a single-master HDR production are contained in this section. To avoid SDR display eye adaptation issues where HDR and SDR displays are in close proximity, HDR and SDR displays should have a unified white level. There are two approaches to achieve this result. Use cases of each approach are shown in informative Annex 2. The order for the approaches described below and in Annex 2 should not be taken to indicate a preferred method. Background information on each approach is available in the informative reference of Annex 3.</w:t>
      </w:r>
    </w:p>
    <w:p w14:paraId="031CC783" w14:textId="565DF116" w:rsidR="00D971D7" w:rsidRPr="00D971D7" w:rsidRDefault="00D971D7" w:rsidP="00D74830">
      <w:pPr>
        <w:pStyle w:val="enumlev1"/>
        <w:rPr>
          <w:rFonts w:eastAsia="Arial Unicode MS"/>
        </w:rPr>
      </w:pPr>
      <w:r w:rsidRPr="00D971D7">
        <w:rPr>
          <w:rFonts w:eastAsia="Arial Unicode MS"/>
        </w:rPr>
        <w:sym w:font="Wingdings" w:char="F09F"/>
      </w:r>
      <w:r w:rsidRPr="00D971D7">
        <w:rPr>
          <w:rFonts w:eastAsia="Arial Unicode MS"/>
        </w:rPr>
        <w:tab/>
        <w:t>Approach A (</w:t>
      </w:r>
      <w:r w:rsidR="00BB14AF">
        <w:rPr>
          <w:rFonts w:eastAsia="Arial Unicode MS"/>
        </w:rPr>
        <w:t>§</w:t>
      </w:r>
      <w:r w:rsidR="00BE4E65" w:rsidRPr="00D971D7">
        <w:rPr>
          <w:rFonts w:eastAsia="Arial Unicode MS"/>
        </w:rPr>
        <w:t xml:space="preserve"> </w:t>
      </w:r>
      <w:r w:rsidRPr="00D971D7">
        <w:rPr>
          <w:rFonts w:eastAsia="Arial Unicode MS"/>
        </w:rPr>
        <w:t xml:space="preserve">2.1) uses images viewed on an SDR monitor with nominal reference peak luminance levels defined in Recommendation </w:t>
      </w:r>
      <w:hyperlink r:id="rId22" w:history="1">
        <w:r w:rsidR="00D30CA6" w:rsidRPr="00D971D7">
          <w:rPr>
            <w:rStyle w:val="Hyperlink"/>
            <w:color w:val="auto"/>
            <w:u w:val="none"/>
          </w:rPr>
          <w:t>ITU-R BT.2035</w:t>
        </w:r>
      </w:hyperlink>
      <w:r w:rsidRPr="00D971D7">
        <w:rPr>
          <w:rFonts w:eastAsia="Arial Unicode MS"/>
        </w:rPr>
        <w:t xml:space="preserve"> and an HLG HDR monitor with adjusted luminance levels (described in Table 2) for optimal comparability. This approach applies only to HLG and SDR images in close proximity. </w:t>
      </w:r>
    </w:p>
    <w:p w14:paraId="021EA4DD" w14:textId="32BA0F34" w:rsidR="00D971D7" w:rsidRPr="00D971D7" w:rsidRDefault="00D971D7" w:rsidP="00D74830">
      <w:pPr>
        <w:pStyle w:val="enumlev1"/>
        <w:rPr>
          <w:rFonts w:eastAsia="Arial Unicode MS"/>
        </w:rPr>
      </w:pPr>
      <w:r w:rsidRPr="00D971D7">
        <w:rPr>
          <w:rFonts w:eastAsia="Arial Unicode MS"/>
        </w:rPr>
        <w:sym w:font="Wingdings" w:char="F09F"/>
      </w:r>
      <w:r w:rsidRPr="00D971D7">
        <w:rPr>
          <w:rFonts w:eastAsia="Arial Unicode MS"/>
        </w:rPr>
        <w:tab/>
        <w:t>Approach B (</w:t>
      </w:r>
      <w:r w:rsidR="00BB14AF">
        <w:rPr>
          <w:rFonts w:eastAsia="Arial Unicode MS"/>
        </w:rPr>
        <w:t>§</w:t>
      </w:r>
      <w:r w:rsidR="00BE4E65" w:rsidRPr="00D971D7">
        <w:rPr>
          <w:rFonts w:eastAsia="Arial Unicode MS"/>
        </w:rPr>
        <w:t xml:space="preserve"> </w:t>
      </w:r>
      <w:r w:rsidRPr="00D971D7">
        <w:rPr>
          <w:rFonts w:eastAsia="Arial Unicode MS"/>
        </w:rPr>
        <w:t xml:space="preserve">2.2) uses images viewed on an HDR monitor with nominal reference peak luminance levels defined in Recommendation </w:t>
      </w:r>
      <w:hyperlink r:id="rId23" w:history="1">
        <w:r w:rsidR="001D73BE" w:rsidRPr="00D971D7">
          <w:rPr>
            <w:rStyle w:val="Hyperlink"/>
            <w:color w:val="auto"/>
            <w:u w:val="none"/>
          </w:rPr>
          <w:t>ITU-R BT.2100</w:t>
        </w:r>
      </w:hyperlink>
      <w:r w:rsidRPr="00D971D7">
        <w:rPr>
          <w:rFonts w:eastAsia="Arial Unicode MS"/>
        </w:rPr>
        <w:t xml:space="preserve"> for either PQ or HLG and an SDR monitor with adjusted luminance levels (described in Table 3) for optimal comparability. </w:t>
      </w:r>
    </w:p>
    <w:p w14:paraId="6CA77592" w14:textId="77777777" w:rsidR="00D971D7" w:rsidRPr="00D971D7" w:rsidRDefault="00D971D7" w:rsidP="00BB14AF">
      <w:pPr>
        <w:pStyle w:val="Heading2"/>
      </w:pPr>
      <w:r w:rsidRPr="00D971D7">
        <w:t>2.1</w:t>
      </w:r>
      <w:r w:rsidRPr="00D971D7">
        <w:tab/>
        <w:t>Approach A: unified white levels achieved by using an SDR display with reference peak luminance and an HLG display with adjusted peak luminance levels</w:t>
      </w:r>
    </w:p>
    <w:p w14:paraId="6F565738" w14:textId="0AAE6028" w:rsidR="00D971D7" w:rsidRPr="00D971D7" w:rsidRDefault="00D971D7" w:rsidP="00BB14AF">
      <w:r w:rsidRPr="00D971D7">
        <w:t xml:space="preserve">This method employs an SDR monitor per Recommendation </w:t>
      </w:r>
      <w:hyperlink r:id="rId24" w:history="1">
        <w:r w:rsidRPr="00D971D7">
          <w:rPr>
            <w:rStyle w:val="Hyperlink"/>
            <w:color w:val="auto"/>
            <w:u w:val="none"/>
          </w:rPr>
          <w:t>ITU-R BT.1886</w:t>
        </w:r>
      </w:hyperlink>
      <w:r w:rsidRPr="00D971D7">
        <w:t xml:space="preserve"> with a screen luminance for white (L</w:t>
      </w:r>
      <w:r w:rsidRPr="00D971D7">
        <w:rPr>
          <w:vertAlign w:val="subscript"/>
        </w:rPr>
        <w:t>w</w:t>
      </w:r>
      <w:r w:rsidRPr="00D971D7">
        <w:t>) of 100 cd/m</w:t>
      </w:r>
      <w:r w:rsidRPr="00D971D7">
        <w:rPr>
          <w:vertAlign w:val="superscript"/>
        </w:rPr>
        <w:t>2</w:t>
      </w:r>
      <w:r w:rsidRPr="00D971D7">
        <w:t xml:space="preserve"> per Recommendation </w:t>
      </w:r>
      <w:hyperlink r:id="rId25" w:history="1">
        <w:r w:rsidR="00D30CA6" w:rsidRPr="00D971D7">
          <w:rPr>
            <w:rStyle w:val="Hyperlink"/>
            <w:color w:val="auto"/>
            <w:u w:val="none"/>
          </w:rPr>
          <w:t>ITU-R BT.2035</w:t>
        </w:r>
      </w:hyperlink>
      <w:r w:rsidRPr="00D971D7">
        <w:t xml:space="preserve">, and an HLG display with a lower peak luminance level and system gamma adjusted according to Note 5f of Table 5 in Recommendation </w:t>
      </w:r>
      <w:hyperlink r:id="rId26" w:history="1">
        <w:r w:rsidR="001D73BE" w:rsidRPr="00D971D7">
          <w:rPr>
            <w:rStyle w:val="Hyperlink"/>
            <w:color w:val="auto"/>
            <w:u w:val="none"/>
          </w:rPr>
          <w:t>ITU-R BT.2100</w:t>
        </w:r>
      </w:hyperlink>
      <w:r w:rsidRPr="00D971D7">
        <w:t>.</w:t>
      </w:r>
    </w:p>
    <w:p w14:paraId="5E5CFB59" w14:textId="3F8D8DE9" w:rsidR="00D971D7" w:rsidRPr="00D971D7" w:rsidRDefault="00D971D7" w:rsidP="00BB14AF">
      <w:r w:rsidRPr="00D971D7">
        <w:t>As shown in Table 2, the HLG display nominal peak luminance is adjusted such that it is in the range of 300-600 cd/m</w:t>
      </w:r>
      <w:r w:rsidRPr="00D971D7">
        <w:rPr>
          <w:vertAlign w:val="superscript"/>
        </w:rPr>
        <w:t>2</w:t>
      </w:r>
      <w:r w:rsidRPr="00D971D7">
        <w:t xml:space="preserve"> with appropriately adjusted system gamma, as defined in Recommendation </w:t>
      </w:r>
      <w:hyperlink r:id="rId27" w:history="1">
        <w:r w:rsidR="001D73BE" w:rsidRPr="00D971D7">
          <w:rPr>
            <w:rStyle w:val="Hyperlink"/>
            <w:color w:val="auto"/>
            <w:u w:val="none"/>
          </w:rPr>
          <w:t xml:space="preserve">ITU-R </w:t>
        </w:r>
        <w:r w:rsidR="001D73BE" w:rsidRPr="00D971D7">
          <w:rPr>
            <w:rStyle w:val="Hyperlink"/>
            <w:color w:val="auto"/>
            <w:u w:val="none"/>
          </w:rPr>
          <w:lastRenderedPageBreak/>
          <w:t>BT.2100</w:t>
        </w:r>
      </w:hyperlink>
      <w:r w:rsidRPr="00D971D7">
        <w:t>. This results in luminance levels for HDR reference white (nominal signal level 75% HLG) that more closely match the peak luminance of the SDR display, whilst providing HDR images of sufficient brightness for a typical production.</w:t>
      </w:r>
    </w:p>
    <w:p w14:paraId="302376DA" w14:textId="77777777" w:rsidR="00D971D7" w:rsidRPr="00D971D7" w:rsidRDefault="00D971D7" w:rsidP="00712B52">
      <w:pPr>
        <w:pStyle w:val="TableNo"/>
      </w:pPr>
      <w:r w:rsidRPr="00D971D7">
        <w:t>TABLE 2</w:t>
      </w:r>
    </w:p>
    <w:p w14:paraId="5B9343CA" w14:textId="77777777" w:rsidR="00D971D7" w:rsidRDefault="00D971D7" w:rsidP="00570495">
      <w:pPr>
        <w:pStyle w:val="Tabletitle"/>
      </w:pPr>
      <w:r w:rsidRPr="00D971D7">
        <w:t>Parameters for the HLG display</w:t>
      </w:r>
    </w:p>
    <w:tbl>
      <w:tblPr>
        <w:tblW w:w="96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260"/>
        <w:gridCol w:w="5379"/>
      </w:tblGrid>
      <w:tr w:rsidR="00D971D7" w:rsidRPr="00D971D7" w14:paraId="72898E38" w14:textId="77777777" w:rsidTr="00FF69BB">
        <w:trPr>
          <w:trHeight w:val="222"/>
          <w:tblHead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C77DF" w14:textId="77777777" w:rsidR="00D971D7" w:rsidRPr="00D971D7" w:rsidRDefault="00D971D7" w:rsidP="00712B52">
            <w:pPr>
              <w:pStyle w:val="Tablehead"/>
            </w:pPr>
            <w:r w:rsidRPr="00D971D7">
              <w:t>Adjustment parameter</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F7788" w14:textId="77777777" w:rsidR="00D971D7" w:rsidRPr="00D971D7" w:rsidRDefault="00D971D7" w:rsidP="00712B52">
            <w:pPr>
              <w:pStyle w:val="Tablehead"/>
            </w:pPr>
            <w:r w:rsidRPr="00D971D7">
              <w:t>Value</w:t>
            </w:r>
          </w:p>
        </w:tc>
      </w:tr>
      <w:tr w:rsidR="00D971D7" w:rsidRPr="00D971D7" w14:paraId="6ED84D7A" w14:textId="77777777" w:rsidTr="004657BD">
        <w:trPr>
          <w:trHeight w:val="222"/>
          <w:tblHead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2221F740" w14:textId="77777777" w:rsidR="00D971D7" w:rsidRPr="00D971D7" w:rsidRDefault="00D971D7" w:rsidP="00712B52">
            <w:pPr>
              <w:pStyle w:val="Tabletext"/>
            </w:pPr>
            <w:r w:rsidRPr="00D971D7">
              <w:t>Nominal peak luminance of HLG display</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0C17244D" w14:textId="77777777" w:rsidR="00D971D7" w:rsidRPr="00D971D7" w:rsidRDefault="00D971D7" w:rsidP="00712B52">
            <w:pPr>
              <w:pStyle w:val="Tabletext"/>
              <w:jc w:val="center"/>
            </w:pPr>
            <w:r w:rsidRPr="00D971D7">
              <w:t>300-600 cd/m</w:t>
            </w:r>
            <w:r w:rsidRPr="00D971D7">
              <w:rPr>
                <w:vertAlign w:val="superscript"/>
              </w:rPr>
              <w:t>2</w:t>
            </w:r>
          </w:p>
        </w:tc>
      </w:tr>
      <w:tr w:rsidR="00D971D7" w:rsidRPr="00D971D7" w14:paraId="5707F00B" w14:textId="77777777" w:rsidTr="004657BD">
        <w:tblPrEx>
          <w:shd w:val="clear" w:color="auto" w:fill="CED7E7"/>
        </w:tblPrEx>
        <w:trPr>
          <w:trHeight w:val="222"/>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7B21214D" w14:textId="77777777" w:rsidR="00D971D7" w:rsidRPr="00D971D7" w:rsidRDefault="00D971D7" w:rsidP="00712B52">
            <w:pPr>
              <w:pStyle w:val="Tabletext"/>
            </w:pPr>
            <w:r w:rsidRPr="00D971D7">
              <w:t>Luminance for 75% HLG signal level</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41077B09" w14:textId="77777777" w:rsidR="00D971D7" w:rsidRPr="00D971D7" w:rsidRDefault="00D971D7" w:rsidP="00712B52">
            <w:pPr>
              <w:pStyle w:val="Tabletext"/>
              <w:jc w:val="center"/>
            </w:pPr>
            <w:r w:rsidRPr="00D971D7">
              <w:t>79-138 cd/m</w:t>
            </w:r>
            <w:r w:rsidRPr="00D971D7">
              <w:rPr>
                <w:vertAlign w:val="superscript"/>
              </w:rPr>
              <w:t>2</w:t>
            </w:r>
          </w:p>
        </w:tc>
      </w:tr>
      <w:tr w:rsidR="00D971D7" w:rsidRPr="00D971D7" w14:paraId="4480CBDD" w14:textId="77777777" w:rsidTr="004657BD">
        <w:tblPrEx>
          <w:shd w:val="clear" w:color="auto" w:fill="CED7E7"/>
        </w:tblPrEx>
        <w:trPr>
          <w:trHeight w:val="222"/>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6690C5C9" w14:textId="77777777" w:rsidR="00D971D7" w:rsidRPr="00D971D7" w:rsidRDefault="00D971D7" w:rsidP="00712B52">
            <w:pPr>
              <w:pStyle w:val="Tabletext"/>
            </w:pPr>
            <w:r w:rsidRPr="00D971D7">
              <w:t>System Gamma</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5B00B085" w14:textId="77777777" w:rsidR="00D971D7" w:rsidRPr="00D971D7" w:rsidRDefault="00D971D7" w:rsidP="00712B52">
            <w:pPr>
              <w:pStyle w:val="Tabletext"/>
              <w:jc w:val="center"/>
            </w:pPr>
            <w:r w:rsidRPr="00D971D7">
              <w:t>1.00-1.11</w:t>
            </w:r>
          </w:p>
        </w:tc>
      </w:tr>
    </w:tbl>
    <w:p w14:paraId="1F097587" w14:textId="77777777" w:rsidR="00D971D7" w:rsidRPr="00D971D7" w:rsidRDefault="00D971D7" w:rsidP="00BB14AF">
      <w:pPr>
        <w:pStyle w:val="Heading2"/>
      </w:pPr>
      <w:r w:rsidRPr="00D971D7">
        <w:t>2.2</w:t>
      </w:r>
      <w:r w:rsidRPr="00D971D7">
        <w:tab/>
        <w:t>Approach B: unified white levels achieved by using an HDR display with reference peak luminance and an SDR display with adjusted peak luminance levels</w:t>
      </w:r>
    </w:p>
    <w:p w14:paraId="48EE79B5" w14:textId="1112153B" w:rsidR="00D971D7" w:rsidRPr="00D971D7" w:rsidRDefault="00D971D7" w:rsidP="00BB14AF">
      <w:r w:rsidRPr="00D971D7">
        <w:rPr>
          <w:rFonts w:eastAsia="Arial Unicode MS"/>
        </w:rPr>
        <w:t xml:space="preserve">This approach employs an HDR reference display, as specified in Recommendation </w:t>
      </w:r>
      <w:hyperlink r:id="rId28" w:history="1">
        <w:r w:rsidR="001D73BE" w:rsidRPr="00D971D7">
          <w:rPr>
            <w:rStyle w:val="Hyperlink"/>
            <w:color w:val="auto"/>
            <w:u w:val="none"/>
          </w:rPr>
          <w:t>ITU-R BT.2100</w:t>
        </w:r>
      </w:hyperlink>
      <w:r w:rsidRPr="00D971D7">
        <w:rPr>
          <w:rFonts w:eastAsia="Arial Unicode MS"/>
        </w:rPr>
        <w:t xml:space="preserve"> and an</w:t>
      </w:r>
      <w:r w:rsidRPr="00D971D7">
        <w:t xml:space="preserve"> SDR display with adjusted luminance levels</w:t>
      </w:r>
      <w:r w:rsidRPr="00D971D7">
        <w:rPr>
          <w:rFonts w:eastAsia="Arial Unicode MS"/>
        </w:rPr>
        <w:t xml:space="preserve"> as shown in Table 3. In the case of HLG specifically, the nominal peak luminance level should be 1 000 cd/m</w:t>
      </w:r>
      <w:r w:rsidRPr="00D971D7">
        <w:rPr>
          <w:rFonts w:eastAsia="Arial Unicode MS"/>
          <w:vertAlign w:val="superscript"/>
        </w:rPr>
        <w:t>2</w:t>
      </w:r>
      <w:r w:rsidRPr="00D971D7">
        <w:rPr>
          <w:rFonts w:eastAsia="Arial Unicode MS"/>
        </w:rPr>
        <w:t>.</w:t>
      </w:r>
    </w:p>
    <w:p w14:paraId="7FC00165" w14:textId="77777777" w:rsidR="00D971D7" w:rsidRPr="00D971D7" w:rsidRDefault="00D971D7" w:rsidP="00684BCD">
      <w:pPr>
        <w:pStyle w:val="TableNo"/>
      </w:pPr>
      <w:r w:rsidRPr="00D971D7">
        <w:t>TABLE 3</w:t>
      </w:r>
    </w:p>
    <w:p w14:paraId="04028E6F" w14:textId="77777777" w:rsidR="00D971D7" w:rsidRPr="00D971D7" w:rsidRDefault="00D971D7" w:rsidP="00684BCD">
      <w:pPr>
        <w:pStyle w:val="Tabletitle"/>
      </w:pPr>
      <w:r w:rsidRPr="00D971D7">
        <w:t>Parameters for the SDR display</w:t>
      </w:r>
    </w:p>
    <w:tbl>
      <w:tblPr>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390"/>
        <w:gridCol w:w="5249"/>
      </w:tblGrid>
      <w:tr w:rsidR="00D971D7" w:rsidRPr="00D971D7" w14:paraId="71FED44C" w14:textId="77777777" w:rsidTr="00684BCD">
        <w:trPr>
          <w:trHeight w:val="222"/>
          <w:tblHeade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EECD9" w14:textId="77777777" w:rsidR="00D971D7" w:rsidRPr="00D971D7" w:rsidRDefault="00D971D7" w:rsidP="00CD28B8">
            <w:pPr>
              <w:pStyle w:val="Tablehead"/>
            </w:pPr>
            <w:r w:rsidRPr="00D971D7">
              <w:t>Adjustment parameter</w:t>
            </w:r>
          </w:p>
        </w:tc>
        <w:tc>
          <w:tcPr>
            <w:tcW w:w="5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12755" w14:textId="77777777" w:rsidR="00D971D7" w:rsidRPr="00D971D7" w:rsidRDefault="00D971D7" w:rsidP="00CD28B8">
            <w:pPr>
              <w:pStyle w:val="Tablehead"/>
            </w:pPr>
            <w:r w:rsidRPr="00D971D7">
              <w:t>Value</w:t>
            </w:r>
          </w:p>
        </w:tc>
      </w:tr>
      <w:tr w:rsidR="00D971D7" w:rsidRPr="00D971D7" w14:paraId="141A3639" w14:textId="77777777" w:rsidTr="00684BCD">
        <w:tblPrEx>
          <w:shd w:val="clear" w:color="auto" w:fill="CED7E7"/>
        </w:tblPrEx>
        <w:trPr>
          <w:trHeight w:val="442"/>
          <w:jc w:val="center"/>
        </w:trPr>
        <w:tc>
          <w:tcPr>
            <w:tcW w:w="439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8236171" w14:textId="3566AFD1" w:rsidR="00D971D7" w:rsidRPr="00D971D7" w:rsidRDefault="00D971D7" w:rsidP="00CD28B8">
            <w:pPr>
              <w:pStyle w:val="Tabletext"/>
            </w:pPr>
            <w:r w:rsidRPr="00D971D7">
              <w:t>Peak luminance of SDR display (L</w:t>
            </w:r>
            <w:r w:rsidRPr="00D971D7">
              <w:rPr>
                <w:vertAlign w:val="subscript"/>
              </w:rPr>
              <w:t>w</w:t>
            </w:r>
            <w:r w:rsidRPr="00D971D7">
              <w:t xml:space="preserve"> adjustment described in Rec</w:t>
            </w:r>
            <w:r w:rsidR="00684BCD">
              <w:t>.</w:t>
            </w:r>
            <w:r w:rsidRPr="00D971D7">
              <w:t xml:space="preserve"> </w:t>
            </w:r>
            <w:hyperlink r:id="rId29" w:history="1">
              <w:r w:rsidR="00CD28B8" w:rsidRPr="00D971D7">
                <w:rPr>
                  <w:rStyle w:val="Hyperlink"/>
                  <w:color w:val="auto"/>
                  <w:u w:val="none"/>
                </w:rPr>
                <w:t>ITU-R BT.1886</w:t>
              </w:r>
            </w:hyperlink>
            <w:r w:rsidRPr="00D971D7">
              <w:t>)</w:t>
            </w:r>
          </w:p>
        </w:tc>
        <w:tc>
          <w:tcPr>
            <w:tcW w:w="524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05E1360" w14:textId="1930C4EB" w:rsidR="00D971D7" w:rsidRPr="00D971D7" w:rsidRDefault="00D971D7" w:rsidP="001C6894">
            <w:pPr>
              <w:pStyle w:val="Tabletext"/>
              <w:jc w:val="center"/>
            </w:pPr>
            <w:r w:rsidRPr="00D971D7">
              <w:t xml:space="preserve">HDR reference white </w:t>
            </w:r>
            <w:r w:rsidR="004156D7">
              <w:rPr>
                <w:vertAlign w:val="superscript"/>
              </w:rPr>
              <w:t>(1)</w:t>
            </w:r>
          </w:p>
        </w:tc>
      </w:tr>
      <w:tr w:rsidR="00D971D7" w:rsidRPr="00D971D7" w14:paraId="0931DD8E" w14:textId="77777777" w:rsidTr="00FF69BB">
        <w:tblPrEx>
          <w:shd w:val="clear" w:color="auto" w:fill="CED7E7"/>
        </w:tblPrEx>
        <w:trPr>
          <w:trHeight w:val="442"/>
          <w:jc w:val="center"/>
        </w:trPr>
        <w:tc>
          <w:tcPr>
            <w:tcW w:w="9639" w:type="dxa"/>
            <w:gridSpan w:val="2"/>
            <w:tcBorders>
              <w:top w:val="single" w:sz="4" w:space="0" w:color="auto"/>
              <w:left w:val="nil"/>
              <w:bottom w:val="nil"/>
              <w:right w:val="nil"/>
            </w:tcBorders>
            <w:shd w:val="clear" w:color="auto" w:fill="auto"/>
            <w:tcMar>
              <w:top w:w="80" w:type="dxa"/>
              <w:left w:w="80" w:type="dxa"/>
              <w:bottom w:w="80" w:type="dxa"/>
              <w:right w:w="80" w:type="dxa"/>
            </w:tcMar>
          </w:tcPr>
          <w:p w14:paraId="4C9EF535" w14:textId="49BC317D" w:rsidR="00D971D7" w:rsidRPr="00063045" w:rsidRDefault="004156D7" w:rsidP="00063045">
            <w:pPr>
              <w:pStyle w:val="Tabletext"/>
              <w:tabs>
                <w:tab w:val="clear" w:pos="284"/>
              </w:tabs>
              <w:ind w:left="59"/>
              <w:rPr>
                <w:szCs w:val="22"/>
              </w:rPr>
            </w:pPr>
            <w:r w:rsidRPr="004156D7">
              <w:rPr>
                <w:szCs w:val="22"/>
                <w:vertAlign w:val="superscript"/>
              </w:rPr>
              <w:t>(1)</w:t>
            </w:r>
            <w:r>
              <w:rPr>
                <w:szCs w:val="22"/>
              </w:rPr>
              <w:tab/>
            </w:r>
            <w:r w:rsidR="00D971D7" w:rsidRPr="00D971D7">
              <w:t xml:space="preserve">The SDR display luminance should be adjusted to match the HDR reference white luminance level of the production, noting that Report </w:t>
            </w:r>
            <w:hyperlink r:id="rId30" w:history="1">
              <w:r w:rsidR="004E31EA" w:rsidRPr="00D971D7">
                <w:rPr>
                  <w:rStyle w:val="Hyperlink"/>
                  <w:color w:val="auto"/>
                  <w:u w:val="none"/>
                </w:rPr>
                <w:t>ITU-R BT.2408</w:t>
              </w:r>
            </w:hyperlink>
            <w:r w:rsidR="00D971D7" w:rsidRPr="00D971D7">
              <w:t xml:space="preserve"> describes a nominal HDR reference white of 203 cd/m</w:t>
            </w:r>
            <w:r w:rsidR="00D971D7" w:rsidRPr="00D971D7">
              <w:rPr>
                <w:vertAlign w:val="superscript"/>
              </w:rPr>
              <w:t>2</w:t>
            </w:r>
            <w:r w:rsidR="00D971D7" w:rsidRPr="00D971D7">
              <w:t>.</w:t>
            </w:r>
          </w:p>
        </w:tc>
      </w:tr>
    </w:tbl>
    <w:p w14:paraId="43D5F750" w14:textId="77777777" w:rsidR="00D971D7" w:rsidRPr="00D971D7" w:rsidRDefault="00D971D7" w:rsidP="00D971D7">
      <w:pPr>
        <w:tabs>
          <w:tab w:val="clear" w:pos="794"/>
          <w:tab w:val="clear" w:pos="1191"/>
          <w:tab w:val="clear" w:pos="1588"/>
          <w:tab w:val="clear" w:pos="1985"/>
          <w:tab w:val="left" w:pos="1134"/>
          <w:tab w:val="left" w:pos="1871"/>
          <w:tab w:val="left" w:pos="2268"/>
        </w:tabs>
        <w:jc w:val="left"/>
      </w:pPr>
    </w:p>
    <w:p w14:paraId="027D9B59" w14:textId="77777777" w:rsidR="00D971D7" w:rsidRPr="003C670C" w:rsidRDefault="00D971D7" w:rsidP="003C670C">
      <w:pPr>
        <w:pStyle w:val="AnnexNoTitle"/>
      </w:pPr>
      <w:r w:rsidRPr="003C670C">
        <w:t>Annex 2</w:t>
      </w:r>
      <w:r w:rsidRPr="003C670C">
        <w:br/>
        <w:t>(informative)</w:t>
      </w:r>
      <w:r w:rsidRPr="003C670C">
        <w:br/>
      </w:r>
      <w:r w:rsidRPr="003C670C">
        <w:br/>
        <w:t xml:space="preserve">Use cases for each approach </w:t>
      </w:r>
    </w:p>
    <w:p w14:paraId="27BD4C4C" w14:textId="77777777" w:rsidR="00D971D7" w:rsidRPr="00D971D7" w:rsidRDefault="00D971D7" w:rsidP="00C97CB9">
      <w:pPr>
        <w:pStyle w:val="Normalaftertitle"/>
        <w:rPr>
          <w:lang w:eastAsia="zh-CN"/>
        </w:rPr>
      </w:pPr>
      <w:r w:rsidRPr="00D971D7">
        <w:rPr>
          <w:lang w:eastAsia="zh-CN"/>
        </w:rPr>
        <w:t xml:space="preserve">Approach A is used for side-by-side vision supervision, </w:t>
      </w:r>
      <w:proofErr w:type="spellStart"/>
      <w:r w:rsidRPr="00D971D7">
        <w:rPr>
          <w:lang w:eastAsia="zh-CN"/>
        </w:rPr>
        <w:t>multiviews</w:t>
      </w:r>
      <w:proofErr w:type="spellEnd"/>
      <w:r w:rsidRPr="00D971D7">
        <w:rPr>
          <w:lang w:eastAsia="zh-CN"/>
        </w:rPr>
        <w:t>, or where the control room HDR and SDR images are in close proximity.</w:t>
      </w:r>
    </w:p>
    <w:p w14:paraId="2424C479" w14:textId="77777777" w:rsidR="00D971D7" w:rsidRPr="00D971D7" w:rsidRDefault="00D971D7" w:rsidP="00243BCE">
      <w:pPr>
        <w:rPr>
          <w:lang w:eastAsia="zh-CN"/>
        </w:rPr>
      </w:pPr>
      <w:r w:rsidRPr="00D971D7">
        <w:rPr>
          <w:lang w:eastAsia="zh-CN"/>
        </w:rPr>
        <w:t xml:space="preserve">Approach B is used for side-by-side video shading, vision supervision, </w:t>
      </w:r>
      <w:proofErr w:type="spellStart"/>
      <w:r w:rsidRPr="00D971D7">
        <w:rPr>
          <w:lang w:eastAsia="zh-CN"/>
        </w:rPr>
        <w:t>multiviews</w:t>
      </w:r>
      <w:proofErr w:type="spellEnd"/>
      <w:r w:rsidRPr="00D971D7">
        <w:rPr>
          <w:lang w:eastAsia="zh-CN"/>
        </w:rPr>
        <w:t xml:space="preserve"> or where the control room HDR and SDR images are in close proximity.</w:t>
      </w:r>
    </w:p>
    <w:p w14:paraId="4D88D614" w14:textId="77777777" w:rsidR="00D971D7" w:rsidRPr="00D971D7" w:rsidRDefault="00D971D7" w:rsidP="00D971D7">
      <w:pPr>
        <w:tabs>
          <w:tab w:val="clear" w:pos="794"/>
          <w:tab w:val="clear" w:pos="1191"/>
          <w:tab w:val="clear" w:pos="1588"/>
          <w:tab w:val="clear" w:pos="1985"/>
          <w:tab w:val="left" w:pos="1134"/>
          <w:tab w:val="left" w:pos="1871"/>
          <w:tab w:val="left" w:pos="2268"/>
        </w:tabs>
        <w:jc w:val="left"/>
        <w:rPr>
          <w:lang w:eastAsia="zh-CN"/>
        </w:rPr>
      </w:pPr>
    </w:p>
    <w:p w14:paraId="7CDC0533" w14:textId="77777777" w:rsidR="00203AB8" w:rsidRPr="001232F1" w:rsidRDefault="00D971D7" w:rsidP="00203AB8">
      <w:pPr>
        <w:pStyle w:val="AnnexNoTitle"/>
      </w:pPr>
      <w:r w:rsidRPr="00E73F74">
        <w:lastRenderedPageBreak/>
        <w:t>Annex 3</w:t>
      </w:r>
      <w:r w:rsidRPr="00E73F74">
        <w:br/>
        <w:t>(informative)</w:t>
      </w:r>
      <w:r w:rsidRPr="00E73F74">
        <w:br/>
      </w:r>
      <w:r w:rsidRPr="00E73F74">
        <w:br/>
      </w:r>
      <w:r w:rsidR="00203AB8" w:rsidRPr="001232F1">
        <w:t>Informative reference</w:t>
      </w:r>
    </w:p>
    <w:p w14:paraId="5B7D1BB6" w14:textId="4F7B299A" w:rsidR="00203AB8" w:rsidRDefault="00203AB8" w:rsidP="00CB7854">
      <w:pPr>
        <w:pStyle w:val="Reftext"/>
        <w:jc w:val="left"/>
      </w:pPr>
      <w:r w:rsidRPr="001232F1">
        <w:t>[1]</w:t>
      </w:r>
      <w:r w:rsidRPr="001232F1">
        <w:tab/>
        <w:t xml:space="preserve">Report ITU-R BT.2408-8 </w:t>
      </w:r>
      <w:r w:rsidR="00CB7854">
        <w:t>Suggested g</w:t>
      </w:r>
      <w:r w:rsidRPr="001232F1">
        <w:t>uidance for operational practices in HDR Television Production (</w:t>
      </w:r>
      <w:r w:rsidRPr="001232F1">
        <w:rPr>
          <w:i/>
          <w:iCs/>
        </w:rPr>
        <w:t>Section 7 and Annexes 9, 10, 11</w:t>
      </w:r>
      <w:r w:rsidRPr="001232F1">
        <w:t xml:space="preserve">). </w:t>
      </w:r>
    </w:p>
    <w:p w14:paraId="6F79F142" w14:textId="346E4EF3" w:rsidR="00203AB8" w:rsidRPr="00203AB8" w:rsidRDefault="00203AB8" w:rsidP="00203AB8">
      <w:pPr>
        <w:pStyle w:val="Reftext"/>
        <w:jc w:val="center"/>
      </w:pPr>
      <w:r>
        <w:t>_________________________</w:t>
      </w:r>
    </w:p>
    <w:sectPr w:rsidR="00203AB8" w:rsidRPr="00203AB8" w:rsidSect="00DA7A49">
      <w:headerReference w:type="even" r:id="rId31"/>
      <w:headerReference w:type="default" r:id="rId32"/>
      <w:footerReference w:type="default" r:id="rId33"/>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EF6F0" w14:textId="77777777" w:rsidR="00F81E5A" w:rsidRDefault="00F81E5A">
      <w:r>
        <w:separator/>
      </w:r>
    </w:p>
  </w:endnote>
  <w:endnote w:type="continuationSeparator" w:id="0">
    <w:p w14:paraId="0379BA54" w14:textId="77777777" w:rsidR="00F81E5A" w:rsidRDefault="00F81E5A">
      <w:r>
        <w:continuationSeparator/>
      </w:r>
    </w:p>
  </w:endnote>
  <w:endnote w:type="continuationNotice" w:id="1">
    <w:p w14:paraId="12F812A1" w14:textId="77777777" w:rsidR="00F81E5A" w:rsidRDefault="00F81E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D147" w14:textId="77777777" w:rsidR="00F335DC" w:rsidRDefault="00F335DC">
    <w:pPr>
      <w:pStyle w:val="Footer"/>
    </w:pPr>
    <w:r>
      <w:drawing>
        <wp:anchor distT="0" distB="0" distL="0" distR="0" simplePos="0" relativeHeight="251658240" behindDoc="0" locked="0" layoutInCell="1" allowOverlap="1" wp14:anchorId="47D3E54D" wp14:editId="2710A24D">
          <wp:simplePos x="0" y="0"/>
          <wp:positionH relativeFrom="page">
            <wp:posOffset>6346209</wp:posOffset>
          </wp:positionH>
          <wp:positionV relativeFrom="page">
            <wp:posOffset>9501505</wp:posOffset>
          </wp:positionV>
          <wp:extent cx="738000" cy="813600"/>
          <wp:effectExtent l="0" t="0" r="0" b="0"/>
          <wp:wrapNone/>
          <wp:docPr id="1" name="Picture 1"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5BA7" w14:textId="7512E6AB" w:rsidR="00DA7A49" w:rsidRDefault="00DA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08FBD" w14:textId="77777777" w:rsidR="00F81E5A" w:rsidRDefault="00F81E5A">
      <w:r>
        <w:separator/>
      </w:r>
    </w:p>
  </w:footnote>
  <w:footnote w:type="continuationSeparator" w:id="0">
    <w:p w14:paraId="4145B832" w14:textId="77777777" w:rsidR="00F81E5A" w:rsidRDefault="00F81E5A">
      <w:r>
        <w:continuationSeparator/>
      </w:r>
    </w:p>
  </w:footnote>
  <w:footnote w:type="continuationNotice" w:id="1">
    <w:p w14:paraId="774465F6" w14:textId="77777777" w:rsidR="00F81E5A" w:rsidRDefault="00F81E5A">
      <w:pPr>
        <w:spacing w:before="0"/>
      </w:pPr>
    </w:p>
  </w:footnote>
  <w:footnote w:id="2">
    <w:p w14:paraId="6990A298" w14:textId="77777777" w:rsidR="00540D93" w:rsidRPr="001F7A23" w:rsidRDefault="00540D93" w:rsidP="00540D93">
      <w:pPr>
        <w:pStyle w:val="FootnoteText"/>
        <w:rPr>
          <w:lang w:val="en-US"/>
        </w:rPr>
      </w:pPr>
      <w:r>
        <w:rPr>
          <w:rStyle w:val="FootnoteReference"/>
        </w:rPr>
        <w:footnoteRef/>
      </w:r>
      <w:r>
        <w:tab/>
      </w:r>
      <w:r w:rsidRPr="001F7A23">
        <w:t>A “single-master HDR production” is a production approach that uses a single (master) HDR video format within the vision mixer (video switcher). The output of a “single-master HDR production” simultaneously includes a down-mapped SDR output in addition to the native HDR output.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476D" w14:textId="77777777" w:rsidR="00F335DC" w:rsidRDefault="00F335D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335DC" w:rsidRPr="00A239D1" w14:paraId="2A8F1D43" w14:textId="77777777" w:rsidTr="0019307B">
      <w:tc>
        <w:tcPr>
          <w:tcW w:w="4634" w:type="dxa"/>
          <w:vAlign w:val="center"/>
        </w:tcPr>
        <w:p w14:paraId="237380FF" w14:textId="77777777" w:rsidR="00F335DC" w:rsidRPr="005B0371" w:rsidRDefault="00F335DC"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1288550" w14:textId="77777777" w:rsidR="00F335DC" w:rsidRPr="00260B24" w:rsidRDefault="00F335DC"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F335DC" w:rsidRPr="00A239D1" w14:paraId="6535FE51" w14:textId="77777777" w:rsidTr="0019307B">
      <w:tc>
        <w:tcPr>
          <w:tcW w:w="4634" w:type="dxa"/>
          <w:vAlign w:val="center"/>
        </w:tcPr>
        <w:p w14:paraId="4F626CF4" w14:textId="77777777" w:rsidR="00F335DC" w:rsidRPr="00260B24" w:rsidRDefault="00F335DC"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0DFAAFC6" w14:textId="77777777" w:rsidR="00F335DC" w:rsidRPr="00260B24" w:rsidRDefault="00F335DC"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636A5CE3" w14:textId="77777777" w:rsidR="00F335DC" w:rsidRDefault="00F335DC" w:rsidP="004A6FEB">
    <w:pPr>
      <w:pStyle w:val="Header"/>
    </w:pPr>
    <w:r>
      <w:rPr>
        <w:rFonts w:ascii="Arial Black" w:hAnsi="Arial Black" w:cs="Arial"/>
        <w:noProof/>
        <w:sz w:val="32"/>
        <w:szCs w:val="32"/>
      </w:rPr>
      <w:drawing>
        <wp:anchor distT="0" distB="0" distL="114300" distR="114300" simplePos="0" relativeHeight="251658241" behindDoc="0" locked="0" layoutInCell="1" allowOverlap="1" wp14:anchorId="0622F3C0" wp14:editId="05EDC540">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8242" behindDoc="0" locked="0" layoutInCell="1" allowOverlap="1" wp14:anchorId="0DB4DA15" wp14:editId="6E1F0316">
              <wp:simplePos x="0" y="0"/>
              <wp:positionH relativeFrom="column">
                <wp:posOffset>-106045</wp:posOffset>
              </wp:positionH>
              <wp:positionV relativeFrom="paragraph">
                <wp:posOffset>164465</wp:posOffset>
              </wp:positionV>
              <wp:extent cx="301625" cy="172085"/>
              <wp:effectExtent l="17780" t="12065" r="23495" b="15875"/>
              <wp:wrapNone/>
              <wp:docPr id="6" name="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60A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27A6D26" w14:textId="77777777" w:rsidR="00F335DC" w:rsidRDefault="00F335DC" w:rsidP="004A6FEB">
    <w:pPr>
      <w:pStyle w:val="Header"/>
      <w:ind w:right="360"/>
      <w:jc w:val="both"/>
    </w:pPr>
    <w:r>
      <w:rPr>
        <w:noProof/>
      </w:rPr>
      <mc:AlternateContent>
        <mc:Choice Requires="wpg">
          <w:drawing>
            <wp:anchor distT="0" distB="0" distL="114300" distR="114300" simplePos="0" relativeHeight="251658243" behindDoc="0" locked="0" layoutInCell="1" allowOverlap="1" wp14:anchorId="36C64A52" wp14:editId="701DF1D8">
              <wp:simplePos x="0" y="0"/>
              <wp:positionH relativeFrom="page">
                <wp:posOffset>0</wp:posOffset>
              </wp:positionH>
              <wp:positionV relativeFrom="page">
                <wp:posOffset>1196340</wp:posOffset>
              </wp:positionV>
              <wp:extent cx="7560310" cy="236220"/>
              <wp:effectExtent l="9525" t="5715" r="12065" b="5715"/>
              <wp:wrapNone/>
              <wp:docPr id="2" name="Group 2"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B8088"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0542" w14:textId="66D9CBF7" w:rsidR="00F335DC" w:rsidRPr="00D72623" w:rsidRDefault="00F335DC"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A95604">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4156D7">
      <w:rPr>
        <w:b/>
        <w:bCs/>
        <w:noProof/>
      </w:rPr>
      <w:t>ITU-R  BT.2166-0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DFF0" w14:textId="3E7B8E3B" w:rsidR="00F335DC" w:rsidRDefault="00F335DC">
    <w:pPr>
      <w:pStyle w:val="Header"/>
    </w:pPr>
    <w:r>
      <w:tab/>
    </w:r>
    <w:r>
      <w:rPr>
        <w:b/>
        <w:bCs/>
      </w:rPr>
      <w:fldChar w:fldCharType="begin"/>
    </w:r>
    <w:r>
      <w:rPr>
        <w:b/>
        <w:bCs/>
      </w:rPr>
      <w:instrText xml:space="preserve"> DOCPROPERTY "Header" \* MERGEFORMAT </w:instrText>
    </w:r>
    <w:r>
      <w:rPr>
        <w:b/>
        <w:bCs/>
      </w:rPr>
      <w:fldChar w:fldCharType="separate"/>
    </w:r>
    <w:r w:rsidR="00A95604">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F2306C">
      <w:rPr>
        <w:b/>
        <w:bCs/>
        <w:noProof/>
      </w:rPr>
      <w:t>ITU-R  BT.2163-0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ECA6" w14:textId="06956CF8"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A95604" w:rsidRPr="00A95604">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4156D7">
      <w:rPr>
        <w:b/>
        <w:bCs/>
        <w:noProof/>
      </w:rPr>
      <w:t>ITU-R  BT.2166-0</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4873" w14:textId="24143634" w:rsidR="00607D68" w:rsidRDefault="00607D68">
    <w:pPr>
      <w:pStyle w:val="Header"/>
    </w:pPr>
    <w:r>
      <w:tab/>
    </w:r>
    <w:fldSimple w:instr=" DOCPROPERTY &quot;Header&quot; \* MERGEFORMAT ">
      <w:r w:rsidR="00A95604" w:rsidRPr="00A95604">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4156D7">
      <w:rPr>
        <w:b/>
        <w:bCs/>
        <w:noProof/>
      </w:rPr>
      <w:t>ITU-R  BT.2166-0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EA2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87B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B23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046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B871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6D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E2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AC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66BA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43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A576F"/>
    <w:multiLevelType w:val="hybridMultilevel"/>
    <w:tmpl w:val="955081F4"/>
    <w:lvl w:ilvl="0" w:tplc="78A244A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214790">
    <w:abstractNumId w:val="9"/>
  </w:num>
  <w:num w:numId="2" w16cid:durableId="159855922">
    <w:abstractNumId w:val="7"/>
  </w:num>
  <w:num w:numId="3" w16cid:durableId="239410439">
    <w:abstractNumId w:val="6"/>
  </w:num>
  <w:num w:numId="4" w16cid:durableId="1174615678">
    <w:abstractNumId w:val="5"/>
  </w:num>
  <w:num w:numId="5" w16cid:durableId="839538901">
    <w:abstractNumId w:val="4"/>
  </w:num>
  <w:num w:numId="6" w16cid:durableId="691954343">
    <w:abstractNumId w:val="8"/>
  </w:num>
  <w:num w:numId="7" w16cid:durableId="1884056457">
    <w:abstractNumId w:val="3"/>
  </w:num>
  <w:num w:numId="8" w16cid:durableId="981008397">
    <w:abstractNumId w:val="2"/>
  </w:num>
  <w:num w:numId="9" w16cid:durableId="421952985">
    <w:abstractNumId w:val="1"/>
  </w:num>
  <w:num w:numId="10" w16cid:durableId="1037123158">
    <w:abstractNumId w:val="0"/>
  </w:num>
  <w:num w:numId="11" w16cid:durableId="508641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DC"/>
    <w:rsid w:val="00011746"/>
    <w:rsid w:val="00022BF1"/>
    <w:rsid w:val="0004163C"/>
    <w:rsid w:val="00044732"/>
    <w:rsid w:val="00063045"/>
    <w:rsid w:val="000923E3"/>
    <w:rsid w:val="000A42C9"/>
    <w:rsid w:val="000B2774"/>
    <w:rsid w:val="000D48DC"/>
    <w:rsid w:val="000E678A"/>
    <w:rsid w:val="001B368D"/>
    <w:rsid w:val="001C6894"/>
    <w:rsid w:val="001D0222"/>
    <w:rsid w:val="001D5E91"/>
    <w:rsid w:val="001D73BE"/>
    <w:rsid w:val="001F7142"/>
    <w:rsid w:val="00203AB8"/>
    <w:rsid w:val="0021295D"/>
    <w:rsid w:val="00217EBF"/>
    <w:rsid w:val="00220FFA"/>
    <w:rsid w:val="00222D31"/>
    <w:rsid w:val="00231A98"/>
    <w:rsid w:val="002374D5"/>
    <w:rsid w:val="00242AEE"/>
    <w:rsid w:val="00243BCE"/>
    <w:rsid w:val="00243D91"/>
    <w:rsid w:val="00256992"/>
    <w:rsid w:val="002B689D"/>
    <w:rsid w:val="002C5A0E"/>
    <w:rsid w:val="002D76C4"/>
    <w:rsid w:val="002E1796"/>
    <w:rsid w:val="002F286C"/>
    <w:rsid w:val="002F35D5"/>
    <w:rsid w:val="002F507F"/>
    <w:rsid w:val="003A10A3"/>
    <w:rsid w:val="003B6814"/>
    <w:rsid w:val="003C2990"/>
    <w:rsid w:val="003C670C"/>
    <w:rsid w:val="003F25F2"/>
    <w:rsid w:val="004156D7"/>
    <w:rsid w:val="00426001"/>
    <w:rsid w:val="00447B71"/>
    <w:rsid w:val="004500D0"/>
    <w:rsid w:val="004657BD"/>
    <w:rsid w:val="004B3256"/>
    <w:rsid w:val="004E31EA"/>
    <w:rsid w:val="0052529D"/>
    <w:rsid w:val="005279BB"/>
    <w:rsid w:val="00536637"/>
    <w:rsid w:val="00540D93"/>
    <w:rsid w:val="005434F2"/>
    <w:rsid w:val="00570495"/>
    <w:rsid w:val="00587A38"/>
    <w:rsid w:val="005C0A8E"/>
    <w:rsid w:val="005E6E33"/>
    <w:rsid w:val="00607D68"/>
    <w:rsid w:val="00613353"/>
    <w:rsid w:val="00622A04"/>
    <w:rsid w:val="0063016C"/>
    <w:rsid w:val="0065530E"/>
    <w:rsid w:val="0066668F"/>
    <w:rsid w:val="00667EDB"/>
    <w:rsid w:val="00684BCD"/>
    <w:rsid w:val="006F7BEB"/>
    <w:rsid w:val="00712B52"/>
    <w:rsid w:val="00722AFC"/>
    <w:rsid w:val="00745387"/>
    <w:rsid w:val="007468DA"/>
    <w:rsid w:val="00764D8A"/>
    <w:rsid w:val="00765501"/>
    <w:rsid w:val="00772C46"/>
    <w:rsid w:val="007A4FE9"/>
    <w:rsid w:val="007C7D30"/>
    <w:rsid w:val="007F6B7E"/>
    <w:rsid w:val="008030EF"/>
    <w:rsid w:val="00841BB7"/>
    <w:rsid w:val="008440C2"/>
    <w:rsid w:val="00867FD3"/>
    <w:rsid w:val="00876A91"/>
    <w:rsid w:val="008B597A"/>
    <w:rsid w:val="008B5D30"/>
    <w:rsid w:val="008C11F0"/>
    <w:rsid w:val="008E261A"/>
    <w:rsid w:val="00906D8C"/>
    <w:rsid w:val="00913943"/>
    <w:rsid w:val="00923301"/>
    <w:rsid w:val="00953FB0"/>
    <w:rsid w:val="009A6AF1"/>
    <w:rsid w:val="009E00A8"/>
    <w:rsid w:val="00A6617B"/>
    <w:rsid w:val="00A7601F"/>
    <w:rsid w:val="00A82416"/>
    <w:rsid w:val="00A9460C"/>
    <w:rsid w:val="00A95604"/>
    <w:rsid w:val="00AB0DC8"/>
    <w:rsid w:val="00AB0FF2"/>
    <w:rsid w:val="00AD3972"/>
    <w:rsid w:val="00AE37B4"/>
    <w:rsid w:val="00AF1B48"/>
    <w:rsid w:val="00AF3E60"/>
    <w:rsid w:val="00B03CAD"/>
    <w:rsid w:val="00B0719B"/>
    <w:rsid w:val="00B32E92"/>
    <w:rsid w:val="00B37315"/>
    <w:rsid w:val="00B44E24"/>
    <w:rsid w:val="00B6441B"/>
    <w:rsid w:val="00BB14AF"/>
    <w:rsid w:val="00BC0133"/>
    <w:rsid w:val="00BE3682"/>
    <w:rsid w:val="00BE4E65"/>
    <w:rsid w:val="00BF29CA"/>
    <w:rsid w:val="00BF31F5"/>
    <w:rsid w:val="00C04C22"/>
    <w:rsid w:val="00C103EC"/>
    <w:rsid w:val="00C740B8"/>
    <w:rsid w:val="00C74CA4"/>
    <w:rsid w:val="00C8532C"/>
    <w:rsid w:val="00C85A99"/>
    <w:rsid w:val="00C8717A"/>
    <w:rsid w:val="00C97CB9"/>
    <w:rsid w:val="00CB7854"/>
    <w:rsid w:val="00CD28B8"/>
    <w:rsid w:val="00CE69CE"/>
    <w:rsid w:val="00CF2956"/>
    <w:rsid w:val="00D302A3"/>
    <w:rsid w:val="00D30CA6"/>
    <w:rsid w:val="00D45E17"/>
    <w:rsid w:val="00D52F0C"/>
    <w:rsid w:val="00D74830"/>
    <w:rsid w:val="00D971D7"/>
    <w:rsid w:val="00DA7A49"/>
    <w:rsid w:val="00DC2B47"/>
    <w:rsid w:val="00DE1988"/>
    <w:rsid w:val="00DE2FCC"/>
    <w:rsid w:val="00DF4176"/>
    <w:rsid w:val="00E40D77"/>
    <w:rsid w:val="00E4513C"/>
    <w:rsid w:val="00E559BD"/>
    <w:rsid w:val="00E62587"/>
    <w:rsid w:val="00E73F74"/>
    <w:rsid w:val="00EA46B6"/>
    <w:rsid w:val="00EA704E"/>
    <w:rsid w:val="00EB30B5"/>
    <w:rsid w:val="00ED175C"/>
    <w:rsid w:val="00F2306C"/>
    <w:rsid w:val="00F335DC"/>
    <w:rsid w:val="00F55512"/>
    <w:rsid w:val="00F81E5A"/>
    <w:rsid w:val="00F92570"/>
    <w:rsid w:val="00FB36FB"/>
    <w:rsid w:val="00FE2486"/>
    <w:rsid w:val="00FE49E1"/>
    <w:rsid w:val="00FF11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23735"/>
  <w15:docId w15:val="{B02EC0E9-45AB-46AE-9564-781C052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uiPriority w:val="9"/>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link w:val="AnnexNoTitleChar"/>
    <w:rsid w:val="00DA7A49"/>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Pr>
      <w:position w:val="6"/>
      <w:sz w:val="18"/>
    </w:rPr>
  </w:style>
  <w:style w:type="paragraph" w:styleId="FootnoteText">
    <w:name w:val="footnote text"/>
    <w:aliases w:val="ALTS FOOTNOTE,footnote text,Footnote Text Char1,Footnote Text Char Char1,Footnote Text Char4 Char Char,Footnote Text Char1 Char1 Char1 Char,Footnote Text Char Char1 Char1 Char Char,Footnote Text Char1 Char1 Char1 Char Char Char1,DNV-,DNV"/>
    <w:basedOn w:val="Normal"/>
    <w:link w:val="FootnoteTextChar"/>
    <w:uiPriority w:val="99"/>
    <w:qFormat/>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link w:val="ReftextChar"/>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pPr>
      <w:tabs>
        <w:tab w:val="clear" w:pos="567"/>
        <w:tab w:val="left" w:pos="1276"/>
      </w:tabs>
      <w:spacing w:before="160"/>
      <w:ind w:left="1276" w:hanging="709"/>
    </w:pPr>
  </w:style>
  <w:style w:type="paragraph" w:styleId="TOC3">
    <w:name w:val="toc 3"/>
    <w:basedOn w:val="TOC2"/>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uiPriority w:val="9"/>
    <w:rsid w:val="00F335DC"/>
    <w:rPr>
      <w:b/>
      <w:sz w:val="24"/>
      <w:lang w:val="en-GB" w:eastAsia="en-US"/>
    </w:rPr>
  </w:style>
  <w:style w:type="character" w:customStyle="1" w:styleId="HeaderChar">
    <w:name w:val="Header Char"/>
    <w:basedOn w:val="DefaultParagraphFont"/>
    <w:link w:val="Header"/>
    <w:rsid w:val="00F335DC"/>
    <w:rPr>
      <w:sz w:val="24"/>
      <w:lang w:val="en-GB" w:eastAsia="en-US"/>
    </w:rPr>
  </w:style>
  <w:style w:type="character" w:customStyle="1" w:styleId="FooterChar">
    <w:name w:val="Footer Char"/>
    <w:basedOn w:val="DefaultParagraphFont"/>
    <w:link w:val="Footer"/>
    <w:uiPriority w:val="99"/>
    <w:qFormat/>
    <w:rsid w:val="00F335DC"/>
    <w:rPr>
      <w:noProof/>
      <w:sz w:val="18"/>
      <w:lang w:val="en-GB" w:eastAsia="en-US"/>
    </w:rPr>
  </w:style>
  <w:style w:type="character" w:styleId="Hyperlink">
    <w:name w:val="Hyperlink"/>
    <w:basedOn w:val="DefaultParagraphFont"/>
    <w:uiPriority w:val="99"/>
    <w:rsid w:val="00F335DC"/>
    <w:rPr>
      <w:color w:val="0000FF"/>
      <w:u w:val="single"/>
    </w:rPr>
  </w:style>
  <w:style w:type="table" w:styleId="TableGrid">
    <w:name w:val="Table Grid"/>
    <w:basedOn w:val="TableNormal"/>
    <w:rsid w:val="00F335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335D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335D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8030EF"/>
    <w:rPr>
      <w:vertAlign w:val="superscript"/>
    </w:rPr>
  </w:style>
  <w:style w:type="paragraph" w:customStyle="1" w:styleId="Figurewithouttitle">
    <w:name w:val="Figure_without_title"/>
    <w:basedOn w:val="FigureNo"/>
    <w:next w:val="Normal"/>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8030EF"/>
    <w:pPr>
      <w:tabs>
        <w:tab w:val="left" w:pos="567"/>
        <w:tab w:val="left" w:pos="1701"/>
        <w:tab w:val="left" w:pos="2835"/>
      </w:tabs>
      <w:spacing w:before="240"/>
    </w:pPr>
    <w:rPr>
      <w:b w:val="0"/>
      <w:caps/>
    </w:rPr>
  </w:style>
  <w:style w:type="paragraph" w:customStyle="1" w:styleId="Title2">
    <w:name w:val="Title 2"/>
    <w:basedOn w:val="Source"/>
    <w:next w:val="Normal"/>
    <w:rsid w:val="008030EF"/>
    <w:pPr>
      <w:overflowPunct/>
      <w:autoSpaceDE/>
      <w:autoSpaceDN/>
      <w:adjustRightInd/>
      <w:spacing w:before="480"/>
      <w:textAlignment w:val="auto"/>
    </w:pPr>
    <w:rPr>
      <w:b w:val="0"/>
      <w:caps/>
    </w:rPr>
  </w:style>
  <w:style w:type="paragraph" w:customStyle="1" w:styleId="Title3">
    <w:name w:val="Title 3"/>
    <w:basedOn w:val="Title2"/>
    <w:next w:val="Normal"/>
    <w:rsid w:val="008030EF"/>
    <w:pPr>
      <w:spacing w:before="240"/>
    </w:pPr>
    <w:rPr>
      <w:caps w:val="0"/>
    </w:rPr>
  </w:style>
  <w:style w:type="paragraph" w:customStyle="1" w:styleId="Title4">
    <w:name w:val="Title 4"/>
    <w:basedOn w:val="Title3"/>
    <w:next w:val="Heading1"/>
    <w:rsid w:val="008030EF"/>
    <w:rPr>
      <w:b/>
    </w:rPr>
  </w:style>
  <w:style w:type="character" w:customStyle="1" w:styleId="Appdef">
    <w:name w:val="App_def"/>
    <w:basedOn w:val="DefaultParagraphFont"/>
    <w:rsid w:val="008030EF"/>
    <w:rPr>
      <w:rFonts w:ascii="Times New Roman" w:hAnsi="Times New Roman"/>
      <w:b/>
    </w:rPr>
  </w:style>
  <w:style w:type="character" w:customStyle="1" w:styleId="Appref">
    <w:name w:val="App_ref"/>
    <w:basedOn w:val="DefaultParagraphFont"/>
    <w:rsid w:val="008030EF"/>
  </w:style>
  <w:style w:type="character" w:customStyle="1" w:styleId="Artdef">
    <w:name w:val="Art_def"/>
    <w:basedOn w:val="DefaultParagraphFont"/>
    <w:rsid w:val="008030EF"/>
    <w:rPr>
      <w:rFonts w:ascii="Times New Roman" w:hAnsi="Times New Roman"/>
      <w:b/>
    </w:rPr>
  </w:style>
  <w:style w:type="character" w:customStyle="1" w:styleId="Artref">
    <w:name w:val="Art_ref"/>
    <w:basedOn w:val="DefaultParagraphFont"/>
    <w:rsid w:val="008030EF"/>
  </w:style>
  <w:style w:type="character" w:customStyle="1" w:styleId="Tablefreq">
    <w:name w:val="Table_freq"/>
    <w:basedOn w:val="DefaultParagraphFont"/>
    <w:rsid w:val="008030EF"/>
    <w:rPr>
      <w:b/>
      <w:color w:val="auto"/>
      <w:sz w:val="20"/>
    </w:rPr>
  </w:style>
  <w:style w:type="paragraph" w:customStyle="1" w:styleId="Formal">
    <w:name w:val="Formal"/>
    <w:basedOn w:val="ASN1"/>
    <w:rsid w:val="008030EF"/>
    <w:pPr>
      <w:tabs>
        <w:tab w:val="left" w:pos="1871"/>
      </w:tabs>
      <w:jc w:val="left"/>
    </w:pPr>
    <w:rPr>
      <w:rFonts w:ascii="Times New Roman Bold" w:hAnsi="Times New Roman Bold"/>
      <w:b w:val="0"/>
    </w:rPr>
  </w:style>
  <w:style w:type="paragraph" w:customStyle="1" w:styleId="Section1">
    <w:name w:val="Section_1"/>
    <w:basedOn w:val="Normal"/>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8030EF"/>
    <w:rPr>
      <w:b w:val="0"/>
      <w:i/>
    </w:rPr>
  </w:style>
  <w:style w:type="paragraph" w:customStyle="1" w:styleId="AnnexNo">
    <w:name w:val="Annex_No"/>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8030EF"/>
  </w:style>
  <w:style w:type="paragraph" w:customStyle="1" w:styleId="Appendixtitle">
    <w:name w:val="Appendix_title"/>
    <w:basedOn w:val="Annextitle"/>
    <w:next w:val="Normal"/>
    <w:rsid w:val="008030EF"/>
  </w:style>
  <w:style w:type="paragraph" w:customStyle="1" w:styleId="Border">
    <w:name w:val="Border"/>
    <w:basedOn w:val="Normal"/>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8030EF"/>
  </w:style>
  <w:style w:type="paragraph" w:customStyle="1" w:styleId="Normalaftertitle0">
    <w:name w:val="Normal after title"/>
    <w:basedOn w:val="Normal"/>
    <w:next w:val="Normal"/>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rsid w:val="008030EF"/>
    <w:rPr>
      <w:b w:val="0"/>
    </w:rPr>
  </w:style>
  <w:style w:type="paragraph" w:customStyle="1" w:styleId="TableTextS5">
    <w:name w:val="Table_TextS5"/>
    <w:basedOn w:val="Normal"/>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aliases w:val="ALTS FOOTNOTE Char,footnote text Char,Footnote Text Char1 Char,Footnote Text Char Char1 Char,Footnote Text Char4 Char Char Char,Footnote Text Char1 Char1 Char1 Char Char,Footnote Text Char Char1 Char1 Char Char Char,DNV- Char,DNV Char"/>
    <w:basedOn w:val="DefaultParagraphFont"/>
    <w:link w:val="FootnoteText"/>
    <w:uiPriority w:val="99"/>
    <w:rsid w:val="008030EF"/>
    <w:rPr>
      <w:sz w:val="22"/>
      <w:lang w:val="en-GB"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8030EF"/>
    <w:rPr>
      <w:rFonts w:ascii="Times New Roman Bold" w:hAnsi="Times New Roman Bold"/>
      <w:b/>
      <w:sz w:val="18"/>
      <w:lang w:val="en-GB" w:eastAsia="en-US"/>
    </w:rPr>
  </w:style>
  <w:style w:type="paragraph" w:customStyle="1" w:styleId="Figurewithlegend">
    <w:name w:val="Figure_with_legend"/>
    <w:basedOn w:val="Figure"/>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8030EF"/>
    <w:rPr>
      <w:sz w:val="24"/>
      <w:lang w:val="en-GB" w:eastAsia="en-US"/>
    </w:rPr>
  </w:style>
  <w:style w:type="numbering" w:customStyle="1" w:styleId="ListNo0">
    <w:name w:val="List No"/>
    <w:uiPriority w:val="99"/>
    <w:semiHidden/>
    <w:unhideWhenUsed/>
    <w:rsid w:val="008030EF"/>
  </w:style>
  <w:style w:type="paragraph" w:customStyle="1" w:styleId="FooterSpecial0">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locked/>
    <w:rsid w:val="008030EF"/>
    <w:rPr>
      <w:b/>
      <w:sz w:val="24"/>
      <w:lang w:val="en-GB" w:eastAsia="en-US"/>
    </w:rPr>
  </w:style>
  <w:style w:type="character" w:customStyle="1" w:styleId="enumlev1Char">
    <w:name w:val="enumlev1 Char"/>
    <w:basedOn w:val="DefaultParagraphFont"/>
    <w:link w:val="enumlev1"/>
    <w:locked/>
    <w:rsid w:val="008030EF"/>
    <w:rPr>
      <w:sz w:val="24"/>
      <w:lang w:val="en-GB" w:eastAsia="en-US"/>
    </w:rPr>
  </w:style>
  <w:style w:type="character" w:customStyle="1" w:styleId="NormalaftertitleChar">
    <w:name w:val="Normal_after_title Char"/>
    <w:basedOn w:val="DefaultParagraphFont"/>
    <w:link w:val="Normalaftertitle"/>
    <w:locked/>
    <w:rsid w:val="008030EF"/>
    <w:rPr>
      <w:sz w:val="24"/>
      <w:lang w:val="en-GB"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locked/>
    <w:rsid w:val="008030EF"/>
    <w:rPr>
      <w:b/>
      <w:sz w:val="28"/>
      <w:lang w:val="en-GB" w:eastAsia="en-US"/>
    </w:rPr>
  </w:style>
  <w:style w:type="character" w:customStyle="1" w:styleId="Heading2Char">
    <w:name w:val="Heading 2 Char"/>
    <w:basedOn w:val="DefaultParagraphFont"/>
    <w:link w:val="Heading2"/>
    <w:rsid w:val="008030EF"/>
    <w:rPr>
      <w:b/>
      <w:sz w:val="24"/>
      <w:lang w:val="en-GB"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rsid w:val="008030EF"/>
    <w:rPr>
      <w:b/>
    </w:rPr>
  </w:style>
  <w:style w:type="character" w:customStyle="1" w:styleId="Resdef">
    <w:name w:val="Res_def"/>
    <w:basedOn w:val="DefaultParagraphFont"/>
    <w:rsid w:val="008030EF"/>
    <w:rPr>
      <w:rFonts w:ascii="Times New Roman" w:hAnsi="Times New Roman"/>
      <w:b/>
    </w:rPr>
  </w:style>
  <w:style w:type="paragraph" w:styleId="Caption">
    <w:name w:val="caption"/>
    <w:basedOn w:val="Normal"/>
    <w:next w:val="Normal"/>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rsid w:val="008030EF"/>
    <w:rPr>
      <w:rFonts w:ascii="Segoe UI" w:hAnsi="Segoe UI" w:cs="Segoe UI"/>
      <w:sz w:val="18"/>
      <w:szCs w:val="18"/>
      <w:lang w:val="en-GB" w:eastAsia="en-US"/>
    </w:rPr>
  </w:style>
  <w:style w:type="paragraph" w:styleId="BalloonText">
    <w:name w:val="Balloon Text"/>
    <w:basedOn w:val="Normal"/>
    <w:link w:val="BalloonTextChar"/>
    <w:unhideWhenUsed/>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8030EF"/>
    <w:rPr>
      <w:rFonts w:ascii="Segoe UI" w:hAnsi="Segoe UI" w:cs="Segoe UI"/>
      <w:sz w:val="18"/>
      <w:szCs w:val="18"/>
      <w:lang w:val="en-GB" w:eastAsia="en-US"/>
    </w:rPr>
  </w:style>
  <w:style w:type="paragraph" w:styleId="NormalWeb">
    <w:name w:val="Normal (Web)"/>
    <w:basedOn w:val="Normal"/>
    <w:uiPriority w:val="99"/>
    <w:semiHidden/>
    <w:unhideWhenUsed/>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8030EF"/>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semiHidden/>
    <w:rsid w:val="008030EF"/>
    <w:rPr>
      <w:sz w:val="24"/>
      <w:lang w:val="en-GB" w:eastAsia="en-US"/>
    </w:rPr>
  </w:style>
  <w:style w:type="character" w:styleId="FollowedHyperlink">
    <w:name w:val="FollowedHyperlink"/>
    <w:basedOn w:val="DefaultParagraphFont"/>
    <w:semiHidden/>
    <w:unhideWhenUsed/>
    <w:rsid w:val="008030EF"/>
    <w:rPr>
      <w:color w:val="800080" w:themeColor="followedHyperlink"/>
      <w:u w:val="single"/>
    </w:rPr>
  </w:style>
  <w:style w:type="character" w:styleId="PlaceholderText">
    <w:name w:val="Placeholder Text"/>
    <w:basedOn w:val="DefaultParagraphFont"/>
    <w:uiPriority w:val="99"/>
    <w:semiHidden/>
    <w:rsid w:val="008030EF"/>
    <w:rPr>
      <w:color w:val="808080"/>
    </w:rPr>
  </w:style>
  <w:style w:type="character" w:styleId="CommentReference">
    <w:name w:val="annotation reference"/>
    <w:basedOn w:val="DefaultParagraphFont"/>
    <w:semiHidden/>
    <w:unhideWhenUsed/>
    <w:rsid w:val="008030EF"/>
    <w:rPr>
      <w:sz w:val="16"/>
      <w:szCs w:val="16"/>
    </w:rPr>
  </w:style>
  <w:style w:type="paragraph" w:styleId="CommentText">
    <w:name w:val="annotation text"/>
    <w:basedOn w:val="Normal"/>
    <w:link w:val="CommentTextChar"/>
    <w:unhideWhenUsed/>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rsid w:val="008030EF"/>
    <w:rPr>
      <w:lang w:val="en-GB" w:eastAsia="en-US"/>
    </w:rPr>
  </w:style>
  <w:style w:type="paragraph" w:styleId="CommentSubject">
    <w:name w:val="annotation subject"/>
    <w:basedOn w:val="CommentText"/>
    <w:next w:val="CommentText"/>
    <w:link w:val="CommentSubjectChar"/>
    <w:semiHidden/>
    <w:unhideWhenUsed/>
    <w:rsid w:val="008030EF"/>
    <w:rPr>
      <w:b/>
      <w:bCs/>
    </w:rPr>
  </w:style>
  <w:style w:type="character" w:customStyle="1" w:styleId="CommentSubjectChar">
    <w:name w:val="Comment Subject Char"/>
    <w:basedOn w:val="CommentTextChar"/>
    <w:link w:val="CommentSubject"/>
    <w:semiHidden/>
    <w:rsid w:val="008030EF"/>
    <w:rPr>
      <w:b/>
      <w:bCs/>
      <w:lang w:val="en-GB" w:eastAsia="en-US"/>
    </w:rPr>
  </w:style>
  <w:style w:type="character" w:customStyle="1" w:styleId="MentionUnresolved0">
    <w:name w:val="Mention Unresolved"/>
    <w:basedOn w:val="DefaultParagraphFont"/>
    <w:uiPriority w:val="99"/>
    <w:semiHidden/>
    <w:unhideWhenUsed/>
    <w:rsid w:val="008030EF"/>
    <w:rPr>
      <w:color w:val="605E5C"/>
      <w:shd w:val="clear" w:color="auto" w:fill="E1DFDD"/>
    </w:rPr>
  </w:style>
  <w:style w:type="character" w:styleId="Emphasis">
    <w:name w:val="Emphasis"/>
    <w:basedOn w:val="DefaultParagraphFont"/>
    <w:uiPriority w:val="20"/>
    <w:qFormat/>
    <w:rsid w:val="008030EF"/>
    <w:rPr>
      <w:i/>
      <w:iCs/>
    </w:rPr>
  </w:style>
  <w:style w:type="paragraph" w:styleId="ListParagraph">
    <w:name w:val="List Paragraph"/>
    <w:basedOn w:val="Normal"/>
    <w:uiPriority w:val="34"/>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styleId="UnresolvedMention">
    <w:name w:val="Unresolved Mention"/>
    <w:basedOn w:val="DefaultParagraphFont"/>
    <w:uiPriority w:val="99"/>
    <w:semiHidden/>
    <w:unhideWhenUsed/>
    <w:rsid w:val="00841BB7"/>
    <w:rPr>
      <w:color w:val="605E5C"/>
      <w:shd w:val="clear" w:color="auto" w:fill="E1DFDD"/>
    </w:rPr>
  </w:style>
  <w:style w:type="character" w:customStyle="1" w:styleId="TabletextChar">
    <w:name w:val="Table_text Char"/>
    <w:basedOn w:val="DefaultParagraphFont"/>
    <w:link w:val="Tabletext"/>
    <w:rsid w:val="00906D8C"/>
    <w:rPr>
      <w:sz w:val="22"/>
      <w:lang w:val="en-GB" w:eastAsia="en-US"/>
    </w:rPr>
  </w:style>
  <w:style w:type="character" w:customStyle="1" w:styleId="TablelegendChar">
    <w:name w:val="Table_legend Char"/>
    <w:basedOn w:val="DefaultParagraphFont"/>
    <w:link w:val="Tablelegend"/>
    <w:rsid w:val="00906D8C"/>
    <w:rPr>
      <w:sz w:val="22"/>
      <w:lang w:val="en-GB" w:eastAsia="en-US"/>
    </w:rPr>
  </w:style>
  <w:style w:type="character" w:customStyle="1" w:styleId="TableheadChar">
    <w:name w:val="Table_head Char"/>
    <w:link w:val="Tablehead"/>
    <w:locked/>
    <w:rsid w:val="00906D8C"/>
    <w:rPr>
      <w:b/>
      <w:sz w:val="22"/>
      <w:lang w:val="en-GB" w:eastAsia="en-US"/>
    </w:rPr>
  </w:style>
  <w:style w:type="character" w:customStyle="1" w:styleId="ReftextChar">
    <w:name w:val="Ref_text Char"/>
    <w:basedOn w:val="DefaultParagraphFont"/>
    <w:link w:val="Reftext"/>
    <w:rsid w:val="00203AB8"/>
    <w:rPr>
      <w:sz w:val="22"/>
      <w:lang w:val="en-GB" w:eastAsia="en-US"/>
    </w:rPr>
  </w:style>
  <w:style w:type="character" w:customStyle="1" w:styleId="AnnexNoTitleChar">
    <w:name w:val="Annex_NoTitle Char"/>
    <w:basedOn w:val="DefaultParagraphFont"/>
    <w:link w:val="AnnexNoTitle"/>
    <w:locked/>
    <w:rsid w:val="00203AB8"/>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21272">
      <w:bodyDiv w:val="1"/>
      <w:marLeft w:val="0"/>
      <w:marRight w:val="0"/>
      <w:marTop w:val="0"/>
      <w:marBottom w:val="0"/>
      <w:divBdr>
        <w:top w:val="none" w:sz="0" w:space="0" w:color="auto"/>
        <w:left w:val="none" w:sz="0" w:space="0" w:color="auto"/>
        <w:bottom w:val="none" w:sz="0" w:space="0" w:color="auto"/>
        <w:right w:val="none" w:sz="0" w:space="0" w:color="auto"/>
      </w:divBdr>
    </w:div>
    <w:div w:id="70124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R/go/patents/en" TargetMode="External"/><Relationship Id="rId18" Type="http://schemas.openxmlformats.org/officeDocument/2006/relationships/hyperlink" Target="https://www.itu.int/rec/R-REC-BT.2100/en" TargetMode="External"/><Relationship Id="rId26" Type="http://schemas.openxmlformats.org/officeDocument/2006/relationships/hyperlink" Target="https://www.itu.int/rec/R-REC-BT.2100/en" TargetMode="External"/><Relationship Id="rId3" Type="http://schemas.openxmlformats.org/officeDocument/2006/relationships/customXml" Target="../customXml/item3.xml"/><Relationship Id="rId21" Type="http://schemas.openxmlformats.org/officeDocument/2006/relationships/hyperlink" Target="https://www.itu.int/rec/R-REC-BT.2100/e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tu.int/rec/R-REC-BT.2035/en" TargetMode="External"/><Relationship Id="rId25" Type="http://schemas.openxmlformats.org/officeDocument/2006/relationships/hyperlink" Target="https://www.itu.int/rec/R-REC-BT.2035/e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itu.int/rec/R-REC-BT.2100/en" TargetMode="External"/><Relationship Id="rId29" Type="http://schemas.openxmlformats.org/officeDocument/2006/relationships/hyperlink" Target="https://www.itu.int/rec/R-REC-BT.1886/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itu.int/rec/R-REC-BT.1886/en" TargetMode="External"/><Relationship Id="rId32" Type="http://schemas.openxmlformats.org/officeDocument/2006/relationships/header" Target="head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itu.int/rec/R-REC-BT.2100/en" TargetMode="External"/><Relationship Id="rId28" Type="http://schemas.openxmlformats.org/officeDocument/2006/relationships/hyperlink" Target="https://www.itu.int/rec/R-REC-BT.2100/en" TargetMode="External"/><Relationship Id="rId10" Type="http://schemas.openxmlformats.org/officeDocument/2006/relationships/header" Target="header1.xml"/><Relationship Id="rId19" Type="http://schemas.openxmlformats.org/officeDocument/2006/relationships/hyperlink" Target="https://www.itu.int/pub/R-REP-BT.2408" TargetMode="Externa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l/R-REC/en" TargetMode="External"/><Relationship Id="rId22" Type="http://schemas.openxmlformats.org/officeDocument/2006/relationships/hyperlink" Target="https://www.itu.int/rec/R-REC-BT.2035/en" TargetMode="External"/><Relationship Id="rId27" Type="http://schemas.openxmlformats.org/officeDocument/2006/relationships/hyperlink" Target="https://www.itu.int/rec/R-REC-BT.2100/en" TargetMode="External"/><Relationship Id="rId30" Type="http://schemas.openxmlformats.org/officeDocument/2006/relationships/hyperlink" Target="https://www.itu.int/pub/R-REP-BT.2408"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AQ - OK - Footnotes 1&amp;2 incorrect &amp; replaced; capitalize Perceptual Quantization and Hybrid Log Gamma (formatting). "Notes relatives to Table 1" removed and incorporated into table. Annex 3 reference to 2408-8 updated</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F6472-349D-4DFF-A600-AE65A37962F5}">
  <ds:schemaRefs>
    <ds:schemaRef ds:uri="http://schemas.microsoft.com/sharepoint/v3/contenttype/forms"/>
  </ds:schemaRefs>
</ds:datastoreItem>
</file>

<file path=customXml/itemProps2.xml><?xml version="1.0" encoding="utf-8"?>
<ds:datastoreItem xmlns:ds="http://schemas.openxmlformats.org/officeDocument/2006/customXml" ds:itemID="{41142CDF-5493-48E3-B693-B2DD2F957573}">
  <ds:schemaRefs>
    <ds:schemaRef ds:uri="http://schemas.microsoft.com/office/2006/metadata/properties"/>
    <ds:schemaRef ds:uri="http://schemas.microsoft.com/office/infopath/2007/PartnerControls"/>
    <ds:schemaRef ds:uri="4c6a61cb-1973-4fc6-92ae-f4d7a4471404"/>
  </ds:schemaRefs>
</ds:datastoreItem>
</file>

<file path=customXml/itemProps3.xml><?xml version="1.0" encoding="utf-8"?>
<ds:datastoreItem xmlns:ds="http://schemas.openxmlformats.org/officeDocument/2006/customXml" ds:itemID="{2DC2A173-F9E5-4AF0-94FB-629E36DC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BR_Rec_2005.dotm</Template>
  <TotalTime>92</TotalTime>
  <Pages>7</Pages>
  <Words>1544</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Recommendation ITU-R BT.2166-0 (02/2025) - Viewing conditions for high dynamic range and standard dynamic range monitoring in close proximity within a single-master high dynamic range production environment</vt:lpstr>
    </vt:vector>
  </TitlesOfParts>
  <Manager/>
  <Company>ITU</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BT.2166-0 (02/2025) - Viewing conditions for high dynamic range and standard dynamic range monitoring in close proximity within a single-master high dynamic range production environment</dc:title>
  <dc:subject/>
  <dc:creator>Gachet, Christelle</dc:creator>
  <cp:keywords/>
  <dc:description/>
  <cp:lastModifiedBy>Gomez, Yoanni</cp:lastModifiedBy>
  <cp:revision>55</cp:revision>
  <cp:lastPrinted>2005-02-10T15:54:00Z</cp:lastPrinted>
  <dcterms:created xsi:type="dcterms:W3CDTF">2025-01-20T11:50:00Z</dcterms:created>
  <dcterms:modified xsi:type="dcterms:W3CDTF">2025-03-04T11:29:00Z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0x01010082379ADE57F02A4ABD3D2EDC722C3499</vt:lpwstr>
  </property>
</Properties>
</file>