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CE6DB" w14:textId="77777777" w:rsidR="0080052A" w:rsidRPr="006E3081" w:rsidRDefault="0080052A" w:rsidP="00341768">
      <w:bookmarkStart w:id="0" w:name="Doc_title"/>
    </w:p>
    <w:p w14:paraId="03913043" w14:textId="77777777" w:rsidR="0080052A" w:rsidRPr="006E3081" w:rsidRDefault="0080052A" w:rsidP="00341768"/>
    <w:p w14:paraId="73F51F80" w14:textId="77777777" w:rsidR="0080052A" w:rsidRPr="006E3081" w:rsidRDefault="0080052A" w:rsidP="00341768"/>
    <w:p w14:paraId="1DC6754D" w14:textId="77777777" w:rsidR="0080052A" w:rsidRPr="006E3081" w:rsidRDefault="0080052A" w:rsidP="00341768"/>
    <w:p w14:paraId="618ED1EE" w14:textId="77777777" w:rsidR="0080052A" w:rsidRPr="006E3081" w:rsidRDefault="0080052A" w:rsidP="00341768"/>
    <w:p w14:paraId="3F1871D3" w14:textId="77777777" w:rsidR="0080052A" w:rsidRPr="006E3081" w:rsidRDefault="0080052A" w:rsidP="00341768"/>
    <w:p w14:paraId="27D387BE" w14:textId="77777777" w:rsidR="0080052A" w:rsidRPr="006E3081" w:rsidRDefault="0080052A" w:rsidP="00341768"/>
    <w:p w14:paraId="3FB8CB86" w14:textId="77777777" w:rsidR="0080052A" w:rsidRPr="006E3081" w:rsidRDefault="0080052A" w:rsidP="00341768"/>
    <w:p w14:paraId="2F64AD38" w14:textId="77777777" w:rsidR="0080052A" w:rsidRPr="006E3081" w:rsidRDefault="0080052A" w:rsidP="00341768"/>
    <w:p w14:paraId="44561981" w14:textId="77777777" w:rsidR="0080052A" w:rsidRPr="006E3081" w:rsidRDefault="0080052A" w:rsidP="00341768"/>
    <w:p w14:paraId="361D53BD" w14:textId="77777777" w:rsidR="0080052A" w:rsidRPr="006E3081" w:rsidRDefault="0080052A" w:rsidP="00341768"/>
    <w:tbl>
      <w:tblPr>
        <w:tblW w:w="10089" w:type="dxa"/>
        <w:tblLook w:val="01E0" w:firstRow="1" w:lastRow="1" w:firstColumn="1" w:lastColumn="1" w:noHBand="0" w:noVBand="0"/>
      </w:tblPr>
      <w:tblGrid>
        <w:gridCol w:w="10089"/>
      </w:tblGrid>
      <w:tr w:rsidR="0080052A" w:rsidRPr="006E3081" w14:paraId="4F6A099E" w14:textId="77777777" w:rsidTr="00DB2516">
        <w:tc>
          <w:tcPr>
            <w:tcW w:w="10089" w:type="dxa"/>
          </w:tcPr>
          <w:p w14:paraId="1E224664" w14:textId="77777777" w:rsidR="0080052A" w:rsidRPr="006E3081" w:rsidRDefault="0080052A" w:rsidP="00341768">
            <w:pPr>
              <w:spacing w:before="380"/>
              <w:jc w:val="right"/>
              <w:rPr>
                <w:rFonts w:ascii="Tahoma" w:hAnsi="Tahoma" w:cs="Tahoma"/>
                <w:b/>
                <w:bCs/>
                <w:iCs/>
                <w:color w:val="243285"/>
                <w:sz w:val="32"/>
                <w:szCs w:val="32"/>
              </w:rPr>
            </w:pPr>
          </w:p>
          <w:p w14:paraId="23F31DCE" w14:textId="1B7A6BBF" w:rsidR="0080052A" w:rsidRPr="006E3081" w:rsidRDefault="0080052A" w:rsidP="00341768">
            <w:pPr>
              <w:spacing w:before="380"/>
              <w:jc w:val="right"/>
              <w:rPr>
                <w:rFonts w:ascii="Tahoma" w:hAnsi="Tahoma" w:cs="Tahoma"/>
                <w:b/>
                <w:bCs/>
                <w:iCs/>
                <w:color w:val="243285"/>
                <w:sz w:val="36"/>
                <w:szCs w:val="36"/>
              </w:rPr>
            </w:pPr>
            <w:r w:rsidRPr="006E3081">
              <w:rPr>
                <w:rFonts w:ascii="Tahoma" w:hAnsi="Tahoma" w:cs="Tahoma"/>
                <w:b/>
                <w:bCs/>
                <w:iCs/>
                <w:color w:val="243285"/>
                <w:sz w:val="36"/>
                <w:szCs w:val="36"/>
              </w:rPr>
              <w:t>Recommandation  UIT-R  BT.</w:t>
            </w:r>
            <w:r w:rsidR="00564BF7" w:rsidRPr="006E3081">
              <w:rPr>
                <w:rFonts w:ascii="Tahoma" w:hAnsi="Tahoma" w:cs="Tahoma"/>
                <w:b/>
                <w:bCs/>
                <w:iCs/>
                <w:color w:val="243285"/>
                <w:sz w:val="36"/>
                <w:szCs w:val="36"/>
              </w:rPr>
              <w:t>21</w:t>
            </w:r>
            <w:r w:rsidR="0050078E" w:rsidRPr="006E3081">
              <w:rPr>
                <w:rFonts w:ascii="Tahoma" w:hAnsi="Tahoma" w:cs="Tahoma"/>
                <w:b/>
                <w:bCs/>
                <w:iCs/>
                <w:color w:val="243285"/>
                <w:sz w:val="36"/>
                <w:szCs w:val="36"/>
              </w:rPr>
              <w:t>44</w:t>
            </w:r>
            <w:r w:rsidR="000B7728" w:rsidRPr="006E3081">
              <w:rPr>
                <w:rFonts w:ascii="Tahoma" w:hAnsi="Tahoma" w:cs="Tahoma"/>
                <w:b/>
                <w:bCs/>
                <w:iCs/>
                <w:color w:val="243285"/>
                <w:sz w:val="36"/>
                <w:szCs w:val="36"/>
              </w:rPr>
              <w:t>-</w:t>
            </w:r>
            <w:r w:rsidR="00564BF7" w:rsidRPr="006E3081">
              <w:rPr>
                <w:rFonts w:ascii="Tahoma" w:hAnsi="Tahoma" w:cs="Tahoma"/>
                <w:b/>
                <w:bCs/>
                <w:iCs/>
                <w:color w:val="243285"/>
                <w:sz w:val="36"/>
                <w:szCs w:val="36"/>
              </w:rPr>
              <w:t>0</w:t>
            </w:r>
          </w:p>
          <w:p w14:paraId="40CB3982" w14:textId="1ABEF630" w:rsidR="0080052A" w:rsidRPr="006E3081" w:rsidRDefault="0080052A" w:rsidP="00341768">
            <w:pPr>
              <w:spacing w:before="80"/>
              <w:jc w:val="right"/>
              <w:rPr>
                <w:rFonts w:ascii="Tahoma" w:hAnsi="Tahoma" w:cs="Tahoma"/>
                <w:b/>
                <w:bCs/>
                <w:iCs/>
                <w:color w:val="243285"/>
                <w:szCs w:val="24"/>
              </w:rPr>
            </w:pPr>
            <w:r w:rsidRPr="006E3081">
              <w:rPr>
                <w:rFonts w:ascii="Tahoma" w:hAnsi="Tahoma" w:cs="Tahoma"/>
                <w:b/>
                <w:bCs/>
                <w:iCs/>
                <w:color w:val="243285"/>
                <w:szCs w:val="24"/>
              </w:rPr>
              <w:t>(</w:t>
            </w:r>
            <w:r w:rsidR="0050078E" w:rsidRPr="006E3081">
              <w:rPr>
                <w:rFonts w:ascii="Tahoma" w:hAnsi="Tahoma" w:cs="Tahoma"/>
                <w:b/>
                <w:bCs/>
                <w:iCs/>
                <w:color w:val="243285"/>
                <w:szCs w:val="24"/>
              </w:rPr>
              <w:t>05</w:t>
            </w:r>
            <w:r w:rsidR="007F43CB" w:rsidRPr="006E3081">
              <w:rPr>
                <w:rFonts w:ascii="Tahoma" w:hAnsi="Tahoma" w:cs="Tahoma"/>
                <w:b/>
                <w:bCs/>
                <w:iCs/>
                <w:color w:val="243285"/>
                <w:szCs w:val="24"/>
              </w:rPr>
              <w:t>/</w:t>
            </w:r>
            <w:r w:rsidR="000B7728" w:rsidRPr="006E3081">
              <w:rPr>
                <w:rFonts w:ascii="Tahoma" w:hAnsi="Tahoma" w:cs="Tahoma"/>
                <w:b/>
                <w:bCs/>
                <w:iCs/>
                <w:color w:val="243285"/>
                <w:szCs w:val="24"/>
              </w:rPr>
              <w:t>20</w:t>
            </w:r>
            <w:r w:rsidR="007F43CB" w:rsidRPr="006E3081">
              <w:rPr>
                <w:rFonts w:ascii="Tahoma" w:hAnsi="Tahoma" w:cs="Tahoma"/>
                <w:b/>
                <w:bCs/>
                <w:iCs/>
                <w:color w:val="243285"/>
                <w:szCs w:val="24"/>
              </w:rPr>
              <w:t>2</w:t>
            </w:r>
            <w:r w:rsidR="0050078E" w:rsidRPr="006E3081">
              <w:rPr>
                <w:rFonts w:ascii="Tahoma" w:hAnsi="Tahoma" w:cs="Tahoma"/>
                <w:b/>
                <w:bCs/>
                <w:iCs/>
                <w:color w:val="243285"/>
                <w:szCs w:val="24"/>
              </w:rPr>
              <w:t>2</w:t>
            </w:r>
            <w:r w:rsidRPr="006E3081">
              <w:rPr>
                <w:rFonts w:ascii="Tahoma" w:hAnsi="Tahoma" w:cs="Tahoma"/>
                <w:b/>
                <w:bCs/>
                <w:iCs/>
                <w:color w:val="243285"/>
                <w:szCs w:val="24"/>
              </w:rPr>
              <w:t>)</w:t>
            </w:r>
          </w:p>
        </w:tc>
      </w:tr>
      <w:tr w:rsidR="0080052A" w:rsidRPr="006E3081" w14:paraId="5ACE515D" w14:textId="77777777" w:rsidTr="00DB2516">
        <w:tc>
          <w:tcPr>
            <w:tcW w:w="10089" w:type="dxa"/>
          </w:tcPr>
          <w:p w14:paraId="31FFC0A0" w14:textId="77777777" w:rsidR="0080052A" w:rsidRPr="006E3081" w:rsidRDefault="0080052A" w:rsidP="00341768">
            <w:pPr>
              <w:spacing w:before="80"/>
              <w:jc w:val="right"/>
              <w:rPr>
                <w:rFonts w:ascii="Tahoma" w:hAnsi="Tahoma" w:cs="Tahoma"/>
                <w:b/>
                <w:bCs/>
                <w:iCs/>
                <w:color w:val="243285"/>
                <w:sz w:val="44"/>
                <w:szCs w:val="44"/>
              </w:rPr>
            </w:pPr>
          </w:p>
          <w:p w14:paraId="3B8D85E1" w14:textId="2E3B41AF" w:rsidR="0080052A" w:rsidRPr="006E3081" w:rsidRDefault="0050078E" w:rsidP="00341768">
            <w:pPr>
              <w:spacing w:before="80"/>
              <w:jc w:val="right"/>
              <w:rPr>
                <w:rFonts w:ascii="Tahoma" w:hAnsi="Tahoma" w:cs="Tahoma"/>
                <w:b/>
                <w:bCs/>
                <w:color w:val="243285"/>
                <w:sz w:val="44"/>
                <w:szCs w:val="44"/>
              </w:rPr>
            </w:pPr>
            <w:r w:rsidRPr="006E3081">
              <w:rPr>
                <w:rFonts w:ascii="Tahoma" w:hAnsi="Tahoma" w:cs="Tahoma"/>
                <w:b/>
                <w:bCs/>
                <w:color w:val="243285"/>
                <w:sz w:val="44"/>
                <w:szCs w:val="44"/>
              </w:rPr>
              <w:t>Lignes directrices pour l'introduction de</w:t>
            </w:r>
            <w:r w:rsidR="00BF21E5">
              <w:rPr>
                <w:rFonts w:ascii="Tahoma" w:hAnsi="Tahoma" w:cs="Tahoma"/>
                <w:b/>
                <w:bCs/>
                <w:color w:val="243285"/>
                <w:sz w:val="44"/>
                <w:szCs w:val="44"/>
              </w:rPr>
              <w:t xml:space="preserve"> </w:t>
            </w:r>
            <w:r w:rsidRPr="006E3081">
              <w:rPr>
                <w:rFonts w:ascii="Tahoma" w:hAnsi="Tahoma" w:cs="Tahoma"/>
                <w:b/>
                <w:bCs/>
                <w:color w:val="243285"/>
                <w:sz w:val="44"/>
                <w:szCs w:val="44"/>
              </w:rPr>
              <w:t>nouveaux systèmes et de nouvelles</w:t>
            </w:r>
            <w:r w:rsidR="00BF21E5">
              <w:rPr>
                <w:rFonts w:ascii="Tahoma" w:hAnsi="Tahoma" w:cs="Tahoma"/>
                <w:b/>
                <w:bCs/>
                <w:color w:val="243285"/>
                <w:sz w:val="44"/>
                <w:szCs w:val="44"/>
              </w:rPr>
              <w:t xml:space="preserve"> </w:t>
            </w:r>
            <w:r w:rsidRPr="006E3081">
              <w:rPr>
                <w:rFonts w:ascii="Tahoma" w:hAnsi="Tahoma" w:cs="Tahoma"/>
                <w:b/>
                <w:bCs/>
                <w:color w:val="243285"/>
                <w:sz w:val="44"/>
                <w:szCs w:val="44"/>
              </w:rPr>
              <w:t xml:space="preserve">technologies et applications DTTB </w:t>
            </w:r>
            <w:r w:rsidR="00BF21E5">
              <w:rPr>
                <w:rFonts w:ascii="Tahoma" w:hAnsi="Tahoma" w:cs="Tahoma"/>
                <w:b/>
                <w:bCs/>
                <w:color w:val="243285"/>
                <w:sz w:val="44"/>
                <w:szCs w:val="44"/>
              </w:rPr>
              <w:br/>
            </w:r>
            <w:r w:rsidRPr="006E3081">
              <w:rPr>
                <w:rFonts w:ascii="Tahoma" w:hAnsi="Tahoma" w:cs="Tahoma"/>
                <w:b/>
                <w:bCs/>
                <w:color w:val="243285"/>
                <w:sz w:val="44"/>
                <w:szCs w:val="44"/>
              </w:rPr>
              <w:t>dans le</w:t>
            </w:r>
            <w:r w:rsidR="00BF21E5">
              <w:rPr>
                <w:rFonts w:ascii="Tahoma" w:hAnsi="Tahoma" w:cs="Tahoma"/>
                <w:b/>
                <w:bCs/>
                <w:color w:val="243285"/>
                <w:sz w:val="44"/>
                <w:szCs w:val="44"/>
              </w:rPr>
              <w:t xml:space="preserve"> </w:t>
            </w:r>
            <w:r w:rsidRPr="006E3081">
              <w:rPr>
                <w:rFonts w:ascii="Tahoma" w:hAnsi="Tahoma" w:cs="Tahoma"/>
                <w:b/>
                <w:bCs/>
                <w:color w:val="243285"/>
                <w:sz w:val="44"/>
                <w:szCs w:val="44"/>
              </w:rPr>
              <w:t>service de radiodiffusion</w:t>
            </w:r>
          </w:p>
          <w:p w14:paraId="3F55D4B7" w14:textId="77777777" w:rsidR="0080052A" w:rsidRPr="006E3081" w:rsidRDefault="0080052A" w:rsidP="00341768">
            <w:pPr>
              <w:spacing w:before="80"/>
              <w:jc w:val="right"/>
              <w:rPr>
                <w:rFonts w:ascii="Tahoma" w:hAnsi="Tahoma" w:cs="Tahoma"/>
                <w:b/>
                <w:bCs/>
                <w:iCs/>
                <w:color w:val="243285"/>
                <w:sz w:val="44"/>
                <w:szCs w:val="44"/>
              </w:rPr>
            </w:pPr>
            <w:r w:rsidRPr="006E3081">
              <w:rPr>
                <w:rFonts w:ascii="Tahoma" w:hAnsi="Tahoma" w:cs="Tahoma"/>
                <w:b/>
                <w:bCs/>
                <w:iCs/>
                <w:color w:val="243285"/>
                <w:sz w:val="44"/>
                <w:szCs w:val="44"/>
              </w:rPr>
              <w:t xml:space="preserve"> </w:t>
            </w:r>
          </w:p>
        </w:tc>
      </w:tr>
      <w:tr w:rsidR="0080052A" w:rsidRPr="006E3081" w14:paraId="29204C8E" w14:textId="77777777" w:rsidTr="00DB2516">
        <w:tc>
          <w:tcPr>
            <w:tcW w:w="10089" w:type="dxa"/>
          </w:tcPr>
          <w:p w14:paraId="3814314E" w14:textId="77777777" w:rsidR="0080052A" w:rsidRPr="006E3081" w:rsidRDefault="0080052A" w:rsidP="00341768">
            <w:pPr>
              <w:spacing w:before="80"/>
              <w:ind w:right="640"/>
              <w:rPr>
                <w:rFonts w:ascii="Tahoma" w:hAnsi="Tahoma" w:cs="Tahoma"/>
                <w:b/>
                <w:bCs/>
                <w:iCs/>
                <w:color w:val="243285"/>
                <w:sz w:val="32"/>
                <w:szCs w:val="32"/>
              </w:rPr>
            </w:pPr>
          </w:p>
          <w:p w14:paraId="79B452FA" w14:textId="77777777" w:rsidR="0080052A" w:rsidRPr="006E3081" w:rsidRDefault="0080052A" w:rsidP="00341768">
            <w:pPr>
              <w:spacing w:before="80"/>
              <w:ind w:right="640"/>
              <w:rPr>
                <w:rFonts w:ascii="Tahoma" w:hAnsi="Tahoma" w:cs="Tahoma"/>
                <w:b/>
                <w:bCs/>
                <w:iCs/>
                <w:color w:val="243285"/>
                <w:sz w:val="32"/>
                <w:szCs w:val="32"/>
              </w:rPr>
            </w:pPr>
          </w:p>
          <w:p w14:paraId="15E03244" w14:textId="77777777" w:rsidR="0080052A" w:rsidRPr="006E3081" w:rsidRDefault="0080052A" w:rsidP="00341768">
            <w:pPr>
              <w:spacing w:before="80" w:after="180"/>
              <w:ind w:right="720"/>
              <w:rPr>
                <w:rFonts w:ascii="Tahoma" w:hAnsi="Tahoma" w:cs="Tahoma"/>
                <w:b/>
                <w:bCs/>
                <w:iCs/>
                <w:color w:val="243285"/>
                <w:sz w:val="36"/>
                <w:szCs w:val="36"/>
              </w:rPr>
            </w:pPr>
          </w:p>
          <w:p w14:paraId="54F50E7A" w14:textId="77777777" w:rsidR="0080052A" w:rsidRPr="006E3081" w:rsidRDefault="0080052A" w:rsidP="00341768">
            <w:pPr>
              <w:spacing w:before="80" w:after="180"/>
              <w:jc w:val="right"/>
              <w:rPr>
                <w:rFonts w:ascii="Tahoma" w:hAnsi="Tahoma" w:cs="Tahoma"/>
                <w:b/>
                <w:bCs/>
                <w:iCs/>
                <w:color w:val="243285"/>
                <w:sz w:val="36"/>
                <w:szCs w:val="36"/>
              </w:rPr>
            </w:pPr>
            <w:r w:rsidRPr="006E3081">
              <w:rPr>
                <w:rFonts w:ascii="Tahoma" w:hAnsi="Tahoma" w:cs="Tahoma"/>
                <w:b/>
                <w:bCs/>
                <w:iCs/>
                <w:color w:val="243285"/>
                <w:sz w:val="36"/>
                <w:szCs w:val="36"/>
              </w:rPr>
              <w:t>Série BT</w:t>
            </w:r>
          </w:p>
          <w:p w14:paraId="58394BDD" w14:textId="77777777" w:rsidR="0080052A" w:rsidRPr="006E3081" w:rsidRDefault="0080052A" w:rsidP="00341768">
            <w:pPr>
              <w:spacing w:before="80"/>
              <w:jc w:val="right"/>
              <w:rPr>
                <w:rFonts w:ascii="Tahoma" w:hAnsi="Tahoma" w:cs="Tahoma"/>
                <w:b/>
                <w:iCs/>
                <w:color w:val="243285"/>
                <w:sz w:val="36"/>
                <w:szCs w:val="36"/>
              </w:rPr>
            </w:pPr>
            <w:r w:rsidRPr="006E3081">
              <w:rPr>
                <w:rFonts w:ascii="Tahoma" w:hAnsi="Tahoma" w:cs="Tahoma"/>
                <w:b/>
                <w:bCs/>
                <w:color w:val="243285"/>
                <w:sz w:val="36"/>
                <w:szCs w:val="36"/>
              </w:rPr>
              <w:t>Service de radiodiffusion télévisuelle</w:t>
            </w:r>
          </w:p>
        </w:tc>
      </w:tr>
    </w:tbl>
    <w:p w14:paraId="5725B34F" w14:textId="77777777" w:rsidR="0080052A" w:rsidRPr="006E3081" w:rsidRDefault="0080052A" w:rsidP="00341768">
      <w:pPr>
        <w:spacing w:before="80"/>
        <w:rPr>
          <w:i/>
          <w:sz w:val="22"/>
        </w:rPr>
      </w:pPr>
    </w:p>
    <w:p w14:paraId="12A93CF3" w14:textId="77777777" w:rsidR="0080052A" w:rsidRPr="006E3081" w:rsidRDefault="0080052A" w:rsidP="00341768">
      <w:pPr>
        <w:spacing w:before="80"/>
        <w:rPr>
          <w:i/>
          <w:sz w:val="22"/>
        </w:rPr>
      </w:pPr>
    </w:p>
    <w:p w14:paraId="0193F66C" w14:textId="77777777" w:rsidR="0080052A" w:rsidRPr="006E3081" w:rsidRDefault="0080052A" w:rsidP="00341768">
      <w:pPr>
        <w:spacing w:before="80"/>
        <w:rPr>
          <w:i/>
          <w:sz w:val="22"/>
        </w:rPr>
      </w:pPr>
    </w:p>
    <w:p w14:paraId="24612CEE" w14:textId="77777777" w:rsidR="0080052A" w:rsidRPr="006E3081" w:rsidRDefault="0080052A" w:rsidP="00341768">
      <w:pPr>
        <w:pStyle w:val="Equation"/>
        <w:tabs>
          <w:tab w:val="clear" w:pos="4820"/>
          <w:tab w:val="clear" w:pos="9639"/>
          <w:tab w:val="left" w:pos="1191"/>
          <w:tab w:val="left" w:pos="1588"/>
          <w:tab w:val="left" w:pos="1985"/>
        </w:tabs>
        <w:rPr>
          <w:rFonts w:ascii="Palatino Linotype" w:hAnsi="Palatino Linotype"/>
        </w:rPr>
        <w:sectPr w:rsidR="0080052A" w:rsidRPr="006E3081" w:rsidSect="00DB2516">
          <w:headerReference w:type="even" r:id="rId7"/>
          <w:headerReference w:type="default" r:id="rId8"/>
          <w:pgSz w:w="11907" w:h="16834" w:code="9"/>
          <w:pgMar w:top="1418" w:right="1134" w:bottom="1134" w:left="1134" w:header="720" w:footer="482" w:gutter="0"/>
          <w:paperSrc w:first="15" w:other="15"/>
          <w:cols w:space="720"/>
        </w:sectPr>
      </w:pPr>
    </w:p>
    <w:p w14:paraId="3F0579EF" w14:textId="77777777"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6E3081">
        <w:rPr>
          <w:bCs/>
          <w:sz w:val="24"/>
          <w:szCs w:val="24"/>
        </w:rPr>
        <w:lastRenderedPageBreak/>
        <w:t>Avant-propos</w:t>
      </w:r>
    </w:p>
    <w:p w14:paraId="50239223" w14:textId="348ABCD0" w:rsidR="0080052A" w:rsidRPr="006E3081" w:rsidRDefault="0080052A" w:rsidP="00341768">
      <w:pPr>
        <w:spacing w:before="240"/>
        <w:rPr>
          <w:sz w:val="20"/>
        </w:rPr>
      </w:pPr>
      <w:r w:rsidRPr="006E3081">
        <w:rPr>
          <w:sz w:val="20"/>
        </w:rPr>
        <w:t>Le rôle du Secteur des radiocommunications est d</w:t>
      </w:r>
      <w:r w:rsidR="00E116A1" w:rsidRPr="006E3081">
        <w:rPr>
          <w:sz w:val="20"/>
        </w:rPr>
        <w:t>'</w:t>
      </w:r>
      <w:r w:rsidRPr="006E3081">
        <w:rPr>
          <w:sz w:val="20"/>
        </w:rPr>
        <w:t>assurer l</w:t>
      </w:r>
      <w:r w:rsidR="00E116A1" w:rsidRPr="006E3081">
        <w:rPr>
          <w:sz w:val="20"/>
        </w:rPr>
        <w:t>'</w:t>
      </w:r>
      <w:r w:rsidRPr="006E3081">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FAA35CF" w14:textId="3968540D" w:rsidR="0080052A" w:rsidRPr="006E3081" w:rsidRDefault="0080052A" w:rsidP="00341768">
      <w:pPr>
        <w:rPr>
          <w:sz w:val="20"/>
        </w:rPr>
      </w:pPr>
      <w:r w:rsidRPr="006E3081">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E116A1" w:rsidRPr="006E3081">
        <w:rPr>
          <w:sz w:val="20"/>
        </w:rPr>
        <w:t>'</w:t>
      </w:r>
      <w:r w:rsidRPr="006E3081">
        <w:rPr>
          <w:sz w:val="20"/>
        </w:rPr>
        <w:t>études.</w:t>
      </w:r>
    </w:p>
    <w:p w14:paraId="3FDF3205" w14:textId="77777777" w:rsidR="0080052A" w:rsidRPr="006E3081" w:rsidRDefault="0080052A" w:rsidP="00341768">
      <w:pPr>
        <w:pStyle w:val="Heading1"/>
        <w:spacing w:before="360"/>
        <w:jc w:val="center"/>
        <w:rPr>
          <w:szCs w:val="24"/>
        </w:rPr>
      </w:pPr>
      <w:bookmarkStart w:id="2" w:name="_Toc120026977"/>
      <w:r w:rsidRPr="006E3081">
        <w:rPr>
          <w:szCs w:val="24"/>
        </w:rPr>
        <w:t>Politique en matière de droits de propriété intellectuelle (IPR)</w:t>
      </w:r>
      <w:bookmarkEnd w:id="2"/>
    </w:p>
    <w:p w14:paraId="708ED257" w14:textId="0A8B86B0" w:rsidR="0080052A" w:rsidRPr="006E3081" w:rsidRDefault="0080052A" w:rsidP="00341768">
      <w:pPr>
        <w:spacing w:before="240"/>
        <w:rPr>
          <w:sz w:val="20"/>
        </w:rPr>
      </w:pPr>
      <w:r w:rsidRPr="006E3081">
        <w:rPr>
          <w:sz w:val="20"/>
        </w:rPr>
        <w:t>La politique de l'UIT</w:t>
      </w:r>
      <w:r w:rsidRPr="006E3081">
        <w:rPr>
          <w:sz w:val="20"/>
        </w:rPr>
        <w:noBreakHyphen/>
        <w:t>R en matière de droits de propriété intellectuelle est décrite dans la «Politique commune de l'UIT</w:t>
      </w:r>
      <w:r w:rsidRPr="006E3081">
        <w:rPr>
          <w:sz w:val="20"/>
        </w:rPr>
        <w:noBreakHyphen/>
        <w:t>T, l'UIT</w:t>
      </w:r>
      <w:r w:rsidRPr="006E308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6E3081">
          <w:rPr>
            <w:rStyle w:val="Hyperlink"/>
            <w:sz w:val="20"/>
          </w:rPr>
          <w:t>http://www.itu.int/ITU-R/go/patents/fr</w:t>
        </w:r>
      </w:hyperlink>
      <w:r w:rsidRPr="006E3081">
        <w:rPr>
          <w:sz w:val="20"/>
        </w:rPr>
        <w:t xml:space="preserve">, où l'on trouvera également les Lignes directrices pour la mise en </w:t>
      </w:r>
      <w:r w:rsidR="00206EE7" w:rsidRPr="006E3081">
        <w:rPr>
          <w:sz w:val="20"/>
        </w:rPr>
        <w:t>œuvre</w:t>
      </w:r>
      <w:r w:rsidRPr="006E3081">
        <w:rPr>
          <w:sz w:val="20"/>
        </w:rPr>
        <w:t xml:space="preserve"> de la politique commune en matière de brevets de l'UIT</w:t>
      </w:r>
      <w:r w:rsidRPr="006E3081">
        <w:rPr>
          <w:sz w:val="20"/>
        </w:rPr>
        <w:noBreakHyphen/>
        <w:t>T, l'UIT</w:t>
      </w:r>
      <w:r w:rsidRPr="006E3081">
        <w:rPr>
          <w:sz w:val="20"/>
        </w:rPr>
        <w:noBreakHyphen/>
        <w:t>R, l'ISO et la CEI</w:t>
      </w:r>
      <w:r w:rsidRPr="006E3081" w:rsidDel="0061025C">
        <w:rPr>
          <w:sz w:val="20"/>
        </w:rPr>
        <w:t xml:space="preserve"> </w:t>
      </w:r>
      <w:r w:rsidRPr="006E3081">
        <w:rPr>
          <w:sz w:val="20"/>
        </w:rPr>
        <w:t>et la base de données en matière de brevets de l'UIT-R.</w:t>
      </w:r>
    </w:p>
    <w:p w14:paraId="32283C5B" w14:textId="77777777" w:rsidR="0080052A" w:rsidRPr="006E3081" w:rsidRDefault="0080052A" w:rsidP="0034176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0052A" w:rsidRPr="006E3081" w14:paraId="6E4C5AF5" w14:textId="77777777" w:rsidTr="00DB2516">
        <w:tc>
          <w:tcPr>
            <w:tcW w:w="9360" w:type="dxa"/>
            <w:gridSpan w:val="2"/>
          </w:tcPr>
          <w:p w14:paraId="4CA04680" w14:textId="77777777" w:rsidR="0080052A" w:rsidRPr="006E3081" w:rsidRDefault="0080052A" w:rsidP="00341768">
            <w:pPr>
              <w:pStyle w:val="Chaptitle"/>
              <w:keepLines w:val="0"/>
              <w:tabs>
                <w:tab w:val="clear" w:pos="794"/>
                <w:tab w:val="clear" w:pos="1191"/>
                <w:tab w:val="clear" w:pos="1588"/>
                <w:tab w:val="clear" w:pos="1985"/>
              </w:tabs>
              <w:overflowPunct/>
              <w:spacing w:before="140"/>
              <w:textAlignment w:val="auto"/>
              <w:rPr>
                <w:sz w:val="22"/>
                <w:szCs w:val="22"/>
              </w:rPr>
            </w:pPr>
            <w:r w:rsidRPr="006E3081">
              <w:rPr>
                <w:sz w:val="22"/>
                <w:szCs w:val="22"/>
              </w:rPr>
              <w:t xml:space="preserve">Séries des Recommandations UIT-R </w:t>
            </w:r>
          </w:p>
          <w:p w14:paraId="3BBD755E" w14:textId="0997C5CD"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E3081">
              <w:rPr>
                <w:b w:val="0"/>
                <w:sz w:val="18"/>
                <w:szCs w:val="18"/>
              </w:rPr>
              <w:t>(</w:t>
            </w:r>
            <w:r w:rsidR="00206EE7" w:rsidRPr="006E3081">
              <w:rPr>
                <w:b w:val="0"/>
                <w:sz w:val="18"/>
                <w:szCs w:val="18"/>
              </w:rPr>
              <w:t>Également</w:t>
            </w:r>
            <w:r w:rsidRPr="006E3081">
              <w:rPr>
                <w:b w:val="0"/>
                <w:sz w:val="18"/>
                <w:szCs w:val="18"/>
              </w:rPr>
              <w:t xml:space="preserve"> disponible en ligne: </w:t>
            </w:r>
            <w:hyperlink r:id="rId10" w:history="1">
              <w:r w:rsidRPr="006E3081">
                <w:rPr>
                  <w:rStyle w:val="Hyperlink"/>
                  <w:b w:val="0"/>
                  <w:bCs/>
                  <w:sz w:val="18"/>
                  <w:szCs w:val="18"/>
                </w:rPr>
                <w:t>http://www.itu.int/publ/R-REC/fr</w:t>
              </w:r>
            </w:hyperlink>
            <w:r w:rsidRPr="006E3081">
              <w:rPr>
                <w:b w:val="0"/>
                <w:bCs/>
                <w:sz w:val="18"/>
                <w:szCs w:val="18"/>
              </w:rPr>
              <w:t>)</w:t>
            </w:r>
          </w:p>
        </w:tc>
      </w:tr>
      <w:tr w:rsidR="0080052A" w:rsidRPr="006E3081" w14:paraId="68D3FCEE" w14:textId="77777777" w:rsidTr="00DB2516">
        <w:tc>
          <w:tcPr>
            <w:tcW w:w="1140" w:type="dxa"/>
          </w:tcPr>
          <w:p w14:paraId="024A519C" w14:textId="77777777" w:rsidR="0080052A" w:rsidRPr="006E3081" w:rsidRDefault="0080052A" w:rsidP="00341768">
            <w:pPr>
              <w:spacing w:before="90" w:after="100"/>
              <w:ind w:left="57"/>
              <w:rPr>
                <w:b/>
                <w:bCs/>
                <w:sz w:val="20"/>
              </w:rPr>
            </w:pPr>
            <w:r w:rsidRPr="006E3081">
              <w:rPr>
                <w:b/>
                <w:bCs/>
                <w:sz w:val="20"/>
              </w:rPr>
              <w:t>Séries</w:t>
            </w:r>
          </w:p>
        </w:tc>
        <w:tc>
          <w:tcPr>
            <w:tcW w:w="8220" w:type="dxa"/>
          </w:tcPr>
          <w:p w14:paraId="782970A9" w14:textId="77777777"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E3081">
              <w:rPr>
                <w:bCs/>
                <w:sz w:val="20"/>
              </w:rPr>
              <w:t>Titre</w:t>
            </w:r>
          </w:p>
        </w:tc>
      </w:tr>
      <w:tr w:rsidR="0080052A" w:rsidRPr="006E3081" w14:paraId="2F6B59DE" w14:textId="77777777" w:rsidTr="00DB2516">
        <w:tc>
          <w:tcPr>
            <w:tcW w:w="1140" w:type="dxa"/>
            <w:tcBorders>
              <w:bottom w:val="nil"/>
            </w:tcBorders>
          </w:tcPr>
          <w:p w14:paraId="279B18D8" w14:textId="77777777" w:rsidR="0080052A" w:rsidRPr="006E3081" w:rsidRDefault="0080052A" w:rsidP="00341768">
            <w:pPr>
              <w:spacing w:before="30" w:after="30"/>
              <w:ind w:left="57"/>
              <w:rPr>
                <w:b/>
                <w:bCs/>
                <w:sz w:val="20"/>
              </w:rPr>
            </w:pPr>
            <w:r w:rsidRPr="006E3081">
              <w:rPr>
                <w:b/>
                <w:bCs/>
                <w:sz w:val="20"/>
              </w:rPr>
              <w:t>BO</w:t>
            </w:r>
          </w:p>
        </w:tc>
        <w:tc>
          <w:tcPr>
            <w:tcW w:w="8220" w:type="dxa"/>
            <w:tcBorders>
              <w:bottom w:val="nil"/>
            </w:tcBorders>
          </w:tcPr>
          <w:p w14:paraId="0414DCE8" w14:textId="77777777"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E3081">
              <w:rPr>
                <w:b w:val="0"/>
                <w:bCs/>
                <w:sz w:val="20"/>
              </w:rPr>
              <w:t>Diffusion par satellite</w:t>
            </w:r>
          </w:p>
        </w:tc>
      </w:tr>
      <w:tr w:rsidR="0080052A" w:rsidRPr="006E3081" w14:paraId="46C263A0" w14:textId="77777777" w:rsidTr="00DB2516">
        <w:tc>
          <w:tcPr>
            <w:tcW w:w="1140" w:type="dxa"/>
            <w:tcBorders>
              <w:top w:val="nil"/>
              <w:bottom w:val="nil"/>
            </w:tcBorders>
            <w:shd w:val="clear" w:color="auto" w:fill="auto"/>
          </w:tcPr>
          <w:p w14:paraId="44636C38" w14:textId="77777777" w:rsidR="0080052A" w:rsidRPr="006E3081" w:rsidRDefault="0080052A" w:rsidP="00341768">
            <w:pPr>
              <w:spacing w:before="30" w:after="30"/>
              <w:ind w:left="57"/>
              <w:rPr>
                <w:rFonts w:ascii="Times New Roman Bold" w:hAnsi="Times New Roman Bold" w:cs="Times New Roman Bold"/>
                <w:sz w:val="20"/>
              </w:rPr>
            </w:pPr>
            <w:r w:rsidRPr="006E3081">
              <w:rPr>
                <w:rFonts w:ascii="Times New Roman Bold" w:hAnsi="Times New Roman Bold" w:cs="Times New Roman Bold"/>
                <w:sz w:val="20"/>
              </w:rPr>
              <w:t>BR</w:t>
            </w:r>
          </w:p>
        </w:tc>
        <w:tc>
          <w:tcPr>
            <w:tcW w:w="8220" w:type="dxa"/>
            <w:tcBorders>
              <w:top w:val="nil"/>
              <w:bottom w:val="nil"/>
            </w:tcBorders>
            <w:shd w:val="clear" w:color="auto" w:fill="auto"/>
          </w:tcPr>
          <w:p w14:paraId="353B80A1" w14:textId="77777777"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6E3081">
              <w:rPr>
                <w:rFonts w:hAnsi="Times New Roman Bold"/>
                <w:b w:val="0"/>
                <w:sz w:val="20"/>
              </w:rPr>
              <w:t>Enregistrement pour la production, l'archivage et la diffusion; films pour la t</w:t>
            </w:r>
            <w:r w:rsidRPr="006E3081">
              <w:rPr>
                <w:rFonts w:hAnsi="Times New Roman Bold"/>
                <w:b w:val="0"/>
                <w:sz w:val="20"/>
              </w:rPr>
              <w:t>é</w:t>
            </w:r>
            <w:r w:rsidRPr="006E3081">
              <w:rPr>
                <w:rFonts w:hAnsi="Times New Roman Bold"/>
                <w:b w:val="0"/>
                <w:sz w:val="20"/>
              </w:rPr>
              <w:t>l</w:t>
            </w:r>
            <w:r w:rsidRPr="006E3081">
              <w:rPr>
                <w:rFonts w:hAnsi="Times New Roman Bold"/>
                <w:b w:val="0"/>
                <w:sz w:val="20"/>
              </w:rPr>
              <w:t>é</w:t>
            </w:r>
            <w:r w:rsidRPr="006E3081">
              <w:rPr>
                <w:rFonts w:hAnsi="Times New Roman Bold"/>
                <w:b w:val="0"/>
                <w:sz w:val="20"/>
              </w:rPr>
              <w:t>vision</w:t>
            </w:r>
          </w:p>
        </w:tc>
      </w:tr>
      <w:tr w:rsidR="0080052A" w:rsidRPr="006E3081" w14:paraId="037451CE" w14:textId="77777777" w:rsidTr="00DB2516">
        <w:tc>
          <w:tcPr>
            <w:tcW w:w="1140" w:type="dxa"/>
            <w:tcBorders>
              <w:top w:val="nil"/>
              <w:bottom w:val="nil"/>
            </w:tcBorders>
          </w:tcPr>
          <w:p w14:paraId="2A74C160" w14:textId="77777777" w:rsidR="0080052A" w:rsidRPr="006E3081" w:rsidRDefault="0080052A" w:rsidP="00341768">
            <w:pPr>
              <w:spacing w:before="30" w:after="30"/>
              <w:ind w:left="57"/>
              <w:rPr>
                <w:b/>
                <w:bCs/>
                <w:sz w:val="20"/>
              </w:rPr>
            </w:pPr>
            <w:r w:rsidRPr="006E3081">
              <w:rPr>
                <w:b/>
                <w:bCs/>
                <w:sz w:val="20"/>
              </w:rPr>
              <w:t>BS</w:t>
            </w:r>
          </w:p>
        </w:tc>
        <w:tc>
          <w:tcPr>
            <w:tcW w:w="8220" w:type="dxa"/>
            <w:tcBorders>
              <w:top w:val="nil"/>
              <w:bottom w:val="nil"/>
            </w:tcBorders>
          </w:tcPr>
          <w:p w14:paraId="5C2B47F4" w14:textId="77777777"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E3081">
              <w:rPr>
                <w:b w:val="0"/>
                <w:bCs/>
                <w:sz w:val="20"/>
              </w:rPr>
              <w:t>Service de radiodiffusion sonore</w:t>
            </w:r>
          </w:p>
        </w:tc>
      </w:tr>
      <w:tr w:rsidR="0080052A" w:rsidRPr="006E3081" w14:paraId="6849CBA5" w14:textId="77777777" w:rsidTr="00DB2516">
        <w:tc>
          <w:tcPr>
            <w:tcW w:w="1140" w:type="dxa"/>
            <w:tcBorders>
              <w:top w:val="nil"/>
              <w:bottom w:val="nil"/>
            </w:tcBorders>
            <w:shd w:val="clear" w:color="auto" w:fill="F3F3F3"/>
          </w:tcPr>
          <w:p w14:paraId="20731079" w14:textId="77777777" w:rsidR="0080052A" w:rsidRPr="006E3081" w:rsidRDefault="0080052A" w:rsidP="00341768">
            <w:pPr>
              <w:spacing w:before="30" w:after="30"/>
              <w:ind w:left="57"/>
              <w:rPr>
                <w:rFonts w:ascii="Times New Roman Bold" w:hAnsi="Times New Roman Bold" w:cs="Times New Roman Bold"/>
                <w:b/>
                <w:bCs/>
                <w:color w:val="243285"/>
                <w:sz w:val="20"/>
              </w:rPr>
            </w:pPr>
            <w:r w:rsidRPr="006E3081">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794BB41E" w14:textId="77777777"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6E3081">
              <w:rPr>
                <w:rFonts w:ascii="Times New Roman Bold" w:hAnsi="Times New Roman Bold" w:cs="Times New Roman Bold"/>
                <w:bCs/>
                <w:color w:val="243285"/>
                <w:sz w:val="20"/>
              </w:rPr>
              <w:t>Service de radiodiffusion télévisuelle</w:t>
            </w:r>
          </w:p>
        </w:tc>
      </w:tr>
      <w:tr w:rsidR="0080052A" w:rsidRPr="006E3081" w14:paraId="53B7BF93" w14:textId="77777777" w:rsidTr="00DB2516">
        <w:tc>
          <w:tcPr>
            <w:tcW w:w="1140" w:type="dxa"/>
            <w:tcBorders>
              <w:top w:val="nil"/>
              <w:bottom w:val="nil"/>
            </w:tcBorders>
            <w:shd w:val="clear" w:color="auto" w:fill="auto"/>
          </w:tcPr>
          <w:p w14:paraId="721676BE" w14:textId="77777777" w:rsidR="0080052A" w:rsidRPr="006E3081" w:rsidRDefault="0080052A" w:rsidP="00341768">
            <w:pPr>
              <w:spacing w:before="30" w:after="30"/>
              <w:ind w:left="57"/>
              <w:rPr>
                <w:b/>
                <w:bCs/>
                <w:sz w:val="20"/>
              </w:rPr>
            </w:pPr>
            <w:r w:rsidRPr="006E3081">
              <w:rPr>
                <w:b/>
                <w:bCs/>
                <w:sz w:val="20"/>
              </w:rPr>
              <w:t>F</w:t>
            </w:r>
          </w:p>
        </w:tc>
        <w:tc>
          <w:tcPr>
            <w:tcW w:w="8220" w:type="dxa"/>
            <w:tcBorders>
              <w:top w:val="nil"/>
              <w:bottom w:val="nil"/>
            </w:tcBorders>
            <w:shd w:val="clear" w:color="auto" w:fill="auto"/>
          </w:tcPr>
          <w:p w14:paraId="62D65640" w14:textId="77777777" w:rsidR="0080052A" w:rsidRPr="006E3081" w:rsidRDefault="0080052A" w:rsidP="003417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E3081">
              <w:rPr>
                <w:sz w:val="20"/>
              </w:rPr>
              <w:t>Service fixe</w:t>
            </w:r>
          </w:p>
        </w:tc>
      </w:tr>
      <w:tr w:rsidR="0080052A" w:rsidRPr="006E3081" w14:paraId="33178BA9" w14:textId="77777777" w:rsidTr="00DB2516">
        <w:tc>
          <w:tcPr>
            <w:tcW w:w="1140" w:type="dxa"/>
            <w:tcBorders>
              <w:top w:val="nil"/>
              <w:bottom w:val="nil"/>
            </w:tcBorders>
            <w:shd w:val="clear" w:color="auto" w:fill="auto"/>
          </w:tcPr>
          <w:p w14:paraId="4B3D3A93" w14:textId="77777777" w:rsidR="0080052A" w:rsidRPr="006E3081" w:rsidRDefault="0080052A" w:rsidP="00341768">
            <w:pPr>
              <w:spacing w:before="30" w:after="30"/>
              <w:ind w:left="57"/>
              <w:rPr>
                <w:b/>
                <w:bCs/>
                <w:sz w:val="20"/>
              </w:rPr>
            </w:pPr>
            <w:r w:rsidRPr="006E3081">
              <w:rPr>
                <w:b/>
                <w:bCs/>
                <w:sz w:val="20"/>
              </w:rPr>
              <w:t>M</w:t>
            </w:r>
          </w:p>
        </w:tc>
        <w:tc>
          <w:tcPr>
            <w:tcW w:w="8220" w:type="dxa"/>
            <w:tcBorders>
              <w:top w:val="nil"/>
              <w:bottom w:val="nil"/>
            </w:tcBorders>
            <w:shd w:val="clear" w:color="auto" w:fill="auto"/>
          </w:tcPr>
          <w:p w14:paraId="06FD00E2" w14:textId="77777777" w:rsidR="0080052A" w:rsidRPr="006E3081" w:rsidRDefault="0080052A" w:rsidP="003417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E3081">
              <w:rPr>
                <w:b w:val="0"/>
                <w:sz w:val="20"/>
              </w:rPr>
              <w:t>Services mobile, de radiorepérage et d'amateur y compris les services par satellite associés</w:t>
            </w:r>
          </w:p>
        </w:tc>
      </w:tr>
      <w:tr w:rsidR="0080052A" w:rsidRPr="006E3081" w14:paraId="27CDF379" w14:textId="77777777" w:rsidTr="00DB2516">
        <w:tc>
          <w:tcPr>
            <w:tcW w:w="1140" w:type="dxa"/>
            <w:tcBorders>
              <w:top w:val="nil"/>
            </w:tcBorders>
          </w:tcPr>
          <w:p w14:paraId="295596A8" w14:textId="77777777" w:rsidR="0080052A" w:rsidRPr="006E3081" w:rsidRDefault="0080052A" w:rsidP="00341768">
            <w:pPr>
              <w:spacing w:before="30" w:after="30"/>
              <w:ind w:left="57"/>
              <w:rPr>
                <w:b/>
                <w:bCs/>
                <w:sz w:val="20"/>
              </w:rPr>
            </w:pPr>
            <w:r w:rsidRPr="006E3081">
              <w:rPr>
                <w:b/>
                <w:bCs/>
                <w:sz w:val="20"/>
              </w:rPr>
              <w:t>P</w:t>
            </w:r>
          </w:p>
        </w:tc>
        <w:tc>
          <w:tcPr>
            <w:tcW w:w="8220" w:type="dxa"/>
            <w:tcBorders>
              <w:top w:val="nil"/>
            </w:tcBorders>
          </w:tcPr>
          <w:p w14:paraId="538170B7" w14:textId="77777777" w:rsidR="0080052A" w:rsidRPr="006E3081" w:rsidRDefault="0080052A" w:rsidP="00341768">
            <w:pPr>
              <w:spacing w:before="30" w:after="30"/>
              <w:rPr>
                <w:sz w:val="20"/>
              </w:rPr>
            </w:pPr>
            <w:r w:rsidRPr="006E3081">
              <w:rPr>
                <w:sz w:val="20"/>
              </w:rPr>
              <w:t>Propagation des ondes radioélectriques</w:t>
            </w:r>
          </w:p>
        </w:tc>
      </w:tr>
      <w:tr w:rsidR="0080052A" w:rsidRPr="006E3081" w14:paraId="65E5337F" w14:textId="77777777" w:rsidTr="00DB2516">
        <w:tc>
          <w:tcPr>
            <w:tcW w:w="1140" w:type="dxa"/>
          </w:tcPr>
          <w:p w14:paraId="23023E61" w14:textId="77777777" w:rsidR="0080052A" w:rsidRPr="006E3081" w:rsidRDefault="0080052A" w:rsidP="00341768">
            <w:pPr>
              <w:spacing w:before="30" w:after="30"/>
              <w:ind w:left="57"/>
              <w:rPr>
                <w:b/>
                <w:bCs/>
                <w:sz w:val="20"/>
              </w:rPr>
            </w:pPr>
            <w:r w:rsidRPr="006E3081">
              <w:rPr>
                <w:b/>
                <w:bCs/>
                <w:sz w:val="20"/>
              </w:rPr>
              <w:t>RA</w:t>
            </w:r>
          </w:p>
        </w:tc>
        <w:tc>
          <w:tcPr>
            <w:tcW w:w="8220" w:type="dxa"/>
          </w:tcPr>
          <w:p w14:paraId="281FC56A" w14:textId="77777777" w:rsidR="0080052A" w:rsidRPr="006E3081" w:rsidRDefault="0080052A" w:rsidP="003417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E3081">
              <w:rPr>
                <w:sz w:val="20"/>
              </w:rPr>
              <w:t>Radio astronomie</w:t>
            </w:r>
          </w:p>
        </w:tc>
      </w:tr>
      <w:tr w:rsidR="0080052A" w:rsidRPr="006E3081" w14:paraId="72983062" w14:textId="77777777" w:rsidTr="00DB2516">
        <w:tc>
          <w:tcPr>
            <w:tcW w:w="1140" w:type="dxa"/>
          </w:tcPr>
          <w:p w14:paraId="24F56DA0" w14:textId="77777777" w:rsidR="0080052A" w:rsidRPr="006E3081" w:rsidRDefault="0080052A" w:rsidP="00341768">
            <w:pPr>
              <w:spacing w:before="30" w:after="30"/>
              <w:ind w:left="57"/>
              <w:rPr>
                <w:b/>
                <w:bCs/>
                <w:sz w:val="20"/>
              </w:rPr>
            </w:pPr>
            <w:r w:rsidRPr="006E3081">
              <w:rPr>
                <w:b/>
                <w:bCs/>
                <w:sz w:val="20"/>
              </w:rPr>
              <w:t>RS</w:t>
            </w:r>
          </w:p>
        </w:tc>
        <w:tc>
          <w:tcPr>
            <w:tcW w:w="8220" w:type="dxa"/>
          </w:tcPr>
          <w:p w14:paraId="767B4879" w14:textId="77777777" w:rsidR="0080052A" w:rsidRPr="006E3081" w:rsidRDefault="0080052A" w:rsidP="003417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E3081">
              <w:rPr>
                <w:sz w:val="20"/>
              </w:rPr>
              <w:t>Systèmes de télédétection</w:t>
            </w:r>
          </w:p>
        </w:tc>
      </w:tr>
      <w:tr w:rsidR="0080052A" w:rsidRPr="006E3081" w14:paraId="189F3A6A" w14:textId="77777777" w:rsidTr="00DB2516">
        <w:tc>
          <w:tcPr>
            <w:tcW w:w="1140" w:type="dxa"/>
          </w:tcPr>
          <w:p w14:paraId="53850521" w14:textId="77777777" w:rsidR="0080052A" w:rsidRPr="006E3081" w:rsidRDefault="0080052A" w:rsidP="00341768">
            <w:pPr>
              <w:spacing w:before="30" w:after="30"/>
              <w:ind w:left="57"/>
              <w:rPr>
                <w:b/>
                <w:bCs/>
                <w:sz w:val="20"/>
              </w:rPr>
            </w:pPr>
            <w:r w:rsidRPr="006E3081">
              <w:rPr>
                <w:b/>
                <w:bCs/>
                <w:sz w:val="20"/>
              </w:rPr>
              <w:t>S</w:t>
            </w:r>
          </w:p>
        </w:tc>
        <w:tc>
          <w:tcPr>
            <w:tcW w:w="8220" w:type="dxa"/>
          </w:tcPr>
          <w:p w14:paraId="3122A1A0" w14:textId="77777777" w:rsidR="0080052A" w:rsidRPr="006E3081" w:rsidRDefault="0080052A" w:rsidP="00341768">
            <w:pPr>
              <w:spacing w:before="30" w:after="30"/>
              <w:rPr>
                <w:sz w:val="20"/>
              </w:rPr>
            </w:pPr>
            <w:r w:rsidRPr="006E3081">
              <w:rPr>
                <w:sz w:val="20"/>
              </w:rPr>
              <w:t>Service fixe par satellite</w:t>
            </w:r>
          </w:p>
        </w:tc>
      </w:tr>
      <w:tr w:rsidR="0080052A" w:rsidRPr="006E3081" w14:paraId="37657B64" w14:textId="77777777" w:rsidTr="00DB2516">
        <w:tc>
          <w:tcPr>
            <w:tcW w:w="1140" w:type="dxa"/>
          </w:tcPr>
          <w:p w14:paraId="2F90AC55" w14:textId="77777777" w:rsidR="0080052A" w:rsidRPr="006E3081" w:rsidRDefault="0080052A" w:rsidP="00341768">
            <w:pPr>
              <w:spacing w:before="30" w:after="30"/>
              <w:ind w:left="57"/>
              <w:rPr>
                <w:b/>
                <w:bCs/>
                <w:sz w:val="20"/>
              </w:rPr>
            </w:pPr>
            <w:r w:rsidRPr="006E3081">
              <w:rPr>
                <w:b/>
                <w:bCs/>
                <w:sz w:val="20"/>
              </w:rPr>
              <w:t>SA</w:t>
            </w:r>
          </w:p>
        </w:tc>
        <w:tc>
          <w:tcPr>
            <w:tcW w:w="8220" w:type="dxa"/>
          </w:tcPr>
          <w:p w14:paraId="5C2FF8B7" w14:textId="77777777" w:rsidR="0080052A" w:rsidRPr="006E3081" w:rsidRDefault="0080052A" w:rsidP="00341768">
            <w:pPr>
              <w:spacing w:before="30" w:after="30"/>
              <w:rPr>
                <w:sz w:val="20"/>
              </w:rPr>
            </w:pPr>
            <w:r w:rsidRPr="006E3081">
              <w:rPr>
                <w:sz w:val="20"/>
              </w:rPr>
              <w:t>Applications spatiales et météorologie</w:t>
            </w:r>
          </w:p>
        </w:tc>
      </w:tr>
      <w:tr w:rsidR="0080052A" w:rsidRPr="006E3081" w14:paraId="3217B1E0" w14:textId="77777777" w:rsidTr="00DB2516">
        <w:tc>
          <w:tcPr>
            <w:tcW w:w="1140" w:type="dxa"/>
          </w:tcPr>
          <w:p w14:paraId="4B3B8F48" w14:textId="77777777" w:rsidR="0080052A" w:rsidRPr="006E3081" w:rsidRDefault="0080052A" w:rsidP="00341768">
            <w:pPr>
              <w:spacing w:before="30" w:after="30"/>
              <w:ind w:left="57"/>
              <w:rPr>
                <w:b/>
                <w:bCs/>
                <w:sz w:val="20"/>
              </w:rPr>
            </w:pPr>
            <w:r w:rsidRPr="006E3081">
              <w:rPr>
                <w:b/>
                <w:bCs/>
                <w:sz w:val="20"/>
              </w:rPr>
              <w:t>SF</w:t>
            </w:r>
          </w:p>
        </w:tc>
        <w:tc>
          <w:tcPr>
            <w:tcW w:w="8220" w:type="dxa"/>
          </w:tcPr>
          <w:p w14:paraId="46F4A2D5" w14:textId="77777777" w:rsidR="0080052A" w:rsidRPr="006E3081" w:rsidRDefault="0080052A" w:rsidP="00341768">
            <w:pPr>
              <w:spacing w:before="30" w:after="30"/>
              <w:rPr>
                <w:sz w:val="20"/>
              </w:rPr>
            </w:pPr>
            <w:r w:rsidRPr="006E3081">
              <w:rPr>
                <w:sz w:val="20"/>
              </w:rPr>
              <w:t>Partage des fréquences et coordination entre les systèmes du service fixe par satellite et du service fixe</w:t>
            </w:r>
          </w:p>
        </w:tc>
      </w:tr>
      <w:tr w:rsidR="0080052A" w:rsidRPr="006E3081" w14:paraId="55691A2F" w14:textId="77777777" w:rsidTr="00DB2516">
        <w:tc>
          <w:tcPr>
            <w:tcW w:w="1140" w:type="dxa"/>
            <w:shd w:val="clear" w:color="auto" w:fill="auto"/>
          </w:tcPr>
          <w:p w14:paraId="520FB8D0" w14:textId="77777777" w:rsidR="0080052A" w:rsidRPr="006E3081" w:rsidRDefault="0080052A" w:rsidP="00341768">
            <w:pPr>
              <w:spacing w:before="30" w:after="30"/>
              <w:ind w:left="57"/>
              <w:rPr>
                <w:b/>
                <w:bCs/>
                <w:sz w:val="20"/>
              </w:rPr>
            </w:pPr>
            <w:r w:rsidRPr="006E3081">
              <w:rPr>
                <w:b/>
                <w:bCs/>
                <w:sz w:val="20"/>
              </w:rPr>
              <w:t>SM</w:t>
            </w:r>
          </w:p>
        </w:tc>
        <w:tc>
          <w:tcPr>
            <w:tcW w:w="8220" w:type="dxa"/>
            <w:shd w:val="clear" w:color="auto" w:fill="auto"/>
          </w:tcPr>
          <w:p w14:paraId="4031E69E" w14:textId="77777777" w:rsidR="0080052A" w:rsidRPr="006E3081" w:rsidRDefault="0080052A" w:rsidP="00341768">
            <w:pPr>
              <w:spacing w:before="30" w:after="30"/>
              <w:rPr>
                <w:sz w:val="20"/>
              </w:rPr>
            </w:pPr>
            <w:r w:rsidRPr="006E3081">
              <w:rPr>
                <w:sz w:val="20"/>
              </w:rPr>
              <w:t>Gestion du spectre</w:t>
            </w:r>
          </w:p>
        </w:tc>
      </w:tr>
      <w:tr w:rsidR="0080052A" w:rsidRPr="006E3081" w14:paraId="50C5FB2C" w14:textId="77777777" w:rsidTr="00DB2516">
        <w:tc>
          <w:tcPr>
            <w:tcW w:w="1140" w:type="dxa"/>
          </w:tcPr>
          <w:p w14:paraId="3C1E4E4C" w14:textId="77777777" w:rsidR="0080052A" w:rsidRPr="006E3081" w:rsidRDefault="0080052A" w:rsidP="00341768">
            <w:pPr>
              <w:spacing w:before="30" w:after="30"/>
              <w:ind w:left="57"/>
              <w:rPr>
                <w:b/>
                <w:bCs/>
                <w:sz w:val="20"/>
              </w:rPr>
            </w:pPr>
            <w:r w:rsidRPr="006E3081">
              <w:rPr>
                <w:b/>
                <w:bCs/>
                <w:sz w:val="20"/>
              </w:rPr>
              <w:t>SNG</w:t>
            </w:r>
          </w:p>
        </w:tc>
        <w:tc>
          <w:tcPr>
            <w:tcW w:w="8220" w:type="dxa"/>
          </w:tcPr>
          <w:p w14:paraId="71AE8F8D" w14:textId="77777777" w:rsidR="0080052A" w:rsidRPr="006E3081" w:rsidRDefault="0080052A" w:rsidP="00341768">
            <w:pPr>
              <w:spacing w:before="30" w:after="30"/>
              <w:rPr>
                <w:sz w:val="20"/>
              </w:rPr>
            </w:pPr>
            <w:r w:rsidRPr="006E3081">
              <w:rPr>
                <w:sz w:val="20"/>
              </w:rPr>
              <w:t>Reportage d'actualités par satellite</w:t>
            </w:r>
          </w:p>
        </w:tc>
      </w:tr>
      <w:tr w:rsidR="0080052A" w:rsidRPr="006E3081" w14:paraId="20EF092E" w14:textId="77777777" w:rsidTr="00DB2516">
        <w:tc>
          <w:tcPr>
            <w:tcW w:w="1140" w:type="dxa"/>
          </w:tcPr>
          <w:p w14:paraId="5641B700" w14:textId="77777777" w:rsidR="0080052A" w:rsidRPr="006E3081" w:rsidRDefault="0080052A" w:rsidP="00341768">
            <w:pPr>
              <w:spacing w:before="30" w:after="30"/>
              <w:ind w:left="57"/>
              <w:rPr>
                <w:b/>
                <w:bCs/>
                <w:sz w:val="20"/>
              </w:rPr>
            </w:pPr>
            <w:r w:rsidRPr="006E3081">
              <w:rPr>
                <w:b/>
                <w:bCs/>
                <w:sz w:val="20"/>
              </w:rPr>
              <w:t>TF</w:t>
            </w:r>
          </w:p>
        </w:tc>
        <w:tc>
          <w:tcPr>
            <w:tcW w:w="8220" w:type="dxa"/>
          </w:tcPr>
          <w:p w14:paraId="32166A0B" w14:textId="7E876483" w:rsidR="0080052A" w:rsidRPr="006E3081" w:rsidRDefault="00206EE7" w:rsidP="00341768">
            <w:pPr>
              <w:spacing w:before="30" w:after="30"/>
              <w:rPr>
                <w:sz w:val="20"/>
              </w:rPr>
            </w:pPr>
            <w:r w:rsidRPr="006E3081">
              <w:rPr>
                <w:sz w:val="20"/>
              </w:rPr>
              <w:t>Émissions</w:t>
            </w:r>
            <w:r w:rsidR="0080052A" w:rsidRPr="006E3081">
              <w:rPr>
                <w:sz w:val="20"/>
              </w:rPr>
              <w:t xml:space="preserve"> de fréquences étalon et de signaux horaires</w:t>
            </w:r>
          </w:p>
        </w:tc>
      </w:tr>
      <w:tr w:rsidR="0080052A" w:rsidRPr="006E3081" w14:paraId="02E028A8" w14:textId="77777777" w:rsidTr="00DB2516">
        <w:tc>
          <w:tcPr>
            <w:tcW w:w="1140" w:type="dxa"/>
          </w:tcPr>
          <w:p w14:paraId="0D3FF3BE" w14:textId="77777777" w:rsidR="0080052A" w:rsidRPr="006E3081" w:rsidRDefault="0080052A" w:rsidP="00341768">
            <w:pPr>
              <w:spacing w:before="30" w:after="30"/>
              <w:ind w:left="57"/>
              <w:rPr>
                <w:b/>
                <w:bCs/>
                <w:sz w:val="20"/>
              </w:rPr>
            </w:pPr>
            <w:r w:rsidRPr="006E3081">
              <w:rPr>
                <w:b/>
                <w:bCs/>
                <w:sz w:val="20"/>
              </w:rPr>
              <w:t>V</w:t>
            </w:r>
          </w:p>
        </w:tc>
        <w:tc>
          <w:tcPr>
            <w:tcW w:w="8220" w:type="dxa"/>
          </w:tcPr>
          <w:p w14:paraId="6976852E" w14:textId="77777777" w:rsidR="0080052A" w:rsidRPr="006E3081" w:rsidRDefault="0080052A" w:rsidP="00341768">
            <w:pPr>
              <w:spacing w:before="30" w:after="140"/>
              <w:rPr>
                <w:sz w:val="20"/>
              </w:rPr>
            </w:pPr>
            <w:r w:rsidRPr="006E3081">
              <w:rPr>
                <w:sz w:val="20"/>
              </w:rPr>
              <w:t>Vocabulaire et sujets associés</w:t>
            </w:r>
          </w:p>
        </w:tc>
      </w:tr>
    </w:tbl>
    <w:p w14:paraId="6C845A91" w14:textId="77777777" w:rsidR="0080052A" w:rsidRPr="006E3081" w:rsidRDefault="0080052A" w:rsidP="00341768">
      <w:pPr>
        <w:spacing w:before="0"/>
        <w:jc w:val="center"/>
        <w:rPr>
          <w:sz w:val="20"/>
        </w:rPr>
      </w:pPr>
    </w:p>
    <w:p w14:paraId="2C936CF5" w14:textId="77777777" w:rsidR="0080052A" w:rsidRPr="006E3081" w:rsidRDefault="0080052A" w:rsidP="0034176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0052A" w:rsidRPr="006E3081" w14:paraId="3F91E898" w14:textId="77777777" w:rsidTr="00DB2516">
        <w:tc>
          <w:tcPr>
            <w:tcW w:w="9360" w:type="dxa"/>
          </w:tcPr>
          <w:p w14:paraId="2EC7BC5C" w14:textId="7D117869" w:rsidR="0080052A" w:rsidRPr="006E3081" w:rsidRDefault="0080052A" w:rsidP="00341768">
            <w:pPr>
              <w:spacing w:before="80" w:after="80"/>
              <w:jc w:val="left"/>
              <w:rPr>
                <w:i/>
                <w:iCs/>
                <w:sz w:val="20"/>
              </w:rPr>
            </w:pPr>
            <w:r w:rsidRPr="006E3081">
              <w:rPr>
                <w:b/>
                <w:bCs/>
                <w:i/>
                <w:iCs/>
                <w:sz w:val="20"/>
              </w:rPr>
              <w:t>Note</w:t>
            </w:r>
            <w:r w:rsidRPr="006E3081">
              <w:rPr>
                <w:i/>
                <w:iCs/>
                <w:sz w:val="20"/>
              </w:rPr>
              <w:t>: Cette Recommandation UIT-R a été approuvée en anglais aux termes de la procédure détaillée dans la</w:t>
            </w:r>
            <w:r w:rsidR="00341768" w:rsidRPr="006E3081">
              <w:rPr>
                <w:i/>
                <w:iCs/>
                <w:sz w:val="20"/>
              </w:rPr>
              <w:t xml:space="preserve"> </w:t>
            </w:r>
            <w:r w:rsidRPr="006E3081">
              <w:rPr>
                <w:i/>
                <w:iCs/>
                <w:sz w:val="20"/>
              </w:rPr>
              <w:t xml:space="preserve">Résolution UIT-R 1. </w:t>
            </w:r>
          </w:p>
        </w:tc>
      </w:tr>
    </w:tbl>
    <w:p w14:paraId="5B94DA85" w14:textId="77777777" w:rsidR="0080052A" w:rsidRPr="006E3081" w:rsidRDefault="0080052A" w:rsidP="00341768">
      <w:pPr>
        <w:spacing w:before="0"/>
        <w:jc w:val="center"/>
        <w:rPr>
          <w:sz w:val="22"/>
        </w:rPr>
      </w:pPr>
    </w:p>
    <w:p w14:paraId="78900F35" w14:textId="77777777" w:rsidR="0080052A" w:rsidRPr="006E3081" w:rsidRDefault="0080052A" w:rsidP="00341768">
      <w:pPr>
        <w:spacing w:before="100"/>
        <w:jc w:val="right"/>
        <w:rPr>
          <w:i/>
          <w:iCs/>
          <w:sz w:val="20"/>
        </w:rPr>
      </w:pPr>
      <w:r w:rsidRPr="006E3081">
        <w:rPr>
          <w:i/>
          <w:iCs/>
          <w:sz w:val="20"/>
        </w:rPr>
        <w:t>Publication électronique</w:t>
      </w:r>
    </w:p>
    <w:p w14:paraId="49A45DDD" w14:textId="47787E8C" w:rsidR="0080052A" w:rsidRPr="006E3081" w:rsidRDefault="0080052A" w:rsidP="00341768">
      <w:pPr>
        <w:spacing w:before="0"/>
        <w:jc w:val="right"/>
        <w:rPr>
          <w:sz w:val="20"/>
        </w:rPr>
      </w:pPr>
      <w:r w:rsidRPr="006E3081">
        <w:rPr>
          <w:sz w:val="20"/>
        </w:rPr>
        <w:t>Genève, 20</w:t>
      </w:r>
      <w:r w:rsidR="007F43CB" w:rsidRPr="006E3081">
        <w:rPr>
          <w:sz w:val="20"/>
        </w:rPr>
        <w:t>2</w:t>
      </w:r>
      <w:r w:rsidR="0050078E" w:rsidRPr="006E3081">
        <w:rPr>
          <w:sz w:val="20"/>
        </w:rPr>
        <w:t>2</w:t>
      </w:r>
    </w:p>
    <w:p w14:paraId="41B1B9A2" w14:textId="255C13C7" w:rsidR="0080052A" w:rsidRPr="006E3081" w:rsidRDefault="0080052A" w:rsidP="00341768">
      <w:pPr>
        <w:spacing w:before="200"/>
        <w:jc w:val="center"/>
        <w:rPr>
          <w:sz w:val="20"/>
        </w:rPr>
      </w:pPr>
      <w:r w:rsidRPr="006E3081">
        <w:rPr>
          <w:sz w:val="20"/>
        </w:rPr>
        <w:sym w:font="Symbol" w:char="F0E3"/>
      </w:r>
      <w:r w:rsidRPr="006E3081">
        <w:rPr>
          <w:sz w:val="20"/>
        </w:rPr>
        <w:t xml:space="preserve"> UIT </w:t>
      </w:r>
      <w:bookmarkStart w:id="3" w:name="iiannee"/>
      <w:bookmarkEnd w:id="3"/>
      <w:r w:rsidRPr="006E3081">
        <w:rPr>
          <w:sz w:val="20"/>
        </w:rPr>
        <w:t>20</w:t>
      </w:r>
      <w:r w:rsidR="007F43CB" w:rsidRPr="006E3081">
        <w:rPr>
          <w:sz w:val="20"/>
        </w:rPr>
        <w:t>2</w:t>
      </w:r>
      <w:r w:rsidR="0050078E" w:rsidRPr="006E3081">
        <w:rPr>
          <w:sz w:val="20"/>
        </w:rPr>
        <w:t>2</w:t>
      </w:r>
    </w:p>
    <w:p w14:paraId="5A2B473A" w14:textId="2F15DF5E" w:rsidR="0080052A" w:rsidRPr="006E3081" w:rsidRDefault="0080052A" w:rsidP="00341768">
      <w:pPr>
        <w:rPr>
          <w:sz w:val="18"/>
          <w:szCs w:val="18"/>
        </w:rPr>
      </w:pPr>
      <w:r w:rsidRPr="006E3081">
        <w:rPr>
          <w:sz w:val="18"/>
          <w:szCs w:val="18"/>
        </w:rPr>
        <w:t>Tous droits réservés. Aucune partie de cette publication ne peut être reproduite, par quelque procédé que ce soit, sans l</w:t>
      </w:r>
      <w:r w:rsidR="00E116A1" w:rsidRPr="006E3081">
        <w:rPr>
          <w:sz w:val="18"/>
          <w:szCs w:val="18"/>
        </w:rPr>
        <w:t>'</w:t>
      </w:r>
      <w:r w:rsidRPr="006E3081">
        <w:rPr>
          <w:sz w:val="18"/>
          <w:szCs w:val="18"/>
        </w:rPr>
        <w:t>accord écrit préalable de l</w:t>
      </w:r>
      <w:r w:rsidR="00E116A1" w:rsidRPr="006E3081">
        <w:rPr>
          <w:sz w:val="18"/>
          <w:szCs w:val="18"/>
        </w:rPr>
        <w:t>'</w:t>
      </w:r>
      <w:r w:rsidRPr="006E3081">
        <w:rPr>
          <w:sz w:val="18"/>
          <w:szCs w:val="18"/>
        </w:rPr>
        <w:t>UIT.</w:t>
      </w:r>
    </w:p>
    <w:p w14:paraId="495871EF" w14:textId="77777777" w:rsidR="0080052A" w:rsidRPr="006E3081" w:rsidRDefault="0080052A" w:rsidP="00341768">
      <w:pPr>
        <w:spacing w:before="160"/>
        <w:rPr>
          <w:i/>
          <w:sz w:val="20"/>
          <w:highlight w:val="yellow"/>
        </w:rPr>
        <w:sectPr w:rsidR="0080052A" w:rsidRPr="006E3081" w:rsidSect="00DB2516">
          <w:headerReference w:type="even" r:id="rId11"/>
          <w:headerReference w:type="default" r:id="rId12"/>
          <w:pgSz w:w="11907" w:h="16834" w:code="9"/>
          <w:pgMar w:top="1418" w:right="1134" w:bottom="1134" w:left="1134" w:header="720" w:footer="482" w:gutter="0"/>
          <w:pgNumType w:fmt="lowerRoman" w:start="2"/>
          <w:cols w:space="720"/>
        </w:sectPr>
      </w:pPr>
    </w:p>
    <w:p w14:paraId="6117ACF2" w14:textId="5E31D4FE" w:rsidR="0080052A" w:rsidRPr="006E3081" w:rsidRDefault="0080052A" w:rsidP="00341768">
      <w:pPr>
        <w:pStyle w:val="RecNo"/>
        <w:spacing w:before="0"/>
      </w:pPr>
      <w:bookmarkStart w:id="4" w:name="irecnoe"/>
      <w:bookmarkEnd w:id="4"/>
      <w:r w:rsidRPr="006E3081">
        <w:lastRenderedPageBreak/>
        <w:t xml:space="preserve">RECOMMANDATION  </w:t>
      </w:r>
      <w:r w:rsidRPr="006E3081">
        <w:rPr>
          <w:rStyle w:val="href"/>
        </w:rPr>
        <w:t>UIT-R  BT</w:t>
      </w:r>
      <w:bookmarkEnd w:id="0"/>
      <w:r w:rsidRPr="006E3081">
        <w:rPr>
          <w:rStyle w:val="href"/>
        </w:rPr>
        <w:t>.</w:t>
      </w:r>
      <w:r w:rsidR="00564BF7" w:rsidRPr="006E3081">
        <w:rPr>
          <w:rStyle w:val="href"/>
        </w:rPr>
        <w:t>21</w:t>
      </w:r>
      <w:r w:rsidR="0050078E" w:rsidRPr="006E3081">
        <w:rPr>
          <w:rStyle w:val="href"/>
        </w:rPr>
        <w:t>44</w:t>
      </w:r>
      <w:r w:rsidR="00564BF7" w:rsidRPr="006E3081">
        <w:rPr>
          <w:rStyle w:val="href"/>
        </w:rPr>
        <w:t>-0</w:t>
      </w:r>
    </w:p>
    <w:p w14:paraId="6452B8EC" w14:textId="366C71DC" w:rsidR="000B7728" w:rsidRPr="006E3081" w:rsidRDefault="002F1FCA" w:rsidP="00341768">
      <w:pPr>
        <w:pStyle w:val="Rectitle"/>
      </w:pPr>
      <w:r w:rsidRPr="006E3081">
        <w:t>Lignes directrices pour l'introduction de nouveaux systèmes et de nouvelles technologies et applications DTTB dans le service de radiodiffusion</w:t>
      </w:r>
    </w:p>
    <w:p w14:paraId="5A28DF71" w14:textId="7958CF2C" w:rsidR="00DD5DF6" w:rsidRPr="006E3081" w:rsidRDefault="00DD5DF6" w:rsidP="00341768">
      <w:pPr>
        <w:pStyle w:val="Recdate"/>
        <w:rPr>
          <w:lang w:eastAsia="zh-CN"/>
        </w:rPr>
      </w:pPr>
      <w:r w:rsidRPr="006E3081">
        <w:rPr>
          <w:lang w:eastAsia="zh-CN"/>
        </w:rPr>
        <w:t>(</w:t>
      </w:r>
      <w:r w:rsidR="00955101" w:rsidRPr="006E3081">
        <w:rPr>
          <w:lang w:eastAsia="zh-CN"/>
        </w:rPr>
        <w:t>2022</w:t>
      </w:r>
      <w:r w:rsidRPr="006E3081">
        <w:rPr>
          <w:lang w:eastAsia="zh-CN"/>
        </w:rPr>
        <w:t>)</w:t>
      </w:r>
    </w:p>
    <w:p w14:paraId="75FE58B8" w14:textId="77777777" w:rsidR="000B7728" w:rsidRPr="006E3081" w:rsidRDefault="000B7728" w:rsidP="00341768">
      <w:pPr>
        <w:pStyle w:val="HeadingSum"/>
        <w:rPr>
          <w:lang w:val="fr-FR"/>
        </w:rPr>
      </w:pPr>
      <w:r w:rsidRPr="006E3081">
        <w:rPr>
          <w:lang w:val="fr-FR"/>
        </w:rPr>
        <w:t>Domaine d'application</w:t>
      </w:r>
    </w:p>
    <w:p w14:paraId="399E75C4" w14:textId="5F10CB69" w:rsidR="000B7728" w:rsidRPr="006E3081" w:rsidRDefault="0050078E" w:rsidP="00BF21E5">
      <w:pPr>
        <w:pStyle w:val="Summary"/>
      </w:pPr>
      <w:r w:rsidRPr="006E3081">
        <w:t>Ce</w:t>
      </w:r>
      <w:r w:rsidR="00955101" w:rsidRPr="006E3081">
        <w:t>tte</w:t>
      </w:r>
      <w:r w:rsidRPr="006E3081">
        <w:t xml:space="preserve"> Recommandation propose des lignes directrices pour l'introduction de nouveaux systèmes et de nouvelles technologies et applications de radiodiffusion télévisuelle numérique de Terre (DTTB, </w:t>
      </w:r>
      <w:r w:rsidRPr="006E3081">
        <w:rPr>
          <w:i/>
          <w:iCs/>
        </w:rPr>
        <w:t>digital terrestrial television broadcasting</w:t>
      </w:r>
      <w:r w:rsidRPr="006E3081">
        <w:t>) dans le service de radiodiffusion. Une méthode adéquate peut être choisie en fonction des exigences et de la situation dans un pays ou une région donné.</w:t>
      </w:r>
    </w:p>
    <w:p w14:paraId="0888CAA9" w14:textId="4D2C3150" w:rsidR="008C1E2C" w:rsidRPr="006E3081" w:rsidRDefault="008C1E2C" w:rsidP="00341768">
      <w:pPr>
        <w:pStyle w:val="Headingb"/>
      </w:pPr>
      <w:r w:rsidRPr="006E3081">
        <w:t>Mots clés</w:t>
      </w:r>
    </w:p>
    <w:p w14:paraId="02D36B0C" w14:textId="7D8C14D5" w:rsidR="008C1E2C" w:rsidRPr="006E3081" w:rsidRDefault="00955101" w:rsidP="00341768">
      <w:pPr>
        <w:tabs>
          <w:tab w:val="left" w:pos="3617"/>
        </w:tabs>
      </w:pPr>
      <w:r w:rsidRPr="006E3081">
        <w:t>Radiodiffusion télévisuelle numérique de Terre</w:t>
      </w:r>
      <w:r w:rsidR="0050078E" w:rsidRPr="006E3081">
        <w:rPr>
          <w:lang w:eastAsia="ja-JP"/>
        </w:rPr>
        <w:t xml:space="preserve">, introduction </w:t>
      </w:r>
      <w:r w:rsidR="0025427C" w:rsidRPr="006E3081">
        <w:rPr>
          <w:lang w:eastAsia="ja-JP"/>
        </w:rPr>
        <w:t>de nouveaux systèmes</w:t>
      </w:r>
    </w:p>
    <w:p w14:paraId="5964D11D" w14:textId="48606FE5" w:rsidR="0050078E" w:rsidRPr="006E3081" w:rsidRDefault="0050078E" w:rsidP="00341768">
      <w:pPr>
        <w:pStyle w:val="Headingb"/>
      </w:pPr>
      <w:r w:rsidRPr="006E3081">
        <w:t>Abréviations/</w:t>
      </w:r>
      <w:r w:rsidR="0025427C" w:rsidRPr="006E3081">
        <w:t>Glossaire</w:t>
      </w:r>
    </w:p>
    <w:p w14:paraId="3AD80896" w14:textId="490D5A77" w:rsidR="0050078E" w:rsidRPr="006E3081" w:rsidRDefault="0050078E" w:rsidP="00341768">
      <w:pPr>
        <w:tabs>
          <w:tab w:val="clear" w:pos="794"/>
          <w:tab w:val="clear" w:pos="1191"/>
        </w:tabs>
      </w:pPr>
      <w:r w:rsidRPr="006E3081">
        <w:rPr>
          <w:i/>
          <w:iCs/>
          <w:lang w:eastAsia="ja-JP"/>
        </w:rPr>
        <w:t>C</w:t>
      </w:r>
      <w:r w:rsidRPr="006E3081">
        <w:rPr>
          <w:lang w:eastAsia="ja-JP"/>
        </w:rPr>
        <w:t>/</w:t>
      </w:r>
      <w:r w:rsidRPr="006E3081">
        <w:rPr>
          <w:i/>
          <w:iCs/>
          <w:lang w:eastAsia="ja-JP"/>
        </w:rPr>
        <w:t>N</w:t>
      </w:r>
      <w:r w:rsidRPr="006E3081">
        <w:tab/>
      </w:r>
      <w:r w:rsidR="003A57E7" w:rsidRPr="006E3081">
        <w:t>rapport porteuse/bruit (</w:t>
      </w:r>
      <w:r w:rsidR="003A57E7" w:rsidRPr="006E3081">
        <w:rPr>
          <w:i/>
          <w:iCs/>
        </w:rPr>
        <w:t>carrier-to-noise ratio</w:t>
      </w:r>
      <w:r w:rsidR="003A57E7" w:rsidRPr="006E3081">
        <w:t>)</w:t>
      </w:r>
    </w:p>
    <w:p w14:paraId="0CCE312C" w14:textId="7669AFEE" w:rsidR="0050078E" w:rsidRPr="006E3081" w:rsidRDefault="0050078E" w:rsidP="003A57E7">
      <w:pPr>
        <w:tabs>
          <w:tab w:val="clear" w:pos="794"/>
          <w:tab w:val="clear" w:pos="1191"/>
        </w:tabs>
        <w:ind w:left="1588" w:hanging="1588"/>
        <w:jc w:val="left"/>
      </w:pPr>
      <w:r w:rsidRPr="006E3081">
        <w:t>DTTB</w:t>
      </w:r>
      <w:r w:rsidRPr="006E3081">
        <w:tab/>
      </w:r>
      <w:r w:rsidR="003A57E7" w:rsidRPr="006E3081">
        <w:t>radiodiffusion télévisuelle numérique de Terre (</w:t>
      </w:r>
      <w:r w:rsidR="003A57E7" w:rsidRPr="006E3081">
        <w:rPr>
          <w:i/>
          <w:iCs/>
        </w:rPr>
        <w:t>digital terrestrial television broadcasting</w:t>
      </w:r>
      <w:r w:rsidR="003A57E7" w:rsidRPr="006E3081">
        <w:t>)</w:t>
      </w:r>
    </w:p>
    <w:p w14:paraId="7FFB230B" w14:textId="36F0AE01" w:rsidR="0050078E" w:rsidRPr="006E3081" w:rsidRDefault="0050078E" w:rsidP="00341768">
      <w:pPr>
        <w:tabs>
          <w:tab w:val="clear" w:pos="794"/>
          <w:tab w:val="clear" w:pos="1191"/>
        </w:tabs>
      </w:pPr>
      <w:r w:rsidRPr="006E3081">
        <w:t>IBB</w:t>
      </w:r>
      <w:r w:rsidRPr="006E3081">
        <w:tab/>
      </w:r>
      <w:r w:rsidR="003A57E7" w:rsidRPr="006E3081">
        <w:t>système intégré de radiodiffusion et large bande (</w:t>
      </w:r>
      <w:r w:rsidR="003A57E7" w:rsidRPr="006E3081">
        <w:rPr>
          <w:i/>
          <w:iCs/>
        </w:rPr>
        <w:t>integrated broadcast-broadband</w:t>
      </w:r>
      <w:r w:rsidR="003A57E7" w:rsidRPr="006E3081">
        <w:t>)</w:t>
      </w:r>
    </w:p>
    <w:p w14:paraId="607C691C" w14:textId="44A123C9" w:rsidR="0050078E" w:rsidRPr="006E3081" w:rsidRDefault="0050078E" w:rsidP="00341768">
      <w:pPr>
        <w:tabs>
          <w:tab w:val="clear" w:pos="794"/>
          <w:tab w:val="clear" w:pos="1191"/>
        </w:tabs>
      </w:pPr>
      <w:r w:rsidRPr="006E3081">
        <w:t>LDM</w:t>
      </w:r>
      <w:r w:rsidRPr="006E3081">
        <w:tab/>
      </w:r>
      <w:r w:rsidR="003A57E7" w:rsidRPr="006E3081">
        <w:t>multiplexage par répartition en couches (</w:t>
      </w:r>
      <w:r w:rsidR="003A57E7" w:rsidRPr="006E3081">
        <w:rPr>
          <w:i/>
          <w:iCs/>
        </w:rPr>
        <w:t>layered-division multiplexing</w:t>
      </w:r>
      <w:r w:rsidR="003A57E7" w:rsidRPr="006E3081">
        <w:t>)</w:t>
      </w:r>
    </w:p>
    <w:p w14:paraId="1FD94ACA" w14:textId="5AE60A93" w:rsidR="0050078E" w:rsidRPr="006E3081" w:rsidRDefault="0050078E" w:rsidP="00341768">
      <w:pPr>
        <w:tabs>
          <w:tab w:val="clear" w:pos="794"/>
          <w:tab w:val="clear" w:pos="1191"/>
        </w:tabs>
      </w:pPr>
      <w:r w:rsidRPr="006E3081">
        <w:t>MFN</w:t>
      </w:r>
      <w:r w:rsidRPr="006E3081">
        <w:tab/>
      </w:r>
      <w:r w:rsidR="003A57E7" w:rsidRPr="006E3081">
        <w:t>réseau multifréquence (</w:t>
      </w:r>
      <w:r w:rsidR="003A57E7" w:rsidRPr="006E3081">
        <w:rPr>
          <w:i/>
          <w:iCs/>
        </w:rPr>
        <w:t>multi-frequency network</w:t>
      </w:r>
      <w:r w:rsidR="003A57E7" w:rsidRPr="006E3081">
        <w:t>)</w:t>
      </w:r>
    </w:p>
    <w:p w14:paraId="6E16E545" w14:textId="5DA35187" w:rsidR="0050078E" w:rsidRPr="006E3081" w:rsidRDefault="0050078E" w:rsidP="00341768">
      <w:pPr>
        <w:tabs>
          <w:tab w:val="clear" w:pos="794"/>
          <w:tab w:val="clear" w:pos="1191"/>
        </w:tabs>
      </w:pPr>
      <w:r w:rsidRPr="006E3081">
        <w:t>MIMO</w:t>
      </w:r>
      <w:r w:rsidRPr="006E3081">
        <w:tab/>
      </w:r>
      <w:r w:rsidR="003A57E7" w:rsidRPr="006E3081">
        <w:t>système à entrées multiples et sorties multiples (</w:t>
      </w:r>
      <w:r w:rsidR="003A57E7" w:rsidRPr="006E3081">
        <w:rPr>
          <w:i/>
          <w:iCs/>
        </w:rPr>
        <w:t>multiple-input multiple-output</w:t>
      </w:r>
      <w:r w:rsidR="003A57E7" w:rsidRPr="006E3081">
        <w:t>)</w:t>
      </w:r>
    </w:p>
    <w:p w14:paraId="426E4A11" w14:textId="0E8B2F61" w:rsidR="000C21CA" w:rsidRPr="006E3081" w:rsidRDefault="0050078E" w:rsidP="00341768">
      <w:pPr>
        <w:tabs>
          <w:tab w:val="clear" w:pos="794"/>
          <w:tab w:val="clear" w:pos="1191"/>
        </w:tabs>
      </w:pPr>
      <w:r w:rsidRPr="006E3081">
        <w:t>MPEG</w:t>
      </w:r>
      <w:r w:rsidRPr="006E3081">
        <w:tab/>
      </w:r>
      <w:r w:rsidR="003A57E7" w:rsidRPr="006E3081">
        <w:t>groupe d'experts pour les images animées (</w:t>
      </w:r>
      <w:r w:rsidR="003A57E7" w:rsidRPr="006E3081">
        <w:rPr>
          <w:i/>
          <w:iCs/>
        </w:rPr>
        <w:t>moving pictures expert group</w:t>
      </w:r>
      <w:r w:rsidR="003A57E7" w:rsidRPr="006E3081">
        <w:t>)</w:t>
      </w:r>
    </w:p>
    <w:p w14:paraId="266ACA5C" w14:textId="275E71E8" w:rsidR="000C21CA" w:rsidRPr="006E3081" w:rsidRDefault="000C21CA" w:rsidP="00341768">
      <w:pPr>
        <w:tabs>
          <w:tab w:val="clear" w:pos="794"/>
          <w:tab w:val="clear" w:pos="1191"/>
        </w:tabs>
      </w:pPr>
      <w:r w:rsidRPr="006E3081">
        <w:t>MRF</w:t>
      </w:r>
      <w:r w:rsidRPr="006E3081">
        <w:tab/>
      </w:r>
      <w:r w:rsidR="003A57E7" w:rsidRPr="006E3081">
        <w:t>multiplexage par répartition de la fréquence</w:t>
      </w:r>
    </w:p>
    <w:p w14:paraId="498BF27F" w14:textId="7698F5AF" w:rsidR="000C21CA" w:rsidRPr="006E3081" w:rsidRDefault="000C21CA" w:rsidP="00341768">
      <w:pPr>
        <w:tabs>
          <w:tab w:val="clear" w:pos="794"/>
          <w:tab w:val="clear" w:pos="1191"/>
        </w:tabs>
      </w:pPr>
      <w:r w:rsidRPr="006E3081">
        <w:t>MSP</w:t>
      </w:r>
      <w:r w:rsidRPr="006E3081">
        <w:tab/>
      </w:r>
      <w:r w:rsidR="003A57E7" w:rsidRPr="006E3081">
        <w:t>médias de service public</w:t>
      </w:r>
    </w:p>
    <w:p w14:paraId="1BBA4E7D" w14:textId="41833F05" w:rsidR="0050078E" w:rsidRPr="006E3081" w:rsidRDefault="0050078E" w:rsidP="003A57E7">
      <w:pPr>
        <w:tabs>
          <w:tab w:val="clear" w:pos="794"/>
          <w:tab w:val="clear" w:pos="1191"/>
        </w:tabs>
        <w:ind w:left="1588" w:hanging="1588"/>
      </w:pPr>
      <w:r w:rsidRPr="006E3081">
        <w:t>PMSE</w:t>
      </w:r>
      <w:r w:rsidRPr="006E3081">
        <w:tab/>
      </w:r>
      <w:r w:rsidR="003A57E7" w:rsidRPr="006E3081">
        <w:t>production de programmes et de manifestations spéciales (</w:t>
      </w:r>
      <w:r w:rsidR="003A57E7" w:rsidRPr="006E3081">
        <w:rPr>
          <w:i/>
          <w:iCs/>
        </w:rPr>
        <w:t>programme making- and special events</w:t>
      </w:r>
      <w:r w:rsidR="003A57E7" w:rsidRPr="006E3081">
        <w:t>)</w:t>
      </w:r>
    </w:p>
    <w:p w14:paraId="2429BA5C" w14:textId="1B2B9242" w:rsidR="0050078E" w:rsidRPr="006E3081" w:rsidRDefault="0050078E" w:rsidP="00341768">
      <w:pPr>
        <w:tabs>
          <w:tab w:val="clear" w:pos="794"/>
          <w:tab w:val="clear" w:pos="1191"/>
        </w:tabs>
      </w:pPr>
      <w:r w:rsidRPr="006E3081">
        <w:t>QoS</w:t>
      </w:r>
      <w:r w:rsidRPr="006E3081">
        <w:tab/>
      </w:r>
      <w:r w:rsidR="003A57E7" w:rsidRPr="006E3081">
        <w:t>qualité de service</w:t>
      </w:r>
    </w:p>
    <w:p w14:paraId="6FDF30C3" w14:textId="432AFBD8" w:rsidR="0050078E" w:rsidRPr="006E3081" w:rsidRDefault="0050078E" w:rsidP="00341768">
      <w:pPr>
        <w:tabs>
          <w:tab w:val="clear" w:pos="794"/>
          <w:tab w:val="clear" w:pos="1191"/>
        </w:tabs>
      </w:pPr>
      <w:r w:rsidRPr="006E3081">
        <w:t>SDM</w:t>
      </w:r>
      <w:r w:rsidRPr="006E3081">
        <w:tab/>
      </w:r>
      <w:r w:rsidR="003A57E7" w:rsidRPr="006E3081">
        <w:t>multiplexage par répartition spatiale (</w:t>
      </w:r>
      <w:r w:rsidR="003A57E7" w:rsidRPr="006E3081">
        <w:rPr>
          <w:i/>
          <w:iCs/>
        </w:rPr>
        <w:t>space division multiplexing</w:t>
      </w:r>
      <w:r w:rsidR="003A57E7" w:rsidRPr="006E3081">
        <w:t>)</w:t>
      </w:r>
    </w:p>
    <w:p w14:paraId="29E40431" w14:textId="40E5F0A6" w:rsidR="0050078E" w:rsidRPr="006E3081" w:rsidRDefault="0050078E" w:rsidP="00341768">
      <w:pPr>
        <w:tabs>
          <w:tab w:val="clear" w:pos="794"/>
          <w:tab w:val="clear" w:pos="1191"/>
        </w:tabs>
      </w:pPr>
      <w:r w:rsidRPr="006E3081">
        <w:t>SFN</w:t>
      </w:r>
      <w:r w:rsidRPr="006E3081">
        <w:tab/>
      </w:r>
      <w:r w:rsidR="003A57E7" w:rsidRPr="006E3081">
        <w:t>réseau monofréquence (</w:t>
      </w:r>
      <w:r w:rsidR="003A57E7" w:rsidRPr="006E3081">
        <w:rPr>
          <w:i/>
          <w:iCs/>
        </w:rPr>
        <w:t>single-frequency network</w:t>
      </w:r>
      <w:r w:rsidR="003A57E7" w:rsidRPr="006E3081">
        <w:t>)</w:t>
      </w:r>
    </w:p>
    <w:p w14:paraId="2B81917C" w14:textId="7C514CE7" w:rsidR="0050078E" w:rsidRPr="006E3081" w:rsidRDefault="0050078E" w:rsidP="00341768">
      <w:pPr>
        <w:tabs>
          <w:tab w:val="clear" w:pos="794"/>
          <w:tab w:val="clear" w:pos="1191"/>
        </w:tabs>
      </w:pPr>
      <w:r w:rsidRPr="006E3081">
        <w:t>SISO</w:t>
      </w:r>
      <w:r w:rsidRPr="006E3081">
        <w:tab/>
      </w:r>
      <w:r w:rsidR="003A57E7" w:rsidRPr="006E3081">
        <w:t>système à entrée unique et sortie unique (</w:t>
      </w:r>
      <w:r w:rsidR="003A57E7" w:rsidRPr="006E3081">
        <w:rPr>
          <w:i/>
          <w:iCs/>
        </w:rPr>
        <w:t>single-input single-output</w:t>
      </w:r>
      <w:r w:rsidR="003A57E7" w:rsidRPr="006E3081">
        <w:t>)</w:t>
      </w:r>
    </w:p>
    <w:p w14:paraId="414F00F6" w14:textId="17519D28" w:rsidR="000C21CA" w:rsidRPr="006E3081" w:rsidRDefault="0050078E" w:rsidP="00341768">
      <w:pPr>
        <w:tabs>
          <w:tab w:val="clear" w:pos="794"/>
          <w:tab w:val="clear" w:pos="1191"/>
        </w:tabs>
      </w:pPr>
      <w:r w:rsidRPr="006E3081">
        <w:t>TDM</w:t>
      </w:r>
      <w:r w:rsidRPr="006E3081">
        <w:tab/>
      </w:r>
      <w:r w:rsidR="003A57E7" w:rsidRPr="006E3081">
        <w:t>multiplexage par répartition dans le temps (</w:t>
      </w:r>
      <w:r w:rsidR="003A57E7" w:rsidRPr="006E3081">
        <w:rPr>
          <w:i/>
          <w:iCs/>
        </w:rPr>
        <w:t>time-division multiplexing</w:t>
      </w:r>
      <w:r w:rsidR="003A57E7" w:rsidRPr="006E3081">
        <w:t>)</w:t>
      </w:r>
    </w:p>
    <w:p w14:paraId="24B7190A" w14:textId="38853F48" w:rsidR="0050078E" w:rsidRPr="006E3081" w:rsidRDefault="000C21CA" w:rsidP="00341768">
      <w:pPr>
        <w:tabs>
          <w:tab w:val="clear" w:pos="794"/>
          <w:tab w:val="clear" w:pos="1191"/>
        </w:tabs>
      </w:pPr>
      <w:r w:rsidRPr="006E3081">
        <w:t>TVDN</w:t>
      </w:r>
      <w:r w:rsidRPr="006E3081">
        <w:tab/>
      </w:r>
      <w:r w:rsidR="003A57E7" w:rsidRPr="006E3081">
        <w:t>télévision à définition normale</w:t>
      </w:r>
    </w:p>
    <w:p w14:paraId="3D00FD0C" w14:textId="1344625A" w:rsidR="000C21CA" w:rsidRPr="006E3081" w:rsidRDefault="000C21CA" w:rsidP="00341768">
      <w:pPr>
        <w:tabs>
          <w:tab w:val="clear" w:pos="794"/>
          <w:tab w:val="clear" w:pos="1191"/>
        </w:tabs>
      </w:pPr>
      <w:r w:rsidRPr="006E3081">
        <w:t>TVHD</w:t>
      </w:r>
      <w:r w:rsidRPr="006E3081">
        <w:tab/>
      </w:r>
      <w:r w:rsidR="003A57E7" w:rsidRPr="006E3081">
        <w:t>télévision haute définition</w:t>
      </w:r>
    </w:p>
    <w:p w14:paraId="1F486A0E" w14:textId="4E38F43A" w:rsidR="0050078E" w:rsidRPr="006E3081" w:rsidRDefault="009813FA" w:rsidP="00341768">
      <w:pPr>
        <w:tabs>
          <w:tab w:val="clear" w:pos="794"/>
          <w:tab w:val="clear" w:pos="1191"/>
        </w:tabs>
      </w:pPr>
      <w:r w:rsidRPr="006E3081">
        <w:t>TVUHD</w:t>
      </w:r>
      <w:r w:rsidR="0050078E" w:rsidRPr="006E3081">
        <w:tab/>
      </w:r>
      <w:r w:rsidR="003A57E7" w:rsidRPr="006E3081">
        <w:t>télévision ultra-haute définition</w:t>
      </w:r>
    </w:p>
    <w:p w14:paraId="7DFC1DDC" w14:textId="050E5093" w:rsidR="0050078E" w:rsidRPr="006E3081" w:rsidRDefault="002A56B8" w:rsidP="00341768">
      <w:pPr>
        <w:pStyle w:val="Headingb"/>
      </w:pPr>
      <w:r w:rsidRPr="006E3081">
        <w:t>Recommandations et Rapports UIT connexes</w:t>
      </w:r>
    </w:p>
    <w:p w14:paraId="091AB9F7" w14:textId="03518A39" w:rsidR="0050078E" w:rsidRPr="005A4A59" w:rsidRDefault="0050078E" w:rsidP="005A4A59">
      <w:pPr>
        <w:pStyle w:val="Reftext"/>
      </w:pPr>
      <w:r w:rsidRPr="005A4A59">
        <w:t xml:space="preserve">Recommandation UIT-R </w:t>
      </w:r>
      <w:hyperlink r:id="rId13" w:history="1">
        <w:r w:rsidRPr="005A4A59">
          <w:rPr>
            <w:rStyle w:val="Hyperlink"/>
            <w:color w:val="auto"/>
            <w:u w:val="none"/>
          </w:rPr>
          <w:t>BT.1877</w:t>
        </w:r>
      </w:hyperlink>
      <w:r w:rsidRPr="005A4A59">
        <w:t xml:space="preserve"> – Méthodes de correction d'erreurs, de mise en trame des données, de modulation et d'émission pour les systèmes de radiodiffusion télévisuelle numérique de Terre de deuxième</w:t>
      </w:r>
      <w:r w:rsidR="003A57E7" w:rsidRPr="005A4A59">
        <w:t> </w:t>
      </w:r>
      <w:r w:rsidRPr="005A4A59">
        <w:t>génération et lignes directrices pour le choix d'un système</w:t>
      </w:r>
    </w:p>
    <w:p w14:paraId="615CDEB8" w14:textId="1F81619C" w:rsidR="0050078E" w:rsidRPr="005A4A59" w:rsidRDefault="0050078E" w:rsidP="005A4A59">
      <w:pPr>
        <w:pStyle w:val="Reftext"/>
      </w:pPr>
      <w:r w:rsidRPr="005A4A59">
        <w:lastRenderedPageBreak/>
        <w:t xml:space="preserve">Rapport UIT </w:t>
      </w:r>
      <w:hyperlink r:id="rId14" w:history="1">
        <w:r w:rsidRPr="005A4A59">
          <w:t>BT.2400</w:t>
        </w:r>
      </w:hyperlink>
      <w:r w:rsidRPr="005A4A59">
        <w:t xml:space="preserve"> –</w:t>
      </w:r>
      <w:r w:rsidR="003A57E7" w:rsidRPr="005A4A59">
        <w:t xml:space="preserve"> </w:t>
      </w:r>
      <w:r w:rsidR="002F1FCA" w:rsidRPr="005A4A59">
        <w:t>Scénarios d'utilisation, exigences et éléments techniques d'une plate-forme mondiale pour le service de radiodiffusion</w:t>
      </w:r>
    </w:p>
    <w:p w14:paraId="42D91634" w14:textId="53C5BEA5" w:rsidR="0050078E" w:rsidRPr="005A4A59" w:rsidRDefault="0050078E" w:rsidP="005A4A59">
      <w:pPr>
        <w:pStyle w:val="Reftext"/>
      </w:pPr>
      <w:r w:rsidRPr="005A4A59">
        <w:t xml:space="preserve">Rapport UIT-R </w:t>
      </w:r>
      <w:hyperlink r:id="rId15" w:history="1">
        <w:r w:rsidRPr="005A4A59">
          <w:rPr>
            <w:rStyle w:val="Hyperlink"/>
            <w:color w:val="auto"/>
            <w:u w:val="none"/>
          </w:rPr>
          <w:t>BT.2485</w:t>
        </w:r>
      </w:hyperlink>
      <w:r w:rsidRPr="005A4A59">
        <w:t xml:space="preserve"> – </w:t>
      </w:r>
      <w:r w:rsidR="000314AE" w:rsidRPr="005A4A59">
        <w:t>Méthodes avancées de planification et de transmission des réseaux pour les améliorations de la radiodiffusion télévisuelle numérique de Terre</w:t>
      </w:r>
    </w:p>
    <w:p w14:paraId="0F18C1D7" w14:textId="77777777" w:rsidR="000B7728" w:rsidRPr="006E3081" w:rsidRDefault="000B7728" w:rsidP="00341768">
      <w:pPr>
        <w:pStyle w:val="Normalaftertitle"/>
      </w:pPr>
      <w:r w:rsidRPr="006E3081">
        <w:t>L'Assemblée des radiocommunications de l'UIT,</w:t>
      </w:r>
    </w:p>
    <w:p w14:paraId="43D0FC38" w14:textId="77777777" w:rsidR="000B7728" w:rsidRPr="006E3081" w:rsidRDefault="000B7728" w:rsidP="00341768">
      <w:pPr>
        <w:pStyle w:val="Call"/>
      </w:pPr>
      <w:r w:rsidRPr="006E3081">
        <w:t>considérant</w:t>
      </w:r>
    </w:p>
    <w:p w14:paraId="00739229" w14:textId="3F336085" w:rsidR="000314AE" w:rsidRPr="006E3081" w:rsidRDefault="000314AE" w:rsidP="00341768">
      <w:r w:rsidRPr="006E3081">
        <w:rPr>
          <w:i/>
          <w:iCs/>
        </w:rPr>
        <w:t>a)</w:t>
      </w:r>
      <w:r w:rsidRPr="006E3081">
        <w:tab/>
      </w:r>
      <w:r w:rsidR="001628EF" w:rsidRPr="006E3081">
        <w:t>que beaucoup de temps s'est écoulé depuis le premier lancement de services de télévision numérique de Terre du monde et que le passage de la télévision analogique à la radiodiffusion télévisuelle numérique à l'échelle mondiale est terminé ou actuellement engagé</w:t>
      </w:r>
      <w:r w:rsidRPr="006E3081">
        <w:t>;</w:t>
      </w:r>
    </w:p>
    <w:p w14:paraId="6CBAE01F" w14:textId="2F02D809" w:rsidR="000314AE" w:rsidRPr="006E3081" w:rsidRDefault="000314AE" w:rsidP="00341768">
      <w:r w:rsidRPr="006E3081">
        <w:rPr>
          <w:i/>
          <w:iCs/>
        </w:rPr>
        <w:t>b)</w:t>
      </w:r>
      <w:r w:rsidRPr="006E3081">
        <w:tab/>
      </w:r>
      <w:r w:rsidR="001628EF" w:rsidRPr="006E3081">
        <w:t xml:space="preserve">que les nouveaux systèmes et </w:t>
      </w:r>
      <w:r w:rsidR="002F1FCA" w:rsidRPr="006E3081">
        <w:t xml:space="preserve">les </w:t>
      </w:r>
      <w:r w:rsidR="001628EF" w:rsidRPr="006E3081">
        <w:t xml:space="preserve">nouvelles technologies et applications pour la radiodiffusion </w:t>
      </w:r>
      <w:r w:rsidR="00E47172" w:rsidRPr="006E3081">
        <w:t>visent à transmettre des programmes télévisuels, sonores et multimédias de manière plus efficiente et à offrir au public des expériences audiovisuelles innovantes</w:t>
      </w:r>
      <w:r w:rsidRPr="006E3081">
        <w:t>;</w:t>
      </w:r>
    </w:p>
    <w:p w14:paraId="5834EC10" w14:textId="53B35C78" w:rsidR="000314AE" w:rsidRPr="006E3081" w:rsidRDefault="000314AE" w:rsidP="00341768">
      <w:r w:rsidRPr="006E3081">
        <w:rPr>
          <w:i/>
          <w:iCs/>
        </w:rPr>
        <w:t>c)</w:t>
      </w:r>
      <w:r w:rsidRPr="006E3081">
        <w:tab/>
      </w:r>
      <w:r w:rsidR="00E47172" w:rsidRPr="006E3081">
        <w:t xml:space="preserve">qu'un enjeu majeur est de réfléchir aux meilleurs moyens d'introduire ces nouveaux systèmes et </w:t>
      </w:r>
      <w:r w:rsidR="002F1FCA" w:rsidRPr="006E3081">
        <w:t xml:space="preserve">ces </w:t>
      </w:r>
      <w:r w:rsidR="00E47172" w:rsidRPr="006E3081">
        <w:t>nouvelles technologies et applications dans le service de radiodiffusion qui exploite les systèmes DTTB de première génération, sans conséquences négatives pour le public</w:t>
      </w:r>
      <w:r w:rsidRPr="006E3081">
        <w:t>;</w:t>
      </w:r>
    </w:p>
    <w:p w14:paraId="01510F49" w14:textId="63501AA0" w:rsidR="000314AE" w:rsidRPr="006E3081" w:rsidRDefault="000314AE" w:rsidP="00341768">
      <w:r w:rsidRPr="006E3081">
        <w:rPr>
          <w:i/>
          <w:iCs/>
          <w:lang w:eastAsia="ja-JP"/>
        </w:rPr>
        <w:t>d</w:t>
      </w:r>
      <w:r w:rsidRPr="006E3081">
        <w:rPr>
          <w:i/>
          <w:iCs/>
        </w:rPr>
        <w:t>)</w:t>
      </w:r>
      <w:r w:rsidRPr="006E3081">
        <w:tab/>
      </w:r>
      <w:r w:rsidR="00E47172" w:rsidRPr="006E3081">
        <w:t xml:space="preserve">qu'il est également important d'examiner des méthodes permettant de garantir une évolution constante </w:t>
      </w:r>
      <w:r w:rsidR="002F1FCA" w:rsidRPr="006E3081">
        <w:t xml:space="preserve">en matière de </w:t>
      </w:r>
      <w:r w:rsidR="00E47172" w:rsidRPr="006E3081">
        <w:t>radiodiffusion</w:t>
      </w:r>
      <w:r w:rsidR="002F1FCA" w:rsidRPr="006E3081">
        <w:t xml:space="preserve"> à l'avenir</w:t>
      </w:r>
      <w:r w:rsidRPr="006E3081">
        <w:t>;</w:t>
      </w:r>
    </w:p>
    <w:p w14:paraId="1DC42575" w14:textId="63D6097A" w:rsidR="000314AE" w:rsidRPr="006E3081" w:rsidRDefault="000314AE" w:rsidP="00341768">
      <w:pPr>
        <w:rPr>
          <w:lang w:eastAsia="ja-JP"/>
        </w:rPr>
      </w:pPr>
      <w:r w:rsidRPr="006E3081">
        <w:rPr>
          <w:i/>
          <w:iCs/>
          <w:lang w:eastAsia="ja-JP"/>
        </w:rPr>
        <w:t>e)</w:t>
      </w:r>
      <w:r w:rsidRPr="006E3081">
        <w:rPr>
          <w:lang w:eastAsia="ja-JP"/>
        </w:rPr>
        <w:tab/>
      </w:r>
      <w:r w:rsidR="00E47172" w:rsidRPr="006E3081">
        <w:rPr>
          <w:lang w:eastAsia="ja-JP"/>
        </w:rPr>
        <w:t xml:space="preserve">que plusieurs </w:t>
      </w:r>
      <w:r w:rsidR="00DF5F13" w:rsidRPr="006E3081">
        <w:rPr>
          <w:lang w:eastAsia="ja-JP"/>
        </w:rPr>
        <w:t>scénarios pourront être envisageables pour ce qui est du calendrier du processus, des parties concernées et des politiques publiques visant à favoriser la transition</w:t>
      </w:r>
      <w:r w:rsidRPr="006E3081">
        <w:rPr>
          <w:lang w:eastAsia="ja-JP"/>
        </w:rPr>
        <w:t>,</w:t>
      </w:r>
    </w:p>
    <w:p w14:paraId="45498193" w14:textId="752F448F" w:rsidR="00564BF7" w:rsidRPr="006E3081" w:rsidRDefault="00564BF7" w:rsidP="00341768">
      <w:pPr>
        <w:pStyle w:val="Call"/>
      </w:pPr>
      <w:r w:rsidRPr="006E3081">
        <w:t>reco</w:t>
      </w:r>
      <w:r w:rsidR="006039B8" w:rsidRPr="006E3081">
        <w:t>nnaissant</w:t>
      </w:r>
    </w:p>
    <w:p w14:paraId="5C208572" w14:textId="4AA4AEC9" w:rsidR="006039B8" w:rsidRPr="005A4A59" w:rsidRDefault="00564BF7" w:rsidP="00341768">
      <w:r w:rsidRPr="006E3081">
        <w:rPr>
          <w:rFonts w:asciiTheme="majorBidi" w:hAnsiTheme="majorBidi" w:cstheme="majorBidi"/>
          <w:i/>
          <w:lang w:eastAsia="zh-CN"/>
        </w:rPr>
        <w:t>a</w:t>
      </w:r>
      <w:r w:rsidRPr="006E3081">
        <w:rPr>
          <w:rFonts w:asciiTheme="majorBidi" w:hAnsiTheme="majorBidi" w:cstheme="majorBidi"/>
          <w:i/>
          <w:iCs/>
          <w:lang w:eastAsia="zh-CN"/>
        </w:rPr>
        <w:t>)</w:t>
      </w:r>
      <w:r w:rsidRPr="006E3081">
        <w:rPr>
          <w:rFonts w:asciiTheme="majorBidi" w:hAnsiTheme="majorBidi" w:cstheme="majorBidi"/>
        </w:rPr>
        <w:tab/>
      </w:r>
      <w:r w:rsidR="002F1FCA" w:rsidRPr="005A4A59">
        <w:t xml:space="preserve">au titre </w:t>
      </w:r>
      <w:r w:rsidR="00DF5F13" w:rsidRPr="005A4A59">
        <w:t xml:space="preserve">de la Résolution </w:t>
      </w:r>
      <w:hyperlink r:id="rId16" w:history="1">
        <w:r w:rsidR="005A4A59">
          <w:t>UIT</w:t>
        </w:r>
        <w:r w:rsidR="005A4A59" w:rsidRPr="005A4A59">
          <w:t>-R</w:t>
        </w:r>
        <w:r w:rsidR="005A4A59">
          <w:t> </w:t>
        </w:r>
        <w:r w:rsidR="005A4A59" w:rsidRPr="005A4A59">
          <w:t>70</w:t>
        </w:r>
      </w:hyperlink>
      <w:r w:rsidR="00DF5F13" w:rsidRPr="005A4A59">
        <w:t xml:space="preserve">, la </w:t>
      </w:r>
      <w:r w:rsidR="002F1FCA" w:rsidRPr="005A4A59">
        <w:t>décision</w:t>
      </w:r>
      <w:r w:rsidR="00DF5F13" w:rsidRPr="005A4A59">
        <w:t xml:space="preserve"> </w:t>
      </w:r>
      <w:r w:rsidR="000314AE" w:rsidRPr="006E3081">
        <w:t>d'élaborer des Recommandations et des Rapports relatifs à la mise en œuvre de nouveaux systèmes et de nouvelles technologies et applications pour la radiodiffusion, afin de parvenir à une harmonisation à l'échelle mondiale des spécifications</w:t>
      </w:r>
      <w:r w:rsidR="006039B8" w:rsidRPr="005A4A59">
        <w:t>;</w:t>
      </w:r>
    </w:p>
    <w:p w14:paraId="6AA0260E" w14:textId="69585D28" w:rsidR="006039B8" w:rsidRPr="005A4A59" w:rsidRDefault="00564BF7" w:rsidP="00341768">
      <w:r w:rsidRPr="006E3081">
        <w:rPr>
          <w:rFonts w:asciiTheme="majorBidi" w:hAnsiTheme="majorBidi" w:cstheme="majorBidi"/>
          <w:i/>
          <w:lang w:eastAsia="zh-CN"/>
        </w:rPr>
        <w:t>b)</w:t>
      </w:r>
      <w:r w:rsidRPr="006E3081">
        <w:rPr>
          <w:rFonts w:asciiTheme="majorBidi" w:hAnsiTheme="majorBidi" w:cstheme="majorBidi"/>
          <w:lang w:eastAsia="zh-CN"/>
        </w:rPr>
        <w:tab/>
      </w:r>
      <w:r w:rsidR="002F1FCA" w:rsidRPr="005A4A59">
        <w:t xml:space="preserve">au titre </w:t>
      </w:r>
      <w:r w:rsidR="00DF5F13" w:rsidRPr="005A4A59">
        <w:t xml:space="preserve">de la Résolution </w:t>
      </w:r>
      <w:hyperlink r:id="rId17" w:history="1">
        <w:r w:rsidR="005A4A59" w:rsidRPr="005A4A59">
          <w:t>UIT-R</w:t>
        </w:r>
        <w:r w:rsidR="005A4A59">
          <w:t> </w:t>
        </w:r>
        <w:r w:rsidR="005A4A59" w:rsidRPr="005A4A59">
          <w:t>71</w:t>
        </w:r>
      </w:hyperlink>
      <w:r w:rsidR="00DF5F13" w:rsidRPr="005A4A59">
        <w:t xml:space="preserve">, </w:t>
      </w:r>
      <w:r w:rsidR="000314AE" w:rsidRPr="006E3081">
        <w:t>que la Commission d'études des radiocommunications compétente devrait élaborer une feuille de route concernant les activités de l'UIT-R relatives à la radiodiffusion, afin de veiller à ce que les travaux progressent efficacement</w:t>
      </w:r>
      <w:r w:rsidR="006039B8" w:rsidRPr="005A4A59">
        <w:t>;</w:t>
      </w:r>
    </w:p>
    <w:p w14:paraId="4305D73D" w14:textId="1709996C" w:rsidR="00FC7A9A" w:rsidRPr="006E3081" w:rsidRDefault="00564BF7" w:rsidP="00341768">
      <w:pPr>
        <w:rPr>
          <w:rFonts w:asciiTheme="majorBidi" w:hAnsiTheme="majorBidi" w:cstheme="majorBidi"/>
        </w:rPr>
      </w:pPr>
      <w:r w:rsidRPr="006E3081">
        <w:rPr>
          <w:rFonts w:asciiTheme="majorBidi" w:hAnsiTheme="majorBidi" w:cstheme="majorBidi"/>
          <w:i/>
        </w:rPr>
        <w:t>c</w:t>
      </w:r>
      <w:r w:rsidRPr="006E3081">
        <w:rPr>
          <w:rFonts w:asciiTheme="majorBidi" w:hAnsiTheme="majorBidi" w:cstheme="majorBidi"/>
          <w:i/>
          <w:iCs/>
        </w:rPr>
        <w:t>)</w:t>
      </w:r>
      <w:r w:rsidRPr="006E3081">
        <w:rPr>
          <w:rFonts w:asciiTheme="majorBidi" w:hAnsiTheme="majorBidi" w:cstheme="majorBidi"/>
        </w:rPr>
        <w:tab/>
      </w:r>
      <w:r w:rsidR="000314AE" w:rsidRPr="006E3081">
        <w:rPr>
          <w:rFonts w:asciiTheme="majorBidi" w:hAnsiTheme="majorBidi" w:cstheme="majorBidi"/>
        </w:rPr>
        <w:t>que la Recommandation UIT-R</w:t>
      </w:r>
      <w:r w:rsidR="005A4A59">
        <w:rPr>
          <w:rFonts w:asciiTheme="majorBidi" w:hAnsiTheme="majorBidi" w:cstheme="majorBidi"/>
        </w:rPr>
        <w:t> </w:t>
      </w:r>
      <w:hyperlink r:id="rId18" w:history="1">
        <w:r w:rsidR="005A4A59" w:rsidRPr="005A4A59">
          <w:t>BT.1877</w:t>
        </w:r>
      </w:hyperlink>
      <w:r w:rsidR="000314AE" w:rsidRPr="006E3081">
        <w:rPr>
          <w:rFonts w:asciiTheme="majorBidi" w:hAnsiTheme="majorBidi" w:cstheme="majorBidi"/>
        </w:rPr>
        <w:t xml:space="preserve"> </w:t>
      </w:r>
      <w:r w:rsidR="00DF5F13" w:rsidRPr="005A4A59">
        <w:rPr>
          <w:rFonts w:asciiTheme="majorBidi" w:hAnsiTheme="majorBidi" w:cstheme="majorBidi"/>
        </w:rPr>
        <w:t>spécifie</w:t>
      </w:r>
      <w:r w:rsidR="000314AE" w:rsidRPr="005A4A59">
        <w:rPr>
          <w:rFonts w:asciiTheme="majorBidi" w:hAnsiTheme="majorBidi" w:cstheme="majorBidi"/>
        </w:rPr>
        <w:t xml:space="preserve"> les systèmes de radiodiffusion télévisuelle numérique de Terre de deuxième génération</w:t>
      </w:r>
      <w:r w:rsidR="00FC7A9A" w:rsidRPr="006E3081">
        <w:rPr>
          <w:rFonts w:asciiTheme="majorBidi" w:hAnsiTheme="majorBidi" w:cstheme="majorBidi"/>
        </w:rPr>
        <w:t>,</w:t>
      </w:r>
    </w:p>
    <w:p w14:paraId="4576B13A" w14:textId="56E358E5" w:rsidR="00564BF7" w:rsidRPr="006E3081" w:rsidRDefault="00564BF7" w:rsidP="00341768">
      <w:pPr>
        <w:pStyle w:val="Call"/>
        <w:rPr>
          <w:i w:val="0"/>
          <w:iCs/>
          <w:lang w:eastAsia="ko-KR"/>
        </w:rPr>
      </w:pPr>
      <w:r w:rsidRPr="006E3081">
        <w:rPr>
          <w:lang w:eastAsia="ko-KR"/>
        </w:rPr>
        <w:t>recomm</w:t>
      </w:r>
      <w:r w:rsidR="006039B8" w:rsidRPr="006E3081">
        <w:rPr>
          <w:lang w:eastAsia="ko-KR"/>
        </w:rPr>
        <w:t>ande</w:t>
      </w:r>
    </w:p>
    <w:p w14:paraId="0E4C74BC" w14:textId="594C4429" w:rsidR="00366634" w:rsidRDefault="00A90800" w:rsidP="00341768">
      <w:pPr>
        <w:rPr>
          <w:lang w:eastAsia="ja-JP"/>
        </w:rPr>
      </w:pPr>
      <w:r w:rsidRPr="006E3081">
        <w:rPr>
          <w:lang w:eastAsia="ja-JP"/>
        </w:rPr>
        <w:t xml:space="preserve">de tenir compte </w:t>
      </w:r>
      <w:r w:rsidR="000314AE" w:rsidRPr="006E3081">
        <w:rPr>
          <w:lang w:eastAsia="ja-JP"/>
        </w:rPr>
        <w:t>des lignes directrices</w:t>
      </w:r>
      <w:r w:rsidR="00DF5F13" w:rsidRPr="006E3081">
        <w:rPr>
          <w:lang w:eastAsia="ja-JP"/>
        </w:rPr>
        <w:t xml:space="preserve"> </w:t>
      </w:r>
      <w:r w:rsidRPr="006E3081">
        <w:rPr>
          <w:lang w:eastAsia="ja-JP"/>
        </w:rPr>
        <w:t xml:space="preserve">présentées </w:t>
      </w:r>
      <w:r w:rsidR="00DF5F13" w:rsidRPr="006E3081">
        <w:rPr>
          <w:lang w:eastAsia="ja-JP"/>
        </w:rPr>
        <w:t>dans l'Annexe</w:t>
      </w:r>
      <w:r w:rsidR="000314AE" w:rsidRPr="006E3081">
        <w:rPr>
          <w:lang w:eastAsia="ja-JP"/>
        </w:rPr>
        <w:t xml:space="preserve"> pour l'introduction de nouveaux systèmes et de nouvelles technologies et applications de radiodiffusion télévisuelle numérique de Terre (DTTB, </w:t>
      </w:r>
      <w:r w:rsidR="000314AE" w:rsidRPr="006E3081">
        <w:rPr>
          <w:i/>
          <w:iCs/>
          <w:lang w:eastAsia="ja-JP"/>
        </w:rPr>
        <w:t>digital terrestrial television broadcasting</w:t>
      </w:r>
      <w:r w:rsidR="000314AE" w:rsidRPr="006E3081">
        <w:rPr>
          <w:lang w:eastAsia="ja-JP"/>
        </w:rPr>
        <w:t>) dans le service de radiodiffusion.</w:t>
      </w:r>
    </w:p>
    <w:p w14:paraId="5DDFCE28" w14:textId="6DF4B8A2" w:rsidR="005A4A59" w:rsidRDefault="005A4A59" w:rsidP="00341768">
      <w:pPr>
        <w:rPr>
          <w:lang w:eastAsia="ja-JP"/>
        </w:rPr>
      </w:pPr>
    </w:p>
    <w:p w14:paraId="605C1277" w14:textId="77777777" w:rsidR="005A4A59" w:rsidRPr="006E3081" w:rsidRDefault="005A4A59" w:rsidP="00341768">
      <w:pPr>
        <w:rPr>
          <w:lang w:eastAsia="ja-JP"/>
        </w:rPr>
      </w:pPr>
    </w:p>
    <w:p w14:paraId="4443D805" w14:textId="0F1CEF63" w:rsidR="000314AE" w:rsidRDefault="00E261D6" w:rsidP="00341768">
      <w:pPr>
        <w:rPr>
          <w:lang w:eastAsia="ja-JP"/>
        </w:rPr>
      </w:pPr>
      <w:r w:rsidRPr="006E3081">
        <w:rPr>
          <w:lang w:eastAsia="ja-JP"/>
        </w:rPr>
        <w:br w:type="page"/>
      </w:r>
    </w:p>
    <w:p w14:paraId="37A9E90E" w14:textId="1CF9F9B7" w:rsidR="000314AE" w:rsidRPr="006E3081" w:rsidRDefault="000314AE" w:rsidP="00366634">
      <w:pPr>
        <w:pStyle w:val="AnnexNoTitle"/>
        <w:rPr>
          <w:lang w:eastAsia="ja-JP"/>
        </w:rPr>
      </w:pPr>
      <w:bookmarkStart w:id="5" w:name="_Toc120026978"/>
      <w:r w:rsidRPr="006E3081">
        <w:lastRenderedPageBreak/>
        <w:t>Annexe</w:t>
      </w:r>
      <w:r w:rsidRPr="006E3081">
        <w:br/>
      </w:r>
      <w:r w:rsidRPr="006E3081">
        <w:br/>
        <w:t>Lignes directrices pour l'introduction de nouveaux systèmes et de nouvelles technologies et applications DTTB dans le service de radiodiffusion</w:t>
      </w:r>
      <w:bookmarkEnd w:id="5"/>
    </w:p>
    <w:p w14:paraId="0C5E9D9F" w14:textId="77109CAF" w:rsidR="000314AE" w:rsidRPr="0015296C" w:rsidRDefault="00A90800" w:rsidP="0015296C">
      <w:pPr>
        <w:pStyle w:val="Title2"/>
        <w:spacing w:before="360"/>
        <w:rPr>
          <w:sz w:val="24"/>
          <w:szCs w:val="24"/>
        </w:rPr>
      </w:pPr>
      <w:r w:rsidRPr="0015296C">
        <w:rPr>
          <w:sz w:val="24"/>
          <w:szCs w:val="24"/>
        </w:rPr>
        <w:t>TABLE DES MATIÈRES</w:t>
      </w:r>
    </w:p>
    <w:p w14:paraId="24D1A6F1" w14:textId="77777777" w:rsidR="000314AE" w:rsidRPr="006E3081" w:rsidRDefault="000314AE" w:rsidP="00341768">
      <w:pPr>
        <w:pStyle w:val="toc0"/>
      </w:pPr>
      <w:r w:rsidRPr="006E3081">
        <w:tab/>
        <w:t>Page</w:t>
      </w:r>
    </w:p>
    <w:p w14:paraId="205C8DE5" w14:textId="2EA9B238" w:rsidR="00372C19" w:rsidRPr="006E3081" w:rsidRDefault="000314AE">
      <w:pPr>
        <w:pStyle w:val="TOC1"/>
        <w:rPr>
          <w:rFonts w:asciiTheme="minorHAnsi" w:eastAsiaTheme="minorEastAsia" w:hAnsiTheme="minorHAnsi" w:cstheme="minorBidi"/>
          <w:noProof/>
          <w:sz w:val="22"/>
          <w:szCs w:val="22"/>
          <w:lang w:val="fr-FR" w:eastAsia="fr-FR"/>
        </w:rPr>
      </w:pPr>
      <w:r w:rsidRPr="006E3081">
        <w:rPr>
          <w:lang w:val="fr-FR"/>
        </w:rPr>
        <w:fldChar w:fldCharType="begin"/>
      </w:r>
      <w:r w:rsidRPr="006E3081">
        <w:rPr>
          <w:lang w:val="fr-FR"/>
        </w:rPr>
        <w:instrText xml:space="preserve"> TOC \o "1-2" \h \z \u </w:instrText>
      </w:r>
      <w:r w:rsidRPr="006E3081">
        <w:rPr>
          <w:lang w:val="fr-FR"/>
        </w:rPr>
        <w:fldChar w:fldCharType="separate"/>
      </w:r>
      <w:hyperlink w:anchor="_Toc120026977" w:history="1">
        <w:r w:rsidR="00372C19" w:rsidRPr="006E3081">
          <w:rPr>
            <w:rStyle w:val="Hyperlink"/>
            <w:noProof/>
            <w:lang w:val="fr-FR"/>
          </w:rPr>
          <w:t>Politique en matière de droits de propriété intellectuelle (IPR)</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_Toc120026977 \h </w:instrText>
        </w:r>
        <w:r w:rsidR="00372C19" w:rsidRPr="006E3081">
          <w:rPr>
            <w:noProof/>
            <w:webHidden/>
            <w:lang w:val="fr-FR"/>
          </w:rPr>
        </w:r>
        <w:r w:rsidR="00372C19" w:rsidRPr="006E3081">
          <w:rPr>
            <w:noProof/>
            <w:webHidden/>
            <w:lang w:val="fr-FR"/>
          </w:rPr>
          <w:fldChar w:fldCharType="separate"/>
        </w:r>
        <w:r w:rsidR="00F232F0">
          <w:rPr>
            <w:noProof/>
            <w:webHidden/>
            <w:lang w:val="fr-FR"/>
          </w:rPr>
          <w:t>ii</w:t>
        </w:r>
        <w:r w:rsidR="00372C19" w:rsidRPr="006E3081">
          <w:rPr>
            <w:noProof/>
            <w:webHidden/>
            <w:lang w:val="fr-FR"/>
          </w:rPr>
          <w:fldChar w:fldCharType="end"/>
        </w:r>
      </w:hyperlink>
    </w:p>
    <w:p w14:paraId="19BC5319" w14:textId="7FA8B36F" w:rsidR="00372C19" w:rsidRPr="006E3081" w:rsidRDefault="003F0818" w:rsidP="00372C19">
      <w:pPr>
        <w:pStyle w:val="TOC1"/>
        <w:tabs>
          <w:tab w:val="clear" w:pos="567"/>
        </w:tabs>
        <w:ind w:left="0" w:firstLine="0"/>
        <w:rPr>
          <w:rFonts w:asciiTheme="minorHAnsi" w:eastAsiaTheme="minorEastAsia" w:hAnsiTheme="minorHAnsi" w:cstheme="minorBidi"/>
          <w:noProof/>
          <w:sz w:val="22"/>
          <w:szCs w:val="22"/>
          <w:lang w:val="fr-FR" w:eastAsia="fr-FR"/>
        </w:rPr>
      </w:pPr>
      <w:hyperlink w:anchor="_Toc120026978" w:history="1">
        <w:r w:rsidR="00372C19" w:rsidRPr="006E3081">
          <w:rPr>
            <w:rStyle w:val="Hyperlink"/>
            <w:noProof/>
            <w:lang w:val="fr-FR"/>
          </w:rPr>
          <w:t>Annexe</w:t>
        </w:r>
        <w:r w:rsidR="0015296C">
          <w:rPr>
            <w:rStyle w:val="Hyperlink"/>
            <w:noProof/>
            <w:lang w:val="fr-FR"/>
          </w:rPr>
          <w:t> </w:t>
        </w:r>
        <w:r w:rsidR="0015296C" w:rsidRPr="0015296C">
          <w:rPr>
            <w:rStyle w:val="Hyperlink"/>
            <w:noProof/>
            <w:lang w:val="fr-FR"/>
          </w:rPr>
          <w:t>–</w:t>
        </w:r>
        <w:r w:rsidR="0015296C">
          <w:rPr>
            <w:rStyle w:val="Hyperlink"/>
            <w:noProof/>
            <w:lang w:val="fr-FR"/>
          </w:rPr>
          <w:t> </w:t>
        </w:r>
        <w:r w:rsidR="00372C19" w:rsidRPr="006E3081">
          <w:rPr>
            <w:rStyle w:val="Hyperlink"/>
            <w:noProof/>
            <w:lang w:val="fr-FR"/>
          </w:rPr>
          <w:t>Lignes directrices pour l'introduction de nouveaux systèmes et de nouvelles technologies et applications DTTB dans le service de radiodiffusion</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_Toc120026978 \h </w:instrText>
        </w:r>
        <w:r w:rsidR="00372C19" w:rsidRPr="006E3081">
          <w:rPr>
            <w:noProof/>
            <w:webHidden/>
            <w:lang w:val="fr-FR"/>
          </w:rPr>
        </w:r>
        <w:r w:rsidR="00372C19" w:rsidRPr="006E3081">
          <w:rPr>
            <w:noProof/>
            <w:webHidden/>
            <w:lang w:val="fr-FR"/>
          </w:rPr>
          <w:fldChar w:fldCharType="separate"/>
        </w:r>
        <w:r w:rsidR="00F232F0">
          <w:rPr>
            <w:noProof/>
            <w:webHidden/>
            <w:lang w:val="fr-FR"/>
          </w:rPr>
          <w:t>3</w:t>
        </w:r>
        <w:r w:rsidR="00372C19" w:rsidRPr="006E3081">
          <w:rPr>
            <w:noProof/>
            <w:webHidden/>
            <w:lang w:val="fr-FR"/>
          </w:rPr>
          <w:fldChar w:fldCharType="end"/>
        </w:r>
      </w:hyperlink>
    </w:p>
    <w:p w14:paraId="68CCB5CE" w14:textId="2ECEBA54" w:rsidR="00372C19" w:rsidRPr="006E3081" w:rsidRDefault="003F0818">
      <w:pPr>
        <w:pStyle w:val="TOC1"/>
        <w:rPr>
          <w:rFonts w:asciiTheme="minorHAnsi" w:eastAsiaTheme="minorEastAsia" w:hAnsiTheme="minorHAnsi" w:cstheme="minorBidi"/>
          <w:noProof/>
          <w:sz w:val="22"/>
          <w:szCs w:val="22"/>
          <w:lang w:val="fr-FR" w:eastAsia="fr-FR"/>
        </w:rPr>
      </w:pPr>
      <w:hyperlink w:anchor="_Toc120026979" w:history="1">
        <w:r w:rsidR="00372C19" w:rsidRPr="006E3081">
          <w:rPr>
            <w:rStyle w:val="Hyperlink"/>
            <w:noProof/>
            <w:lang w:val="fr-FR"/>
          </w:rPr>
          <w:t>1</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Introduction</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_Toc120026979 \h </w:instrText>
        </w:r>
        <w:r w:rsidR="00372C19" w:rsidRPr="006E3081">
          <w:rPr>
            <w:noProof/>
            <w:webHidden/>
            <w:lang w:val="fr-FR"/>
          </w:rPr>
        </w:r>
        <w:r w:rsidR="00372C19" w:rsidRPr="006E3081">
          <w:rPr>
            <w:noProof/>
            <w:webHidden/>
            <w:lang w:val="fr-FR"/>
          </w:rPr>
          <w:fldChar w:fldCharType="separate"/>
        </w:r>
        <w:r w:rsidR="00F232F0">
          <w:rPr>
            <w:noProof/>
            <w:webHidden/>
            <w:lang w:val="fr-FR"/>
          </w:rPr>
          <w:t>4</w:t>
        </w:r>
        <w:r w:rsidR="00372C19" w:rsidRPr="006E3081">
          <w:rPr>
            <w:noProof/>
            <w:webHidden/>
            <w:lang w:val="fr-FR"/>
          </w:rPr>
          <w:fldChar w:fldCharType="end"/>
        </w:r>
      </w:hyperlink>
    </w:p>
    <w:p w14:paraId="106783DE" w14:textId="5B58BFBE" w:rsidR="00372C19" w:rsidRPr="006E3081" w:rsidRDefault="003F0818">
      <w:pPr>
        <w:pStyle w:val="TOC1"/>
        <w:rPr>
          <w:rFonts w:asciiTheme="minorHAnsi" w:eastAsiaTheme="minorEastAsia" w:hAnsiTheme="minorHAnsi" w:cstheme="minorBidi"/>
          <w:noProof/>
          <w:sz w:val="22"/>
          <w:szCs w:val="22"/>
          <w:lang w:val="fr-FR" w:eastAsia="fr-FR"/>
        </w:rPr>
      </w:pPr>
      <w:hyperlink w:anchor="_Toc120026980" w:history="1">
        <w:r w:rsidR="00372C19" w:rsidRPr="006E3081">
          <w:rPr>
            <w:rStyle w:val="Hyperlink"/>
            <w:noProof/>
            <w:lang w:val="fr-FR"/>
          </w:rPr>
          <w:t>2</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Exigences relatives à la mise en œuvre de nouveaux systèmes et de nouvelles technologies et applications DTTB</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_Toc120026980 \h </w:instrText>
        </w:r>
        <w:r w:rsidR="00372C19" w:rsidRPr="006E3081">
          <w:rPr>
            <w:noProof/>
            <w:webHidden/>
            <w:lang w:val="fr-FR"/>
          </w:rPr>
        </w:r>
        <w:r w:rsidR="00372C19" w:rsidRPr="006E3081">
          <w:rPr>
            <w:noProof/>
            <w:webHidden/>
            <w:lang w:val="fr-FR"/>
          </w:rPr>
          <w:fldChar w:fldCharType="separate"/>
        </w:r>
        <w:r w:rsidR="00F232F0">
          <w:rPr>
            <w:noProof/>
            <w:webHidden/>
            <w:lang w:val="fr-FR"/>
          </w:rPr>
          <w:t>4</w:t>
        </w:r>
        <w:r w:rsidR="00372C19" w:rsidRPr="006E3081">
          <w:rPr>
            <w:noProof/>
            <w:webHidden/>
            <w:lang w:val="fr-FR"/>
          </w:rPr>
          <w:fldChar w:fldCharType="end"/>
        </w:r>
      </w:hyperlink>
    </w:p>
    <w:p w14:paraId="6E3AA1EE" w14:textId="5E15A287" w:rsidR="00372C19" w:rsidRPr="006E3081" w:rsidRDefault="003F0818">
      <w:pPr>
        <w:pStyle w:val="TOC2"/>
        <w:rPr>
          <w:rFonts w:asciiTheme="minorHAnsi" w:eastAsiaTheme="minorEastAsia" w:hAnsiTheme="minorHAnsi" w:cstheme="minorBidi"/>
          <w:noProof/>
          <w:sz w:val="22"/>
          <w:szCs w:val="22"/>
          <w:lang w:val="fr-FR" w:eastAsia="fr-FR"/>
        </w:rPr>
      </w:pPr>
      <w:hyperlink w:anchor="_Toc120026981" w:history="1">
        <w:r w:rsidR="00372C19" w:rsidRPr="006E3081">
          <w:rPr>
            <w:rStyle w:val="Hyperlink"/>
            <w:noProof/>
            <w:lang w:val="fr-FR"/>
          </w:rPr>
          <w:t>2.1</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Exigences relatives aux récepteurs</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_Toc120026981 \h </w:instrText>
        </w:r>
        <w:r w:rsidR="00372C19" w:rsidRPr="006E3081">
          <w:rPr>
            <w:noProof/>
            <w:webHidden/>
            <w:lang w:val="fr-FR"/>
          </w:rPr>
        </w:r>
        <w:r w:rsidR="00372C19" w:rsidRPr="006E3081">
          <w:rPr>
            <w:noProof/>
            <w:webHidden/>
            <w:lang w:val="fr-FR"/>
          </w:rPr>
          <w:fldChar w:fldCharType="separate"/>
        </w:r>
        <w:r w:rsidR="00F232F0">
          <w:rPr>
            <w:noProof/>
            <w:webHidden/>
            <w:lang w:val="fr-FR"/>
          </w:rPr>
          <w:t>5</w:t>
        </w:r>
        <w:r w:rsidR="00372C19" w:rsidRPr="006E3081">
          <w:rPr>
            <w:noProof/>
            <w:webHidden/>
            <w:lang w:val="fr-FR"/>
          </w:rPr>
          <w:fldChar w:fldCharType="end"/>
        </w:r>
      </w:hyperlink>
    </w:p>
    <w:p w14:paraId="5A630FD6" w14:textId="1733C995" w:rsidR="00372C19" w:rsidRPr="006E3081" w:rsidRDefault="003F0818">
      <w:pPr>
        <w:pStyle w:val="TOC2"/>
        <w:rPr>
          <w:rFonts w:asciiTheme="minorHAnsi" w:eastAsiaTheme="minorEastAsia" w:hAnsiTheme="minorHAnsi" w:cstheme="minorBidi"/>
          <w:noProof/>
          <w:sz w:val="22"/>
          <w:szCs w:val="22"/>
          <w:lang w:val="fr-FR" w:eastAsia="fr-FR"/>
        </w:rPr>
      </w:pPr>
      <w:hyperlink w:anchor="_Toc120026982" w:history="1">
        <w:r w:rsidR="00372C19" w:rsidRPr="006E3081">
          <w:rPr>
            <w:rStyle w:val="Hyperlink"/>
            <w:noProof/>
            <w:lang w:val="fr-FR"/>
          </w:rPr>
          <w:t>2.2</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Exigences relatives aux services</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_Toc120026982 \h </w:instrText>
        </w:r>
        <w:r w:rsidR="00372C19" w:rsidRPr="006E3081">
          <w:rPr>
            <w:noProof/>
            <w:webHidden/>
            <w:lang w:val="fr-FR"/>
          </w:rPr>
        </w:r>
        <w:r w:rsidR="00372C19" w:rsidRPr="006E3081">
          <w:rPr>
            <w:noProof/>
            <w:webHidden/>
            <w:lang w:val="fr-FR"/>
          </w:rPr>
          <w:fldChar w:fldCharType="separate"/>
        </w:r>
        <w:r w:rsidR="00F232F0">
          <w:rPr>
            <w:noProof/>
            <w:webHidden/>
            <w:lang w:val="fr-FR"/>
          </w:rPr>
          <w:t>5</w:t>
        </w:r>
        <w:r w:rsidR="00372C19" w:rsidRPr="006E3081">
          <w:rPr>
            <w:noProof/>
            <w:webHidden/>
            <w:lang w:val="fr-FR"/>
          </w:rPr>
          <w:fldChar w:fldCharType="end"/>
        </w:r>
      </w:hyperlink>
    </w:p>
    <w:p w14:paraId="25635FA2" w14:textId="173CC238" w:rsidR="00372C19" w:rsidRPr="006E3081" w:rsidRDefault="003F0818">
      <w:pPr>
        <w:pStyle w:val="TOC2"/>
        <w:rPr>
          <w:rFonts w:asciiTheme="minorHAnsi" w:eastAsiaTheme="minorEastAsia" w:hAnsiTheme="minorHAnsi" w:cstheme="minorBidi"/>
          <w:noProof/>
          <w:sz w:val="22"/>
          <w:szCs w:val="22"/>
          <w:lang w:val="fr-FR" w:eastAsia="fr-FR"/>
        </w:rPr>
      </w:pPr>
      <w:hyperlink w:anchor="_Toc120026983" w:history="1">
        <w:r w:rsidR="00372C19" w:rsidRPr="006E3081">
          <w:rPr>
            <w:rStyle w:val="Hyperlink"/>
            <w:noProof/>
            <w:lang w:val="fr-FR"/>
          </w:rPr>
          <w:t>2.3</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Exigences relatives au spectre</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_Toc120026983 \h </w:instrText>
        </w:r>
        <w:r w:rsidR="00372C19" w:rsidRPr="006E3081">
          <w:rPr>
            <w:noProof/>
            <w:webHidden/>
            <w:lang w:val="fr-FR"/>
          </w:rPr>
        </w:r>
        <w:r w:rsidR="00372C19" w:rsidRPr="006E3081">
          <w:rPr>
            <w:noProof/>
            <w:webHidden/>
            <w:lang w:val="fr-FR"/>
          </w:rPr>
          <w:fldChar w:fldCharType="separate"/>
        </w:r>
        <w:r w:rsidR="00F232F0">
          <w:rPr>
            <w:noProof/>
            <w:webHidden/>
            <w:lang w:val="fr-FR"/>
          </w:rPr>
          <w:t>6</w:t>
        </w:r>
        <w:r w:rsidR="00372C19" w:rsidRPr="006E3081">
          <w:rPr>
            <w:noProof/>
            <w:webHidden/>
            <w:lang w:val="fr-FR"/>
          </w:rPr>
          <w:fldChar w:fldCharType="end"/>
        </w:r>
      </w:hyperlink>
    </w:p>
    <w:p w14:paraId="705889FD" w14:textId="6EC00DD5" w:rsidR="00372C19" w:rsidRPr="006E3081" w:rsidRDefault="003F0818">
      <w:pPr>
        <w:pStyle w:val="TOC1"/>
        <w:rPr>
          <w:rFonts w:asciiTheme="minorHAnsi" w:eastAsiaTheme="minorEastAsia" w:hAnsiTheme="minorHAnsi" w:cstheme="minorBidi"/>
          <w:noProof/>
          <w:sz w:val="22"/>
          <w:szCs w:val="22"/>
          <w:lang w:val="fr-FR" w:eastAsia="fr-FR"/>
        </w:rPr>
      </w:pPr>
      <w:hyperlink w:anchor="_Toc120026984" w:history="1">
        <w:r w:rsidR="00372C19" w:rsidRPr="006E3081">
          <w:rPr>
            <w:rStyle w:val="Hyperlink"/>
            <w:noProof/>
            <w:lang w:val="fr-FR" w:eastAsia="ja-JP"/>
          </w:rPr>
          <w:t>3</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eastAsia="ja-JP"/>
          </w:rPr>
          <w:t>Scénarios et méthodes applicables à la transition</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_Toc120026984 \h </w:instrText>
        </w:r>
        <w:r w:rsidR="00372C19" w:rsidRPr="006E3081">
          <w:rPr>
            <w:noProof/>
            <w:webHidden/>
            <w:lang w:val="fr-FR"/>
          </w:rPr>
        </w:r>
        <w:r w:rsidR="00372C19" w:rsidRPr="006E3081">
          <w:rPr>
            <w:noProof/>
            <w:webHidden/>
            <w:lang w:val="fr-FR"/>
          </w:rPr>
          <w:fldChar w:fldCharType="separate"/>
        </w:r>
        <w:r w:rsidR="00F232F0">
          <w:rPr>
            <w:noProof/>
            <w:webHidden/>
            <w:lang w:val="fr-FR"/>
          </w:rPr>
          <w:t>6</w:t>
        </w:r>
        <w:r w:rsidR="00372C19" w:rsidRPr="006E3081">
          <w:rPr>
            <w:noProof/>
            <w:webHidden/>
            <w:lang w:val="fr-FR"/>
          </w:rPr>
          <w:fldChar w:fldCharType="end"/>
        </w:r>
      </w:hyperlink>
    </w:p>
    <w:p w14:paraId="0FB29B56" w14:textId="15BCC542" w:rsidR="00372C19" w:rsidRPr="006E3081" w:rsidRDefault="003F0818">
      <w:pPr>
        <w:pStyle w:val="TOC2"/>
        <w:rPr>
          <w:rFonts w:asciiTheme="minorHAnsi" w:eastAsiaTheme="minorEastAsia" w:hAnsiTheme="minorHAnsi" w:cstheme="minorBidi"/>
          <w:noProof/>
          <w:sz w:val="22"/>
          <w:szCs w:val="22"/>
          <w:lang w:val="fr-FR" w:eastAsia="fr-FR"/>
        </w:rPr>
      </w:pPr>
      <w:hyperlink w:anchor="_Toc120026985" w:history="1">
        <w:r w:rsidR="00372C19" w:rsidRPr="006E3081">
          <w:rPr>
            <w:rStyle w:val="Hyperlink"/>
            <w:noProof/>
            <w:lang w:val="fr-FR"/>
          </w:rPr>
          <w:t>3.1</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Méthode A: Introduction d'un nouveau service dans le même canal qui est utilisé pour les services existants</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_Toc120026985 \h </w:instrText>
        </w:r>
        <w:r w:rsidR="00372C19" w:rsidRPr="006E3081">
          <w:rPr>
            <w:noProof/>
            <w:webHidden/>
            <w:lang w:val="fr-FR"/>
          </w:rPr>
        </w:r>
        <w:r w:rsidR="00372C19" w:rsidRPr="006E3081">
          <w:rPr>
            <w:noProof/>
            <w:webHidden/>
            <w:lang w:val="fr-FR"/>
          </w:rPr>
          <w:fldChar w:fldCharType="separate"/>
        </w:r>
        <w:r w:rsidR="00F232F0">
          <w:rPr>
            <w:noProof/>
            <w:webHidden/>
            <w:lang w:val="fr-FR"/>
          </w:rPr>
          <w:t>7</w:t>
        </w:r>
        <w:r w:rsidR="00372C19" w:rsidRPr="006E3081">
          <w:rPr>
            <w:noProof/>
            <w:webHidden/>
            <w:lang w:val="fr-FR"/>
          </w:rPr>
          <w:fldChar w:fldCharType="end"/>
        </w:r>
      </w:hyperlink>
    </w:p>
    <w:p w14:paraId="51FDDF6C" w14:textId="39F9B28F" w:rsidR="00372C19" w:rsidRPr="006E3081" w:rsidRDefault="003F0818">
      <w:pPr>
        <w:pStyle w:val="TOC2"/>
        <w:rPr>
          <w:rFonts w:asciiTheme="minorHAnsi" w:eastAsiaTheme="minorEastAsia" w:hAnsiTheme="minorHAnsi" w:cstheme="minorBidi"/>
          <w:noProof/>
          <w:sz w:val="22"/>
          <w:szCs w:val="22"/>
          <w:lang w:val="fr-FR" w:eastAsia="fr-FR"/>
        </w:rPr>
      </w:pPr>
      <w:hyperlink w:anchor="_Toc120026986" w:history="1">
        <w:r w:rsidR="00372C19" w:rsidRPr="006E3081">
          <w:rPr>
            <w:rStyle w:val="Hyperlink"/>
            <w:noProof/>
            <w:lang w:val="fr-FR"/>
          </w:rPr>
          <w:t>3.2</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Méthode B: Introduction d'un nouveau service dans un canal différent qui n'est pas utilisé pour les services existants</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_Toc120026986 \h </w:instrText>
        </w:r>
        <w:r w:rsidR="00372C19" w:rsidRPr="006E3081">
          <w:rPr>
            <w:noProof/>
            <w:webHidden/>
            <w:lang w:val="fr-FR"/>
          </w:rPr>
        </w:r>
        <w:r w:rsidR="00372C19" w:rsidRPr="006E3081">
          <w:rPr>
            <w:noProof/>
            <w:webHidden/>
            <w:lang w:val="fr-FR"/>
          </w:rPr>
          <w:fldChar w:fldCharType="separate"/>
        </w:r>
        <w:r w:rsidR="00F232F0">
          <w:rPr>
            <w:noProof/>
            <w:webHidden/>
            <w:lang w:val="fr-FR"/>
          </w:rPr>
          <w:t>11</w:t>
        </w:r>
        <w:r w:rsidR="00372C19" w:rsidRPr="006E3081">
          <w:rPr>
            <w:noProof/>
            <w:webHidden/>
            <w:lang w:val="fr-FR"/>
          </w:rPr>
          <w:fldChar w:fldCharType="end"/>
        </w:r>
      </w:hyperlink>
    </w:p>
    <w:p w14:paraId="13712062" w14:textId="3704968D" w:rsidR="00372C19" w:rsidRPr="006E3081" w:rsidRDefault="003F0818">
      <w:pPr>
        <w:pStyle w:val="TOC2"/>
        <w:rPr>
          <w:rFonts w:asciiTheme="minorHAnsi" w:eastAsiaTheme="minorEastAsia" w:hAnsiTheme="minorHAnsi" w:cstheme="minorBidi"/>
          <w:noProof/>
          <w:sz w:val="22"/>
          <w:szCs w:val="22"/>
          <w:lang w:val="fr-FR" w:eastAsia="fr-FR"/>
        </w:rPr>
      </w:pPr>
      <w:hyperlink w:anchor="_Toc120026987" w:history="1">
        <w:r w:rsidR="00372C19" w:rsidRPr="006E3081">
          <w:rPr>
            <w:rStyle w:val="Hyperlink"/>
            <w:noProof/>
            <w:lang w:val="fr-FR"/>
          </w:rPr>
          <w:t>3.3</w:t>
        </w:r>
        <w:r w:rsidR="00372C19" w:rsidRPr="006E3081">
          <w:rPr>
            <w:rFonts w:asciiTheme="minorHAnsi" w:eastAsiaTheme="minorEastAsia" w:hAnsiTheme="minorHAnsi" w:cstheme="minorBidi"/>
            <w:noProof/>
            <w:sz w:val="22"/>
            <w:szCs w:val="22"/>
            <w:lang w:val="fr-FR" w:eastAsia="fr-FR"/>
          </w:rPr>
          <w:tab/>
        </w:r>
        <w:r w:rsidR="00372C19" w:rsidRPr="006E3081">
          <w:rPr>
            <w:rStyle w:val="Hyperlink"/>
            <w:noProof/>
            <w:lang w:val="fr-FR"/>
          </w:rPr>
          <w:t>Comparaison entre les caractéristiques des méthodes</w:t>
        </w:r>
        <w:r w:rsidR="00372C19" w:rsidRPr="006E3081">
          <w:rPr>
            <w:noProof/>
            <w:webHidden/>
            <w:lang w:val="fr-FR"/>
          </w:rPr>
          <w:tab/>
        </w:r>
        <w:r w:rsidR="00372C19" w:rsidRPr="006E3081">
          <w:rPr>
            <w:noProof/>
            <w:webHidden/>
            <w:lang w:val="fr-FR"/>
          </w:rPr>
          <w:tab/>
        </w:r>
        <w:r w:rsidR="00372C19" w:rsidRPr="006E3081">
          <w:rPr>
            <w:noProof/>
            <w:webHidden/>
            <w:lang w:val="fr-FR"/>
          </w:rPr>
          <w:fldChar w:fldCharType="begin"/>
        </w:r>
        <w:r w:rsidR="00372C19" w:rsidRPr="006E3081">
          <w:rPr>
            <w:noProof/>
            <w:webHidden/>
            <w:lang w:val="fr-FR"/>
          </w:rPr>
          <w:instrText xml:space="preserve"> PAGEREF _Toc120026987 \h </w:instrText>
        </w:r>
        <w:r w:rsidR="00372C19" w:rsidRPr="006E3081">
          <w:rPr>
            <w:noProof/>
            <w:webHidden/>
            <w:lang w:val="fr-FR"/>
          </w:rPr>
        </w:r>
        <w:r w:rsidR="00372C19" w:rsidRPr="006E3081">
          <w:rPr>
            <w:noProof/>
            <w:webHidden/>
            <w:lang w:val="fr-FR"/>
          </w:rPr>
          <w:fldChar w:fldCharType="separate"/>
        </w:r>
        <w:r w:rsidR="00F232F0">
          <w:rPr>
            <w:noProof/>
            <w:webHidden/>
            <w:lang w:val="fr-FR"/>
          </w:rPr>
          <w:t>13</w:t>
        </w:r>
        <w:r w:rsidR="00372C19" w:rsidRPr="006E3081">
          <w:rPr>
            <w:noProof/>
            <w:webHidden/>
            <w:lang w:val="fr-FR"/>
          </w:rPr>
          <w:fldChar w:fldCharType="end"/>
        </w:r>
      </w:hyperlink>
    </w:p>
    <w:p w14:paraId="738FEE43" w14:textId="75F40386" w:rsidR="00564BF7" w:rsidRPr="006E3081" w:rsidRDefault="000314AE" w:rsidP="00341768">
      <w:r w:rsidRPr="006E3081">
        <w:fldChar w:fldCharType="end"/>
      </w:r>
    </w:p>
    <w:p w14:paraId="4CCB8209" w14:textId="15BC43C2" w:rsidR="000314AE" w:rsidRPr="006E3081" w:rsidRDefault="000314AE" w:rsidP="00341768">
      <w:r w:rsidRPr="006E3081">
        <w:br w:type="page"/>
      </w:r>
    </w:p>
    <w:p w14:paraId="5EC4C2E2" w14:textId="77777777" w:rsidR="00A90691" w:rsidRPr="006E3081" w:rsidRDefault="00A90691" w:rsidP="00341768">
      <w:pPr>
        <w:pStyle w:val="Heading1"/>
      </w:pPr>
      <w:bookmarkStart w:id="6" w:name="_Toc120026979"/>
      <w:r w:rsidRPr="006E3081">
        <w:lastRenderedPageBreak/>
        <w:t>1</w:t>
      </w:r>
      <w:r w:rsidRPr="006E3081">
        <w:tab/>
        <w:t>Introduction</w:t>
      </w:r>
      <w:bookmarkEnd w:id="6"/>
    </w:p>
    <w:p w14:paraId="3D75487F" w14:textId="7D451CB4" w:rsidR="00A90691" w:rsidRPr="006E3081" w:rsidRDefault="00A90800" w:rsidP="00341768">
      <w:pPr>
        <w:rPr>
          <w:spacing w:val="-2"/>
          <w:lang w:eastAsia="ja-JP"/>
        </w:rPr>
      </w:pPr>
      <w:r w:rsidRPr="006E3081">
        <w:rPr>
          <w:spacing w:val="-2"/>
          <w:lang w:eastAsia="ja-JP"/>
        </w:rPr>
        <w:t>Plus de 20</w:t>
      </w:r>
      <w:r w:rsidR="007B305F" w:rsidRPr="006E3081">
        <w:rPr>
          <w:spacing w:val="-2"/>
          <w:lang w:eastAsia="ja-JP"/>
        </w:rPr>
        <w:t> </w:t>
      </w:r>
      <w:r w:rsidRPr="006E3081">
        <w:rPr>
          <w:spacing w:val="-2"/>
          <w:lang w:eastAsia="ja-JP"/>
        </w:rPr>
        <w:t xml:space="preserve">ans se sont écoulés depuis </w:t>
      </w:r>
      <w:r w:rsidR="008A2CCE" w:rsidRPr="006E3081">
        <w:rPr>
          <w:spacing w:val="-2"/>
          <w:lang w:eastAsia="ja-JP"/>
        </w:rPr>
        <w:t xml:space="preserve">le premier lancement de DTTB du monde. L'apparition de </w:t>
      </w:r>
      <w:r w:rsidR="008A2CCE" w:rsidRPr="006E3081">
        <w:t xml:space="preserve">nouveaux systèmes et </w:t>
      </w:r>
      <w:r w:rsidR="007B305F" w:rsidRPr="006E3081">
        <w:t xml:space="preserve">de </w:t>
      </w:r>
      <w:r w:rsidR="008A2CCE" w:rsidRPr="006E3081">
        <w:t xml:space="preserve">nouvelles technologies et applications pour la radiodiffusion, visant à transmettre des programmes télévisuels, sonores et multimédias de manière plus efficiente et à offrir au public des expériences audiovisuelles innovantes, </w:t>
      </w:r>
      <w:r w:rsidR="008A2CCE" w:rsidRPr="006E3081">
        <w:rPr>
          <w:spacing w:val="-2"/>
          <w:lang w:eastAsia="ja-JP"/>
        </w:rPr>
        <w:t xml:space="preserve">s'accompagne </w:t>
      </w:r>
      <w:r w:rsidR="008A2CCE" w:rsidRPr="006E3081">
        <w:t xml:space="preserve">d'un enjeu majeur qui est de réfléchir aux meilleurs moyens d'introduire ces nouveaux systèmes et </w:t>
      </w:r>
      <w:r w:rsidR="007B305F" w:rsidRPr="006E3081">
        <w:t xml:space="preserve">ces </w:t>
      </w:r>
      <w:r w:rsidR="008A2CCE" w:rsidRPr="006E3081">
        <w:t xml:space="preserve">nouvelles technologies et applications dans le service de radiodiffusion qui exploite les systèmes DTTB de première génération, sans conséquences négatives pour le public. Il est également important d'examiner des méthodes permettant de garantir une évolution constante </w:t>
      </w:r>
      <w:r w:rsidR="007B305F" w:rsidRPr="006E3081">
        <w:t xml:space="preserve">en matière de </w:t>
      </w:r>
      <w:r w:rsidR="008A2CCE" w:rsidRPr="006E3081">
        <w:t>radiodiffusion</w:t>
      </w:r>
      <w:r w:rsidR="007B305F" w:rsidRPr="006E3081">
        <w:t xml:space="preserve"> à l'avenir</w:t>
      </w:r>
      <w:r w:rsidR="00A90691" w:rsidRPr="006E3081">
        <w:rPr>
          <w:spacing w:val="-2"/>
          <w:lang w:eastAsia="ja-JP"/>
        </w:rPr>
        <w:t>.</w:t>
      </w:r>
    </w:p>
    <w:p w14:paraId="576AF54B" w14:textId="74520A43" w:rsidR="00A90691" w:rsidRPr="006E3081" w:rsidRDefault="00FC6A20" w:rsidP="00341768">
      <w:pPr>
        <w:rPr>
          <w:lang w:eastAsia="ja-JP"/>
        </w:rPr>
      </w:pPr>
      <w:r w:rsidRPr="006E3081">
        <w:rPr>
          <w:lang w:eastAsia="ja-JP"/>
        </w:rPr>
        <w:t>P</w:t>
      </w:r>
      <w:r w:rsidR="008A2CCE" w:rsidRPr="006E3081">
        <w:rPr>
          <w:lang w:eastAsia="ja-JP"/>
        </w:rPr>
        <w:t>lusieurs scénarios pourront être envisageables pour ce qui est du calendrier du processus, des parties concernées et des politiques publiques visant à favoriser la transition</w:t>
      </w:r>
      <w:r w:rsidR="00A90691" w:rsidRPr="006E3081">
        <w:rPr>
          <w:lang w:eastAsia="ja-JP"/>
        </w:rPr>
        <w:t>.</w:t>
      </w:r>
    </w:p>
    <w:p w14:paraId="3D513130" w14:textId="5F5A8BA2" w:rsidR="00A90691" w:rsidRPr="006E3081" w:rsidRDefault="00A90691" w:rsidP="00341768">
      <w:pPr>
        <w:pStyle w:val="Heading1"/>
      </w:pPr>
      <w:bookmarkStart w:id="7" w:name="_Toc97756971"/>
      <w:bookmarkStart w:id="8" w:name="_Toc97757242"/>
      <w:bookmarkStart w:id="9" w:name="_Toc97816607"/>
      <w:bookmarkStart w:id="10" w:name="_Toc98311858"/>
      <w:bookmarkStart w:id="11" w:name="_Toc120026980"/>
      <w:r w:rsidRPr="006E3081">
        <w:t>2</w:t>
      </w:r>
      <w:r w:rsidRPr="006E3081">
        <w:tab/>
      </w:r>
      <w:r w:rsidR="008A2CCE" w:rsidRPr="006E3081">
        <w:t xml:space="preserve">Exigences relatives à la mise en œuvre de nouveaux systèmes et </w:t>
      </w:r>
      <w:r w:rsidR="007B305F" w:rsidRPr="006E3081">
        <w:t xml:space="preserve">de </w:t>
      </w:r>
      <w:r w:rsidR="008A2CCE" w:rsidRPr="006E3081">
        <w:t>nouvelles technologies et applications DTTB</w:t>
      </w:r>
      <w:bookmarkEnd w:id="7"/>
      <w:bookmarkEnd w:id="8"/>
      <w:bookmarkEnd w:id="9"/>
      <w:bookmarkEnd w:id="10"/>
      <w:bookmarkEnd w:id="11"/>
    </w:p>
    <w:p w14:paraId="6ED8CA56" w14:textId="367EF5DC" w:rsidR="00A90691" w:rsidRPr="006E3081" w:rsidRDefault="0091764C" w:rsidP="00341768">
      <w:pPr>
        <w:tabs>
          <w:tab w:val="clear" w:pos="794"/>
          <w:tab w:val="clear" w:pos="1191"/>
        </w:tabs>
        <w:rPr>
          <w:lang w:eastAsia="ja-JP"/>
        </w:rPr>
      </w:pPr>
      <w:r w:rsidRPr="006E3081">
        <w:rPr>
          <w:lang w:eastAsia="ja-JP"/>
        </w:rPr>
        <w:t>Les exigences relatives à l'introduction d'un nouveau système diffèrent en fonction de chaque pays et de chaque région en raison des différentes situations d'utilisation de la bande de fréquences attribuée à la radiodiffusion, par exemple le nombre de canaux utilisés et non utilisés et les nouveaux services et nouvelles applications prévus pouvant avoir des exigences différentes du point de vue de la capacité de transmission, et des différents systèmes et technologies de transmission adoptés dans le service de radiodiffusion existant (par exemple, systèmes DTTB A, B, C et D</w:t>
      </w:r>
      <w:r w:rsidR="007B305F" w:rsidRPr="006E3081">
        <w:rPr>
          <w:lang w:eastAsia="ja-JP"/>
        </w:rPr>
        <w:t>;</w:t>
      </w:r>
      <w:r w:rsidRPr="006E3081">
        <w:rPr>
          <w:lang w:eastAsia="ja-JP"/>
        </w:rPr>
        <w:t xml:space="preserve"> codage de source vidéo MPEG</w:t>
      </w:r>
      <w:r w:rsidR="00E261D6" w:rsidRPr="006E3081">
        <w:rPr>
          <w:lang w:eastAsia="ja-JP"/>
        </w:rPr>
        <w:noBreakHyphen/>
      </w:r>
      <w:r w:rsidRPr="006E3081">
        <w:rPr>
          <w:lang w:eastAsia="ja-JP"/>
        </w:rPr>
        <w:t>2</w:t>
      </w:r>
      <w:r w:rsidR="007B305F" w:rsidRPr="006E3081">
        <w:rPr>
          <w:lang w:eastAsia="ja-JP"/>
        </w:rPr>
        <w:t xml:space="preserve"> et</w:t>
      </w:r>
      <w:r w:rsidRPr="006E3081">
        <w:rPr>
          <w:lang w:eastAsia="ja-JP"/>
        </w:rPr>
        <w:t xml:space="preserve"> MPEG-4</w:t>
      </w:r>
      <w:r w:rsidR="007B305F" w:rsidRPr="006E3081">
        <w:rPr>
          <w:lang w:eastAsia="ja-JP"/>
        </w:rPr>
        <w:t>;</w:t>
      </w:r>
      <w:r w:rsidRPr="006E3081">
        <w:rPr>
          <w:lang w:eastAsia="ja-JP"/>
        </w:rPr>
        <w:t xml:space="preserve"> formats vidéo </w:t>
      </w:r>
      <w:r w:rsidR="007B305F" w:rsidRPr="006E3081">
        <w:t xml:space="preserve">de télévision à définition normale (TVDN) et de </w:t>
      </w:r>
      <w:r w:rsidR="003F7E08" w:rsidRPr="006E3081">
        <w:t xml:space="preserve">télévision </w:t>
      </w:r>
      <w:r w:rsidR="007B305F" w:rsidRPr="006E3081">
        <w:t>haute définition</w:t>
      </w:r>
      <w:r w:rsidR="007B305F" w:rsidRPr="006E3081">
        <w:rPr>
          <w:lang w:eastAsia="ja-JP"/>
        </w:rPr>
        <w:t xml:space="preserve"> (</w:t>
      </w:r>
      <w:r w:rsidRPr="006E3081">
        <w:rPr>
          <w:lang w:eastAsia="ja-JP"/>
        </w:rPr>
        <w:t>TVHD</w:t>
      </w:r>
      <w:r w:rsidR="007B305F" w:rsidRPr="006E3081">
        <w:rPr>
          <w:lang w:eastAsia="ja-JP"/>
        </w:rPr>
        <w:t>);</w:t>
      </w:r>
      <w:r w:rsidRPr="006E3081">
        <w:rPr>
          <w:lang w:eastAsia="ja-JP"/>
        </w:rPr>
        <w:t xml:space="preserve"> formats sonore stéréo et multicanal 5.1)</w:t>
      </w:r>
      <w:r w:rsidR="00A90691" w:rsidRPr="006E3081">
        <w:rPr>
          <w:lang w:eastAsia="ja-JP"/>
        </w:rPr>
        <w:t>.</w:t>
      </w:r>
    </w:p>
    <w:p w14:paraId="0DD74586" w14:textId="76CC3DB5" w:rsidR="00A90691" w:rsidRPr="006E3081" w:rsidRDefault="00320000" w:rsidP="00341768">
      <w:r w:rsidRPr="006E3081">
        <w:t xml:space="preserve">D'une manière générale, les exigences qu'il convient de spécifier concernant la mise en œuvre de nouveaux systèmes et </w:t>
      </w:r>
      <w:r w:rsidR="007B305F" w:rsidRPr="006E3081">
        <w:t xml:space="preserve">de </w:t>
      </w:r>
      <w:r w:rsidRPr="006E3081">
        <w:t>nouvelles technologiques et applications de radiodiffusion numérique de Terre peuvent être réparties en trois groupes:</w:t>
      </w:r>
      <w:r w:rsidR="00C32FC1" w:rsidRPr="006E3081">
        <w:t xml:space="preserve"> exigences relatives aux récepteurs, exigences relatives aux services et</w:t>
      </w:r>
      <w:r w:rsidRPr="006E3081">
        <w:t xml:space="preserve"> </w:t>
      </w:r>
      <w:r w:rsidR="00C32FC1" w:rsidRPr="006E3081">
        <w:t>exigences relatives au spectre</w:t>
      </w:r>
      <w:r w:rsidR="00A90691" w:rsidRPr="006E3081">
        <w:t>.</w:t>
      </w:r>
    </w:p>
    <w:p w14:paraId="1692D7F6" w14:textId="315A963C" w:rsidR="00A90691" w:rsidRPr="006E3081" w:rsidRDefault="0059470E" w:rsidP="00341768">
      <w:r w:rsidRPr="006E3081">
        <w:t>Pour être généralement accepté, tout nouveau système de radiodiffusion numérique de Terre devrait satisfaire aux exigences des médias de service public (MSP) et des radiodiffuseurs commerciaux</w:t>
      </w:r>
      <w:r w:rsidR="00A90691" w:rsidRPr="006E3081">
        <w:t>.</w:t>
      </w:r>
    </w:p>
    <w:p w14:paraId="1A73A746" w14:textId="0B673E35" w:rsidR="00A90691" w:rsidRPr="006E3081" w:rsidRDefault="0059470E" w:rsidP="00341768">
      <w:r w:rsidRPr="006E3081">
        <w:t>Les exigences générales applicables aux radiodiffuseurs sont les suivantes</w:t>
      </w:r>
      <w:r w:rsidR="00A90691" w:rsidRPr="006E3081">
        <w:t>:</w:t>
      </w:r>
    </w:p>
    <w:p w14:paraId="61E4F707" w14:textId="0C76D5DD" w:rsidR="00A90691" w:rsidRPr="006E3081" w:rsidRDefault="00A90691" w:rsidP="00341768">
      <w:pPr>
        <w:pStyle w:val="enumlev1"/>
      </w:pPr>
      <w:r w:rsidRPr="006E3081">
        <w:t>–</w:t>
      </w:r>
      <w:r w:rsidRPr="006E3081">
        <w:tab/>
      </w:r>
      <w:r w:rsidR="0061200B" w:rsidRPr="006E3081">
        <w:t>C</w:t>
      </w:r>
      <w:r w:rsidR="003E725B" w:rsidRPr="006E3081">
        <w:t xml:space="preserve">apacité </w:t>
      </w:r>
      <w:r w:rsidR="0061200B" w:rsidRPr="006E3081">
        <w:t>à offrir du</w:t>
      </w:r>
      <w:r w:rsidR="003E725B" w:rsidRPr="006E3081">
        <w:t xml:space="preserve"> contenu en </w:t>
      </w:r>
      <w:r w:rsidR="0061200B" w:rsidRPr="006E3081">
        <w:t>libre accès</w:t>
      </w:r>
      <w:r w:rsidR="003E725B" w:rsidRPr="006E3081">
        <w:t xml:space="preserve"> </w:t>
      </w:r>
      <w:r w:rsidR="0061200B" w:rsidRPr="006E3081">
        <w:t>(sans coût supplémentaire pour les téléspectateurs/auditeurs)</w:t>
      </w:r>
      <w:r w:rsidRPr="006E3081">
        <w:t>.</w:t>
      </w:r>
    </w:p>
    <w:p w14:paraId="27E5B624" w14:textId="6F24FB35" w:rsidR="00A90691" w:rsidRPr="006E3081" w:rsidRDefault="00A90691" w:rsidP="00341768">
      <w:pPr>
        <w:pStyle w:val="enumlev1"/>
      </w:pPr>
      <w:r w:rsidRPr="006E3081">
        <w:t>–</w:t>
      </w:r>
      <w:r w:rsidRPr="006E3081">
        <w:tab/>
      </w:r>
      <w:r w:rsidR="0061200B" w:rsidRPr="006E3081">
        <w:t xml:space="preserve">Diffusion du contenu au public sans blocage ni filtrage de l'offre de service, autrement dit sans </w:t>
      </w:r>
      <w:r w:rsidR="004D6DDE" w:rsidRPr="006E3081">
        <w:t>exclusivité</w:t>
      </w:r>
      <w:r w:rsidRPr="006E3081">
        <w:t>.</w:t>
      </w:r>
    </w:p>
    <w:p w14:paraId="32893A74" w14:textId="5D340247" w:rsidR="00A90691" w:rsidRPr="006E3081" w:rsidRDefault="00A90691" w:rsidP="00341768">
      <w:pPr>
        <w:pStyle w:val="enumlev1"/>
      </w:pPr>
      <w:r w:rsidRPr="006E3081">
        <w:t>–</w:t>
      </w:r>
      <w:r w:rsidRPr="006E3081">
        <w:tab/>
      </w:r>
      <w:r w:rsidR="0061200B" w:rsidRPr="006E3081">
        <w:t>Intégrité du contenu et du service: aucune modification n'est apportée au contenu ni au service par des tiers. Par exemple, les contenus télévisuels et les services additionnels (par exemple, sous-titr</w:t>
      </w:r>
      <w:r w:rsidR="00997DB8" w:rsidRPr="006E3081">
        <w:t>age</w:t>
      </w:r>
      <w:r w:rsidR="0061200B" w:rsidRPr="006E3081">
        <w:t xml:space="preserve">, applications </w:t>
      </w:r>
      <w:r w:rsidR="007B305F" w:rsidRPr="006E3081">
        <w:t>du système intégré de radiodiffusion et large bande (</w:t>
      </w:r>
      <w:r w:rsidR="0061200B" w:rsidRPr="006E3081">
        <w:t>IBB</w:t>
      </w:r>
      <w:r w:rsidR="007B305F" w:rsidRPr="006E3081">
        <w:t>)</w:t>
      </w:r>
      <w:r w:rsidR="0061200B" w:rsidRPr="006E3081">
        <w:t xml:space="preserve">, etc.) doivent </w:t>
      </w:r>
      <w:r w:rsidR="004D6DDE" w:rsidRPr="006E3081">
        <w:t>s'afficher</w:t>
      </w:r>
      <w:r w:rsidR="0061200B" w:rsidRPr="006E3081">
        <w:t xml:space="preserve"> à l'écran</w:t>
      </w:r>
      <w:r w:rsidR="004D6DDE" w:rsidRPr="006E3081">
        <w:t xml:space="preserve"> sans altération et sans superpositions non autorisées</w:t>
      </w:r>
      <w:r w:rsidRPr="006E3081">
        <w:t>.</w:t>
      </w:r>
    </w:p>
    <w:p w14:paraId="55943088" w14:textId="73177595" w:rsidR="00A90691" w:rsidRPr="006E3081" w:rsidRDefault="00A90691" w:rsidP="00341768">
      <w:pPr>
        <w:pStyle w:val="enumlev1"/>
      </w:pPr>
      <w:r w:rsidRPr="006E3081">
        <w:t>–</w:t>
      </w:r>
      <w:r w:rsidRPr="006E3081">
        <w:tab/>
      </w:r>
      <w:r w:rsidR="004D6DDE" w:rsidRPr="006E3081">
        <w:t>La qualité de service</w:t>
      </w:r>
      <w:r w:rsidRPr="006E3081">
        <w:t xml:space="preserve"> (QoS) </w:t>
      </w:r>
      <w:r w:rsidR="004D6DDE" w:rsidRPr="006E3081">
        <w:t>doit être définie par le radiodiffuseur, y compris la disponibilité d'un réseau</w:t>
      </w:r>
      <w:r w:rsidR="00864FA0" w:rsidRPr="006E3081">
        <w:t>,</w:t>
      </w:r>
      <w:r w:rsidR="004D6DDE" w:rsidRPr="006E3081">
        <w:t xml:space="preserve"> ainsi que la robustesse, la durée de fonctionnement et la fiabilité de ce réseau</w:t>
      </w:r>
      <w:r w:rsidRPr="006E3081">
        <w:t>.</w:t>
      </w:r>
    </w:p>
    <w:p w14:paraId="3116BAAF" w14:textId="704B1F93" w:rsidR="00A90691" w:rsidRPr="006E3081" w:rsidRDefault="00A90691" w:rsidP="00341768">
      <w:pPr>
        <w:pStyle w:val="enumlev1"/>
      </w:pPr>
      <w:r w:rsidRPr="006E3081">
        <w:t>–</w:t>
      </w:r>
      <w:r w:rsidRPr="006E3081">
        <w:tab/>
      </w:r>
      <w:r w:rsidR="004D6DDE" w:rsidRPr="006E3081">
        <w:t xml:space="preserve">La </w:t>
      </w:r>
      <w:r w:rsidRPr="006E3081">
        <w:t xml:space="preserve">QoS </w:t>
      </w:r>
      <w:r w:rsidR="004D6DDE" w:rsidRPr="006E3081">
        <w:t>pour chaque utilisateur doit être indépendante de la taille du public</w:t>
      </w:r>
      <w:r w:rsidRPr="006E3081">
        <w:t>.</w:t>
      </w:r>
    </w:p>
    <w:p w14:paraId="500486EB" w14:textId="22B6FECA" w:rsidR="00A90691" w:rsidRPr="006E3081" w:rsidRDefault="00A90691" w:rsidP="00341768">
      <w:pPr>
        <w:pStyle w:val="enumlev1"/>
      </w:pPr>
      <w:r w:rsidRPr="006E3081">
        <w:t>–</w:t>
      </w:r>
      <w:r w:rsidRPr="006E3081">
        <w:tab/>
      </w:r>
      <w:r w:rsidR="004D6DDE" w:rsidRPr="006E3081">
        <w:t>Le service de radiodiffusion ne doit pas faire l'objet d'une discrimination vis-à-vis de services équivalents</w:t>
      </w:r>
      <w:r w:rsidRPr="006E3081">
        <w:t>.</w:t>
      </w:r>
    </w:p>
    <w:p w14:paraId="58B8B9D0" w14:textId="0048CDFA" w:rsidR="00A90691" w:rsidRPr="006E3081" w:rsidRDefault="00A90691" w:rsidP="00341768">
      <w:pPr>
        <w:pStyle w:val="enumlev1"/>
      </w:pPr>
      <w:r w:rsidRPr="006E3081">
        <w:t>–</w:t>
      </w:r>
      <w:r w:rsidRPr="006E3081">
        <w:tab/>
      </w:r>
      <w:r w:rsidR="004D6DDE" w:rsidRPr="006E3081">
        <w:t>La disponibilité géographique d</w:t>
      </w:r>
      <w:r w:rsidR="00864FA0" w:rsidRPr="006E3081">
        <w:t>u</w:t>
      </w:r>
      <w:r w:rsidR="004D6DDE" w:rsidRPr="006E3081">
        <w:t xml:space="preserve"> service (par exemple, nationale, régionale, locale) doit être définie par le radiodiffuseur</w:t>
      </w:r>
      <w:r w:rsidRPr="006E3081">
        <w:t>.</w:t>
      </w:r>
    </w:p>
    <w:p w14:paraId="41BD559A" w14:textId="43F7CE23" w:rsidR="00A90691" w:rsidRPr="006E3081" w:rsidRDefault="00A90691" w:rsidP="00E261D6">
      <w:pPr>
        <w:pStyle w:val="enumlev1"/>
        <w:keepNext/>
        <w:keepLines/>
      </w:pPr>
      <w:r w:rsidRPr="006E3081">
        <w:lastRenderedPageBreak/>
        <w:t>–</w:t>
      </w:r>
      <w:r w:rsidRPr="006E3081">
        <w:tab/>
      </w:r>
      <w:r w:rsidR="004D6DDE" w:rsidRPr="006E3081">
        <w:t>Un réseau de distribution doit au moins prendre en charge une offre de service minimale (par exemple, un nombre minimum de programmes), comme défini par le radiodiffuseur. Ces services devraient être disponibles en même temps pour tous les utilisateurs au sein d'une zone géographique désignée</w:t>
      </w:r>
      <w:r w:rsidRPr="006E3081">
        <w:t>.</w:t>
      </w:r>
    </w:p>
    <w:p w14:paraId="1789C426" w14:textId="25E56BB8" w:rsidR="00A90691" w:rsidRPr="006E3081" w:rsidRDefault="00A90691" w:rsidP="00341768">
      <w:pPr>
        <w:pStyle w:val="enumlev1"/>
      </w:pPr>
      <w:r w:rsidRPr="006E3081">
        <w:t>–</w:t>
      </w:r>
      <w:r w:rsidRPr="006E3081">
        <w:tab/>
      </w:r>
      <w:r w:rsidR="00997DB8" w:rsidRPr="006E3081">
        <w:t>Facilité d'utilisation: mise en avant et accessibilité directe de l'offre de radiodiffusion</w:t>
      </w:r>
      <w:r w:rsidRPr="006E3081">
        <w:t>.</w:t>
      </w:r>
    </w:p>
    <w:p w14:paraId="1B36990F" w14:textId="5BE7BA7C" w:rsidR="00A90691" w:rsidRPr="006E3081" w:rsidRDefault="00A90691" w:rsidP="00341768">
      <w:pPr>
        <w:pStyle w:val="enumlev1"/>
      </w:pPr>
      <w:r w:rsidRPr="006E3081">
        <w:t>–</w:t>
      </w:r>
      <w:r w:rsidRPr="006E3081">
        <w:tab/>
      </w:r>
      <w:r w:rsidR="00997DB8" w:rsidRPr="006E3081">
        <w:t>Levée des obstacles empêchant l'accès aux contenus et services de radiodiffusion pour les personnes handicapées (p</w:t>
      </w:r>
      <w:r w:rsidR="00864FA0" w:rsidRPr="006E3081">
        <w:t>a</w:t>
      </w:r>
      <w:r w:rsidR="00997DB8" w:rsidRPr="006E3081">
        <w:t>r exemple, sous-titrage, audiodescription et interprétation en langue des signes)</w:t>
      </w:r>
      <w:r w:rsidRPr="006E3081">
        <w:t>.</w:t>
      </w:r>
    </w:p>
    <w:p w14:paraId="189A9138" w14:textId="1328D8E9" w:rsidR="00A90691" w:rsidRPr="006E3081" w:rsidRDefault="00A90691" w:rsidP="00341768">
      <w:pPr>
        <w:pStyle w:val="enumlev1"/>
      </w:pPr>
      <w:r w:rsidRPr="006E3081">
        <w:t>–</w:t>
      </w:r>
      <w:r w:rsidRPr="006E3081">
        <w:tab/>
      </w:r>
      <w:r w:rsidR="00997DB8" w:rsidRPr="006E3081">
        <w:t>Possibilité de recevoir de manière anonyme du contenu en libre accès</w:t>
      </w:r>
      <w:r w:rsidRPr="006E3081">
        <w:t>.</w:t>
      </w:r>
    </w:p>
    <w:p w14:paraId="7CC1D0BB" w14:textId="232C672C" w:rsidR="00A90691" w:rsidRPr="006E3081" w:rsidRDefault="00A90691" w:rsidP="00341768">
      <w:pPr>
        <w:pStyle w:val="enumlev1"/>
      </w:pPr>
      <w:r w:rsidRPr="006E3081">
        <w:t>–</w:t>
      </w:r>
      <w:r w:rsidRPr="006E3081">
        <w:tab/>
      </w:r>
      <w:r w:rsidR="00997DB8" w:rsidRPr="006E3081">
        <w:t>Si un fournisseur de services de radiodiffusion a collecté, avec l'accord de l'utilisateur final, des données d'utilisation et/ou des analyses d'audience, le radiodiffuseur qui fournit le contenu devrait disposer d'un accès illimité à ces données</w:t>
      </w:r>
      <w:r w:rsidRPr="006E3081">
        <w:t>.</w:t>
      </w:r>
    </w:p>
    <w:p w14:paraId="32718966" w14:textId="71267FBF" w:rsidR="00A90691" w:rsidRPr="006E3081" w:rsidRDefault="00A90691" w:rsidP="00341768">
      <w:pPr>
        <w:pStyle w:val="enumlev1"/>
      </w:pPr>
      <w:r w:rsidRPr="006E3081">
        <w:t>–</w:t>
      </w:r>
      <w:r w:rsidRPr="006E3081">
        <w:tab/>
      </w:r>
      <w:r w:rsidR="00997DB8" w:rsidRPr="006E3081">
        <w:t>Capacité à atteindre le public en cas d'urgence</w:t>
      </w:r>
      <w:r w:rsidRPr="006E3081">
        <w:t>.</w:t>
      </w:r>
    </w:p>
    <w:p w14:paraId="48B0E472" w14:textId="4676FC0C" w:rsidR="00A90691" w:rsidRPr="006E3081" w:rsidRDefault="00997DB8" w:rsidP="00341768">
      <w:r w:rsidRPr="006E3081">
        <w:t>En outre, le système de distribution devrait prendre en charge différentes options de mise en œuvre adaptées aux exigences commerciales spécifiques et à plusieurs facteurs nationaux, tels que la situation spécifique du marché, la réglementation et le public cible, entre autres</w:t>
      </w:r>
      <w:r w:rsidR="00A90691" w:rsidRPr="006E3081">
        <w:t>.</w:t>
      </w:r>
    </w:p>
    <w:p w14:paraId="4538D3D0" w14:textId="7A05C018" w:rsidR="00A90691" w:rsidRPr="006E3081" w:rsidRDefault="00A90691" w:rsidP="00341768">
      <w:pPr>
        <w:pStyle w:val="Heading2"/>
      </w:pPr>
      <w:bookmarkStart w:id="12" w:name="_Toc97756972"/>
      <w:bookmarkStart w:id="13" w:name="_Toc97757243"/>
      <w:bookmarkStart w:id="14" w:name="_Toc97816608"/>
      <w:bookmarkStart w:id="15" w:name="_Toc98311859"/>
      <w:bookmarkStart w:id="16" w:name="_Toc120026981"/>
      <w:r w:rsidRPr="006E3081">
        <w:t>2.1</w:t>
      </w:r>
      <w:r w:rsidRPr="006E3081">
        <w:tab/>
      </w:r>
      <w:r w:rsidR="002100BB" w:rsidRPr="006E3081">
        <w:t>Exigences relatives aux récepteurs</w:t>
      </w:r>
      <w:bookmarkEnd w:id="12"/>
      <w:bookmarkEnd w:id="13"/>
      <w:bookmarkEnd w:id="14"/>
      <w:bookmarkEnd w:id="15"/>
      <w:bookmarkEnd w:id="16"/>
    </w:p>
    <w:p w14:paraId="3022A9B5" w14:textId="768354E7" w:rsidR="00A90691" w:rsidRPr="006E3081" w:rsidRDefault="00561DB4" w:rsidP="00341768">
      <w:pPr>
        <w:rPr>
          <w:lang w:eastAsia="ja-JP"/>
        </w:rPr>
      </w:pPr>
      <w:r w:rsidRPr="006E3081">
        <w:rPr>
          <w:lang w:eastAsia="ja-JP"/>
        </w:rPr>
        <w:t xml:space="preserve">L'introduction de nouveaux systèmes et </w:t>
      </w:r>
      <w:r w:rsidR="00864FA0" w:rsidRPr="006E3081">
        <w:rPr>
          <w:lang w:eastAsia="ja-JP"/>
        </w:rPr>
        <w:t xml:space="preserve">de </w:t>
      </w:r>
      <w:r w:rsidRPr="006E3081">
        <w:rPr>
          <w:lang w:eastAsia="ja-JP"/>
        </w:rPr>
        <w:t>nouvelles technologies et applications doit garantir que le public puisse continuer à recevoir des services de radiodiffusion. Il est essentiel de déployer à grande échelle de nouveaux récepteurs capables de recevoir les nouveaux signaux de radiodiffusion, ce qui pourrait nécessiter une période de transition pendant laquelle les services seront diffusés simultanément par les systèmes existants et les nouveaux systèmes</w:t>
      </w:r>
      <w:r w:rsidR="00A90691" w:rsidRPr="006E3081" w:rsidDel="00A904D3">
        <w:rPr>
          <w:lang w:eastAsia="ja-JP"/>
        </w:rPr>
        <w:t>.</w:t>
      </w:r>
    </w:p>
    <w:p w14:paraId="3CD541BF" w14:textId="5092D524" w:rsidR="00A90691" w:rsidRPr="006E3081" w:rsidDel="00A904D3" w:rsidRDefault="00CF4D8A" w:rsidP="00341768">
      <w:pPr>
        <w:rPr>
          <w:lang w:eastAsia="ja-JP"/>
        </w:rPr>
      </w:pPr>
      <w:r w:rsidRPr="006E3081">
        <w:rPr>
          <w:lang w:eastAsia="ja-JP"/>
        </w:rPr>
        <w:t xml:space="preserve">Afin de faciliter la transition technologique, les récepteurs </w:t>
      </w:r>
      <w:r w:rsidR="00864FA0" w:rsidRPr="006E3081">
        <w:rPr>
          <w:lang w:eastAsia="ja-JP"/>
        </w:rPr>
        <w:t xml:space="preserve">du </w:t>
      </w:r>
      <w:r w:rsidRPr="006E3081">
        <w:rPr>
          <w:lang w:eastAsia="ja-JP"/>
        </w:rPr>
        <w:t xml:space="preserve">nouveau système mis à disposition pendant la période de diffusion simultanée devrait également être capable de recevoir les signaux </w:t>
      </w:r>
      <w:r w:rsidR="00864FA0" w:rsidRPr="006E3081">
        <w:rPr>
          <w:lang w:eastAsia="ja-JP"/>
        </w:rPr>
        <w:t xml:space="preserve">du </w:t>
      </w:r>
      <w:r w:rsidRPr="006E3081">
        <w:rPr>
          <w:lang w:eastAsia="ja-JP"/>
        </w:rPr>
        <w:t>système existant. Plus l'intégration entre les deux technologies sera transparente au niveau des récepteurs (par exemple, accès aux services de programmes transmis dans le cadre des deux</w:t>
      </w:r>
      <w:r w:rsidR="00E261D6" w:rsidRPr="006E3081">
        <w:rPr>
          <w:lang w:eastAsia="ja-JP"/>
        </w:rPr>
        <w:t> </w:t>
      </w:r>
      <w:r w:rsidRPr="006E3081">
        <w:rPr>
          <w:lang w:eastAsia="ja-JP"/>
        </w:rPr>
        <w:t>technologies par le biais de la même interface utilisateur et selon le même réglage des voies</w:t>
      </w:r>
      <w:r w:rsidR="00F05148" w:rsidRPr="006E3081">
        <w:rPr>
          <w:lang w:eastAsia="ja-JP"/>
        </w:rPr>
        <w:t>, tout en évitant</w:t>
      </w:r>
      <w:r w:rsidRPr="006E3081">
        <w:rPr>
          <w:lang w:eastAsia="ja-JP"/>
        </w:rPr>
        <w:t xml:space="preserve"> </w:t>
      </w:r>
      <w:r w:rsidR="00F05148" w:rsidRPr="006E3081">
        <w:rPr>
          <w:lang w:eastAsia="ja-JP"/>
        </w:rPr>
        <w:t>l'affichage en double au niveau du réglage du même service de programmes dans le cadre des deux technologies en supprimant automatiquement du réglage les services de programmes équivalents correspondant à la technologie précédente, le cas échéant), plus cette transition sera pratique pour le grand public</w:t>
      </w:r>
      <w:r w:rsidR="00A90691" w:rsidRPr="006E3081">
        <w:rPr>
          <w:lang w:eastAsia="ja-JP"/>
        </w:rPr>
        <w:t>.</w:t>
      </w:r>
    </w:p>
    <w:p w14:paraId="5C4810AE" w14:textId="48984FB8" w:rsidR="00A90691" w:rsidRPr="006E3081" w:rsidRDefault="00A90691" w:rsidP="00341768">
      <w:pPr>
        <w:pStyle w:val="Heading2"/>
      </w:pPr>
      <w:bookmarkStart w:id="17" w:name="_Toc97756973"/>
      <w:bookmarkStart w:id="18" w:name="_Toc97757244"/>
      <w:bookmarkStart w:id="19" w:name="_Toc97816609"/>
      <w:bookmarkStart w:id="20" w:name="_Toc98311860"/>
      <w:bookmarkStart w:id="21" w:name="_Toc120026982"/>
      <w:r w:rsidRPr="006E3081">
        <w:t>2.2</w:t>
      </w:r>
      <w:r w:rsidRPr="006E3081">
        <w:tab/>
      </w:r>
      <w:r w:rsidR="002100BB" w:rsidRPr="006E3081">
        <w:t>Exigences relatives aux services</w:t>
      </w:r>
      <w:bookmarkEnd w:id="17"/>
      <w:bookmarkEnd w:id="18"/>
      <w:bookmarkEnd w:id="19"/>
      <w:bookmarkEnd w:id="20"/>
      <w:bookmarkEnd w:id="21"/>
    </w:p>
    <w:p w14:paraId="53B4CA50" w14:textId="7907819D" w:rsidR="00A90691" w:rsidRPr="006E3081" w:rsidRDefault="001B033C" w:rsidP="00341768">
      <w:r w:rsidRPr="006E3081">
        <w:t xml:space="preserve">La qualité et les formats de l'image et du son, le nombre de programmes </w:t>
      </w:r>
      <w:r w:rsidR="00864FA0" w:rsidRPr="006E3081">
        <w:t>ainsi que</w:t>
      </w:r>
      <w:r w:rsidRPr="006E3081">
        <w:t xml:space="preserve"> les services auxiliaires détermineront la capacité de transmission requise pour chaque service de programmes. La qualité du nouveau service doit être nettement supérieure à celle du service </w:t>
      </w:r>
      <w:r w:rsidR="00864FA0" w:rsidRPr="006E3081">
        <w:t>antérieur</w:t>
      </w:r>
      <w:r w:rsidRPr="006E3081">
        <w:t xml:space="preserve"> pour que la transition technologique soit intéressante pour les utilisateurs</w:t>
      </w:r>
      <w:r w:rsidR="00A90691" w:rsidRPr="006E3081">
        <w:t>.</w:t>
      </w:r>
    </w:p>
    <w:p w14:paraId="59C23681" w14:textId="0DECAF44" w:rsidR="00A90691" w:rsidRPr="006E3081" w:rsidRDefault="001B033C" w:rsidP="00341768">
      <w:pPr>
        <w:rPr>
          <w:lang w:eastAsia="ja-JP"/>
        </w:rPr>
      </w:pPr>
      <w:r w:rsidRPr="006E3081">
        <w:rPr>
          <w:lang w:eastAsia="ja-JP"/>
        </w:rPr>
        <w:t xml:space="preserve">Les objectifs/motivations </w:t>
      </w:r>
      <w:r w:rsidR="00864FA0" w:rsidRPr="006E3081">
        <w:rPr>
          <w:lang w:eastAsia="ja-JP"/>
        </w:rPr>
        <w:t>sous-jacents à</w:t>
      </w:r>
      <w:r w:rsidRPr="006E3081">
        <w:rPr>
          <w:lang w:eastAsia="ja-JP"/>
        </w:rPr>
        <w:t xml:space="preserve"> </w:t>
      </w:r>
      <w:r w:rsidR="00864FA0" w:rsidRPr="006E3081">
        <w:rPr>
          <w:lang w:eastAsia="ja-JP"/>
        </w:rPr>
        <w:t>l'</w:t>
      </w:r>
      <w:r w:rsidRPr="006E3081">
        <w:rPr>
          <w:lang w:eastAsia="ja-JP"/>
        </w:rPr>
        <w:t>introdu</w:t>
      </w:r>
      <w:r w:rsidR="00864FA0" w:rsidRPr="006E3081">
        <w:rPr>
          <w:lang w:eastAsia="ja-JP"/>
        </w:rPr>
        <w:t>ction</w:t>
      </w:r>
      <w:r w:rsidRPr="006E3081">
        <w:rPr>
          <w:lang w:eastAsia="ja-JP"/>
        </w:rPr>
        <w:t xml:space="preserve"> de nouveaux systèmes et </w:t>
      </w:r>
      <w:r w:rsidR="00864FA0" w:rsidRPr="006E3081">
        <w:rPr>
          <w:lang w:eastAsia="ja-JP"/>
        </w:rPr>
        <w:t>de n</w:t>
      </w:r>
      <w:r w:rsidRPr="006E3081">
        <w:rPr>
          <w:lang w:eastAsia="ja-JP"/>
        </w:rPr>
        <w:t>ouvelles technologies et applications fixeront le nombre de canaux physiques, le nombre de services de programmes pour un canal et la capacité globale de transmission du système DTTB</w:t>
      </w:r>
      <w:r w:rsidR="00A90691" w:rsidRPr="006E3081">
        <w:rPr>
          <w:lang w:eastAsia="ja-JP"/>
        </w:rPr>
        <w:t>.</w:t>
      </w:r>
    </w:p>
    <w:p w14:paraId="0AB1CBBB" w14:textId="0DADC101" w:rsidR="00A90691" w:rsidRPr="006E3081" w:rsidRDefault="00474BF3" w:rsidP="00341768">
      <w:pPr>
        <w:rPr>
          <w:lang w:eastAsia="ja-JP"/>
        </w:rPr>
      </w:pPr>
      <w:r w:rsidRPr="006E3081">
        <w:rPr>
          <w:lang w:eastAsia="ja-JP"/>
        </w:rPr>
        <w:t xml:space="preserve">Il conviendrait de faire une distinction entre les exigences relatives aux services pendant la période de diffusion simultanée et une fois la transition technologique effectuée. Si les récepteurs du nouveau système sont également compatibles avec le système antérieur, il peut ne pas être nécessaire de diffuser simultanément tous les services de programmes existants. Il est toutefois souhaitable qu'au moins les services de programmes les plus populaires, dont le gain en qualité est manifeste dans le </w:t>
      </w:r>
      <w:r w:rsidRPr="006E3081">
        <w:rPr>
          <w:lang w:eastAsia="ja-JP"/>
        </w:rPr>
        <w:lastRenderedPageBreak/>
        <w:t>nouveau système, figurent parmi les premiers</w:t>
      </w:r>
      <w:r w:rsidR="005879A0" w:rsidRPr="006E3081">
        <w:rPr>
          <w:lang w:eastAsia="ja-JP"/>
        </w:rPr>
        <w:t xml:space="preserve"> à être</w:t>
      </w:r>
      <w:r w:rsidRPr="006E3081">
        <w:rPr>
          <w:lang w:eastAsia="ja-JP"/>
        </w:rPr>
        <w:t xml:space="preserve"> </w:t>
      </w:r>
      <w:r w:rsidR="005879A0" w:rsidRPr="006E3081">
        <w:rPr>
          <w:lang w:eastAsia="ja-JP"/>
        </w:rPr>
        <w:t>mis à disposition dans le cadre de la nouvelle technologie, afin de l</w:t>
      </w:r>
      <w:r w:rsidR="00864FA0" w:rsidRPr="006E3081">
        <w:rPr>
          <w:lang w:eastAsia="ja-JP"/>
        </w:rPr>
        <w:t>a</w:t>
      </w:r>
      <w:r w:rsidR="005879A0" w:rsidRPr="006E3081">
        <w:rPr>
          <w:lang w:eastAsia="ja-JP"/>
        </w:rPr>
        <w:t xml:space="preserve"> rendre plus attirant</w:t>
      </w:r>
      <w:r w:rsidR="00864FA0" w:rsidRPr="006E3081">
        <w:rPr>
          <w:lang w:eastAsia="ja-JP"/>
        </w:rPr>
        <w:t>e</w:t>
      </w:r>
      <w:r w:rsidR="00A90691" w:rsidRPr="006E3081">
        <w:rPr>
          <w:lang w:eastAsia="ja-JP"/>
        </w:rPr>
        <w:t>.</w:t>
      </w:r>
    </w:p>
    <w:p w14:paraId="61E188BE" w14:textId="2F3FB61A" w:rsidR="00A90691" w:rsidRPr="006E3081" w:rsidRDefault="005879A0" w:rsidP="00341768">
      <w:r w:rsidRPr="006E3081">
        <w:t xml:space="preserve">Le mode de réception (fixe, portable, portatif et mobile), </w:t>
      </w:r>
      <w:r w:rsidR="00133F7C" w:rsidRPr="006E3081">
        <w:t>la couverture de la zone/population cible et la disponibilité des services aux emplacements et dans le temps déterminent les paramètres de transmission</w:t>
      </w:r>
      <w:r w:rsidR="00A90691" w:rsidRPr="006E3081">
        <w:t>.</w:t>
      </w:r>
    </w:p>
    <w:p w14:paraId="2447C9A0" w14:textId="661FDD33" w:rsidR="00A90691" w:rsidRPr="006E3081" w:rsidRDefault="00A90691" w:rsidP="00341768">
      <w:pPr>
        <w:pStyle w:val="Heading2"/>
      </w:pPr>
      <w:bookmarkStart w:id="22" w:name="_Toc97756974"/>
      <w:bookmarkStart w:id="23" w:name="_Toc97757245"/>
      <w:bookmarkStart w:id="24" w:name="_Toc97816610"/>
      <w:bookmarkStart w:id="25" w:name="_Toc98311861"/>
      <w:bookmarkStart w:id="26" w:name="_Toc120026983"/>
      <w:r w:rsidRPr="006E3081">
        <w:t>2.3</w:t>
      </w:r>
      <w:r w:rsidRPr="006E3081">
        <w:tab/>
      </w:r>
      <w:r w:rsidR="002100BB" w:rsidRPr="006E3081">
        <w:t>Exigences relatives au spectre</w:t>
      </w:r>
      <w:bookmarkEnd w:id="22"/>
      <w:bookmarkEnd w:id="23"/>
      <w:bookmarkEnd w:id="24"/>
      <w:bookmarkEnd w:id="25"/>
      <w:bookmarkEnd w:id="26"/>
    </w:p>
    <w:p w14:paraId="710EC87A" w14:textId="5C21B885" w:rsidR="00A90691" w:rsidRPr="006E3081" w:rsidRDefault="00133F7C" w:rsidP="00341768">
      <w:r w:rsidRPr="006E3081">
        <w:rPr>
          <w:lang w:eastAsia="ja-JP"/>
        </w:rPr>
        <w:t xml:space="preserve">Le nombre de canaux physiques actuellement utilisés pour le service existant et le nombre de canaux </w:t>
      </w:r>
      <w:r w:rsidR="00864FA0" w:rsidRPr="006E3081">
        <w:rPr>
          <w:lang w:eastAsia="ja-JP"/>
        </w:rPr>
        <w:t xml:space="preserve">non </w:t>
      </w:r>
      <w:r w:rsidRPr="006E3081">
        <w:rPr>
          <w:lang w:eastAsia="ja-JP"/>
        </w:rPr>
        <w:t>utilisés, ainsi que les exigences identifiées ci-dessus, détermineront la stratégie fondamentale d'introduction d'un nouveau système DTTB. Les exigences relatives à la planification des réseaux portent sur le spectre nécessaire pour mettre en œuvre des réseaux DTTB qui répondent à toutes les exigences ci-dessus, le mode d'utilisation du spectre (</w:t>
      </w:r>
      <w:r w:rsidR="002B60D2" w:rsidRPr="006E3081">
        <w:t>réseau multifréquence</w:t>
      </w:r>
      <w:r w:rsidR="002B60D2" w:rsidRPr="006E3081">
        <w:rPr>
          <w:lang w:eastAsia="ja-JP"/>
        </w:rPr>
        <w:t xml:space="preserve"> (</w:t>
      </w:r>
      <w:r w:rsidRPr="006E3081">
        <w:rPr>
          <w:lang w:eastAsia="ja-JP"/>
        </w:rPr>
        <w:t>MFN</w:t>
      </w:r>
      <w:r w:rsidR="002B60D2" w:rsidRPr="006E3081">
        <w:rPr>
          <w:lang w:eastAsia="ja-JP"/>
        </w:rPr>
        <w:t>)</w:t>
      </w:r>
      <w:r w:rsidRPr="006E3081">
        <w:rPr>
          <w:lang w:eastAsia="ja-JP"/>
        </w:rPr>
        <w:t xml:space="preserve"> ou </w:t>
      </w:r>
      <w:r w:rsidR="002B60D2" w:rsidRPr="006E3081">
        <w:rPr>
          <w:lang w:eastAsia="ja-JP"/>
        </w:rPr>
        <w:t>réseau monofréquence (</w:t>
      </w:r>
      <w:r w:rsidRPr="006E3081">
        <w:rPr>
          <w:lang w:eastAsia="ja-JP"/>
        </w:rPr>
        <w:t>SFN</w:t>
      </w:r>
      <w:r w:rsidR="002B60D2" w:rsidRPr="006E3081">
        <w:rPr>
          <w:lang w:eastAsia="ja-JP"/>
        </w:rPr>
        <w:t>)</w:t>
      </w:r>
      <w:r w:rsidRPr="006E3081">
        <w:rPr>
          <w:lang w:eastAsia="ja-JP"/>
        </w:rPr>
        <w:t>), les bandes de fréquences cibles et les éventuelles nouvelles largeurs de bande des signaux. Les accords régionaux, le cas échéant (par exemple, GE06), doivent être pris en considération</w:t>
      </w:r>
      <w:r w:rsidR="00A90691" w:rsidRPr="006E3081">
        <w:t>.</w:t>
      </w:r>
    </w:p>
    <w:p w14:paraId="5F2DE9DA" w14:textId="482B7B35" w:rsidR="00A90691" w:rsidRPr="006E3081" w:rsidRDefault="00133F7C" w:rsidP="00341768">
      <w:r w:rsidRPr="006E3081">
        <w:t xml:space="preserve">Enfin, la coexistence avec d'autres systèmes primaires ou secondaires dans la même bande </w:t>
      </w:r>
      <w:r w:rsidR="002B60D2" w:rsidRPr="006E3081">
        <w:t xml:space="preserve">de fréquences </w:t>
      </w:r>
      <w:r w:rsidRPr="006E3081">
        <w:t xml:space="preserve">ou dans des bandes </w:t>
      </w:r>
      <w:r w:rsidR="002B60D2" w:rsidRPr="006E3081">
        <w:t xml:space="preserve">de fréquences </w:t>
      </w:r>
      <w:r w:rsidRPr="006E3081">
        <w:t>adjacentes doit également être étudiée au titre de cette catégorie d'exigences</w:t>
      </w:r>
      <w:r w:rsidR="00A90691" w:rsidRPr="006E3081">
        <w:t>.</w:t>
      </w:r>
    </w:p>
    <w:p w14:paraId="7F714202" w14:textId="63748DF9" w:rsidR="00A90691" w:rsidRPr="006E3081" w:rsidRDefault="00A90691" w:rsidP="00341768">
      <w:pPr>
        <w:pStyle w:val="Heading1"/>
        <w:rPr>
          <w:lang w:eastAsia="ja-JP"/>
        </w:rPr>
      </w:pPr>
      <w:bookmarkStart w:id="27" w:name="_Toc97756975"/>
      <w:bookmarkStart w:id="28" w:name="_Toc97757246"/>
      <w:bookmarkStart w:id="29" w:name="_Toc97816611"/>
      <w:bookmarkStart w:id="30" w:name="_Toc98311862"/>
      <w:bookmarkStart w:id="31" w:name="_Toc120026984"/>
      <w:r w:rsidRPr="006E3081">
        <w:rPr>
          <w:lang w:eastAsia="ja-JP"/>
        </w:rPr>
        <w:t>3</w:t>
      </w:r>
      <w:r w:rsidRPr="006E3081">
        <w:rPr>
          <w:lang w:eastAsia="ja-JP"/>
        </w:rPr>
        <w:tab/>
      </w:r>
      <w:r w:rsidR="00133F7C" w:rsidRPr="006E3081">
        <w:rPr>
          <w:lang w:eastAsia="ja-JP"/>
        </w:rPr>
        <w:t>Scénarios et méthodes applicables à la transition</w:t>
      </w:r>
      <w:bookmarkEnd w:id="27"/>
      <w:bookmarkEnd w:id="28"/>
      <w:bookmarkEnd w:id="29"/>
      <w:bookmarkEnd w:id="30"/>
      <w:bookmarkEnd w:id="31"/>
    </w:p>
    <w:p w14:paraId="36FE438F" w14:textId="545F3F31" w:rsidR="00A90691" w:rsidRPr="006E3081" w:rsidRDefault="00FC6A20" w:rsidP="00341768">
      <w:pPr>
        <w:rPr>
          <w:lang w:eastAsia="ja-JP"/>
        </w:rPr>
      </w:pPr>
      <w:r w:rsidRPr="006E3081">
        <w:rPr>
          <w:lang w:eastAsia="ja-JP"/>
        </w:rPr>
        <w:t xml:space="preserve">En fonction de l'utilisation actuelle du spectre et des exigences relatives à l'introduction de nouveaux systèmes et </w:t>
      </w:r>
      <w:r w:rsidR="003F7E08" w:rsidRPr="006E3081">
        <w:rPr>
          <w:lang w:eastAsia="ja-JP"/>
        </w:rPr>
        <w:t xml:space="preserve">de </w:t>
      </w:r>
      <w:r w:rsidRPr="006E3081">
        <w:rPr>
          <w:lang w:eastAsia="ja-JP"/>
        </w:rPr>
        <w:t xml:space="preserve">nouvelles technologies et applications, il faut élaborer différents scénarios parmi lesquels choisir la méthode qui sera la mieux adaptée pour répondre aux exigences et aux situations dans un pays ou une région. Il conviendrait également d'étudier des méthodes de coexistence entre les </w:t>
      </w:r>
      <w:r w:rsidR="003F7E08" w:rsidRPr="006E3081">
        <w:rPr>
          <w:lang w:eastAsia="ja-JP"/>
        </w:rPr>
        <w:t xml:space="preserve">nouveaux </w:t>
      </w:r>
      <w:r w:rsidRPr="006E3081">
        <w:rPr>
          <w:lang w:eastAsia="ja-JP"/>
        </w:rPr>
        <w:t xml:space="preserve">services de radiodiffusion et </w:t>
      </w:r>
      <w:r w:rsidR="003F7E08" w:rsidRPr="006E3081">
        <w:rPr>
          <w:lang w:eastAsia="ja-JP"/>
        </w:rPr>
        <w:t xml:space="preserve">les services de radiodiffusion </w:t>
      </w:r>
      <w:r w:rsidRPr="006E3081">
        <w:rPr>
          <w:lang w:eastAsia="ja-JP"/>
        </w:rPr>
        <w:t>existants pendant une période de transition</w:t>
      </w:r>
      <w:r w:rsidR="00A90691" w:rsidRPr="006E3081">
        <w:rPr>
          <w:lang w:eastAsia="ja-JP"/>
        </w:rPr>
        <w:t>.</w:t>
      </w:r>
    </w:p>
    <w:p w14:paraId="5372901A" w14:textId="4C41484B" w:rsidR="00A90691" w:rsidRPr="006E3081" w:rsidRDefault="00FC6A20" w:rsidP="00341768">
      <w:r w:rsidRPr="006E3081">
        <w:t xml:space="preserve">Deux méthodes générales peuvent être </w:t>
      </w:r>
      <w:r w:rsidR="003F7E08" w:rsidRPr="006E3081">
        <w:t>envisagées</w:t>
      </w:r>
      <w:r w:rsidRPr="006E3081">
        <w:t xml:space="preserve"> pour introduire de nouveaux systèmes et services simultanément </w:t>
      </w:r>
      <w:r w:rsidR="003F7E08" w:rsidRPr="006E3081">
        <w:t>aux</w:t>
      </w:r>
      <w:r w:rsidRPr="006E3081">
        <w:t xml:space="preserve"> services de radiodiffusion existants</w:t>
      </w:r>
      <w:r w:rsidR="00A90691" w:rsidRPr="006E3081">
        <w:t>:</w:t>
      </w:r>
    </w:p>
    <w:p w14:paraId="6D0F1666" w14:textId="0C0F606D" w:rsidR="00A90691" w:rsidRPr="006E3081" w:rsidRDefault="00A90691" w:rsidP="00341768">
      <w:pPr>
        <w:pStyle w:val="enumlev1"/>
      </w:pPr>
      <w:r w:rsidRPr="006E3081">
        <w:t>–</w:t>
      </w:r>
      <w:r w:rsidRPr="006E3081">
        <w:tab/>
      </w:r>
      <w:r w:rsidR="00FC6A20" w:rsidRPr="006E3081">
        <w:t xml:space="preserve">Méthode </w:t>
      </w:r>
      <w:r w:rsidRPr="006E3081">
        <w:t>A:</w:t>
      </w:r>
      <w:r w:rsidR="00FC6A20" w:rsidRPr="006E3081">
        <w:t xml:space="preserve"> Introdu</w:t>
      </w:r>
      <w:r w:rsidR="00F674A5" w:rsidRPr="006E3081">
        <w:t>ction d'</w:t>
      </w:r>
      <w:r w:rsidR="00FC6A20" w:rsidRPr="006E3081">
        <w:t>un nouveau service (système) dans le même canal qui est utilisé pour les services existants. On peut utiliser cette méthode lorsqu'un canal libre ne peut pas être identifié ni créé</w:t>
      </w:r>
      <w:r w:rsidR="00F315D3" w:rsidRPr="006E3081">
        <w:t xml:space="preserve"> en vue d'introduire un nouveau service</w:t>
      </w:r>
      <w:r w:rsidRPr="006E3081">
        <w:t>.</w:t>
      </w:r>
    </w:p>
    <w:p w14:paraId="76DB48E7" w14:textId="5896D7BD" w:rsidR="00A90691" w:rsidRPr="006E3081" w:rsidRDefault="00A90691" w:rsidP="00341768">
      <w:pPr>
        <w:pStyle w:val="enumlev1"/>
      </w:pPr>
      <w:r w:rsidRPr="006E3081">
        <w:t>–</w:t>
      </w:r>
      <w:r w:rsidRPr="006E3081">
        <w:tab/>
      </w:r>
      <w:r w:rsidR="00F315D3" w:rsidRPr="006E3081">
        <w:t xml:space="preserve">Méthode </w:t>
      </w:r>
      <w:r w:rsidRPr="006E3081">
        <w:t xml:space="preserve">B: </w:t>
      </w:r>
      <w:r w:rsidR="00F315D3" w:rsidRPr="006E3081">
        <w:t>Introdu</w:t>
      </w:r>
      <w:r w:rsidR="00F674A5" w:rsidRPr="006E3081">
        <w:t>ction d'</w:t>
      </w:r>
      <w:r w:rsidR="00F315D3" w:rsidRPr="006E3081">
        <w:t>un nouveau service (système) dans un canal différent qui n'est pas utilisé pour les services existants. On peut utiliser cette méthode lorsqu'un canal libre peut être identifié ou créé en vue d'introduire un nouveau service</w:t>
      </w:r>
      <w:r w:rsidRPr="006E3081">
        <w:t>.</w:t>
      </w:r>
    </w:p>
    <w:p w14:paraId="5588BDE1" w14:textId="773A3463" w:rsidR="00A90691" w:rsidRPr="006E3081" w:rsidRDefault="00F315D3" w:rsidP="00341768">
      <w:pPr>
        <w:rPr>
          <w:lang w:eastAsia="ja-JP"/>
        </w:rPr>
      </w:pPr>
      <w:r w:rsidRPr="006E3081">
        <w:t xml:space="preserve">Dans chaque cas, les services existants doivent continuer d'utiliser les récepteurs existants qui prennent uniquement en charge le système existant, y compris les mécanismes de codage des sources vidéo/audio, de multiplexage et de transmission. En outre, étant donné que les nouveaux services reposent sur de </w:t>
      </w:r>
      <w:r w:rsidR="000C21CA" w:rsidRPr="006E3081">
        <w:t xml:space="preserve">nouveaux </w:t>
      </w:r>
      <w:r w:rsidRPr="006E3081">
        <w:t>mécanismes avancés de codage des sources vidéo/audio, de multiplexage et de transmission, de nouveaux récepteurs sont nécessaires pour prendre en charge ces services</w:t>
      </w:r>
      <w:r w:rsidR="00A90691" w:rsidRPr="006E3081">
        <w:t>.</w:t>
      </w:r>
    </w:p>
    <w:p w14:paraId="79E9333B" w14:textId="1674E7F5" w:rsidR="00A90691" w:rsidRPr="006E3081" w:rsidRDefault="00F315D3" w:rsidP="00341768">
      <w:r w:rsidRPr="006E3081">
        <w:t xml:space="preserve">Bien que divers types de nouveaux services puissent être envisagés, on suppose que la TVHD et la </w:t>
      </w:r>
      <w:r w:rsidR="003F7E08" w:rsidRPr="006E3081">
        <w:t>télévision ultra-haute définition (</w:t>
      </w:r>
      <w:r w:rsidRPr="006E3081">
        <w:t>TVUHD</w:t>
      </w:r>
      <w:r w:rsidR="003F7E08" w:rsidRPr="006E3081">
        <w:t>)</w:t>
      </w:r>
      <w:r w:rsidRPr="006E3081">
        <w:t xml:space="preserve"> sont respectivement utilisées dans le cadre du service existant et du nouveau service, afin de simplifier la description donnée dans le présent paragraphe. La Fig</w:t>
      </w:r>
      <w:r w:rsidR="0071311A">
        <w:t>.</w:t>
      </w:r>
      <w:r w:rsidRPr="006E3081">
        <w:t> 1 montre le schéma fonctionnel du service TVHD existant</w:t>
      </w:r>
      <w:r w:rsidR="00A90691" w:rsidRPr="006E3081">
        <w:rPr>
          <w:lang w:eastAsia="ja-JP"/>
        </w:rPr>
        <w:t>.</w:t>
      </w:r>
    </w:p>
    <w:p w14:paraId="29C1C5E0" w14:textId="77777777" w:rsidR="00A90691" w:rsidRPr="006E3081" w:rsidRDefault="00A90691" w:rsidP="00341768">
      <w:pPr>
        <w:pStyle w:val="FigureNo"/>
      </w:pPr>
      <w:r w:rsidRPr="006E3081">
        <w:lastRenderedPageBreak/>
        <w:t>Figure 1</w:t>
      </w:r>
    </w:p>
    <w:p w14:paraId="09D0FBC5" w14:textId="47B5967C" w:rsidR="00A90691" w:rsidRPr="006E3081" w:rsidRDefault="00F315D3" w:rsidP="00341768">
      <w:pPr>
        <w:pStyle w:val="Figuretitle"/>
        <w:rPr>
          <w:lang w:eastAsia="ja-JP"/>
        </w:rPr>
      </w:pPr>
      <w:r w:rsidRPr="006E3081">
        <w:rPr>
          <w:lang w:eastAsia="ja-JP"/>
        </w:rPr>
        <w:t>Service existant</w:t>
      </w:r>
    </w:p>
    <w:p w14:paraId="6ACFFC8E" w14:textId="16124832" w:rsidR="00A4510A" w:rsidRPr="00A4510A" w:rsidRDefault="00A4510A" w:rsidP="00A4510A">
      <w:pPr>
        <w:pStyle w:val="Figure"/>
      </w:pPr>
      <w:r>
        <w:rPr>
          <w:noProof/>
        </w:rPr>
        <w:drawing>
          <wp:inline distT="0" distB="0" distL="0" distR="0" wp14:anchorId="566856A4" wp14:editId="2E9F0E5F">
            <wp:extent cx="6120765" cy="189547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1895475"/>
                    </a:xfrm>
                    <a:prstGeom prst="rect">
                      <a:avLst/>
                    </a:prstGeom>
                  </pic:spPr>
                </pic:pic>
              </a:graphicData>
            </a:graphic>
          </wp:inline>
        </w:drawing>
      </w:r>
    </w:p>
    <w:p w14:paraId="7845BF89" w14:textId="4BB6B2D4" w:rsidR="00A90691" w:rsidRPr="006E3081" w:rsidRDefault="00A90691" w:rsidP="00341768">
      <w:pPr>
        <w:pStyle w:val="Heading2"/>
      </w:pPr>
      <w:bookmarkStart w:id="32" w:name="_Toc97756976"/>
      <w:bookmarkStart w:id="33" w:name="_Toc97757247"/>
      <w:bookmarkStart w:id="34" w:name="_Toc97816612"/>
      <w:bookmarkStart w:id="35" w:name="_Toc98311863"/>
      <w:bookmarkStart w:id="36" w:name="_Toc120026985"/>
      <w:r w:rsidRPr="006E3081">
        <w:t>3.1</w:t>
      </w:r>
      <w:r w:rsidRPr="006E3081">
        <w:tab/>
      </w:r>
      <w:r w:rsidR="00F674A5" w:rsidRPr="006E3081">
        <w:t>Méthode A: Introduction d'un nouveau service dans le même canal qui est utilisé pour les services existants</w:t>
      </w:r>
      <w:bookmarkEnd w:id="32"/>
      <w:bookmarkEnd w:id="33"/>
      <w:bookmarkEnd w:id="34"/>
      <w:bookmarkEnd w:id="35"/>
      <w:bookmarkEnd w:id="36"/>
    </w:p>
    <w:p w14:paraId="26D1D565" w14:textId="3ACA5362" w:rsidR="00A90691" w:rsidRPr="006E3081" w:rsidRDefault="00F674A5" w:rsidP="00341768">
      <w:r w:rsidRPr="006E3081">
        <w:t>Deux types de méthodes peuvent être envisagés en ce qui concerne l'introduction de nouveaux services dans le même canal qui est utilisé pour les services existants</w:t>
      </w:r>
      <w:r w:rsidR="00A90691" w:rsidRPr="006E3081">
        <w:t xml:space="preserve">: 1) </w:t>
      </w:r>
      <w:r w:rsidRPr="006E3081">
        <w:t>multiplexage dans une couche plus élevée que la couche physique</w:t>
      </w:r>
      <w:r w:rsidR="00A90691" w:rsidRPr="006E3081">
        <w:t xml:space="preserve">, </w:t>
      </w:r>
      <w:r w:rsidRPr="006E3081">
        <w:t xml:space="preserve">et </w:t>
      </w:r>
      <w:r w:rsidR="00A90691" w:rsidRPr="006E3081">
        <w:t xml:space="preserve">2) </w:t>
      </w:r>
      <w:r w:rsidRPr="006E3081">
        <w:t>multiplexage dans la couche physique</w:t>
      </w:r>
      <w:r w:rsidR="00A90691" w:rsidRPr="006E3081">
        <w:t>.</w:t>
      </w:r>
    </w:p>
    <w:p w14:paraId="5AF44973" w14:textId="44429CF5" w:rsidR="00A90691" w:rsidRPr="006E3081" w:rsidRDefault="00A90691" w:rsidP="00341768">
      <w:pPr>
        <w:pStyle w:val="Heading3"/>
      </w:pPr>
      <w:bookmarkStart w:id="37" w:name="_Toc97756977"/>
      <w:bookmarkStart w:id="38" w:name="_Toc97757248"/>
      <w:bookmarkStart w:id="39" w:name="_Toc97816613"/>
      <w:r w:rsidRPr="006E3081">
        <w:rPr>
          <w:lang w:eastAsia="ja-JP"/>
        </w:rPr>
        <w:t>3.1.1</w:t>
      </w:r>
      <w:r w:rsidRPr="006E3081">
        <w:rPr>
          <w:lang w:eastAsia="ja-JP"/>
        </w:rPr>
        <w:tab/>
      </w:r>
      <w:r w:rsidR="00F674A5" w:rsidRPr="006E3081">
        <w:rPr>
          <w:lang w:eastAsia="ja-JP"/>
        </w:rPr>
        <w:t xml:space="preserve">Méthode </w:t>
      </w:r>
      <w:r w:rsidRPr="006E3081">
        <w:rPr>
          <w:lang w:eastAsia="ja-JP"/>
        </w:rPr>
        <w:t xml:space="preserve">A1: </w:t>
      </w:r>
      <w:r w:rsidR="00F674A5" w:rsidRPr="006E3081">
        <w:t>Multiplexage dans la couche de transport</w:t>
      </w:r>
      <w:bookmarkEnd w:id="37"/>
      <w:bookmarkEnd w:id="38"/>
      <w:bookmarkEnd w:id="39"/>
    </w:p>
    <w:p w14:paraId="68B29EBC" w14:textId="02E2F629" w:rsidR="00A90691" w:rsidRPr="006E3081" w:rsidRDefault="00F674A5" w:rsidP="00341768">
      <w:r w:rsidRPr="006E3081">
        <w:t>Les services existants et les nouveaux services peuvent être multiplexés dans la couche</w:t>
      </w:r>
      <w:r w:rsidR="003F7E08" w:rsidRPr="006E3081">
        <w:t xml:space="preserve"> de</w:t>
      </w:r>
      <w:r w:rsidRPr="006E3081">
        <w:t xml:space="preserve"> transport. La Fig</w:t>
      </w:r>
      <w:r w:rsidR="0071311A">
        <w:t>.</w:t>
      </w:r>
      <w:r w:rsidRPr="006E3081">
        <w:t xml:space="preserve"> 2 montre le schéma fonctionnel représentatif de cette méthode. La technologie de transmission demeurant la même, les méthodes de multiplexage </w:t>
      </w:r>
      <w:r w:rsidR="008E093E" w:rsidRPr="006E3081">
        <w:t>ci</w:t>
      </w:r>
      <w:r w:rsidR="00735757" w:rsidRPr="006E3081">
        <w:t>-dessus de la couche physique répartissent la capacité de transmission entre les services existants et les nouveaux services</w:t>
      </w:r>
      <w:r w:rsidR="00A90691" w:rsidRPr="006E3081">
        <w:t>.</w:t>
      </w:r>
    </w:p>
    <w:p w14:paraId="278089F6" w14:textId="7EED9D8E" w:rsidR="00A90691" w:rsidRPr="006E3081" w:rsidRDefault="00A90691" w:rsidP="00341768">
      <w:pPr>
        <w:pStyle w:val="Headingb"/>
      </w:pPr>
      <w:r w:rsidRPr="006E3081">
        <w:t>1)</w:t>
      </w:r>
      <w:r w:rsidRPr="006E3081">
        <w:tab/>
      </w:r>
      <w:r w:rsidR="00735757" w:rsidRPr="006E3081">
        <w:t>Service existant</w:t>
      </w:r>
    </w:p>
    <w:p w14:paraId="093958EB" w14:textId="6FFAA56E" w:rsidR="00A90691" w:rsidRPr="006E3081" w:rsidRDefault="00735757" w:rsidP="00341768">
      <w:r w:rsidRPr="006E3081">
        <w:t>Lorsque les mêmes paramètres sont utilisés pour la couche physique, la zone de service n'est pas affectée, mais la capacité est réduite, ce qui entraîne une dégradation de la qualité</w:t>
      </w:r>
      <w:r w:rsidR="00A90691" w:rsidRPr="006E3081">
        <w:t>.</w:t>
      </w:r>
    </w:p>
    <w:p w14:paraId="7814EBD6" w14:textId="7CC2514F" w:rsidR="00A90691" w:rsidRPr="006E3081" w:rsidRDefault="00A90691" w:rsidP="00341768">
      <w:pPr>
        <w:pStyle w:val="Headingb"/>
      </w:pPr>
      <w:r w:rsidRPr="006E3081">
        <w:t>2)</w:t>
      </w:r>
      <w:r w:rsidRPr="006E3081">
        <w:tab/>
      </w:r>
      <w:r w:rsidR="00735757" w:rsidRPr="006E3081">
        <w:t>Nouveau service</w:t>
      </w:r>
    </w:p>
    <w:p w14:paraId="55A860FC" w14:textId="1ACF612C" w:rsidR="00A90691" w:rsidRPr="006E3081" w:rsidRDefault="00E423FA" w:rsidP="00341768">
      <w:r w:rsidRPr="006E3081">
        <w:t>Étant donné que les paramètres de la couche physique sont communs aux services existants et aux nouveaux services, la zone de service est la même dans les deux cas. Pendant la période de diffusion simultanée, la capacité d'un nouveau service dépend de l'attribution de charge utile. Une nouvelle technologie de codage vidéo, plus efficace, est utilisée dans le cadre du nouveau service</w:t>
      </w:r>
      <w:r w:rsidR="00A90691" w:rsidRPr="006E3081">
        <w:t>.</w:t>
      </w:r>
    </w:p>
    <w:p w14:paraId="379D8148" w14:textId="77777777" w:rsidR="00A90691" w:rsidRPr="006E3081" w:rsidRDefault="00A90691" w:rsidP="00341768">
      <w:pPr>
        <w:pStyle w:val="FigureNo"/>
      </w:pPr>
      <w:r w:rsidRPr="006E3081">
        <w:t>Figure 2</w:t>
      </w:r>
    </w:p>
    <w:p w14:paraId="307589EA" w14:textId="02682EE0" w:rsidR="00A90691" w:rsidRPr="006E3081" w:rsidRDefault="00E423FA" w:rsidP="00341768">
      <w:pPr>
        <w:pStyle w:val="Figuretitle"/>
      </w:pPr>
      <w:r w:rsidRPr="006E3081">
        <w:t>Multiplexage au-dessus de la couche physique</w:t>
      </w:r>
    </w:p>
    <w:p w14:paraId="399C1751" w14:textId="0420FC28" w:rsidR="00A4510A" w:rsidRPr="00A4510A" w:rsidRDefault="00A4510A" w:rsidP="00A4510A">
      <w:pPr>
        <w:pStyle w:val="Figure"/>
      </w:pPr>
      <w:r>
        <w:rPr>
          <w:noProof/>
        </w:rPr>
        <w:drawing>
          <wp:inline distT="0" distB="0" distL="0" distR="0" wp14:anchorId="00764EB8" wp14:editId="444D34B9">
            <wp:extent cx="6120765" cy="1959610"/>
            <wp:effectExtent l="0" t="0" r="0" b="254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1959610"/>
                    </a:xfrm>
                    <a:prstGeom prst="rect">
                      <a:avLst/>
                    </a:prstGeom>
                  </pic:spPr>
                </pic:pic>
              </a:graphicData>
            </a:graphic>
          </wp:inline>
        </w:drawing>
      </w:r>
    </w:p>
    <w:p w14:paraId="1E4F5114" w14:textId="50659ABC" w:rsidR="00A90691" w:rsidRPr="006E3081" w:rsidRDefault="00A90691" w:rsidP="00341768">
      <w:pPr>
        <w:pStyle w:val="Heading3"/>
      </w:pPr>
      <w:bookmarkStart w:id="40" w:name="_Toc97756978"/>
      <w:bookmarkStart w:id="41" w:name="_Toc97757249"/>
      <w:bookmarkStart w:id="42" w:name="_Toc97816614"/>
      <w:r w:rsidRPr="006E3081">
        <w:lastRenderedPageBreak/>
        <w:t>3.1.2</w:t>
      </w:r>
      <w:r w:rsidRPr="006E3081">
        <w:tab/>
      </w:r>
      <w:r w:rsidR="00E423FA" w:rsidRPr="006E3081">
        <w:t>Multiplexage dans la couche physique</w:t>
      </w:r>
      <w:bookmarkEnd w:id="40"/>
      <w:bookmarkEnd w:id="41"/>
      <w:bookmarkEnd w:id="42"/>
    </w:p>
    <w:p w14:paraId="63E640B5" w14:textId="30CE9416" w:rsidR="00A90691" w:rsidRPr="006E3081" w:rsidRDefault="00E423FA" w:rsidP="00341768">
      <w:r w:rsidRPr="006E3081">
        <w:t xml:space="preserve">Le multiplexage dans la couche physique consiste à employer la transmission hiérarchique, à savoir le multiplexage par répartition </w:t>
      </w:r>
      <w:r w:rsidR="000C21CA" w:rsidRPr="006E3081">
        <w:t>de la</w:t>
      </w:r>
      <w:r w:rsidRPr="006E3081">
        <w:t xml:space="preserve"> fréquence (MRF), le multiplexage par répartition dans le temps (TDM) ou le multiplexage par répartition en couches (</w:t>
      </w:r>
      <w:r w:rsidR="000C21CA" w:rsidRPr="006E3081">
        <w:t>LDM</w:t>
      </w:r>
      <w:r w:rsidRPr="006E3081">
        <w:t xml:space="preserve">). </w:t>
      </w:r>
      <w:r w:rsidR="000C21CA" w:rsidRPr="006E3081">
        <w:t xml:space="preserve">Le multiplexage par répartition spatiale </w:t>
      </w:r>
      <w:r w:rsidR="008E093E" w:rsidRPr="006E3081">
        <w:t>du système à</w:t>
      </w:r>
      <w:r w:rsidR="000C21CA" w:rsidRPr="006E3081">
        <w:t xml:space="preserve"> entrées multiples</w:t>
      </w:r>
      <w:r w:rsidR="008E093E" w:rsidRPr="006E3081">
        <w:t xml:space="preserve"> et</w:t>
      </w:r>
      <w:r w:rsidR="000C21CA" w:rsidRPr="006E3081">
        <w:t xml:space="preserve"> sorties multiples (SDM-MIMO), qui utilise des polarisations différentes, peut aussi être utilisé en même temps que la transmission hiérarchique. Les services existants et les nouveaux services peuvent être transmis dans le même canal en attribuant chaque charge utile à différentes couches physiques au moyen de la fonction de transmission hiérarchique</w:t>
      </w:r>
      <w:r w:rsidR="00A90691" w:rsidRPr="006E3081">
        <w:t>.</w:t>
      </w:r>
    </w:p>
    <w:p w14:paraId="134D54CC" w14:textId="0B49D753" w:rsidR="00A90691" w:rsidRPr="006E3081" w:rsidRDefault="00A90691" w:rsidP="00341768">
      <w:pPr>
        <w:pStyle w:val="Heading4"/>
        <w:rPr>
          <w:lang w:eastAsia="ja-JP"/>
        </w:rPr>
      </w:pPr>
      <w:bookmarkStart w:id="43" w:name="_Toc97816615"/>
      <w:r w:rsidRPr="006E3081">
        <w:rPr>
          <w:lang w:eastAsia="ja-JP"/>
        </w:rPr>
        <w:t>3.1.2.1</w:t>
      </w:r>
      <w:r w:rsidRPr="006E3081">
        <w:rPr>
          <w:lang w:eastAsia="ja-JP"/>
        </w:rPr>
        <w:tab/>
      </w:r>
      <w:r w:rsidR="000C21CA" w:rsidRPr="006E3081">
        <w:rPr>
          <w:lang w:eastAsia="ja-JP"/>
        </w:rPr>
        <w:t xml:space="preserve">Méthode </w:t>
      </w:r>
      <w:r w:rsidRPr="006E3081">
        <w:rPr>
          <w:lang w:eastAsia="ja-JP"/>
        </w:rPr>
        <w:t xml:space="preserve">A2: TDM </w:t>
      </w:r>
      <w:r w:rsidR="000C21CA" w:rsidRPr="006E3081">
        <w:rPr>
          <w:lang w:eastAsia="ja-JP"/>
        </w:rPr>
        <w:t>et MRF</w:t>
      </w:r>
      <w:bookmarkEnd w:id="43"/>
    </w:p>
    <w:p w14:paraId="18BABEF3" w14:textId="107AA309" w:rsidR="00A90691" w:rsidRPr="006E3081" w:rsidRDefault="000C21CA" w:rsidP="00341768">
      <w:pPr>
        <w:rPr>
          <w:lang w:eastAsia="ja-JP"/>
        </w:rPr>
      </w:pPr>
      <w:r w:rsidRPr="006E3081">
        <w:t xml:space="preserve">La </w:t>
      </w:r>
      <w:r w:rsidR="00A90691" w:rsidRPr="006E3081">
        <w:t>Fig</w:t>
      </w:r>
      <w:r w:rsidR="0071311A">
        <w:t>. </w:t>
      </w:r>
      <w:r w:rsidR="00A90691" w:rsidRPr="006E3081">
        <w:t xml:space="preserve">3 </w:t>
      </w:r>
      <w:r w:rsidRPr="006E3081">
        <w:t xml:space="preserve">montre le schéma fonctionnel du multiplexage des services existants et des nouveaux services </w:t>
      </w:r>
      <w:r w:rsidR="008E093E" w:rsidRPr="006E3081">
        <w:t xml:space="preserve">au moyen du </w:t>
      </w:r>
      <w:r w:rsidRPr="006E3081">
        <w:t xml:space="preserve">TDM ou </w:t>
      </w:r>
      <w:r w:rsidR="008E093E" w:rsidRPr="006E3081">
        <w:t xml:space="preserve">du </w:t>
      </w:r>
      <w:r w:rsidRPr="006E3081">
        <w:t xml:space="preserve">MRF. Cette méthode peut uniquement être utilisée lorsque le service existant </w:t>
      </w:r>
      <w:r w:rsidR="008E093E" w:rsidRPr="006E3081">
        <w:t xml:space="preserve">repose sur le </w:t>
      </w:r>
      <w:r w:rsidRPr="006E3081">
        <w:t xml:space="preserve">TDM ou </w:t>
      </w:r>
      <w:r w:rsidR="008E093E" w:rsidRPr="006E3081">
        <w:t xml:space="preserve">le </w:t>
      </w:r>
      <w:r w:rsidRPr="006E3081">
        <w:t>MRF. Des nouveaux mécanismes avancés de codage des sources et de multiplexage peuvent être utilisés dans le cas des nouveaux services. Les charges utiles des services existants et des nouveaux services sont multiplexées au moyen du TDM ou du MRF</w:t>
      </w:r>
      <w:r w:rsidR="00A90691" w:rsidRPr="006E3081">
        <w:rPr>
          <w:lang w:eastAsia="ja-JP"/>
        </w:rPr>
        <w:t>.</w:t>
      </w:r>
    </w:p>
    <w:p w14:paraId="4F3C2387" w14:textId="4F40AB0A" w:rsidR="00A90691" w:rsidRPr="006E3081" w:rsidRDefault="00A90691" w:rsidP="00341768">
      <w:pPr>
        <w:pStyle w:val="Headingb"/>
      </w:pPr>
      <w:r w:rsidRPr="006E3081">
        <w:t>1)</w:t>
      </w:r>
      <w:r w:rsidRPr="006E3081">
        <w:tab/>
      </w:r>
      <w:r w:rsidR="000C21CA" w:rsidRPr="006E3081">
        <w:t>Service existant</w:t>
      </w:r>
    </w:p>
    <w:p w14:paraId="512BD52C" w14:textId="7F5A03D1" w:rsidR="00A90691" w:rsidRPr="006E3081" w:rsidRDefault="000C21CA" w:rsidP="00341768">
      <w:r w:rsidRPr="006E3081">
        <w:t>Lorsque les paramètres de transmission du service existent demeurent inchangés, la zone de service du service exist</w:t>
      </w:r>
      <w:r w:rsidR="00AB419C" w:rsidRPr="006E3081">
        <w:t>a</w:t>
      </w:r>
      <w:r w:rsidRPr="006E3081">
        <w:t>nt reste la même. Toutefois, sa capacité de transmission est réduite, ce qui entraîne une dégradation de la qualité</w:t>
      </w:r>
      <w:r w:rsidR="00A90691" w:rsidRPr="006E3081">
        <w:t>.</w:t>
      </w:r>
    </w:p>
    <w:p w14:paraId="199DDEBD" w14:textId="7EEE7E03" w:rsidR="00A90691" w:rsidRPr="006E3081" w:rsidRDefault="00A90691" w:rsidP="00341768">
      <w:pPr>
        <w:pStyle w:val="Headingb"/>
      </w:pPr>
      <w:r w:rsidRPr="006E3081">
        <w:t>2)</w:t>
      </w:r>
      <w:r w:rsidRPr="006E3081">
        <w:tab/>
      </w:r>
      <w:r w:rsidR="000C21CA" w:rsidRPr="006E3081">
        <w:t>Nouveau service</w:t>
      </w:r>
    </w:p>
    <w:p w14:paraId="5876C5C3" w14:textId="727B237D" w:rsidR="00A90691" w:rsidRPr="006E3081" w:rsidRDefault="000206BC" w:rsidP="00341768">
      <w:r w:rsidRPr="006E3081">
        <w:t>La zone de service et la capacité de transmission du nouveau service dépendent des paramètres de modulation et de</w:t>
      </w:r>
      <w:r w:rsidR="008E093E" w:rsidRPr="006E3081">
        <w:t>s</w:t>
      </w:r>
      <w:r w:rsidRPr="006E3081">
        <w:t xml:space="preserve"> technologies de correction d'erreur. Il est donc nécessaire d'avoir recours à des technologies de modulation et de correction d'erreur </w:t>
      </w:r>
      <w:r w:rsidR="000F672F" w:rsidRPr="006E3081">
        <w:t xml:space="preserve">évoluées </w:t>
      </w:r>
      <w:r w:rsidRPr="006E3081">
        <w:t xml:space="preserve">pour garantir une zone de service et </w:t>
      </w:r>
      <w:r w:rsidR="008E093E" w:rsidRPr="006E3081">
        <w:t>une</w:t>
      </w:r>
      <w:r w:rsidRPr="006E3081">
        <w:t xml:space="preserve"> capacité bien équilibrées dans le cadre du nouveau service. Grâce à des </w:t>
      </w:r>
      <w:r w:rsidR="008E093E" w:rsidRPr="006E3081">
        <w:t>technologies</w:t>
      </w:r>
      <w:r w:rsidRPr="006E3081">
        <w:t xml:space="preserve"> de codage plus efficaces, la qualité de service peut être améliorée avec une capacité limitée pendant la période de diffusion simultanée</w:t>
      </w:r>
      <w:r w:rsidR="00A90691" w:rsidRPr="006E3081">
        <w:t>.</w:t>
      </w:r>
    </w:p>
    <w:p w14:paraId="5F8DA028" w14:textId="77777777" w:rsidR="00A90691" w:rsidRPr="006E3081" w:rsidRDefault="00A90691" w:rsidP="00341768">
      <w:pPr>
        <w:pStyle w:val="FigureNo"/>
      </w:pPr>
      <w:r w:rsidRPr="006E3081">
        <w:t>Figure 3</w:t>
      </w:r>
    </w:p>
    <w:p w14:paraId="574601F6" w14:textId="1521DED4" w:rsidR="00A90691" w:rsidRPr="006E3081" w:rsidRDefault="00A90691" w:rsidP="00341768">
      <w:pPr>
        <w:pStyle w:val="Figuretitle"/>
      </w:pPr>
      <w:r w:rsidRPr="006E3081">
        <w:t xml:space="preserve">TDM </w:t>
      </w:r>
      <w:r w:rsidR="000206BC" w:rsidRPr="006E3081">
        <w:t>ou MRF</w:t>
      </w:r>
    </w:p>
    <w:p w14:paraId="30EC4BE9" w14:textId="2E6CB417" w:rsidR="00A4510A" w:rsidRDefault="00A4510A" w:rsidP="00A4510A">
      <w:pPr>
        <w:pStyle w:val="Figure"/>
      </w:pPr>
      <w:bookmarkStart w:id="44" w:name="_Toc97816616"/>
      <w:r>
        <w:rPr>
          <w:noProof/>
        </w:rPr>
        <w:drawing>
          <wp:inline distT="0" distB="0" distL="0" distR="0" wp14:anchorId="1B459AD8" wp14:editId="038AFC12">
            <wp:extent cx="6120765" cy="2508885"/>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508885"/>
                    </a:xfrm>
                    <a:prstGeom prst="rect">
                      <a:avLst/>
                    </a:prstGeom>
                  </pic:spPr>
                </pic:pic>
              </a:graphicData>
            </a:graphic>
          </wp:inline>
        </w:drawing>
      </w:r>
    </w:p>
    <w:p w14:paraId="5138A478" w14:textId="7AF6ECC6" w:rsidR="00A90691" w:rsidRPr="006E3081" w:rsidRDefault="00A90691" w:rsidP="00B24DA5">
      <w:pPr>
        <w:pStyle w:val="Heading4"/>
        <w:rPr>
          <w:lang w:eastAsia="ja-JP"/>
        </w:rPr>
      </w:pPr>
      <w:r w:rsidRPr="006E3081">
        <w:rPr>
          <w:lang w:eastAsia="ja-JP"/>
        </w:rPr>
        <w:lastRenderedPageBreak/>
        <w:t>3.1.2.2</w:t>
      </w:r>
      <w:r w:rsidRPr="006E3081">
        <w:rPr>
          <w:lang w:eastAsia="ja-JP"/>
        </w:rPr>
        <w:tab/>
      </w:r>
      <w:r w:rsidR="000206BC" w:rsidRPr="006E3081">
        <w:rPr>
          <w:lang w:eastAsia="ja-JP"/>
        </w:rPr>
        <w:t xml:space="preserve">Méthode </w:t>
      </w:r>
      <w:r w:rsidRPr="006E3081">
        <w:rPr>
          <w:lang w:eastAsia="ja-JP"/>
        </w:rPr>
        <w:t>A3: LDM</w:t>
      </w:r>
      <w:bookmarkEnd w:id="44"/>
    </w:p>
    <w:p w14:paraId="050A676A" w14:textId="21B4CF4F" w:rsidR="00A90691" w:rsidRPr="006E3081" w:rsidRDefault="000206BC" w:rsidP="00B24DA5">
      <w:pPr>
        <w:keepNext/>
        <w:keepLines/>
      </w:pPr>
      <w:r w:rsidRPr="006E3081">
        <w:rPr>
          <w:lang w:eastAsia="ja-JP"/>
        </w:rPr>
        <w:t xml:space="preserve">La </w:t>
      </w:r>
      <w:r w:rsidR="00A90691" w:rsidRPr="006E3081">
        <w:rPr>
          <w:lang w:eastAsia="ja-JP"/>
        </w:rPr>
        <w:t>Fig</w:t>
      </w:r>
      <w:r w:rsidR="0071311A">
        <w:rPr>
          <w:lang w:eastAsia="ja-JP"/>
        </w:rPr>
        <w:t>.</w:t>
      </w:r>
      <w:r w:rsidR="00A4510A">
        <w:rPr>
          <w:lang w:eastAsia="ja-JP"/>
        </w:rPr>
        <w:t> </w:t>
      </w:r>
      <w:r w:rsidR="00A90691" w:rsidRPr="006E3081">
        <w:rPr>
          <w:lang w:eastAsia="ja-JP"/>
        </w:rPr>
        <w:t xml:space="preserve">4 </w:t>
      </w:r>
      <w:r w:rsidRPr="006E3081">
        <w:rPr>
          <w:lang w:eastAsia="ja-JP"/>
        </w:rPr>
        <w:t xml:space="preserve">montre le schéma fonctionnel du multiplexage de services existants et de nouveaux services au moyen du </w:t>
      </w:r>
      <w:r w:rsidR="00A90691" w:rsidRPr="006E3081">
        <w:rPr>
          <w:lang w:eastAsia="ja-JP"/>
        </w:rPr>
        <w:t xml:space="preserve">LDM. </w:t>
      </w:r>
      <w:r w:rsidRPr="006E3081">
        <w:rPr>
          <w:lang w:eastAsia="ja-JP"/>
        </w:rPr>
        <w:t xml:space="preserve">La </w:t>
      </w:r>
      <w:r w:rsidR="00A90691" w:rsidRPr="006E3081">
        <w:rPr>
          <w:lang w:eastAsia="ja-JP"/>
        </w:rPr>
        <w:t>Fig</w:t>
      </w:r>
      <w:r w:rsidR="0071311A">
        <w:rPr>
          <w:lang w:eastAsia="ja-JP"/>
        </w:rPr>
        <w:t>. </w:t>
      </w:r>
      <w:r w:rsidR="00A90691" w:rsidRPr="006E3081">
        <w:rPr>
          <w:lang w:eastAsia="ja-JP"/>
        </w:rPr>
        <w:t xml:space="preserve">4a) </w:t>
      </w:r>
      <w:r w:rsidRPr="006E3081">
        <w:rPr>
          <w:lang w:eastAsia="ja-JP"/>
        </w:rPr>
        <w:t>montre la méthode de multiplexage</w:t>
      </w:r>
      <w:r w:rsidR="00F64A59" w:rsidRPr="006E3081">
        <w:rPr>
          <w:lang w:eastAsia="ja-JP"/>
        </w:rPr>
        <w:t xml:space="preserve"> des signaux et leur synchronisation dans le modulateur</w:t>
      </w:r>
      <w:r w:rsidR="00A90691" w:rsidRPr="006E3081">
        <w:rPr>
          <w:lang w:eastAsia="ja-JP"/>
        </w:rPr>
        <w:t xml:space="preserve">. </w:t>
      </w:r>
      <w:r w:rsidR="00F64A59" w:rsidRPr="006E3081">
        <w:rPr>
          <w:lang w:eastAsia="ja-JP"/>
        </w:rPr>
        <w:t xml:space="preserve">La </w:t>
      </w:r>
      <w:r w:rsidR="00A90691" w:rsidRPr="006E3081">
        <w:rPr>
          <w:lang w:eastAsia="ja-JP"/>
        </w:rPr>
        <w:t>Fig</w:t>
      </w:r>
      <w:r w:rsidR="0071311A">
        <w:rPr>
          <w:lang w:eastAsia="ja-JP"/>
        </w:rPr>
        <w:t>. </w:t>
      </w:r>
      <w:r w:rsidR="00A90691" w:rsidRPr="006E3081">
        <w:rPr>
          <w:lang w:eastAsia="ja-JP"/>
        </w:rPr>
        <w:t xml:space="preserve">4b) </w:t>
      </w:r>
      <w:r w:rsidR="00F64A59" w:rsidRPr="006E3081">
        <w:rPr>
          <w:lang w:eastAsia="ja-JP"/>
        </w:rPr>
        <w:t>montre une autre méthode de multiplexage des signaux sans synchronisation</w:t>
      </w:r>
      <w:r w:rsidR="008E093E" w:rsidRPr="006E3081">
        <w:rPr>
          <w:lang w:eastAsia="ja-JP"/>
        </w:rPr>
        <w:t>,</w:t>
      </w:r>
      <w:r w:rsidR="00F64A59" w:rsidRPr="006E3081">
        <w:rPr>
          <w:lang w:eastAsia="ja-JP"/>
        </w:rPr>
        <w:t xml:space="preserve"> qui peut être utilisée dans tout système de radiodiffusion existant et être combinée </w:t>
      </w:r>
      <w:r w:rsidR="00F962AB" w:rsidRPr="006E3081">
        <w:rPr>
          <w:lang w:eastAsia="ja-JP"/>
        </w:rPr>
        <w:t xml:space="preserve">au </w:t>
      </w:r>
      <w:r w:rsidR="00F64A59" w:rsidRPr="006E3081">
        <w:rPr>
          <w:lang w:eastAsia="ja-JP"/>
        </w:rPr>
        <w:t xml:space="preserve">TDM ou </w:t>
      </w:r>
      <w:r w:rsidR="00F962AB" w:rsidRPr="006E3081">
        <w:rPr>
          <w:lang w:eastAsia="ja-JP"/>
        </w:rPr>
        <w:t xml:space="preserve">au </w:t>
      </w:r>
      <w:r w:rsidR="00F64A59" w:rsidRPr="006E3081">
        <w:rPr>
          <w:lang w:eastAsia="ja-JP"/>
        </w:rPr>
        <w:t xml:space="preserve">MRF. Les nouveaux services </w:t>
      </w:r>
      <w:r w:rsidR="008E093E" w:rsidRPr="006E3081">
        <w:rPr>
          <w:lang w:eastAsia="ja-JP"/>
        </w:rPr>
        <w:t xml:space="preserve">peuvent </w:t>
      </w:r>
      <w:r w:rsidR="00F64A59" w:rsidRPr="006E3081">
        <w:rPr>
          <w:lang w:eastAsia="ja-JP"/>
        </w:rPr>
        <w:t>utilise</w:t>
      </w:r>
      <w:r w:rsidR="008E093E" w:rsidRPr="006E3081">
        <w:rPr>
          <w:lang w:eastAsia="ja-JP"/>
        </w:rPr>
        <w:t>r</w:t>
      </w:r>
      <w:r w:rsidR="00F64A59" w:rsidRPr="006E3081">
        <w:rPr>
          <w:lang w:eastAsia="ja-JP"/>
        </w:rPr>
        <w:t xml:space="preserve"> un nouveau système de radiodiffusion et une largeur de bande étendue. Le signal du nouveau service est introduit dans la couche inférieure et superpos</w:t>
      </w:r>
      <w:r w:rsidR="008E093E" w:rsidRPr="006E3081">
        <w:rPr>
          <w:lang w:eastAsia="ja-JP"/>
        </w:rPr>
        <w:t>é</w:t>
      </w:r>
      <w:r w:rsidR="00F64A59" w:rsidRPr="006E3081">
        <w:rPr>
          <w:lang w:eastAsia="ja-JP"/>
        </w:rPr>
        <w:t>e sur le signal de radiodiffusion existant dans la couche supérieure. Le</w:t>
      </w:r>
      <w:r w:rsidR="0071311A">
        <w:rPr>
          <w:lang w:eastAsia="ja-JP"/>
        </w:rPr>
        <w:t> </w:t>
      </w:r>
      <w:r w:rsidR="00F64A59" w:rsidRPr="006E3081">
        <w:rPr>
          <w:lang w:eastAsia="ja-JP"/>
        </w:rPr>
        <w:t>LDM peut s'avérer plus efficace que le MRF ou le TDM, notamment lorsque le rapport</w:t>
      </w:r>
      <w:r w:rsidR="008E093E" w:rsidRPr="006E3081">
        <w:rPr>
          <w:lang w:eastAsia="ja-JP"/>
        </w:rPr>
        <w:t xml:space="preserve"> porteuse/bruit</w:t>
      </w:r>
      <w:r w:rsidR="00AB419C" w:rsidRPr="006E3081">
        <w:rPr>
          <w:lang w:eastAsia="ja-JP"/>
        </w:rPr>
        <w:t> </w:t>
      </w:r>
      <w:r w:rsidR="00F64A59" w:rsidRPr="006E3081">
        <w:rPr>
          <w:i/>
          <w:iCs/>
          <w:lang w:eastAsia="ja-JP"/>
        </w:rPr>
        <w:t>C</w:t>
      </w:r>
      <w:r w:rsidR="00F64A59" w:rsidRPr="006E3081">
        <w:rPr>
          <w:lang w:eastAsia="ja-JP"/>
        </w:rPr>
        <w:t>/</w:t>
      </w:r>
      <w:r w:rsidR="00F64A59" w:rsidRPr="006E3081">
        <w:rPr>
          <w:i/>
          <w:iCs/>
          <w:lang w:eastAsia="ja-JP"/>
        </w:rPr>
        <w:t>N</w:t>
      </w:r>
      <w:r w:rsidR="00F64A59" w:rsidRPr="006E3081">
        <w:rPr>
          <w:lang w:eastAsia="ja-JP"/>
        </w:rPr>
        <w:t xml:space="preserve"> requis entre la couche supérieure et la couche inférieure est </w:t>
      </w:r>
      <w:r w:rsidR="00EB19FA" w:rsidRPr="006E3081">
        <w:rPr>
          <w:lang w:eastAsia="ja-JP"/>
        </w:rPr>
        <w:t>différent</w:t>
      </w:r>
      <w:r w:rsidR="00F64A59" w:rsidRPr="006E3081">
        <w:rPr>
          <w:lang w:eastAsia="ja-JP"/>
        </w:rPr>
        <w:t xml:space="preserve">, mais son utilisation </w:t>
      </w:r>
      <w:r w:rsidR="008E093E" w:rsidRPr="006E3081">
        <w:rPr>
          <w:lang w:eastAsia="ja-JP"/>
        </w:rPr>
        <w:t>suppose de disposer d'</w:t>
      </w:r>
      <w:r w:rsidR="00F64A59" w:rsidRPr="006E3081">
        <w:rPr>
          <w:lang w:eastAsia="ja-JP"/>
        </w:rPr>
        <w:t>un récepteur plus complexe</w:t>
      </w:r>
      <w:r w:rsidR="00A90691" w:rsidRPr="006E3081">
        <w:t>.</w:t>
      </w:r>
    </w:p>
    <w:p w14:paraId="7B2DFC7C" w14:textId="0B293380" w:rsidR="00A90691" w:rsidRPr="006E3081" w:rsidRDefault="00A90691" w:rsidP="00341768">
      <w:pPr>
        <w:pStyle w:val="Headingb"/>
      </w:pPr>
      <w:r w:rsidRPr="006E3081">
        <w:t>1)</w:t>
      </w:r>
      <w:r w:rsidRPr="006E3081">
        <w:tab/>
      </w:r>
      <w:r w:rsidR="00F64A59" w:rsidRPr="006E3081">
        <w:t>Service existant</w:t>
      </w:r>
    </w:p>
    <w:p w14:paraId="2E3C1CFB" w14:textId="137A4202" w:rsidR="00A90691" w:rsidRPr="006E3081" w:rsidRDefault="00F64A59" w:rsidP="00341768">
      <w:r w:rsidRPr="006E3081">
        <w:t>Pour assurer une protection accrue contre les brouillages causés par le nouveau service, il faut modifier les paramètres d</w:t>
      </w:r>
      <w:r w:rsidR="00F962AB" w:rsidRPr="006E3081">
        <w:t xml:space="preserve">e transmission </w:t>
      </w:r>
      <w:r w:rsidRPr="006E3081">
        <w:t>du service existant. Cela réduit toutefois la capacité si l'on veut conserver la zone d</w:t>
      </w:r>
      <w:r w:rsidR="00F962AB" w:rsidRPr="006E3081">
        <w:t>e</w:t>
      </w:r>
      <w:r w:rsidRPr="006E3081">
        <w:t xml:space="preserve"> service de radiodiffusion existant</w:t>
      </w:r>
      <w:r w:rsidR="00F962AB" w:rsidRPr="006E3081">
        <w:t>e</w:t>
      </w:r>
      <w:r w:rsidRPr="006E3081">
        <w:t xml:space="preserve">. Si les paramètres de la couche physique appliqués au service existant </w:t>
      </w:r>
      <w:r w:rsidR="00F962AB" w:rsidRPr="006E3081">
        <w:t>demeurent</w:t>
      </w:r>
      <w:r w:rsidRPr="006E3081">
        <w:t xml:space="preserve"> inchangés, la zone de service est réduite en raison des brouillages causés par le signal du nouveau service</w:t>
      </w:r>
      <w:r w:rsidR="00A90691" w:rsidRPr="006E3081">
        <w:t>.</w:t>
      </w:r>
    </w:p>
    <w:p w14:paraId="53308D71" w14:textId="46A9721E" w:rsidR="00A90691" w:rsidRPr="006E3081" w:rsidRDefault="00A90691" w:rsidP="00341768">
      <w:pPr>
        <w:pStyle w:val="Headingb"/>
      </w:pPr>
      <w:r w:rsidRPr="006E3081">
        <w:t>2)</w:t>
      </w:r>
      <w:r w:rsidRPr="006E3081">
        <w:tab/>
      </w:r>
      <w:r w:rsidR="00F64A59" w:rsidRPr="006E3081">
        <w:t>Nouveau service</w:t>
      </w:r>
    </w:p>
    <w:p w14:paraId="08AF141A" w14:textId="4D448837" w:rsidR="00A90691" w:rsidRPr="006E3081" w:rsidRDefault="00F64A59" w:rsidP="00341768">
      <w:r w:rsidRPr="006E3081">
        <w:t>Afin de réduire les brouillages causés au service existant, il faut diminuer la puissance d</w:t>
      </w:r>
      <w:r w:rsidR="00F962AB" w:rsidRPr="006E3081">
        <w:t xml:space="preserve">e transmission </w:t>
      </w:r>
      <w:r w:rsidRPr="006E3081">
        <w:t xml:space="preserve">du nouveau service, ce qui </w:t>
      </w:r>
      <w:r w:rsidR="003A2F71" w:rsidRPr="006E3081">
        <w:t>restreint</w:t>
      </w:r>
      <w:r w:rsidRPr="006E3081">
        <w:t xml:space="preserve"> la zone de service. Pour </w:t>
      </w:r>
      <w:r w:rsidR="00F962AB" w:rsidRPr="006E3081">
        <w:t>conserver</w:t>
      </w:r>
      <w:r w:rsidRPr="006E3081">
        <w:t xml:space="preserve"> la même zone de service que pour le service existant, malgré une puissance d</w:t>
      </w:r>
      <w:r w:rsidR="00F962AB" w:rsidRPr="006E3081">
        <w:t xml:space="preserve">e transmission </w:t>
      </w:r>
      <w:r w:rsidRPr="006E3081">
        <w:t>moindre, il convient d'utiliser des paramètres d</w:t>
      </w:r>
      <w:r w:rsidR="00F962AB" w:rsidRPr="006E3081">
        <w:t xml:space="preserve">e transmission </w:t>
      </w:r>
      <w:r w:rsidR="003A2F71" w:rsidRPr="006E3081">
        <w:t xml:space="preserve">plus </w:t>
      </w:r>
      <w:r w:rsidR="00F962AB" w:rsidRPr="006E3081">
        <w:t>stricts</w:t>
      </w:r>
      <w:r w:rsidR="003A2F71" w:rsidRPr="006E3081">
        <w:t>, ce qui réduit la capacité de transmission</w:t>
      </w:r>
      <w:r w:rsidR="00A90691" w:rsidRPr="006E3081">
        <w:t>.</w:t>
      </w:r>
    </w:p>
    <w:p w14:paraId="3269F700" w14:textId="77777777" w:rsidR="00A90691" w:rsidRPr="006E3081" w:rsidRDefault="00A90691" w:rsidP="00341768">
      <w:pPr>
        <w:pStyle w:val="FigureNo"/>
      </w:pPr>
      <w:r w:rsidRPr="006E3081">
        <w:lastRenderedPageBreak/>
        <w:t>Figure 4</w:t>
      </w:r>
    </w:p>
    <w:p w14:paraId="26358F39" w14:textId="77777777" w:rsidR="00A90691" w:rsidRPr="006E3081" w:rsidRDefault="00A90691" w:rsidP="00341768">
      <w:pPr>
        <w:pStyle w:val="Figuretitle"/>
      </w:pPr>
      <w:r w:rsidRPr="006E3081">
        <w:t>LDM</w:t>
      </w:r>
    </w:p>
    <w:p w14:paraId="3F75392C" w14:textId="60838C4F" w:rsidR="0071311A" w:rsidRPr="0071311A" w:rsidRDefault="0071311A" w:rsidP="0071311A">
      <w:pPr>
        <w:pStyle w:val="Figure"/>
      </w:pPr>
      <w:r>
        <w:rPr>
          <w:noProof/>
        </w:rPr>
        <w:drawing>
          <wp:inline distT="0" distB="0" distL="0" distR="0" wp14:anchorId="31AA91A2" wp14:editId="1AFBF510">
            <wp:extent cx="6120765" cy="6878955"/>
            <wp:effectExtent l="0" t="0" r="0" b="0"/>
            <wp:docPr id="4" name="Picture 4" descr="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a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6878955"/>
                    </a:xfrm>
                    <a:prstGeom prst="rect">
                      <a:avLst/>
                    </a:prstGeom>
                  </pic:spPr>
                </pic:pic>
              </a:graphicData>
            </a:graphic>
          </wp:inline>
        </w:drawing>
      </w:r>
    </w:p>
    <w:p w14:paraId="55911EE2" w14:textId="0E207869" w:rsidR="00A90691" w:rsidRPr="006E3081" w:rsidRDefault="00A90691" w:rsidP="00341768">
      <w:pPr>
        <w:pStyle w:val="Heading4"/>
        <w:rPr>
          <w:lang w:eastAsia="ja-JP"/>
        </w:rPr>
      </w:pPr>
      <w:bookmarkStart w:id="45" w:name="_Toc97816617"/>
      <w:r w:rsidRPr="006E3081">
        <w:rPr>
          <w:lang w:eastAsia="ja-JP"/>
        </w:rPr>
        <w:t>3.1.2.3</w:t>
      </w:r>
      <w:r w:rsidRPr="006E3081">
        <w:rPr>
          <w:lang w:eastAsia="ja-JP"/>
        </w:rPr>
        <w:tab/>
      </w:r>
      <w:r w:rsidR="00EB19FA" w:rsidRPr="006E3081">
        <w:rPr>
          <w:lang w:eastAsia="ja-JP"/>
        </w:rPr>
        <w:t xml:space="preserve">Méthode </w:t>
      </w:r>
      <w:r w:rsidRPr="006E3081">
        <w:rPr>
          <w:lang w:eastAsia="ja-JP"/>
        </w:rPr>
        <w:t>A4: SDM-MIMO</w:t>
      </w:r>
      <w:bookmarkEnd w:id="45"/>
    </w:p>
    <w:p w14:paraId="3B5A9CBE" w14:textId="07986174" w:rsidR="00A90691" w:rsidRPr="006E3081" w:rsidRDefault="00EB19FA" w:rsidP="00341768">
      <w:r w:rsidRPr="006E3081">
        <w:rPr>
          <w:lang w:eastAsia="ja-JP"/>
        </w:rPr>
        <w:t xml:space="preserve">La </w:t>
      </w:r>
      <w:r w:rsidR="00A90691" w:rsidRPr="006E3081">
        <w:rPr>
          <w:lang w:eastAsia="ja-JP"/>
        </w:rPr>
        <w:t>Fig</w:t>
      </w:r>
      <w:r w:rsidR="0071311A">
        <w:rPr>
          <w:lang w:eastAsia="ja-JP"/>
        </w:rPr>
        <w:t>. </w:t>
      </w:r>
      <w:r w:rsidR="00A90691" w:rsidRPr="006E3081">
        <w:rPr>
          <w:lang w:eastAsia="ja-JP"/>
        </w:rPr>
        <w:t xml:space="preserve">5 </w:t>
      </w:r>
      <w:r w:rsidRPr="006E3081">
        <w:rPr>
          <w:lang w:eastAsia="ja-JP"/>
        </w:rPr>
        <w:t xml:space="preserve">montre le schéma fonctionnel du multiplexage des services existants et des nouveaux services </w:t>
      </w:r>
      <w:r w:rsidR="00F962AB" w:rsidRPr="006E3081">
        <w:rPr>
          <w:lang w:eastAsia="ja-JP"/>
        </w:rPr>
        <w:t xml:space="preserve">au moyen du </w:t>
      </w:r>
      <w:r w:rsidR="00A90691" w:rsidRPr="006E3081">
        <w:rPr>
          <w:lang w:eastAsia="ja-JP"/>
        </w:rPr>
        <w:t>SDM</w:t>
      </w:r>
      <w:r w:rsidR="00A90691" w:rsidRPr="006E3081">
        <w:t>-</w:t>
      </w:r>
      <w:r w:rsidR="00A90691" w:rsidRPr="006E3081">
        <w:rPr>
          <w:lang w:eastAsia="ja-JP"/>
        </w:rPr>
        <w:t>MIMO.</w:t>
      </w:r>
      <w:r w:rsidR="00A90691" w:rsidRPr="006E3081">
        <w:t xml:space="preserve"> </w:t>
      </w:r>
      <w:r w:rsidRPr="006E3081">
        <w:t xml:space="preserve">Cette méthode peut être utilisée </w:t>
      </w:r>
      <w:r w:rsidRPr="006E3081">
        <w:rPr>
          <w:lang w:eastAsia="ja-JP"/>
        </w:rPr>
        <w:t xml:space="preserve">dans tout système de radiodiffusion existant et être combinée </w:t>
      </w:r>
      <w:r w:rsidR="00F962AB" w:rsidRPr="006E3081">
        <w:rPr>
          <w:lang w:eastAsia="ja-JP"/>
        </w:rPr>
        <w:t xml:space="preserve">au </w:t>
      </w:r>
      <w:r w:rsidRPr="006E3081">
        <w:rPr>
          <w:lang w:eastAsia="ja-JP"/>
        </w:rPr>
        <w:t xml:space="preserve">TDM ou </w:t>
      </w:r>
      <w:r w:rsidR="00F962AB" w:rsidRPr="006E3081">
        <w:rPr>
          <w:lang w:eastAsia="ja-JP"/>
        </w:rPr>
        <w:t xml:space="preserve">au </w:t>
      </w:r>
      <w:r w:rsidRPr="006E3081">
        <w:rPr>
          <w:lang w:eastAsia="ja-JP"/>
        </w:rPr>
        <w:t>MRF. Les nouveaux services utilisant le nouveau système de radiodiffusion et une largeur de bande étendue peuvent être transmis au moyen d'un</w:t>
      </w:r>
      <w:r w:rsidR="00F962AB" w:rsidRPr="006E3081">
        <w:rPr>
          <w:lang w:eastAsia="ja-JP"/>
        </w:rPr>
        <w:t>e</w:t>
      </w:r>
      <w:r w:rsidRPr="006E3081">
        <w:rPr>
          <w:lang w:eastAsia="ja-JP"/>
        </w:rPr>
        <w:t xml:space="preserve"> polarisation opposée. Cette méthode peut s'avérer plus efficace que le MRF ou le TDM, mais il convient de noter qu'elle repose sur la discrimination de polarisation qui peut être obtenue lorsque la polarisation des antennes de réception correspond à celle du signal utile, que l'on ne peut </w:t>
      </w:r>
      <w:r w:rsidRPr="006E3081">
        <w:rPr>
          <w:lang w:eastAsia="ja-JP"/>
        </w:rPr>
        <w:lastRenderedPageBreak/>
        <w:t>généralement prendre pour hypothèse que dans le cas de la réception fixe en extérieur. Pour ce qui est de la réception DTTB portable/mobile, on ne peut supposer aucune discrimination de polarisation des antennes de réception, de sorte que cette méthode ne peut être appliquée</w:t>
      </w:r>
      <w:r w:rsidR="00A90691" w:rsidRPr="006E3081">
        <w:t>.</w:t>
      </w:r>
    </w:p>
    <w:p w14:paraId="1E3BFA4B" w14:textId="56CD43F3" w:rsidR="00A90691" w:rsidRPr="006E3081" w:rsidRDefault="00A90691" w:rsidP="00341768">
      <w:pPr>
        <w:pStyle w:val="Headingb"/>
      </w:pPr>
      <w:r w:rsidRPr="006E3081">
        <w:t>1)</w:t>
      </w:r>
      <w:r w:rsidRPr="006E3081">
        <w:tab/>
      </w:r>
      <w:r w:rsidR="00EB19FA" w:rsidRPr="006E3081">
        <w:t>Service existant</w:t>
      </w:r>
    </w:p>
    <w:p w14:paraId="7DFDDDD8" w14:textId="23D4F14E" w:rsidR="00A90691" w:rsidRPr="006E3081" w:rsidRDefault="00EB19FA" w:rsidP="00341768">
      <w:r w:rsidRPr="006E3081">
        <w:t>Pour assurer une protection accrue contre les brouillages causés par le nouveau service, il faut modifier les paramètres d</w:t>
      </w:r>
      <w:r w:rsidR="00F962AB" w:rsidRPr="006E3081">
        <w:t xml:space="preserve">e transmission </w:t>
      </w:r>
      <w:r w:rsidRPr="006E3081">
        <w:t>du service existant. Cela réduit toutefois la capacité si l'on veut conserver la zone d</w:t>
      </w:r>
      <w:r w:rsidR="00F962AB" w:rsidRPr="006E3081">
        <w:t>e</w:t>
      </w:r>
      <w:r w:rsidRPr="006E3081">
        <w:t xml:space="preserve"> service de radiodiffusion existant</w:t>
      </w:r>
      <w:r w:rsidR="00F962AB" w:rsidRPr="006E3081">
        <w:t>e</w:t>
      </w:r>
      <w:r w:rsidRPr="006E3081">
        <w:t xml:space="preserve">. Si les paramètres de la couche physique appliqués au service existant </w:t>
      </w:r>
      <w:r w:rsidR="00F962AB" w:rsidRPr="006E3081">
        <w:t xml:space="preserve">demeurent </w:t>
      </w:r>
      <w:r w:rsidRPr="006E3081">
        <w:t>inchangés, la zone de service est réduite en raison des brouillages causés par le signal du nouveau service</w:t>
      </w:r>
      <w:r w:rsidR="00A90691" w:rsidRPr="006E3081">
        <w:t>.</w:t>
      </w:r>
    </w:p>
    <w:p w14:paraId="0F349611" w14:textId="1BB4A68C" w:rsidR="00A90691" w:rsidRPr="006E3081" w:rsidRDefault="00A90691" w:rsidP="00341768">
      <w:pPr>
        <w:pStyle w:val="Headingb"/>
      </w:pPr>
      <w:r w:rsidRPr="006E3081">
        <w:t>2)</w:t>
      </w:r>
      <w:r w:rsidRPr="006E3081">
        <w:tab/>
      </w:r>
      <w:r w:rsidR="00EB19FA" w:rsidRPr="006E3081">
        <w:t>Nouveau service</w:t>
      </w:r>
    </w:p>
    <w:p w14:paraId="6F6DC18C" w14:textId="0FF36171" w:rsidR="00A90691" w:rsidRPr="006E3081" w:rsidRDefault="001A34A9" w:rsidP="00341768">
      <w:r w:rsidRPr="006E3081">
        <w:t xml:space="preserve">Afin de réduire les brouillages causés au service existant, il faut diminuer la puissance </w:t>
      </w:r>
      <w:r w:rsidR="00F962AB" w:rsidRPr="006E3081">
        <w:t xml:space="preserve">de transmission </w:t>
      </w:r>
      <w:r w:rsidRPr="006E3081">
        <w:t xml:space="preserve">du nouveau service, ce qui restreint la zone de service. Pour </w:t>
      </w:r>
      <w:r w:rsidR="00F962AB" w:rsidRPr="006E3081">
        <w:t>conserver</w:t>
      </w:r>
      <w:r w:rsidRPr="006E3081">
        <w:t xml:space="preserve"> la même zone de service que pour le service existant, malgré une puissance </w:t>
      </w:r>
      <w:r w:rsidR="00F962AB" w:rsidRPr="006E3081">
        <w:t xml:space="preserve">de transmission </w:t>
      </w:r>
      <w:r w:rsidRPr="006E3081">
        <w:t xml:space="preserve">moindre, il convient d'utiliser des paramètres </w:t>
      </w:r>
      <w:r w:rsidR="00F962AB" w:rsidRPr="006E3081">
        <w:t xml:space="preserve">de transmission </w:t>
      </w:r>
      <w:r w:rsidRPr="006E3081">
        <w:t xml:space="preserve">plus </w:t>
      </w:r>
      <w:r w:rsidR="00F962AB" w:rsidRPr="006E3081">
        <w:t>stricts</w:t>
      </w:r>
      <w:r w:rsidRPr="006E3081">
        <w:t>, ce qui réduit la capacité de transmission</w:t>
      </w:r>
      <w:r w:rsidR="00A90691" w:rsidRPr="006E3081">
        <w:t>.</w:t>
      </w:r>
    </w:p>
    <w:p w14:paraId="60A6FA9D" w14:textId="77777777" w:rsidR="00A90691" w:rsidRPr="006E3081" w:rsidRDefault="00A90691" w:rsidP="00341768">
      <w:pPr>
        <w:pStyle w:val="FigureNo"/>
      </w:pPr>
      <w:r w:rsidRPr="006E3081">
        <w:t>Figure 5</w:t>
      </w:r>
    </w:p>
    <w:p w14:paraId="00E94277" w14:textId="77777777" w:rsidR="00A90691" w:rsidRPr="006E3081" w:rsidRDefault="00A90691" w:rsidP="00341768">
      <w:pPr>
        <w:pStyle w:val="Figuretitle"/>
      </w:pPr>
      <w:r w:rsidRPr="006E3081">
        <w:t>SDM-MIMO</w:t>
      </w:r>
    </w:p>
    <w:p w14:paraId="22A4A960" w14:textId="6F20892F" w:rsidR="0071311A" w:rsidRPr="0071311A" w:rsidRDefault="0071311A" w:rsidP="0071311A">
      <w:pPr>
        <w:pStyle w:val="Figure"/>
      </w:pPr>
      <w:r>
        <w:rPr>
          <w:noProof/>
        </w:rPr>
        <w:drawing>
          <wp:inline distT="0" distB="0" distL="0" distR="0" wp14:anchorId="4E3BD5D2" wp14:editId="405B9B88">
            <wp:extent cx="6120765" cy="2429510"/>
            <wp:effectExtent l="0" t="0" r="0" b="889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429510"/>
                    </a:xfrm>
                    <a:prstGeom prst="rect">
                      <a:avLst/>
                    </a:prstGeom>
                  </pic:spPr>
                </pic:pic>
              </a:graphicData>
            </a:graphic>
          </wp:inline>
        </w:drawing>
      </w:r>
    </w:p>
    <w:p w14:paraId="25D2E803" w14:textId="2BE91634" w:rsidR="00A90691" w:rsidRPr="006E3081" w:rsidRDefault="00A90691" w:rsidP="00341768">
      <w:pPr>
        <w:pStyle w:val="Heading2"/>
      </w:pPr>
      <w:bookmarkStart w:id="46" w:name="_Toc97756979"/>
      <w:bookmarkStart w:id="47" w:name="_Toc97757250"/>
      <w:bookmarkStart w:id="48" w:name="_Toc97816618"/>
      <w:bookmarkStart w:id="49" w:name="_Toc98311864"/>
      <w:bookmarkStart w:id="50" w:name="_Toc120026986"/>
      <w:r w:rsidRPr="006E3081">
        <w:t>3.2</w:t>
      </w:r>
      <w:r w:rsidRPr="006E3081">
        <w:tab/>
      </w:r>
      <w:r w:rsidR="001A34A9" w:rsidRPr="006E3081">
        <w:t>Méthode B: Introduction d'un nouveau service dans un canal différent qui n'est pas utilisé pour les services existants</w:t>
      </w:r>
      <w:bookmarkEnd w:id="46"/>
      <w:bookmarkEnd w:id="47"/>
      <w:bookmarkEnd w:id="48"/>
      <w:bookmarkEnd w:id="49"/>
      <w:bookmarkEnd w:id="50"/>
    </w:p>
    <w:p w14:paraId="271B6FA7" w14:textId="53AD3FD2" w:rsidR="00A90691" w:rsidRPr="006E3081" w:rsidRDefault="00A90691" w:rsidP="00341768">
      <w:pPr>
        <w:pStyle w:val="Heading3"/>
      </w:pPr>
      <w:bookmarkStart w:id="51" w:name="_Toc97756980"/>
      <w:bookmarkStart w:id="52" w:name="_Toc97757251"/>
      <w:bookmarkStart w:id="53" w:name="_Toc97816619"/>
      <w:r w:rsidRPr="006E3081">
        <w:rPr>
          <w:lang w:eastAsia="ja-JP"/>
        </w:rPr>
        <w:t>3.2.1</w:t>
      </w:r>
      <w:r w:rsidRPr="006E3081">
        <w:rPr>
          <w:lang w:eastAsia="ja-JP"/>
        </w:rPr>
        <w:tab/>
      </w:r>
      <w:r w:rsidR="001A34A9" w:rsidRPr="006E3081">
        <w:rPr>
          <w:lang w:eastAsia="ja-JP"/>
        </w:rPr>
        <w:t xml:space="preserve">Méthode </w:t>
      </w:r>
      <w:r w:rsidRPr="006E3081">
        <w:rPr>
          <w:lang w:eastAsia="ja-JP"/>
        </w:rPr>
        <w:t xml:space="preserve">B1: </w:t>
      </w:r>
      <w:r w:rsidR="001A34A9" w:rsidRPr="006E3081">
        <w:rPr>
          <w:lang w:eastAsia="ja-JP"/>
        </w:rPr>
        <w:t xml:space="preserve">Introduction d'un nouveau service dans un canal différent </w:t>
      </w:r>
      <w:r w:rsidR="00F962AB" w:rsidRPr="006E3081">
        <w:rPr>
          <w:lang w:eastAsia="ja-JP"/>
        </w:rPr>
        <w:t xml:space="preserve">lorsqu'il n'y a pas </w:t>
      </w:r>
      <w:r w:rsidR="001A34A9" w:rsidRPr="006E3081">
        <w:rPr>
          <w:lang w:eastAsia="ja-JP"/>
        </w:rPr>
        <w:t>suffisa</w:t>
      </w:r>
      <w:r w:rsidR="00F962AB" w:rsidRPr="006E3081">
        <w:rPr>
          <w:lang w:eastAsia="ja-JP"/>
        </w:rPr>
        <w:t>mment</w:t>
      </w:r>
      <w:r w:rsidR="001A34A9" w:rsidRPr="006E3081">
        <w:rPr>
          <w:lang w:eastAsia="ja-JP"/>
        </w:rPr>
        <w:t xml:space="preserve"> de canaux disponibles pour assurer une diffusion simultanée</w:t>
      </w:r>
      <w:bookmarkEnd w:id="51"/>
      <w:bookmarkEnd w:id="52"/>
      <w:bookmarkEnd w:id="53"/>
    </w:p>
    <w:p w14:paraId="62973078" w14:textId="6AEF7D73" w:rsidR="00A90691" w:rsidRPr="006E3081" w:rsidRDefault="00F962AB" w:rsidP="00341768">
      <w:r w:rsidRPr="006E3081">
        <w:t xml:space="preserve">S'il n'y a pas suffisamment </w:t>
      </w:r>
      <w:r w:rsidR="001A34A9" w:rsidRPr="006E3081">
        <w:t xml:space="preserve">de canaux disponibles pour assurer une diffusion simultanée, on peut introduire de nouveaux services dans différents canaux si certains canaux utilisés pour le service existant sont libérés au moyen du multiplexage d'un plus grand nombre de services de programmes sur le même canal physique. La </w:t>
      </w:r>
      <w:r w:rsidR="00A90691" w:rsidRPr="006E3081">
        <w:rPr>
          <w:lang w:eastAsia="ja-JP"/>
        </w:rPr>
        <w:t>Fig</w:t>
      </w:r>
      <w:r w:rsidR="0071311A">
        <w:rPr>
          <w:lang w:eastAsia="ja-JP"/>
        </w:rPr>
        <w:t>. </w:t>
      </w:r>
      <w:r w:rsidR="00A90691" w:rsidRPr="006E3081">
        <w:rPr>
          <w:lang w:eastAsia="ja-JP"/>
        </w:rPr>
        <w:t xml:space="preserve">6 </w:t>
      </w:r>
      <w:r w:rsidR="001A34A9" w:rsidRPr="006E3081">
        <w:rPr>
          <w:lang w:eastAsia="ja-JP"/>
        </w:rPr>
        <w:t xml:space="preserve">montre le schéma fonctionnel de la méthode d'introduction d'un nouveau service dans un canal différent </w:t>
      </w:r>
      <w:r w:rsidR="00FE1501" w:rsidRPr="006E3081">
        <w:rPr>
          <w:lang w:eastAsia="ja-JP"/>
        </w:rPr>
        <w:t xml:space="preserve">lorsqu'il n'y a pas suffisamment </w:t>
      </w:r>
      <w:r w:rsidR="001A34A9" w:rsidRPr="006E3081">
        <w:rPr>
          <w:lang w:eastAsia="ja-JP"/>
        </w:rPr>
        <w:t xml:space="preserve">de canaux disponibles pour assurer </w:t>
      </w:r>
      <w:r w:rsidR="00FE1501" w:rsidRPr="006E3081">
        <w:rPr>
          <w:lang w:eastAsia="ja-JP"/>
        </w:rPr>
        <w:t>une</w:t>
      </w:r>
      <w:r w:rsidR="001A34A9" w:rsidRPr="006E3081">
        <w:rPr>
          <w:lang w:eastAsia="ja-JP"/>
        </w:rPr>
        <w:t xml:space="preserve"> diffusion simultanée. En pareil cas, un nouveau système de radiodiffusion</w:t>
      </w:r>
      <w:r w:rsidR="00FE1501" w:rsidRPr="006E3081">
        <w:rPr>
          <w:lang w:eastAsia="ja-JP"/>
        </w:rPr>
        <w:t xml:space="preserve"> </w:t>
      </w:r>
      <w:r w:rsidR="001A34A9" w:rsidRPr="006E3081">
        <w:rPr>
          <w:lang w:eastAsia="ja-JP"/>
        </w:rPr>
        <w:t xml:space="preserve">comprenant de nouvelles technologies </w:t>
      </w:r>
      <w:r w:rsidR="007A150D" w:rsidRPr="006E3081">
        <w:rPr>
          <w:lang w:eastAsia="ja-JP"/>
        </w:rPr>
        <w:t>évoluées</w:t>
      </w:r>
      <w:r w:rsidR="001A34A9" w:rsidRPr="006E3081">
        <w:rPr>
          <w:lang w:eastAsia="ja-JP"/>
        </w:rPr>
        <w:t xml:space="preserve"> de codage des sources, de multiplexage et de modulation, ainsi qu'une largeur de bande étendue, permet d'obtenir une meilleure qualité de service. </w:t>
      </w:r>
      <w:r w:rsidR="000F672F" w:rsidRPr="006E3081">
        <w:rPr>
          <w:lang w:eastAsia="ja-JP"/>
        </w:rPr>
        <w:t xml:space="preserve">Une nouvelle antenne est nécessaire lorsque le nouveau service utilise le SDM-MIMO ou </w:t>
      </w:r>
      <w:r w:rsidR="007A150D" w:rsidRPr="006E3081">
        <w:rPr>
          <w:lang w:eastAsia="ja-JP"/>
        </w:rPr>
        <w:t>si</w:t>
      </w:r>
      <w:r w:rsidR="000F672F" w:rsidRPr="006E3081">
        <w:rPr>
          <w:lang w:eastAsia="ja-JP"/>
        </w:rPr>
        <w:t xml:space="preserve"> l'antenne existante ne prend pas en charge le nouveau canal. On peut réduire le nombre de canaux physiques nécessaires au nouveau service en optimisant leur capacité ou en réduisant leur facteur de réutilisation </w:t>
      </w:r>
      <w:r w:rsidR="000F672F" w:rsidRPr="006E3081">
        <w:rPr>
          <w:lang w:eastAsia="ja-JP"/>
        </w:rPr>
        <w:lastRenderedPageBreak/>
        <w:t>des fréquences. Dans le premier cas, davantage de services de programmes peuvent être multiplexés sur le même canal physique, tandis que dans le second le même canal physique peut être réutilisé par des multiplexeurs locaux indépendants sur une distance plus courte. À la limite, dans le cas d'une réutilisation de 1, le même canal physique peut être utilisé par des stations indépendantes adjacentes, ce qui permet de reconfigurer le réseau pour une segmentation géographique différente de la zone de service à tout moment, sans qu'il soit nécessaire de procéder à une nouvelle planification des canaux</w:t>
      </w:r>
      <w:r w:rsidR="00A90691" w:rsidRPr="006E3081">
        <w:t>.</w:t>
      </w:r>
    </w:p>
    <w:p w14:paraId="5D2B6922" w14:textId="3DC15116" w:rsidR="00A90691" w:rsidRPr="006E3081" w:rsidRDefault="00A90691" w:rsidP="00341768">
      <w:pPr>
        <w:pStyle w:val="Headingb"/>
      </w:pPr>
      <w:r w:rsidRPr="006E3081">
        <w:t>1)</w:t>
      </w:r>
      <w:r w:rsidRPr="006E3081">
        <w:tab/>
      </w:r>
      <w:r w:rsidR="000F672F" w:rsidRPr="006E3081">
        <w:t>Service existant</w:t>
      </w:r>
    </w:p>
    <w:p w14:paraId="656D3755" w14:textId="29705477" w:rsidR="00A90691" w:rsidRPr="006E3081" w:rsidRDefault="000F672F" w:rsidP="00341768">
      <w:pPr>
        <w:rPr>
          <w:lang w:eastAsia="ja-JP"/>
        </w:rPr>
      </w:pPr>
      <w:r w:rsidRPr="006E3081">
        <w:rPr>
          <w:lang w:eastAsia="ja-JP"/>
        </w:rPr>
        <w:t>La zone de service reste inchangée. La capacité est réduite pour chaque service de programmes, de même que la qualité de service, en raison du multiplexage d'un plus grand nombre de services de programmes sur le même canal physique</w:t>
      </w:r>
      <w:r w:rsidR="00A90691" w:rsidRPr="006E3081">
        <w:rPr>
          <w:lang w:eastAsia="ja-JP"/>
        </w:rPr>
        <w:t>.</w:t>
      </w:r>
    </w:p>
    <w:p w14:paraId="29F0ACFE" w14:textId="3C509E5F" w:rsidR="00A90691" w:rsidRPr="006E3081" w:rsidRDefault="00A90691" w:rsidP="00341768">
      <w:pPr>
        <w:pStyle w:val="Headingb"/>
      </w:pPr>
      <w:r w:rsidRPr="006E3081">
        <w:t>2)</w:t>
      </w:r>
      <w:r w:rsidRPr="006E3081">
        <w:tab/>
      </w:r>
      <w:r w:rsidR="000F672F" w:rsidRPr="006E3081">
        <w:t>Nouveau service</w:t>
      </w:r>
    </w:p>
    <w:p w14:paraId="11296272" w14:textId="4142FC3F" w:rsidR="00A90691" w:rsidRPr="006E3081" w:rsidRDefault="000F672F" w:rsidP="00341768">
      <w:r w:rsidRPr="006E3081">
        <w:t xml:space="preserve">Il est possible de créer une zone de service pour le nouveau service </w:t>
      </w:r>
      <w:r w:rsidR="00FE1501" w:rsidRPr="006E3081">
        <w:t xml:space="preserve">qui soit </w:t>
      </w:r>
      <w:r w:rsidRPr="006E3081">
        <w:t>analogue à celle du service existant, ou différente de celle du service existant, en choisissant un ensemble approprié de paramètres de transmission. On peut obtenir une capacité de transmission et une qualité de service nettement meilleures par rapport à celles des services existants en utilisant des technologies de transmission et de codage évoluées. Si, pendant la phase de diffusion simultanée, un plus grand nombre de services de programmes du nouveau service sont multiplexés sur le même canal physique en raison de la disponibilité limitée du spectre, ils auront une capacité et une qualité de service moindres qu'une fois la transition effectuée</w:t>
      </w:r>
      <w:r w:rsidR="00A90691" w:rsidRPr="006E3081">
        <w:t>.</w:t>
      </w:r>
    </w:p>
    <w:p w14:paraId="7BB25E8A" w14:textId="77777777" w:rsidR="00A90691" w:rsidRPr="006E3081" w:rsidRDefault="00A90691" w:rsidP="00341768">
      <w:pPr>
        <w:pStyle w:val="FigureNo"/>
      </w:pPr>
      <w:r w:rsidRPr="006E3081">
        <w:t>Figure 6</w:t>
      </w:r>
    </w:p>
    <w:p w14:paraId="04E1DE01" w14:textId="78F24A2D" w:rsidR="00A90691" w:rsidRPr="006E3081" w:rsidRDefault="000F672F" w:rsidP="00341768">
      <w:pPr>
        <w:pStyle w:val="Figuretitle"/>
      </w:pPr>
      <w:r w:rsidRPr="006E3081">
        <w:rPr>
          <w:lang w:eastAsia="ja-JP"/>
        </w:rPr>
        <w:t xml:space="preserve">Introduction au moyen d'un canal différent </w:t>
      </w:r>
      <w:r w:rsidR="00FE1501" w:rsidRPr="006E3081">
        <w:rPr>
          <w:lang w:eastAsia="ja-JP"/>
        </w:rPr>
        <w:t xml:space="preserve">lorsqu'il n'y a pas suffisamment </w:t>
      </w:r>
      <w:r w:rsidRPr="006E3081">
        <w:rPr>
          <w:lang w:eastAsia="ja-JP"/>
        </w:rPr>
        <w:t>de canaux disponibles</w:t>
      </w:r>
      <w:r w:rsidR="006C3A91" w:rsidRPr="006E3081">
        <w:rPr>
          <w:lang w:eastAsia="ja-JP"/>
        </w:rPr>
        <w:br/>
      </w:r>
      <w:r w:rsidRPr="006E3081">
        <w:rPr>
          <w:lang w:eastAsia="ja-JP"/>
        </w:rPr>
        <w:t>pour assurer une diffusion simultanée</w:t>
      </w:r>
    </w:p>
    <w:p w14:paraId="5D373949" w14:textId="79EA319E" w:rsidR="0071311A" w:rsidRPr="0071311A" w:rsidRDefault="0071311A" w:rsidP="0071311A">
      <w:pPr>
        <w:pStyle w:val="Figure"/>
      </w:pPr>
      <w:r>
        <w:rPr>
          <w:noProof/>
        </w:rPr>
        <w:drawing>
          <wp:inline distT="0" distB="0" distL="0" distR="0" wp14:anchorId="287E7475" wp14:editId="2ACB354F">
            <wp:extent cx="6120765" cy="325501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3255010"/>
                    </a:xfrm>
                    <a:prstGeom prst="rect">
                      <a:avLst/>
                    </a:prstGeom>
                  </pic:spPr>
                </pic:pic>
              </a:graphicData>
            </a:graphic>
          </wp:inline>
        </w:drawing>
      </w:r>
    </w:p>
    <w:p w14:paraId="108D1E4C" w14:textId="76AA82D6" w:rsidR="00A90691" w:rsidRPr="006E3081" w:rsidRDefault="00A90691" w:rsidP="00341768">
      <w:pPr>
        <w:pStyle w:val="Heading3"/>
      </w:pPr>
      <w:bookmarkStart w:id="54" w:name="_Toc97756981"/>
      <w:bookmarkStart w:id="55" w:name="_Toc97757252"/>
      <w:bookmarkStart w:id="56" w:name="_Toc97816620"/>
      <w:r w:rsidRPr="006E3081">
        <w:rPr>
          <w:lang w:eastAsia="ja-JP"/>
        </w:rPr>
        <w:t>3.2.2</w:t>
      </w:r>
      <w:r w:rsidRPr="006E3081">
        <w:rPr>
          <w:lang w:eastAsia="ja-JP"/>
        </w:rPr>
        <w:tab/>
      </w:r>
      <w:r w:rsidR="006A0BF2" w:rsidRPr="006E3081">
        <w:rPr>
          <w:lang w:eastAsia="ja-JP"/>
        </w:rPr>
        <w:t xml:space="preserve">Méthode </w:t>
      </w:r>
      <w:r w:rsidRPr="006E3081">
        <w:rPr>
          <w:lang w:eastAsia="ja-JP"/>
        </w:rPr>
        <w:t xml:space="preserve">B2: </w:t>
      </w:r>
      <w:r w:rsidR="006A0BF2" w:rsidRPr="006E3081">
        <w:rPr>
          <w:lang w:eastAsia="ja-JP"/>
        </w:rPr>
        <w:t xml:space="preserve">Introduction d'un nouveau service dans un canal différent </w:t>
      </w:r>
      <w:r w:rsidR="00FE1501" w:rsidRPr="006E3081">
        <w:rPr>
          <w:lang w:eastAsia="ja-JP"/>
        </w:rPr>
        <w:t xml:space="preserve">lorsqu'il y a suffisamment </w:t>
      </w:r>
      <w:r w:rsidR="006A0BF2" w:rsidRPr="006E3081">
        <w:rPr>
          <w:lang w:eastAsia="ja-JP"/>
        </w:rPr>
        <w:t>de canaux disponibles pour assurer une diffusion simultanée</w:t>
      </w:r>
      <w:bookmarkEnd w:id="54"/>
      <w:bookmarkEnd w:id="55"/>
      <w:bookmarkEnd w:id="56"/>
    </w:p>
    <w:p w14:paraId="10CFFB71" w14:textId="4CCE7042" w:rsidR="00A90691" w:rsidRPr="006E3081" w:rsidRDefault="00FE1501" w:rsidP="00341768">
      <w:r w:rsidRPr="006E3081">
        <w:t xml:space="preserve">S'il y a suffisamment de </w:t>
      </w:r>
      <w:r w:rsidR="007A150D" w:rsidRPr="006E3081">
        <w:t xml:space="preserve">canaux libres ou de canaux pouvant être mis à disposition en procédant à une nouvelle planification des réseaux existants (par exemple en renforçant l'utilisation des SFN), on peut introduire de nouveaux services dans ces canaux en garantissant des conditions de planification appropriées. La </w:t>
      </w:r>
      <w:r w:rsidR="00A90691" w:rsidRPr="006E3081">
        <w:rPr>
          <w:lang w:eastAsia="ja-JP"/>
        </w:rPr>
        <w:t>Fig</w:t>
      </w:r>
      <w:r w:rsidR="0071311A">
        <w:rPr>
          <w:lang w:eastAsia="ja-JP"/>
        </w:rPr>
        <w:t>. </w:t>
      </w:r>
      <w:r w:rsidR="00A90691" w:rsidRPr="006E3081">
        <w:rPr>
          <w:lang w:eastAsia="ja-JP"/>
        </w:rPr>
        <w:t xml:space="preserve">7 </w:t>
      </w:r>
      <w:r w:rsidR="007A150D" w:rsidRPr="006E3081">
        <w:rPr>
          <w:lang w:eastAsia="ja-JP"/>
        </w:rPr>
        <w:t xml:space="preserve">montre le schéma fonctionnel de la méthode d'introduction d'un nouveau </w:t>
      </w:r>
      <w:r w:rsidR="007A150D" w:rsidRPr="006E3081">
        <w:rPr>
          <w:lang w:eastAsia="ja-JP"/>
        </w:rPr>
        <w:lastRenderedPageBreak/>
        <w:t xml:space="preserve">service dans un canal différent </w:t>
      </w:r>
      <w:r w:rsidRPr="006E3081">
        <w:rPr>
          <w:lang w:eastAsia="ja-JP"/>
        </w:rPr>
        <w:t xml:space="preserve">lorsqu'il y a suffisamment </w:t>
      </w:r>
      <w:r w:rsidR="007A150D" w:rsidRPr="006E3081">
        <w:rPr>
          <w:lang w:eastAsia="ja-JP"/>
        </w:rPr>
        <w:t xml:space="preserve">de canaux disponibles pour assurer une diffusion simultanée. Comme dans le cas de la Méthode B1, un nouveau système de radiodiffusion comprenant de nouvelles technologies évoluées de codage des sources, de multiplexage et de modulation, ainsi qu'une largeur de bande étendue, permet d'obtenir une meilleure qualité de service. Une nouvelle antenne est nécessaire lorsque le nouveau service utilise le SDM-MIMO ou si l'antenne existante ne prend pas en charge le nouveau canal. </w:t>
      </w:r>
      <w:r w:rsidRPr="006E3081">
        <w:rPr>
          <w:lang w:eastAsia="ja-JP"/>
        </w:rPr>
        <w:t>De même, o</w:t>
      </w:r>
      <w:r w:rsidR="007A150D" w:rsidRPr="006E3081">
        <w:rPr>
          <w:lang w:eastAsia="ja-JP"/>
        </w:rPr>
        <w:t>n peut réduire le nombre de canaux physiques nécessaires au nouveau service en optimisant leur capacité ou en réduisant leur facteur de réutilisation des fréquences</w:t>
      </w:r>
      <w:r w:rsidR="00A90691" w:rsidRPr="006E3081">
        <w:t>.</w:t>
      </w:r>
    </w:p>
    <w:p w14:paraId="15EDC983" w14:textId="4BDDFAA1" w:rsidR="00A90691" w:rsidRPr="006E3081" w:rsidRDefault="00A90691" w:rsidP="00341768">
      <w:pPr>
        <w:pStyle w:val="Headingb"/>
      </w:pPr>
      <w:r w:rsidRPr="006E3081">
        <w:t>1)</w:t>
      </w:r>
      <w:r w:rsidRPr="006E3081">
        <w:tab/>
      </w:r>
      <w:r w:rsidR="007A150D" w:rsidRPr="006E3081">
        <w:t>Service existant</w:t>
      </w:r>
    </w:p>
    <w:p w14:paraId="5E58678D" w14:textId="5F030245" w:rsidR="00A90691" w:rsidRPr="006E3081" w:rsidRDefault="007A150D" w:rsidP="00341768">
      <w:pPr>
        <w:rPr>
          <w:lang w:eastAsia="ja-JP"/>
        </w:rPr>
      </w:pPr>
      <w:r w:rsidRPr="006E3081">
        <w:rPr>
          <w:lang w:eastAsia="ja-JP"/>
        </w:rPr>
        <w:t>La zone de service, la capacité et la qualité de service restent inchangées</w:t>
      </w:r>
      <w:r w:rsidR="00A90691" w:rsidRPr="006E3081">
        <w:rPr>
          <w:lang w:eastAsia="ja-JP"/>
        </w:rPr>
        <w:t>.</w:t>
      </w:r>
    </w:p>
    <w:p w14:paraId="00897893" w14:textId="1DE4E0A3" w:rsidR="00A90691" w:rsidRPr="006E3081" w:rsidRDefault="00A90691" w:rsidP="00341768">
      <w:pPr>
        <w:pStyle w:val="Headingb"/>
      </w:pPr>
      <w:r w:rsidRPr="006E3081">
        <w:t>2)</w:t>
      </w:r>
      <w:r w:rsidRPr="006E3081">
        <w:tab/>
      </w:r>
      <w:r w:rsidR="007A150D" w:rsidRPr="006E3081">
        <w:t>Nouveau service</w:t>
      </w:r>
    </w:p>
    <w:p w14:paraId="34E3458B" w14:textId="387964AB" w:rsidR="00A90691" w:rsidRPr="006E3081" w:rsidRDefault="008F5CC8" w:rsidP="00341768">
      <w:r w:rsidRPr="006E3081">
        <w:t>Il est possible de créer une zone de service pour le nouveau service qui soit analogue à celle du service existant, ou différente de celle du service existant, en choisissant un ensemble approprié de paramètres de transmission. On peut obtenir une capacité de transmission et une qualité de service nettement meilleures par rapport à celles des services existants en utilisant des technologies de transmission et de codage évoluées</w:t>
      </w:r>
      <w:r w:rsidR="00A90691" w:rsidRPr="006E3081">
        <w:t>.</w:t>
      </w:r>
    </w:p>
    <w:p w14:paraId="0DEFAA6F" w14:textId="77777777" w:rsidR="00A90691" w:rsidRPr="006E3081" w:rsidRDefault="00A90691" w:rsidP="00341768">
      <w:pPr>
        <w:pStyle w:val="FigureNo"/>
      </w:pPr>
      <w:r w:rsidRPr="006E3081">
        <w:t>Figure 7</w:t>
      </w:r>
    </w:p>
    <w:p w14:paraId="3E6A277F" w14:textId="6DCD229E" w:rsidR="00A90691" w:rsidRPr="006E3081" w:rsidRDefault="006A0BF2" w:rsidP="00341768">
      <w:pPr>
        <w:pStyle w:val="Figuretitle"/>
      </w:pPr>
      <w:r w:rsidRPr="006E3081">
        <w:rPr>
          <w:lang w:eastAsia="ja-JP"/>
        </w:rPr>
        <w:t xml:space="preserve">Introduction au moyen d'un canal différent </w:t>
      </w:r>
      <w:r w:rsidR="00FE1501" w:rsidRPr="006E3081">
        <w:rPr>
          <w:lang w:eastAsia="ja-JP"/>
        </w:rPr>
        <w:t>lorsqu'il y a suffisamment</w:t>
      </w:r>
      <w:r w:rsidR="00341768" w:rsidRPr="006E3081">
        <w:rPr>
          <w:lang w:eastAsia="ja-JP"/>
        </w:rPr>
        <w:t xml:space="preserve"> </w:t>
      </w:r>
      <w:r w:rsidRPr="006E3081">
        <w:rPr>
          <w:lang w:eastAsia="ja-JP"/>
        </w:rPr>
        <w:t>de canaux disponibles</w:t>
      </w:r>
      <w:r w:rsidR="006C3A91" w:rsidRPr="006E3081">
        <w:rPr>
          <w:lang w:eastAsia="ja-JP"/>
        </w:rPr>
        <w:br/>
      </w:r>
      <w:r w:rsidRPr="006E3081">
        <w:rPr>
          <w:lang w:eastAsia="ja-JP"/>
        </w:rPr>
        <w:t>pour assurer une diffusion simultanée</w:t>
      </w:r>
    </w:p>
    <w:p w14:paraId="15A0EA9C" w14:textId="1BC80BAB" w:rsidR="0071311A" w:rsidRPr="0071311A" w:rsidRDefault="0071311A" w:rsidP="0071311A">
      <w:pPr>
        <w:pStyle w:val="Figure"/>
      </w:pPr>
      <w:r>
        <w:rPr>
          <w:noProof/>
        </w:rPr>
        <w:drawing>
          <wp:inline distT="0" distB="0" distL="0" distR="0" wp14:anchorId="64746C5F" wp14:editId="021F5D14">
            <wp:extent cx="5864364" cy="3090678"/>
            <wp:effectExtent l="0" t="0" r="317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4364" cy="3090678"/>
                    </a:xfrm>
                    <a:prstGeom prst="rect">
                      <a:avLst/>
                    </a:prstGeom>
                  </pic:spPr>
                </pic:pic>
              </a:graphicData>
            </a:graphic>
          </wp:inline>
        </w:drawing>
      </w:r>
    </w:p>
    <w:p w14:paraId="2C463DE4" w14:textId="538E2B18" w:rsidR="00A90691" w:rsidRPr="006E3081" w:rsidRDefault="00A90691" w:rsidP="00341768">
      <w:pPr>
        <w:pStyle w:val="Heading2"/>
      </w:pPr>
      <w:bookmarkStart w:id="57" w:name="_Toc97756982"/>
      <w:bookmarkStart w:id="58" w:name="_Toc97757253"/>
      <w:bookmarkStart w:id="59" w:name="_Toc97816621"/>
      <w:bookmarkStart w:id="60" w:name="_Toc98311865"/>
      <w:bookmarkStart w:id="61" w:name="_Toc120026987"/>
      <w:r w:rsidRPr="006E3081">
        <w:t>3.3</w:t>
      </w:r>
      <w:r w:rsidRPr="006E3081">
        <w:tab/>
      </w:r>
      <w:r w:rsidR="008F5CC8" w:rsidRPr="006E3081">
        <w:t>Comparaison entre les caractéristiques des méthodes</w:t>
      </w:r>
      <w:bookmarkEnd w:id="57"/>
      <w:bookmarkEnd w:id="58"/>
      <w:bookmarkEnd w:id="59"/>
      <w:bookmarkEnd w:id="60"/>
      <w:bookmarkEnd w:id="61"/>
    </w:p>
    <w:p w14:paraId="1DC10D27" w14:textId="0E999B56" w:rsidR="00A90691" w:rsidRPr="006E3081" w:rsidRDefault="008F5CC8" w:rsidP="00341768">
      <w:r w:rsidRPr="006E3081">
        <w:t>Le Tableau 1 établit une comparaison entre les caractéristiques des méthodes pendant la période de diffusion simultanée abordée dans les paragraphes précédents, compte tenu des zones de service de radiodiffusion, de la capacité de transmission et de la qualité de service associée</w:t>
      </w:r>
      <w:r w:rsidR="00A90691" w:rsidRPr="006E3081">
        <w:t>.</w:t>
      </w:r>
    </w:p>
    <w:p w14:paraId="187A3F81" w14:textId="522A0778" w:rsidR="00A90691" w:rsidRPr="006E3081" w:rsidRDefault="008F5CC8" w:rsidP="00341768">
      <w:pPr>
        <w:rPr>
          <w:lang w:eastAsia="ja-JP"/>
        </w:rPr>
      </w:pPr>
      <w:r w:rsidRPr="006E3081">
        <w:rPr>
          <w:lang w:eastAsia="ja-JP"/>
        </w:rPr>
        <w:t>Le Tableau 2 établit une comparaison entre les caractéristiques d</w:t>
      </w:r>
      <w:r w:rsidR="00FE1501" w:rsidRPr="006E3081">
        <w:rPr>
          <w:lang w:eastAsia="ja-JP"/>
        </w:rPr>
        <w:t>e l'exploitation d</w:t>
      </w:r>
      <w:r w:rsidRPr="006E3081">
        <w:rPr>
          <w:lang w:eastAsia="ja-JP"/>
        </w:rPr>
        <w:t>u nouveau service une fois la transition effectuée</w:t>
      </w:r>
      <w:r w:rsidR="00A90691" w:rsidRPr="006E3081">
        <w:rPr>
          <w:lang w:eastAsia="ja-JP"/>
        </w:rPr>
        <w:t>.</w:t>
      </w:r>
    </w:p>
    <w:p w14:paraId="6CC1ED0A" w14:textId="77777777" w:rsidR="007A46A1" w:rsidRPr="006E3081" w:rsidRDefault="007A46A1" w:rsidP="00341768">
      <w:pPr>
        <w:rPr>
          <w:lang w:eastAsia="ja-JP"/>
        </w:rPr>
      </w:pPr>
    </w:p>
    <w:p w14:paraId="2FD52F1A" w14:textId="77777777" w:rsidR="007A46A1" w:rsidRPr="006E3081" w:rsidRDefault="007A46A1" w:rsidP="00341768">
      <w:pPr>
        <w:rPr>
          <w:lang w:eastAsia="ja-JP"/>
        </w:rPr>
        <w:sectPr w:rsidR="007A46A1" w:rsidRPr="006E3081" w:rsidSect="005B3106">
          <w:headerReference w:type="default" r:id="rId26"/>
          <w:pgSz w:w="11907" w:h="16834" w:code="9"/>
          <w:pgMar w:top="1418" w:right="1134" w:bottom="1134" w:left="1134" w:header="720" w:footer="482" w:gutter="0"/>
          <w:paperSrc w:first="15" w:other="15"/>
          <w:pgNumType w:start="1"/>
          <w:cols w:space="720"/>
        </w:sectPr>
      </w:pPr>
    </w:p>
    <w:p w14:paraId="72D5B513" w14:textId="1B9DDE97" w:rsidR="007A46A1" w:rsidRPr="006E3081" w:rsidRDefault="007A46A1" w:rsidP="00341768">
      <w:pPr>
        <w:pStyle w:val="TableNo"/>
      </w:pPr>
      <w:bookmarkStart w:id="62" w:name="_Hlk116912052"/>
      <w:r w:rsidRPr="006E3081">
        <w:lastRenderedPageBreak/>
        <w:t>TABLEAU 1</w:t>
      </w:r>
    </w:p>
    <w:p w14:paraId="0B909C22" w14:textId="7D5CEB86" w:rsidR="007A46A1" w:rsidRPr="006E3081" w:rsidRDefault="008F5CC8" w:rsidP="00341768">
      <w:pPr>
        <w:pStyle w:val="Tabletitle"/>
      </w:pPr>
      <w:r w:rsidRPr="006E3081">
        <w:t>Comparaison entre les caractéristiques des méthodes pendant la période de diffusion simultanée</w:t>
      </w:r>
    </w:p>
    <w:tbl>
      <w:tblPr>
        <w:tblStyle w:val="TableGrid"/>
        <w:tblW w:w="5000" w:type="pct"/>
        <w:jc w:val="center"/>
        <w:tblCellMar>
          <w:left w:w="28" w:type="dxa"/>
          <w:right w:w="28" w:type="dxa"/>
        </w:tblCellMar>
        <w:tblLook w:val="04A0" w:firstRow="1" w:lastRow="0" w:firstColumn="1" w:lastColumn="0" w:noHBand="0" w:noVBand="1"/>
      </w:tblPr>
      <w:tblGrid>
        <w:gridCol w:w="1969"/>
        <w:gridCol w:w="2428"/>
        <w:gridCol w:w="1353"/>
        <w:gridCol w:w="1733"/>
        <w:gridCol w:w="1576"/>
        <w:gridCol w:w="2064"/>
        <w:gridCol w:w="1576"/>
        <w:gridCol w:w="1573"/>
      </w:tblGrid>
      <w:tr w:rsidR="00D456D2" w:rsidRPr="00992F27" w14:paraId="36510DCB" w14:textId="77777777" w:rsidTr="009E1DCF">
        <w:trPr>
          <w:cantSplit/>
          <w:tblHeader/>
          <w:jc w:val="center"/>
        </w:trPr>
        <w:tc>
          <w:tcPr>
            <w:tcW w:w="1540" w:type="pct"/>
            <w:gridSpan w:val="2"/>
            <w:vAlign w:val="center"/>
          </w:tcPr>
          <w:p w14:paraId="45C26C23" w14:textId="45536395" w:rsidR="007A46A1" w:rsidRPr="00992F27" w:rsidRDefault="008F5CC8" w:rsidP="00992F27">
            <w:pPr>
              <w:pStyle w:val="Tablehead"/>
            </w:pPr>
            <w:r w:rsidRPr="00992F27">
              <w:t>Méthode</w:t>
            </w:r>
          </w:p>
        </w:tc>
        <w:tc>
          <w:tcPr>
            <w:tcW w:w="474" w:type="pct"/>
            <w:vAlign w:val="center"/>
          </w:tcPr>
          <w:p w14:paraId="4EBB65DD" w14:textId="77777777" w:rsidR="007A46A1" w:rsidRPr="00992F27" w:rsidRDefault="007A46A1" w:rsidP="00992F27">
            <w:pPr>
              <w:pStyle w:val="Tablehead"/>
            </w:pPr>
            <w:r w:rsidRPr="00992F27">
              <w:t>A1</w:t>
            </w:r>
          </w:p>
        </w:tc>
        <w:tc>
          <w:tcPr>
            <w:tcW w:w="607" w:type="pct"/>
            <w:vAlign w:val="center"/>
          </w:tcPr>
          <w:p w14:paraId="063F9F63" w14:textId="77777777" w:rsidR="007A46A1" w:rsidRPr="00992F27" w:rsidRDefault="007A46A1" w:rsidP="00992F27">
            <w:pPr>
              <w:pStyle w:val="Tablehead"/>
            </w:pPr>
            <w:r w:rsidRPr="00992F27">
              <w:t>A2</w:t>
            </w:r>
          </w:p>
        </w:tc>
        <w:tc>
          <w:tcPr>
            <w:tcW w:w="552" w:type="pct"/>
            <w:vAlign w:val="center"/>
          </w:tcPr>
          <w:p w14:paraId="51D2531C" w14:textId="77777777" w:rsidR="007A46A1" w:rsidRPr="00992F27" w:rsidRDefault="007A46A1" w:rsidP="00992F27">
            <w:pPr>
              <w:pStyle w:val="Tablehead"/>
            </w:pPr>
            <w:r w:rsidRPr="00992F27">
              <w:t>A3</w:t>
            </w:r>
          </w:p>
        </w:tc>
        <w:tc>
          <w:tcPr>
            <w:tcW w:w="723" w:type="pct"/>
          </w:tcPr>
          <w:p w14:paraId="0CCB3137" w14:textId="77777777" w:rsidR="007A46A1" w:rsidRPr="00992F27" w:rsidDel="00207A26" w:rsidRDefault="007A46A1" w:rsidP="00992F27">
            <w:pPr>
              <w:pStyle w:val="Tablehead"/>
            </w:pPr>
            <w:r w:rsidRPr="00992F27">
              <w:t>A4</w:t>
            </w:r>
          </w:p>
        </w:tc>
        <w:tc>
          <w:tcPr>
            <w:tcW w:w="552" w:type="pct"/>
            <w:vAlign w:val="center"/>
          </w:tcPr>
          <w:p w14:paraId="6A2BCEDD" w14:textId="77777777" w:rsidR="007A46A1" w:rsidRPr="00992F27" w:rsidRDefault="007A46A1" w:rsidP="00992F27">
            <w:pPr>
              <w:pStyle w:val="Tablehead"/>
            </w:pPr>
            <w:r w:rsidRPr="00992F27">
              <w:t>B1</w:t>
            </w:r>
          </w:p>
        </w:tc>
        <w:tc>
          <w:tcPr>
            <w:tcW w:w="551" w:type="pct"/>
            <w:vAlign w:val="center"/>
          </w:tcPr>
          <w:p w14:paraId="2DABE3DB" w14:textId="77777777" w:rsidR="007A46A1" w:rsidRPr="00992F27" w:rsidDel="00207A26" w:rsidRDefault="007A46A1" w:rsidP="00992F27">
            <w:pPr>
              <w:pStyle w:val="Tablehead"/>
            </w:pPr>
            <w:r w:rsidRPr="00992F27">
              <w:t>B2</w:t>
            </w:r>
          </w:p>
        </w:tc>
      </w:tr>
      <w:tr w:rsidR="00D456D2" w:rsidRPr="00992F27" w14:paraId="3D35D62A" w14:textId="77777777" w:rsidTr="009E1DCF">
        <w:trPr>
          <w:cantSplit/>
          <w:jc w:val="center"/>
        </w:trPr>
        <w:tc>
          <w:tcPr>
            <w:tcW w:w="690" w:type="pct"/>
            <w:vMerge w:val="restart"/>
            <w:vAlign w:val="center"/>
          </w:tcPr>
          <w:p w14:paraId="5E8AF84A" w14:textId="77777777" w:rsidR="007A46A1" w:rsidRPr="00992F27" w:rsidRDefault="007A46A1" w:rsidP="00992F27">
            <w:pPr>
              <w:pStyle w:val="TabletextCentered"/>
              <w:rPr>
                <w:b/>
                <w:bCs/>
                <w:sz w:val="20"/>
              </w:rPr>
            </w:pPr>
            <w:r w:rsidRPr="00992F27">
              <w:rPr>
                <w:b/>
                <w:bCs/>
                <w:sz w:val="20"/>
              </w:rPr>
              <w:t>Transmission</w:t>
            </w:r>
          </w:p>
        </w:tc>
        <w:tc>
          <w:tcPr>
            <w:tcW w:w="851" w:type="pct"/>
            <w:vAlign w:val="center"/>
          </w:tcPr>
          <w:p w14:paraId="14641D08" w14:textId="2080757E" w:rsidR="007A46A1" w:rsidRPr="00992F27" w:rsidRDefault="008F5CC8" w:rsidP="00992F27">
            <w:pPr>
              <w:pStyle w:val="TabletextLeft"/>
              <w:rPr>
                <w:b/>
                <w:bCs/>
                <w:sz w:val="20"/>
              </w:rPr>
            </w:pPr>
            <w:r w:rsidRPr="00992F27">
              <w:rPr>
                <w:b/>
                <w:bCs/>
                <w:sz w:val="20"/>
              </w:rPr>
              <w:t>Canal d'introduction du nouveau service</w:t>
            </w:r>
          </w:p>
        </w:tc>
        <w:tc>
          <w:tcPr>
            <w:tcW w:w="2356" w:type="pct"/>
            <w:gridSpan w:val="4"/>
            <w:vAlign w:val="center"/>
          </w:tcPr>
          <w:p w14:paraId="5FBA6FD4" w14:textId="2C60566A" w:rsidR="007A46A1" w:rsidRPr="00992F27" w:rsidRDefault="00FE1501" w:rsidP="00992F27">
            <w:pPr>
              <w:pStyle w:val="TabletextCentered"/>
              <w:rPr>
                <w:sz w:val="20"/>
              </w:rPr>
            </w:pPr>
            <w:r w:rsidRPr="00992F27">
              <w:rPr>
                <w:sz w:val="20"/>
              </w:rPr>
              <w:t>C</w:t>
            </w:r>
            <w:r w:rsidR="00D456D2" w:rsidRPr="00992F27">
              <w:rPr>
                <w:sz w:val="20"/>
              </w:rPr>
              <w:t xml:space="preserve">anal </w:t>
            </w:r>
            <w:r w:rsidRPr="00992F27">
              <w:rPr>
                <w:sz w:val="20"/>
              </w:rPr>
              <w:t xml:space="preserve">identique à </w:t>
            </w:r>
            <w:r w:rsidR="00D456D2" w:rsidRPr="00992F27">
              <w:rPr>
                <w:sz w:val="20"/>
              </w:rPr>
              <w:t>celui utilisé pour le service existant</w:t>
            </w:r>
          </w:p>
        </w:tc>
        <w:tc>
          <w:tcPr>
            <w:tcW w:w="1103" w:type="pct"/>
            <w:gridSpan w:val="2"/>
            <w:vAlign w:val="center"/>
          </w:tcPr>
          <w:p w14:paraId="0E611380" w14:textId="5387563E" w:rsidR="007A46A1" w:rsidRPr="00992F27" w:rsidRDefault="00D456D2" w:rsidP="00CE09EF">
            <w:pPr>
              <w:pStyle w:val="Tabletext"/>
              <w:jc w:val="center"/>
              <w:rPr>
                <w:sz w:val="20"/>
              </w:rPr>
            </w:pPr>
            <w:r w:rsidRPr="00992F27">
              <w:rPr>
                <w:sz w:val="20"/>
              </w:rPr>
              <w:t xml:space="preserve">Canal différent, non utilisé </w:t>
            </w:r>
            <w:r w:rsidR="009E1DCF">
              <w:rPr>
                <w:sz w:val="20"/>
              </w:rPr>
              <w:br/>
            </w:r>
            <w:r w:rsidRPr="00992F27">
              <w:rPr>
                <w:sz w:val="20"/>
              </w:rPr>
              <w:t>pour le service existant</w:t>
            </w:r>
          </w:p>
        </w:tc>
      </w:tr>
      <w:tr w:rsidR="00D456D2" w:rsidRPr="00992F27" w14:paraId="1984E3D9" w14:textId="77777777" w:rsidTr="009E1DCF">
        <w:trPr>
          <w:cantSplit/>
          <w:jc w:val="center"/>
        </w:trPr>
        <w:tc>
          <w:tcPr>
            <w:tcW w:w="690" w:type="pct"/>
            <w:vMerge/>
            <w:vAlign w:val="center"/>
          </w:tcPr>
          <w:p w14:paraId="5565D9BB" w14:textId="77777777" w:rsidR="007A46A1" w:rsidRPr="00992F27" w:rsidRDefault="007A46A1" w:rsidP="00992F27">
            <w:pPr>
              <w:pStyle w:val="Tabletext"/>
              <w:jc w:val="center"/>
              <w:rPr>
                <w:b/>
                <w:bCs/>
                <w:sz w:val="20"/>
              </w:rPr>
            </w:pPr>
          </w:p>
        </w:tc>
        <w:tc>
          <w:tcPr>
            <w:tcW w:w="851" w:type="pct"/>
            <w:vMerge w:val="restart"/>
            <w:vAlign w:val="center"/>
          </w:tcPr>
          <w:p w14:paraId="3F5EB7EC" w14:textId="1D26AFEB" w:rsidR="007A46A1" w:rsidRPr="00992F27" w:rsidRDefault="008F5CC8" w:rsidP="00992F27">
            <w:pPr>
              <w:pStyle w:val="TabletextLeft"/>
              <w:rPr>
                <w:b/>
                <w:bCs/>
                <w:sz w:val="20"/>
              </w:rPr>
            </w:pPr>
            <w:r w:rsidRPr="00992F27">
              <w:rPr>
                <w:b/>
                <w:bCs/>
                <w:sz w:val="20"/>
              </w:rPr>
              <w:t>Multiplexage entre les services existants et les nouveaux services</w:t>
            </w:r>
          </w:p>
        </w:tc>
        <w:tc>
          <w:tcPr>
            <w:tcW w:w="474" w:type="pct"/>
            <w:vMerge w:val="restart"/>
            <w:vAlign w:val="center"/>
          </w:tcPr>
          <w:p w14:paraId="2FC29C2C" w14:textId="3E8DA8EB" w:rsidR="007A46A1" w:rsidRPr="00992F27" w:rsidRDefault="00D456D2" w:rsidP="00992F27">
            <w:pPr>
              <w:pStyle w:val="TabletextCentered"/>
              <w:rPr>
                <w:sz w:val="20"/>
              </w:rPr>
            </w:pPr>
            <w:r w:rsidRPr="00992F27">
              <w:rPr>
                <w:sz w:val="20"/>
              </w:rPr>
              <w:t>Couche de transport</w:t>
            </w:r>
          </w:p>
        </w:tc>
        <w:tc>
          <w:tcPr>
            <w:tcW w:w="1882" w:type="pct"/>
            <w:gridSpan w:val="3"/>
            <w:vAlign w:val="center"/>
          </w:tcPr>
          <w:p w14:paraId="57EE09BE" w14:textId="220D6EB8" w:rsidR="007A46A1" w:rsidRPr="00992F27" w:rsidRDefault="00D456D2" w:rsidP="00CE09EF">
            <w:pPr>
              <w:pStyle w:val="Tabletext"/>
              <w:jc w:val="center"/>
              <w:rPr>
                <w:sz w:val="20"/>
                <w:lang w:eastAsia="ja-JP"/>
              </w:rPr>
            </w:pPr>
            <w:r w:rsidRPr="00992F27">
              <w:rPr>
                <w:sz w:val="20"/>
              </w:rPr>
              <w:t>Couche physique</w:t>
            </w:r>
          </w:p>
        </w:tc>
        <w:tc>
          <w:tcPr>
            <w:tcW w:w="1103" w:type="pct"/>
            <w:gridSpan w:val="2"/>
            <w:vMerge w:val="restart"/>
            <w:vAlign w:val="center"/>
          </w:tcPr>
          <w:p w14:paraId="61F89BFB" w14:textId="77777777" w:rsidR="007A46A1" w:rsidRPr="00992F27" w:rsidRDefault="007A46A1" w:rsidP="00992F27">
            <w:pPr>
              <w:pStyle w:val="TabletextCentered"/>
              <w:rPr>
                <w:sz w:val="20"/>
              </w:rPr>
            </w:pPr>
            <w:r w:rsidRPr="00992F27">
              <w:rPr>
                <w:sz w:val="20"/>
              </w:rPr>
              <w:t>−</w:t>
            </w:r>
          </w:p>
        </w:tc>
      </w:tr>
      <w:tr w:rsidR="00D456D2" w:rsidRPr="00992F27" w14:paraId="77961A07" w14:textId="77777777" w:rsidTr="009E1DCF">
        <w:trPr>
          <w:cantSplit/>
          <w:jc w:val="center"/>
        </w:trPr>
        <w:tc>
          <w:tcPr>
            <w:tcW w:w="690" w:type="pct"/>
            <w:vMerge/>
            <w:vAlign w:val="center"/>
          </w:tcPr>
          <w:p w14:paraId="1A25B262" w14:textId="77777777" w:rsidR="007A46A1" w:rsidRPr="00992F27" w:rsidRDefault="007A46A1" w:rsidP="00992F27">
            <w:pPr>
              <w:pStyle w:val="Tabletext"/>
              <w:jc w:val="center"/>
              <w:rPr>
                <w:b/>
                <w:bCs/>
                <w:sz w:val="20"/>
              </w:rPr>
            </w:pPr>
          </w:p>
        </w:tc>
        <w:tc>
          <w:tcPr>
            <w:tcW w:w="851" w:type="pct"/>
            <w:vMerge/>
            <w:vAlign w:val="center"/>
          </w:tcPr>
          <w:p w14:paraId="33391612" w14:textId="77777777" w:rsidR="007A46A1" w:rsidRPr="00992F27" w:rsidRDefault="007A46A1" w:rsidP="00992F27">
            <w:pPr>
              <w:pStyle w:val="Tabletext"/>
              <w:jc w:val="left"/>
              <w:rPr>
                <w:b/>
                <w:bCs/>
                <w:sz w:val="20"/>
              </w:rPr>
            </w:pPr>
          </w:p>
        </w:tc>
        <w:tc>
          <w:tcPr>
            <w:tcW w:w="474" w:type="pct"/>
            <w:vMerge/>
            <w:vAlign w:val="center"/>
          </w:tcPr>
          <w:p w14:paraId="30107A6B" w14:textId="77777777" w:rsidR="007A46A1" w:rsidRPr="00992F27" w:rsidRDefault="007A46A1" w:rsidP="00CE09EF">
            <w:pPr>
              <w:pStyle w:val="Tabletext"/>
              <w:jc w:val="center"/>
              <w:rPr>
                <w:sz w:val="20"/>
              </w:rPr>
            </w:pPr>
          </w:p>
        </w:tc>
        <w:tc>
          <w:tcPr>
            <w:tcW w:w="607" w:type="pct"/>
            <w:vAlign w:val="center"/>
          </w:tcPr>
          <w:p w14:paraId="03353876" w14:textId="5EC12B84" w:rsidR="007A46A1" w:rsidRPr="00992F27" w:rsidRDefault="00D456D2" w:rsidP="00992F27">
            <w:pPr>
              <w:pStyle w:val="TabletextCentered"/>
              <w:rPr>
                <w:sz w:val="20"/>
              </w:rPr>
            </w:pPr>
            <w:r w:rsidRPr="00992F27">
              <w:rPr>
                <w:sz w:val="20"/>
              </w:rPr>
              <w:t>MRF</w:t>
            </w:r>
            <w:r w:rsidR="007A46A1" w:rsidRPr="00992F27">
              <w:rPr>
                <w:sz w:val="20"/>
              </w:rPr>
              <w:t>, TDM</w:t>
            </w:r>
          </w:p>
        </w:tc>
        <w:tc>
          <w:tcPr>
            <w:tcW w:w="552" w:type="pct"/>
            <w:vAlign w:val="center"/>
          </w:tcPr>
          <w:p w14:paraId="2BC3B553" w14:textId="75B5874D" w:rsidR="007A46A1" w:rsidRPr="00992F27" w:rsidRDefault="007A46A1" w:rsidP="00CE09EF">
            <w:pPr>
              <w:pStyle w:val="Tabletext"/>
              <w:jc w:val="center"/>
              <w:rPr>
                <w:sz w:val="20"/>
              </w:rPr>
            </w:pPr>
            <w:r w:rsidRPr="00992F27">
              <w:rPr>
                <w:sz w:val="20"/>
              </w:rPr>
              <w:t>LDM</w:t>
            </w:r>
            <w:r w:rsidR="00C039ED" w:rsidRPr="00706DE2">
              <w:rPr>
                <w:vertAlign w:val="superscript"/>
                <w:lang w:val="en-GB"/>
              </w:rPr>
              <w:t> </w:t>
            </w:r>
            <w:r w:rsidRPr="00992F27">
              <w:rPr>
                <w:sz w:val="20"/>
                <w:vertAlign w:val="superscript"/>
              </w:rPr>
              <w:t>(1)</w:t>
            </w:r>
          </w:p>
        </w:tc>
        <w:tc>
          <w:tcPr>
            <w:tcW w:w="723" w:type="pct"/>
            <w:vAlign w:val="center"/>
          </w:tcPr>
          <w:p w14:paraId="0E0FFC50" w14:textId="785B56ED" w:rsidR="007A46A1" w:rsidRPr="00992F27" w:rsidRDefault="007A46A1" w:rsidP="00CE09EF">
            <w:pPr>
              <w:pStyle w:val="Tabletext"/>
              <w:jc w:val="center"/>
              <w:rPr>
                <w:sz w:val="20"/>
              </w:rPr>
            </w:pPr>
            <w:r w:rsidRPr="00992F27">
              <w:rPr>
                <w:sz w:val="20"/>
              </w:rPr>
              <w:t>SDM</w:t>
            </w:r>
            <w:r w:rsidRPr="00992F27">
              <w:rPr>
                <w:sz w:val="20"/>
              </w:rPr>
              <w:noBreakHyphen/>
              <w:t>MIMO</w:t>
            </w:r>
            <w:r w:rsidR="00C039ED" w:rsidRPr="00706DE2">
              <w:rPr>
                <w:vertAlign w:val="superscript"/>
                <w:lang w:val="en-GB"/>
              </w:rPr>
              <w:t> </w:t>
            </w:r>
            <w:r w:rsidRPr="00992F27">
              <w:rPr>
                <w:sz w:val="20"/>
                <w:vertAlign w:val="superscript"/>
              </w:rPr>
              <w:t>(2)</w:t>
            </w:r>
          </w:p>
        </w:tc>
        <w:tc>
          <w:tcPr>
            <w:tcW w:w="1103" w:type="pct"/>
            <w:gridSpan w:val="2"/>
            <w:vMerge/>
            <w:vAlign w:val="center"/>
          </w:tcPr>
          <w:p w14:paraId="164F344D" w14:textId="77777777" w:rsidR="007A46A1" w:rsidRPr="00992F27" w:rsidRDefault="007A46A1" w:rsidP="00CE09EF">
            <w:pPr>
              <w:pStyle w:val="Tabletext"/>
              <w:jc w:val="center"/>
              <w:rPr>
                <w:sz w:val="20"/>
              </w:rPr>
            </w:pPr>
          </w:p>
        </w:tc>
      </w:tr>
      <w:tr w:rsidR="00D456D2" w:rsidRPr="00992F27" w14:paraId="4703448E" w14:textId="77777777" w:rsidTr="009E1DCF">
        <w:trPr>
          <w:cantSplit/>
          <w:jc w:val="center"/>
        </w:trPr>
        <w:tc>
          <w:tcPr>
            <w:tcW w:w="690" w:type="pct"/>
            <w:vMerge/>
            <w:vAlign w:val="center"/>
          </w:tcPr>
          <w:p w14:paraId="54717740" w14:textId="77777777" w:rsidR="007A46A1" w:rsidRPr="00992F27" w:rsidRDefault="007A46A1" w:rsidP="00992F27">
            <w:pPr>
              <w:pStyle w:val="Tabletext"/>
              <w:jc w:val="center"/>
              <w:rPr>
                <w:b/>
                <w:bCs/>
                <w:sz w:val="20"/>
              </w:rPr>
            </w:pPr>
          </w:p>
        </w:tc>
        <w:tc>
          <w:tcPr>
            <w:tcW w:w="851" w:type="pct"/>
            <w:vAlign w:val="center"/>
          </w:tcPr>
          <w:p w14:paraId="1FF8C411" w14:textId="14A7D1A8" w:rsidR="007A46A1" w:rsidRPr="00992F27" w:rsidRDefault="00D456D2" w:rsidP="00992F27">
            <w:pPr>
              <w:pStyle w:val="TabletextLeft"/>
              <w:rPr>
                <w:b/>
                <w:bCs/>
                <w:sz w:val="20"/>
              </w:rPr>
            </w:pPr>
            <w:r w:rsidRPr="00992F27">
              <w:rPr>
                <w:b/>
                <w:bCs/>
                <w:sz w:val="20"/>
              </w:rPr>
              <w:t>Mécanisme de transmission du nouveau service</w:t>
            </w:r>
          </w:p>
        </w:tc>
        <w:tc>
          <w:tcPr>
            <w:tcW w:w="474" w:type="pct"/>
            <w:vAlign w:val="center"/>
          </w:tcPr>
          <w:p w14:paraId="258696A5" w14:textId="7DA6216A" w:rsidR="007A46A1" w:rsidRPr="00992F27" w:rsidRDefault="00D456D2" w:rsidP="00992F27">
            <w:pPr>
              <w:pStyle w:val="TabletextCentered"/>
              <w:rPr>
                <w:sz w:val="20"/>
              </w:rPr>
            </w:pPr>
            <w:r w:rsidRPr="00992F27">
              <w:rPr>
                <w:sz w:val="20"/>
              </w:rPr>
              <w:t>Identique à celui du service existant</w:t>
            </w:r>
          </w:p>
        </w:tc>
        <w:tc>
          <w:tcPr>
            <w:tcW w:w="607" w:type="pct"/>
            <w:vAlign w:val="center"/>
          </w:tcPr>
          <w:p w14:paraId="374E02F2" w14:textId="2149AC6B" w:rsidR="007A46A1" w:rsidRPr="00992F27" w:rsidRDefault="00D456D2" w:rsidP="00992F27">
            <w:pPr>
              <w:pStyle w:val="TabletextCentered"/>
              <w:rPr>
                <w:sz w:val="20"/>
              </w:rPr>
            </w:pPr>
            <w:r w:rsidRPr="00992F27">
              <w:rPr>
                <w:sz w:val="20"/>
              </w:rPr>
              <w:t>Possibilité d'utiliser une technologie de transmission plus efficace</w:t>
            </w:r>
          </w:p>
        </w:tc>
        <w:tc>
          <w:tcPr>
            <w:tcW w:w="2378" w:type="pct"/>
            <w:gridSpan w:val="4"/>
            <w:vAlign w:val="center"/>
          </w:tcPr>
          <w:p w14:paraId="46D3D0EF" w14:textId="11C8D3CB" w:rsidR="007A46A1" w:rsidRPr="00992F27" w:rsidRDefault="00D456D2" w:rsidP="00992F27">
            <w:pPr>
              <w:pStyle w:val="TabletextCentered"/>
              <w:rPr>
                <w:sz w:val="20"/>
              </w:rPr>
            </w:pPr>
            <w:r w:rsidRPr="00992F27">
              <w:rPr>
                <w:sz w:val="20"/>
              </w:rPr>
              <w:t xml:space="preserve">Possibilité d'utiliser une technologie de transmission plus efficace </w:t>
            </w:r>
            <w:r w:rsidR="00992F27" w:rsidRPr="00992F27">
              <w:rPr>
                <w:sz w:val="20"/>
              </w:rPr>
              <w:br/>
            </w:r>
            <w:r w:rsidRPr="00992F27">
              <w:rPr>
                <w:sz w:val="20"/>
              </w:rPr>
              <w:t>et d'étendre la largeur de bande</w:t>
            </w:r>
          </w:p>
        </w:tc>
      </w:tr>
      <w:tr w:rsidR="007A46A1" w:rsidRPr="00992F27" w14:paraId="6BC0A631" w14:textId="77777777" w:rsidTr="009E1DCF">
        <w:trPr>
          <w:cantSplit/>
          <w:jc w:val="center"/>
        </w:trPr>
        <w:tc>
          <w:tcPr>
            <w:tcW w:w="690" w:type="pct"/>
            <w:vMerge/>
            <w:vAlign w:val="center"/>
          </w:tcPr>
          <w:p w14:paraId="6369CC5B" w14:textId="77777777" w:rsidR="007A46A1" w:rsidRPr="00992F27" w:rsidRDefault="007A46A1" w:rsidP="00992F27">
            <w:pPr>
              <w:pStyle w:val="Tabletext"/>
              <w:jc w:val="center"/>
              <w:rPr>
                <w:b/>
                <w:bCs/>
                <w:sz w:val="20"/>
              </w:rPr>
            </w:pPr>
          </w:p>
        </w:tc>
        <w:tc>
          <w:tcPr>
            <w:tcW w:w="851" w:type="pct"/>
            <w:vAlign w:val="center"/>
          </w:tcPr>
          <w:p w14:paraId="6CD1B7EA" w14:textId="680CA333" w:rsidR="007A46A1" w:rsidRPr="00992F27" w:rsidRDefault="00D456D2" w:rsidP="00992F27">
            <w:pPr>
              <w:pStyle w:val="TabletextLeft"/>
              <w:rPr>
                <w:b/>
                <w:bCs/>
                <w:sz w:val="20"/>
              </w:rPr>
            </w:pPr>
            <w:r w:rsidRPr="00992F27">
              <w:rPr>
                <w:b/>
                <w:bCs/>
                <w:sz w:val="20"/>
              </w:rPr>
              <w:t>Mécanisme de codage des sources vidéo/audio du nouveau service</w:t>
            </w:r>
          </w:p>
        </w:tc>
        <w:tc>
          <w:tcPr>
            <w:tcW w:w="3460" w:type="pct"/>
            <w:gridSpan w:val="6"/>
            <w:vAlign w:val="center"/>
          </w:tcPr>
          <w:p w14:paraId="44898BB0" w14:textId="3B94AD9D" w:rsidR="007A46A1" w:rsidRPr="00992F27" w:rsidRDefault="00D456D2" w:rsidP="00992F27">
            <w:pPr>
              <w:pStyle w:val="TabletextCentered"/>
              <w:rPr>
                <w:sz w:val="20"/>
              </w:rPr>
            </w:pPr>
            <w:r w:rsidRPr="00992F27">
              <w:rPr>
                <w:sz w:val="20"/>
              </w:rPr>
              <w:t>Possibilité d'utiliser une technologie de codage des sources plus efficace</w:t>
            </w:r>
          </w:p>
        </w:tc>
      </w:tr>
      <w:tr w:rsidR="00992F27" w:rsidRPr="00992F27" w14:paraId="6D8DD128" w14:textId="77777777" w:rsidTr="009E1DCF">
        <w:trPr>
          <w:cantSplit/>
          <w:jc w:val="center"/>
        </w:trPr>
        <w:tc>
          <w:tcPr>
            <w:tcW w:w="690" w:type="pct"/>
            <w:vMerge w:val="restart"/>
            <w:vAlign w:val="center"/>
          </w:tcPr>
          <w:p w14:paraId="58B49C09" w14:textId="218EDF03" w:rsidR="00992F27" w:rsidRPr="00992F27" w:rsidRDefault="00992F27" w:rsidP="00992F27">
            <w:pPr>
              <w:pStyle w:val="TabletextCentered"/>
              <w:rPr>
                <w:b/>
                <w:bCs/>
                <w:sz w:val="20"/>
              </w:rPr>
            </w:pPr>
            <w:r w:rsidRPr="00992F27">
              <w:rPr>
                <w:b/>
                <w:bCs/>
                <w:sz w:val="20"/>
              </w:rPr>
              <w:t>Exploitation du service existant pendant la période de diffusion simultanée</w:t>
            </w:r>
          </w:p>
        </w:tc>
        <w:tc>
          <w:tcPr>
            <w:tcW w:w="851" w:type="pct"/>
            <w:vAlign w:val="center"/>
          </w:tcPr>
          <w:p w14:paraId="23D2F763" w14:textId="07EBDD76" w:rsidR="00992F27" w:rsidRPr="00992F27" w:rsidRDefault="00992F27" w:rsidP="00992F27">
            <w:pPr>
              <w:pStyle w:val="TabletextLeft"/>
              <w:rPr>
                <w:b/>
                <w:bCs/>
                <w:sz w:val="20"/>
              </w:rPr>
            </w:pPr>
            <w:r w:rsidRPr="00992F27">
              <w:rPr>
                <w:b/>
                <w:bCs/>
                <w:sz w:val="20"/>
              </w:rPr>
              <w:t>Zone de service</w:t>
            </w:r>
          </w:p>
        </w:tc>
        <w:tc>
          <w:tcPr>
            <w:tcW w:w="474" w:type="pct"/>
            <w:vAlign w:val="center"/>
          </w:tcPr>
          <w:p w14:paraId="6F695CF1" w14:textId="4603F116" w:rsidR="00992F27" w:rsidRPr="00992F27" w:rsidRDefault="00992F27" w:rsidP="00992F27">
            <w:pPr>
              <w:pStyle w:val="TabletextCentered"/>
              <w:rPr>
                <w:sz w:val="20"/>
              </w:rPr>
            </w:pPr>
            <w:r w:rsidRPr="00992F27">
              <w:rPr>
                <w:sz w:val="20"/>
              </w:rPr>
              <w:t>Identique à la zone existante</w:t>
            </w:r>
          </w:p>
        </w:tc>
        <w:tc>
          <w:tcPr>
            <w:tcW w:w="607" w:type="pct"/>
            <w:vAlign w:val="center"/>
          </w:tcPr>
          <w:p w14:paraId="381F6A6F" w14:textId="78EA5CA8" w:rsidR="00992F27" w:rsidRPr="00992F27" w:rsidRDefault="00992F27" w:rsidP="00992F27">
            <w:pPr>
              <w:pStyle w:val="TabletextCentered"/>
              <w:rPr>
                <w:sz w:val="20"/>
              </w:rPr>
            </w:pPr>
            <w:r w:rsidRPr="00992F27">
              <w:rPr>
                <w:sz w:val="20"/>
              </w:rPr>
              <w:t xml:space="preserve">Identique à la </w:t>
            </w:r>
            <w:r w:rsidR="009E1DCF">
              <w:rPr>
                <w:sz w:val="20"/>
              </w:rPr>
              <w:br/>
            </w:r>
            <w:r w:rsidRPr="00992F27">
              <w:rPr>
                <w:sz w:val="20"/>
              </w:rPr>
              <w:t>zone existante</w:t>
            </w:r>
          </w:p>
        </w:tc>
        <w:tc>
          <w:tcPr>
            <w:tcW w:w="552" w:type="pct"/>
            <w:vAlign w:val="center"/>
          </w:tcPr>
          <w:p w14:paraId="2842F8EC" w14:textId="5B6D26B7" w:rsidR="00992F27" w:rsidRPr="00992F27" w:rsidRDefault="00992F27" w:rsidP="00992F27">
            <w:pPr>
              <w:pStyle w:val="TabletextCentered"/>
              <w:rPr>
                <w:sz w:val="20"/>
              </w:rPr>
            </w:pPr>
            <w:r w:rsidRPr="00992F27">
              <w:rPr>
                <w:sz w:val="20"/>
              </w:rPr>
              <w:t>Identique à la zone existante, ou plus étroite</w:t>
            </w:r>
            <w:r w:rsidR="00C039ED" w:rsidRPr="00706DE2">
              <w:rPr>
                <w:vertAlign w:val="superscript"/>
                <w:lang w:val="en-GB"/>
              </w:rPr>
              <w:t> </w:t>
            </w:r>
            <w:r w:rsidRPr="00992F27">
              <w:rPr>
                <w:sz w:val="20"/>
                <w:vertAlign w:val="superscript"/>
              </w:rPr>
              <w:t>(3)</w:t>
            </w:r>
          </w:p>
        </w:tc>
        <w:tc>
          <w:tcPr>
            <w:tcW w:w="723" w:type="pct"/>
            <w:vAlign w:val="center"/>
          </w:tcPr>
          <w:p w14:paraId="2C542BFC" w14:textId="0A5314E8" w:rsidR="00992F27" w:rsidRPr="00992F27" w:rsidRDefault="00992F27" w:rsidP="00992F27">
            <w:pPr>
              <w:pStyle w:val="TabletextCentered"/>
              <w:rPr>
                <w:sz w:val="20"/>
              </w:rPr>
            </w:pPr>
            <w:r w:rsidRPr="00992F27">
              <w:rPr>
                <w:sz w:val="20"/>
              </w:rPr>
              <w:t>Identique à la zone existante, ou plus étroite</w:t>
            </w:r>
            <w:r w:rsidR="00C039ED" w:rsidRPr="00706DE2">
              <w:rPr>
                <w:vertAlign w:val="superscript"/>
                <w:lang w:val="en-GB"/>
              </w:rPr>
              <w:t> </w:t>
            </w:r>
            <w:r w:rsidRPr="00992F27">
              <w:rPr>
                <w:sz w:val="20"/>
                <w:vertAlign w:val="superscript"/>
              </w:rPr>
              <w:t>(3)</w:t>
            </w:r>
          </w:p>
        </w:tc>
        <w:tc>
          <w:tcPr>
            <w:tcW w:w="552" w:type="pct"/>
            <w:vAlign w:val="center"/>
          </w:tcPr>
          <w:p w14:paraId="34282981" w14:textId="7FDA31FA" w:rsidR="00992F27" w:rsidRPr="00992F27" w:rsidRDefault="00992F27" w:rsidP="00992F27">
            <w:pPr>
              <w:pStyle w:val="TabletextCentered"/>
              <w:rPr>
                <w:sz w:val="20"/>
              </w:rPr>
            </w:pPr>
            <w:r w:rsidRPr="00992F27">
              <w:rPr>
                <w:sz w:val="20"/>
              </w:rPr>
              <w:t xml:space="preserve">Identique à la </w:t>
            </w:r>
            <w:r w:rsidR="009E1DCF">
              <w:rPr>
                <w:sz w:val="20"/>
              </w:rPr>
              <w:br/>
            </w:r>
            <w:r w:rsidRPr="00992F27">
              <w:rPr>
                <w:sz w:val="20"/>
              </w:rPr>
              <w:t>zone existante</w:t>
            </w:r>
          </w:p>
        </w:tc>
        <w:tc>
          <w:tcPr>
            <w:tcW w:w="551" w:type="pct"/>
            <w:vAlign w:val="center"/>
          </w:tcPr>
          <w:p w14:paraId="03CD143B" w14:textId="24907FA5" w:rsidR="00992F27" w:rsidRPr="00992F27" w:rsidRDefault="00992F27" w:rsidP="00992F27">
            <w:pPr>
              <w:pStyle w:val="TabletextCentered"/>
              <w:rPr>
                <w:sz w:val="20"/>
              </w:rPr>
            </w:pPr>
            <w:r w:rsidRPr="00992F27">
              <w:rPr>
                <w:sz w:val="20"/>
              </w:rPr>
              <w:t xml:space="preserve">Identique à la </w:t>
            </w:r>
            <w:r w:rsidR="009E1DCF">
              <w:rPr>
                <w:sz w:val="20"/>
              </w:rPr>
              <w:br/>
            </w:r>
            <w:r w:rsidRPr="00992F27">
              <w:rPr>
                <w:sz w:val="20"/>
              </w:rPr>
              <w:t>zone existante</w:t>
            </w:r>
          </w:p>
        </w:tc>
      </w:tr>
      <w:tr w:rsidR="00992F27" w:rsidRPr="00992F27" w14:paraId="01D06ADE" w14:textId="77777777" w:rsidTr="009E1DCF">
        <w:trPr>
          <w:cantSplit/>
          <w:jc w:val="center"/>
        </w:trPr>
        <w:tc>
          <w:tcPr>
            <w:tcW w:w="690" w:type="pct"/>
            <w:vMerge/>
            <w:vAlign w:val="center"/>
          </w:tcPr>
          <w:p w14:paraId="749DCE6F" w14:textId="77777777" w:rsidR="00992F27" w:rsidRPr="00992F27" w:rsidRDefault="00992F27" w:rsidP="00CE09EF">
            <w:pPr>
              <w:pStyle w:val="Tablehead"/>
              <w:keepNext w:val="0"/>
              <w:rPr>
                <w:bCs/>
                <w:sz w:val="20"/>
              </w:rPr>
            </w:pPr>
          </w:p>
        </w:tc>
        <w:tc>
          <w:tcPr>
            <w:tcW w:w="851" w:type="pct"/>
            <w:vAlign w:val="center"/>
          </w:tcPr>
          <w:p w14:paraId="65056F88" w14:textId="75202031" w:rsidR="00992F27" w:rsidRPr="00992F27" w:rsidRDefault="00992F27" w:rsidP="00992F27">
            <w:pPr>
              <w:pStyle w:val="TabletextLeft"/>
              <w:rPr>
                <w:b/>
                <w:bCs/>
                <w:sz w:val="20"/>
              </w:rPr>
            </w:pPr>
            <w:r w:rsidRPr="00992F27">
              <w:rPr>
                <w:b/>
                <w:bCs/>
                <w:sz w:val="20"/>
              </w:rPr>
              <w:t>Capacité de transmission</w:t>
            </w:r>
          </w:p>
        </w:tc>
        <w:tc>
          <w:tcPr>
            <w:tcW w:w="474" w:type="pct"/>
            <w:vAlign w:val="center"/>
          </w:tcPr>
          <w:p w14:paraId="1C94B450" w14:textId="41652599" w:rsidR="00992F27" w:rsidRPr="00992F27" w:rsidRDefault="00992F27" w:rsidP="00992F27">
            <w:pPr>
              <w:pStyle w:val="TabletextCentered"/>
              <w:rPr>
                <w:sz w:val="20"/>
              </w:rPr>
            </w:pPr>
            <w:r w:rsidRPr="00992F27">
              <w:rPr>
                <w:sz w:val="20"/>
              </w:rPr>
              <w:t>Inférieure à la capacité existante</w:t>
            </w:r>
          </w:p>
        </w:tc>
        <w:tc>
          <w:tcPr>
            <w:tcW w:w="607" w:type="pct"/>
            <w:vAlign w:val="center"/>
          </w:tcPr>
          <w:p w14:paraId="0FD616DD" w14:textId="04E5382A" w:rsidR="00992F27" w:rsidRPr="00992F27" w:rsidRDefault="00992F27" w:rsidP="00992F27">
            <w:pPr>
              <w:pStyle w:val="TabletextCentered"/>
              <w:rPr>
                <w:sz w:val="20"/>
              </w:rPr>
            </w:pPr>
            <w:r w:rsidRPr="00992F27">
              <w:rPr>
                <w:sz w:val="20"/>
              </w:rPr>
              <w:t>Inférieure à la capacité existante, supérieure à la Méthode A1</w:t>
            </w:r>
          </w:p>
        </w:tc>
        <w:tc>
          <w:tcPr>
            <w:tcW w:w="552" w:type="pct"/>
            <w:vAlign w:val="center"/>
          </w:tcPr>
          <w:p w14:paraId="2337DFCC" w14:textId="0F83A799" w:rsidR="00992F27" w:rsidRPr="00992F27" w:rsidRDefault="00992F27" w:rsidP="00992F27">
            <w:pPr>
              <w:pStyle w:val="TabletextCentered"/>
              <w:rPr>
                <w:sz w:val="20"/>
              </w:rPr>
            </w:pPr>
            <w:r w:rsidRPr="00992F27">
              <w:rPr>
                <w:sz w:val="20"/>
              </w:rPr>
              <w:t>Identique ou inférieure à la capacité existante</w:t>
            </w:r>
            <w:r w:rsidR="00C039ED" w:rsidRPr="00706DE2">
              <w:rPr>
                <w:vertAlign w:val="superscript"/>
                <w:lang w:val="en-GB"/>
              </w:rPr>
              <w:t> </w:t>
            </w:r>
            <w:r w:rsidRPr="00992F27">
              <w:rPr>
                <w:sz w:val="20"/>
                <w:vertAlign w:val="superscript"/>
              </w:rPr>
              <w:t>(3)</w:t>
            </w:r>
            <w:r w:rsidRPr="00992F27">
              <w:rPr>
                <w:sz w:val="20"/>
              </w:rPr>
              <w:t>, supérieure à la Méthode A2</w:t>
            </w:r>
          </w:p>
        </w:tc>
        <w:tc>
          <w:tcPr>
            <w:tcW w:w="723" w:type="pct"/>
            <w:vAlign w:val="center"/>
          </w:tcPr>
          <w:p w14:paraId="319161D6" w14:textId="01DCCF60" w:rsidR="00992F27" w:rsidRPr="00992F27" w:rsidRDefault="00992F27" w:rsidP="00992F27">
            <w:pPr>
              <w:pStyle w:val="TabletextCentered"/>
              <w:rPr>
                <w:sz w:val="20"/>
              </w:rPr>
            </w:pPr>
            <w:r w:rsidRPr="00992F27">
              <w:rPr>
                <w:sz w:val="20"/>
              </w:rPr>
              <w:t>Identique ou inférieure à la capacité existante</w:t>
            </w:r>
            <w:r w:rsidR="00C039ED" w:rsidRPr="00706DE2">
              <w:rPr>
                <w:vertAlign w:val="superscript"/>
                <w:lang w:val="en-GB"/>
              </w:rPr>
              <w:t> </w:t>
            </w:r>
            <w:r w:rsidRPr="00992F27">
              <w:rPr>
                <w:sz w:val="20"/>
                <w:vertAlign w:val="superscript"/>
              </w:rPr>
              <w:t>(3)</w:t>
            </w:r>
            <w:r w:rsidRPr="00992F27">
              <w:rPr>
                <w:sz w:val="20"/>
              </w:rPr>
              <w:t>, supérieure à la Méthode A2</w:t>
            </w:r>
          </w:p>
        </w:tc>
        <w:tc>
          <w:tcPr>
            <w:tcW w:w="552" w:type="pct"/>
            <w:vAlign w:val="center"/>
          </w:tcPr>
          <w:p w14:paraId="31632895" w14:textId="4FE842A8" w:rsidR="00992F27" w:rsidRPr="00992F27" w:rsidRDefault="00992F27" w:rsidP="00992F27">
            <w:pPr>
              <w:pStyle w:val="TabletextCentered"/>
              <w:rPr>
                <w:sz w:val="20"/>
              </w:rPr>
            </w:pPr>
            <w:r w:rsidRPr="00992F27">
              <w:rPr>
                <w:sz w:val="20"/>
              </w:rPr>
              <w:t>Inférieure à la capacité existante</w:t>
            </w:r>
          </w:p>
        </w:tc>
        <w:tc>
          <w:tcPr>
            <w:tcW w:w="551" w:type="pct"/>
            <w:vAlign w:val="center"/>
          </w:tcPr>
          <w:p w14:paraId="4418ADCD" w14:textId="35079F50" w:rsidR="00992F27" w:rsidRPr="00992F27" w:rsidRDefault="00992F27" w:rsidP="00992F27">
            <w:pPr>
              <w:pStyle w:val="TabletextCentered"/>
              <w:rPr>
                <w:sz w:val="20"/>
              </w:rPr>
            </w:pPr>
            <w:r w:rsidRPr="00992F27">
              <w:rPr>
                <w:sz w:val="20"/>
              </w:rPr>
              <w:t>Identique à la capacité existante</w:t>
            </w:r>
          </w:p>
        </w:tc>
      </w:tr>
      <w:tr w:rsidR="00992F27" w:rsidRPr="00992F27" w14:paraId="704C5874" w14:textId="77777777" w:rsidTr="009E1DCF">
        <w:trPr>
          <w:cantSplit/>
          <w:jc w:val="center"/>
        </w:trPr>
        <w:tc>
          <w:tcPr>
            <w:tcW w:w="690" w:type="pct"/>
            <w:vMerge/>
            <w:vAlign w:val="center"/>
          </w:tcPr>
          <w:p w14:paraId="05C9CA3C" w14:textId="77777777" w:rsidR="00992F27" w:rsidRPr="00992F27" w:rsidRDefault="00992F27" w:rsidP="00B50B95">
            <w:pPr>
              <w:pStyle w:val="Tablehead"/>
              <w:keepNext w:val="0"/>
              <w:rPr>
                <w:bCs/>
                <w:sz w:val="20"/>
              </w:rPr>
            </w:pPr>
          </w:p>
        </w:tc>
        <w:tc>
          <w:tcPr>
            <w:tcW w:w="851" w:type="pct"/>
            <w:vAlign w:val="center"/>
          </w:tcPr>
          <w:p w14:paraId="296018D2" w14:textId="2ED2C501" w:rsidR="00992F27" w:rsidRPr="00992F27" w:rsidRDefault="00992F27" w:rsidP="00992F27">
            <w:pPr>
              <w:pStyle w:val="TabletextLeft"/>
              <w:rPr>
                <w:b/>
                <w:bCs/>
                <w:sz w:val="20"/>
              </w:rPr>
            </w:pPr>
            <w:r w:rsidRPr="00992F27">
              <w:rPr>
                <w:b/>
                <w:bCs/>
                <w:sz w:val="20"/>
              </w:rPr>
              <w:t>Qualité de service vidéo/audio</w:t>
            </w:r>
          </w:p>
        </w:tc>
        <w:tc>
          <w:tcPr>
            <w:tcW w:w="474" w:type="pct"/>
            <w:vAlign w:val="center"/>
          </w:tcPr>
          <w:p w14:paraId="66A4EC88" w14:textId="66DC7E2B" w:rsidR="00992F27" w:rsidRPr="00992F27" w:rsidRDefault="00992F27" w:rsidP="00992F27">
            <w:pPr>
              <w:pStyle w:val="TabletextCentered"/>
              <w:rPr>
                <w:sz w:val="20"/>
              </w:rPr>
            </w:pPr>
            <w:r w:rsidRPr="00992F27">
              <w:rPr>
                <w:sz w:val="20"/>
              </w:rPr>
              <w:t>Inférieure à la qualité de service existante</w:t>
            </w:r>
          </w:p>
        </w:tc>
        <w:tc>
          <w:tcPr>
            <w:tcW w:w="607" w:type="pct"/>
            <w:vAlign w:val="center"/>
          </w:tcPr>
          <w:p w14:paraId="6012F8BE" w14:textId="33E12A6A" w:rsidR="00992F27" w:rsidRPr="00992F27" w:rsidRDefault="00992F27" w:rsidP="00992F27">
            <w:pPr>
              <w:pStyle w:val="TabletextCentered"/>
              <w:rPr>
                <w:sz w:val="20"/>
              </w:rPr>
            </w:pPr>
            <w:r w:rsidRPr="00992F27">
              <w:rPr>
                <w:sz w:val="20"/>
              </w:rPr>
              <w:t>Inférieure à la qualité de service existante, supérieure à la Méthode A1</w:t>
            </w:r>
          </w:p>
        </w:tc>
        <w:tc>
          <w:tcPr>
            <w:tcW w:w="552" w:type="pct"/>
            <w:vAlign w:val="center"/>
          </w:tcPr>
          <w:p w14:paraId="52DD7AF9" w14:textId="6EC425A3" w:rsidR="00992F27" w:rsidRPr="00992F27" w:rsidRDefault="00992F27" w:rsidP="00992F27">
            <w:pPr>
              <w:pStyle w:val="TabletextCentered"/>
              <w:rPr>
                <w:sz w:val="20"/>
              </w:rPr>
            </w:pPr>
            <w:r w:rsidRPr="00992F27">
              <w:rPr>
                <w:sz w:val="20"/>
              </w:rPr>
              <w:t>Identique ou inférieure à la qualité de service existante</w:t>
            </w:r>
            <w:r w:rsidR="00C039ED" w:rsidRPr="00706DE2">
              <w:rPr>
                <w:vertAlign w:val="superscript"/>
                <w:lang w:val="en-GB"/>
              </w:rPr>
              <w:t> </w:t>
            </w:r>
            <w:r w:rsidRPr="00992F27">
              <w:rPr>
                <w:sz w:val="20"/>
                <w:vertAlign w:val="superscript"/>
              </w:rPr>
              <w:t>(3)</w:t>
            </w:r>
            <w:r w:rsidRPr="00992F27">
              <w:rPr>
                <w:sz w:val="20"/>
              </w:rPr>
              <w:t>, supérieure à la Méthode A2</w:t>
            </w:r>
          </w:p>
        </w:tc>
        <w:tc>
          <w:tcPr>
            <w:tcW w:w="723" w:type="pct"/>
            <w:vAlign w:val="center"/>
          </w:tcPr>
          <w:p w14:paraId="15C37628" w14:textId="39C5F98E" w:rsidR="00992F27" w:rsidRPr="00992F27" w:rsidRDefault="00992F27" w:rsidP="00992F27">
            <w:pPr>
              <w:pStyle w:val="TabletextCentered"/>
              <w:rPr>
                <w:sz w:val="20"/>
              </w:rPr>
            </w:pPr>
            <w:r w:rsidRPr="00992F27">
              <w:rPr>
                <w:sz w:val="20"/>
              </w:rPr>
              <w:t>Identique ou inférieure à la qualité de service existante</w:t>
            </w:r>
            <w:r w:rsidR="00C039ED" w:rsidRPr="00706DE2">
              <w:rPr>
                <w:vertAlign w:val="superscript"/>
                <w:lang w:val="en-GB"/>
              </w:rPr>
              <w:t> </w:t>
            </w:r>
            <w:r w:rsidRPr="00992F27">
              <w:rPr>
                <w:sz w:val="20"/>
                <w:vertAlign w:val="superscript"/>
              </w:rPr>
              <w:t>(3)</w:t>
            </w:r>
            <w:r w:rsidRPr="00992F27">
              <w:rPr>
                <w:sz w:val="20"/>
              </w:rPr>
              <w:t>, supérieure à la Méthode A2</w:t>
            </w:r>
          </w:p>
        </w:tc>
        <w:tc>
          <w:tcPr>
            <w:tcW w:w="552" w:type="pct"/>
            <w:vAlign w:val="center"/>
          </w:tcPr>
          <w:p w14:paraId="06988BE4" w14:textId="65BD166D" w:rsidR="00992F27" w:rsidRPr="00992F27" w:rsidRDefault="00992F27" w:rsidP="00992F27">
            <w:pPr>
              <w:pStyle w:val="TabletextCentered"/>
              <w:rPr>
                <w:sz w:val="20"/>
              </w:rPr>
            </w:pPr>
            <w:r w:rsidRPr="00992F27">
              <w:rPr>
                <w:sz w:val="20"/>
              </w:rPr>
              <w:t>Inférieure à la qualité de service existante</w:t>
            </w:r>
          </w:p>
        </w:tc>
        <w:tc>
          <w:tcPr>
            <w:tcW w:w="551" w:type="pct"/>
            <w:vAlign w:val="center"/>
          </w:tcPr>
          <w:p w14:paraId="253B5583" w14:textId="22122FEA" w:rsidR="00992F27" w:rsidRPr="00992F27" w:rsidRDefault="00992F27" w:rsidP="00992F27">
            <w:pPr>
              <w:pStyle w:val="TabletextCentered"/>
              <w:rPr>
                <w:sz w:val="20"/>
              </w:rPr>
            </w:pPr>
            <w:r w:rsidRPr="00992F27">
              <w:rPr>
                <w:sz w:val="20"/>
              </w:rPr>
              <w:t>Identique à la qualité de service existante</w:t>
            </w:r>
          </w:p>
        </w:tc>
      </w:tr>
    </w:tbl>
    <w:p w14:paraId="20225214" w14:textId="71FE6816" w:rsidR="00CE09EF" w:rsidRPr="006E3081" w:rsidRDefault="00CE09EF" w:rsidP="00CE09EF">
      <w:pPr>
        <w:pStyle w:val="TableNo"/>
      </w:pPr>
      <w:r w:rsidRPr="006E3081">
        <w:lastRenderedPageBreak/>
        <w:t xml:space="preserve">TABLEAU 1 </w:t>
      </w:r>
      <w:r w:rsidRPr="00992F27">
        <w:t>(</w:t>
      </w:r>
      <w:r w:rsidRPr="006E3081">
        <w:rPr>
          <w:i/>
          <w:iCs/>
        </w:rPr>
        <w:t>suite</w:t>
      </w:r>
      <w:r w:rsidRPr="00992F27">
        <w:t>)</w:t>
      </w:r>
    </w:p>
    <w:tbl>
      <w:tblPr>
        <w:tblStyle w:val="TableGrid"/>
        <w:tblW w:w="5002" w:type="pct"/>
        <w:jc w:val="center"/>
        <w:tblCellMar>
          <w:left w:w="28" w:type="dxa"/>
          <w:right w:w="28" w:type="dxa"/>
        </w:tblCellMar>
        <w:tblLook w:val="04A0" w:firstRow="1" w:lastRow="0" w:firstColumn="1" w:lastColumn="0" w:noHBand="0" w:noVBand="1"/>
      </w:tblPr>
      <w:tblGrid>
        <w:gridCol w:w="1971"/>
        <w:gridCol w:w="2430"/>
        <w:gridCol w:w="1354"/>
        <w:gridCol w:w="1733"/>
        <w:gridCol w:w="1576"/>
        <w:gridCol w:w="2065"/>
        <w:gridCol w:w="1576"/>
        <w:gridCol w:w="1573"/>
      </w:tblGrid>
      <w:tr w:rsidR="00CE09EF" w:rsidRPr="00992F27" w14:paraId="10ED41C7" w14:textId="77777777" w:rsidTr="009E1DCF">
        <w:trPr>
          <w:cantSplit/>
          <w:tblHeader/>
          <w:jc w:val="center"/>
        </w:trPr>
        <w:tc>
          <w:tcPr>
            <w:tcW w:w="1541" w:type="pct"/>
            <w:gridSpan w:val="2"/>
            <w:vAlign w:val="center"/>
          </w:tcPr>
          <w:p w14:paraId="058E6223" w14:textId="77777777" w:rsidR="00CE09EF" w:rsidRPr="00992F27" w:rsidRDefault="00CE09EF" w:rsidP="00992F27">
            <w:pPr>
              <w:pStyle w:val="Tablehead"/>
            </w:pPr>
            <w:r w:rsidRPr="00992F27">
              <w:t>Méthode</w:t>
            </w:r>
          </w:p>
        </w:tc>
        <w:tc>
          <w:tcPr>
            <w:tcW w:w="474" w:type="pct"/>
            <w:vAlign w:val="center"/>
          </w:tcPr>
          <w:p w14:paraId="425788AB" w14:textId="77777777" w:rsidR="00CE09EF" w:rsidRPr="00992F27" w:rsidRDefault="00CE09EF" w:rsidP="00992F27">
            <w:pPr>
              <w:pStyle w:val="Tablehead"/>
            </w:pPr>
            <w:r w:rsidRPr="00992F27">
              <w:t>A1</w:t>
            </w:r>
          </w:p>
        </w:tc>
        <w:tc>
          <w:tcPr>
            <w:tcW w:w="607" w:type="pct"/>
            <w:vAlign w:val="center"/>
          </w:tcPr>
          <w:p w14:paraId="3322EB8D" w14:textId="77777777" w:rsidR="00CE09EF" w:rsidRPr="00992F27" w:rsidRDefault="00CE09EF" w:rsidP="00992F27">
            <w:pPr>
              <w:pStyle w:val="Tablehead"/>
            </w:pPr>
            <w:r w:rsidRPr="00992F27">
              <w:t>A2</w:t>
            </w:r>
          </w:p>
        </w:tc>
        <w:tc>
          <w:tcPr>
            <w:tcW w:w="552" w:type="pct"/>
            <w:vAlign w:val="center"/>
          </w:tcPr>
          <w:p w14:paraId="5DB35B7C" w14:textId="77777777" w:rsidR="00CE09EF" w:rsidRPr="00992F27" w:rsidRDefault="00CE09EF" w:rsidP="00992F27">
            <w:pPr>
              <w:pStyle w:val="Tablehead"/>
            </w:pPr>
            <w:r w:rsidRPr="00992F27">
              <w:t>A3</w:t>
            </w:r>
          </w:p>
        </w:tc>
        <w:tc>
          <w:tcPr>
            <w:tcW w:w="723" w:type="pct"/>
          </w:tcPr>
          <w:p w14:paraId="44C98707" w14:textId="77777777" w:rsidR="00CE09EF" w:rsidRPr="00992F27" w:rsidDel="00207A26" w:rsidRDefault="00CE09EF" w:rsidP="00992F27">
            <w:pPr>
              <w:pStyle w:val="Tablehead"/>
            </w:pPr>
            <w:r w:rsidRPr="00992F27">
              <w:t>A4</w:t>
            </w:r>
          </w:p>
        </w:tc>
        <w:tc>
          <w:tcPr>
            <w:tcW w:w="552" w:type="pct"/>
            <w:vAlign w:val="center"/>
          </w:tcPr>
          <w:p w14:paraId="024DEF5D" w14:textId="77777777" w:rsidR="00CE09EF" w:rsidRPr="00992F27" w:rsidRDefault="00CE09EF" w:rsidP="00992F27">
            <w:pPr>
              <w:pStyle w:val="Tablehead"/>
            </w:pPr>
            <w:r w:rsidRPr="00992F27">
              <w:t>B1</w:t>
            </w:r>
          </w:p>
        </w:tc>
        <w:tc>
          <w:tcPr>
            <w:tcW w:w="551" w:type="pct"/>
            <w:vAlign w:val="center"/>
          </w:tcPr>
          <w:p w14:paraId="02E471C5" w14:textId="77777777" w:rsidR="00CE09EF" w:rsidRPr="00992F27" w:rsidDel="00207A26" w:rsidRDefault="00CE09EF" w:rsidP="00992F27">
            <w:pPr>
              <w:pStyle w:val="Tablehead"/>
            </w:pPr>
            <w:r w:rsidRPr="00992F27">
              <w:t>B2</w:t>
            </w:r>
          </w:p>
        </w:tc>
      </w:tr>
      <w:tr w:rsidR="00992F27" w:rsidRPr="006E3081" w14:paraId="1AFEADF5" w14:textId="77777777" w:rsidTr="009E1DCF">
        <w:trPr>
          <w:cantSplit/>
          <w:jc w:val="center"/>
        </w:trPr>
        <w:tc>
          <w:tcPr>
            <w:tcW w:w="690" w:type="pct"/>
            <w:vMerge w:val="restart"/>
            <w:vAlign w:val="center"/>
          </w:tcPr>
          <w:p w14:paraId="37F8BE2B" w14:textId="4DDD233B" w:rsidR="00992F27" w:rsidRPr="006E3081" w:rsidRDefault="00992F27" w:rsidP="00992F27">
            <w:pPr>
              <w:pStyle w:val="TabletextCentered"/>
              <w:rPr>
                <w:b/>
                <w:bCs/>
                <w:sz w:val="20"/>
              </w:rPr>
            </w:pPr>
            <w:r w:rsidRPr="006E3081">
              <w:rPr>
                <w:b/>
                <w:bCs/>
                <w:sz w:val="20"/>
              </w:rPr>
              <w:t>Exploitation du nouveau service pendant la période de diffusion simultanée</w:t>
            </w:r>
          </w:p>
        </w:tc>
        <w:tc>
          <w:tcPr>
            <w:tcW w:w="851" w:type="pct"/>
            <w:vAlign w:val="center"/>
          </w:tcPr>
          <w:p w14:paraId="5CA44AA4" w14:textId="510B9851" w:rsidR="00992F27" w:rsidRPr="00992F27" w:rsidRDefault="00992F27" w:rsidP="00992F27">
            <w:pPr>
              <w:pStyle w:val="TabletextLeft"/>
              <w:rPr>
                <w:b/>
                <w:bCs/>
                <w:sz w:val="20"/>
              </w:rPr>
            </w:pPr>
            <w:r w:rsidRPr="00992F27">
              <w:rPr>
                <w:b/>
                <w:bCs/>
                <w:sz w:val="20"/>
              </w:rPr>
              <w:t>Zone de service</w:t>
            </w:r>
          </w:p>
        </w:tc>
        <w:tc>
          <w:tcPr>
            <w:tcW w:w="474" w:type="pct"/>
            <w:vAlign w:val="center"/>
          </w:tcPr>
          <w:p w14:paraId="25D0594F" w14:textId="44DF4F57" w:rsidR="00992F27" w:rsidRPr="006E3081" w:rsidRDefault="00992F27" w:rsidP="00CE09EF">
            <w:pPr>
              <w:pStyle w:val="Tabletext"/>
              <w:jc w:val="center"/>
              <w:rPr>
                <w:sz w:val="20"/>
              </w:rPr>
            </w:pPr>
            <w:r w:rsidRPr="006E3081">
              <w:rPr>
                <w:sz w:val="20"/>
              </w:rPr>
              <w:t>Identique à la zone existante</w:t>
            </w:r>
          </w:p>
        </w:tc>
        <w:tc>
          <w:tcPr>
            <w:tcW w:w="607" w:type="pct"/>
            <w:vAlign w:val="center"/>
          </w:tcPr>
          <w:p w14:paraId="44FEFC79" w14:textId="32148DCF" w:rsidR="00992F27" w:rsidRPr="006E3081" w:rsidRDefault="00992F27" w:rsidP="00CE09EF">
            <w:pPr>
              <w:pStyle w:val="Tabletext"/>
              <w:jc w:val="center"/>
              <w:rPr>
                <w:sz w:val="20"/>
              </w:rPr>
            </w:pPr>
            <w:r w:rsidRPr="006E3081">
              <w:rPr>
                <w:sz w:val="20"/>
              </w:rPr>
              <w:t xml:space="preserve">Peut être identique à la zone existante ou différente de </w:t>
            </w:r>
            <w:r w:rsidR="009E1DCF">
              <w:rPr>
                <w:sz w:val="20"/>
              </w:rPr>
              <w:br/>
            </w:r>
            <w:r w:rsidRPr="006E3081">
              <w:rPr>
                <w:sz w:val="20"/>
              </w:rPr>
              <w:t>celle-ci</w:t>
            </w:r>
            <w:r w:rsidR="00C039ED">
              <w:rPr>
                <w:sz w:val="20"/>
              </w:rPr>
              <w:t> </w:t>
            </w:r>
            <w:r w:rsidRPr="006E3081">
              <w:rPr>
                <w:sz w:val="20"/>
                <w:vertAlign w:val="superscript"/>
              </w:rPr>
              <w:t>(4)</w:t>
            </w:r>
          </w:p>
        </w:tc>
        <w:tc>
          <w:tcPr>
            <w:tcW w:w="552" w:type="pct"/>
            <w:vAlign w:val="center"/>
          </w:tcPr>
          <w:p w14:paraId="05288075" w14:textId="4613A3A0" w:rsidR="00992F27" w:rsidRPr="006E3081" w:rsidRDefault="00992F27" w:rsidP="00CE09EF">
            <w:pPr>
              <w:pStyle w:val="Tabletext"/>
              <w:jc w:val="center"/>
              <w:rPr>
                <w:sz w:val="20"/>
              </w:rPr>
            </w:pPr>
            <w:r w:rsidRPr="006E3081">
              <w:rPr>
                <w:sz w:val="20"/>
              </w:rPr>
              <w:t>Peut être identique à la zone existante ou différente de celle-ci</w:t>
            </w:r>
            <w:r w:rsidR="00C039ED">
              <w:rPr>
                <w:sz w:val="20"/>
              </w:rPr>
              <w:t> </w:t>
            </w:r>
            <w:r w:rsidRPr="006E3081">
              <w:rPr>
                <w:sz w:val="20"/>
                <w:vertAlign w:val="superscript"/>
              </w:rPr>
              <w:t>(4)</w:t>
            </w:r>
          </w:p>
        </w:tc>
        <w:tc>
          <w:tcPr>
            <w:tcW w:w="723" w:type="pct"/>
            <w:vAlign w:val="center"/>
          </w:tcPr>
          <w:p w14:paraId="7DD4BB74" w14:textId="7E4E3056" w:rsidR="00992F27" w:rsidRPr="006E3081" w:rsidRDefault="00992F27" w:rsidP="00CE09EF">
            <w:pPr>
              <w:pStyle w:val="Tabletext"/>
              <w:jc w:val="center"/>
              <w:rPr>
                <w:sz w:val="20"/>
              </w:rPr>
            </w:pPr>
            <w:r w:rsidRPr="006E3081">
              <w:rPr>
                <w:sz w:val="20"/>
              </w:rPr>
              <w:t xml:space="preserve">Peut être identique à la zone existante ou différente de </w:t>
            </w:r>
            <w:r w:rsidR="009E1DCF">
              <w:rPr>
                <w:sz w:val="20"/>
              </w:rPr>
              <w:br/>
            </w:r>
            <w:r w:rsidRPr="006E3081">
              <w:rPr>
                <w:sz w:val="20"/>
              </w:rPr>
              <w:t>celle</w:t>
            </w:r>
            <w:r w:rsidR="00C039ED">
              <w:rPr>
                <w:sz w:val="20"/>
              </w:rPr>
              <w:noBreakHyphen/>
            </w:r>
            <w:r w:rsidRPr="006E3081">
              <w:rPr>
                <w:sz w:val="20"/>
              </w:rPr>
              <w:t>ci</w:t>
            </w:r>
            <w:r w:rsidR="00C039ED">
              <w:rPr>
                <w:sz w:val="20"/>
              </w:rPr>
              <w:t> </w:t>
            </w:r>
            <w:r w:rsidRPr="006E3081">
              <w:rPr>
                <w:sz w:val="20"/>
                <w:vertAlign w:val="superscript"/>
              </w:rPr>
              <w:t>(4)</w:t>
            </w:r>
          </w:p>
        </w:tc>
        <w:tc>
          <w:tcPr>
            <w:tcW w:w="552" w:type="pct"/>
            <w:vAlign w:val="center"/>
          </w:tcPr>
          <w:p w14:paraId="65283EC2" w14:textId="2F55CC28" w:rsidR="00992F27" w:rsidRPr="006E3081" w:rsidRDefault="00992F27" w:rsidP="00CE09EF">
            <w:pPr>
              <w:pStyle w:val="Tabletext"/>
              <w:jc w:val="center"/>
              <w:rPr>
                <w:sz w:val="20"/>
              </w:rPr>
            </w:pPr>
            <w:r w:rsidRPr="006E3081">
              <w:rPr>
                <w:sz w:val="20"/>
              </w:rPr>
              <w:t>Peut être identique à la zone existante ou différente de celle-ci</w:t>
            </w:r>
            <w:r w:rsidR="00C039ED">
              <w:rPr>
                <w:sz w:val="20"/>
              </w:rPr>
              <w:t> </w:t>
            </w:r>
            <w:r w:rsidRPr="006E3081">
              <w:rPr>
                <w:sz w:val="20"/>
                <w:vertAlign w:val="superscript"/>
              </w:rPr>
              <w:t>(4)</w:t>
            </w:r>
          </w:p>
        </w:tc>
        <w:tc>
          <w:tcPr>
            <w:tcW w:w="551" w:type="pct"/>
            <w:vAlign w:val="center"/>
          </w:tcPr>
          <w:p w14:paraId="53FC8ECA" w14:textId="56683DD2" w:rsidR="00992F27" w:rsidRPr="006E3081" w:rsidRDefault="00992F27" w:rsidP="00CE09EF">
            <w:pPr>
              <w:pStyle w:val="Tabletext"/>
              <w:jc w:val="center"/>
              <w:rPr>
                <w:sz w:val="20"/>
              </w:rPr>
            </w:pPr>
            <w:r w:rsidRPr="006E3081">
              <w:rPr>
                <w:sz w:val="20"/>
              </w:rPr>
              <w:t>Peut être identique à la zone existante ou différente de celle-ci</w:t>
            </w:r>
            <w:r w:rsidR="00C039ED">
              <w:rPr>
                <w:sz w:val="20"/>
              </w:rPr>
              <w:t> </w:t>
            </w:r>
            <w:r w:rsidRPr="006E3081">
              <w:rPr>
                <w:sz w:val="20"/>
                <w:vertAlign w:val="superscript"/>
              </w:rPr>
              <w:t>(4)</w:t>
            </w:r>
          </w:p>
        </w:tc>
      </w:tr>
      <w:tr w:rsidR="00992F27" w:rsidRPr="006E3081" w14:paraId="0F5925F1" w14:textId="77777777" w:rsidTr="009E1DCF">
        <w:trPr>
          <w:cantSplit/>
          <w:jc w:val="center"/>
        </w:trPr>
        <w:tc>
          <w:tcPr>
            <w:tcW w:w="690" w:type="pct"/>
            <w:vMerge/>
            <w:vAlign w:val="center"/>
          </w:tcPr>
          <w:p w14:paraId="3389C070" w14:textId="77777777" w:rsidR="00992F27" w:rsidRPr="006E3081" w:rsidRDefault="00992F27" w:rsidP="00CE09EF">
            <w:pPr>
              <w:pStyle w:val="Tabletext"/>
              <w:rPr>
                <w:sz w:val="20"/>
              </w:rPr>
            </w:pPr>
          </w:p>
        </w:tc>
        <w:tc>
          <w:tcPr>
            <w:tcW w:w="851" w:type="pct"/>
            <w:vAlign w:val="center"/>
          </w:tcPr>
          <w:p w14:paraId="46A85377" w14:textId="6D6FB1A3" w:rsidR="00992F27" w:rsidRPr="00992F27" w:rsidRDefault="00992F27" w:rsidP="00992F27">
            <w:pPr>
              <w:pStyle w:val="TabletextLeft"/>
              <w:rPr>
                <w:b/>
                <w:bCs/>
                <w:sz w:val="20"/>
              </w:rPr>
            </w:pPr>
            <w:r w:rsidRPr="00992F27">
              <w:rPr>
                <w:b/>
                <w:bCs/>
                <w:sz w:val="20"/>
              </w:rPr>
              <w:t>Capacité de transmission</w:t>
            </w:r>
          </w:p>
        </w:tc>
        <w:tc>
          <w:tcPr>
            <w:tcW w:w="474" w:type="pct"/>
            <w:vAlign w:val="center"/>
          </w:tcPr>
          <w:p w14:paraId="4296E0B6" w14:textId="70FE994C" w:rsidR="00992F27" w:rsidRPr="006E3081" w:rsidRDefault="00992F27" w:rsidP="00CE09EF">
            <w:pPr>
              <w:pStyle w:val="Tabletext"/>
              <w:jc w:val="center"/>
              <w:rPr>
                <w:sz w:val="20"/>
              </w:rPr>
            </w:pPr>
            <w:r w:rsidRPr="006E3081">
              <w:rPr>
                <w:sz w:val="20"/>
              </w:rPr>
              <w:t>Inférieure à la capacité existante</w:t>
            </w:r>
          </w:p>
        </w:tc>
        <w:tc>
          <w:tcPr>
            <w:tcW w:w="607" w:type="pct"/>
            <w:vAlign w:val="center"/>
          </w:tcPr>
          <w:p w14:paraId="31376FD9" w14:textId="2CA368BE" w:rsidR="00992F27" w:rsidRPr="006E3081" w:rsidRDefault="00992F27" w:rsidP="00CE09EF">
            <w:pPr>
              <w:pStyle w:val="Tabletext"/>
              <w:jc w:val="center"/>
              <w:rPr>
                <w:sz w:val="20"/>
              </w:rPr>
            </w:pPr>
            <w:r w:rsidRPr="006E3081">
              <w:rPr>
                <w:sz w:val="20"/>
              </w:rPr>
              <w:t>Peut être supérieure à la capacité existante</w:t>
            </w:r>
            <w:r w:rsidR="00C039ED">
              <w:rPr>
                <w:sz w:val="20"/>
              </w:rPr>
              <w:t> </w:t>
            </w:r>
            <w:r w:rsidRPr="006E3081">
              <w:rPr>
                <w:sz w:val="20"/>
                <w:vertAlign w:val="superscript"/>
              </w:rPr>
              <w:t>(4)</w:t>
            </w:r>
          </w:p>
        </w:tc>
        <w:tc>
          <w:tcPr>
            <w:tcW w:w="552" w:type="pct"/>
            <w:vAlign w:val="center"/>
          </w:tcPr>
          <w:p w14:paraId="36CAA77B" w14:textId="59E20A8D" w:rsidR="00992F27" w:rsidRPr="006E3081" w:rsidRDefault="00992F27" w:rsidP="00CE09EF">
            <w:pPr>
              <w:pStyle w:val="Tabletext"/>
              <w:jc w:val="center"/>
              <w:rPr>
                <w:sz w:val="20"/>
              </w:rPr>
            </w:pPr>
            <w:r w:rsidRPr="006E3081">
              <w:rPr>
                <w:sz w:val="20"/>
              </w:rPr>
              <w:t>Peut être supérieure à la capacité existante</w:t>
            </w:r>
            <w:r w:rsidR="00C039ED">
              <w:rPr>
                <w:sz w:val="20"/>
              </w:rPr>
              <w:t> </w:t>
            </w:r>
            <w:r w:rsidRPr="006E3081">
              <w:rPr>
                <w:sz w:val="20"/>
                <w:vertAlign w:val="superscript"/>
              </w:rPr>
              <w:t>(4)</w:t>
            </w:r>
            <w:r w:rsidRPr="006E3081">
              <w:rPr>
                <w:sz w:val="20"/>
              </w:rPr>
              <w:t>, supérieure à la Méthode A2</w:t>
            </w:r>
          </w:p>
        </w:tc>
        <w:tc>
          <w:tcPr>
            <w:tcW w:w="723" w:type="pct"/>
            <w:vAlign w:val="center"/>
          </w:tcPr>
          <w:p w14:paraId="1787F6BF" w14:textId="79FAC857" w:rsidR="00992F27" w:rsidRPr="006E3081" w:rsidRDefault="00992F27" w:rsidP="00CE09EF">
            <w:pPr>
              <w:pStyle w:val="Tabletext"/>
              <w:jc w:val="center"/>
              <w:rPr>
                <w:sz w:val="20"/>
              </w:rPr>
            </w:pPr>
            <w:r w:rsidRPr="006E3081">
              <w:rPr>
                <w:sz w:val="20"/>
              </w:rPr>
              <w:t>Peut être supérieure à la capacité existante</w:t>
            </w:r>
            <w:r w:rsidR="00C039ED">
              <w:rPr>
                <w:sz w:val="20"/>
              </w:rPr>
              <w:t> </w:t>
            </w:r>
            <w:r w:rsidRPr="006E3081">
              <w:rPr>
                <w:sz w:val="20"/>
                <w:vertAlign w:val="superscript"/>
              </w:rPr>
              <w:t>(4)</w:t>
            </w:r>
            <w:r w:rsidRPr="006E3081">
              <w:rPr>
                <w:sz w:val="20"/>
              </w:rPr>
              <w:t>, supérieure à la MéthodeA2</w:t>
            </w:r>
          </w:p>
        </w:tc>
        <w:tc>
          <w:tcPr>
            <w:tcW w:w="552" w:type="pct"/>
            <w:vAlign w:val="center"/>
          </w:tcPr>
          <w:p w14:paraId="5611C7CA" w14:textId="2E8471B1" w:rsidR="00992F27" w:rsidRPr="006E3081" w:rsidRDefault="00992F27" w:rsidP="00CE09EF">
            <w:pPr>
              <w:pStyle w:val="Tabletext"/>
              <w:jc w:val="center"/>
              <w:rPr>
                <w:sz w:val="20"/>
              </w:rPr>
            </w:pPr>
            <w:r w:rsidRPr="006E3081">
              <w:rPr>
                <w:sz w:val="20"/>
              </w:rPr>
              <w:t>Peut être supérieure à la capacité existante</w:t>
            </w:r>
            <w:r w:rsidR="00C039ED">
              <w:rPr>
                <w:sz w:val="20"/>
              </w:rPr>
              <w:t> </w:t>
            </w:r>
            <w:r w:rsidRPr="006E3081">
              <w:rPr>
                <w:sz w:val="20"/>
                <w:vertAlign w:val="superscript"/>
              </w:rPr>
              <w:t>(4)</w:t>
            </w:r>
            <w:r w:rsidRPr="006E3081">
              <w:rPr>
                <w:sz w:val="20"/>
              </w:rPr>
              <w:t>, supérieure à la MéthodeA3</w:t>
            </w:r>
          </w:p>
        </w:tc>
        <w:tc>
          <w:tcPr>
            <w:tcW w:w="551" w:type="pct"/>
            <w:vAlign w:val="center"/>
          </w:tcPr>
          <w:p w14:paraId="032A7863" w14:textId="6A0CE055" w:rsidR="00992F27" w:rsidRPr="006E3081" w:rsidRDefault="00992F27" w:rsidP="00CE09EF">
            <w:pPr>
              <w:pStyle w:val="Tabletext"/>
              <w:jc w:val="center"/>
              <w:rPr>
                <w:sz w:val="20"/>
              </w:rPr>
            </w:pPr>
            <w:r w:rsidRPr="006E3081">
              <w:rPr>
                <w:sz w:val="20"/>
              </w:rPr>
              <w:t>Peut être supérieure à la capacité existante</w:t>
            </w:r>
            <w:r w:rsidR="00C039ED">
              <w:rPr>
                <w:sz w:val="20"/>
              </w:rPr>
              <w:t> </w:t>
            </w:r>
            <w:r w:rsidRPr="006E3081">
              <w:rPr>
                <w:sz w:val="20"/>
                <w:vertAlign w:val="superscript"/>
              </w:rPr>
              <w:t>(4)</w:t>
            </w:r>
            <w:r w:rsidRPr="006E3081">
              <w:rPr>
                <w:sz w:val="20"/>
              </w:rPr>
              <w:t>, supérieure ou égale à la MéthodeB1</w:t>
            </w:r>
          </w:p>
        </w:tc>
      </w:tr>
      <w:tr w:rsidR="00992F27" w:rsidRPr="006E3081" w14:paraId="6A4D8CD7" w14:textId="77777777" w:rsidTr="009E1DCF">
        <w:trPr>
          <w:cantSplit/>
          <w:jc w:val="center"/>
        </w:trPr>
        <w:tc>
          <w:tcPr>
            <w:tcW w:w="690" w:type="pct"/>
            <w:vMerge/>
            <w:tcBorders>
              <w:bottom w:val="single" w:sz="4" w:space="0" w:color="000000"/>
            </w:tcBorders>
            <w:vAlign w:val="center"/>
          </w:tcPr>
          <w:p w14:paraId="4DD740AB" w14:textId="77777777" w:rsidR="00992F27" w:rsidRPr="006E3081" w:rsidRDefault="00992F27" w:rsidP="00B50B95">
            <w:pPr>
              <w:tabs>
                <w:tab w:val="clear" w:pos="794"/>
                <w:tab w:val="clear" w:pos="1191"/>
                <w:tab w:val="clear" w:pos="1588"/>
                <w:tab w:val="clear" w:pos="1985"/>
              </w:tabs>
              <w:overflowPunct/>
              <w:autoSpaceDE/>
              <w:autoSpaceDN/>
              <w:adjustRightInd/>
              <w:spacing w:before="0"/>
              <w:jc w:val="left"/>
              <w:textAlignment w:val="auto"/>
              <w:rPr>
                <w:sz w:val="20"/>
              </w:rPr>
            </w:pPr>
          </w:p>
        </w:tc>
        <w:tc>
          <w:tcPr>
            <w:tcW w:w="851" w:type="pct"/>
            <w:tcBorders>
              <w:bottom w:val="single" w:sz="4" w:space="0" w:color="000000"/>
            </w:tcBorders>
            <w:vAlign w:val="center"/>
          </w:tcPr>
          <w:p w14:paraId="55D8CC2B" w14:textId="1A40D2E8" w:rsidR="00992F27" w:rsidRPr="00992F27" w:rsidRDefault="00992F27" w:rsidP="00992F27">
            <w:pPr>
              <w:pStyle w:val="TabletextLeft"/>
              <w:rPr>
                <w:b/>
                <w:bCs/>
                <w:sz w:val="20"/>
              </w:rPr>
            </w:pPr>
            <w:r w:rsidRPr="00992F27">
              <w:rPr>
                <w:b/>
                <w:bCs/>
                <w:sz w:val="20"/>
              </w:rPr>
              <w:t>Qualité de service vidéo/audio</w:t>
            </w:r>
          </w:p>
        </w:tc>
        <w:tc>
          <w:tcPr>
            <w:tcW w:w="474" w:type="pct"/>
            <w:tcBorders>
              <w:bottom w:val="single" w:sz="4" w:space="0" w:color="000000"/>
            </w:tcBorders>
            <w:vAlign w:val="center"/>
          </w:tcPr>
          <w:p w14:paraId="791D649C" w14:textId="43E7C79A" w:rsidR="00992F27" w:rsidRPr="006E3081" w:rsidRDefault="00992F27" w:rsidP="00CE09EF">
            <w:pPr>
              <w:pStyle w:val="Tabletext"/>
              <w:jc w:val="center"/>
              <w:rPr>
                <w:sz w:val="20"/>
              </w:rPr>
            </w:pPr>
            <w:r w:rsidRPr="006E3081">
              <w:rPr>
                <w:sz w:val="20"/>
              </w:rPr>
              <w:t>Peut être supérieure à la qualité de service existante</w:t>
            </w:r>
          </w:p>
        </w:tc>
        <w:tc>
          <w:tcPr>
            <w:tcW w:w="607" w:type="pct"/>
            <w:tcBorders>
              <w:bottom w:val="single" w:sz="4" w:space="0" w:color="000000"/>
            </w:tcBorders>
            <w:vAlign w:val="center"/>
          </w:tcPr>
          <w:p w14:paraId="77A9B073" w14:textId="2DE13710" w:rsidR="00992F27" w:rsidRPr="006E3081" w:rsidRDefault="00992F27" w:rsidP="00CE09EF">
            <w:pPr>
              <w:pStyle w:val="Tabletext"/>
              <w:jc w:val="center"/>
              <w:rPr>
                <w:sz w:val="20"/>
              </w:rPr>
            </w:pPr>
            <w:r w:rsidRPr="006E3081">
              <w:rPr>
                <w:sz w:val="20"/>
              </w:rPr>
              <w:t>Peut être supérieure à la qualité de service existante, supérieure à la Méthode A1</w:t>
            </w:r>
          </w:p>
        </w:tc>
        <w:tc>
          <w:tcPr>
            <w:tcW w:w="552" w:type="pct"/>
            <w:tcBorders>
              <w:bottom w:val="single" w:sz="4" w:space="0" w:color="000000"/>
            </w:tcBorders>
            <w:vAlign w:val="center"/>
          </w:tcPr>
          <w:p w14:paraId="43E32EAD" w14:textId="340A2BAB" w:rsidR="00992F27" w:rsidRPr="006E3081" w:rsidRDefault="00992F27" w:rsidP="00CE09EF">
            <w:pPr>
              <w:pStyle w:val="Tabletext"/>
              <w:jc w:val="center"/>
              <w:rPr>
                <w:sz w:val="20"/>
              </w:rPr>
            </w:pPr>
            <w:r w:rsidRPr="006E3081">
              <w:rPr>
                <w:sz w:val="20"/>
              </w:rPr>
              <w:t>Peut être supérieure à la qualité de service existante, supérieure à la Méthode A2</w:t>
            </w:r>
          </w:p>
        </w:tc>
        <w:tc>
          <w:tcPr>
            <w:tcW w:w="723" w:type="pct"/>
            <w:tcBorders>
              <w:bottom w:val="single" w:sz="4" w:space="0" w:color="000000"/>
            </w:tcBorders>
            <w:vAlign w:val="center"/>
          </w:tcPr>
          <w:p w14:paraId="7D828945" w14:textId="053A0435" w:rsidR="00992F27" w:rsidRPr="006E3081" w:rsidRDefault="00992F27" w:rsidP="00CE09EF">
            <w:pPr>
              <w:pStyle w:val="Tabletext"/>
              <w:jc w:val="center"/>
              <w:rPr>
                <w:sz w:val="20"/>
              </w:rPr>
            </w:pPr>
            <w:r w:rsidRPr="006E3081">
              <w:rPr>
                <w:sz w:val="20"/>
              </w:rPr>
              <w:t>Peut être supérieure à la qualité de service existante, supérieure à la Méthode A2</w:t>
            </w:r>
          </w:p>
        </w:tc>
        <w:tc>
          <w:tcPr>
            <w:tcW w:w="552" w:type="pct"/>
            <w:tcBorders>
              <w:bottom w:val="single" w:sz="4" w:space="0" w:color="000000"/>
            </w:tcBorders>
            <w:vAlign w:val="center"/>
          </w:tcPr>
          <w:p w14:paraId="13D927E3" w14:textId="1DC02ADD" w:rsidR="00992F27" w:rsidRPr="006E3081" w:rsidRDefault="00992F27" w:rsidP="00CE09EF">
            <w:pPr>
              <w:pStyle w:val="Tabletext"/>
              <w:jc w:val="center"/>
              <w:rPr>
                <w:sz w:val="20"/>
              </w:rPr>
            </w:pPr>
            <w:r w:rsidRPr="006E3081">
              <w:rPr>
                <w:sz w:val="20"/>
              </w:rPr>
              <w:t>Peut être supérieure à la qualité de service existante, supérieure à la Méthode A3</w:t>
            </w:r>
          </w:p>
        </w:tc>
        <w:tc>
          <w:tcPr>
            <w:tcW w:w="551" w:type="pct"/>
            <w:tcBorders>
              <w:bottom w:val="single" w:sz="4" w:space="0" w:color="000000"/>
            </w:tcBorders>
            <w:vAlign w:val="center"/>
          </w:tcPr>
          <w:p w14:paraId="0CDBE0D9" w14:textId="0E523A1A" w:rsidR="00992F27" w:rsidRPr="006E3081" w:rsidRDefault="00992F27" w:rsidP="00CE09EF">
            <w:pPr>
              <w:pStyle w:val="Tabletext"/>
              <w:jc w:val="center"/>
              <w:rPr>
                <w:sz w:val="20"/>
              </w:rPr>
            </w:pPr>
            <w:r w:rsidRPr="006E3081">
              <w:rPr>
                <w:sz w:val="20"/>
              </w:rPr>
              <w:t xml:space="preserve">Supérieure à la qualité de service existante, supérieure ou égale à la </w:t>
            </w:r>
            <w:r w:rsidR="009E1DCF">
              <w:rPr>
                <w:sz w:val="20"/>
              </w:rPr>
              <w:br/>
            </w:r>
            <w:r w:rsidRPr="006E3081">
              <w:rPr>
                <w:sz w:val="20"/>
              </w:rPr>
              <w:t>Méthode B1</w:t>
            </w:r>
          </w:p>
        </w:tc>
      </w:tr>
      <w:tr w:rsidR="009E368D" w:rsidRPr="006E3081" w14:paraId="6016EC6C" w14:textId="77777777" w:rsidTr="009E1DCF">
        <w:trPr>
          <w:cantSplit/>
          <w:jc w:val="center"/>
        </w:trPr>
        <w:tc>
          <w:tcPr>
            <w:tcW w:w="5000" w:type="pct"/>
            <w:gridSpan w:val="8"/>
            <w:tcBorders>
              <w:left w:val="nil"/>
              <w:bottom w:val="nil"/>
              <w:right w:val="nil"/>
            </w:tcBorders>
            <w:vAlign w:val="center"/>
          </w:tcPr>
          <w:p w14:paraId="009F86D9" w14:textId="77777777" w:rsidR="009E368D" w:rsidRPr="00C039ED" w:rsidRDefault="009E368D" w:rsidP="00C039ED">
            <w:pPr>
              <w:rPr>
                <w:i/>
                <w:iCs/>
              </w:rPr>
            </w:pPr>
            <w:r w:rsidRPr="00C039ED">
              <w:rPr>
                <w:i/>
                <w:iCs/>
              </w:rPr>
              <w:t>Notes relatives au Tableau 1:</w:t>
            </w:r>
          </w:p>
          <w:p w14:paraId="0304D048" w14:textId="77777777" w:rsidR="009E368D" w:rsidRPr="006E3081" w:rsidRDefault="009E368D" w:rsidP="00C039ED">
            <w:pPr>
              <w:pStyle w:val="Tabletext"/>
              <w:ind w:left="284" w:hanging="284"/>
              <w:jc w:val="left"/>
            </w:pPr>
            <w:r w:rsidRPr="006E3081">
              <w:rPr>
                <w:vertAlign w:val="superscript"/>
              </w:rPr>
              <w:t>(1)</w:t>
            </w:r>
            <w:r w:rsidRPr="006E3081">
              <w:tab/>
              <w:t xml:space="preserve">Le LDM peut être plus efficace que le MRF et le TDM, en particulier lorsque le rapport </w:t>
            </w:r>
            <w:r w:rsidRPr="00C039ED">
              <w:rPr>
                <w:i/>
                <w:iCs/>
              </w:rPr>
              <w:t>C</w:t>
            </w:r>
            <w:r w:rsidRPr="00C039ED">
              <w:t>/</w:t>
            </w:r>
            <w:r w:rsidRPr="00C039ED">
              <w:rPr>
                <w:i/>
                <w:iCs/>
              </w:rPr>
              <w:t>N</w:t>
            </w:r>
            <w:r w:rsidRPr="006E3081">
              <w:t xml:space="preserve"> requis entre la couche supérieure et la couche inférieure est différent, mais son utilisation suppose de disposer d'un récepteur plus complexe.</w:t>
            </w:r>
          </w:p>
          <w:p w14:paraId="6AB71C64" w14:textId="77777777" w:rsidR="009E368D" w:rsidRPr="006E3081" w:rsidRDefault="009E368D" w:rsidP="00C039ED">
            <w:pPr>
              <w:pStyle w:val="Tabletext"/>
              <w:jc w:val="left"/>
            </w:pPr>
            <w:r w:rsidRPr="006E3081">
              <w:rPr>
                <w:vertAlign w:val="superscript"/>
              </w:rPr>
              <w:t>(2)</w:t>
            </w:r>
            <w:r w:rsidRPr="006E3081">
              <w:tab/>
              <w:t>Le SDM-MIMO peut être plus efficace que le MRF et le TDM, mais il ne s'applique pas à la réception DTTB portable/mobile.</w:t>
            </w:r>
          </w:p>
          <w:p w14:paraId="0DC9238C" w14:textId="77777777" w:rsidR="009E368D" w:rsidRPr="006E3081" w:rsidRDefault="009E368D" w:rsidP="00C039ED">
            <w:pPr>
              <w:pStyle w:val="Tabletext"/>
              <w:ind w:left="284" w:hanging="284"/>
              <w:jc w:val="left"/>
            </w:pPr>
            <w:r w:rsidRPr="006E3081">
              <w:rPr>
                <w:vertAlign w:val="superscript"/>
              </w:rPr>
              <w:t>(3)</w:t>
            </w:r>
            <w:r w:rsidRPr="006E3081">
              <w:tab/>
              <w:t>En raison des brouillages causés par le signal émis par le nouveau service, la zone de service sera plus étroite que la zone existante si les paramètres de transmission du service existant demeurent inchangés, ce qui peut donner la même capacité et la même qualité que le service existant. En revanche, si les paramètres de transmission du service existant sont modifiés pour conserver la zone de service existante, la capacité de transmission et la qualité seront dégradées.</w:t>
            </w:r>
          </w:p>
          <w:p w14:paraId="6F81C2B1" w14:textId="78657CB6" w:rsidR="009E368D" w:rsidRPr="006E3081" w:rsidRDefault="009E368D" w:rsidP="00C039ED">
            <w:pPr>
              <w:pStyle w:val="Tabletext"/>
              <w:jc w:val="left"/>
            </w:pPr>
            <w:r w:rsidRPr="006E3081">
              <w:rPr>
                <w:vertAlign w:val="superscript"/>
              </w:rPr>
              <w:t>(4)</w:t>
            </w:r>
            <w:r w:rsidRPr="006E3081">
              <w:tab/>
              <w:t>La zone de service et la capacité de transmission reposent sur un compromis.</w:t>
            </w:r>
          </w:p>
        </w:tc>
      </w:tr>
    </w:tbl>
    <w:p w14:paraId="7D142FA8" w14:textId="38A8E6A4" w:rsidR="007A46A1" w:rsidRPr="006E3081" w:rsidRDefault="007A46A1" w:rsidP="00341768">
      <w:pPr>
        <w:pStyle w:val="Tablefin"/>
        <w:rPr>
          <w:lang w:val="fr-FR"/>
        </w:rPr>
      </w:pPr>
    </w:p>
    <w:p w14:paraId="42A4F832" w14:textId="1CFD2997" w:rsidR="00372C19" w:rsidRPr="006E3081" w:rsidRDefault="00372C19" w:rsidP="00372C19">
      <w:r w:rsidRPr="006E3081">
        <w:br w:type="page"/>
      </w:r>
    </w:p>
    <w:p w14:paraId="0A753CF1" w14:textId="0FCB2E04" w:rsidR="007A46A1" w:rsidRPr="006E3081" w:rsidRDefault="007A46A1" w:rsidP="00341768">
      <w:pPr>
        <w:pStyle w:val="TableNo"/>
        <w:rPr>
          <w:lang w:eastAsia="ja-JP"/>
        </w:rPr>
      </w:pPr>
      <w:r w:rsidRPr="006E3081">
        <w:lastRenderedPageBreak/>
        <w:t xml:space="preserve">TABLEAU </w:t>
      </w:r>
      <w:r w:rsidRPr="006E3081">
        <w:rPr>
          <w:lang w:eastAsia="ja-JP"/>
        </w:rPr>
        <w:t>2</w:t>
      </w:r>
    </w:p>
    <w:p w14:paraId="4EAF953C" w14:textId="1FE722AA" w:rsidR="007A46A1" w:rsidRPr="006E3081" w:rsidRDefault="008F5CC8" w:rsidP="00341768">
      <w:pPr>
        <w:pStyle w:val="Tabletitle"/>
      </w:pPr>
      <w:r w:rsidRPr="006E3081">
        <w:rPr>
          <w:lang w:eastAsia="ja-JP"/>
        </w:rPr>
        <w:t xml:space="preserve">Comparaison entre les caractéristiques </w:t>
      </w:r>
      <w:r w:rsidR="00FE1501" w:rsidRPr="006E3081">
        <w:rPr>
          <w:lang w:eastAsia="ja-JP"/>
        </w:rPr>
        <w:t xml:space="preserve">de l'exploitation </w:t>
      </w:r>
      <w:r w:rsidRPr="006E3081">
        <w:rPr>
          <w:lang w:eastAsia="ja-JP"/>
        </w:rPr>
        <w:t>du nouveau service une fois la transition effectuée</w:t>
      </w:r>
    </w:p>
    <w:tbl>
      <w:tblPr>
        <w:tblStyle w:val="TableGrid"/>
        <w:tblW w:w="5000" w:type="pct"/>
        <w:jc w:val="center"/>
        <w:tblCellMar>
          <w:left w:w="28" w:type="dxa"/>
          <w:right w:w="28" w:type="dxa"/>
        </w:tblCellMar>
        <w:tblLook w:val="04A0" w:firstRow="1" w:lastRow="0" w:firstColumn="1" w:lastColumn="0" w:noHBand="0" w:noVBand="1"/>
      </w:tblPr>
      <w:tblGrid>
        <w:gridCol w:w="3826"/>
        <w:gridCol w:w="1741"/>
        <w:gridCol w:w="1741"/>
        <w:gridCol w:w="1741"/>
        <w:gridCol w:w="1741"/>
        <w:gridCol w:w="1741"/>
        <w:gridCol w:w="1741"/>
      </w:tblGrid>
      <w:tr w:rsidR="007A46A1" w:rsidRPr="00C039ED" w14:paraId="24F8630F" w14:textId="77777777" w:rsidTr="009E1DCF">
        <w:trPr>
          <w:cantSplit/>
          <w:tblHeader/>
          <w:jc w:val="center"/>
        </w:trPr>
        <w:tc>
          <w:tcPr>
            <w:tcW w:w="1340" w:type="pct"/>
            <w:vAlign w:val="center"/>
          </w:tcPr>
          <w:p w14:paraId="40FCF4AA" w14:textId="37137550" w:rsidR="007A46A1" w:rsidRPr="00C039ED" w:rsidRDefault="00F70FDA" w:rsidP="00C039ED">
            <w:pPr>
              <w:pStyle w:val="Tablehead"/>
            </w:pPr>
            <w:r w:rsidRPr="00C039ED">
              <w:t>Méthode</w:t>
            </w:r>
          </w:p>
        </w:tc>
        <w:tc>
          <w:tcPr>
            <w:tcW w:w="610" w:type="pct"/>
            <w:vAlign w:val="center"/>
          </w:tcPr>
          <w:p w14:paraId="4342FDBE" w14:textId="77777777" w:rsidR="007A46A1" w:rsidRPr="00C039ED" w:rsidRDefault="007A46A1" w:rsidP="00C039ED">
            <w:pPr>
              <w:pStyle w:val="Tablehead"/>
            </w:pPr>
            <w:r w:rsidRPr="00C039ED">
              <w:t>A1</w:t>
            </w:r>
          </w:p>
        </w:tc>
        <w:tc>
          <w:tcPr>
            <w:tcW w:w="610" w:type="pct"/>
            <w:vAlign w:val="center"/>
          </w:tcPr>
          <w:p w14:paraId="7C0D2FA5" w14:textId="77777777" w:rsidR="007A46A1" w:rsidRPr="00C039ED" w:rsidRDefault="007A46A1" w:rsidP="00C039ED">
            <w:pPr>
              <w:pStyle w:val="Tablehead"/>
            </w:pPr>
            <w:r w:rsidRPr="00C039ED">
              <w:t>A2</w:t>
            </w:r>
          </w:p>
        </w:tc>
        <w:tc>
          <w:tcPr>
            <w:tcW w:w="610" w:type="pct"/>
            <w:vAlign w:val="center"/>
          </w:tcPr>
          <w:p w14:paraId="20E9D40A" w14:textId="77777777" w:rsidR="007A46A1" w:rsidRPr="00C039ED" w:rsidRDefault="007A46A1" w:rsidP="00C039ED">
            <w:pPr>
              <w:pStyle w:val="Tablehead"/>
            </w:pPr>
            <w:r w:rsidRPr="00C039ED">
              <w:t>A3</w:t>
            </w:r>
          </w:p>
        </w:tc>
        <w:tc>
          <w:tcPr>
            <w:tcW w:w="610" w:type="pct"/>
          </w:tcPr>
          <w:p w14:paraId="45784A4A" w14:textId="77777777" w:rsidR="007A46A1" w:rsidRPr="00C039ED" w:rsidDel="00207A26" w:rsidRDefault="007A46A1" w:rsidP="00C039ED">
            <w:pPr>
              <w:pStyle w:val="Tablehead"/>
            </w:pPr>
            <w:r w:rsidRPr="00C039ED">
              <w:t>A4</w:t>
            </w:r>
          </w:p>
        </w:tc>
        <w:tc>
          <w:tcPr>
            <w:tcW w:w="610" w:type="pct"/>
            <w:vAlign w:val="center"/>
          </w:tcPr>
          <w:p w14:paraId="32C6DDBD" w14:textId="77777777" w:rsidR="007A46A1" w:rsidRPr="00C039ED" w:rsidRDefault="007A46A1" w:rsidP="00C039ED">
            <w:pPr>
              <w:pStyle w:val="Tablehead"/>
            </w:pPr>
            <w:r w:rsidRPr="00C039ED">
              <w:t>B1</w:t>
            </w:r>
          </w:p>
        </w:tc>
        <w:tc>
          <w:tcPr>
            <w:tcW w:w="610" w:type="pct"/>
            <w:vAlign w:val="center"/>
          </w:tcPr>
          <w:p w14:paraId="123561DF" w14:textId="77777777" w:rsidR="007A46A1" w:rsidRPr="00C039ED" w:rsidDel="00207A26" w:rsidRDefault="007A46A1" w:rsidP="00C039ED">
            <w:pPr>
              <w:pStyle w:val="Tablehead"/>
            </w:pPr>
            <w:r w:rsidRPr="00C039ED">
              <w:t>B2</w:t>
            </w:r>
          </w:p>
        </w:tc>
      </w:tr>
      <w:tr w:rsidR="007A46A1" w:rsidRPr="006E3081" w14:paraId="76C9B925" w14:textId="77777777" w:rsidTr="009E1DCF">
        <w:trPr>
          <w:cantSplit/>
          <w:jc w:val="center"/>
        </w:trPr>
        <w:tc>
          <w:tcPr>
            <w:tcW w:w="1340" w:type="pct"/>
            <w:tcBorders>
              <w:bottom w:val="single" w:sz="4" w:space="0" w:color="auto"/>
            </w:tcBorders>
            <w:vAlign w:val="center"/>
          </w:tcPr>
          <w:p w14:paraId="67FCEF05" w14:textId="506415FD" w:rsidR="007A46A1" w:rsidRPr="00C039ED" w:rsidRDefault="00F70FDA" w:rsidP="009E1DCF">
            <w:pPr>
              <w:pStyle w:val="TabletextLeft"/>
              <w:rPr>
                <w:b/>
                <w:bCs/>
                <w:sz w:val="20"/>
              </w:rPr>
            </w:pPr>
            <w:r w:rsidRPr="00C039ED">
              <w:rPr>
                <w:b/>
                <w:bCs/>
                <w:sz w:val="20"/>
              </w:rPr>
              <w:t>Mécanisme de transmission</w:t>
            </w:r>
          </w:p>
        </w:tc>
        <w:tc>
          <w:tcPr>
            <w:tcW w:w="610" w:type="pct"/>
            <w:tcBorders>
              <w:bottom w:val="single" w:sz="4" w:space="0" w:color="auto"/>
            </w:tcBorders>
            <w:vAlign w:val="center"/>
          </w:tcPr>
          <w:p w14:paraId="6D6A71F9" w14:textId="5AAA4D3B" w:rsidR="007A46A1" w:rsidRPr="006E3081" w:rsidRDefault="00F70FDA" w:rsidP="009E1DCF">
            <w:pPr>
              <w:pStyle w:val="Tabletext"/>
              <w:jc w:val="center"/>
              <w:rPr>
                <w:sz w:val="20"/>
                <w:lang w:eastAsia="ja-JP"/>
              </w:rPr>
            </w:pPr>
            <w:r w:rsidRPr="006E3081">
              <w:rPr>
                <w:sz w:val="20"/>
              </w:rPr>
              <w:t>Identique à celui du service existant</w:t>
            </w:r>
            <w:r w:rsidRPr="006E3081" w:rsidDel="00F70FDA">
              <w:rPr>
                <w:sz w:val="20"/>
                <w:lang w:eastAsia="ja-JP"/>
              </w:rPr>
              <w:t xml:space="preserve"> </w:t>
            </w:r>
          </w:p>
        </w:tc>
        <w:tc>
          <w:tcPr>
            <w:tcW w:w="610" w:type="pct"/>
            <w:tcBorders>
              <w:bottom w:val="single" w:sz="4" w:space="0" w:color="auto"/>
            </w:tcBorders>
            <w:vAlign w:val="center"/>
          </w:tcPr>
          <w:p w14:paraId="27A35186" w14:textId="706315A2" w:rsidR="007A46A1" w:rsidRPr="006E3081" w:rsidRDefault="00F70FDA" w:rsidP="009E1DCF">
            <w:pPr>
              <w:pStyle w:val="Tabletext"/>
              <w:jc w:val="center"/>
              <w:rPr>
                <w:sz w:val="20"/>
                <w:lang w:eastAsia="ja-JP"/>
              </w:rPr>
            </w:pPr>
            <w:r w:rsidRPr="006E3081">
              <w:rPr>
                <w:sz w:val="20"/>
              </w:rPr>
              <w:t>Possibilité d'utiliser une technologie de transmission plus efficace</w:t>
            </w:r>
          </w:p>
        </w:tc>
        <w:tc>
          <w:tcPr>
            <w:tcW w:w="2440" w:type="pct"/>
            <w:gridSpan w:val="4"/>
            <w:tcBorders>
              <w:bottom w:val="single" w:sz="4" w:space="0" w:color="auto"/>
            </w:tcBorders>
            <w:vAlign w:val="center"/>
          </w:tcPr>
          <w:p w14:paraId="3F7B4318" w14:textId="1BD19D4A" w:rsidR="007A46A1" w:rsidRPr="006E3081" w:rsidRDefault="00F70FDA" w:rsidP="009E1DCF">
            <w:pPr>
              <w:pStyle w:val="Tabletext"/>
              <w:jc w:val="center"/>
              <w:rPr>
                <w:sz w:val="20"/>
              </w:rPr>
            </w:pPr>
            <w:r w:rsidRPr="006E3081">
              <w:rPr>
                <w:sz w:val="20"/>
              </w:rPr>
              <w:t xml:space="preserve">Possibilité d'utiliser une technologie de transmission plus efficace </w:t>
            </w:r>
            <w:r w:rsidR="00C039ED">
              <w:rPr>
                <w:sz w:val="20"/>
              </w:rPr>
              <w:br/>
            </w:r>
            <w:r w:rsidRPr="006E3081">
              <w:rPr>
                <w:sz w:val="20"/>
              </w:rPr>
              <w:t>et d'étendre la largeur de bande</w:t>
            </w:r>
          </w:p>
        </w:tc>
      </w:tr>
      <w:tr w:rsidR="007A46A1" w:rsidRPr="006E3081" w14:paraId="502D26DB" w14:textId="77777777" w:rsidTr="009E1DCF">
        <w:trPr>
          <w:cantSplit/>
          <w:jc w:val="center"/>
        </w:trPr>
        <w:tc>
          <w:tcPr>
            <w:tcW w:w="1340" w:type="pct"/>
            <w:tcBorders>
              <w:bottom w:val="single" w:sz="4" w:space="0" w:color="auto"/>
            </w:tcBorders>
            <w:vAlign w:val="center"/>
          </w:tcPr>
          <w:p w14:paraId="33D0C0F2" w14:textId="19CD0E94" w:rsidR="007A46A1" w:rsidRPr="00C039ED" w:rsidRDefault="00F70FDA" w:rsidP="009E1DCF">
            <w:pPr>
              <w:pStyle w:val="TabletextLeft"/>
              <w:rPr>
                <w:b/>
                <w:bCs/>
                <w:sz w:val="20"/>
              </w:rPr>
            </w:pPr>
            <w:r w:rsidRPr="00C039ED">
              <w:rPr>
                <w:b/>
                <w:bCs/>
                <w:sz w:val="20"/>
              </w:rPr>
              <w:t>Mécanisme de codage des sources vidéo/audio</w:t>
            </w:r>
          </w:p>
        </w:tc>
        <w:tc>
          <w:tcPr>
            <w:tcW w:w="3660" w:type="pct"/>
            <w:gridSpan w:val="6"/>
            <w:tcBorders>
              <w:bottom w:val="single" w:sz="4" w:space="0" w:color="auto"/>
            </w:tcBorders>
            <w:vAlign w:val="center"/>
          </w:tcPr>
          <w:p w14:paraId="6A86CB2B" w14:textId="23C1DAD6" w:rsidR="007A46A1" w:rsidRPr="006E3081" w:rsidRDefault="00F70FDA" w:rsidP="009E1DCF">
            <w:pPr>
              <w:pStyle w:val="Tabletext"/>
              <w:jc w:val="center"/>
              <w:rPr>
                <w:sz w:val="20"/>
              </w:rPr>
            </w:pPr>
            <w:r w:rsidRPr="006E3081">
              <w:rPr>
                <w:sz w:val="20"/>
              </w:rPr>
              <w:t>Possibilité d'utiliser une technologie de codage des sources plus efficace</w:t>
            </w:r>
          </w:p>
        </w:tc>
      </w:tr>
      <w:tr w:rsidR="007A46A1" w:rsidRPr="006E3081" w14:paraId="59C01E03" w14:textId="77777777" w:rsidTr="009E1DCF">
        <w:trPr>
          <w:cantSplit/>
          <w:jc w:val="center"/>
        </w:trPr>
        <w:tc>
          <w:tcPr>
            <w:tcW w:w="1340" w:type="pct"/>
            <w:tcBorders>
              <w:bottom w:val="single" w:sz="4" w:space="0" w:color="auto"/>
            </w:tcBorders>
            <w:vAlign w:val="center"/>
          </w:tcPr>
          <w:p w14:paraId="6F389186" w14:textId="77777777" w:rsidR="007A46A1" w:rsidRPr="00C039ED" w:rsidRDefault="007A46A1" w:rsidP="009E1DCF">
            <w:pPr>
              <w:pStyle w:val="TabletextLeft"/>
              <w:rPr>
                <w:b/>
                <w:bCs/>
                <w:sz w:val="20"/>
              </w:rPr>
            </w:pPr>
            <w:r w:rsidRPr="00C039ED">
              <w:rPr>
                <w:b/>
                <w:bCs/>
                <w:sz w:val="20"/>
              </w:rPr>
              <w:t>SISO/MIMO</w:t>
            </w:r>
          </w:p>
        </w:tc>
        <w:tc>
          <w:tcPr>
            <w:tcW w:w="610" w:type="pct"/>
            <w:tcBorders>
              <w:bottom w:val="single" w:sz="4" w:space="0" w:color="auto"/>
            </w:tcBorders>
            <w:vAlign w:val="center"/>
          </w:tcPr>
          <w:p w14:paraId="6833A615" w14:textId="77777777" w:rsidR="007A46A1" w:rsidRPr="006E3081" w:rsidRDefault="007A46A1" w:rsidP="009E1DCF">
            <w:pPr>
              <w:pStyle w:val="Tabletext"/>
              <w:jc w:val="center"/>
              <w:rPr>
                <w:sz w:val="20"/>
                <w:lang w:eastAsia="ja-JP"/>
              </w:rPr>
            </w:pPr>
            <w:r w:rsidRPr="006E3081">
              <w:rPr>
                <w:sz w:val="20"/>
                <w:lang w:eastAsia="ja-JP"/>
              </w:rPr>
              <w:t>SISO</w:t>
            </w:r>
          </w:p>
        </w:tc>
        <w:tc>
          <w:tcPr>
            <w:tcW w:w="610" w:type="pct"/>
            <w:tcBorders>
              <w:bottom w:val="single" w:sz="4" w:space="0" w:color="auto"/>
            </w:tcBorders>
            <w:vAlign w:val="center"/>
          </w:tcPr>
          <w:p w14:paraId="20775CC1" w14:textId="77777777" w:rsidR="007A46A1" w:rsidRPr="006E3081" w:rsidRDefault="007A46A1" w:rsidP="009E1DCF">
            <w:pPr>
              <w:pStyle w:val="Tabletext"/>
              <w:jc w:val="center"/>
              <w:rPr>
                <w:sz w:val="20"/>
                <w:lang w:eastAsia="ja-JP"/>
              </w:rPr>
            </w:pPr>
            <w:r w:rsidRPr="006E3081">
              <w:rPr>
                <w:sz w:val="20"/>
                <w:lang w:eastAsia="ja-JP"/>
              </w:rPr>
              <w:t>SISO</w:t>
            </w:r>
          </w:p>
        </w:tc>
        <w:tc>
          <w:tcPr>
            <w:tcW w:w="610" w:type="pct"/>
            <w:tcBorders>
              <w:bottom w:val="single" w:sz="4" w:space="0" w:color="auto"/>
            </w:tcBorders>
            <w:vAlign w:val="center"/>
          </w:tcPr>
          <w:p w14:paraId="1E2E2BE3" w14:textId="77777777" w:rsidR="007A46A1" w:rsidRPr="006E3081" w:rsidRDefault="007A46A1" w:rsidP="009E1DCF">
            <w:pPr>
              <w:pStyle w:val="Tabletext"/>
              <w:jc w:val="center"/>
              <w:rPr>
                <w:sz w:val="20"/>
                <w:lang w:eastAsia="ja-JP"/>
              </w:rPr>
            </w:pPr>
            <w:r w:rsidRPr="006E3081">
              <w:rPr>
                <w:sz w:val="20"/>
                <w:lang w:eastAsia="ja-JP"/>
              </w:rPr>
              <w:t>SISO</w:t>
            </w:r>
          </w:p>
        </w:tc>
        <w:tc>
          <w:tcPr>
            <w:tcW w:w="610" w:type="pct"/>
            <w:tcBorders>
              <w:bottom w:val="single" w:sz="4" w:space="0" w:color="auto"/>
            </w:tcBorders>
            <w:vAlign w:val="center"/>
          </w:tcPr>
          <w:p w14:paraId="6C5659C9" w14:textId="77777777" w:rsidR="007A46A1" w:rsidRPr="006E3081" w:rsidRDefault="007A46A1" w:rsidP="009E1DCF">
            <w:pPr>
              <w:pStyle w:val="Tabletext"/>
              <w:jc w:val="center"/>
              <w:rPr>
                <w:sz w:val="20"/>
                <w:lang w:eastAsia="ja-JP"/>
              </w:rPr>
            </w:pPr>
            <w:r w:rsidRPr="006E3081">
              <w:rPr>
                <w:sz w:val="20"/>
                <w:lang w:eastAsia="ja-JP"/>
              </w:rPr>
              <w:t>SISO</w:t>
            </w:r>
          </w:p>
        </w:tc>
        <w:tc>
          <w:tcPr>
            <w:tcW w:w="610" w:type="pct"/>
            <w:tcBorders>
              <w:bottom w:val="single" w:sz="4" w:space="0" w:color="auto"/>
            </w:tcBorders>
            <w:vAlign w:val="center"/>
          </w:tcPr>
          <w:p w14:paraId="47BF684F" w14:textId="30EFFA56" w:rsidR="007A46A1" w:rsidRPr="006E3081" w:rsidRDefault="007A46A1" w:rsidP="009E1DCF">
            <w:pPr>
              <w:pStyle w:val="Tabletext"/>
              <w:jc w:val="center"/>
              <w:rPr>
                <w:sz w:val="20"/>
                <w:lang w:eastAsia="ja-JP"/>
              </w:rPr>
            </w:pPr>
            <w:r w:rsidRPr="006E3081">
              <w:rPr>
                <w:sz w:val="20"/>
                <w:lang w:eastAsia="ja-JP"/>
              </w:rPr>
              <w:t xml:space="preserve">SISO </w:t>
            </w:r>
            <w:r w:rsidR="00F70FDA" w:rsidRPr="006E3081">
              <w:rPr>
                <w:sz w:val="20"/>
                <w:lang w:eastAsia="ja-JP"/>
              </w:rPr>
              <w:t xml:space="preserve">ou </w:t>
            </w:r>
            <w:r w:rsidRPr="006E3081">
              <w:rPr>
                <w:sz w:val="20"/>
                <w:lang w:eastAsia="ja-JP"/>
              </w:rPr>
              <w:t>MIMO</w:t>
            </w:r>
          </w:p>
        </w:tc>
        <w:tc>
          <w:tcPr>
            <w:tcW w:w="610" w:type="pct"/>
            <w:tcBorders>
              <w:bottom w:val="single" w:sz="4" w:space="0" w:color="auto"/>
            </w:tcBorders>
            <w:vAlign w:val="center"/>
          </w:tcPr>
          <w:p w14:paraId="151174F2" w14:textId="1A4F25F5" w:rsidR="007A46A1" w:rsidRPr="006E3081" w:rsidRDefault="007A46A1" w:rsidP="009E1DCF">
            <w:pPr>
              <w:pStyle w:val="Tabletext"/>
              <w:jc w:val="center"/>
              <w:rPr>
                <w:sz w:val="20"/>
                <w:lang w:eastAsia="ja-JP"/>
              </w:rPr>
            </w:pPr>
            <w:r w:rsidRPr="006E3081">
              <w:rPr>
                <w:sz w:val="20"/>
                <w:lang w:eastAsia="ja-JP"/>
              </w:rPr>
              <w:t xml:space="preserve">SISO </w:t>
            </w:r>
            <w:r w:rsidR="00F70FDA" w:rsidRPr="006E3081">
              <w:rPr>
                <w:sz w:val="20"/>
                <w:lang w:eastAsia="ja-JP"/>
              </w:rPr>
              <w:t xml:space="preserve">ou </w:t>
            </w:r>
            <w:r w:rsidRPr="006E3081">
              <w:rPr>
                <w:sz w:val="20"/>
                <w:lang w:eastAsia="ja-JP"/>
              </w:rPr>
              <w:t>MIMO</w:t>
            </w:r>
          </w:p>
        </w:tc>
      </w:tr>
      <w:tr w:rsidR="007A46A1" w:rsidRPr="006E3081" w14:paraId="6D6FC93D" w14:textId="77777777" w:rsidTr="009E1DCF">
        <w:trPr>
          <w:cantSplit/>
          <w:jc w:val="center"/>
        </w:trPr>
        <w:tc>
          <w:tcPr>
            <w:tcW w:w="1340" w:type="pct"/>
            <w:tcBorders>
              <w:bottom w:val="single" w:sz="4" w:space="0" w:color="auto"/>
            </w:tcBorders>
            <w:vAlign w:val="center"/>
          </w:tcPr>
          <w:p w14:paraId="3A4C3879" w14:textId="62E2E0B1" w:rsidR="007A46A1" w:rsidRPr="00C039ED" w:rsidRDefault="00F70FDA" w:rsidP="009E1DCF">
            <w:pPr>
              <w:pStyle w:val="TabletextLeft"/>
              <w:rPr>
                <w:b/>
                <w:bCs/>
                <w:sz w:val="20"/>
              </w:rPr>
            </w:pPr>
            <w:r w:rsidRPr="00C039ED">
              <w:rPr>
                <w:b/>
                <w:bCs/>
                <w:sz w:val="20"/>
              </w:rPr>
              <w:t>Zone de service</w:t>
            </w:r>
          </w:p>
        </w:tc>
        <w:tc>
          <w:tcPr>
            <w:tcW w:w="610" w:type="pct"/>
            <w:tcBorders>
              <w:bottom w:val="single" w:sz="4" w:space="0" w:color="auto"/>
            </w:tcBorders>
            <w:vAlign w:val="center"/>
          </w:tcPr>
          <w:p w14:paraId="191F5C91" w14:textId="76806C1A" w:rsidR="007A46A1" w:rsidRPr="006E3081" w:rsidRDefault="00F70FDA" w:rsidP="009E1DCF">
            <w:pPr>
              <w:pStyle w:val="Tabletext"/>
              <w:jc w:val="center"/>
              <w:rPr>
                <w:sz w:val="20"/>
              </w:rPr>
            </w:pPr>
            <w:r w:rsidRPr="006E3081">
              <w:rPr>
                <w:sz w:val="20"/>
              </w:rPr>
              <w:t>Identique à la zone existante</w:t>
            </w:r>
          </w:p>
        </w:tc>
        <w:tc>
          <w:tcPr>
            <w:tcW w:w="610" w:type="pct"/>
            <w:tcBorders>
              <w:bottom w:val="single" w:sz="4" w:space="0" w:color="auto"/>
            </w:tcBorders>
            <w:vAlign w:val="center"/>
          </w:tcPr>
          <w:p w14:paraId="632EDBA6" w14:textId="1F219A05" w:rsidR="007A46A1" w:rsidRPr="006E3081" w:rsidRDefault="00F70FDA" w:rsidP="009E1DCF">
            <w:pPr>
              <w:pStyle w:val="Tabletext"/>
              <w:jc w:val="center"/>
              <w:rPr>
                <w:sz w:val="20"/>
              </w:rPr>
            </w:pPr>
            <w:r w:rsidRPr="006E3081">
              <w:rPr>
                <w:sz w:val="20"/>
              </w:rPr>
              <w:t>Peut être identique à la zone existante ou différente de celle</w:t>
            </w:r>
            <w:r w:rsidR="00B50B95" w:rsidRPr="006E3081">
              <w:rPr>
                <w:sz w:val="20"/>
              </w:rPr>
              <w:noBreakHyphen/>
            </w:r>
            <w:r w:rsidRPr="006E3081">
              <w:rPr>
                <w:sz w:val="20"/>
              </w:rPr>
              <w:t>ci</w:t>
            </w:r>
            <w:r w:rsidR="00C039ED">
              <w:rPr>
                <w:sz w:val="20"/>
              </w:rPr>
              <w:t> </w:t>
            </w:r>
            <w:r w:rsidR="007A46A1" w:rsidRPr="006E3081">
              <w:rPr>
                <w:sz w:val="20"/>
                <w:vertAlign w:val="superscript"/>
              </w:rPr>
              <w:t>(1)</w:t>
            </w:r>
          </w:p>
        </w:tc>
        <w:tc>
          <w:tcPr>
            <w:tcW w:w="610" w:type="pct"/>
            <w:tcBorders>
              <w:bottom w:val="single" w:sz="4" w:space="0" w:color="auto"/>
            </w:tcBorders>
            <w:vAlign w:val="center"/>
          </w:tcPr>
          <w:p w14:paraId="17AD5942" w14:textId="7B996016" w:rsidR="007A46A1" w:rsidRPr="006E3081" w:rsidRDefault="00F70FDA" w:rsidP="009E1DCF">
            <w:pPr>
              <w:pStyle w:val="Tabletext"/>
              <w:jc w:val="center"/>
              <w:rPr>
                <w:sz w:val="20"/>
              </w:rPr>
            </w:pPr>
            <w:r w:rsidRPr="006E3081">
              <w:rPr>
                <w:sz w:val="20"/>
              </w:rPr>
              <w:t>Peut être identique à la zone existante ou différente de celle</w:t>
            </w:r>
            <w:r w:rsidR="00B50B95" w:rsidRPr="006E3081">
              <w:rPr>
                <w:sz w:val="20"/>
              </w:rPr>
              <w:noBreakHyphen/>
            </w:r>
            <w:r w:rsidRPr="006E3081">
              <w:rPr>
                <w:sz w:val="20"/>
              </w:rPr>
              <w:t>ci</w:t>
            </w:r>
            <w:r w:rsidR="00C039ED">
              <w:rPr>
                <w:sz w:val="20"/>
              </w:rPr>
              <w:t> </w:t>
            </w:r>
            <w:r w:rsidR="007A46A1" w:rsidRPr="006E3081">
              <w:rPr>
                <w:sz w:val="20"/>
                <w:vertAlign w:val="superscript"/>
              </w:rPr>
              <w:t>(1)</w:t>
            </w:r>
          </w:p>
        </w:tc>
        <w:tc>
          <w:tcPr>
            <w:tcW w:w="610" w:type="pct"/>
            <w:tcBorders>
              <w:bottom w:val="single" w:sz="4" w:space="0" w:color="auto"/>
            </w:tcBorders>
            <w:vAlign w:val="center"/>
          </w:tcPr>
          <w:p w14:paraId="7045E64E" w14:textId="0FF5BF08" w:rsidR="007A46A1" w:rsidRPr="006E3081" w:rsidRDefault="00F70FDA" w:rsidP="009E1DCF">
            <w:pPr>
              <w:pStyle w:val="Tabletext"/>
              <w:jc w:val="center"/>
              <w:rPr>
                <w:sz w:val="20"/>
              </w:rPr>
            </w:pPr>
            <w:r w:rsidRPr="006E3081">
              <w:rPr>
                <w:sz w:val="20"/>
              </w:rPr>
              <w:t>Peut être identique à la zone existante ou différente de celle</w:t>
            </w:r>
            <w:r w:rsidR="00B50B95" w:rsidRPr="006E3081">
              <w:rPr>
                <w:sz w:val="20"/>
              </w:rPr>
              <w:noBreakHyphen/>
            </w:r>
            <w:r w:rsidRPr="006E3081">
              <w:rPr>
                <w:sz w:val="20"/>
              </w:rPr>
              <w:t>ci</w:t>
            </w:r>
            <w:r w:rsidR="00C039ED">
              <w:rPr>
                <w:sz w:val="20"/>
              </w:rPr>
              <w:t> </w:t>
            </w:r>
            <w:r w:rsidR="007A46A1" w:rsidRPr="006E3081">
              <w:rPr>
                <w:sz w:val="20"/>
                <w:vertAlign w:val="superscript"/>
              </w:rPr>
              <w:t>(1)</w:t>
            </w:r>
          </w:p>
        </w:tc>
        <w:tc>
          <w:tcPr>
            <w:tcW w:w="610" w:type="pct"/>
            <w:tcBorders>
              <w:bottom w:val="single" w:sz="4" w:space="0" w:color="auto"/>
            </w:tcBorders>
            <w:vAlign w:val="center"/>
          </w:tcPr>
          <w:p w14:paraId="44A13A6B" w14:textId="20B718C7" w:rsidR="007A46A1" w:rsidRPr="006E3081" w:rsidRDefault="00F70FDA" w:rsidP="009E1DCF">
            <w:pPr>
              <w:pStyle w:val="Tabletext"/>
              <w:jc w:val="center"/>
              <w:rPr>
                <w:sz w:val="20"/>
              </w:rPr>
            </w:pPr>
            <w:r w:rsidRPr="006E3081">
              <w:rPr>
                <w:sz w:val="20"/>
              </w:rPr>
              <w:t>Peut être identique à la zone existante ou différente de celle</w:t>
            </w:r>
            <w:r w:rsidR="00B50B95" w:rsidRPr="006E3081">
              <w:rPr>
                <w:sz w:val="20"/>
              </w:rPr>
              <w:noBreakHyphen/>
            </w:r>
            <w:r w:rsidRPr="006E3081">
              <w:rPr>
                <w:sz w:val="20"/>
              </w:rPr>
              <w:t>ci</w:t>
            </w:r>
            <w:r w:rsidR="00C039ED">
              <w:rPr>
                <w:sz w:val="20"/>
              </w:rPr>
              <w:t> </w:t>
            </w:r>
            <w:r w:rsidR="007A46A1" w:rsidRPr="006E3081">
              <w:rPr>
                <w:sz w:val="20"/>
                <w:vertAlign w:val="superscript"/>
              </w:rPr>
              <w:t>(1)</w:t>
            </w:r>
          </w:p>
        </w:tc>
        <w:tc>
          <w:tcPr>
            <w:tcW w:w="610" w:type="pct"/>
            <w:tcBorders>
              <w:bottom w:val="single" w:sz="4" w:space="0" w:color="auto"/>
            </w:tcBorders>
            <w:vAlign w:val="center"/>
          </w:tcPr>
          <w:p w14:paraId="784AECEA" w14:textId="3B07F442" w:rsidR="007A46A1" w:rsidRPr="006E3081" w:rsidRDefault="00F70FDA" w:rsidP="009E1DCF">
            <w:pPr>
              <w:pStyle w:val="Tabletext"/>
              <w:jc w:val="center"/>
              <w:rPr>
                <w:sz w:val="20"/>
              </w:rPr>
            </w:pPr>
            <w:r w:rsidRPr="006E3081">
              <w:rPr>
                <w:sz w:val="20"/>
              </w:rPr>
              <w:t>Peut être identique à la zone existante ou différente de celle</w:t>
            </w:r>
            <w:r w:rsidR="00B50B95" w:rsidRPr="006E3081">
              <w:rPr>
                <w:sz w:val="20"/>
              </w:rPr>
              <w:noBreakHyphen/>
            </w:r>
            <w:r w:rsidRPr="006E3081">
              <w:rPr>
                <w:sz w:val="20"/>
              </w:rPr>
              <w:t>ci</w:t>
            </w:r>
            <w:r w:rsidR="00C039ED">
              <w:rPr>
                <w:sz w:val="20"/>
              </w:rPr>
              <w:t> </w:t>
            </w:r>
            <w:r w:rsidR="007A46A1" w:rsidRPr="006E3081">
              <w:rPr>
                <w:sz w:val="20"/>
                <w:vertAlign w:val="superscript"/>
              </w:rPr>
              <w:t>(1)</w:t>
            </w:r>
          </w:p>
        </w:tc>
      </w:tr>
      <w:tr w:rsidR="007A46A1" w:rsidRPr="006E3081" w14:paraId="46A52D15" w14:textId="77777777" w:rsidTr="009E1DCF">
        <w:trPr>
          <w:cantSplit/>
          <w:trHeight w:val="2188"/>
          <w:jc w:val="center"/>
        </w:trPr>
        <w:tc>
          <w:tcPr>
            <w:tcW w:w="1340" w:type="pct"/>
            <w:tcBorders>
              <w:bottom w:val="single" w:sz="4" w:space="0" w:color="auto"/>
            </w:tcBorders>
            <w:vAlign w:val="center"/>
          </w:tcPr>
          <w:p w14:paraId="7488094A" w14:textId="4C9F7377" w:rsidR="007A46A1" w:rsidRPr="00C039ED" w:rsidRDefault="00F70FDA" w:rsidP="009E1DCF">
            <w:pPr>
              <w:pStyle w:val="TabletextLeft"/>
              <w:rPr>
                <w:b/>
                <w:bCs/>
                <w:sz w:val="20"/>
              </w:rPr>
            </w:pPr>
            <w:r w:rsidRPr="00C039ED">
              <w:rPr>
                <w:b/>
                <w:bCs/>
                <w:sz w:val="20"/>
              </w:rPr>
              <w:t>Capacité de transmission</w:t>
            </w:r>
          </w:p>
        </w:tc>
        <w:tc>
          <w:tcPr>
            <w:tcW w:w="610" w:type="pct"/>
            <w:tcBorders>
              <w:bottom w:val="single" w:sz="4" w:space="0" w:color="auto"/>
            </w:tcBorders>
            <w:vAlign w:val="center"/>
          </w:tcPr>
          <w:p w14:paraId="21D95DE3" w14:textId="158BFF42" w:rsidR="007A46A1" w:rsidRPr="006E3081" w:rsidRDefault="00F70FDA" w:rsidP="009E1DCF">
            <w:pPr>
              <w:pStyle w:val="Tabletext"/>
              <w:jc w:val="center"/>
              <w:rPr>
                <w:sz w:val="20"/>
              </w:rPr>
            </w:pPr>
            <w:r w:rsidRPr="006E3081">
              <w:rPr>
                <w:sz w:val="20"/>
              </w:rPr>
              <w:t>Identique à la capacité existante</w:t>
            </w:r>
          </w:p>
        </w:tc>
        <w:tc>
          <w:tcPr>
            <w:tcW w:w="610" w:type="pct"/>
            <w:tcBorders>
              <w:bottom w:val="single" w:sz="4" w:space="0" w:color="auto"/>
            </w:tcBorders>
            <w:vAlign w:val="center"/>
          </w:tcPr>
          <w:p w14:paraId="2AF386A3" w14:textId="230F82D5" w:rsidR="007A46A1" w:rsidRPr="006E3081" w:rsidRDefault="00F70FDA" w:rsidP="009E1DCF">
            <w:pPr>
              <w:pStyle w:val="Tabletext"/>
              <w:jc w:val="center"/>
              <w:rPr>
                <w:sz w:val="20"/>
              </w:rPr>
            </w:pPr>
            <w:r w:rsidRPr="006E3081">
              <w:rPr>
                <w:sz w:val="20"/>
              </w:rPr>
              <w:t>Peut être supérieure à la capacité existante</w:t>
            </w:r>
            <w:r w:rsidR="00C039ED">
              <w:rPr>
                <w:sz w:val="20"/>
              </w:rPr>
              <w:t> </w:t>
            </w:r>
            <w:r w:rsidR="007A46A1" w:rsidRPr="006E3081">
              <w:rPr>
                <w:sz w:val="20"/>
                <w:vertAlign w:val="superscript"/>
              </w:rPr>
              <w:t>(1)</w:t>
            </w:r>
            <w:r w:rsidR="007A46A1" w:rsidRPr="006E3081">
              <w:rPr>
                <w:sz w:val="20"/>
              </w:rPr>
              <w:t xml:space="preserve">, </w:t>
            </w:r>
            <w:r w:rsidR="00064298" w:rsidRPr="006E3081">
              <w:rPr>
                <w:sz w:val="20"/>
              </w:rPr>
              <w:t xml:space="preserve">plus élevée que </w:t>
            </w:r>
            <w:r w:rsidRPr="006E3081">
              <w:rPr>
                <w:sz w:val="20"/>
              </w:rPr>
              <w:t>la période de diffusion simultanée, supérieure à la Méthode</w:t>
            </w:r>
            <w:r w:rsidR="007A46A1" w:rsidRPr="006E3081">
              <w:rPr>
                <w:sz w:val="20"/>
              </w:rPr>
              <w:t xml:space="preserve"> A1</w:t>
            </w:r>
          </w:p>
        </w:tc>
        <w:tc>
          <w:tcPr>
            <w:tcW w:w="610" w:type="pct"/>
            <w:tcBorders>
              <w:bottom w:val="single" w:sz="4" w:space="0" w:color="auto"/>
            </w:tcBorders>
            <w:vAlign w:val="center"/>
          </w:tcPr>
          <w:p w14:paraId="5B80E564" w14:textId="038B53A0" w:rsidR="007A46A1" w:rsidRPr="006E3081" w:rsidRDefault="00F70FDA" w:rsidP="009E1DCF">
            <w:pPr>
              <w:pStyle w:val="Tabletext"/>
              <w:jc w:val="center"/>
              <w:rPr>
                <w:sz w:val="20"/>
              </w:rPr>
            </w:pPr>
            <w:r w:rsidRPr="006E3081">
              <w:rPr>
                <w:sz w:val="20"/>
              </w:rPr>
              <w:t>Peut être supérieure à la capacité existante</w:t>
            </w:r>
            <w:r w:rsidR="00C039ED">
              <w:rPr>
                <w:sz w:val="20"/>
              </w:rPr>
              <w:t> </w:t>
            </w:r>
            <w:r w:rsidR="007A46A1" w:rsidRPr="006E3081">
              <w:rPr>
                <w:sz w:val="20"/>
                <w:vertAlign w:val="superscript"/>
              </w:rPr>
              <w:t>(1)</w:t>
            </w:r>
            <w:r w:rsidR="007A46A1" w:rsidRPr="006E3081">
              <w:rPr>
                <w:sz w:val="20"/>
              </w:rPr>
              <w:t xml:space="preserve">, </w:t>
            </w:r>
            <w:r w:rsidR="00064298" w:rsidRPr="006E3081">
              <w:rPr>
                <w:sz w:val="20"/>
              </w:rPr>
              <w:t xml:space="preserve">plus élevée que </w:t>
            </w:r>
            <w:r w:rsidRPr="006E3081">
              <w:rPr>
                <w:sz w:val="20"/>
              </w:rPr>
              <w:t xml:space="preserve">la période de diffusion simultanée, supérieure à la Méthode </w:t>
            </w:r>
            <w:r w:rsidR="007A46A1" w:rsidRPr="006E3081">
              <w:rPr>
                <w:sz w:val="20"/>
              </w:rPr>
              <w:t>A2</w:t>
            </w:r>
          </w:p>
        </w:tc>
        <w:tc>
          <w:tcPr>
            <w:tcW w:w="610" w:type="pct"/>
            <w:tcBorders>
              <w:bottom w:val="single" w:sz="4" w:space="0" w:color="auto"/>
            </w:tcBorders>
            <w:vAlign w:val="center"/>
          </w:tcPr>
          <w:p w14:paraId="7AED26C9" w14:textId="72C8A14D" w:rsidR="007A46A1" w:rsidRPr="006E3081" w:rsidRDefault="00F70FDA" w:rsidP="009E1DCF">
            <w:pPr>
              <w:pStyle w:val="Tabletext"/>
              <w:jc w:val="center"/>
              <w:rPr>
                <w:sz w:val="20"/>
              </w:rPr>
            </w:pPr>
            <w:r w:rsidRPr="006E3081">
              <w:rPr>
                <w:sz w:val="20"/>
              </w:rPr>
              <w:t>Peut être supérieure à la capacité existante</w:t>
            </w:r>
            <w:r w:rsidR="00C039ED">
              <w:rPr>
                <w:sz w:val="20"/>
              </w:rPr>
              <w:t> </w:t>
            </w:r>
            <w:r w:rsidR="007A46A1" w:rsidRPr="006E3081">
              <w:rPr>
                <w:sz w:val="20"/>
                <w:vertAlign w:val="superscript"/>
              </w:rPr>
              <w:t>(1)</w:t>
            </w:r>
            <w:r w:rsidR="007A46A1" w:rsidRPr="006E3081">
              <w:rPr>
                <w:sz w:val="20"/>
              </w:rPr>
              <w:t xml:space="preserve">, </w:t>
            </w:r>
            <w:r w:rsidR="00064298" w:rsidRPr="006E3081">
              <w:rPr>
                <w:sz w:val="20"/>
              </w:rPr>
              <w:t xml:space="preserve">plus élevée que </w:t>
            </w:r>
            <w:r w:rsidRPr="006E3081">
              <w:rPr>
                <w:sz w:val="20"/>
              </w:rPr>
              <w:t xml:space="preserve">la période de diffusion simultanée, supérieure à la Méthode </w:t>
            </w:r>
            <w:r w:rsidR="007A46A1" w:rsidRPr="006E3081">
              <w:rPr>
                <w:sz w:val="20"/>
              </w:rPr>
              <w:t>A2</w:t>
            </w:r>
          </w:p>
        </w:tc>
        <w:tc>
          <w:tcPr>
            <w:tcW w:w="610" w:type="pct"/>
            <w:tcBorders>
              <w:bottom w:val="single" w:sz="4" w:space="0" w:color="auto"/>
            </w:tcBorders>
            <w:vAlign w:val="center"/>
          </w:tcPr>
          <w:p w14:paraId="76F5D7B7" w14:textId="14051727" w:rsidR="007A46A1" w:rsidRPr="006E3081" w:rsidRDefault="00F70FDA" w:rsidP="009E1DCF">
            <w:pPr>
              <w:pStyle w:val="Tabletext"/>
              <w:jc w:val="center"/>
              <w:rPr>
                <w:sz w:val="20"/>
              </w:rPr>
            </w:pPr>
            <w:r w:rsidRPr="006E3081">
              <w:rPr>
                <w:sz w:val="20"/>
              </w:rPr>
              <w:t>Peut être supérieure à la capacité existante</w:t>
            </w:r>
            <w:r w:rsidR="00C039ED">
              <w:rPr>
                <w:sz w:val="20"/>
              </w:rPr>
              <w:t> </w:t>
            </w:r>
            <w:r w:rsidR="007A46A1" w:rsidRPr="006E3081">
              <w:rPr>
                <w:sz w:val="20"/>
                <w:vertAlign w:val="superscript"/>
              </w:rPr>
              <w:t>(1)</w:t>
            </w:r>
            <w:r w:rsidR="007A46A1" w:rsidRPr="006E3081">
              <w:rPr>
                <w:sz w:val="20"/>
              </w:rPr>
              <w:t xml:space="preserve">, </w:t>
            </w:r>
            <w:r w:rsidR="00064298" w:rsidRPr="006E3081">
              <w:rPr>
                <w:sz w:val="20"/>
              </w:rPr>
              <w:t xml:space="preserve">plus élevée que </w:t>
            </w:r>
            <w:r w:rsidRPr="006E3081">
              <w:rPr>
                <w:sz w:val="20"/>
              </w:rPr>
              <w:t xml:space="preserve">la période de diffusion simultanée, supérieure à la Méthode </w:t>
            </w:r>
            <w:r w:rsidR="007A46A1" w:rsidRPr="006E3081">
              <w:rPr>
                <w:sz w:val="20"/>
              </w:rPr>
              <w:t>A2</w:t>
            </w:r>
          </w:p>
        </w:tc>
        <w:tc>
          <w:tcPr>
            <w:tcW w:w="610" w:type="pct"/>
            <w:tcBorders>
              <w:bottom w:val="single" w:sz="4" w:space="0" w:color="auto"/>
            </w:tcBorders>
            <w:vAlign w:val="center"/>
          </w:tcPr>
          <w:p w14:paraId="50617A7F" w14:textId="7343599A" w:rsidR="007A46A1" w:rsidRPr="006E3081" w:rsidRDefault="00F70FDA" w:rsidP="009E1DCF">
            <w:pPr>
              <w:pStyle w:val="Tabletext"/>
              <w:jc w:val="center"/>
              <w:rPr>
                <w:sz w:val="20"/>
              </w:rPr>
            </w:pPr>
            <w:r w:rsidRPr="006E3081">
              <w:rPr>
                <w:sz w:val="20"/>
              </w:rPr>
              <w:t>Peut être supérieure à la capacité existante</w:t>
            </w:r>
            <w:r w:rsidR="00C039ED">
              <w:rPr>
                <w:sz w:val="20"/>
              </w:rPr>
              <w:t> </w:t>
            </w:r>
            <w:r w:rsidR="007A46A1" w:rsidRPr="006E3081">
              <w:rPr>
                <w:sz w:val="20"/>
                <w:vertAlign w:val="superscript"/>
              </w:rPr>
              <w:t>(1)</w:t>
            </w:r>
            <w:r w:rsidR="007A46A1" w:rsidRPr="006E3081">
              <w:rPr>
                <w:sz w:val="20"/>
              </w:rPr>
              <w:t xml:space="preserve">, </w:t>
            </w:r>
            <w:r w:rsidRPr="006E3081">
              <w:rPr>
                <w:sz w:val="20"/>
              </w:rPr>
              <w:t xml:space="preserve">identique </w:t>
            </w:r>
            <w:r w:rsidR="00064298" w:rsidRPr="006E3081">
              <w:rPr>
                <w:sz w:val="20"/>
              </w:rPr>
              <w:t xml:space="preserve">par rapport à </w:t>
            </w:r>
            <w:r w:rsidRPr="006E3081">
              <w:rPr>
                <w:sz w:val="20"/>
              </w:rPr>
              <w:t xml:space="preserve">la période de diffusion simultanée, supérieure à la Méthode </w:t>
            </w:r>
            <w:r w:rsidR="007A46A1" w:rsidRPr="006E3081">
              <w:rPr>
                <w:sz w:val="20"/>
              </w:rPr>
              <w:t>A2</w:t>
            </w:r>
          </w:p>
        </w:tc>
      </w:tr>
      <w:tr w:rsidR="007A46A1" w:rsidRPr="006E3081" w14:paraId="5652CF40" w14:textId="77777777" w:rsidTr="009E1DCF">
        <w:trPr>
          <w:cantSplit/>
          <w:jc w:val="center"/>
        </w:trPr>
        <w:tc>
          <w:tcPr>
            <w:tcW w:w="1340" w:type="pct"/>
            <w:tcBorders>
              <w:bottom w:val="single" w:sz="4" w:space="0" w:color="auto"/>
            </w:tcBorders>
            <w:vAlign w:val="center"/>
          </w:tcPr>
          <w:p w14:paraId="49BF5B64" w14:textId="11D88FE0" w:rsidR="007A46A1" w:rsidRPr="00C039ED" w:rsidRDefault="00F70FDA" w:rsidP="009E1DCF">
            <w:pPr>
              <w:pStyle w:val="TabletextLeft"/>
              <w:rPr>
                <w:b/>
                <w:bCs/>
                <w:sz w:val="20"/>
              </w:rPr>
            </w:pPr>
            <w:r w:rsidRPr="00C039ED">
              <w:rPr>
                <w:b/>
                <w:bCs/>
                <w:sz w:val="20"/>
              </w:rPr>
              <w:t>Qualité de service</w:t>
            </w:r>
          </w:p>
        </w:tc>
        <w:tc>
          <w:tcPr>
            <w:tcW w:w="610" w:type="pct"/>
            <w:tcBorders>
              <w:bottom w:val="single" w:sz="4" w:space="0" w:color="auto"/>
            </w:tcBorders>
            <w:vAlign w:val="center"/>
          </w:tcPr>
          <w:p w14:paraId="4D21E039" w14:textId="2292ECCF" w:rsidR="007A46A1" w:rsidRPr="006E3081" w:rsidRDefault="00F70FDA" w:rsidP="009E1DCF">
            <w:pPr>
              <w:pStyle w:val="Tabletext"/>
              <w:jc w:val="center"/>
              <w:rPr>
                <w:sz w:val="20"/>
              </w:rPr>
            </w:pPr>
            <w:r w:rsidRPr="006E3081">
              <w:rPr>
                <w:sz w:val="20"/>
              </w:rPr>
              <w:t>Supérieure à la qualité de service existante</w:t>
            </w:r>
            <w:r w:rsidR="007A46A1" w:rsidRPr="006E3081">
              <w:rPr>
                <w:sz w:val="20"/>
              </w:rPr>
              <w:t xml:space="preserve">, </w:t>
            </w:r>
            <w:r w:rsidR="00064298" w:rsidRPr="006E3081">
              <w:rPr>
                <w:sz w:val="20"/>
              </w:rPr>
              <w:t xml:space="preserve">plus élevée que pendant </w:t>
            </w:r>
            <w:r w:rsidRPr="006E3081">
              <w:rPr>
                <w:sz w:val="20"/>
              </w:rPr>
              <w:t>la période de diffusion simultanée</w:t>
            </w:r>
          </w:p>
        </w:tc>
        <w:tc>
          <w:tcPr>
            <w:tcW w:w="610" w:type="pct"/>
            <w:tcBorders>
              <w:bottom w:val="single" w:sz="4" w:space="0" w:color="auto"/>
            </w:tcBorders>
            <w:vAlign w:val="center"/>
          </w:tcPr>
          <w:p w14:paraId="27A3BCD5" w14:textId="254A9669" w:rsidR="007A46A1" w:rsidRPr="006E3081" w:rsidRDefault="00F70FDA" w:rsidP="009E1DCF">
            <w:pPr>
              <w:pStyle w:val="Tabletext"/>
              <w:jc w:val="center"/>
              <w:rPr>
                <w:sz w:val="20"/>
              </w:rPr>
            </w:pPr>
            <w:r w:rsidRPr="006E3081">
              <w:rPr>
                <w:sz w:val="20"/>
              </w:rPr>
              <w:t xml:space="preserve">Supérieure à la qualité de service existante, </w:t>
            </w:r>
            <w:r w:rsidR="00064298" w:rsidRPr="006E3081">
              <w:rPr>
                <w:sz w:val="20"/>
              </w:rPr>
              <w:t xml:space="preserve">plus élevée que </w:t>
            </w:r>
            <w:r w:rsidRPr="006E3081">
              <w:rPr>
                <w:sz w:val="20"/>
              </w:rPr>
              <w:t>la période de diffusion simultanée</w:t>
            </w:r>
            <w:r w:rsidR="007A46A1" w:rsidRPr="006E3081">
              <w:rPr>
                <w:sz w:val="20"/>
              </w:rPr>
              <w:t xml:space="preserve">, </w:t>
            </w:r>
            <w:r w:rsidRPr="006E3081">
              <w:rPr>
                <w:sz w:val="20"/>
              </w:rPr>
              <w:t xml:space="preserve">supérieure à la Méthode </w:t>
            </w:r>
            <w:r w:rsidR="007A46A1" w:rsidRPr="006E3081">
              <w:rPr>
                <w:sz w:val="20"/>
              </w:rPr>
              <w:t>A1</w:t>
            </w:r>
          </w:p>
        </w:tc>
        <w:tc>
          <w:tcPr>
            <w:tcW w:w="610" w:type="pct"/>
            <w:tcBorders>
              <w:bottom w:val="single" w:sz="4" w:space="0" w:color="auto"/>
            </w:tcBorders>
            <w:vAlign w:val="center"/>
          </w:tcPr>
          <w:p w14:paraId="4F8FEDDA" w14:textId="562B08C1" w:rsidR="007A46A1" w:rsidRPr="006E3081" w:rsidRDefault="00F70FDA" w:rsidP="009E1DCF">
            <w:pPr>
              <w:pStyle w:val="Tabletext"/>
              <w:jc w:val="center"/>
              <w:rPr>
                <w:sz w:val="20"/>
              </w:rPr>
            </w:pPr>
            <w:r w:rsidRPr="006E3081">
              <w:rPr>
                <w:sz w:val="20"/>
              </w:rPr>
              <w:t xml:space="preserve">Supérieure à la qualité de service existante, </w:t>
            </w:r>
            <w:r w:rsidR="00064298" w:rsidRPr="006E3081">
              <w:rPr>
                <w:sz w:val="20"/>
              </w:rPr>
              <w:t>plus élevée que</w:t>
            </w:r>
            <w:r w:rsidRPr="006E3081">
              <w:rPr>
                <w:sz w:val="20"/>
              </w:rPr>
              <w:t xml:space="preserve"> la période de diffusion simultanée, supérieure à la Méthode </w:t>
            </w:r>
            <w:r w:rsidR="007A46A1" w:rsidRPr="006E3081">
              <w:rPr>
                <w:sz w:val="20"/>
              </w:rPr>
              <w:t>A2</w:t>
            </w:r>
          </w:p>
        </w:tc>
        <w:tc>
          <w:tcPr>
            <w:tcW w:w="610" w:type="pct"/>
            <w:tcBorders>
              <w:bottom w:val="single" w:sz="4" w:space="0" w:color="auto"/>
            </w:tcBorders>
            <w:vAlign w:val="center"/>
          </w:tcPr>
          <w:p w14:paraId="5FA4A00E" w14:textId="00EE7DFF" w:rsidR="007A46A1" w:rsidRPr="006E3081" w:rsidRDefault="00F70FDA" w:rsidP="009E1DCF">
            <w:pPr>
              <w:pStyle w:val="Tabletext"/>
              <w:jc w:val="center"/>
              <w:rPr>
                <w:sz w:val="20"/>
              </w:rPr>
            </w:pPr>
            <w:r w:rsidRPr="006E3081">
              <w:rPr>
                <w:sz w:val="20"/>
              </w:rPr>
              <w:t xml:space="preserve">Supérieure à la qualité de service existante, </w:t>
            </w:r>
            <w:r w:rsidR="00064298" w:rsidRPr="006E3081">
              <w:rPr>
                <w:sz w:val="20"/>
              </w:rPr>
              <w:t xml:space="preserve">plus élevée que </w:t>
            </w:r>
            <w:r w:rsidRPr="006E3081">
              <w:rPr>
                <w:sz w:val="20"/>
              </w:rPr>
              <w:t xml:space="preserve">la période de diffusion simultanée, supérieure à la Méthode </w:t>
            </w:r>
            <w:r w:rsidR="007A46A1" w:rsidRPr="006E3081">
              <w:rPr>
                <w:sz w:val="20"/>
              </w:rPr>
              <w:t>A2</w:t>
            </w:r>
          </w:p>
        </w:tc>
        <w:tc>
          <w:tcPr>
            <w:tcW w:w="610" w:type="pct"/>
            <w:tcBorders>
              <w:bottom w:val="single" w:sz="4" w:space="0" w:color="auto"/>
            </w:tcBorders>
            <w:vAlign w:val="center"/>
          </w:tcPr>
          <w:p w14:paraId="499D2D73" w14:textId="31738BA6" w:rsidR="007A46A1" w:rsidRPr="006E3081" w:rsidRDefault="00F70FDA" w:rsidP="009E1DCF">
            <w:pPr>
              <w:pStyle w:val="Tabletext"/>
              <w:jc w:val="center"/>
              <w:rPr>
                <w:sz w:val="20"/>
              </w:rPr>
            </w:pPr>
            <w:r w:rsidRPr="006E3081">
              <w:rPr>
                <w:sz w:val="20"/>
              </w:rPr>
              <w:t xml:space="preserve">Supérieure à la qualité de service existante, </w:t>
            </w:r>
            <w:r w:rsidR="00064298" w:rsidRPr="006E3081">
              <w:rPr>
                <w:sz w:val="20"/>
              </w:rPr>
              <w:t>plus élevée que</w:t>
            </w:r>
            <w:r w:rsidRPr="006E3081">
              <w:rPr>
                <w:sz w:val="20"/>
              </w:rPr>
              <w:t xml:space="preserve"> la période de diffusion simultanée, supérieure à la Méthode </w:t>
            </w:r>
            <w:r w:rsidR="007A46A1" w:rsidRPr="006E3081">
              <w:rPr>
                <w:sz w:val="20"/>
              </w:rPr>
              <w:t>A2</w:t>
            </w:r>
          </w:p>
        </w:tc>
        <w:tc>
          <w:tcPr>
            <w:tcW w:w="610" w:type="pct"/>
            <w:tcBorders>
              <w:bottom w:val="single" w:sz="4" w:space="0" w:color="auto"/>
            </w:tcBorders>
            <w:vAlign w:val="center"/>
          </w:tcPr>
          <w:p w14:paraId="2DE571FD" w14:textId="4073D3D9" w:rsidR="007A46A1" w:rsidRPr="006E3081" w:rsidRDefault="00F70FDA" w:rsidP="009E1DCF">
            <w:pPr>
              <w:pStyle w:val="Tabletext"/>
              <w:jc w:val="center"/>
              <w:rPr>
                <w:sz w:val="20"/>
              </w:rPr>
            </w:pPr>
            <w:r w:rsidRPr="006E3081">
              <w:rPr>
                <w:sz w:val="20"/>
              </w:rPr>
              <w:t xml:space="preserve">Supérieure à la qualité de service existante, identique </w:t>
            </w:r>
            <w:r w:rsidR="00064298" w:rsidRPr="006E3081">
              <w:rPr>
                <w:sz w:val="20"/>
              </w:rPr>
              <w:t xml:space="preserve">par rapport à la </w:t>
            </w:r>
            <w:r w:rsidRPr="006E3081">
              <w:rPr>
                <w:sz w:val="20"/>
              </w:rPr>
              <w:t xml:space="preserve">période de diffusion simultanée, supérieure à la Méthode </w:t>
            </w:r>
            <w:r w:rsidR="007A46A1" w:rsidRPr="006E3081">
              <w:rPr>
                <w:sz w:val="20"/>
              </w:rPr>
              <w:t>A2</w:t>
            </w:r>
          </w:p>
        </w:tc>
      </w:tr>
      <w:tr w:rsidR="007A46A1" w:rsidRPr="00C039ED" w14:paraId="22B7EDD0" w14:textId="77777777" w:rsidTr="009E1DCF">
        <w:trPr>
          <w:cantSplit/>
          <w:jc w:val="center"/>
        </w:trPr>
        <w:tc>
          <w:tcPr>
            <w:tcW w:w="5000" w:type="pct"/>
            <w:gridSpan w:val="7"/>
            <w:tcBorders>
              <w:left w:val="nil"/>
              <w:bottom w:val="nil"/>
              <w:right w:val="nil"/>
            </w:tcBorders>
            <w:vAlign w:val="center"/>
          </w:tcPr>
          <w:p w14:paraId="41E5AA02" w14:textId="7AEF1B2D" w:rsidR="007A46A1" w:rsidRPr="00C039ED" w:rsidRDefault="00B50B95" w:rsidP="009E1DCF">
            <w:pPr>
              <w:pStyle w:val="Tabletext"/>
              <w:ind w:left="284" w:hanging="284"/>
              <w:jc w:val="left"/>
            </w:pPr>
            <w:r w:rsidRPr="00C039ED">
              <w:rPr>
                <w:vertAlign w:val="superscript"/>
              </w:rPr>
              <w:t>(</w:t>
            </w:r>
            <w:r w:rsidR="007A46A1" w:rsidRPr="00C039ED">
              <w:rPr>
                <w:vertAlign w:val="superscript"/>
              </w:rPr>
              <w:t>1)</w:t>
            </w:r>
            <w:r w:rsidR="007A46A1" w:rsidRPr="00C039ED">
              <w:tab/>
            </w:r>
            <w:r w:rsidR="00F70FDA" w:rsidRPr="006E3081">
              <w:t>La zone de service et la capacité de transmission reposent sur un compromis</w:t>
            </w:r>
            <w:r w:rsidR="007A46A1" w:rsidRPr="00C039ED">
              <w:t>.</w:t>
            </w:r>
          </w:p>
        </w:tc>
      </w:tr>
    </w:tbl>
    <w:p w14:paraId="052B0B4C" w14:textId="7D8693DE" w:rsidR="007A46A1" w:rsidRDefault="007A46A1" w:rsidP="009E1DCF">
      <w:pPr>
        <w:pStyle w:val="Tablefin"/>
      </w:pPr>
    </w:p>
    <w:p w14:paraId="209E733B" w14:textId="77777777" w:rsidR="00C34F53" w:rsidRPr="00C34F53" w:rsidRDefault="00C34F53" w:rsidP="00C34F53">
      <w:pPr>
        <w:jc w:val="center"/>
        <w:rPr>
          <w:rFonts w:eastAsia="MS Mincho"/>
        </w:rPr>
      </w:pPr>
      <w:r w:rsidRPr="00C34F53">
        <w:rPr>
          <w:rFonts w:eastAsia="MS Mincho"/>
        </w:rPr>
        <w:t>______________</w:t>
      </w:r>
    </w:p>
    <w:p w14:paraId="2EE3B9DD" w14:textId="77777777" w:rsidR="009E1DCF" w:rsidRPr="009E1DCF" w:rsidRDefault="009E1DCF" w:rsidP="009E1DCF">
      <w:pPr>
        <w:rPr>
          <w:lang w:val="en-GB"/>
        </w:rPr>
      </w:pPr>
    </w:p>
    <w:bookmarkEnd w:id="62"/>
    <w:sectPr w:rsidR="009E1DCF" w:rsidRPr="009E1DCF" w:rsidSect="00992F27">
      <w:headerReference w:type="even" r:id="rId27"/>
      <w:headerReference w:type="default" r:id="rId28"/>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6549" w14:textId="77777777" w:rsidR="005D4CDB" w:rsidRDefault="005D4CDB">
      <w:r>
        <w:separator/>
      </w:r>
    </w:p>
  </w:endnote>
  <w:endnote w:type="continuationSeparator" w:id="0">
    <w:p w14:paraId="3C6861E4" w14:textId="77777777" w:rsidR="005D4CDB" w:rsidRDefault="005D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64A5F" w14:textId="77777777" w:rsidR="005D4CDB" w:rsidRDefault="005D4CDB">
      <w:r>
        <w:separator/>
      </w:r>
    </w:p>
  </w:footnote>
  <w:footnote w:type="continuationSeparator" w:id="0">
    <w:p w14:paraId="261B0F3C" w14:textId="77777777" w:rsidR="005D4CDB" w:rsidRDefault="005D4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6ED1" w14:textId="77777777" w:rsidR="001A5C5A" w:rsidRDefault="001A5C5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ED395" w14:textId="77777777" w:rsidR="001A5C5A" w:rsidRDefault="001A5C5A" w:rsidP="00DB2516">
    <w:pPr>
      <w:pStyle w:val="Header"/>
      <w:ind w:right="360" w:firstLine="360"/>
    </w:pPr>
    <w:r>
      <w:rPr>
        <w:noProof/>
        <w:lang w:val="en-US"/>
      </w:rPr>
      <w:drawing>
        <wp:anchor distT="0" distB="0" distL="114300" distR="114300" simplePos="0" relativeHeight="251659264" behindDoc="1" locked="0" layoutInCell="1" allowOverlap="1" wp14:anchorId="769D58D7" wp14:editId="0D66333C">
          <wp:simplePos x="0" y="0"/>
          <wp:positionH relativeFrom="page">
            <wp:posOffset>0</wp:posOffset>
          </wp:positionH>
          <wp:positionV relativeFrom="page">
            <wp:posOffset>0</wp:posOffset>
          </wp:positionV>
          <wp:extent cx="7592060" cy="10760075"/>
          <wp:effectExtent l="19050" t="0" r="8890" b="0"/>
          <wp:wrapNone/>
          <wp:docPr id="5"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1279" w14:textId="659902EA" w:rsidR="00BF21E5" w:rsidRPr="00BF21E5" w:rsidRDefault="00BF21E5" w:rsidP="00BF21E5">
    <w:pPr>
      <w:tabs>
        <w:tab w:val="clear" w:pos="794"/>
        <w:tab w:val="clear" w:pos="1191"/>
        <w:tab w:val="clear" w:pos="1588"/>
        <w:tab w:val="clear" w:pos="1985"/>
        <w:tab w:val="center" w:pos="4820"/>
        <w:tab w:val="right" w:pos="9696"/>
      </w:tabs>
      <w:spacing w:before="0"/>
      <w:jc w:val="left"/>
      <w:rPr>
        <w:rFonts w:eastAsia="MS Mincho"/>
      </w:rPr>
    </w:pPr>
    <w:r w:rsidRPr="00BF21E5">
      <w:rPr>
        <w:rFonts w:eastAsia="MS Mincho"/>
        <w:b/>
        <w:bCs/>
      </w:rPr>
      <w:fldChar w:fldCharType="begin"/>
    </w:r>
    <w:r w:rsidRPr="00BF21E5">
      <w:rPr>
        <w:rFonts w:eastAsia="MS Mincho"/>
        <w:b/>
        <w:bCs/>
      </w:rPr>
      <w:instrText xml:space="preserve"> PAGE </w:instrText>
    </w:r>
    <w:r w:rsidRPr="00BF21E5">
      <w:rPr>
        <w:rFonts w:eastAsia="MS Mincho"/>
        <w:b/>
        <w:bCs/>
      </w:rPr>
      <w:fldChar w:fldCharType="separate"/>
    </w:r>
    <w:r w:rsidRPr="00BF21E5">
      <w:rPr>
        <w:rFonts w:eastAsia="MS Mincho"/>
        <w:b/>
        <w:bCs/>
      </w:rPr>
      <w:t>ii</w:t>
    </w:r>
    <w:r w:rsidRPr="00BF21E5">
      <w:rPr>
        <w:rFonts w:eastAsia="MS Mincho"/>
        <w:b/>
        <w:bCs/>
      </w:rPr>
      <w:fldChar w:fldCharType="end"/>
    </w:r>
    <w:r w:rsidRPr="00BF21E5">
      <w:rPr>
        <w:rFonts w:eastAsia="MS Mincho"/>
      </w:rPr>
      <w:tab/>
    </w:r>
    <w:r w:rsidRPr="00BF21E5">
      <w:rPr>
        <w:rFonts w:eastAsia="MS Mincho"/>
      </w:rPr>
      <w:fldChar w:fldCharType="begin"/>
    </w:r>
    <w:r w:rsidRPr="00BF21E5">
      <w:rPr>
        <w:rFonts w:eastAsia="MS Mincho"/>
      </w:rPr>
      <w:instrText xml:space="preserve"> DOCPROPERTY "Header" \* MERGEFORMAT </w:instrText>
    </w:r>
    <w:r w:rsidRPr="00BF21E5">
      <w:rPr>
        <w:rFonts w:eastAsia="MS Mincho"/>
      </w:rPr>
      <w:fldChar w:fldCharType="separate"/>
    </w:r>
    <w:r w:rsidR="00F232F0" w:rsidRPr="00F232F0">
      <w:rPr>
        <w:rFonts w:eastAsia="MS Mincho"/>
        <w:b/>
        <w:bCs/>
      </w:rPr>
      <w:t xml:space="preserve">Rec. </w:t>
    </w:r>
    <w:r w:rsidRPr="00BF21E5">
      <w:rPr>
        <w:rFonts w:eastAsia="MS Mincho"/>
        <w:b/>
        <w:bCs/>
      </w:rPr>
      <w:fldChar w:fldCharType="end"/>
    </w:r>
    <w:r w:rsidRPr="00BF21E5">
      <w:rPr>
        <w:rFonts w:eastAsia="MS Mincho"/>
        <w:b/>
        <w:bCs/>
      </w:rPr>
      <w:t xml:space="preserve"> </w:t>
    </w:r>
    <w:r w:rsidRPr="00BF21E5">
      <w:rPr>
        <w:rFonts w:eastAsia="MS Mincho"/>
        <w:b/>
        <w:bCs/>
      </w:rPr>
      <w:fldChar w:fldCharType="begin"/>
    </w:r>
    <w:r w:rsidRPr="00BF21E5">
      <w:rPr>
        <w:rFonts w:eastAsia="MS Mincho"/>
        <w:b/>
        <w:bCs/>
      </w:rPr>
      <w:instrText>styleref href</w:instrText>
    </w:r>
    <w:r w:rsidRPr="00BF21E5">
      <w:rPr>
        <w:rFonts w:eastAsia="MS Mincho"/>
        <w:b/>
        <w:bCs/>
      </w:rPr>
      <w:fldChar w:fldCharType="separate"/>
    </w:r>
    <w:r w:rsidR="003F0818">
      <w:rPr>
        <w:rFonts w:eastAsia="MS Mincho"/>
        <w:b/>
        <w:bCs/>
        <w:noProof/>
      </w:rPr>
      <w:t>UIT-R  BT.2144-0</w:t>
    </w:r>
    <w:r w:rsidRPr="00BF21E5">
      <w:rPr>
        <w:rFonts w:eastAsia="MS Mincho"/>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48E2" w14:textId="185059CC" w:rsidR="001A5C5A" w:rsidRDefault="001A5C5A">
    <w:pPr>
      <w:pStyle w:val="Header"/>
    </w:pPr>
    <w:r>
      <w:tab/>
    </w:r>
    <w:r w:rsidR="003F0818">
      <w:fldChar w:fldCharType="begin"/>
    </w:r>
    <w:r w:rsidR="003F0818">
      <w:instrText xml:space="preserve"> DOCPROPERTY "Header" \* MERGEFORMAT </w:instrText>
    </w:r>
    <w:r w:rsidR="003F0818">
      <w:fldChar w:fldCharType="separate"/>
    </w:r>
    <w:r w:rsidR="00F232F0" w:rsidRPr="00F232F0">
      <w:rPr>
        <w:b/>
        <w:bCs/>
      </w:rPr>
      <w:t xml:space="preserve">Rec. </w:t>
    </w:r>
    <w:r w:rsidR="003F0818">
      <w:rPr>
        <w:b/>
        <w:bCs/>
      </w:rPr>
      <w:fldChar w:fldCharType="end"/>
    </w:r>
    <w:r>
      <w:rPr>
        <w:b/>
        <w:bCs/>
      </w:rPr>
      <w:t xml:space="preserve"> </w:t>
    </w:r>
    <w:r>
      <w:rPr>
        <w:b/>
        <w:bCs/>
      </w:rPr>
      <w:fldChar w:fldCharType="begin"/>
    </w:r>
    <w:r>
      <w:rPr>
        <w:b/>
        <w:bCs/>
      </w:rPr>
      <w:instrText>styleref href</w:instrText>
    </w:r>
    <w:r>
      <w:rPr>
        <w:b/>
        <w:bCs/>
      </w:rPr>
      <w:fldChar w:fldCharType="separate"/>
    </w:r>
    <w:r w:rsidR="00F232F0">
      <w:rPr>
        <w:b/>
        <w:bCs/>
        <w:noProof/>
      </w:rPr>
      <w:t>UIT-R  BT.2144-0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5CCF" w14:textId="77DB01F8" w:rsidR="005B3106" w:rsidRPr="005B3106" w:rsidRDefault="005B3106" w:rsidP="005B3106">
    <w:pPr>
      <w:tabs>
        <w:tab w:val="clear" w:pos="794"/>
        <w:tab w:val="clear" w:pos="1191"/>
        <w:tab w:val="clear" w:pos="1588"/>
        <w:tab w:val="clear" w:pos="1985"/>
        <w:tab w:val="center" w:pos="4848"/>
        <w:tab w:val="right" w:pos="9696"/>
      </w:tabs>
      <w:spacing w:before="0"/>
      <w:jc w:val="center"/>
      <w:rPr>
        <w:rFonts w:eastAsia="MS Mincho"/>
      </w:rPr>
    </w:pPr>
    <w:r w:rsidRPr="005B3106">
      <w:rPr>
        <w:rFonts w:eastAsia="MS Mincho"/>
      </w:rPr>
      <w:tab/>
    </w:r>
    <w:r w:rsidRPr="005B3106">
      <w:rPr>
        <w:rFonts w:eastAsia="MS Mincho"/>
      </w:rPr>
      <w:fldChar w:fldCharType="begin"/>
    </w:r>
    <w:r w:rsidRPr="005B3106">
      <w:rPr>
        <w:rFonts w:eastAsia="MS Mincho"/>
      </w:rPr>
      <w:instrText xml:space="preserve"> DOCPROPERTY "Header" \* MERGEFORMAT </w:instrText>
    </w:r>
    <w:r w:rsidRPr="005B3106">
      <w:rPr>
        <w:rFonts w:eastAsia="MS Mincho"/>
      </w:rPr>
      <w:fldChar w:fldCharType="separate"/>
    </w:r>
    <w:r w:rsidR="00F232F0" w:rsidRPr="00F232F0">
      <w:rPr>
        <w:rFonts w:eastAsia="MS Mincho"/>
        <w:b/>
        <w:bCs/>
      </w:rPr>
      <w:t xml:space="preserve">Rec. </w:t>
    </w:r>
    <w:r w:rsidRPr="005B3106">
      <w:rPr>
        <w:rFonts w:eastAsia="MS Mincho"/>
        <w:b/>
        <w:bCs/>
      </w:rPr>
      <w:fldChar w:fldCharType="end"/>
    </w:r>
    <w:r w:rsidRPr="005B3106">
      <w:rPr>
        <w:rFonts w:eastAsia="MS Mincho"/>
        <w:b/>
        <w:bCs/>
      </w:rPr>
      <w:t xml:space="preserve"> </w:t>
    </w:r>
    <w:r w:rsidRPr="005B3106">
      <w:rPr>
        <w:rFonts w:eastAsia="MS Mincho"/>
        <w:b/>
        <w:bCs/>
      </w:rPr>
      <w:fldChar w:fldCharType="begin"/>
    </w:r>
    <w:r w:rsidRPr="005B3106">
      <w:rPr>
        <w:rFonts w:eastAsia="MS Mincho"/>
        <w:b/>
        <w:bCs/>
      </w:rPr>
      <w:instrText>styleref href</w:instrText>
    </w:r>
    <w:r w:rsidRPr="005B3106">
      <w:rPr>
        <w:rFonts w:eastAsia="MS Mincho"/>
        <w:b/>
        <w:bCs/>
      </w:rPr>
      <w:fldChar w:fldCharType="separate"/>
    </w:r>
    <w:r w:rsidR="0030684F">
      <w:rPr>
        <w:rFonts w:eastAsia="MS Mincho"/>
        <w:b/>
        <w:bCs/>
        <w:noProof/>
      </w:rPr>
      <w:t>UIT-R  BT.2144-0</w:t>
    </w:r>
    <w:r w:rsidRPr="005B3106">
      <w:rPr>
        <w:rFonts w:eastAsia="MS Mincho"/>
      </w:rPr>
      <w:fldChar w:fldCharType="end"/>
    </w:r>
    <w:r w:rsidRPr="005B3106">
      <w:rPr>
        <w:rFonts w:eastAsia="MS Mincho"/>
        <w:b/>
        <w:bCs/>
      </w:rPr>
      <w:tab/>
    </w:r>
    <w:r w:rsidRPr="005B3106">
      <w:rPr>
        <w:rFonts w:eastAsia="MS Mincho"/>
        <w:b/>
        <w:bCs/>
      </w:rPr>
      <w:fldChar w:fldCharType="begin"/>
    </w:r>
    <w:r w:rsidRPr="005B3106">
      <w:rPr>
        <w:rFonts w:eastAsia="MS Mincho"/>
        <w:b/>
        <w:bCs/>
      </w:rPr>
      <w:instrText xml:space="preserve"> PAGE </w:instrText>
    </w:r>
    <w:r w:rsidRPr="005B3106">
      <w:rPr>
        <w:rFonts w:eastAsia="MS Mincho"/>
        <w:b/>
        <w:bCs/>
      </w:rPr>
      <w:fldChar w:fldCharType="separate"/>
    </w:r>
    <w:r w:rsidRPr="005B3106">
      <w:rPr>
        <w:rFonts w:eastAsia="MS Mincho"/>
        <w:b/>
        <w:bCs/>
      </w:rPr>
      <w:t>1</w:t>
    </w:r>
    <w:r w:rsidRPr="005B3106">
      <w:rPr>
        <w:rFonts w:eastAsia="MS Mincho"/>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BB64" w14:textId="22125EE6" w:rsidR="00372C19" w:rsidRDefault="00372C19" w:rsidP="00372C19">
    <w:pPr>
      <w:pStyle w:val="Header"/>
      <w:tabs>
        <w:tab w:val="clear" w:pos="4848"/>
        <w:tab w:val="center" w:pos="7088"/>
      </w:tabs>
      <w:jc w:val="left"/>
    </w:pPr>
    <w:r w:rsidRPr="00E261D6">
      <w:rPr>
        <w:b/>
        <w:bCs/>
      </w:rPr>
      <w:fldChar w:fldCharType="begin"/>
    </w:r>
    <w:r w:rsidRPr="00E261D6">
      <w:rPr>
        <w:b/>
        <w:bCs/>
      </w:rPr>
      <w:instrText xml:space="preserve"> PAGE </w:instrText>
    </w:r>
    <w:r w:rsidRPr="00E261D6">
      <w:rPr>
        <w:b/>
        <w:bCs/>
      </w:rPr>
      <w:fldChar w:fldCharType="separate"/>
    </w:r>
    <w:r w:rsidRPr="00E261D6">
      <w:rPr>
        <w:b/>
        <w:bCs/>
      </w:rPr>
      <w:t>2</w:t>
    </w:r>
    <w:r w:rsidRPr="00E261D6">
      <w:fldChar w:fldCharType="end"/>
    </w:r>
    <w:r>
      <w:tab/>
    </w:r>
    <w:r>
      <w:fldChar w:fldCharType="begin"/>
    </w:r>
    <w:r w:rsidRPr="00564BF7">
      <w:rPr>
        <w:lang w:val="en-US"/>
      </w:rPr>
      <w:instrText xml:space="preserve"> DOCPROPERTY "Header" \* MERGEFORMAT </w:instrText>
    </w:r>
    <w:r>
      <w:fldChar w:fldCharType="separate"/>
    </w:r>
    <w:r w:rsidR="00F232F0" w:rsidRPr="00F232F0">
      <w:rPr>
        <w:b/>
        <w:bCs/>
        <w:lang w:val="en-US"/>
      </w:rPr>
      <w:t xml:space="preserve">Rec. </w:t>
    </w:r>
    <w:r>
      <w:rPr>
        <w:b/>
        <w:bCs/>
        <w:lang w:val="fr-CH"/>
      </w:rPr>
      <w:fldChar w:fldCharType="end"/>
    </w:r>
    <w:r w:rsidRPr="00564BF7">
      <w:rPr>
        <w:b/>
        <w:bCs/>
        <w:lang w:val="en-US"/>
      </w:rPr>
      <w:t xml:space="preserve"> UIT-R  BT.</w:t>
    </w:r>
    <w:r>
      <w:rPr>
        <w:b/>
        <w:bCs/>
        <w:lang w:val="en-US"/>
      </w:rPr>
      <w:t>2144-0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FFE0" w14:textId="71E51DB7" w:rsidR="00CE09EF" w:rsidRDefault="00CE09EF" w:rsidP="00CE09EF">
    <w:pPr>
      <w:pStyle w:val="Header"/>
      <w:tabs>
        <w:tab w:val="clear" w:pos="4848"/>
        <w:tab w:val="clear" w:pos="9696"/>
        <w:tab w:val="center" w:pos="7088"/>
        <w:tab w:val="right" w:pos="14034"/>
      </w:tabs>
    </w:pPr>
    <w:r>
      <w:tab/>
    </w:r>
    <w:r>
      <w:fldChar w:fldCharType="begin"/>
    </w:r>
    <w:r w:rsidRPr="00564BF7">
      <w:rPr>
        <w:lang w:val="en-US"/>
      </w:rPr>
      <w:instrText xml:space="preserve"> DOCPROPERTY "Header" \* MERGEFORMAT </w:instrText>
    </w:r>
    <w:r>
      <w:fldChar w:fldCharType="separate"/>
    </w:r>
    <w:r w:rsidR="00F232F0" w:rsidRPr="00F232F0">
      <w:rPr>
        <w:b/>
        <w:bCs/>
        <w:lang w:val="en-US"/>
      </w:rPr>
      <w:t xml:space="preserve">Rec. </w:t>
    </w:r>
    <w:r>
      <w:rPr>
        <w:b/>
        <w:bCs/>
        <w:lang w:val="fr-CH"/>
      </w:rPr>
      <w:fldChar w:fldCharType="end"/>
    </w:r>
    <w:r w:rsidRPr="00564BF7">
      <w:rPr>
        <w:b/>
        <w:bCs/>
        <w:lang w:val="en-US"/>
      </w:rPr>
      <w:t xml:space="preserve"> UIT-R  BT.</w:t>
    </w:r>
    <w:r>
      <w:rPr>
        <w:b/>
        <w:bCs/>
        <w:lang w:val="en-US"/>
      </w:rPr>
      <w:t>2144-0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EAD7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82B6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7C01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663B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E83A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0618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28B2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D677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A8E6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AC51A2"/>
    <w:lvl w:ilvl="0">
      <w:start w:val="1"/>
      <w:numFmt w:val="bullet"/>
      <w:lvlText w:val=""/>
      <w:lvlJc w:val="left"/>
      <w:pPr>
        <w:tabs>
          <w:tab w:val="num" w:pos="360"/>
        </w:tabs>
        <w:ind w:left="360" w:hanging="360"/>
      </w:pPr>
      <w:rPr>
        <w:rFonts w:ascii="Symbol" w:hAnsi="Symbol" w:hint="default"/>
      </w:rPr>
    </w:lvl>
  </w:abstractNum>
  <w:num w:numId="1" w16cid:durableId="790705872">
    <w:abstractNumId w:val="9"/>
  </w:num>
  <w:num w:numId="2" w16cid:durableId="97483445">
    <w:abstractNumId w:val="7"/>
  </w:num>
  <w:num w:numId="3" w16cid:durableId="1608737158">
    <w:abstractNumId w:val="6"/>
  </w:num>
  <w:num w:numId="4" w16cid:durableId="1632321920">
    <w:abstractNumId w:val="5"/>
  </w:num>
  <w:num w:numId="5" w16cid:durableId="282657831">
    <w:abstractNumId w:val="4"/>
  </w:num>
  <w:num w:numId="6" w16cid:durableId="243538054">
    <w:abstractNumId w:val="8"/>
  </w:num>
  <w:num w:numId="7" w16cid:durableId="1660110062">
    <w:abstractNumId w:val="3"/>
  </w:num>
  <w:num w:numId="8" w16cid:durableId="1746105510">
    <w:abstractNumId w:val="2"/>
  </w:num>
  <w:num w:numId="9" w16cid:durableId="470366895">
    <w:abstractNumId w:val="1"/>
  </w:num>
  <w:num w:numId="10" w16cid:durableId="475340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2A"/>
    <w:rsid w:val="00020355"/>
    <w:rsid w:val="000206BC"/>
    <w:rsid w:val="000314AE"/>
    <w:rsid w:val="00050594"/>
    <w:rsid w:val="00064298"/>
    <w:rsid w:val="00065F29"/>
    <w:rsid w:val="000874B2"/>
    <w:rsid w:val="000B7728"/>
    <w:rsid w:val="000C21CA"/>
    <w:rsid w:val="000F672F"/>
    <w:rsid w:val="00133F7C"/>
    <w:rsid w:val="0015296C"/>
    <w:rsid w:val="00161316"/>
    <w:rsid w:val="001628EF"/>
    <w:rsid w:val="001A34A9"/>
    <w:rsid w:val="001A5C5A"/>
    <w:rsid w:val="001B033C"/>
    <w:rsid w:val="001B24C0"/>
    <w:rsid w:val="00206EE7"/>
    <w:rsid w:val="002100BB"/>
    <w:rsid w:val="002107CA"/>
    <w:rsid w:val="00217EBF"/>
    <w:rsid w:val="00223547"/>
    <w:rsid w:val="002419D9"/>
    <w:rsid w:val="00242AEE"/>
    <w:rsid w:val="0025427C"/>
    <w:rsid w:val="00256590"/>
    <w:rsid w:val="002A56B8"/>
    <w:rsid w:val="002B60D2"/>
    <w:rsid w:val="002C34FA"/>
    <w:rsid w:val="002D76C4"/>
    <w:rsid w:val="002F1FCA"/>
    <w:rsid w:val="0030684F"/>
    <w:rsid w:val="00320000"/>
    <w:rsid w:val="00341768"/>
    <w:rsid w:val="0034564E"/>
    <w:rsid w:val="00366634"/>
    <w:rsid w:val="00372C19"/>
    <w:rsid w:val="00391045"/>
    <w:rsid w:val="003A2F71"/>
    <w:rsid w:val="003A57E7"/>
    <w:rsid w:val="003E5F99"/>
    <w:rsid w:val="003E725B"/>
    <w:rsid w:val="003E771D"/>
    <w:rsid w:val="003F0818"/>
    <w:rsid w:val="003F7E08"/>
    <w:rsid w:val="0040348B"/>
    <w:rsid w:val="00424DE1"/>
    <w:rsid w:val="00474BF3"/>
    <w:rsid w:val="004D2A49"/>
    <w:rsid w:val="004D6DDE"/>
    <w:rsid w:val="0050078E"/>
    <w:rsid w:val="0050094E"/>
    <w:rsid w:val="0052529D"/>
    <w:rsid w:val="005429C6"/>
    <w:rsid w:val="005513B9"/>
    <w:rsid w:val="00560EDC"/>
    <w:rsid w:val="00560F20"/>
    <w:rsid w:val="00561DB4"/>
    <w:rsid w:val="00564BF7"/>
    <w:rsid w:val="005879A0"/>
    <w:rsid w:val="0059470E"/>
    <w:rsid w:val="005A1F64"/>
    <w:rsid w:val="005A4A59"/>
    <w:rsid w:val="005B1994"/>
    <w:rsid w:val="005B20C7"/>
    <w:rsid w:val="005B3106"/>
    <w:rsid w:val="005D4CDB"/>
    <w:rsid w:val="005F1FF9"/>
    <w:rsid w:val="005F3B14"/>
    <w:rsid w:val="006039B8"/>
    <w:rsid w:val="00607D68"/>
    <w:rsid w:val="0061200B"/>
    <w:rsid w:val="00657D00"/>
    <w:rsid w:val="00680F2B"/>
    <w:rsid w:val="00684A34"/>
    <w:rsid w:val="00696F7F"/>
    <w:rsid w:val="006A0BF2"/>
    <w:rsid w:val="006A5E4E"/>
    <w:rsid w:val="006C3A91"/>
    <w:rsid w:val="006D2640"/>
    <w:rsid w:val="006E3081"/>
    <w:rsid w:val="0071311A"/>
    <w:rsid w:val="00735757"/>
    <w:rsid w:val="007468DA"/>
    <w:rsid w:val="00750CE9"/>
    <w:rsid w:val="00763E67"/>
    <w:rsid w:val="007A150D"/>
    <w:rsid w:val="007A46A1"/>
    <w:rsid w:val="007B305F"/>
    <w:rsid w:val="007F43CB"/>
    <w:rsid w:val="0080052A"/>
    <w:rsid w:val="008125C1"/>
    <w:rsid w:val="00864FA0"/>
    <w:rsid w:val="0088681C"/>
    <w:rsid w:val="00893422"/>
    <w:rsid w:val="00897AB5"/>
    <w:rsid w:val="008A2CCE"/>
    <w:rsid w:val="008C1E2C"/>
    <w:rsid w:val="008C536E"/>
    <w:rsid w:val="008C6215"/>
    <w:rsid w:val="008E093E"/>
    <w:rsid w:val="008F5CC8"/>
    <w:rsid w:val="00902583"/>
    <w:rsid w:val="009062C4"/>
    <w:rsid w:val="0091764C"/>
    <w:rsid w:val="00955101"/>
    <w:rsid w:val="0095533B"/>
    <w:rsid w:val="00966F89"/>
    <w:rsid w:val="009813FA"/>
    <w:rsid w:val="00992F27"/>
    <w:rsid w:val="0099410D"/>
    <w:rsid w:val="00997DB8"/>
    <w:rsid w:val="009C5BF0"/>
    <w:rsid w:val="009E00A8"/>
    <w:rsid w:val="009E1DCF"/>
    <w:rsid w:val="009E368D"/>
    <w:rsid w:val="00A015FF"/>
    <w:rsid w:val="00A20C04"/>
    <w:rsid w:val="00A4510A"/>
    <w:rsid w:val="00A47D72"/>
    <w:rsid w:val="00A6617B"/>
    <w:rsid w:val="00A90691"/>
    <w:rsid w:val="00A90800"/>
    <w:rsid w:val="00AB0DC8"/>
    <w:rsid w:val="00AB419C"/>
    <w:rsid w:val="00AB4B77"/>
    <w:rsid w:val="00B24DA5"/>
    <w:rsid w:val="00B44E24"/>
    <w:rsid w:val="00B50B95"/>
    <w:rsid w:val="00B64889"/>
    <w:rsid w:val="00BA1F66"/>
    <w:rsid w:val="00BF21E5"/>
    <w:rsid w:val="00C039ED"/>
    <w:rsid w:val="00C32FC1"/>
    <w:rsid w:val="00C34F53"/>
    <w:rsid w:val="00C733AA"/>
    <w:rsid w:val="00C84DEB"/>
    <w:rsid w:val="00CA04D1"/>
    <w:rsid w:val="00CA3900"/>
    <w:rsid w:val="00CA4C3B"/>
    <w:rsid w:val="00CC7CA0"/>
    <w:rsid w:val="00CD2252"/>
    <w:rsid w:val="00CE09EF"/>
    <w:rsid w:val="00CE21F4"/>
    <w:rsid w:val="00CF4D8A"/>
    <w:rsid w:val="00D34EA2"/>
    <w:rsid w:val="00D456D2"/>
    <w:rsid w:val="00DB0DE0"/>
    <w:rsid w:val="00DB2516"/>
    <w:rsid w:val="00DD5DF6"/>
    <w:rsid w:val="00DF4176"/>
    <w:rsid w:val="00DF5F13"/>
    <w:rsid w:val="00E01845"/>
    <w:rsid w:val="00E116A1"/>
    <w:rsid w:val="00E12E29"/>
    <w:rsid w:val="00E223B3"/>
    <w:rsid w:val="00E240E3"/>
    <w:rsid w:val="00E261D6"/>
    <w:rsid w:val="00E345CB"/>
    <w:rsid w:val="00E423FA"/>
    <w:rsid w:val="00E47172"/>
    <w:rsid w:val="00E607DB"/>
    <w:rsid w:val="00EB19FA"/>
    <w:rsid w:val="00ED7663"/>
    <w:rsid w:val="00EF2A02"/>
    <w:rsid w:val="00EF66D5"/>
    <w:rsid w:val="00F05148"/>
    <w:rsid w:val="00F232F0"/>
    <w:rsid w:val="00F25565"/>
    <w:rsid w:val="00F315D3"/>
    <w:rsid w:val="00F476C1"/>
    <w:rsid w:val="00F509B1"/>
    <w:rsid w:val="00F64A59"/>
    <w:rsid w:val="00F674A5"/>
    <w:rsid w:val="00F70FDA"/>
    <w:rsid w:val="00F962AB"/>
    <w:rsid w:val="00FB2E00"/>
    <w:rsid w:val="00FB5B31"/>
    <w:rsid w:val="00FC6A20"/>
    <w:rsid w:val="00FC7A9A"/>
    <w:rsid w:val="00FE15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BAF61"/>
  <w15:docId w15:val="{C4330E35-6D01-4519-9985-08C0B0B9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0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366634"/>
    <w:pPr>
      <w:tabs>
        <w:tab w:val="clear" w:pos="794"/>
        <w:tab w:val="left" w:pos="851"/>
      </w:tabs>
      <w:spacing w:before="120"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BF21E5"/>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aliases w:val="S Hyperlink"/>
    <w:basedOn w:val="DefaultParagraphFont"/>
    <w:uiPriority w:val="99"/>
    <w:qFormat/>
    <w:rsid w:val="0080052A"/>
    <w:rPr>
      <w:color w:val="0000FF"/>
      <w:u w:val="single"/>
    </w:rPr>
  </w:style>
  <w:style w:type="paragraph" w:customStyle="1" w:styleId="FigureNotitle">
    <w:name w:val="Figure_No &amp; title"/>
    <w:basedOn w:val="Normal"/>
    <w:next w:val="Normalaftertitle"/>
    <w:rsid w:val="000B7728"/>
    <w:pPr>
      <w:keepLines/>
      <w:spacing w:before="240" w:after="120"/>
      <w:jc w:val="center"/>
    </w:pPr>
    <w:rPr>
      <w:b/>
    </w:rPr>
  </w:style>
  <w:style w:type="paragraph" w:customStyle="1" w:styleId="TabletitleBR">
    <w:name w:val="Table_title_BR"/>
    <w:basedOn w:val="Normal"/>
    <w:next w:val="Tablehead"/>
    <w:rsid w:val="000B7728"/>
    <w:pPr>
      <w:keepNext/>
      <w:keepLines/>
      <w:spacing w:before="0" w:after="120"/>
      <w:jc w:val="center"/>
    </w:pPr>
    <w:rPr>
      <w:b/>
    </w:rPr>
  </w:style>
  <w:style w:type="paragraph" w:customStyle="1" w:styleId="AnnexNotitle0">
    <w:name w:val="Annex_No &amp; title"/>
    <w:basedOn w:val="Normal"/>
    <w:next w:val="Normalaftertitle"/>
    <w:rsid w:val="000B7728"/>
    <w:pPr>
      <w:keepNext/>
      <w:keepLines/>
      <w:spacing w:before="480"/>
      <w:jc w:val="center"/>
    </w:pPr>
    <w:rPr>
      <w:b/>
      <w:sz w:val="28"/>
    </w:rPr>
  </w:style>
  <w:style w:type="paragraph" w:customStyle="1" w:styleId="AppendixNotitle0">
    <w:name w:val="Appendix_No &amp; title"/>
    <w:basedOn w:val="AnnexNotitle0"/>
    <w:next w:val="Normalaftertitle"/>
    <w:rsid w:val="000B7728"/>
  </w:style>
  <w:style w:type="paragraph" w:customStyle="1" w:styleId="FooterQP">
    <w:name w:val="Footer_QP"/>
    <w:basedOn w:val="Normal"/>
    <w:rsid w:val="000B772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0B7728"/>
    <w:pPr>
      <w:spacing w:before="480"/>
      <w:jc w:val="center"/>
    </w:pPr>
    <w:rPr>
      <w:b/>
      <w:sz w:val="28"/>
    </w:rPr>
  </w:style>
  <w:style w:type="character" w:styleId="EndnoteReference">
    <w:name w:val="endnote reference"/>
    <w:basedOn w:val="DefaultParagraphFont"/>
    <w:rsid w:val="000B7728"/>
    <w:rPr>
      <w:vertAlign w:val="superscript"/>
    </w:rPr>
  </w:style>
  <w:style w:type="paragraph" w:customStyle="1" w:styleId="Formal">
    <w:name w:val="Formal"/>
    <w:basedOn w:val="ASN1"/>
    <w:rsid w:val="000B7728"/>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0B7728"/>
    <w:pPr>
      <w:keepNext/>
      <w:keepLines/>
      <w:spacing w:before="480"/>
      <w:jc w:val="center"/>
    </w:pPr>
    <w:rPr>
      <w:caps/>
      <w:sz w:val="28"/>
    </w:rPr>
  </w:style>
  <w:style w:type="paragraph" w:customStyle="1" w:styleId="QuestionNoBR">
    <w:name w:val="Question_No_BR"/>
    <w:basedOn w:val="RecNoBR"/>
    <w:next w:val="Questiontitle"/>
    <w:rsid w:val="000B7728"/>
  </w:style>
  <w:style w:type="paragraph" w:customStyle="1" w:styleId="Figurewithouttitle">
    <w:name w:val="Figure_without_title"/>
    <w:basedOn w:val="Normal"/>
    <w:next w:val="Normalaftertitle"/>
    <w:rsid w:val="000B7728"/>
    <w:pPr>
      <w:keepLines/>
      <w:spacing w:before="240" w:after="120"/>
      <w:jc w:val="center"/>
    </w:pPr>
  </w:style>
  <w:style w:type="paragraph" w:customStyle="1" w:styleId="FirstFooter">
    <w:name w:val="FirstFooter"/>
    <w:basedOn w:val="Footer"/>
    <w:rsid w:val="000B7728"/>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0B7728"/>
  </w:style>
  <w:style w:type="paragraph" w:customStyle="1" w:styleId="ResNoBR">
    <w:name w:val="Res_No_BR"/>
    <w:basedOn w:val="RecNoBR"/>
    <w:next w:val="Restitle"/>
    <w:rsid w:val="000B7728"/>
  </w:style>
  <w:style w:type="paragraph" w:customStyle="1" w:styleId="Section1">
    <w:name w:val="Section_1"/>
    <w:basedOn w:val="Normal"/>
    <w:next w:val="Normal"/>
    <w:rsid w:val="000B772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B7728"/>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0B7728"/>
    <w:pPr>
      <w:spacing w:before="840" w:after="200"/>
      <w:jc w:val="center"/>
    </w:pPr>
    <w:rPr>
      <w:b/>
      <w:sz w:val="28"/>
    </w:rPr>
  </w:style>
  <w:style w:type="paragraph" w:customStyle="1" w:styleId="SpecialFooter">
    <w:name w:val="Special Footer"/>
    <w:basedOn w:val="Footer"/>
    <w:rsid w:val="000B7728"/>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0B7728"/>
    <w:rPr>
      <w:sz w:val="22"/>
      <w:lang w:val="fr-FR" w:eastAsia="en-US"/>
    </w:rPr>
  </w:style>
  <w:style w:type="paragraph" w:customStyle="1" w:styleId="TableNotitle">
    <w:name w:val="Table_No &amp; title"/>
    <w:basedOn w:val="Normal"/>
    <w:next w:val="Tablehead"/>
    <w:rsid w:val="000B7728"/>
    <w:pPr>
      <w:keepNext/>
      <w:keepLines/>
      <w:spacing w:before="360" w:after="120"/>
      <w:jc w:val="center"/>
    </w:pPr>
    <w:rPr>
      <w:b/>
    </w:rPr>
  </w:style>
  <w:style w:type="paragraph" w:customStyle="1" w:styleId="Tableref">
    <w:name w:val="Table_ref"/>
    <w:basedOn w:val="Normal"/>
    <w:next w:val="TabletitleBR"/>
    <w:rsid w:val="000B7728"/>
    <w:pPr>
      <w:keepNext/>
      <w:spacing w:before="0" w:after="120"/>
      <w:jc w:val="center"/>
    </w:pPr>
  </w:style>
  <w:style w:type="paragraph" w:customStyle="1" w:styleId="Title1">
    <w:name w:val="Title 1"/>
    <w:basedOn w:val="Source"/>
    <w:next w:val="Title2"/>
    <w:rsid w:val="000B772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B7728"/>
  </w:style>
  <w:style w:type="paragraph" w:customStyle="1" w:styleId="Title3">
    <w:name w:val="Title 3"/>
    <w:basedOn w:val="Title2"/>
    <w:next w:val="Title4"/>
    <w:rsid w:val="000B7728"/>
    <w:rPr>
      <w:caps w:val="0"/>
    </w:rPr>
  </w:style>
  <w:style w:type="paragraph" w:customStyle="1" w:styleId="Title4">
    <w:name w:val="Title 4"/>
    <w:basedOn w:val="Title3"/>
    <w:next w:val="Heading1"/>
    <w:rsid w:val="000B7728"/>
    <w:rPr>
      <w:b/>
    </w:rPr>
  </w:style>
  <w:style w:type="character" w:customStyle="1" w:styleId="Artref">
    <w:name w:val="Art_ref"/>
    <w:basedOn w:val="DefaultParagraphFont"/>
    <w:rsid w:val="000B7728"/>
  </w:style>
  <w:style w:type="character" w:customStyle="1" w:styleId="Appdef">
    <w:name w:val="App_def"/>
    <w:basedOn w:val="DefaultParagraphFont"/>
    <w:rsid w:val="000B7728"/>
    <w:rPr>
      <w:rFonts w:ascii="Times New Roman" w:hAnsi="Times New Roman"/>
      <w:b/>
    </w:rPr>
  </w:style>
  <w:style w:type="character" w:customStyle="1" w:styleId="Appref">
    <w:name w:val="App_ref"/>
    <w:basedOn w:val="DefaultParagraphFont"/>
    <w:rsid w:val="000B7728"/>
  </w:style>
  <w:style w:type="character" w:customStyle="1" w:styleId="Artdef">
    <w:name w:val="Art_def"/>
    <w:basedOn w:val="DefaultParagraphFont"/>
    <w:rsid w:val="000B7728"/>
    <w:rPr>
      <w:rFonts w:ascii="Times New Roman" w:hAnsi="Times New Roman"/>
      <w:b/>
    </w:rPr>
  </w:style>
  <w:style w:type="character" w:customStyle="1" w:styleId="Recdef">
    <w:name w:val="Rec_def"/>
    <w:basedOn w:val="DefaultParagraphFont"/>
    <w:rsid w:val="000B7728"/>
    <w:rPr>
      <w:b/>
    </w:rPr>
  </w:style>
  <w:style w:type="character" w:customStyle="1" w:styleId="Resdef">
    <w:name w:val="Res_def"/>
    <w:basedOn w:val="DefaultParagraphFont"/>
    <w:rsid w:val="000B7728"/>
    <w:rPr>
      <w:rFonts w:ascii="Times New Roman" w:hAnsi="Times New Roman"/>
      <w:b/>
    </w:rPr>
  </w:style>
  <w:style w:type="character" w:customStyle="1" w:styleId="Tablefreq">
    <w:name w:val="Table_freq"/>
    <w:basedOn w:val="DefaultParagraphFont"/>
    <w:rsid w:val="000B7728"/>
    <w:rPr>
      <w:b/>
      <w:color w:val="auto"/>
    </w:rPr>
  </w:style>
  <w:style w:type="paragraph" w:customStyle="1" w:styleId="TableNoBR">
    <w:name w:val="Table_No_BR"/>
    <w:basedOn w:val="Normal"/>
    <w:next w:val="TabletitleBR"/>
    <w:rsid w:val="000B7728"/>
    <w:pPr>
      <w:keepNext/>
      <w:spacing w:before="560" w:after="120"/>
      <w:jc w:val="center"/>
    </w:pPr>
    <w:rPr>
      <w:caps/>
    </w:rPr>
  </w:style>
  <w:style w:type="paragraph" w:customStyle="1" w:styleId="FiguretitleBR">
    <w:name w:val="Figure_title_BR"/>
    <w:basedOn w:val="TabletitleBR"/>
    <w:next w:val="Figurewithouttitle"/>
    <w:rsid w:val="000B7728"/>
    <w:pPr>
      <w:keepNext w:val="0"/>
      <w:spacing w:after="480"/>
    </w:pPr>
  </w:style>
  <w:style w:type="paragraph" w:customStyle="1" w:styleId="FigureNoBR">
    <w:name w:val="Figure_No_BR"/>
    <w:basedOn w:val="Normal"/>
    <w:next w:val="FiguretitleBR"/>
    <w:rsid w:val="000B7728"/>
    <w:pPr>
      <w:keepNext/>
      <w:keepLines/>
      <w:spacing w:before="480" w:after="120"/>
      <w:jc w:val="center"/>
    </w:pPr>
    <w:rPr>
      <w:caps/>
    </w:rPr>
  </w:style>
  <w:style w:type="character" w:customStyle="1" w:styleId="BalloonTextChar">
    <w:name w:val="Balloon Text Char"/>
    <w:basedOn w:val="DefaultParagraphFont"/>
    <w:link w:val="BalloonText"/>
    <w:rsid w:val="000B7728"/>
    <w:rPr>
      <w:rFonts w:ascii="Tahoma" w:eastAsia="MS Mincho" w:hAnsi="Tahoma" w:cs="Tahoma"/>
      <w:sz w:val="16"/>
      <w:szCs w:val="16"/>
      <w:lang w:val="en-GB" w:eastAsia="en-US"/>
    </w:rPr>
  </w:style>
  <w:style w:type="paragraph" w:styleId="BalloonText">
    <w:name w:val="Balloon Text"/>
    <w:basedOn w:val="Normal"/>
    <w:link w:val="BalloonTextChar"/>
    <w:rsid w:val="000B7728"/>
    <w:pPr>
      <w:jc w:val="left"/>
    </w:pPr>
    <w:rPr>
      <w:rFonts w:ascii="Tahoma" w:eastAsia="MS Mincho" w:hAnsi="Tahoma" w:cs="Tahoma"/>
      <w:sz w:val="16"/>
      <w:szCs w:val="16"/>
      <w:lang w:val="en-GB"/>
    </w:rPr>
  </w:style>
  <w:style w:type="character" w:customStyle="1" w:styleId="BalloonTextChar1">
    <w:name w:val="Balloon Text Char1"/>
    <w:basedOn w:val="DefaultParagraphFont"/>
    <w:rsid w:val="000B7728"/>
    <w:rPr>
      <w:rFonts w:ascii="Segoe UI" w:hAnsi="Segoe UI" w:cs="Segoe UI"/>
      <w:sz w:val="18"/>
      <w:szCs w:val="18"/>
      <w:lang w:val="fr-FR" w:eastAsia="en-US"/>
    </w:rPr>
  </w:style>
  <w:style w:type="character" w:customStyle="1" w:styleId="HeaderChar">
    <w:name w:val="Header Char"/>
    <w:aliases w:val="encabezado Char"/>
    <w:basedOn w:val="DefaultParagraphFont"/>
    <w:link w:val="Header"/>
    <w:uiPriority w:val="99"/>
    <w:rsid w:val="000B7728"/>
    <w:rPr>
      <w:sz w:val="24"/>
      <w:lang w:val="fr-FR" w:eastAsia="en-US"/>
    </w:rPr>
  </w:style>
  <w:style w:type="character" w:customStyle="1" w:styleId="TabletextChar">
    <w:name w:val="Table_text Char"/>
    <w:basedOn w:val="DefaultParagraphFont"/>
    <w:link w:val="Tabletext"/>
    <w:qFormat/>
    <w:locked/>
    <w:rsid w:val="000B7728"/>
    <w:rPr>
      <w:sz w:val="22"/>
      <w:lang w:val="fr-FR" w:eastAsia="en-US"/>
    </w:rPr>
  </w:style>
  <w:style w:type="character" w:customStyle="1" w:styleId="TabletitleChar">
    <w:name w:val="Table_title Char"/>
    <w:basedOn w:val="DefaultParagraphFont"/>
    <w:link w:val="Tabletitle"/>
    <w:rsid w:val="000B7728"/>
    <w:rPr>
      <w:b/>
      <w:sz w:val="24"/>
      <w:lang w:val="fr-FR" w:eastAsia="en-US"/>
    </w:rPr>
  </w:style>
  <w:style w:type="character" w:customStyle="1" w:styleId="TableNoChar">
    <w:name w:val="Table_No Char"/>
    <w:basedOn w:val="DefaultParagraphFont"/>
    <w:link w:val="TableNo"/>
    <w:rsid w:val="000B7728"/>
    <w:rPr>
      <w:sz w:val="24"/>
      <w:lang w:val="fr-FR" w:eastAsia="en-US"/>
    </w:rPr>
  </w:style>
  <w:style w:type="paragraph" w:customStyle="1" w:styleId="Reasons">
    <w:name w:val="Reasons"/>
    <w:basedOn w:val="Normal"/>
    <w:qFormat/>
    <w:rsid w:val="000B772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0B7728"/>
    <w:rPr>
      <w:sz w:val="16"/>
      <w:szCs w:val="16"/>
    </w:rPr>
  </w:style>
  <w:style w:type="paragraph" w:styleId="CommentText">
    <w:name w:val="annotation text"/>
    <w:basedOn w:val="Normal"/>
    <w:link w:val="CommentTextChar"/>
    <w:semiHidden/>
    <w:unhideWhenUsed/>
    <w:rsid w:val="000B7728"/>
    <w:rPr>
      <w:sz w:val="20"/>
    </w:rPr>
  </w:style>
  <w:style w:type="character" w:customStyle="1" w:styleId="CommentTextChar">
    <w:name w:val="Comment Text Char"/>
    <w:basedOn w:val="DefaultParagraphFont"/>
    <w:link w:val="CommentText"/>
    <w:semiHidden/>
    <w:rsid w:val="000B7728"/>
    <w:rPr>
      <w:lang w:val="fr-FR" w:eastAsia="en-US"/>
    </w:rPr>
  </w:style>
  <w:style w:type="paragraph" w:styleId="CommentSubject">
    <w:name w:val="annotation subject"/>
    <w:basedOn w:val="CommentText"/>
    <w:next w:val="CommentText"/>
    <w:link w:val="CommentSubjectChar"/>
    <w:semiHidden/>
    <w:unhideWhenUsed/>
    <w:rsid w:val="000B7728"/>
    <w:rPr>
      <w:b/>
      <w:bCs/>
    </w:rPr>
  </w:style>
  <w:style w:type="character" w:customStyle="1" w:styleId="CommentSubjectChar">
    <w:name w:val="Comment Subject Char"/>
    <w:basedOn w:val="CommentTextChar"/>
    <w:link w:val="CommentSubject"/>
    <w:semiHidden/>
    <w:rsid w:val="000B7728"/>
    <w:rPr>
      <w:b/>
      <w:bCs/>
      <w:lang w:val="fr-FR" w:eastAsia="en-US"/>
    </w:rPr>
  </w:style>
  <w:style w:type="paragraph" w:styleId="Revision">
    <w:name w:val="Revision"/>
    <w:hidden/>
    <w:uiPriority w:val="99"/>
    <w:semiHidden/>
    <w:rsid w:val="000B7728"/>
    <w:rPr>
      <w:sz w:val="24"/>
      <w:lang w:val="fr-FR" w:eastAsia="en-US"/>
    </w:rPr>
  </w:style>
  <w:style w:type="character" w:customStyle="1" w:styleId="NormalaftertitleChar">
    <w:name w:val="Normal_after_title Char"/>
    <w:basedOn w:val="DefaultParagraphFont"/>
    <w:link w:val="Normalaftertitle"/>
    <w:rsid w:val="008C1E2C"/>
    <w:rPr>
      <w:sz w:val="24"/>
      <w:lang w:val="fr-FR" w:eastAsia="en-US"/>
    </w:rPr>
  </w:style>
  <w:style w:type="character" w:customStyle="1" w:styleId="CallChar">
    <w:name w:val="Call Char"/>
    <w:link w:val="Call"/>
    <w:rsid w:val="00564BF7"/>
    <w:rPr>
      <w:i/>
      <w:sz w:val="24"/>
      <w:lang w:val="fr-FR" w:eastAsia="en-US"/>
    </w:rPr>
  </w:style>
  <w:style w:type="table" w:styleId="TableGrid">
    <w:name w:val="Table Grid"/>
    <w:aliases w:val="DSW Content Table"/>
    <w:basedOn w:val="TableNormal"/>
    <w:qFormat/>
    <w:rsid w:val="00A47D72"/>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039B8"/>
    <w:pPr>
      <w:ind w:left="720"/>
      <w:contextualSpacing/>
    </w:pPr>
  </w:style>
  <w:style w:type="paragraph" w:customStyle="1" w:styleId="StyleAnnexNoTitleLinespacingsingle">
    <w:name w:val="Style Annex_NoTitle + Line spacing:  single"/>
    <w:basedOn w:val="AnnexNoTitle"/>
    <w:rsid w:val="006D2640"/>
    <w:rPr>
      <w:bCs/>
    </w:rPr>
  </w:style>
  <w:style w:type="character" w:customStyle="1" w:styleId="HeadingbChar">
    <w:name w:val="Heading_b Char"/>
    <w:basedOn w:val="DefaultParagraphFont"/>
    <w:link w:val="Headingb"/>
    <w:uiPriority w:val="99"/>
    <w:locked/>
    <w:rsid w:val="0050078E"/>
    <w:rPr>
      <w:b/>
      <w:sz w:val="24"/>
      <w:lang w:val="fr-FR" w:eastAsia="en-US"/>
    </w:rPr>
  </w:style>
  <w:style w:type="character" w:customStyle="1" w:styleId="enumlev1Char">
    <w:name w:val="enumlev1 Char"/>
    <w:basedOn w:val="DefaultParagraphFont"/>
    <w:link w:val="enumlev1"/>
    <w:locked/>
    <w:rsid w:val="00A90691"/>
    <w:rPr>
      <w:sz w:val="24"/>
      <w:lang w:val="fr-FR" w:eastAsia="en-US"/>
    </w:rPr>
  </w:style>
  <w:style w:type="character" w:customStyle="1" w:styleId="FiguretitleChar">
    <w:name w:val="Figure_title Char"/>
    <w:basedOn w:val="DefaultParagraphFont"/>
    <w:link w:val="Figuretitle"/>
    <w:locked/>
    <w:rsid w:val="00A90691"/>
    <w:rPr>
      <w:rFonts w:ascii="Times New Roman Bold" w:hAnsi="Times New Roman Bold"/>
      <w:b/>
      <w:sz w:val="18"/>
      <w:lang w:val="fr-FR" w:eastAsia="en-US"/>
    </w:rPr>
  </w:style>
  <w:style w:type="character" w:customStyle="1" w:styleId="FigureNoChar">
    <w:name w:val="Figure_No Char"/>
    <w:basedOn w:val="DefaultParagraphFont"/>
    <w:link w:val="FigureNo"/>
    <w:rsid w:val="00A90691"/>
    <w:rPr>
      <w:caps/>
      <w:sz w:val="18"/>
      <w:lang w:val="fr-FR" w:eastAsia="en-US"/>
    </w:rPr>
  </w:style>
  <w:style w:type="character" w:customStyle="1" w:styleId="TableheadChar">
    <w:name w:val="Table_head Char"/>
    <w:link w:val="Tablehead"/>
    <w:locked/>
    <w:rsid w:val="007A46A1"/>
    <w:rPr>
      <w:b/>
      <w:sz w:val="22"/>
      <w:lang w:val="fr-FR" w:eastAsia="en-US"/>
    </w:rPr>
  </w:style>
  <w:style w:type="character" w:styleId="FollowedHyperlink">
    <w:name w:val="FollowedHyperlink"/>
    <w:basedOn w:val="DefaultParagraphFont"/>
    <w:semiHidden/>
    <w:unhideWhenUsed/>
    <w:rsid w:val="002A56B8"/>
    <w:rPr>
      <w:color w:val="800080" w:themeColor="followedHyperlink"/>
      <w:u w:val="single"/>
    </w:rPr>
  </w:style>
  <w:style w:type="character" w:styleId="UnresolvedMention">
    <w:name w:val="Unresolved Mention"/>
    <w:basedOn w:val="DefaultParagraphFont"/>
    <w:uiPriority w:val="99"/>
    <w:semiHidden/>
    <w:unhideWhenUsed/>
    <w:rsid w:val="00A90800"/>
    <w:rPr>
      <w:color w:val="605E5C"/>
      <w:shd w:val="clear" w:color="auto" w:fill="E1DFDD"/>
    </w:rPr>
  </w:style>
  <w:style w:type="paragraph" w:customStyle="1" w:styleId="TabletextCentered">
    <w:name w:val="Table_text + Centered"/>
    <w:basedOn w:val="Tabletext"/>
    <w:rsid w:val="00992F27"/>
    <w:pPr>
      <w:jc w:val="center"/>
    </w:pPr>
    <w:rPr>
      <w:rFonts w:ascii="CG Times" w:hAnsi="CG Times"/>
    </w:rPr>
  </w:style>
  <w:style w:type="paragraph" w:customStyle="1" w:styleId="TabletextLeft">
    <w:name w:val="Table_text + Left"/>
    <w:basedOn w:val="Tabletext"/>
    <w:rsid w:val="00992F27"/>
    <w:pPr>
      <w:jc w:val="left"/>
    </w:pPr>
    <w:rPr>
      <w:rFonts w:ascii="CG Times" w:hAnsi="CG 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BT/recommendation.asp?lang=fr&amp;parent=R-REC-BT.1877" TargetMode="External"/><Relationship Id="rId18" Type="http://schemas.openxmlformats.org/officeDocument/2006/relationships/hyperlink" Target="https://www.itu.int/rec/R-REC-BT/recommendation.asp?lang=fr&amp;parent=R-REC-BT.1877"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pub/R-RES-R.71/fr"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itu.int/pub/R-RES-R.70/fr"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itu.int/pub/R-REP-BT/publications.aspx?lang=fr&amp;parent=R-REP-BT.2485" TargetMode="External"/><Relationship Id="rId23" Type="http://schemas.openxmlformats.org/officeDocument/2006/relationships/image" Target="media/image6.png"/><Relationship Id="rId28" Type="http://schemas.openxmlformats.org/officeDocument/2006/relationships/header" Target="header7.xml"/><Relationship Id="rId10" Type="http://schemas.openxmlformats.org/officeDocument/2006/relationships/hyperlink" Target="http://www.itu.int/publ/R-REC/fr"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www.itu.int/pub/R-REP-BT/publications.aspx?lang=fr&amp;parent=R-REP-BT.2400" TargetMode="Externa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163</TotalTime>
  <Pages>18</Pages>
  <Words>5764</Words>
  <Characters>34335</Characters>
  <Application>Microsoft Office Word</Application>
  <DocSecurity>0</DocSecurity>
  <Lines>817</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BT.2144-0 - Lignes directrices pour l'introduction de nouveaux systèmes et de nouvelles technologies et applications DTTB dans le service de radiodiffusion</vt:lpstr>
      <vt:lpstr>RECOMMANDATION  UIT-R  BT.2137-0 - Technologies applicables aux interfaces utilisant le protocole Internet  pour la production de programmes</vt:lpstr>
    </vt:vector>
  </TitlesOfParts>
  <Manager/>
  <Company>ITU</Company>
  <LinksUpToDate>false</LinksUpToDate>
  <CharactersWithSpaces>40025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BT.2144-0 - Lignes directrices pour l'introduction de nouveaux systèmes et de nouvelles technologies et applications DTTB dans le service de radiodiffusion</dc:title>
  <dc:subject>Série BT = Service de radiodiffusion (télévision)</dc:subject>
  <dc:creator>Bureau des radiocommunications de l'UIT (BR)</dc:creator>
  <cp:keywords>BT,2144-0</cp:keywords>
  <dc:description>Saez, 23.11.2022, ITU51013874</dc:description>
  <cp:lastModifiedBy>Saez Grau, Ricardo</cp:lastModifiedBy>
  <cp:revision>21</cp:revision>
  <cp:lastPrinted>2022-11-23T13:46:00Z</cp:lastPrinted>
  <dcterms:created xsi:type="dcterms:W3CDTF">2022-11-23T10:54:00Z</dcterms:created>
  <dcterms:modified xsi:type="dcterms:W3CDTF">2022-11-23T14:18:00Z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03 September 2020</vt:lpwstr>
  </property>
</Properties>
</file>