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7CA1FA4" w14:textId="77777777" w:rsidR="0014322C" w:rsidRDefault="0014322C">
      <w:bookmarkStart w:id="0" w:name="Doc_title"/>
    </w:p>
    <w:p w14:paraId="402C8E2D" w14:textId="77777777" w:rsidR="0014322C" w:rsidRDefault="0014322C"/>
    <w:p w14:paraId="085725A6" w14:textId="77777777" w:rsidR="0014322C" w:rsidRDefault="0014322C"/>
    <w:p w14:paraId="124C07DB" w14:textId="77777777" w:rsidR="0014322C" w:rsidRDefault="0014322C"/>
    <w:p w14:paraId="09D61908" w14:textId="77777777" w:rsidR="0014322C" w:rsidRDefault="0014322C"/>
    <w:p w14:paraId="758AEB6B" w14:textId="77777777" w:rsidR="0014322C" w:rsidRDefault="0014322C"/>
    <w:p w14:paraId="6D766BD1" w14:textId="77777777" w:rsidR="0014322C" w:rsidRDefault="0014322C"/>
    <w:p w14:paraId="73132C2E" w14:textId="77777777" w:rsidR="0014322C" w:rsidRDefault="0014322C"/>
    <w:p w14:paraId="39A60FF2" w14:textId="77777777" w:rsidR="0014322C" w:rsidRDefault="0014322C"/>
    <w:p w14:paraId="32BE95A0" w14:textId="77777777" w:rsidR="0014322C" w:rsidRDefault="0014322C"/>
    <w:p w14:paraId="547EE561" w14:textId="77777777" w:rsidR="0014322C" w:rsidRDefault="0014322C"/>
    <w:tbl>
      <w:tblPr>
        <w:tblW w:w="10089" w:type="dxa"/>
        <w:tblLook w:val="01E0" w:firstRow="1" w:lastRow="1" w:firstColumn="1" w:lastColumn="1" w:noHBand="0" w:noVBand="0"/>
      </w:tblPr>
      <w:tblGrid>
        <w:gridCol w:w="10089"/>
      </w:tblGrid>
      <w:tr w:rsidR="0014322C" w:rsidRPr="00A443C2" w14:paraId="103AB09A" w14:textId="77777777">
        <w:tc>
          <w:tcPr>
            <w:tcW w:w="10089" w:type="dxa"/>
          </w:tcPr>
          <w:p w14:paraId="2332944E" w14:textId="77777777" w:rsidR="0014322C" w:rsidRPr="00B033C8" w:rsidRDefault="0014322C" w:rsidP="0014322C">
            <w:pPr>
              <w:spacing w:before="380" w:line="280" w:lineRule="exact"/>
              <w:jc w:val="right"/>
              <w:rPr>
                <w:rFonts w:ascii="Tahoma" w:hAnsi="Tahoma" w:cs="Tahoma"/>
                <w:b/>
                <w:bCs/>
                <w:iCs/>
                <w:color w:val="243285"/>
                <w:sz w:val="32"/>
                <w:szCs w:val="32"/>
                <w:lang w:val="en-US"/>
              </w:rPr>
            </w:pPr>
          </w:p>
          <w:p w14:paraId="6670348C" w14:textId="6AFD8630" w:rsidR="0014322C" w:rsidRDefault="0014322C" w:rsidP="00B14F1B">
            <w:pPr>
              <w:spacing w:before="380" w:line="280" w:lineRule="exact"/>
              <w:jc w:val="right"/>
              <w:rPr>
                <w:rFonts w:ascii="Tahoma" w:hAnsi="Tahoma" w:cs="Tahoma"/>
                <w:b/>
                <w:bCs/>
                <w:iCs/>
                <w:color w:val="243285"/>
                <w:sz w:val="36"/>
                <w:szCs w:val="36"/>
              </w:rPr>
            </w:pPr>
            <w:bookmarkStart w:id="1" w:name="_GoBack"/>
            <w:bookmarkEnd w:id="1"/>
            <w:r w:rsidRPr="00A443C2">
              <w:rPr>
                <w:rFonts w:ascii="Tahoma" w:hAnsi="Tahoma" w:cs="Tahoma"/>
                <w:b/>
                <w:bCs/>
                <w:iCs/>
                <w:color w:val="243285"/>
                <w:sz w:val="36"/>
                <w:szCs w:val="36"/>
              </w:rPr>
              <w:t xml:space="preserve">Recommandation  UIT-R  </w:t>
            </w:r>
            <w:r>
              <w:rPr>
                <w:rFonts w:ascii="Tahoma" w:hAnsi="Tahoma" w:cs="Tahoma"/>
                <w:b/>
                <w:bCs/>
                <w:iCs/>
                <w:color w:val="243285"/>
                <w:sz w:val="36"/>
                <w:szCs w:val="36"/>
              </w:rPr>
              <w:t>BT</w:t>
            </w:r>
            <w:r w:rsidRPr="00A443C2">
              <w:rPr>
                <w:rFonts w:ascii="Tahoma" w:hAnsi="Tahoma" w:cs="Tahoma"/>
                <w:b/>
                <w:bCs/>
                <w:iCs/>
                <w:color w:val="243285"/>
                <w:sz w:val="36"/>
                <w:szCs w:val="36"/>
              </w:rPr>
              <w:t>.</w:t>
            </w:r>
            <w:r w:rsidR="00D6498E" w:rsidRPr="00D6498E">
              <w:rPr>
                <w:rFonts w:ascii="Tahoma" w:hAnsi="Tahoma" w:cs="Tahoma"/>
                <w:b/>
                <w:bCs/>
                <w:iCs/>
                <w:color w:val="243285"/>
                <w:sz w:val="36"/>
                <w:szCs w:val="36"/>
              </w:rPr>
              <w:t>2133-</w:t>
            </w:r>
            <w:r w:rsidR="006A6E68">
              <w:rPr>
                <w:rFonts w:ascii="Tahoma" w:hAnsi="Tahoma" w:cs="Tahoma"/>
                <w:b/>
                <w:bCs/>
                <w:iCs/>
                <w:color w:val="243285"/>
                <w:sz w:val="36"/>
                <w:szCs w:val="36"/>
              </w:rPr>
              <w:t>0</w:t>
            </w:r>
          </w:p>
          <w:p w14:paraId="799CD23F" w14:textId="7B35BA74" w:rsidR="00DA2EA9" w:rsidRPr="00A443C2" w:rsidRDefault="00DA2EA9" w:rsidP="00B14F1B">
            <w:pPr>
              <w:spacing w:before="80" w:line="280" w:lineRule="exact"/>
              <w:jc w:val="right"/>
              <w:rPr>
                <w:rFonts w:ascii="Tahoma" w:hAnsi="Tahoma" w:cs="Tahoma"/>
                <w:b/>
                <w:bCs/>
                <w:iCs/>
                <w:color w:val="243285"/>
                <w:szCs w:val="24"/>
              </w:rPr>
            </w:pPr>
            <w:r>
              <w:rPr>
                <w:rFonts w:ascii="Tahoma" w:hAnsi="Tahoma" w:cs="Tahoma"/>
                <w:b/>
                <w:bCs/>
                <w:iCs/>
                <w:color w:val="243285"/>
                <w:szCs w:val="24"/>
              </w:rPr>
              <w:t>(</w:t>
            </w:r>
            <w:r w:rsidR="00D6498E" w:rsidRPr="00D6498E">
              <w:rPr>
                <w:rFonts w:ascii="Tahoma" w:hAnsi="Tahoma" w:cs="Tahoma"/>
                <w:b/>
                <w:bCs/>
                <w:iCs/>
                <w:color w:val="243285"/>
                <w:szCs w:val="24"/>
              </w:rPr>
              <w:t>10/2019</w:t>
            </w:r>
            <w:r>
              <w:rPr>
                <w:rFonts w:ascii="Tahoma" w:hAnsi="Tahoma" w:cs="Tahoma"/>
                <w:b/>
                <w:bCs/>
                <w:iCs/>
                <w:color w:val="243285"/>
                <w:szCs w:val="24"/>
              </w:rPr>
              <w:t>)</w:t>
            </w:r>
          </w:p>
        </w:tc>
      </w:tr>
      <w:tr w:rsidR="0014322C" w:rsidRPr="00F54FBD" w14:paraId="7B43D604" w14:textId="77777777">
        <w:tc>
          <w:tcPr>
            <w:tcW w:w="10089" w:type="dxa"/>
          </w:tcPr>
          <w:p w14:paraId="3695C535" w14:textId="77777777" w:rsidR="0014322C" w:rsidRPr="0043089F" w:rsidRDefault="0014322C" w:rsidP="0014322C">
            <w:pPr>
              <w:spacing w:before="80" w:line="500" w:lineRule="exact"/>
              <w:jc w:val="right"/>
              <w:rPr>
                <w:rFonts w:ascii="Tahoma" w:hAnsi="Tahoma" w:cs="Tahoma"/>
                <w:b/>
                <w:bCs/>
                <w:iCs/>
                <w:color w:val="243285"/>
                <w:sz w:val="44"/>
                <w:szCs w:val="44"/>
              </w:rPr>
            </w:pPr>
          </w:p>
          <w:p w14:paraId="2ABB641D" w14:textId="2DE17A6C" w:rsidR="007B518B" w:rsidRDefault="00D6498E" w:rsidP="00B14F1B">
            <w:pPr>
              <w:spacing w:before="80" w:line="500" w:lineRule="exact"/>
              <w:jc w:val="right"/>
              <w:rPr>
                <w:rFonts w:ascii="Tahoma" w:hAnsi="Tahoma" w:cs="Tahoma"/>
                <w:b/>
                <w:bCs/>
                <w:color w:val="243285"/>
                <w:sz w:val="44"/>
                <w:szCs w:val="44"/>
              </w:rPr>
            </w:pPr>
            <w:r w:rsidRPr="00D6498E">
              <w:rPr>
                <w:rFonts w:ascii="Tahoma" w:hAnsi="Tahoma" w:cs="Tahoma"/>
                <w:b/>
                <w:bCs/>
                <w:color w:val="243285"/>
                <w:sz w:val="44"/>
                <w:szCs w:val="44"/>
              </w:rPr>
              <w:t xml:space="preserve">Transport de contenus audiovisuels en immersion évolués dans les systèmes de radiodiffusion basés sur </w:t>
            </w:r>
            <w:r w:rsidRPr="00D6498E">
              <w:rPr>
                <w:rFonts w:ascii="Tahoma" w:hAnsi="Tahoma" w:cs="Tahoma"/>
                <w:b/>
                <w:bCs/>
                <w:color w:val="243285"/>
                <w:sz w:val="44"/>
                <w:szCs w:val="44"/>
              </w:rPr>
              <w:br/>
              <w:t>le protocole IP</w:t>
            </w:r>
          </w:p>
          <w:p w14:paraId="71FC688D" w14:textId="77777777" w:rsidR="0014322C" w:rsidRPr="0043089F" w:rsidRDefault="0043089F" w:rsidP="0014322C">
            <w:pPr>
              <w:spacing w:before="80" w:line="500" w:lineRule="exact"/>
              <w:jc w:val="right"/>
              <w:rPr>
                <w:rFonts w:ascii="Tahoma" w:hAnsi="Tahoma" w:cs="Tahoma"/>
                <w:b/>
                <w:bCs/>
                <w:iCs/>
                <w:color w:val="243285"/>
                <w:sz w:val="44"/>
                <w:szCs w:val="44"/>
              </w:rPr>
            </w:pPr>
            <w:r w:rsidRPr="0043089F">
              <w:rPr>
                <w:rFonts w:ascii="Tahoma" w:hAnsi="Tahoma" w:cs="Tahoma"/>
                <w:b/>
                <w:bCs/>
                <w:iCs/>
                <w:color w:val="243285"/>
                <w:sz w:val="44"/>
                <w:szCs w:val="44"/>
              </w:rPr>
              <w:t xml:space="preserve"> </w:t>
            </w:r>
          </w:p>
        </w:tc>
      </w:tr>
      <w:tr w:rsidR="0014322C" w:rsidRPr="00F54FBD" w14:paraId="76F66D4A" w14:textId="77777777">
        <w:tc>
          <w:tcPr>
            <w:tcW w:w="10089" w:type="dxa"/>
          </w:tcPr>
          <w:p w14:paraId="74764DC3" w14:textId="77777777" w:rsidR="0014322C" w:rsidRPr="00F54FBD" w:rsidRDefault="0014322C" w:rsidP="0014322C">
            <w:pPr>
              <w:spacing w:before="80" w:line="280" w:lineRule="exact"/>
              <w:ind w:right="640"/>
              <w:rPr>
                <w:rFonts w:ascii="Tahoma" w:hAnsi="Tahoma" w:cs="Tahoma"/>
                <w:b/>
                <w:bCs/>
                <w:iCs/>
                <w:color w:val="243285"/>
                <w:sz w:val="32"/>
                <w:szCs w:val="32"/>
              </w:rPr>
            </w:pPr>
          </w:p>
          <w:p w14:paraId="79922AD9" w14:textId="77777777" w:rsidR="0014322C" w:rsidRPr="00F54FBD" w:rsidRDefault="0014322C" w:rsidP="0014322C">
            <w:pPr>
              <w:spacing w:before="80" w:line="280" w:lineRule="exact"/>
              <w:ind w:right="640"/>
              <w:rPr>
                <w:rFonts w:ascii="Tahoma" w:hAnsi="Tahoma" w:cs="Tahoma"/>
                <w:b/>
                <w:bCs/>
                <w:iCs/>
                <w:color w:val="243285"/>
                <w:sz w:val="32"/>
                <w:szCs w:val="32"/>
              </w:rPr>
            </w:pPr>
          </w:p>
          <w:p w14:paraId="7782AE28" w14:textId="77777777" w:rsidR="0014322C" w:rsidRPr="00F54FBD" w:rsidRDefault="0014322C" w:rsidP="0014322C">
            <w:pPr>
              <w:spacing w:before="80" w:after="180" w:line="360" w:lineRule="exact"/>
              <w:ind w:right="720"/>
              <w:rPr>
                <w:rFonts w:ascii="Tahoma" w:hAnsi="Tahoma" w:cs="Tahoma"/>
                <w:b/>
                <w:bCs/>
                <w:iCs/>
                <w:color w:val="243285"/>
                <w:sz w:val="36"/>
                <w:szCs w:val="36"/>
              </w:rPr>
            </w:pPr>
          </w:p>
          <w:p w14:paraId="6B6020F3" w14:textId="77777777" w:rsidR="0014322C" w:rsidRPr="00F54FBD" w:rsidRDefault="0014322C" w:rsidP="0014322C">
            <w:pPr>
              <w:spacing w:before="80" w:after="180" w:line="360" w:lineRule="exact"/>
              <w:jc w:val="right"/>
              <w:rPr>
                <w:rFonts w:ascii="Tahoma" w:hAnsi="Tahoma" w:cs="Tahoma"/>
                <w:b/>
                <w:bCs/>
                <w:iCs/>
                <w:color w:val="243285"/>
                <w:sz w:val="36"/>
                <w:szCs w:val="36"/>
              </w:rPr>
            </w:pPr>
            <w:r w:rsidRPr="00F54FBD">
              <w:rPr>
                <w:rFonts w:ascii="Tahoma" w:hAnsi="Tahoma" w:cs="Tahoma"/>
                <w:b/>
                <w:bCs/>
                <w:iCs/>
                <w:color w:val="243285"/>
                <w:sz w:val="36"/>
                <w:szCs w:val="36"/>
              </w:rPr>
              <w:t xml:space="preserve">Série </w:t>
            </w:r>
            <w:r>
              <w:rPr>
                <w:rFonts w:ascii="Tahoma" w:hAnsi="Tahoma" w:cs="Tahoma"/>
                <w:b/>
                <w:bCs/>
                <w:iCs/>
                <w:color w:val="243285"/>
                <w:sz w:val="36"/>
                <w:szCs w:val="36"/>
              </w:rPr>
              <w:t>BT</w:t>
            </w:r>
          </w:p>
          <w:p w14:paraId="61DD042F" w14:textId="77777777" w:rsidR="0014322C" w:rsidRPr="0043089F" w:rsidRDefault="0014322C" w:rsidP="0014322C">
            <w:pPr>
              <w:spacing w:before="80" w:line="420" w:lineRule="exact"/>
              <w:jc w:val="right"/>
              <w:rPr>
                <w:rFonts w:ascii="Tahoma" w:hAnsi="Tahoma" w:cs="Tahoma"/>
                <w:b/>
                <w:iCs/>
                <w:color w:val="243285"/>
                <w:sz w:val="36"/>
                <w:szCs w:val="36"/>
              </w:rPr>
            </w:pPr>
            <w:r w:rsidRPr="0043089F">
              <w:rPr>
                <w:rFonts w:ascii="Tahoma" w:hAnsi="Tahoma" w:cs="Tahoma"/>
                <w:b/>
                <w:bCs/>
                <w:color w:val="243285"/>
                <w:sz w:val="36"/>
                <w:szCs w:val="36"/>
              </w:rPr>
              <w:t>Service de radiodiffusion télévisuelle</w:t>
            </w:r>
          </w:p>
        </w:tc>
      </w:tr>
    </w:tbl>
    <w:p w14:paraId="66CBB780" w14:textId="77777777" w:rsidR="0014322C" w:rsidRPr="00F54FBD" w:rsidRDefault="0014322C" w:rsidP="0014322C">
      <w:pPr>
        <w:spacing w:before="80"/>
        <w:rPr>
          <w:i/>
          <w:sz w:val="22"/>
        </w:rPr>
      </w:pPr>
    </w:p>
    <w:p w14:paraId="304BA103" w14:textId="77777777" w:rsidR="0014322C" w:rsidRPr="00F54FBD" w:rsidRDefault="0014322C" w:rsidP="0014322C">
      <w:pPr>
        <w:spacing w:before="80"/>
        <w:rPr>
          <w:i/>
          <w:sz w:val="22"/>
        </w:rPr>
      </w:pPr>
    </w:p>
    <w:p w14:paraId="606CBF10" w14:textId="77777777" w:rsidR="0014322C" w:rsidRPr="00F54FBD" w:rsidRDefault="0014322C" w:rsidP="0014322C">
      <w:pPr>
        <w:spacing w:before="80"/>
        <w:rPr>
          <w:i/>
          <w:sz w:val="22"/>
        </w:rPr>
      </w:pPr>
    </w:p>
    <w:p w14:paraId="46EAB3E3" w14:textId="77777777" w:rsidR="0014322C" w:rsidRPr="00F54FBD" w:rsidRDefault="0014322C" w:rsidP="0014322C">
      <w:pPr>
        <w:spacing w:before="80"/>
        <w:rPr>
          <w:i/>
          <w:sz w:val="22"/>
        </w:rPr>
      </w:pPr>
    </w:p>
    <w:p w14:paraId="3503D499" w14:textId="77777777" w:rsidR="0014322C" w:rsidRPr="00F54FBD" w:rsidRDefault="0014322C" w:rsidP="0014322C">
      <w:pPr>
        <w:spacing w:before="80"/>
        <w:rPr>
          <w:i/>
          <w:sz w:val="22"/>
        </w:rPr>
      </w:pPr>
    </w:p>
    <w:p w14:paraId="6EFFAFD8" w14:textId="77777777" w:rsidR="0014322C" w:rsidRPr="00F54FBD" w:rsidRDefault="0014322C" w:rsidP="0014322C">
      <w:pPr>
        <w:spacing w:before="80"/>
        <w:rPr>
          <w:i/>
          <w:sz w:val="22"/>
        </w:rPr>
      </w:pPr>
    </w:p>
    <w:p w14:paraId="6209EF7F" w14:textId="77777777" w:rsidR="0014322C" w:rsidRPr="00F54FBD" w:rsidRDefault="0014322C" w:rsidP="0014322C">
      <w:pPr>
        <w:pStyle w:val="Equation"/>
        <w:tabs>
          <w:tab w:val="clear" w:pos="4820"/>
          <w:tab w:val="clear" w:pos="9639"/>
          <w:tab w:val="left" w:pos="1191"/>
          <w:tab w:val="left" w:pos="1588"/>
          <w:tab w:val="left" w:pos="1985"/>
        </w:tabs>
        <w:rPr>
          <w:rFonts w:ascii="Palatino Linotype" w:hAnsi="Palatino Linotype"/>
        </w:rPr>
        <w:sectPr w:rsidR="0014322C" w:rsidRPr="00F54FBD" w:rsidSect="0014322C">
          <w:headerReference w:type="even" r:id="rId7"/>
          <w:headerReference w:type="default" r:id="rId8"/>
          <w:pgSz w:w="11907" w:h="16834" w:code="9"/>
          <w:pgMar w:top="1418" w:right="1134" w:bottom="1134" w:left="1134" w:header="720" w:footer="482" w:gutter="0"/>
          <w:paperSrc w:first="15" w:other="15"/>
          <w:cols w:space="720"/>
        </w:sectPr>
      </w:pPr>
    </w:p>
    <w:p w14:paraId="3235C90F" w14:textId="77777777" w:rsidR="0014322C" w:rsidRPr="00F54FBD" w:rsidRDefault="0014322C" w:rsidP="0014322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2" w:name="c2tope"/>
      <w:bookmarkEnd w:id="2"/>
      <w:r w:rsidRPr="00F54FBD">
        <w:rPr>
          <w:bCs/>
          <w:sz w:val="24"/>
          <w:szCs w:val="24"/>
        </w:rPr>
        <w:lastRenderedPageBreak/>
        <w:t>Avant-propos</w:t>
      </w:r>
    </w:p>
    <w:p w14:paraId="546F09D5" w14:textId="77777777" w:rsidR="0014322C" w:rsidRPr="00F54FBD" w:rsidRDefault="0014322C" w:rsidP="0014322C">
      <w:pPr>
        <w:spacing w:before="240"/>
        <w:rPr>
          <w:sz w:val="20"/>
        </w:rPr>
      </w:pPr>
      <w:r w:rsidRPr="00F54FBD">
        <w:rPr>
          <w:sz w:val="20"/>
        </w:rPr>
        <w:t xml:space="preserve">Le rôle du Secteur des radiocommunications est d’assurer l’utilisation rationnelle, </w:t>
      </w:r>
      <w:r>
        <w:rPr>
          <w:sz w:val="20"/>
        </w:rPr>
        <w:t>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14:paraId="42D911DC" w14:textId="77777777" w:rsidR="0014322C" w:rsidRPr="00F54FBD" w:rsidRDefault="0014322C" w:rsidP="0014322C">
      <w:pPr>
        <w:rPr>
          <w:sz w:val="20"/>
        </w:rPr>
      </w:pPr>
      <w:r w:rsidRPr="00F54FBD">
        <w:rPr>
          <w:sz w:val="20"/>
        </w:rPr>
        <w:t xml:space="preserve">Les </w:t>
      </w:r>
      <w:r>
        <w:rPr>
          <w:sz w:val="20"/>
        </w:rPr>
        <w:t>fo</w:t>
      </w:r>
      <w:r w:rsidRPr="00F54FBD">
        <w:rPr>
          <w:sz w:val="20"/>
        </w:rPr>
        <w:t>nctions réglementaires et politiques du Secteur des ra</w:t>
      </w:r>
      <w:r>
        <w:rPr>
          <w:sz w:val="20"/>
        </w:rPr>
        <w:t>diocommunications sont remplies par les Conférences mondiales et régionales des radiocommunications et par les Assemblées des radiocommunications assistées par les Commissions d’études.</w:t>
      </w:r>
    </w:p>
    <w:p w14:paraId="1C8F0AD4" w14:textId="77777777" w:rsidR="0014322C" w:rsidRPr="00E44CBB" w:rsidRDefault="0014322C" w:rsidP="0014322C">
      <w:pPr>
        <w:pStyle w:val="Heading1"/>
        <w:spacing w:before="360"/>
        <w:jc w:val="center"/>
        <w:rPr>
          <w:szCs w:val="24"/>
        </w:rPr>
      </w:pPr>
      <w:r w:rsidRPr="003F6436">
        <w:rPr>
          <w:szCs w:val="24"/>
        </w:rPr>
        <w:t>Politique en matière de droits de propriété intellectuelle</w:t>
      </w:r>
      <w:r w:rsidRPr="00E44CBB">
        <w:rPr>
          <w:szCs w:val="24"/>
        </w:rPr>
        <w:t xml:space="preserve"> (IPR)</w:t>
      </w:r>
    </w:p>
    <w:p w14:paraId="369F1BB1" w14:textId="77777777" w:rsidR="0014322C" w:rsidRPr="00E44CBB" w:rsidRDefault="0014322C" w:rsidP="00B3433C">
      <w:pPr>
        <w:spacing w:before="240"/>
        <w:rPr>
          <w:sz w:val="20"/>
          <w:lang w:val="fr-CH"/>
        </w:rPr>
      </w:pPr>
      <w:r w:rsidRPr="00E44CBB">
        <w:rPr>
          <w:sz w:val="20"/>
        </w:rPr>
        <w:t>La politique de l'UIT</w:t>
      </w:r>
      <w:r w:rsidRPr="00E44CBB">
        <w:rPr>
          <w:sz w:val="20"/>
        </w:rPr>
        <w:noBreakHyphen/>
        <w:t xml:space="preserve">R en matière de droits de propriété intellectuelle est décrite dans la </w:t>
      </w:r>
      <w:r w:rsidRPr="00E44CBB">
        <w:rPr>
          <w:sz w:val="20"/>
          <w:lang w:val="fr-CH"/>
        </w:rPr>
        <w:t>«Politique commune de l'UIT</w:t>
      </w:r>
      <w:r w:rsidRPr="00E44CBB">
        <w:rPr>
          <w:sz w:val="20"/>
          <w:lang w:val="fr-CH"/>
        </w:rPr>
        <w:noBreakHyphen/>
        <w:t>T, l'UIT</w:t>
      </w:r>
      <w:r w:rsidRPr="00E44CBB">
        <w:rPr>
          <w:sz w:val="20"/>
          <w:lang w:val="fr-CH"/>
        </w:rPr>
        <w:noBreakHyphen/>
        <w:t xml:space="preserve">R, l'ISO et la CEI en matière de brevets», dont il est question dans la Résolution UIT-R 1. </w:t>
      </w:r>
      <w:r w:rsidRPr="00E44CBB">
        <w:rPr>
          <w:sz w:val="20"/>
        </w:rPr>
        <w:t xml:space="preserve">Les formulaires que les titulaires de brevets doivent utiliser pour soumettre les déclarations de brevet et d'octroi de licence sont accessibles à l'adresse </w:t>
      </w:r>
      <w:hyperlink r:id="rId9" w:history="1">
        <w:r w:rsidRPr="00E44CBB">
          <w:rPr>
            <w:rStyle w:val="Hyperlink"/>
            <w:sz w:val="20"/>
          </w:rPr>
          <w:t>http://www.itu.int/ITU-R/go/patents/fr</w:t>
        </w:r>
      </w:hyperlink>
      <w:r w:rsidRPr="00E44CBB">
        <w:rPr>
          <w:sz w:val="20"/>
        </w:rPr>
        <w:t>, où l'on trouvera également les Lignes directrices pour la mise en oeuvre de la politique commune en matière de brevets de l'UIT</w:t>
      </w:r>
      <w:r w:rsidRPr="00E44CBB">
        <w:rPr>
          <w:sz w:val="20"/>
        </w:rPr>
        <w:noBreakHyphen/>
        <w:t>T, l'UIT</w:t>
      </w:r>
      <w:r w:rsidRPr="00E44CBB">
        <w:rPr>
          <w:sz w:val="20"/>
        </w:rPr>
        <w:noBreakHyphen/>
        <w:t>R, l'ISO et la CEI</w:t>
      </w:r>
      <w:r w:rsidRPr="00E44CBB" w:rsidDel="0061025C">
        <w:rPr>
          <w:sz w:val="20"/>
        </w:rPr>
        <w:t xml:space="preserve"> </w:t>
      </w:r>
      <w:r w:rsidRPr="00E44CBB">
        <w:rPr>
          <w:sz w:val="20"/>
        </w:rPr>
        <w:t>et la base de données en matière de brevets de l'UIT-R.</w:t>
      </w:r>
    </w:p>
    <w:p w14:paraId="10F62361" w14:textId="77777777" w:rsidR="0014322C" w:rsidRPr="00C57597" w:rsidRDefault="0014322C" w:rsidP="0014322C">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14322C" w:rsidRPr="009454F8" w14:paraId="04AF1779" w14:textId="77777777">
        <w:tc>
          <w:tcPr>
            <w:tcW w:w="9360" w:type="dxa"/>
            <w:gridSpan w:val="2"/>
          </w:tcPr>
          <w:p w14:paraId="4DB7FE0E" w14:textId="77777777" w:rsidR="0014322C" w:rsidRPr="009454F8" w:rsidRDefault="0014322C" w:rsidP="0014322C">
            <w:pPr>
              <w:pStyle w:val="Chaptitle"/>
              <w:keepLines w:val="0"/>
              <w:tabs>
                <w:tab w:val="clear" w:pos="794"/>
                <w:tab w:val="clear" w:pos="1191"/>
                <w:tab w:val="clear" w:pos="1588"/>
                <w:tab w:val="clear" w:pos="1985"/>
              </w:tabs>
              <w:overflowPunct/>
              <w:spacing w:before="140"/>
              <w:textAlignment w:val="auto"/>
              <w:rPr>
                <w:sz w:val="22"/>
                <w:szCs w:val="22"/>
              </w:rPr>
            </w:pPr>
            <w:r w:rsidRPr="009454F8">
              <w:rPr>
                <w:sz w:val="22"/>
                <w:szCs w:val="22"/>
              </w:rPr>
              <w:t>Séries des Recommandations UIT-R</w:t>
            </w:r>
            <w:r>
              <w:rPr>
                <w:sz w:val="22"/>
                <w:szCs w:val="22"/>
              </w:rPr>
              <w:t xml:space="preserve"> </w:t>
            </w:r>
          </w:p>
          <w:p w14:paraId="269A334F" w14:textId="77777777" w:rsidR="0014322C" w:rsidRPr="009454F8" w:rsidRDefault="0014322C" w:rsidP="0014322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Pr="009454F8">
              <w:rPr>
                <w:b w:val="0"/>
                <w:sz w:val="18"/>
                <w:szCs w:val="18"/>
              </w:rPr>
              <w:t xml:space="preserve">Egalement disponible en ligne: </w:t>
            </w:r>
            <w:hyperlink r:id="rId10" w:history="1">
              <w:r w:rsidR="00595B2F">
                <w:rPr>
                  <w:rStyle w:val="Hyperlink"/>
                  <w:b w:val="0"/>
                  <w:bCs/>
                  <w:sz w:val="18"/>
                  <w:szCs w:val="18"/>
                </w:rPr>
                <w:t>http://www.itu.int/publ/R-REC/fr</w:t>
              </w:r>
            </w:hyperlink>
            <w:r w:rsidRPr="00BC0651">
              <w:rPr>
                <w:b w:val="0"/>
                <w:bCs/>
                <w:sz w:val="18"/>
                <w:szCs w:val="18"/>
              </w:rPr>
              <w:t>)</w:t>
            </w:r>
          </w:p>
        </w:tc>
      </w:tr>
      <w:tr w:rsidR="0014322C" w:rsidRPr="00036EE3" w14:paraId="0C250A84" w14:textId="77777777">
        <w:tc>
          <w:tcPr>
            <w:tcW w:w="1140" w:type="dxa"/>
          </w:tcPr>
          <w:p w14:paraId="4C243228" w14:textId="77777777" w:rsidR="0014322C" w:rsidRPr="00614CC6" w:rsidRDefault="0014322C" w:rsidP="0014322C">
            <w:pPr>
              <w:spacing w:before="90" w:after="100"/>
              <w:ind w:left="57"/>
              <w:rPr>
                <w:b/>
                <w:bCs/>
                <w:sz w:val="20"/>
                <w:lang w:val="en-US"/>
              </w:rPr>
            </w:pPr>
            <w:r w:rsidRPr="00614CC6">
              <w:rPr>
                <w:b/>
                <w:bCs/>
                <w:sz w:val="20"/>
                <w:lang w:val="en-US"/>
              </w:rPr>
              <w:t>Séries</w:t>
            </w:r>
          </w:p>
        </w:tc>
        <w:tc>
          <w:tcPr>
            <w:tcW w:w="8220" w:type="dxa"/>
          </w:tcPr>
          <w:p w14:paraId="23A50106" w14:textId="77777777" w:rsidR="0014322C" w:rsidRPr="00614CC6" w:rsidRDefault="0014322C" w:rsidP="0014322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14322C" w:rsidRPr="00036EE3" w14:paraId="0A10529E" w14:textId="77777777" w:rsidTr="0014322C">
        <w:tc>
          <w:tcPr>
            <w:tcW w:w="1140" w:type="dxa"/>
            <w:tcBorders>
              <w:bottom w:val="nil"/>
            </w:tcBorders>
          </w:tcPr>
          <w:p w14:paraId="04111A70" w14:textId="77777777" w:rsidR="0014322C" w:rsidRPr="00614CC6" w:rsidRDefault="0014322C" w:rsidP="0014322C">
            <w:pPr>
              <w:spacing w:before="30" w:after="30"/>
              <w:ind w:left="57"/>
              <w:rPr>
                <w:b/>
                <w:bCs/>
                <w:sz w:val="20"/>
                <w:lang w:val="en-US"/>
              </w:rPr>
            </w:pPr>
            <w:r w:rsidRPr="00614CC6">
              <w:rPr>
                <w:b/>
                <w:bCs/>
                <w:sz w:val="20"/>
                <w:lang w:val="en-US"/>
              </w:rPr>
              <w:t>BO</w:t>
            </w:r>
          </w:p>
        </w:tc>
        <w:tc>
          <w:tcPr>
            <w:tcW w:w="8220" w:type="dxa"/>
            <w:tcBorders>
              <w:bottom w:val="nil"/>
            </w:tcBorders>
          </w:tcPr>
          <w:p w14:paraId="1F2FDBCF" w14:textId="77777777" w:rsidR="0014322C" w:rsidRPr="00614CC6" w:rsidRDefault="0014322C" w:rsidP="0014322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Diffusion par satellite</w:t>
            </w:r>
          </w:p>
        </w:tc>
      </w:tr>
      <w:tr w:rsidR="0014322C" w:rsidRPr="009454F8" w14:paraId="519A8795" w14:textId="77777777" w:rsidTr="0014322C">
        <w:tc>
          <w:tcPr>
            <w:tcW w:w="1140" w:type="dxa"/>
            <w:tcBorders>
              <w:top w:val="nil"/>
              <w:bottom w:val="nil"/>
            </w:tcBorders>
            <w:shd w:val="clear" w:color="auto" w:fill="auto"/>
          </w:tcPr>
          <w:p w14:paraId="2F3E36A4" w14:textId="77777777" w:rsidR="0014322C" w:rsidRPr="0014322C" w:rsidRDefault="0014322C" w:rsidP="0014322C">
            <w:pPr>
              <w:spacing w:before="30" w:after="30"/>
              <w:ind w:left="57"/>
              <w:rPr>
                <w:rFonts w:ascii="Times New Roman Bold" w:hAnsi="Times New Roman Bold" w:cs="Times New Roman Bold"/>
                <w:sz w:val="20"/>
                <w:lang w:val="en-US"/>
              </w:rPr>
            </w:pPr>
            <w:r w:rsidRPr="0014322C">
              <w:rPr>
                <w:rFonts w:ascii="Times New Roman Bold" w:hAnsi="Times New Roman Bold" w:cs="Times New Roman Bold"/>
                <w:sz w:val="20"/>
                <w:lang w:val="en-US"/>
              </w:rPr>
              <w:t>BR</w:t>
            </w:r>
          </w:p>
        </w:tc>
        <w:tc>
          <w:tcPr>
            <w:tcW w:w="8220" w:type="dxa"/>
            <w:tcBorders>
              <w:top w:val="nil"/>
              <w:bottom w:val="nil"/>
            </w:tcBorders>
            <w:shd w:val="clear" w:color="auto" w:fill="auto"/>
          </w:tcPr>
          <w:p w14:paraId="00C2F0BF" w14:textId="77777777" w:rsidR="0014322C" w:rsidRPr="0014322C" w:rsidRDefault="0014322C" w:rsidP="0014322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rPr>
            </w:pPr>
            <w:r w:rsidRPr="0014322C">
              <w:rPr>
                <w:rFonts w:hAnsi="Times New Roman Bold"/>
                <w:b w:val="0"/>
                <w:sz w:val="20"/>
              </w:rPr>
              <w:t>Enregistrement pour la production, l'archivage et la diffusion; films pour la t</w:t>
            </w:r>
            <w:r w:rsidRPr="0014322C">
              <w:rPr>
                <w:rFonts w:hAnsi="Times New Roman Bold"/>
                <w:b w:val="0"/>
                <w:sz w:val="20"/>
              </w:rPr>
              <w:t>é</w:t>
            </w:r>
            <w:r w:rsidRPr="0014322C">
              <w:rPr>
                <w:rFonts w:hAnsi="Times New Roman Bold"/>
                <w:b w:val="0"/>
                <w:sz w:val="20"/>
              </w:rPr>
              <w:t>l</w:t>
            </w:r>
            <w:r w:rsidRPr="0014322C">
              <w:rPr>
                <w:rFonts w:hAnsi="Times New Roman Bold"/>
                <w:b w:val="0"/>
                <w:sz w:val="20"/>
              </w:rPr>
              <w:t>é</w:t>
            </w:r>
            <w:r w:rsidRPr="0014322C">
              <w:rPr>
                <w:rFonts w:hAnsi="Times New Roman Bold"/>
                <w:b w:val="0"/>
                <w:sz w:val="20"/>
              </w:rPr>
              <w:t>vision</w:t>
            </w:r>
          </w:p>
        </w:tc>
      </w:tr>
      <w:tr w:rsidR="0014322C" w:rsidRPr="00036EE3" w14:paraId="2E14FAE8" w14:textId="77777777" w:rsidTr="0014322C">
        <w:tc>
          <w:tcPr>
            <w:tcW w:w="1140" w:type="dxa"/>
            <w:tcBorders>
              <w:top w:val="nil"/>
              <w:bottom w:val="nil"/>
            </w:tcBorders>
          </w:tcPr>
          <w:p w14:paraId="305041D0" w14:textId="77777777" w:rsidR="0014322C" w:rsidRPr="00614CC6" w:rsidRDefault="0014322C" w:rsidP="0014322C">
            <w:pPr>
              <w:spacing w:before="30" w:after="30"/>
              <w:ind w:left="57"/>
              <w:rPr>
                <w:b/>
                <w:bCs/>
                <w:sz w:val="20"/>
                <w:lang w:val="en-US"/>
              </w:rPr>
            </w:pPr>
            <w:r w:rsidRPr="00614CC6">
              <w:rPr>
                <w:b/>
                <w:bCs/>
                <w:sz w:val="20"/>
                <w:lang w:val="en-US"/>
              </w:rPr>
              <w:t>BS</w:t>
            </w:r>
          </w:p>
        </w:tc>
        <w:tc>
          <w:tcPr>
            <w:tcW w:w="8220" w:type="dxa"/>
            <w:tcBorders>
              <w:top w:val="nil"/>
              <w:bottom w:val="nil"/>
            </w:tcBorders>
          </w:tcPr>
          <w:p w14:paraId="11F98FF9" w14:textId="77777777" w:rsidR="0014322C" w:rsidRPr="00614CC6" w:rsidRDefault="0014322C" w:rsidP="0014322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sonore</w:t>
            </w:r>
          </w:p>
        </w:tc>
      </w:tr>
      <w:tr w:rsidR="0014322C" w:rsidRPr="00ED2695" w14:paraId="074A612B" w14:textId="77777777" w:rsidTr="0014322C">
        <w:tc>
          <w:tcPr>
            <w:tcW w:w="1140" w:type="dxa"/>
            <w:tcBorders>
              <w:top w:val="nil"/>
              <w:bottom w:val="nil"/>
            </w:tcBorders>
            <w:shd w:val="clear" w:color="auto" w:fill="F3F3F3"/>
          </w:tcPr>
          <w:p w14:paraId="75EA59A4" w14:textId="77777777" w:rsidR="0014322C" w:rsidRPr="0014322C" w:rsidRDefault="0014322C" w:rsidP="0014322C">
            <w:pPr>
              <w:spacing w:before="30" w:after="30"/>
              <w:ind w:left="57"/>
              <w:rPr>
                <w:rFonts w:ascii="Times New Roman Bold" w:hAnsi="Times New Roman Bold" w:cs="Times New Roman Bold"/>
                <w:b/>
                <w:bCs/>
                <w:color w:val="243285"/>
                <w:sz w:val="20"/>
                <w:lang w:val="en-US"/>
              </w:rPr>
            </w:pPr>
            <w:r w:rsidRPr="0014322C">
              <w:rPr>
                <w:rFonts w:ascii="Times New Roman Bold" w:hAnsi="Times New Roman Bold" w:cs="Times New Roman Bold"/>
                <w:b/>
                <w:bCs/>
                <w:color w:val="243285"/>
                <w:sz w:val="20"/>
                <w:lang w:val="en-US"/>
              </w:rPr>
              <w:t>BT</w:t>
            </w:r>
          </w:p>
        </w:tc>
        <w:tc>
          <w:tcPr>
            <w:tcW w:w="8220" w:type="dxa"/>
            <w:tcBorders>
              <w:top w:val="nil"/>
              <w:bottom w:val="nil"/>
            </w:tcBorders>
            <w:shd w:val="clear" w:color="auto" w:fill="F3F3F3"/>
          </w:tcPr>
          <w:p w14:paraId="3A7DCDBB" w14:textId="77777777" w:rsidR="0014322C" w:rsidRPr="0014322C" w:rsidRDefault="0014322C" w:rsidP="0014322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Cs/>
                <w:color w:val="243285"/>
                <w:sz w:val="20"/>
                <w:lang w:val="en-US"/>
              </w:rPr>
            </w:pPr>
            <w:r w:rsidRPr="0014322C">
              <w:rPr>
                <w:rFonts w:ascii="Times New Roman Bold" w:hAnsi="Times New Roman Bold" w:cs="Times New Roman Bold"/>
                <w:bCs/>
                <w:color w:val="243285"/>
                <w:sz w:val="20"/>
              </w:rPr>
              <w:t>Service de radiodiffusion télévisuelle</w:t>
            </w:r>
          </w:p>
        </w:tc>
      </w:tr>
      <w:tr w:rsidR="0014322C" w:rsidRPr="00036EE3" w14:paraId="7490BE2D" w14:textId="77777777" w:rsidTr="0014322C">
        <w:tc>
          <w:tcPr>
            <w:tcW w:w="1140" w:type="dxa"/>
            <w:tcBorders>
              <w:top w:val="nil"/>
              <w:bottom w:val="nil"/>
            </w:tcBorders>
            <w:shd w:val="clear" w:color="auto" w:fill="auto"/>
          </w:tcPr>
          <w:p w14:paraId="4B7E671E" w14:textId="77777777" w:rsidR="0014322C" w:rsidRPr="00614CC6" w:rsidRDefault="0014322C" w:rsidP="0014322C">
            <w:pPr>
              <w:spacing w:before="30" w:after="30"/>
              <w:ind w:left="57"/>
              <w:rPr>
                <w:b/>
                <w:bCs/>
                <w:sz w:val="20"/>
                <w:lang w:val="fr-CH"/>
              </w:rPr>
            </w:pPr>
            <w:r w:rsidRPr="00614CC6">
              <w:rPr>
                <w:b/>
                <w:bCs/>
                <w:sz w:val="20"/>
                <w:lang w:val="fr-CH"/>
              </w:rPr>
              <w:t>F</w:t>
            </w:r>
          </w:p>
        </w:tc>
        <w:tc>
          <w:tcPr>
            <w:tcW w:w="8220" w:type="dxa"/>
            <w:tcBorders>
              <w:top w:val="nil"/>
              <w:bottom w:val="nil"/>
            </w:tcBorders>
            <w:shd w:val="clear" w:color="auto" w:fill="auto"/>
          </w:tcPr>
          <w:p w14:paraId="4B46C217" w14:textId="77777777" w:rsidR="0014322C" w:rsidRPr="00614CC6" w:rsidRDefault="0014322C" w:rsidP="0014322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614CC6">
              <w:rPr>
                <w:sz w:val="20"/>
              </w:rPr>
              <w:t>Service fixe</w:t>
            </w:r>
          </w:p>
        </w:tc>
      </w:tr>
      <w:tr w:rsidR="0014322C" w:rsidRPr="00592F9F" w14:paraId="0A2B84D4" w14:textId="77777777" w:rsidTr="0014322C">
        <w:tc>
          <w:tcPr>
            <w:tcW w:w="1140" w:type="dxa"/>
            <w:tcBorders>
              <w:top w:val="nil"/>
              <w:bottom w:val="nil"/>
            </w:tcBorders>
            <w:shd w:val="clear" w:color="auto" w:fill="auto"/>
          </w:tcPr>
          <w:p w14:paraId="6FDCABAC" w14:textId="77777777" w:rsidR="0014322C" w:rsidRPr="00766861" w:rsidRDefault="0014322C" w:rsidP="0014322C">
            <w:pPr>
              <w:spacing w:before="30" w:after="30"/>
              <w:ind w:left="57"/>
              <w:rPr>
                <w:b/>
                <w:bCs/>
                <w:sz w:val="20"/>
                <w:lang w:val="en-US"/>
              </w:rPr>
            </w:pPr>
            <w:r w:rsidRPr="00766861">
              <w:rPr>
                <w:b/>
                <w:bCs/>
                <w:sz w:val="20"/>
                <w:lang w:val="en-US"/>
              </w:rPr>
              <w:t>M</w:t>
            </w:r>
          </w:p>
        </w:tc>
        <w:tc>
          <w:tcPr>
            <w:tcW w:w="8220" w:type="dxa"/>
            <w:tcBorders>
              <w:top w:val="nil"/>
              <w:bottom w:val="nil"/>
            </w:tcBorders>
            <w:shd w:val="clear" w:color="auto" w:fill="auto"/>
          </w:tcPr>
          <w:p w14:paraId="7FB2D1E7" w14:textId="77777777" w:rsidR="0014322C" w:rsidRPr="00766861" w:rsidRDefault="0014322C" w:rsidP="0014322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766861">
              <w:rPr>
                <w:b w:val="0"/>
                <w:sz w:val="20"/>
              </w:rPr>
              <w:t>Services mobile, de radiorepérage et d'amateur y compris les services par satellite associés</w:t>
            </w:r>
          </w:p>
        </w:tc>
      </w:tr>
      <w:tr w:rsidR="0014322C" w:rsidRPr="00036EE3" w14:paraId="05804411" w14:textId="77777777" w:rsidTr="0014322C">
        <w:tc>
          <w:tcPr>
            <w:tcW w:w="1140" w:type="dxa"/>
            <w:tcBorders>
              <w:top w:val="nil"/>
            </w:tcBorders>
          </w:tcPr>
          <w:p w14:paraId="429380DF" w14:textId="77777777" w:rsidR="0014322C" w:rsidRPr="00614CC6" w:rsidRDefault="0014322C" w:rsidP="0014322C">
            <w:pPr>
              <w:spacing w:before="30" w:after="30"/>
              <w:ind w:left="57"/>
              <w:rPr>
                <w:b/>
                <w:bCs/>
                <w:sz w:val="20"/>
                <w:lang w:val="fr-CH"/>
              </w:rPr>
            </w:pPr>
            <w:r w:rsidRPr="00614CC6">
              <w:rPr>
                <w:b/>
                <w:bCs/>
                <w:sz w:val="20"/>
                <w:lang w:val="fr-CH"/>
              </w:rPr>
              <w:t>P</w:t>
            </w:r>
          </w:p>
        </w:tc>
        <w:tc>
          <w:tcPr>
            <w:tcW w:w="8220" w:type="dxa"/>
            <w:tcBorders>
              <w:top w:val="nil"/>
            </w:tcBorders>
          </w:tcPr>
          <w:p w14:paraId="2FC3CC45" w14:textId="77777777" w:rsidR="0014322C" w:rsidRPr="00614CC6" w:rsidRDefault="0014322C" w:rsidP="0014322C">
            <w:pPr>
              <w:spacing w:before="30" w:after="30"/>
              <w:rPr>
                <w:sz w:val="20"/>
                <w:lang w:val="fr-CH"/>
              </w:rPr>
            </w:pPr>
            <w:r w:rsidRPr="00614CC6">
              <w:rPr>
                <w:sz w:val="20"/>
              </w:rPr>
              <w:t>Propagation des ondes radioélectriques</w:t>
            </w:r>
          </w:p>
        </w:tc>
      </w:tr>
      <w:tr w:rsidR="0014322C" w:rsidRPr="00036EE3" w14:paraId="6BCF0434" w14:textId="77777777">
        <w:tc>
          <w:tcPr>
            <w:tcW w:w="1140" w:type="dxa"/>
          </w:tcPr>
          <w:p w14:paraId="24C00137" w14:textId="77777777" w:rsidR="0014322C" w:rsidRPr="00614CC6" w:rsidRDefault="0014322C" w:rsidP="0014322C">
            <w:pPr>
              <w:spacing w:before="30" w:after="30"/>
              <w:ind w:left="57"/>
              <w:rPr>
                <w:b/>
                <w:bCs/>
                <w:sz w:val="20"/>
                <w:lang w:val="en-US"/>
              </w:rPr>
            </w:pPr>
            <w:r w:rsidRPr="00614CC6">
              <w:rPr>
                <w:b/>
                <w:bCs/>
                <w:sz w:val="20"/>
                <w:lang w:val="en-US"/>
              </w:rPr>
              <w:t>RA</w:t>
            </w:r>
          </w:p>
        </w:tc>
        <w:tc>
          <w:tcPr>
            <w:tcW w:w="8220" w:type="dxa"/>
          </w:tcPr>
          <w:p w14:paraId="74FB67EE" w14:textId="77777777" w:rsidR="0014322C" w:rsidRPr="00614CC6" w:rsidRDefault="0014322C" w:rsidP="0014322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Radio astronomie</w:t>
            </w:r>
          </w:p>
        </w:tc>
      </w:tr>
      <w:tr w:rsidR="0014322C" w:rsidRPr="00036EE3" w14:paraId="695E2C67" w14:textId="77777777">
        <w:tc>
          <w:tcPr>
            <w:tcW w:w="1140" w:type="dxa"/>
          </w:tcPr>
          <w:p w14:paraId="7FE12AB5" w14:textId="77777777" w:rsidR="0014322C" w:rsidRPr="00614CC6" w:rsidRDefault="0014322C" w:rsidP="0014322C">
            <w:pPr>
              <w:spacing w:before="30" w:after="30"/>
              <w:ind w:left="57"/>
              <w:rPr>
                <w:b/>
                <w:bCs/>
                <w:sz w:val="20"/>
                <w:lang w:val="en-US"/>
              </w:rPr>
            </w:pPr>
            <w:r w:rsidRPr="00614CC6">
              <w:rPr>
                <w:b/>
                <w:bCs/>
                <w:sz w:val="20"/>
                <w:lang w:val="en-US"/>
              </w:rPr>
              <w:t>RS</w:t>
            </w:r>
          </w:p>
        </w:tc>
        <w:tc>
          <w:tcPr>
            <w:tcW w:w="8220" w:type="dxa"/>
          </w:tcPr>
          <w:p w14:paraId="7C3070A4" w14:textId="77777777" w:rsidR="0014322C" w:rsidRPr="00614CC6" w:rsidRDefault="0014322C" w:rsidP="0014322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Systèmes de télédétection</w:t>
            </w:r>
          </w:p>
        </w:tc>
      </w:tr>
      <w:tr w:rsidR="0014322C" w:rsidRPr="00036EE3" w14:paraId="31157923" w14:textId="77777777">
        <w:tc>
          <w:tcPr>
            <w:tcW w:w="1140" w:type="dxa"/>
          </w:tcPr>
          <w:p w14:paraId="5CDA49C0" w14:textId="77777777" w:rsidR="0014322C" w:rsidRPr="00614CC6" w:rsidRDefault="0014322C" w:rsidP="0014322C">
            <w:pPr>
              <w:spacing w:before="30" w:after="30"/>
              <w:ind w:left="57"/>
              <w:rPr>
                <w:b/>
                <w:bCs/>
                <w:sz w:val="20"/>
                <w:lang w:val="en-US"/>
              </w:rPr>
            </w:pPr>
            <w:r w:rsidRPr="00614CC6">
              <w:rPr>
                <w:b/>
                <w:bCs/>
                <w:sz w:val="20"/>
                <w:lang w:val="en-US"/>
              </w:rPr>
              <w:t>S</w:t>
            </w:r>
          </w:p>
        </w:tc>
        <w:tc>
          <w:tcPr>
            <w:tcW w:w="8220" w:type="dxa"/>
          </w:tcPr>
          <w:p w14:paraId="3D4C3EE4" w14:textId="77777777" w:rsidR="0014322C" w:rsidRPr="00614CC6" w:rsidRDefault="0014322C" w:rsidP="0014322C">
            <w:pPr>
              <w:spacing w:before="30" w:after="30"/>
              <w:rPr>
                <w:sz w:val="20"/>
                <w:lang w:val="en-US"/>
              </w:rPr>
            </w:pPr>
            <w:r w:rsidRPr="00614CC6">
              <w:rPr>
                <w:sz w:val="20"/>
              </w:rPr>
              <w:t>Service fixe par satellite</w:t>
            </w:r>
          </w:p>
        </w:tc>
      </w:tr>
      <w:tr w:rsidR="0014322C" w:rsidRPr="00036EE3" w14:paraId="6B1E397E" w14:textId="77777777">
        <w:tc>
          <w:tcPr>
            <w:tcW w:w="1140" w:type="dxa"/>
          </w:tcPr>
          <w:p w14:paraId="1FD4F20F" w14:textId="77777777" w:rsidR="0014322C" w:rsidRPr="00614CC6" w:rsidRDefault="0014322C" w:rsidP="0014322C">
            <w:pPr>
              <w:spacing w:before="30" w:after="30"/>
              <w:ind w:left="57"/>
              <w:rPr>
                <w:b/>
                <w:bCs/>
                <w:sz w:val="20"/>
                <w:lang w:val="en-US"/>
              </w:rPr>
            </w:pPr>
            <w:r w:rsidRPr="00614CC6">
              <w:rPr>
                <w:b/>
                <w:bCs/>
                <w:sz w:val="20"/>
                <w:lang w:val="en-US"/>
              </w:rPr>
              <w:t>SA</w:t>
            </w:r>
          </w:p>
        </w:tc>
        <w:tc>
          <w:tcPr>
            <w:tcW w:w="8220" w:type="dxa"/>
          </w:tcPr>
          <w:p w14:paraId="4756E1B8" w14:textId="77777777" w:rsidR="0014322C" w:rsidRPr="00614CC6" w:rsidRDefault="0014322C" w:rsidP="0014322C">
            <w:pPr>
              <w:spacing w:before="30" w:after="30"/>
              <w:rPr>
                <w:sz w:val="20"/>
                <w:lang w:val="en-US"/>
              </w:rPr>
            </w:pPr>
            <w:r w:rsidRPr="00614CC6">
              <w:rPr>
                <w:sz w:val="20"/>
              </w:rPr>
              <w:t>Applications spatiales et météorologie</w:t>
            </w:r>
          </w:p>
        </w:tc>
      </w:tr>
      <w:tr w:rsidR="0014322C" w:rsidRPr="00614CC6" w14:paraId="457ABEAC" w14:textId="77777777">
        <w:tc>
          <w:tcPr>
            <w:tcW w:w="1140" w:type="dxa"/>
          </w:tcPr>
          <w:p w14:paraId="019074F6" w14:textId="77777777" w:rsidR="0014322C" w:rsidRPr="00614CC6" w:rsidRDefault="0014322C" w:rsidP="0014322C">
            <w:pPr>
              <w:spacing w:before="30" w:after="30"/>
              <w:ind w:left="57"/>
              <w:rPr>
                <w:b/>
                <w:bCs/>
                <w:sz w:val="20"/>
                <w:lang w:val="en-US"/>
              </w:rPr>
            </w:pPr>
            <w:r w:rsidRPr="00614CC6">
              <w:rPr>
                <w:b/>
                <w:bCs/>
                <w:sz w:val="20"/>
                <w:lang w:val="en-US"/>
              </w:rPr>
              <w:t>SF</w:t>
            </w:r>
          </w:p>
        </w:tc>
        <w:tc>
          <w:tcPr>
            <w:tcW w:w="8220" w:type="dxa"/>
          </w:tcPr>
          <w:p w14:paraId="1DE3C149" w14:textId="77777777" w:rsidR="0014322C" w:rsidRPr="00614CC6" w:rsidRDefault="0014322C" w:rsidP="0014322C">
            <w:pPr>
              <w:spacing w:before="30" w:after="30"/>
              <w:rPr>
                <w:sz w:val="20"/>
              </w:rPr>
            </w:pPr>
            <w:r w:rsidRPr="00614CC6">
              <w:rPr>
                <w:sz w:val="20"/>
              </w:rPr>
              <w:t>Partage des fréquences et coordination entre les systèmes du service fixe par satellite et du service fixe</w:t>
            </w:r>
          </w:p>
        </w:tc>
      </w:tr>
      <w:tr w:rsidR="0014322C" w:rsidRPr="00036EE3" w14:paraId="57837072" w14:textId="77777777">
        <w:tc>
          <w:tcPr>
            <w:tcW w:w="1140" w:type="dxa"/>
            <w:shd w:val="clear" w:color="auto" w:fill="auto"/>
          </w:tcPr>
          <w:p w14:paraId="10F1B7D3" w14:textId="77777777" w:rsidR="0014322C" w:rsidRPr="00592F9F" w:rsidRDefault="0014322C" w:rsidP="0014322C">
            <w:pPr>
              <w:spacing w:before="30" w:after="30"/>
              <w:ind w:left="57"/>
              <w:rPr>
                <w:b/>
                <w:bCs/>
                <w:sz w:val="20"/>
                <w:lang w:val="en-US"/>
              </w:rPr>
            </w:pPr>
            <w:r w:rsidRPr="00592F9F">
              <w:rPr>
                <w:b/>
                <w:bCs/>
                <w:sz w:val="20"/>
                <w:lang w:val="en-US"/>
              </w:rPr>
              <w:t>SM</w:t>
            </w:r>
          </w:p>
        </w:tc>
        <w:tc>
          <w:tcPr>
            <w:tcW w:w="8220" w:type="dxa"/>
            <w:shd w:val="clear" w:color="auto" w:fill="auto"/>
          </w:tcPr>
          <w:p w14:paraId="2425C1AB" w14:textId="77777777" w:rsidR="0014322C" w:rsidRPr="00592F9F" w:rsidRDefault="0014322C" w:rsidP="0014322C">
            <w:pPr>
              <w:spacing w:before="30" w:after="30"/>
              <w:rPr>
                <w:sz w:val="20"/>
                <w:lang w:val="en-US"/>
              </w:rPr>
            </w:pPr>
            <w:r w:rsidRPr="00592F9F">
              <w:rPr>
                <w:sz w:val="20"/>
              </w:rPr>
              <w:t>Gestion du spectre</w:t>
            </w:r>
          </w:p>
        </w:tc>
      </w:tr>
      <w:tr w:rsidR="0014322C" w:rsidRPr="00036EE3" w14:paraId="2F38562F" w14:textId="77777777">
        <w:tc>
          <w:tcPr>
            <w:tcW w:w="1140" w:type="dxa"/>
          </w:tcPr>
          <w:p w14:paraId="687DAF83" w14:textId="77777777" w:rsidR="0014322C" w:rsidRPr="00614CC6" w:rsidRDefault="0014322C" w:rsidP="0014322C">
            <w:pPr>
              <w:spacing w:before="30" w:after="30"/>
              <w:ind w:left="57"/>
              <w:rPr>
                <w:b/>
                <w:bCs/>
                <w:sz w:val="20"/>
                <w:lang w:val="en-US"/>
              </w:rPr>
            </w:pPr>
            <w:r w:rsidRPr="00614CC6">
              <w:rPr>
                <w:b/>
                <w:bCs/>
                <w:sz w:val="20"/>
                <w:lang w:val="en-US"/>
              </w:rPr>
              <w:t>SNG</w:t>
            </w:r>
          </w:p>
        </w:tc>
        <w:tc>
          <w:tcPr>
            <w:tcW w:w="8220" w:type="dxa"/>
          </w:tcPr>
          <w:p w14:paraId="38C31639" w14:textId="77777777" w:rsidR="0014322C" w:rsidRPr="00614CC6" w:rsidRDefault="0014322C" w:rsidP="0014322C">
            <w:pPr>
              <w:spacing w:before="30" w:after="30"/>
              <w:rPr>
                <w:sz w:val="20"/>
                <w:lang w:val="en-US"/>
              </w:rPr>
            </w:pPr>
            <w:r w:rsidRPr="00614CC6">
              <w:rPr>
                <w:sz w:val="20"/>
              </w:rPr>
              <w:t>Reportage d'actualités par satellite</w:t>
            </w:r>
          </w:p>
        </w:tc>
      </w:tr>
      <w:tr w:rsidR="0014322C" w:rsidRPr="00614CC6" w14:paraId="7878D6E0" w14:textId="77777777">
        <w:tc>
          <w:tcPr>
            <w:tcW w:w="1140" w:type="dxa"/>
          </w:tcPr>
          <w:p w14:paraId="1F4F1BDF" w14:textId="77777777" w:rsidR="0014322C" w:rsidRPr="00614CC6" w:rsidRDefault="0014322C" w:rsidP="0014322C">
            <w:pPr>
              <w:spacing w:before="30" w:after="30"/>
              <w:ind w:left="57"/>
              <w:rPr>
                <w:b/>
                <w:bCs/>
                <w:sz w:val="20"/>
                <w:lang w:val="en-US"/>
              </w:rPr>
            </w:pPr>
            <w:r w:rsidRPr="00614CC6">
              <w:rPr>
                <w:b/>
                <w:bCs/>
                <w:sz w:val="20"/>
                <w:lang w:val="en-US"/>
              </w:rPr>
              <w:t>TF</w:t>
            </w:r>
          </w:p>
        </w:tc>
        <w:tc>
          <w:tcPr>
            <w:tcW w:w="8220" w:type="dxa"/>
          </w:tcPr>
          <w:p w14:paraId="38ED08D6" w14:textId="77777777" w:rsidR="0014322C" w:rsidRPr="00614CC6" w:rsidRDefault="0014322C" w:rsidP="0014322C">
            <w:pPr>
              <w:spacing w:before="30" w:after="30"/>
              <w:rPr>
                <w:sz w:val="20"/>
              </w:rPr>
            </w:pPr>
            <w:r w:rsidRPr="00614CC6">
              <w:rPr>
                <w:sz w:val="20"/>
              </w:rPr>
              <w:t>Emissions de fréquences étalon et de signaux horaires</w:t>
            </w:r>
          </w:p>
        </w:tc>
      </w:tr>
      <w:tr w:rsidR="0014322C" w:rsidRPr="00036EE3" w14:paraId="06C84E2D" w14:textId="77777777">
        <w:tc>
          <w:tcPr>
            <w:tcW w:w="1140" w:type="dxa"/>
          </w:tcPr>
          <w:p w14:paraId="4ED8471C" w14:textId="77777777" w:rsidR="0014322C" w:rsidRPr="00614CC6" w:rsidRDefault="0014322C" w:rsidP="0014322C">
            <w:pPr>
              <w:spacing w:before="30" w:after="30"/>
              <w:ind w:left="57"/>
              <w:rPr>
                <w:b/>
                <w:bCs/>
                <w:sz w:val="20"/>
                <w:lang w:val="en-US"/>
              </w:rPr>
            </w:pPr>
            <w:r w:rsidRPr="00614CC6">
              <w:rPr>
                <w:b/>
                <w:bCs/>
                <w:sz w:val="20"/>
                <w:lang w:val="en-US"/>
              </w:rPr>
              <w:t>V</w:t>
            </w:r>
          </w:p>
        </w:tc>
        <w:tc>
          <w:tcPr>
            <w:tcW w:w="8220" w:type="dxa"/>
          </w:tcPr>
          <w:p w14:paraId="5A2CE133" w14:textId="77777777" w:rsidR="0014322C" w:rsidRPr="00614CC6" w:rsidRDefault="0014322C" w:rsidP="0014322C">
            <w:pPr>
              <w:spacing w:before="30" w:after="140"/>
              <w:rPr>
                <w:sz w:val="20"/>
                <w:lang w:val="en-US"/>
              </w:rPr>
            </w:pPr>
            <w:r w:rsidRPr="00614CC6">
              <w:rPr>
                <w:sz w:val="20"/>
              </w:rPr>
              <w:t>Vocabulaire et sujets associés</w:t>
            </w:r>
          </w:p>
        </w:tc>
      </w:tr>
    </w:tbl>
    <w:p w14:paraId="4D6BD65C" w14:textId="77777777" w:rsidR="0014322C" w:rsidRPr="00036EE3" w:rsidRDefault="0014322C" w:rsidP="0014322C">
      <w:pPr>
        <w:spacing w:before="0"/>
        <w:jc w:val="center"/>
        <w:rPr>
          <w:sz w:val="20"/>
          <w:lang w:val="en-US"/>
        </w:rPr>
      </w:pPr>
    </w:p>
    <w:p w14:paraId="3D0B623C" w14:textId="77777777" w:rsidR="0014322C" w:rsidRPr="00036EE3" w:rsidRDefault="0014322C" w:rsidP="0014322C">
      <w:pPr>
        <w:spacing w:before="0"/>
        <w:ind w:left="18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14322C" w:rsidRPr="00756B4D" w14:paraId="2422C20F" w14:textId="77777777">
        <w:tc>
          <w:tcPr>
            <w:tcW w:w="9360" w:type="dxa"/>
          </w:tcPr>
          <w:p w14:paraId="78C47754" w14:textId="77777777" w:rsidR="0014322C" w:rsidRPr="00756B4D" w:rsidRDefault="0014322C" w:rsidP="00910201">
            <w:pPr>
              <w:spacing w:before="80" w:after="80"/>
              <w:jc w:val="left"/>
              <w:rPr>
                <w:i/>
                <w:iCs/>
                <w:sz w:val="20"/>
              </w:rPr>
            </w:pPr>
            <w:r w:rsidRPr="00756B4D">
              <w:rPr>
                <w:b/>
                <w:bCs/>
                <w:i/>
                <w:iCs/>
                <w:sz w:val="20"/>
              </w:rPr>
              <w:t>Note</w:t>
            </w:r>
            <w:r w:rsidRPr="00756B4D">
              <w:rPr>
                <w:i/>
                <w:iCs/>
                <w:sz w:val="20"/>
              </w:rPr>
              <w:t>: Cette Recommandation UIT-R a été approuvée en anglais aux termes de la procédure détaillée dans la</w:t>
            </w:r>
            <w:r>
              <w:rPr>
                <w:i/>
                <w:iCs/>
                <w:sz w:val="20"/>
              </w:rPr>
              <w:br/>
            </w:r>
            <w:r w:rsidRPr="00756B4D">
              <w:rPr>
                <w:i/>
                <w:iCs/>
                <w:sz w:val="20"/>
              </w:rPr>
              <w:t xml:space="preserve">Résolution UIT-R 1. </w:t>
            </w:r>
          </w:p>
        </w:tc>
      </w:tr>
    </w:tbl>
    <w:p w14:paraId="647B8CB1" w14:textId="77777777" w:rsidR="0014322C" w:rsidRPr="00756B4D" w:rsidRDefault="0014322C" w:rsidP="0014322C">
      <w:pPr>
        <w:spacing w:before="0"/>
        <w:jc w:val="center"/>
        <w:rPr>
          <w:sz w:val="22"/>
        </w:rPr>
      </w:pPr>
    </w:p>
    <w:p w14:paraId="72D15AEF" w14:textId="77777777" w:rsidR="0014322C" w:rsidRPr="00614CC6" w:rsidRDefault="0014322C" w:rsidP="0014322C">
      <w:pPr>
        <w:spacing w:before="100"/>
        <w:jc w:val="right"/>
        <w:rPr>
          <w:i/>
          <w:iCs/>
          <w:sz w:val="20"/>
        </w:rPr>
      </w:pPr>
      <w:r w:rsidRPr="00614CC6">
        <w:rPr>
          <w:i/>
          <w:iCs/>
          <w:sz w:val="20"/>
        </w:rPr>
        <w:t>Publication électronique</w:t>
      </w:r>
    </w:p>
    <w:p w14:paraId="649A6D98" w14:textId="3D40438E" w:rsidR="0014322C" w:rsidRPr="00614CC6" w:rsidRDefault="0014322C" w:rsidP="00EF6EF6">
      <w:pPr>
        <w:spacing w:before="0"/>
        <w:jc w:val="right"/>
        <w:rPr>
          <w:sz w:val="20"/>
        </w:rPr>
      </w:pPr>
      <w:r w:rsidRPr="00614CC6">
        <w:rPr>
          <w:sz w:val="20"/>
        </w:rPr>
        <w:t>Genève, 20</w:t>
      </w:r>
      <w:r w:rsidR="00D6498E">
        <w:rPr>
          <w:sz w:val="20"/>
        </w:rPr>
        <w:t>20</w:t>
      </w:r>
    </w:p>
    <w:p w14:paraId="136B5A48" w14:textId="7F853D5E" w:rsidR="0014322C" w:rsidRPr="00614CC6" w:rsidRDefault="0014322C" w:rsidP="00EF6EF6">
      <w:pPr>
        <w:spacing w:before="200"/>
        <w:jc w:val="center"/>
        <w:rPr>
          <w:sz w:val="20"/>
        </w:rPr>
      </w:pPr>
      <w:r w:rsidRPr="00470E28">
        <w:rPr>
          <w:sz w:val="20"/>
          <w:lang w:val="en-US"/>
        </w:rPr>
        <w:sym w:font="Symbol" w:char="F0E3"/>
      </w:r>
      <w:r w:rsidRPr="00614CC6">
        <w:rPr>
          <w:sz w:val="20"/>
        </w:rPr>
        <w:t xml:space="preserve"> UIT </w:t>
      </w:r>
      <w:bookmarkStart w:id="3" w:name="iiannee"/>
      <w:bookmarkEnd w:id="3"/>
      <w:r w:rsidRPr="00614CC6">
        <w:rPr>
          <w:sz w:val="20"/>
        </w:rPr>
        <w:t>20</w:t>
      </w:r>
      <w:r w:rsidR="00D6498E">
        <w:rPr>
          <w:sz w:val="20"/>
        </w:rPr>
        <w:t>20</w:t>
      </w:r>
    </w:p>
    <w:p w14:paraId="18732B84" w14:textId="77777777" w:rsidR="0014322C" w:rsidRPr="00614CC6" w:rsidRDefault="0014322C" w:rsidP="0014322C">
      <w:pPr>
        <w:rPr>
          <w:sz w:val="18"/>
          <w:szCs w:val="18"/>
        </w:rPr>
      </w:pPr>
      <w:r w:rsidRPr="00614CC6">
        <w:rPr>
          <w:sz w:val="18"/>
          <w:szCs w:val="18"/>
        </w:rPr>
        <w:t xml:space="preserve">Tous droits </w:t>
      </w:r>
      <w:r>
        <w:rPr>
          <w:sz w:val="18"/>
          <w:szCs w:val="18"/>
        </w:rPr>
        <w:t>réservé</w:t>
      </w:r>
      <w:r w:rsidRPr="00614CC6">
        <w:rPr>
          <w:sz w:val="18"/>
          <w:szCs w:val="18"/>
        </w:rPr>
        <w:t xml:space="preserve">s. </w:t>
      </w:r>
      <w:r>
        <w:rPr>
          <w:sz w:val="18"/>
          <w:szCs w:val="18"/>
        </w:rPr>
        <w:t>Aucune partie de cette publication ne peut être reproduite, par quelque procédé que ce soit, sans l’accord écrit préalable de l’UIT</w:t>
      </w:r>
      <w:r w:rsidRPr="00614CC6">
        <w:rPr>
          <w:sz w:val="18"/>
          <w:szCs w:val="18"/>
        </w:rPr>
        <w:t>.</w:t>
      </w:r>
    </w:p>
    <w:p w14:paraId="155912A4" w14:textId="77777777" w:rsidR="0014322C" w:rsidRPr="00614CC6" w:rsidRDefault="0014322C" w:rsidP="0014322C">
      <w:pPr>
        <w:spacing w:before="160"/>
        <w:rPr>
          <w:i/>
          <w:sz w:val="20"/>
          <w:highlight w:val="yellow"/>
        </w:rPr>
        <w:sectPr w:rsidR="0014322C" w:rsidRPr="00614CC6" w:rsidSect="0014322C">
          <w:headerReference w:type="even" r:id="rId11"/>
          <w:headerReference w:type="default" r:id="rId12"/>
          <w:pgSz w:w="11907" w:h="16834" w:code="9"/>
          <w:pgMar w:top="1418" w:right="1134" w:bottom="1134" w:left="1134" w:header="720" w:footer="482" w:gutter="0"/>
          <w:pgNumType w:fmt="lowerRoman" w:start="2"/>
          <w:cols w:space="720"/>
        </w:sectPr>
      </w:pPr>
    </w:p>
    <w:p w14:paraId="4C14BB45" w14:textId="12694669" w:rsidR="00D6498E" w:rsidRPr="00170CD7" w:rsidRDefault="00403476" w:rsidP="00D6498E">
      <w:pPr>
        <w:pStyle w:val="RecNo"/>
        <w:spacing w:before="0"/>
      </w:pPr>
      <w:bookmarkStart w:id="4" w:name="irecnoe"/>
      <w:bookmarkEnd w:id="4"/>
      <w:r>
        <w:lastRenderedPageBreak/>
        <w:t xml:space="preserve">RECOMMANDATION  </w:t>
      </w:r>
      <w:r>
        <w:rPr>
          <w:rStyle w:val="href"/>
        </w:rPr>
        <w:t>UIT-R  BT</w:t>
      </w:r>
      <w:bookmarkEnd w:id="0"/>
      <w:r w:rsidR="00586BCF">
        <w:rPr>
          <w:rStyle w:val="href"/>
        </w:rPr>
        <w:t>.</w:t>
      </w:r>
      <w:r w:rsidR="00D6498E">
        <w:rPr>
          <w:rStyle w:val="href"/>
        </w:rPr>
        <w:t>2133-0</w:t>
      </w:r>
    </w:p>
    <w:p w14:paraId="5261279F" w14:textId="77777777" w:rsidR="00D6498E" w:rsidRPr="00170CD7" w:rsidRDefault="00D6498E" w:rsidP="00AB4374">
      <w:pPr>
        <w:pStyle w:val="Rectitle"/>
      </w:pPr>
      <w:r w:rsidRPr="00170CD7">
        <w:t xml:space="preserve">Transport de contenus audiovisuels en immersion évolués dans </w:t>
      </w:r>
      <w:r w:rsidRPr="00170CD7">
        <w:br/>
        <w:t>les systèmes de radiodiffusion basés sur le protocole IP</w:t>
      </w:r>
    </w:p>
    <w:p w14:paraId="7439EBA1" w14:textId="77777777" w:rsidR="00D6498E" w:rsidRPr="00170CD7" w:rsidRDefault="00D6498E" w:rsidP="00D6498E">
      <w:pPr>
        <w:pStyle w:val="Recdate"/>
      </w:pPr>
      <w:r w:rsidRPr="00170CD7">
        <w:t>(2019)</w:t>
      </w:r>
    </w:p>
    <w:p w14:paraId="6D117CC4" w14:textId="77777777" w:rsidR="00D6498E" w:rsidRPr="00170CD7" w:rsidRDefault="00D6498E" w:rsidP="00D6498E">
      <w:pPr>
        <w:pStyle w:val="HeadingSum"/>
        <w:rPr>
          <w:lang w:val="fr-FR"/>
        </w:rPr>
      </w:pPr>
      <w:r w:rsidRPr="00170CD7">
        <w:rPr>
          <w:lang w:val="fr-FR"/>
        </w:rPr>
        <w:t>Domaine d'application</w:t>
      </w:r>
    </w:p>
    <w:p w14:paraId="52EC6004" w14:textId="77777777" w:rsidR="00D6498E" w:rsidRPr="00170CD7" w:rsidRDefault="00D6498E" w:rsidP="00020642">
      <w:pPr>
        <w:pStyle w:val="Summary"/>
        <w:spacing w:after="240"/>
        <w:rPr>
          <w:lang w:val="fr-FR"/>
        </w:rPr>
      </w:pPr>
      <w:r w:rsidRPr="00170CD7">
        <w:rPr>
          <w:lang w:val="fr-FR" w:eastAsia="ja-JP"/>
        </w:rPr>
        <w:t>La présente Recommandation donne des orientations sur l'utilisation de la norme ISO/CEI 23090-2 (Format de média omnidirectionnel, également appelé format OMAF) pour le transport de contenus audiovisuels en immersion évolués dans les systèmes de radiodiffusion basés sur le protocole IP.</w:t>
      </w:r>
    </w:p>
    <w:p w14:paraId="29DEEE2C" w14:textId="77777777" w:rsidR="00D6498E" w:rsidRPr="00170CD7" w:rsidRDefault="00D6498E" w:rsidP="00020642">
      <w:pPr>
        <w:pStyle w:val="Headingb"/>
      </w:pPr>
      <w:r w:rsidRPr="00020642">
        <w:t>Mots</w:t>
      </w:r>
      <w:r w:rsidRPr="00170CD7">
        <w:t xml:space="preserve"> clés</w:t>
      </w:r>
    </w:p>
    <w:p w14:paraId="6863DC35" w14:textId="77777777" w:rsidR="00D6498E" w:rsidRPr="00170CD7" w:rsidRDefault="00D6498E" w:rsidP="00D6498E">
      <w:pPr>
        <w:rPr>
          <w:lang w:eastAsia="ja-JP"/>
        </w:rPr>
      </w:pPr>
      <w:bookmarkStart w:id="5" w:name="lt_pId067"/>
      <w:r w:rsidRPr="00170CD7">
        <w:t>Médias en immersion, réalité virtuelle, vidéo à</w:t>
      </w:r>
      <w:r w:rsidRPr="00170CD7">
        <w:rPr>
          <w:rFonts w:asciiTheme="majorBidi" w:hAnsiTheme="majorBidi" w:cstheme="majorBidi"/>
        </w:rPr>
        <w:t xml:space="preserve"> 360°</w:t>
      </w:r>
      <w:r w:rsidRPr="00170CD7">
        <w:t xml:space="preserve">, transport, </w:t>
      </w:r>
      <w:bookmarkEnd w:id="5"/>
      <w:r w:rsidRPr="00170CD7">
        <w:t>radiodiffusion IP</w:t>
      </w:r>
    </w:p>
    <w:p w14:paraId="5A03CF5E" w14:textId="77777777" w:rsidR="00D6498E" w:rsidRPr="00170CD7" w:rsidRDefault="00D6498E" w:rsidP="00020642">
      <w:pPr>
        <w:pStyle w:val="Normalaftertitle"/>
        <w:spacing w:before="240"/>
      </w:pPr>
      <w:r w:rsidRPr="00170CD7">
        <w:t>L'Assemblée des radiocommunications de l'UIT,</w:t>
      </w:r>
    </w:p>
    <w:p w14:paraId="5F373B7D" w14:textId="77777777" w:rsidR="00D6498E" w:rsidRPr="00170CD7" w:rsidRDefault="00D6498E" w:rsidP="00D6498E">
      <w:pPr>
        <w:pStyle w:val="Call"/>
      </w:pPr>
      <w:r w:rsidRPr="00170CD7">
        <w:t>considérant</w:t>
      </w:r>
    </w:p>
    <w:p w14:paraId="64F20B4A" w14:textId="77777777" w:rsidR="00D6498E" w:rsidRPr="00170CD7" w:rsidRDefault="00D6498E" w:rsidP="00D6498E">
      <w:r w:rsidRPr="00170CD7">
        <w:rPr>
          <w:i/>
          <w:iCs/>
        </w:rPr>
        <w:t>a)</w:t>
      </w:r>
      <w:r w:rsidRPr="00170CD7">
        <w:tab/>
        <w:t>que la réalité virtuelle, la vidéo à 360° et d'autres technologies de médias en immersion suscitent l'attention des fournisseurs de contenus, du public et des fournisseurs de technologies grand public associées;</w:t>
      </w:r>
    </w:p>
    <w:p w14:paraId="34A810C4" w14:textId="77777777" w:rsidR="00D6498E" w:rsidRPr="00020642" w:rsidRDefault="00D6498E" w:rsidP="00D6498E">
      <w:r w:rsidRPr="00020642">
        <w:rPr>
          <w:i/>
          <w:iCs/>
        </w:rPr>
        <w:t>b)</w:t>
      </w:r>
      <w:r w:rsidRPr="00020642">
        <w:tab/>
        <w:t>que la Recommandation UIT-R BT.2123 définit les valeurs de paramètres des systèmes audiovisuels en immersion évolués, y compris la vidéo à 360°, pour la production et l'échange international de programmes de radiodiffusion;</w:t>
      </w:r>
    </w:p>
    <w:p w14:paraId="2E9804D9" w14:textId="77777777" w:rsidR="00D6498E" w:rsidRPr="00020642" w:rsidRDefault="00D6498E" w:rsidP="00D6498E">
      <w:r w:rsidRPr="00020642">
        <w:rPr>
          <w:i/>
          <w:iCs/>
        </w:rPr>
        <w:t>c)</w:t>
      </w:r>
      <w:r w:rsidRPr="00020642">
        <w:tab/>
        <w:t>que la norme ISO/CEI 23090-2, relative au format de média omnidirectionnel (OMAF), définit l'encapsulation, la signalisation et le streaming des médias omnidirectionnels pour l'acheminement MMT (transport des médias MPEG) tel que défini dans la norme ISO/CEI 23008-1 et pour l'acheminement MPEG-DASH (diffusion en flux adaptatif dynamique sur HTTP) tel que défini dans la norme ISO/CEI 23009-1;</w:t>
      </w:r>
    </w:p>
    <w:p w14:paraId="18FEC3EA" w14:textId="77777777" w:rsidR="00D6498E" w:rsidRPr="00020642" w:rsidRDefault="00D6498E" w:rsidP="00D6498E">
      <w:r w:rsidRPr="00020642">
        <w:rPr>
          <w:i/>
          <w:iCs/>
        </w:rPr>
        <w:t>d)</w:t>
      </w:r>
      <w:r w:rsidRPr="00020642">
        <w:tab/>
        <w:t>que les systèmes de radiodiffusion IP peuvent être étendus afin de prendre en charge le format OMAF pour le transport de contenus audiovisuels en immersion évolués;</w:t>
      </w:r>
    </w:p>
    <w:p w14:paraId="00AE9BA3" w14:textId="77777777" w:rsidR="00D6498E" w:rsidRPr="00020642" w:rsidRDefault="00D6498E" w:rsidP="00D6498E">
      <w:r w:rsidRPr="00020642">
        <w:rPr>
          <w:i/>
          <w:iCs/>
        </w:rPr>
        <w:t>e)</w:t>
      </w:r>
      <w:r w:rsidRPr="00020642">
        <w:tab/>
        <w:t xml:space="preserve">que des orientations sur l'utilisation de la norme OMAF dans les systèmes de radiodiffusion IP </w:t>
      </w:r>
      <w:proofErr w:type="gramStart"/>
      <w:r w:rsidRPr="00020642">
        <w:t>faciliteront</w:t>
      </w:r>
      <w:proofErr w:type="gramEnd"/>
      <w:r w:rsidRPr="00020642">
        <w:t xml:space="preserve"> le développement et le déploiement de ces systèmes par les radiodiffuseurs,</w:t>
      </w:r>
    </w:p>
    <w:p w14:paraId="45957576" w14:textId="77777777" w:rsidR="00D6498E" w:rsidRPr="00170CD7" w:rsidRDefault="00D6498E" w:rsidP="00D6498E">
      <w:pPr>
        <w:pStyle w:val="Call"/>
      </w:pPr>
      <w:r w:rsidRPr="00170CD7">
        <w:t>considérant en outre</w:t>
      </w:r>
    </w:p>
    <w:p w14:paraId="11C80105" w14:textId="77777777" w:rsidR="00D6498E" w:rsidRPr="00170CD7" w:rsidRDefault="00D6498E" w:rsidP="00D6498E">
      <w:r w:rsidRPr="00170CD7">
        <w:rPr>
          <w:i/>
          <w:iCs/>
        </w:rPr>
        <w:t>a)</w:t>
      </w:r>
      <w:r w:rsidRPr="00170CD7">
        <w:tab/>
        <w:t>que la Recommandation UIT-R BT.1869 définit des mécanismes de multiplexage des paquets IP dans les systèmes de radiodiffusion;</w:t>
      </w:r>
    </w:p>
    <w:p w14:paraId="40DBD0E4" w14:textId="77777777" w:rsidR="00D6498E" w:rsidRPr="00170CD7" w:rsidRDefault="00D6498E" w:rsidP="00D6498E">
      <w:r w:rsidRPr="00170CD7">
        <w:rPr>
          <w:i/>
          <w:iCs/>
        </w:rPr>
        <w:t>b)</w:t>
      </w:r>
      <w:r w:rsidRPr="00170CD7">
        <w:tab/>
        <w:t>que la Recommandation UIT-R BT.2074 définit la configuration des services, le protocole de transport des médias et les informations de signalisation nécessaires pour les systèmes de radiodiffusion IP utilisant la norme MMT,</w:t>
      </w:r>
    </w:p>
    <w:p w14:paraId="4BE99DE2" w14:textId="77777777" w:rsidR="00D6498E" w:rsidRPr="00170CD7" w:rsidRDefault="00D6498E" w:rsidP="00D6498E">
      <w:pPr>
        <w:pStyle w:val="Call"/>
      </w:pPr>
      <w:r w:rsidRPr="00170CD7">
        <w:t>recommande</w:t>
      </w:r>
    </w:p>
    <w:p w14:paraId="5C5AC5E2" w14:textId="77777777" w:rsidR="00D6498E" w:rsidRPr="00170CD7" w:rsidRDefault="00D6498E" w:rsidP="00D6498E">
      <w:pPr>
        <w:rPr>
          <w:lang w:eastAsia="ja-JP"/>
        </w:rPr>
      </w:pPr>
      <w:r w:rsidRPr="00170CD7">
        <w:rPr>
          <w:lang w:eastAsia="ja-JP"/>
        </w:rPr>
        <w:t>de se référer aux orientations fournies dans l'Annexe 1 lorsque des contenus audiovisuels en immersion évolués doivent être transportés dans un système de radiodiffusion IP utilisant le format de média omnidirectionnel (OMAF) défini dans la norme ISO/CEI 23090-2.</w:t>
      </w:r>
    </w:p>
    <w:p w14:paraId="216666B0" w14:textId="1648EFEA" w:rsidR="00D6498E" w:rsidRPr="00170CD7" w:rsidRDefault="00D6498E" w:rsidP="00020642">
      <w:pPr>
        <w:pStyle w:val="Note"/>
        <w:rPr>
          <w:lang w:eastAsia="ja-JP"/>
        </w:rPr>
      </w:pPr>
      <w:r w:rsidRPr="00170CD7">
        <w:rPr>
          <w:lang w:eastAsia="ja-JP"/>
        </w:rPr>
        <w:t>NOTE 1</w:t>
      </w:r>
      <w:r w:rsidR="00020642">
        <w:rPr>
          <w:lang w:eastAsia="ja-JP"/>
        </w:rPr>
        <w:t> </w:t>
      </w:r>
      <w:r w:rsidRPr="00170CD7">
        <w:rPr>
          <w:lang w:eastAsia="ja-JP"/>
        </w:rPr>
        <w:t>–</w:t>
      </w:r>
      <w:r w:rsidR="00020642">
        <w:rPr>
          <w:lang w:eastAsia="ja-JP"/>
        </w:rPr>
        <w:t> </w:t>
      </w:r>
      <w:r w:rsidRPr="00170CD7">
        <w:rPr>
          <w:lang w:eastAsia="ja-JP"/>
        </w:rPr>
        <w:t>L'</w:t>
      </w:r>
      <w:r w:rsidRPr="00170CD7">
        <w:t>Annexe</w:t>
      </w:r>
      <w:r w:rsidR="00020642">
        <w:t> </w:t>
      </w:r>
      <w:r w:rsidRPr="00170CD7">
        <w:rPr>
          <w:lang w:eastAsia="ja-JP"/>
        </w:rPr>
        <w:t>2 donne un aperçu de la norme OMAF (ISO/CEI 23090-2), pour information.</w:t>
      </w:r>
    </w:p>
    <w:p w14:paraId="707E43E1" w14:textId="36236199" w:rsidR="00D6498E" w:rsidRPr="00170CD7" w:rsidRDefault="00D6498E" w:rsidP="00020642">
      <w:pPr>
        <w:pStyle w:val="Note"/>
        <w:rPr>
          <w:lang w:eastAsia="ja-JP"/>
        </w:rPr>
      </w:pPr>
      <w:r w:rsidRPr="00170CD7">
        <w:rPr>
          <w:lang w:eastAsia="ja-JP"/>
        </w:rPr>
        <w:t>NOTE</w:t>
      </w:r>
      <w:r w:rsidR="00020642">
        <w:rPr>
          <w:lang w:eastAsia="ja-JP"/>
        </w:rPr>
        <w:t> </w:t>
      </w:r>
      <w:r w:rsidRPr="00170CD7">
        <w:rPr>
          <w:lang w:eastAsia="ja-JP"/>
        </w:rPr>
        <w:t>2</w:t>
      </w:r>
      <w:r w:rsidR="00020642">
        <w:rPr>
          <w:lang w:eastAsia="ja-JP"/>
        </w:rPr>
        <w:t> </w:t>
      </w:r>
      <w:r w:rsidRPr="00170CD7">
        <w:rPr>
          <w:lang w:eastAsia="ja-JP"/>
        </w:rPr>
        <w:t>–</w:t>
      </w:r>
      <w:r w:rsidR="00020642">
        <w:rPr>
          <w:lang w:eastAsia="ja-JP"/>
        </w:rPr>
        <w:t> </w:t>
      </w:r>
      <w:r w:rsidRPr="00170CD7">
        <w:rPr>
          <w:lang w:eastAsia="ja-JP"/>
        </w:rPr>
        <w:t>L'Annexe</w:t>
      </w:r>
      <w:r w:rsidR="00020642">
        <w:rPr>
          <w:lang w:eastAsia="ja-JP"/>
        </w:rPr>
        <w:t> </w:t>
      </w:r>
      <w:r w:rsidRPr="00170CD7">
        <w:rPr>
          <w:lang w:eastAsia="ja-JP"/>
        </w:rPr>
        <w:t>3 présente les structures de couches possibles pour les contenus audiovisuels en immersion évolués dans les systèmes de radiodiffusion IP, pour information.</w:t>
      </w:r>
    </w:p>
    <w:p w14:paraId="02428FB0" w14:textId="77777777" w:rsidR="00D6498E" w:rsidRPr="00170CD7" w:rsidRDefault="00D6498E" w:rsidP="00D6498E">
      <w:pPr>
        <w:pStyle w:val="AnnexNoTitle"/>
      </w:pPr>
      <w:bookmarkStart w:id="6" w:name="_Hlk521687689"/>
      <w:r w:rsidRPr="00170CD7">
        <w:lastRenderedPageBreak/>
        <w:t>Annexe 1</w:t>
      </w:r>
      <w:r w:rsidRPr="00170CD7">
        <w:br/>
      </w:r>
      <w:r w:rsidRPr="00170CD7">
        <w:br/>
        <w:t xml:space="preserve">Orientations sur l'utilisation de la norme ISO/CEI 23090-2 </w:t>
      </w:r>
      <w:r w:rsidRPr="00170CD7">
        <w:br/>
        <w:t>pour les systèmes de radiodiffusion IP</w:t>
      </w:r>
      <w:bookmarkEnd w:id="6"/>
    </w:p>
    <w:p w14:paraId="4E8F0DE8" w14:textId="77777777" w:rsidR="00D6498E" w:rsidRPr="00170CD7" w:rsidRDefault="00D6498E" w:rsidP="00D6498E">
      <w:pPr>
        <w:pStyle w:val="Normalaftertitle"/>
        <w:rPr>
          <w:lang w:eastAsia="ja-JP"/>
        </w:rPr>
      </w:pPr>
      <w:r w:rsidRPr="00170CD7">
        <w:rPr>
          <w:lang w:eastAsia="ja-JP"/>
        </w:rPr>
        <w:t>Les profils de présentation OMAF définissent les exigences et les contraintes pour les pistes ou les éléments d'un nombre quelconque de types de médias. Il convient d'utiliser le profil de présentation de base OMAF indépendant de l'aire d'affichage. Ce profil répond aux exigences de base pour prendre en charge l'audio 3D et les vidéos omnidirectionnelles et 3D. Les vidéos monoscopiques et stéréoscopiques sont toutes deux prises en charge.</w:t>
      </w:r>
    </w:p>
    <w:p w14:paraId="6115553F" w14:textId="77777777" w:rsidR="00D6498E" w:rsidRPr="00170CD7" w:rsidRDefault="00D6498E" w:rsidP="00D6498E">
      <w:pPr>
        <w:rPr>
          <w:lang w:eastAsia="ja-JP"/>
        </w:rPr>
      </w:pPr>
      <w:r w:rsidRPr="00170CD7">
        <w:rPr>
          <w:lang w:eastAsia="ja-JP"/>
        </w:rPr>
        <w:t>Une piste vidéo doit être conforme au profil vidéo OMAF indépendant de l'aire d'affichage et basé sur le codage HEVC, qui prend en charge à la fois les vidéos monoscopiques et stéréoscopiques sphériques jusqu'à 360°. Le flux binaire de la piste est conforme au profil HEVC principal 10, rang principal, niveau 5.1.</w:t>
      </w:r>
    </w:p>
    <w:p w14:paraId="0A744C2C" w14:textId="77777777" w:rsidR="00D6498E" w:rsidRPr="00170CD7" w:rsidRDefault="00D6498E" w:rsidP="00D6498E">
      <w:pPr>
        <w:rPr>
          <w:lang w:eastAsia="ja-JP"/>
        </w:rPr>
      </w:pPr>
      <w:r w:rsidRPr="00170CD7">
        <w:rPr>
          <w:lang w:eastAsia="ja-JP"/>
        </w:rPr>
        <w:t>Une piste audio doit être conforme au profil de base OMAF audio 3D, qui prend en charge des canaux, des objets et l'ambisonie d'ordre supérieur (HOA) en tant qu'audio 3D au moyen du codec MPEG-H audio 3D. La norme MPEG-H audio 3D définit une interface normative pour la direction d'observation de l'utilisateur et permet une restitution de la scène audio à faible complexité et à faible temps de latence, quelle que soit la direction d'observation de l'utilisateur. Le flux binaire de la piste est conforme au profil MPEG-H audio 3D à faible complexité, niveaux 1, 2 et 3.</w:t>
      </w:r>
    </w:p>
    <w:p w14:paraId="2A9AF83F" w14:textId="77777777" w:rsidR="00D6498E" w:rsidRPr="00170CD7" w:rsidRDefault="00D6498E" w:rsidP="00D6498E">
      <w:pPr>
        <w:rPr>
          <w:lang w:eastAsia="ja-JP"/>
        </w:rPr>
      </w:pPr>
      <w:r w:rsidRPr="00170CD7">
        <w:rPr>
          <w:lang w:eastAsia="ja-JP"/>
        </w:rPr>
        <w:t>Un texte synchronisé peut être transporté pour fournir, pour les vidéos omnidirectionnelles, des sous</w:t>
      </w:r>
      <w:r w:rsidRPr="00170CD7">
        <w:rPr>
          <w:lang w:eastAsia="ja-JP"/>
        </w:rPr>
        <w:noBreakHyphen/>
        <w:t>titres et des sous-titres codés, qui doivent être conformes soit aux profils IMSC1.1 du W3C (</w:t>
      </w:r>
      <w:r w:rsidRPr="00170CD7">
        <w:rPr>
          <w:i/>
          <w:iCs/>
          <w:lang w:eastAsia="ja-JP"/>
        </w:rPr>
        <w:t>TTML profiles for Internet Media Subtitles and Captions 1.1</w:t>
      </w:r>
      <w:r w:rsidRPr="00170CD7">
        <w:rPr>
          <w:lang w:eastAsia="ja-JP"/>
        </w:rPr>
        <w:t>), soit au format WebVTT (</w:t>
      </w:r>
      <w:r w:rsidRPr="00170CD7">
        <w:rPr>
          <w:i/>
          <w:iCs/>
          <w:lang w:eastAsia="ja-JP"/>
        </w:rPr>
        <w:t>Web Video Text Tracks</w:t>
      </w:r>
      <w:r w:rsidRPr="00170CD7">
        <w:rPr>
          <w:lang w:eastAsia="ja-JP"/>
        </w:rPr>
        <w:t>). Le texte synchronisé peut soit avoir une position fixe, auquel cas il ne se déplace pas en fonction de la direction d'observation de l'utilisateur, soit être toujours visible, auquel cas il est toujours visible par l'utilisateur, quelle que soit la direction d'observation de celui-ci.</w:t>
      </w:r>
    </w:p>
    <w:p w14:paraId="16324E93" w14:textId="77777777" w:rsidR="00D6498E" w:rsidRPr="00170CD7" w:rsidRDefault="00D6498E" w:rsidP="00D6498E">
      <w:pPr>
        <w:rPr>
          <w:lang w:eastAsia="ja-JP"/>
        </w:rPr>
      </w:pPr>
      <w:r w:rsidRPr="00170CD7">
        <w:rPr>
          <w:lang w:eastAsia="ja-JP"/>
        </w:rPr>
        <w:t>Une direction d'observation initiale peut être transportée parmi les métadonnées synchronisées afin de permettre à l'auteur des contenus d'indiquer qu'une direction d'observation particulière est recommandée pour les utilisateurs.</w:t>
      </w:r>
    </w:p>
    <w:p w14:paraId="22FD0E08" w14:textId="77777777" w:rsidR="00D6498E" w:rsidRPr="00170CD7" w:rsidRDefault="00D6498E" w:rsidP="00D6498E">
      <w:pPr>
        <w:rPr>
          <w:lang w:eastAsia="ja-JP"/>
        </w:rPr>
      </w:pPr>
    </w:p>
    <w:p w14:paraId="61101E53" w14:textId="77777777" w:rsidR="00D6498E" w:rsidRPr="00170CD7" w:rsidRDefault="00D6498E" w:rsidP="00D6498E">
      <w:pPr>
        <w:rPr>
          <w:lang w:eastAsia="ja-JP"/>
        </w:rPr>
      </w:pPr>
    </w:p>
    <w:p w14:paraId="326D704A" w14:textId="77777777" w:rsidR="00D6498E" w:rsidRPr="00170CD7" w:rsidRDefault="00D6498E" w:rsidP="00020642">
      <w:pPr>
        <w:pStyle w:val="AnnexNoTitle"/>
      </w:pPr>
      <w:r w:rsidRPr="00170CD7">
        <w:t>Annexe 2</w:t>
      </w:r>
      <w:r w:rsidRPr="00170CD7">
        <w:br/>
        <w:t>(pour information)</w:t>
      </w:r>
      <w:r w:rsidRPr="00170CD7">
        <w:br/>
      </w:r>
      <w:r w:rsidRPr="00170CD7">
        <w:br/>
      </w:r>
      <w:r w:rsidRPr="00170CD7">
        <w:rPr>
          <w:lang w:eastAsia="ja-JP"/>
        </w:rPr>
        <w:t>Aperçu de la norme OMAF (</w:t>
      </w:r>
      <w:r w:rsidRPr="00170CD7">
        <w:t>ISO/CEI 23090-2)</w:t>
      </w:r>
    </w:p>
    <w:p w14:paraId="2B79A55E" w14:textId="0BE0FA1A" w:rsidR="00D6498E" w:rsidRPr="00170CD7" w:rsidRDefault="00D6498E" w:rsidP="00D6498E">
      <w:pPr>
        <w:spacing w:before="320"/>
        <w:rPr>
          <w:lang w:eastAsia="ja-JP"/>
        </w:rPr>
      </w:pPr>
      <w:r w:rsidRPr="00170CD7">
        <w:rPr>
          <w:rStyle w:val="NormalaftertitleChar"/>
        </w:rPr>
        <w:t>La norme ISO/CEI 23090-2 (format de média omnidirectionnel, OMAF) définit un format de média qui rend possibles des applications de médias omnidirectionnels, incluant des vidéos, des images et de l'audio à 360°, ainsi que du texte synchronisé associé. Elle spécifie également diverses technologies, telles que les méthodes de compression par région, qui peuvent être utilisées pour</w:t>
      </w:r>
      <w:r w:rsidRPr="00170CD7">
        <w:rPr>
          <w:lang w:eastAsia="ja-JP"/>
        </w:rPr>
        <w:t xml:space="preserve"> améliorer la qualité de l'image sur la base des informations obtenues à partir du suivi de la tête et des yeux au niveau du dispositif de l'utilisateur. La première version de la norme OMAF prend en charge </w:t>
      </w:r>
      <w:r w:rsidRPr="00170CD7">
        <w:rPr>
          <w:lang w:eastAsia="ja-JP"/>
        </w:rPr>
        <w:lastRenderedPageBreak/>
        <w:t>les contenus de réalité virtuelle à 360° avec 3 degrés de liberté</w:t>
      </w:r>
      <w:r w:rsidRPr="00170CD7">
        <w:rPr>
          <w:position w:val="6"/>
          <w:sz w:val="18"/>
          <w:lang w:eastAsia="ja-JP"/>
        </w:rPr>
        <w:footnoteReference w:id="1"/>
      </w:r>
      <w:r w:rsidRPr="00170CD7">
        <w:rPr>
          <w:lang w:eastAsia="ja-JP"/>
        </w:rPr>
        <w:t>. La Fig</w:t>
      </w:r>
      <w:r w:rsidR="00FF1793">
        <w:rPr>
          <w:lang w:eastAsia="ja-JP"/>
        </w:rPr>
        <w:t>. </w:t>
      </w:r>
      <w:r w:rsidRPr="00170CD7">
        <w:rPr>
          <w:lang w:eastAsia="ja-JP"/>
        </w:rPr>
        <w:t>1 montre un processus type de flux de contenus pour une application de médias omnidirectionnels avec vidéo projetée.</w:t>
      </w:r>
    </w:p>
    <w:p w14:paraId="74C9E2DC" w14:textId="77777777" w:rsidR="00D6498E" w:rsidRPr="00170CD7" w:rsidRDefault="00D6498E" w:rsidP="00D6498E">
      <w:pPr>
        <w:pStyle w:val="FigureNo"/>
      </w:pPr>
      <w:r w:rsidRPr="00170CD7">
        <w:t>FIGURE 1</w:t>
      </w:r>
    </w:p>
    <w:p w14:paraId="0010F85A" w14:textId="77777777" w:rsidR="00D6498E" w:rsidRPr="00170CD7" w:rsidRDefault="00D6498E" w:rsidP="00D6498E">
      <w:pPr>
        <w:pStyle w:val="Figuretitle"/>
      </w:pPr>
      <w:r w:rsidRPr="00170CD7">
        <w:t>Processus de flux de contenus pour des médias omnidirectionnels avec vidéo projetée</w:t>
      </w:r>
    </w:p>
    <w:p w14:paraId="261453DD" w14:textId="77777777" w:rsidR="00D6498E" w:rsidRPr="00170CD7" w:rsidRDefault="00D6498E" w:rsidP="00020642">
      <w:pPr>
        <w:keepNext/>
        <w:spacing w:after="120"/>
        <w:jc w:val="center"/>
        <w:rPr>
          <w:sz w:val="20"/>
        </w:rPr>
      </w:pPr>
      <w:r w:rsidRPr="00170CD7">
        <w:rPr>
          <w:sz w:val="20"/>
        </w:rPr>
        <w:t>(Cette figure est extraite de la norme ISO/CEI 23090-2.)</w:t>
      </w:r>
    </w:p>
    <w:p w14:paraId="74E1FD7B" w14:textId="77777777" w:rsidR="00D6498E" w:rsidRPr="00170CD7" w:rsidRDefault="00D6498E" w:rsidP="00020642">
      <w:pPr>
        <w:pStyle w:val="Figure"/>
      </w:pPr>
      <w:r w:rsidRPr="00170CD7">
        <w:object w:dxaOrig="8785" w:dyaOrig="5964" w14:anchorId="40520CE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9.55pt;height:297.2pt" o:ole="">
            <v:imagedata r:id="rId13" o:title=""/>
          </v:shape>
          <o:OLEObject Type="Embed" ProgID="CorelDraw.Graphic.17" ShapeID="_x0000_i1025" DrawAspect="Content" ObjectID="_1647840430" r:id="rId14"/>
        </w:object>
      </w:r>
    </w:p>
    <w:p w14:paraId="1CC64801" w14:textId="40C22527" w:rsidR="00D6498E" w:rsidRPr="00170CD7" w:rsidRDefault="00D6498E" w:rsidP="00D6498E">
      <w:pPr>
        <w:pStyle w:val="Normalaftertitle"/>
      </w:pPr>
      <w:r w:rsidRPr="00170CD7">
        <w:t>Le processus d'encapsulation du fichier/des segments de la Fig</w:t>
      </w:r>
      <w:r w:rsidR="00020642">
        <w:t>. </w:t>
      </w:r>
      <w:r w:rsidRPr="00170CD7">
        <w:t>1 comprend l'encapsulation des métadonnées dans le fichier ou les segments. Parmi les exemples de métadonnées, on peut citer les informations de projection et de compression par région destinées à faciliter la restitution des images compressées décodées.</w:t>
      </w:r>
    </w:p>
    <w:p w14:paraId="7DC50CA0" w14:textId="77777777" w:rsidR="00D6498E" w:rsidRPr="00170CD7" w:rsidRDefault="00D6498E" w:rsidP="00020642">
      <w:r w:rsidRPr="00170CD7">
        <w:t>Sur la base du processus de flux susmentionné, les spécifications de la norme OMAF sont les suivantes:</w:t>
      </w:r>
    </w:p>
    <w:p w14:paraId="0B825428" w14:textId="77777777" w:rsidR="00D6498E" w:rsidRPr="00170CD7" w:rsidRDefault="00D6498E" w:rsidP="00D6498E">
      <w:pPr>
        <w:pStyle w:val="enumlev1"/>
      </w:pPr>
      <w:r w:rsidRPr="00170CD7">
        <w:rPr>
          <w:lang w:eastAsia="ja-JP"/>
        </w:rPr>
        <w:t>–</w:t>
      </w:r>
      <w:r w:rsidRPr="00170CD7">
        <w:rPr>
          <w:lang w:eastAsia="ja-JP"/>
        </w:rPr>
        <w:tab/>
      </w:r>
      <w:r w:rsidRPr="00170CD7">
        <w:t>un système de coordonnées et les équations pour les formats de projections omnidirectionnelles équirectangulaire et sur un plan cubique, la conversion depuis les axes de coordonnées locales vers les axes de coordonnées globales, et la compression par région rectangulaire;</w:t>
      </w:r>
    </w:p>
    <w:p w14:paraId="21E34A17" w14:textId="77777777" w:rsidR="00D6498E" w:rsidRPr="00170CD7" w:rsidRDefault="00D6498E" w:rsidP="00D6498E">
      <w:pPr>
        <w:pStyle w:val="enumlev1"/>
      </w:pPr>
      <w:r w:rsidRPr="00170CD7">
        <w:t>–</w:t>
      </w:r>
      <w:r w:rsidRPr="00170CD7">
        <w:tab/>
        <w:t>des extensions du format ISO de base de fichier média pour les médias omnidirectionnels ainsi que pour les métadonnées synchronisées pour les régions de la sphère;</w:t>
      </w:r>
    </w:p>
    <w:p w14:paraId="279E19BE" w14:textId="77777777" w:rsidR="00D6498E" w:rsidRPr="00170CD7" w:rsidRDefault="00D6498E" w:rsidP="00D6498E">
      <w:pPr>
        <w:pStyle w:val="enumlev1"/>
      </w:pPr>
      <w:r w:rsidRPr="00170CD7">
        <w:t>–</w:t>
      </w:r>
      <w:r w:rsidRPr="00170CD7">
        <w:tab/>
        <w:t>des extensions des normes MMT et MPEG-DASH pour les médias omnidirectionnels;</w:t>
      </w:r>
    </w:p>
    <w:p w14:paraId="774E4924" w14:textId="77777777" w:rsidR="00D6498E" w:rsidRPr="00170CD7" w:rsidRDefault="00D6498E" w:rsidP="00D6498E">
      <w:pPr>
        <w:pStyle w:val="enumlev1"/>
      </w:pPr>
      <w:r w:rsidRPr="00170CD7">
        <w:lastRenderedPageBreak/>
        <w:t>–</w:t>
      </w:r>
      <w:r w:rsidRPr="00170CD7">
        <w:tab/>
        <w:t xml:space="preserve">des profils de médias tels que le profil vidéo </w:t>
      </w:r>
      <w:r w:rsidRPr="00170CD7">
        <w:rPr>
          <w:lang w:eastAsia="ja-JP"/>
        </w:rPr>
        <w:t>indépendant de l'aire d'affichage et basé sur le codage HEVC</w:t>
      </w:r>
      <w:r w:rsidRPr="00170CD7">
        <w:t>, le profil de base audio 3D, le profil d'image HEVC et le profil de texte synchronisé IMSC1.1;</w:t>
      </w:r>
    </w:p>
    <w:p w14:paraId="1158CFFC" w14:textId="77777777" w:rsidR="00D6498E" w:rsidRPr="00170CD7" w:rsidRDefault="00D6498E" w:rsidP="00D6498E">
      <w:pPr>
        <w:pStyle w:val="enumlev1"/>
      </w:pPr>
      <w:r w:rsidRPr="00170CD7">
        <w:t>–</w:t>
      </w:r>
      <w:r w:rsidRPr="00170CD7">
        <w:tab/>
        <w:t>des profils de présentation basés sur certains profils de médias OMAF, tels que le profil de présentation de base indépendant de l'aire d'affichage et le profil de présentation de base dépendant de l'aire d'affichage.</w:t>
      </w:r>
    </w:p>
    <w:p w14:paraId="172FAB39" w14:textId="77777777" w:rsidR="00D6498E" w:rsidRPr="00170CD7" w:rsidRDefault="00D6498E" w:rsidP="00D6498E"/>
    <w:p w14:paraId="1AC877C9" w14:textId="77777777" w:rsidR="00D6498E" w:rsidRPr="00170CD7" w:rsidRDefault="00D6498E" w:rsidP="00D6498E"/>
    <w:p w14:paraId="17A817D7" w14:textId="77777777" w:rsidR="00D6498E" w:rsidRPr="00170CD7" w:rsidRDefault="00D6498E" w:rsidP="00D6498E">
      <w:pPr>
        <w:pStyle w:val="AnnexNoTitle"/>
      </w:pPr>
      <w:r w:rsidRPr="00170CD7">
        <w:t>Annexe 3</w:t>
      </w:r>
      <w:r w:rsidRPr="00170CD7">
        <w:br/>
        <w:t>(pour information)</w:t>
      </w:r>
      <w:r w:rsidRPr="00170CD7">
        <w:br/>
      </w:r>
      <w:r w:rsidRPr="00170CD7">
        <w:br/>
        <w:t xml:space="preserve">Structures de couches possibles pour le transport de contenus audiovisuels </w:t>
      </w:r>
      <w:r w:rsidRPr="00170CD7">
        <w:br/>
        <w:t>en immersion évolués dans les systèmes de radiodiffusion</w:t>
      </w:r>
    </w:p>
    <w:p w14:paraId="26A740F7" w14:textId="4D772329" w:rsidR="00D6498E" w:rsidRPr="00170CD7" w:rsidRDefault="00D6498E" w:rsidP="00020642">
      <w:pPr>
        <w:pStyle w:val="Normalaftertitle"/>
        <w:rPr>
          <w:lang w:eastAsia="ja-JP"/>
        </w:rPr>
      </w:pPr>
      <w:r w:rsidRPr="00170CD7">
        <w:rPr>
          <w:lang w:eastAsia="ja-JP"/>
        </w:rPr>
        <w:t>La spécification OMAF stipule que les contenus OMAF sont acheminés selon la norme MMT ou MPEG-DASH. Les contenus audiovisuels en immersion évolués encapsulés au format OMAF peuvent être acheminés dans des systèmes de radiodiffusion IP qui adoptent la norme MMT ou MPEG-DASH. La Fig</w:t>
      </w:r>
      <w:r w:rsidR="00FF1793">
        <w:rPr>
          <w:lang w:eastAsia="ja-JP"/>
        </w:rPr>
        <w:t>. </w:t>
      </w:r>
      <w:r w:rsidRPr="00170CD7">
        <w:rPr>
          <w:lang w:eastAsia="ja-JP"/>
        </w:rPr>
        <w:t>2 montre les structures de couches possibles pour les contenus audiovisuels en immersion évolués dans les systèmes ISDB-S3 et ATSC 3.0. Dans ces cas, les vidéos omnidirectionnelles à 360° sont acheminées simultanément à un grand nombre d'utilisateurs via des canaux de radiodiffusion unidirectionnels.</w:t>
      </w:r>
    </w:p>
    <w:p w14:paraId="7973FD7F" w14:textId="77777777" w:rsidR="00D6498E" w:rsidRPr="00170CD7" w:rsidRDefault="00D6498E" w:rsidP="00D6498E">
      <w:pPr>
        <w:pStyle w:val="FigureNo"/>
      </w:pPr>
      <w:r w:rsidRPr="00170CD7">
        <w:t>FIGURE 2</w:t>
      </w:r>
    </w:p>
    <w:p w14:paraId="71D0F30F" w14:textId="77777777" w:rsidR="00D6498E" w:rsidRPr="00170CD7" w:rsidRDefault="00D6498E" w:rsidP="00D6498E">
      <w:pPr>
        <w:pStyle w:val="Figuretitle"/>
      </w:pPr>
      <w:r w:rsidRPr="00170CD7">
        <w:t xml:space="preserve">Structures de couches possibles pour le transport de contenus audiovisuels en </w:t>
      </w:r>
      <w:r w:rsidRPr="00170CD7">
        <w:br/>
        <w:t xml:space="preserve">immersion évolués dans les systèmes de radiodiffusion </w:t>
      </w:r>
    </w:p>
    <w:p w14:paraId="78098573" w14:textId="77777777" w:rsidR="00D6498E" w:rsidRPr="00170CD7" w:rsidRDefault="00D6498E" w:rsidP="00020642">
      <w:pPr>
        <w:pStyle w:val="Figure"/>
      </w:pPr>
      <w:r w:rsidRPr="00170CD7">
        <w:object w:dxaOrig="8874" w:dyaOrig="3289" w14:anchorId="26C68B68">
          <v:shape id="_x0000_i1026" type="#_x0000_t75" style="width:442.9pt;height:164.1pt" o:ole="">
            <v:imagedata r:id="rId15" o:title=""/>
          </v:shape>
          <o:OLEObject Type="Embed" ProgID="CorelDraw.Graphic.17" ShapeID="_x0000_i1026" DrawAspect="Content" ObjectID="_1647840431" r:id="rId16"/>
        </w:object>
      </w:r>
    </w:p>
    <w:p w14:paraId="14B05550" w14:textId="77777777" w:rsidR="00020642" w:rsidRDefault="00020642" w:rsidP="00020642"/>
    <w:p w14:paraId="4BC593DC" w14:textId="77777777" w:rsidR="00020642" w:rsidRDefault="00020642">
      <w:pPr>
        <w:jc w:val="center"/>
      </w:pPr>
      <w:r>
        <w:t>______________</w:t>
      </w:r>
    </w:p>
    <w:sectPr w:rsidR="00020642" w:rsidSect="00FE0C15">
      <w:headerReference w:type="even" r:id="rId17"/>
      <w:headerReference w:type="default" r:id="rId18"/>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AE15250" w14:textId="77777777" w:rsidR="001E7F51" w:rsidRDefault="001E7F51">
      <w:r>
        <w:separator/>
      </w:r>
    </w:p>
  </w:endnote>
  <w:endnote w:type="continuationSeparator" w:id="0">
    <w:p w14:paraId="1638A68F" w14:textId="77777777" w:rsidR="001E7F51" w:rsidRDefault="001E7F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B7B06A6" w14:textId="77777777" w:rsidR="001E7F51" w:rsidRDefault="001E7F51">
      <w:r>
        <w:separator/>
      </w:r>
    </w:p>
  </w:footnote>
  <w:footnote w:type="continuationSeparator" w:id="0">
    <w:p w14:paraId="5E4F7451" w14:textId="77777777" w:rsidR="001E7F51" w:rsidRDefault="001E7F51">
      <w:r>
        <w:continuationSeparator/>
      </w:r>
    </w:p>
  </w:footnote>
  <w:footnote w:id="1">
    <w:p w14:paraId="2051887C" w14:textId="77777777" w:rsidR="00D6498E" w:rsidRPr="00A323B4" w:rsidRDefault="00D6498E" w:rsidP="00D6498E">
      <w:pPr>
        <w:pStyle w:val="FootnoteText"/>
        <w:rPr>
          <w:szCs w:val="24"/>
        </w:rPr>
      </w:pPr>
      <w:r>
        <w:rPr>
          <w:rStyle w:val="FootnoteReference"/>
        </w:rPr>
        <w:footnoteRef/>
      </w:r>
      <w:r w:rsidRPr="00CB60D6">
        <w:tab/>
      </w:r>
      <w:r w:rsidRPr="00CB60D6">
        <w:rPr>
          <w:szCs w:val="24"/>
        </w:rPr>
        <w:t xml:space="preserve">Trois mouvements </w:t>
      </w:r>
      <w:r>
        <w:rPr>
          <w:szCs w:val="24"/>
        </w:rPr>
        <w:t xml:space="preserve">de rotation, </w:t>
      </w:r>
      <w:r w:rsidRPr="00CB60D6">
        <w:rPr>
          <w:szCs w:val="24"/>
        </w:rPr>
        <w:t>non limités</w:t>
      </w:r>
      <w:r>
        <w:rPr>
          <w:szCs w:val="24"/>
        </w:rPr>
        <w:t>,</w:t>
      </w:r>
      <w:r w:rsidRPr="00CB60D6">
        <w:rPr>
          <w:szCs w:val="24"/>
        </w:rPr>
        <w:t xml:space="preserve"> autour des axes X, Y et Z (respectivement tangage, lacet et roulis). Un cas d'utilisation type est celui d'un utilisateur assis sur une chaise et regardant librement autour de lui dans n'importe quelle direction</w:t>
      </w:r>
      <w:r w:rsidRPr="00A323B4">
        <w:rPr>
          <w:szCs w:val="24"/>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9BEA4B" w14:textId="77777777" w:rsidR="0043089F" w:rsidRDefault="0043089F">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6DCBF5" w14:textId="77777777" w:rsidR="0043089F" w:rsidRDefault="007B518B" w:rsidP="0014322C">
    <w:pPr>
      <w:pStyle w:val="Header"/>
      <w:ind w:right="360" w:firstLine="360"/>
    </w:pPr>
    <w:r>
      <w:rPr>
        <w:noProof/>
        <w:lang w:val="en-GB" w:eastAsia="en-GB"/>
      </w:rPr>
      <w:drawing>
        <wp:anchor distT="0" distB="0" distL="114300" distR="114300" simplePos="0" relativeHeight="251658240" behindDoc="1" locked="0" layoutInCell="1" allowOverlap="1" wp14:anchorId="5B826040" wp14:editId="33B364A5">
          <wp:simplePos x="0" y="0"/>
          <wp:positionH relativeFrom="page">
            <wp:posOffset>0</wp:posOffset>
          </wp:positionH>
          <wp:positionV relativeFrom="page">
            <wp:posOffset>0</wp:posOffset>
          </wp:positionV>
          <wp:extent cx="7592060" cy="10760075"/>
          <wp:effectExtent l="19050" t="0" r="8890" b="0"/>
          <wp:wrapNone/>
          <wp:docPr id="3" name="Picture 3"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321F34" w14:textId="0A154BB3" w:rsidR="0043089F" w:rsidRPr="00DC03C4" w:rsidRDefault="00E4537B">
    <w:pPr>
      <w:pStyle w:val="Header"/>
      <w:jc w:val="left"/>
      <w:rPr>
        <w:lang w:val="fr-CH"/>
      </w:rPr>
    </w:pPr>
    <w:r>
      <w:rPr>
        <w:rStyle w:val="PageNumber"/>
        <w:b/>
        <w:bCs/>
      </w:rPr>
      <w:fldChar w:fldCharType="begin"/>
    </w:r>
    <w:r w:rsidR="0043089F" w:rsidRPr="00DC03C4">
      <w:rPr>
        <w:rStyle w:val="PageNumber"/>
        <w:b/>
        <w:bCs/>
        <w:lang w:val="fr-CH"/>
      </w:rPr>
      <w:instrText xml:space="preserve"> PAGE </w:instrText>
    </w:r>
    <w:r>
      <w:rPr>
        <w:rStyle w:val="PageNumber"/>
        <w:b/>
        <w:bCs/>
      </w:rPr>
      <w:fldChar w:fldCharType="separate"/>
    </w:r>
    <w:r w:rsidR="00B3433C">
      <w:rPr>
        <w:rStyle w:val="PageNumber"/>
        <w:b/>
        <w:bCs/>
        <w:noProof/>
        <w:lang w:val="fr-CH"/>
      </w:rPr>
      <w:t>ii</w:t>
    </w:r>
    <w:r>
      <w:rPr>
        <w:rStyle w:val="PageNumber"/>
        <w:b/>
        <w:bCs/>
      </w:rPr>
      <w:fldChar w:fldCharType="end"/>
    </w:r>
    <w:r w:rsidR="0043089F" w:rsidRPr="00DC03C4">
      <w:rPr>
        <w:lang w:val="fr-CH"/>
      </w:rPr>
      <w:tab/>
    </w:r>
    <w:r w:rsidR="00B3433C">
      <w:rPr>
        <w:b/>
        <w:bCs/>
        <w:lang w:val="fr-CH"/>
      </w:rPr>
      <w:fldChar w:fldCharType="begin"/>
    </w:r>
    <w:r w:rsidR="00B3433C">
      <w:rPr>
        <w:b/>
        <w:bCs/>
        <w:lang w:val="fr-CH"/>
      </w:rPr>
      <w:instrText xml:space="preserve"> DOCPROPERTY "Header" \* MERGEFORMAT </w:instrText>
    </w:r>
    <w:r w:rsidR="00B3433C">
      <w:rPr>
        <w:b/>
        <w:bCs/>
        <w:lang w:val="fr-CH"/>
      </w:rPr>
      <w:fldChar w:fldCharType="separate"/>
    </w:r>
    <w:r w:rsidR="00986751">
      <w:rPr>
        <w:b/>
        <w:bCs/>
        <w:lang w:val="fr-CH"/>
      </w:rPr>
      <w:t xml:space="preserve">Rec. </w:t>
    </w:r>
    <w:r w:rsidR="00B3433C">
      <w:rPr>
        <w:b/>
        <w:bCs/>
        <w:lang w:val="fr-CH"/>
      </w:rPr>
      <w:fldChar w:fldCharType="end"/>
    </w:r>
    <w:r w:rsidR="0043089F">
      <w:rPr>
        <w:b/>
        <w:bCs/>
      </w:rPr>
      <w:t xml:space="preserve"> </w:t>
    </w:r>
    <w:r>
      <w:rPr>
        <w:b/>
        <w:bCs/>
      </w:rPr>
      <w:fldChar w:fldCharType="begin"/>
    </w:r>
    <w:r w:rsidR="0043089F" w:rsidRPr="00DC03C4">
      <w:rPr>
        <w:b/>
        <w:bCs/>
        <w:lang w:val="fr-CH"/>
      </w:rPr>
      <w:instrText>styleref href</w:instrText>
    </w:r>
    <w:r>
      <w:rPr>
        <w:b/>
        <w:bCs/>
      </w:rPr>
      <w:fldChar w:fldCharType="separate"/>
    </w:r>
    <w:r w:rsidR="00986751">
      <w:rPr>
        <w:b/>
        <w:bCs/>
        <w:noProof/>
        <w:lang w:val="fr-CH"/>
      </w:rPr>
      <w:t>UIT-R  BT.2133-0</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F58ED2" w14:textId="194E30FD" w:rsidR="0043089F" w:rsidRDefault="0043089F">
    <w:pPr>
      <w:pStyle w:val="Header"/>
    </w:pPr>
    <w:r>
      <w:tab/>
    </w:r>
    <w:r w:rsidR="00B3433C">
      <w:rPr>
        <w:b/>
        <w:bCs/>
      </w:rPr>
      <w:fldChar w:fldCharType="begin"/>
    </w:r>
    <w:r w:rsidR="00B3433C">
      <w:rPr>
        <w:b/>
        <w:bCs/>
      </w:rPr>
      <w:instrText xml:space="preserve"> DOCPROPERTY "Header" \* MERGEFORMAT </w:instrText>
    </w:r>
    <w:r w:rsidR="00B3433C">
      <w:rPr>
        <w:b/>
        <w:bCs/>
      </w:rPr>
      <w:fldChar w:fldCharType="separate"/>
    </w:r>
    <w:r w:rsidR="00986751">
      <w:rPr>
        <w:b/>
        <w:bCs/>
      </w:rPr>
      <w:t xml:space="preserve">Rec. </w:t>
    </w:r>
    <w:r w:rsidR="00B3433C">
      <w:rPr>
        <w:b/>
        <w:bCs/>
      </w:rPr>
      <w:fldChar w:fldCharType="end"/>
    </w:r>
    <w:r>
      <w:rPr>
        <w:b/>
        <w:bCs/>
      </w:rPr>
      <w:t xml:space="preserve"> </w:t>
    </w:r>
    <w:r w:rsidR="00E4537B">
      <w:rPr>
        <w:b/>
        <w:bCs/>
      </w:rPr>
      <w:fldChar w:fldCharType="begin"/>
    </w:r>
    <w:r>
      <w:rPr>
        <w:b/>
        <w:bCs/>
      </w:rPr>
      <w:instrText>styleref href</w:instrText>
    </w:r>
    <w:r w:rsidR="00E4537B">
      <w:rPr>
        <w:b/>
        <w:bCs/>
      </w:rPr>
      <w:fldChar w:fldCharType="separate"/>
    </w:r>
    <w:r w:rsidR="00986751">
      <w:rPr>
        <w:b/>
        <w:bCs/>
        <w:noProof/>
      </w:rPr>
      <w:t>UIT-R  BT.2133-0</w:t>
    </w:r>
    <w:r w:rsidR="00E4537B">
      <w:rPr>
        <w:b/>
        <w:bCs/>
      </w:rPr>
      <w:fldChar w:fldCharType="end"/>
    </w:r>
    <w:r>
      <w:tab/>
    </w:r>
    <w:r w:rsidR="00E4537B">
      <w:rPr>
        <w:rStyle w:val="PageNumber"/>
        <w:b/>
        <w:bCs/>
      </w:rPr>
      <w:fldChar w:fldCharType="begin"/>
    </w:r>
    <w:r>
      <w:rPr>
        <w:rStyle w:val="PageNumber"/>
        <w:b/>
        <w:bCs/>
      </w:rPr>
      <w:instrText xml:space="preserve"> PAGE </w:instrText>
    </w:r>
    <w:r w:rsidR="00E4537B">
      <w:rPr>
        <w:rStyle w:val="PageNumber"/>
        <w:b/>
        <w:bCs/>
      </w:rPr>
      <w:fldChar w:fldCharType="separate"/>
    </w:r>
    <w:r>
      <w:rPr>
        <w:rStyle w:val="PageNumber"/>
        <w:b/>
        <w:bCs/>
        <w:noProof/>
      </w:rPr>
      <w:t>1</w:t>
    </w:r>
    <w:r w:rsidR="00E4537B">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6AA925" w14:textId="70C9E863" w:rsidR="0043089F" w:rsidRDefault="00E4537B">
    <w:pPr>
      <w:pStyle w:val="Header"/>
      <w:jc w:val="left"/>
      <w:rPr>
        <w:lang w:val="en-US"/>
      </w:rPr>
    </w:pPr>
    <w:r>
      <w:rPr>
        <w:rStyle w:val="PageNumber"/>
        <w:b/>
        <w:bCs/>
      </w:rPr>
      <w:fldChar w:fldCharType="begin"/>
    </w:r>
    <w:r w:rsidR="0043089F">
      <w:rPr>
        <w:rStyle w:val="PageNumber"/>
        <w:b/>
        <w:bCs/>
        <w:lang w:val="en-US"/>
      </w:rPr>
      <w:instrText xml:space="preserve"> PAGE </w:instrText>
    </w:r>
    <w:r>
      <w:rPr>
        <w:rStyle w:val="PageNumber"/>
        <w:b/>
        <w:bCs/>
      </w:rPr>
      <w:fldChar w:fldCharType="separate"/>
    </w:r>
    <w:r w:rsidR="0043089F">
      <w:rPr>
        <w:rStyle w:val="PageNumber"/>
        <w:b/>
        <w:bCs/>
        <w:noProof/>
        <w:lang w:val="en-US"/>
      </w:rPr>
      <w:t>4</w:t>
    </w:r>
    <w:r>
      <w:rPr>
        <w:rStyle w:val="PageNumber"/>
        <w:b/>
        <w:bCs/>
      </w:rPr>
      <w:fldChar w:fldCharType="end"/>
    </w:r>
    <w:r w:rsidR="0043089F">
      <w:rPr>
        <w:lang w:val="en-US"/>
      </w:rPr>
      <w:tab/>
    </w:r>
    <w:r w:rsidR="00B3433C">
      <w:rPr>
        <w:b/>
        <w:bCs/>
        <w:lang w:val="en-US"/>
      </w:rPr>
      <w:fldChar w:fldCharType="begin"/>
    </w:r>
    <w:r w:rsidR="00B3433C">
      <w:rPr>
        <w:b/>
        <w:bCs/>
        <w:lang w:val="en-US"/>
      </w:rPr>
      <w:instrText xml:space="preserve"> DOCPROPERTY "Header" \* MERGEFORMAT </w:instrText>
    </w:r>
    <w:r w:rsidR="00B3433C">
      <w:rPr>
        <w:b/>
        <w:bCs/>
        <w:lang w:val="en-US"/>
      </w:rPr>
      <w:fldChar w:fldCharType="separate"/>
    </w:r>
    <w:r w:rsidR="00986751">
      <w:rPr>
        <w:b/>
        <w:bCs/>
        <w:lang w:val="en-US"/>
      </w:rPr>
      <w:t xml:space="preserve">Rec. </w:t>
    </w:r>
    <w:r w:rsidR="00B3433C">
      <w:rPr>
        <w:b/>
        <w:bCs/>
        <w:lang w:val="en-US"/>
      </w:rPr>
      <w:fldChar w:fldCharType="end"/>
    </w:r>
    <w:r w:rsidR="0043089F">
      <w:rPr>
        <w:b/>
        <w:bCs/>
      </w:rPr>
      <w:t xml:space="preserve"> </w:t>
    </w:r>
    <w:r>
      <w:rPr>
        <w:b/>
        <w:bCs/>
      </w:rPr>
      <w:fldChar w:fldCharType="begin"/>
    </w:r>
    <w:r w:rsidR="0043089F">
      <w:rPr>
        <w:b/>
        <w:bCs/>
        <w:lang w:val="en-US"/>
      </w:rPr>
      <w:instrText>styleref href</w:instrText>
    </w:r>
    <w:r>
      <w:rPr>
        <w:b/>
        <w:bCs/>
      </w:rPr>
      <w:fldChar w:fldCharType="separate"/>
    </w:r>
    <w:r w:rsidR="00986751">
      <w:rPr>
        <w:b/>
        <w:bCs/>
        <w:noProof/>
        <w:lang w:val="en-US"/>
      </w:rPr>
      <w:t>UIT-R  BT.2133-0</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0B1E03" w14:textId="61DA6AC5" w:rsidR="0043089F" w:rsidRDefault="0043089F">
    <w:pPr>
      <w:pStyle w:val="Header"/>
    </w:pPr>
    <w:r>
      <w:tab/>
    </w:r>
    <w:r w:rsidR="00B3433C">
      <w:rPr>
        <w:b/>
        <w:bCs/>
      </w:rPr>
      <w:fldChar w:fldCharType="begin"/>
    </w:r>
    <w:r w:rsidR="00B3433C">
      <w:rPr>
        <w:b/>
        <w:bCs/>
      </w:rPr>
      <w:instrText xml:space="preserve"> DOCPROPERTY "Header" \* MERGEFORMAT </w:instrText>
    </w:r>
    <w:r w:rsidR="00B3433C">
      <w:rPr>
        <w:b/>
        <w:bCs/>
      </w:rPr>
      <w:fldChar w:fldCharType="separate"/>
    </w:r>
    <w:r w:rsidR="00986751">
      <w:rPr>
        <w:b/>
        <w:bCs/>
      </w:rPr>
      <w:t xml:space="preserve">Rec. </w:t>
    </w:r>
    <w:r w:rsidR="00B3433C">
      <w:rPr>
        <w:b/>
        <w:bCs/>
      </w:rPr>
      <w:fldChar w:fldCharType="end"/>
    </w:r>
    <w:r>
      <w:rPr>
        <w:b/>
        <w:bCs/>
      </w:rPr>
      <w:t xml:space="preserve"> </w:t>
    </w:r>
    <w:r w:rsidR="00E4537B">
      <w:rPr>
        <w:b/>
        <w:bCs/>
      </w:rPr>
      <w:fldChar w:fldCharType="begin"/>
    </w:r>
    <w:r>
      <w:rPr>
        <w:b/>
        <w:bCs/>
      </w:rPr>
      <w:instrText>styleref href</w:instrText>
    </w:r>
    <w:r w:rsidR="00E4537B">
      <w:rPr>
        <w:b/>
        <w:bCs/>
      </w:rPr>
      <w:fldChar w:fldCharType="separate"/>
    </w:r>
    <w:r w:rsidR="00986751">
      <w:rPr>
        <w:b/>
        <w:bCs/>
        <w:noProof/>
      </w:rPr>
      <w:t>UIT-R  BT.2133-0</w:t>
    </w:r>
    <w:r w:rsidR="00E4537B">
      <w:rPr>
        <w:b/>
        <w:bCs/>
      </w:rPr>
      <w:fldChar w:fldCharType="end"/>
    </w:r>
    <w:r>
      <w:tab/>
    </w:r>
    <w:r w:rsidR="00E4537B">
      <w:rPr>
        <w:rStyle w:val="PageNumber"/>
        <w:b/>
        <w:bCs/>
      </w:rPr>
      <w:fldChar w:fldCharType="begin"/>
    </w:r>
    <w:r>
      <w:rPr>
        <w:rStyle w:val="PageNumber"/>
        <w:b/>
        <w:bCs/>
      </w:rPr>
      <w:instrText xml:space="preserve"> PAGE </w:instrText>
    </w:r>
    <w:r w:rsidR="00E4537B">
      <w:rPr>
        <w:rStyle w:val="PageNumber"/>
        <w:b/>
        <w:bCs/>
      </w:rPr>
      <w:fldChar w:fldCharType="separate"/>
    </w:r>
    <w:r w:rsidR="00B3433C">
      <w:rPr>
        <w:rStyle w:val="PageNumber"/>
        <w:b/>
        <w:bCs/>
        <w:noProof/>
      </w:rPr>
      <w:t>1</w:t>
    </w:r>
    <w:r w:rsidR="00E4537B">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C220BF9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124921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E98255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EFA7FC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658DB9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D46F78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87A4A1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A74EAE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1A2F80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E007F06"/>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mirrorMargins/>
  <w:hideSpellingErrors/>
  <w:hideGrammatical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en-AU" w:vendorID="64" w:dllVersion="6" w:nlCheck="1" w:checkStyle="1"/>
  <w:activeWritingStyle w:appName="MSWord" w:lang="es-ES" w:vendorID="64" w:dllVersion="6" w:nlCheck="1" w:checkStyle="1"/>
  <w:activeWritingStyle w:appName="MSWord" w:lang="fr-CH" w:vendorID="64" w:dllVersion="6" w:nlCheck="1" w:checkStyle="0"/>
  <w:activeWritingStyle w:appName="MSWord" w:lang="fr-FR" w:vendorID="64" w:dllVersion="0" w:nlCheck="1" w:checkStyle="0"/>
  <w:activeWritingStyle w:appName="MSWord" w:lang="en-US" w:vendorID="64" w:dllVersion="0" w:nlCheck="1" w:checkStyle="0"/>
  <w:activeWritingStyle w:appName="MSWord" w:lang="fr-CH" w:vendorID="64" w:dllVersion="0" w:nlCheck="1" w:checkStyle="0"/>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3476"/>
    <w:rsid w:val="00020642"/>
    <w:rsid w:val="001031B5"/>
    <w:rsid w:val="00124F3A"/>
    <w:rsid w:val="0014322C"/>
    <w:rsid w:val="001B2E0A"/>
    <w:rsid w:val="001D1994"/>
    <w:rsid w:val="001D2330"/>
    <w:rsid w:val="001E7F51"/>
    <w:rsid w:val="002651E4"/>
    <w:rsid w:val="002843E4"/>
    <w:rsid w:val="002D19BC"/>
    <w:rsid w:val="002D569C"/>
    <w:rsid w:val="002D76C4"/>
    <w:rsid w:val="003238BF"/>
    <w:rsid w:val="00346E26"/>
    <w:rsid w:val="003A2FB9"/>
    <w:rsid w:val="003B0FEF"/>
    <w:rsid w:val="003C0395"/>
    <w:rsid w:val="00403476"/>
    <w:rsid w:val="0043089F"/>
    <w:rsid w:val="00486C00"/>
    <w:rsid w:val="005121ED"/>
    <w:rsid w:val="005668B4"/>
    <w:rsid w:val="00586BCF"/>
    <w:rsid w:val="0059395F"/>
    <w:rsid w:val="00595B2F"/>
    <w:rsid w:val="005B47D2"/>
    <w:rsid w:val="00607D68"/>
    <w:rsid w:val="00613D63"/>
    <w:rsid w:val="006A6E68"/>
    <w:rsid w:val="0071229D"/>
    <w:rsid w:val="007468DA"/>
    <w:rsid w:val="007B518B"/>
    <w:rsid w:val="007D6F7A"/>
    <w:rsid w:val="007E51DC"/>
    <w:rsid w:val="00887958"/>
    <w:rsid w:val="00910201"/>
    <w:rsid w:val="0091075F"/>
    <w:rsid w:val="0096622F"/>
    <w:rsid w:val="00972400"/>
    <w:rsid w:val="00986751"/>
    <w:rsid w:val="009D01CC"/>
    <w:rsid w:val="009D10A1"/>
    <w:rsid w:val="009D3E41"/>
    <w:rsid w:val="00A6617B"/>
    <w:rsid w:val="00AB0DC8"/>
    <w:rsid w:val="00AB4374"/>
    <w:rsid w:val="00B14F1B"/>
    <w:rsid w:val="00B23B3C"/>
    <w:rsid w:val="00B3156A"/>
    <w:rsid w:val="00B3433C"/>
    <w:rsid w:val="00B44E24"/>
    <w:rsid w:val="00B80E94"/>
    <w:rsid w:val="00B818CF"/>
    <w:rsid w:val="00BB5E67"/>
    <w:rsid w:val="00C57597"/>
    <w:rsid w:val="00CF56FE"/>
    <w:rsid w:val="00D14F37"/>
    <w:rsid w:val="00D33F5F"/>
    <w:rsid w:val="00D6498E"/>
    <w:rsid w:val="00DA2EA9"/>
    <w:rsid w:val="00DC03C4"/>
    <w:rsid w:val="00DD35F8"/>
    <w:rsid w:val="00DD73C3"/>
    <w:rsid w:val="00DF4176"/>
    <w:rsid w:val="00E4537B"/>
    <w:rsid w:val="00ED727F"/>
    <w:rsid w:val="00EF6EF6"/>
    <w:rsid w:val="00FE0C15"/>
    <w:rsid w:val="00FF1793"/>
    <w:rsid w:val="00FF406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2"/>
    </o:shapelayout>
  </w:shapeDefaults>
  <w:decimalSymbol w:val=","/>
  <w:listSeparator w:val=";"/>
  <w14:docId w14:val="31702866"/>
  <w15:docId w15:val="{C7C644CD-6196-4603-BF14-DB62F1FD7B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B518B"/>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7B518B"/>
    <w:pPr>
      <w:keepNext/>
      <w:keepLines/>
      <w:spacing w:before="480"/>
      <w:ind w:left="794" w:hanging="794"/>
      <w:outlineLvl w:val="0"/>
    </w:pPr>
    <w:rPr>
      <w:b/>
    </w:rPr>
  </w:style>
  <w:style w:type="paragraph" w:styleId="Heading2">
    <w:name w:val="heading 2"/>
    <w:basedOn w:val="Heading1"/>
    <w:next w:val="Normal"/>
    <w:qFormat/>
    <w:rsid w:val="007B518B"/>
    <w:pPr>
      <w:spacing w:before="320"/>
      <w:outlineLvl w:val="1"/>
    </w:pPr>
  </w:style>
  <w:style w:type="paragraph" w:styleId="Heading3">
    <w:name w:val="heading 3"/>
    <w:basedOn w:val="Heading1"/>
    <w:next w:val="Normal"/>
    <w:qFormat/>
    <w:rsid w:val="007B518B"/>
    <w:pPr>
      <w:spacing w:before="200"/>
      <w:outlineLvl w:val="2"/>
    </w:pPr>
  </w:style>
  <w:style w:type="paragraph" w:styleId="Heading4">
    <w:name w:val="heading 4"/>
    <w:basedOn w:val="Heading3"/>
    <w:next w:val="Normal"/>
    <w:qFormat/>
    <w:rsid w:val="007B518B"/>
    <w:pPr>
      <w:tabs>
        <w:tab w:val="clear" w:pos="794"/>
        <w:tab w:val="left" w:pos="992"/>
      </w:tabs>
      <w:ind w:left="992" w:hanging="992"/>
      <w:outlineLvl w:val="3"/>
    </w:pPr>
  </w:style>
  <w:style w:type="paragraph" w:styleId="Heading5">
    <w:name w:val="heading 5"/>
    <w:basedOn w:val="Heading4"/>
    <w:next w:val="Normal"/>
    <w:qFormat/>
    <w:rsid w:val="007B518B"/>
    <w:pPr>
      <w:outlineLvl w:val="4"/>
    </w:pPr>
  </w:style>
  <w:style w:type="paragraph" w:styleId="Heading6">
    <w:name w:val="heading 6"/>
    <w:basedOn w:val="Heading4"/>
    <w:next w:val="Normal"/>
    <w:qFormat/>
    <w:rsid w:val="007B518B"/>
    <w:pPr>
      <w:tabs>
        <w:tab w:val="clear" w:pos="992"/>
        <w:tab w:val="clear" w:pos="1191"/>
      </w:tabs>
      <w:ind w:left="1588" w:hanging="1588"/>
      <w:outlineLvl w:val="5"/>
    </w:pPr>
  </w:style>
  <w:style w:type="paragraph" w:styleId="Heading7">
    <w:name w:val="heading 7"/>
    <w:basedOn w:val="Heading6"/>
    <w:next w:val="Normal"/>
    <w:qFormat/>
    <w:rsid w:val="007B518B"/>
    <w:pPr>
      <w:outlineLvl w:val="6"/>
    </w:pPr>
  </w:style>
  <w:style w:type="paragraph" w:styleId="Heading8">
    <w:name w:val="heading 8"/>
    <w:basedOn w:val="Heading6"/>
    <w:next w:val="Normal"/>
    <w:qFormat/>
    <w:rsid w:val="007B518B"/>
    <w:pPr>
      <w:outlineLvl w:val="7"/>
    </w:pPr>
  </w:style>
  <w:style w:type="paragraph" w:styleId="Heading9">
    <w:name w:val="heading 9"/>
    <w:basedOn w:val="Heading6"/>
    <w:next w:val="Normal"/>
    <w:qFormat/>
    <w:rsid w:val="007B518B"/>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7B518B"/>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7B518B"/>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7B518B"/>
  </w:style>
  <w:style w:type="paragraph" w:customStyle="1" w:styleId="Headingb">
    <w:name w:val="Heading_b"/>
    <w:basedOn w:val="Heading3"/>
    <w:next w:val="Normal"/>
    <w:rsid w:val="007B518B"/>
    <w:pPr>
      <w:spacing w:before="160"/>
      <w:ind w:left="0" w:firstLine="0"/>
      <w:outlineLvl w:val="9"/>
    </w:pPr>
  </w:style>
  <w:style w:type="paragraph" w:customStyle="1" w:styleId="Headingi">
    <w:name w:val="Heading_i"/>
    <w:basedOn w:val="Heading3"/>
    <w:next w:val="Normal"/>
    <w:rsid w:val="007B518B"/>
    <w:pPr>
      <w:spacing w:before="160"/>
      <w:ind w:left="0" w:firstLine="0"/>
    </w:pPr>
    <w:rPr>
      <w:b w:val="0"/>
      <w:i/>
    </w:rPr>
  </w:style>
  <w:style w:type="character" w:customStyle="1" w:styleId="href">
    <w:name w:val="href"/>
    <w:basedOn w:val="DefaultParagraphFont"/>
    <w:rsid w:val="007B518B"/>
  </w:style>
  <w:style w:type="paragraph" w:customStyle="1" w:styleId="enumlev1">
    <w:name w:val="enumlev1"/>
    <w:basedOn w:val="Normal"/>
    <w:link w:val="enumlev1Char"/>
    <w:rsid w:val="007B518B"/>
    <w:pPr>
      <w:spacing w:before="80"/>
      <w:ind w:left="794" w:hanging="794"/>
    </w:pPr>
  </w:style>
  <w:style w:type="paragraph" w:customStyle="1" w:styleId="enumlev2">
    <w:name w:val="enumlev2"/>
    <w:basedOn w:val="enumlev1"/>
    <w:rsid w:val="007B518B"/>
    <w:pPr>
      <w:ind w:left="1191" w:hanging="397"/>
    </w:pPr>
  </w:style>
  <w:style w:type="paragraph" w:customStyle="1" w:styleId="enumlev3">
    <w:name w:val="enumlev3"/>
    <w:basedOn w:val="enumlev2"/>
    <w:rsid w:val="007B518B"/>
    <w:pPr>
      <w:ind w:left="1588"/>
    </w:pPr>
  </w:style>
  <w:style w:type="paragraph" w:customStyle="1" w:styleId="Normalaftertitle">
    <w:name w:val="Normal_after_title"/>
    <w:basedOn w:val="Normal"/>
    <w:next w:val="Normal"/>
    <w:link w:val="NormalaftertitleChar"/>
    <w:rsid w:val="007B518B"/>
    <w:pPr>
      <w:spacing w:before="320"/>
    </w:pPr>
  </w:style>
  <w:style w:type="paragraph" w:customStyle="1" w:styleId="Note">
    <w:name w:val="Note"/>
    <w:basedOn w:val="Normal"/>
    <w:rsid w:val="007B518B"/>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7B518B"/>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7B518B"/>
    <w:pPr>
      <w:keepNext/>
      <w:keepLines/>
      <w:spacing w:before="240"/>
      <w:jc w:val="center"/>
    </w:pPr>
    <w:rPr>
      <w:b/>
      <w:sz w:val="28"/>
    </w:rPr>
  </w:style>
  <w:style w:type="paragraph" w:customStyle="1" w:styleId="Recref">
    <w:name w:val="Rec_ref"/>
    <w:basedOn w:val="Normal"/>
    <w:next w:val="Recdate"/>
    <w:rsid w:val="007B518B"/>
    <w:pPr>
      <w:jc w:val="center"/>
    </w:pPr>
  </w:style>
  <w:style w:type="paragraph" w:customStyle="1" w:styleId="Recdate">
    <w:name w:val="Rec_date"/>
    <w:basedOn w:val="Recref"/>
    <w:next w:val="Normalaftertitle"/>
    <w:rsid w:val="007B518B"/>
    <w:pPr>
      <w:jc w:val="right"/>
    </w:pPr>
  </w:style>
  <w:style w:type="paragraph" w:customStyle="1" w:styleId="HeadingSum">
    <w:name w:val="Heading_Sum"/>
    <w:basedOn w:val="Headingb"/>
    <w:next w:val="Normal"/>
    <w:rsid w:val="007B518B"/>
    <w:pPr>
      <w:spacing w:before="240"/>
    </w:pPr>
    <w:rPr>
      <w:sz w:val="22"/>
      <w:lang w:val="es-ES_tradnl"/>
    </w:rPr>
  </w:style>
  <w:style w:type="paragraph" w:customStyle="1" w:styleId="AnnexNoTitle">
    <w:name w:val="Annex_NoTitle"/>
    <w:basedOn w:val="Normal"/>
    <w:next w:val="Normalaftertitle"/>
    <w:rsid w:val="007B518B"/>
    <w:pPr>
      <w:keepNext/>
      <w:keepLines/>
      <w:spacing w:before="480" w:after="80"/>
      <w:jc w:val="center"/>
    </w:pPr>
    <w:rPr>
      <w:b/>
      <w:sz w:val="28"/>
    </w:rPr>
  </w:style>
  <w:style w:type="paragraph" w:customStyle="1" w:styleId="AppendixNoTitle">
    <w:name w:val="Appendix_NoTitle"/>
    <w:basedOn w:val="AnnexNoTitle"/>
    <w:next w:val="Normal"/>
    <w:rsid w:val="007B518B"/>
  </w:style>
  <w:style w:type="paragraph" w:customStyle="1" w:styleId="Tablefin">
    <w:name w:val="Table_fin"/>
    <w:basedOn w:val="Normal"/>
    <w:next w:val="Normal"/>
    <w:rsid w:val="007B518B"/>
    <w:pPr>
      <w:spacing w:before="0"/>
    </w:pPr>
    <w:rPr>
      <w:sz w:val="20"/>
      <w:lang w:val="en-GB"/>
    </w:rPr>
  </w:style>
  <w:style w:type="paragraph" w:customStyle="1" w:styleId="Tablehead">
    <w:name w:val="Table_head"/>
    <w:basedOn w:val="Normal"/>
    <w:next w:val="Normal"/>
    <w:rsid w:val="007B518B"/>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7B518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7B518B"/>
    <w:pPr>
      <w:keepNext/>
      <w:spacing w:before="360" w:after="120"/>
      <w:jc w:val="center"/>
    </w:pPr>
  </w:style>
  <w:style w:type="paragraph" w:customStyle="1" w:styleId="Tabletext">
    <w:name w:val="Table_text"/>
    <w:basedOn w:val="Normal"/>
    <w:rsid w:val="007B518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7B518B"/>
    <w:pPr>
      <w:tabs>
        <w:tab w:val="clear" w:pos="1191"/>
        <w:tab w:val="clear" w:pos="1588"/>
        <w:tab w:val="clear" w:pos="1985"/>
        <w:tab w:val="center" w:pos="4820"/>
        <w:tab w:val="right" w:pos="9639"/>
      </w:tabs>
    </w:pPr>
  </w:style>
  <w:style w:type="paragraph" w:customStyle="1" w:styleId="Equationlegend">
    <w:name w:val="Equation_legend"/>
    <w:basedOn w:val="NormalIndent"/>
    <w:rsid w:val="007B518B"/>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7B518B"/>
    <w:pPr>
      <w:ind w:left="794"/>
    </w:pPr>
  </w:style>
  <w:style w:type="paragraph" w:customStyle="1" w:styleId="Figurelegend">
    <w:name w:val="Figure_legend"/>
    <w:basedOn w:val="Normal"/>
    <w:rsid w:val="007B518B"/>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0"/>
    <w:rsid w:val="007B518B"/>
    <w:pPr>
      <w:keepNext/>
      <w:keepLines/>
      <w:spacing w:before="480" w:after="80"/>
      <w:jc w:val="center"/>
    </w:pPr>
    <w:rPr>
      <w:caps/>
      <w:sz w:val="18"/>
    </w:rPr>
  </w:style>
  <w:style w:type="paragraph" w:customStyle="1" w:styleId="Figuretitle">
    <w:name w:val="Figure_title"/>
    <w:basedOn w:val="Normal"/>
    <w:next w:val="Figure"/>
    <w:rsid w:val="007B518B"/>
    <w:pPr>
      <w:keepNext/>
      <w:spacing w:before="0" w:after="120"/>
      <w:jc w:val="center"/>
    </w:pPr>
    <w:rPr>
      <w:rFonts w:ascii="Times New Roman Bold" w:hAnsi="Times New Roman Bold"/>
      <w:b/>
      <w:sz w:val="18"/>
    </w:rPr>
  </w:style>
  <w:style w:type="paragraph" w:customStyle="1" w:styleId="Figure">
    <w:name w:val="Figure"/>
    <w:basedOn w:val="FigureNo"/>
    <w:next w:val="Normal"/>
    <w:rsid w:val="007B518B"/>
    <w:pPr>
      <w:keepNext w:val="0"/>
      <w:spacing w:before="0" w:after="240"/>
    </w:pPr>
  </w:style>
  <w:style w:type="paragraph" w:customStyle="1" w:styleId="tocpart">
    <w:name w:val="tocpart"/>
    <w:basedOn w:val="Normal"/>
    <w:rsid w:val="007B518B"/>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7B518B"/>
    <w:pPr>
      <w:keepNext/>
      <w:keepLines/>
      <w:spacing w:before="480"/>
      <w:jc w:val="center"/>
    </w:pPr>
    <w:rPr>
      <w:sz w:val="28"/>
    </w:rPr>
  </w:style>
  <w:style w:type="paragraph" w:customStyle="1" w:styleId="Arttitle">
    <w:name w:val="Art_title"/>
    <w:basedOn w:val="Normal"/>
    <w:next w:val="Normalaftertitle"/>
    <w:rsid w:val="007B518B"/>
    <w:pPr>
      <w:keepNext/>
      <w:keepLines/>
      <w:spacing w:before="240"/>
      <w:jc w:val="center"/>
    </w:pPr>
    <w:rPr>
      <w:b/>
      <w:sz w:val="28"/>
    </w:rPr>
  </w:style>
  <w:style w:type="paragraph" w:customStyle="1" w:styleId="Blanc">
    <w:name w:val="Blanc"/>
    <w:basedOn w:val="Normal"/>
    <w:next w:val="Tabletext"/>
    <w:rsid w:val="007B518B"/>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7B518B"/>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7B518B"/>
    <w:pPr>
      <w:keepNext/>
      <w:keepLines/>
      <w:spacing w:before="160"/>
      <w:ind w:left="794"/>
    </w:pPr>
    <w:rPr>
      <w:i/>
    </w:rPr>
  </w:style>
  <w:style w:type="paragraph" w:customStyle="1" w:styleId="ChapNo">
    <w:name w:val="Chap_No"/>
    <w:basedOn w:val="ArtNo"/>
    <w:next w:val="Chaptitle"/>
    <w:rsid w:val="007B518B"/>
    <w:rPr>
      <w:b/>
    </w:rPr>
  </w:style>
  <w:style w:type="paragraph" w:customStyle="1" w:styleId="Chaptitle">
    <w:name w:val="Chap_title"/>
    <w:basedOn w:val="Arttitle"/>
    <w:next w:val="Normalaftertitle"/>
    <w:rsid w:val="007B518B"/>
  </w:style>
  <w:style w:type="character" w:styleId="FootnoteReference">
    <w:name w:val="footnote reference"/>
    <w:basedOn w:val="DefaultParagraphFont"/>
    <w:rsid w:val="007B518B"/>
    <w:rPr>
      <w:position w:val="6"/>
      <w:sz w:val="18"/>
    </w:rPr>
  </w:style>
  <w:style w:type="paragraph" w:styleId="FootnoteText">
    <w:name w:val="footnote text"/>
    <w:basedOn w:val="Normal"/>
    <w:link w:val="FootnoteTextChar"/>
    <w:rsid w:val="007B518B"/>
    <w:pPr>
      <w:keepLines/>
      <w:tabs>
        <w:tab w:val="left" w:pos="255"/>
      </w:tabs>
      <w:ind w:left="255" w:hanging="255"/>
    </w:pPr>
    <w:rPr>
      <w:sz w:val="22"/>
    </w:rPr>
  </w:style>
  <w:style w:type="paragraph" w:styleId="Index1">
    <w:name w:val="index 1"/>
    <w:basedOn w:val="Normal"/>
    <w:next w:val="Normal"/>
    <w:semiHidden/>
    <w:rsid w:val="007B518B"/>
  </w:style>
  <w:style w:type="paragraph" w:styleId="Index2">
    <w:name w:val="index 2"/>
    <w:basedOn w:val="Normal"/>
    <w:next w:val="Normal"/>
    <w:semiHidden/>
    <w:rsid w:val="007B518B"/>
    <w:pPr>
      <w:ind w:left="283"/>
    </w:pPr>
  </w:style>
  <w:style w:type="paragraph" w:styleId="Index3">
    <w:name w:val="index 3"/>
    <w:basedOn w:val="Normal"/>
    <w:next w:val="Normal"/>
    <w:semiHidden/>
    <w:rsid w:val="007B518B"/>
    <w:pPr>
      <w:ind w:left="566"/>
    </w:pPr>
  </w:style>
  <w:style w:type="paragraph" w:styleId="IndexHeading">
    <w:name w:val="index heading"/>
    <w:basedOn w:val="Normal"/>
    <w:next w:val="Index1"/>
    <w:semiHidden/>
    <w:rsid w:val="007B518B"/>
  </w:style>
  <w:style w:type="paragraph" w:customStyle="1" w:styleId="Line">
    <w:name w:val="Line"/>
    <w:basedOn w:val="Normal"/>
    <w:next w:val="Normal"/>
    <w:rsid w:val="007B518B"/>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7B518B"/>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7B518B"/>
  </w:style>
  <w:style w:type="paragraph" w:customStyle="1" w:styleId="Partref">
    <w:name w:val="Part_ref"/>
    <w:basedOn w:val="Normal"/>
    <w:next w:val="Normal"/>
    <w:rsid w:val="007B518B"/>
    <w:pPr>
      <w:keepNext/>
      <w:keepLines/>
      <w:spacing w:after="280"/>
      <w:jc w:val="center"/>
    </w:pPr>
  </w:style>
  <w:style w:type="paragraph" w:customStyle="1" w:styleId="Parttitle">
    <w:name w:val="Part_title"/>
    <w:basedOn w:val="Normal"/>
    <w:next w:val="Normalaftertitle"/>
    <w:rsid w:val="007B518B"/>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7B518B"/>
  </w:style>
  <w:style w:type="paragraph" w:customStyle="1" w:styleId="QuestionNo">
    <w:name w:val="Question_No"/>
    <w:basedOn w:val="RecNo"/>
    <w:next w:val="Normal"/>
    <w:rsid w:val="007B518B"/>
  </w:style>
  <w:style w:type="paragraph" w:customStyle="1" w:styleId="Questionref">
    <w:name w:val="Question_ref"/>
    <w:basedOn w:val="Recref"/>
    <w:next w:val="Questiondate"/>
    <w:rsid w:val="007B518B"/>
  </w:style>
  <w:style w:type="paragraph" w:customStyle="1" w:styleId="Questiontitle">
    <w:name w:val="Question_title"/>
    <w:basedOn w:val="Normal"/>
    <w:next w:val="Questionref"/>
    <w:rsid w:val="007B518B"/>
  </w:style>
  <w:style w:type="paragraph" w:customStyle="1" w:styleId="Reftext">
    <w:name w:val="Ref_text"/>
    <w:basedOn w:val="Normal"/>
    <w:rsid w:val="007B518B"/>
    <w:pPr>
      <w:ind w:left="794" w:hanging="794"/>
    </w:pPr>
    <w:rPr>
      <w:sz w:val="22"/>
    </w:rPr>
  </w:style>
  <w:style w:type="paragraph" w:customStyle="1" w:styleId="Reftitle">
    <w:name w:val="Ref_title"/>
    <w:basedOn w:val="Normal"/>
    <w:next w:val="Reftext"/>
    <w:rsid w:val="007B518B"/>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7B518B"/>
  </w:style>
  <w:style w:type="paragraph" w:customStyle="1" w:styleId="RepNo">
    <w:name w:val="Rep_No"/>
    <w:basedOn w:val="RecNo"/>
    <w:next w:val="Reptitle"/>
    <w:rsid w:val="007B518B"/>
  </w:style>
  <w:style w:type="paragraph" w:customStyle="1" w:styleId="Reptitle">
    <w:name w:val="Rep_title"/>
    <w:basedOn w:val="Rectitle"/>
    <w:next w:val="Repref"/>
    <w:rsid w:val="007B518B"/>
  </w:style>
  <w:style w:type="paragraph" w:customStyle="1" w:styleId="Repref">
    <w:name w:val="Rep_ref"/>
    <w:basedOn w:val="Recref"/>
    <w:next w:val="Repdate"/>
    <w:rsid w:val="007B518B"/>
  </w:style>
  <w:style w:type="paragraph" w:customStyle="1" w:styleId="Resdate">
    <w:name w:val="Res_date"/>
    <w:basedOn w:val="Recdate"/>
    <w:next w:val="Normalaftertitle"/>
    <w:rsid w:val="007B518B"/>
  </w:style>
  <w:style w:type="paragraph" w:customStyle="1" w:styleId="ResNo">
    <w:name w:val="Res_No"/>
    <w:basedOn w:val="RecNo"/>
    <w:next w:val="Restitle"/>
    <w:rsid w:val="007B518B"/>
  </w:style>
  <w:style w:type="paragraph" w:customStyle="1" w:styleId="Restitle">
    <w:name w:val="Res_title"/>
    <w:basedOn w:val="Normal"/>
    <w:next w:val="Resref"/>
    <w:rsid w:val="007B518B"/>
    <w:pPr>
      <w:spacing w:before="240"/>
      <w:jc w:val="center"/>
    </w:pPr>
    <w:rPr>
      <w:b/>
      <w:sz w:val="28"/>
    </w:rPr>
  </w:style>
  <w:style w:type="paragraph" w:customStyle="1" w:styleId="Resref">
    <w:name w:val="Res_ref"/>
    <w:basedOn w:val="Recref"/>
    <w:next w:val="Resdate"/>
    <w:rsid w:val="007B518B"/>
  </w:style>
  <w:style w:type="paragraph" w:customStyle="1" w:styleId="SectionNo">
    <w:name w:val="Section_No"/>
    <w:basedOn w:val="Normal"/>
    <w:next w:val="Normal"/>
    <w:rsid w:val="007B518B"/>
  </w:style>
  <w:style w:type="paragraph" w:customStyle="1" w:styleId="Sectiontitle">
    <w:name w:val="Section_title"/>
    <w:basedOn w:val="Normal"/>
    <w:next w:val="Normalaftertitle"/>
    <w:rsid w:val="007B518B"/>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7B518B"/>
    <w:pPr>
      <w:tabs>
        <w:tab w:val="clear" w:pos="794"/>
        <w:tab w:val="clear" w:pos="1191"/>
        <w:tab w:val="clear" w:pos="1588"/>
        <w:tab w:val="clear" w:pos="1985"/>
        <w:tab w:val="right" w:pos="9611"/>
      </w:tabs>
    </w:pPr>
    <w:rPr>
      <w:i/>
    </w:rPr>
  </w:style>
  <w:style w:type="paragraph" w:styleId="TOC1">
    <w:name w:val="toc 1"/>
    <w:basedOn w:val="Normal"/>
    <w:semiHidden/>
    <w:rsid w:val="007B518B"/>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7B518B"/>
    <w:pPr>
      <w:tabs>
        <w:tab w:val="clear" w:pos="567"/>
        <w:tab w:val="left" w:pos="1276"/>
      </w:tabs>
      <w:spacing w:before="160"/>
      <w:ind w:left="1276" w:hanging="709"/>
    </w:pPr>
  </w:style>
  <w:style w:type="paragraph" w:styleId="TOC3">
    <w:name w:val="toc 3"/>
    <w:basedOn w:val="TOC2"/>
    <w:semiHidden/>
    <w:rsid w:val="007B518B"/>
    <w:pPr>
      <w:tabs>
        <w:tab w:val="clear" w:pos="1276"/>
        <w:tab w:val="left" w:pos="2155"/>
      </w:tabs>
      <w:ind w:left="2155" w:hanging="879"/>
    </w:pPr>
  </w:style>
  <w:style w:type="paragraph" w:styleId="TOC4">
    <w:name w:val="toc 4"/>
    <w:basedOn w:val="TOC3"/>
    <w:semiHidden/>
    <w:rsid w:val="007B518B"/>
    <w:pPr>
      <w:tabs>
        <w:tab w:val="left" w:pos="3261"/>
      </w:tabs>
      <w:spacing w:before="80"/>
      <w:ind w:left="3261" w:hanging="993"/>
    </w:pPr>
  </w:style>
  <w:style w:type="paragraph" w:styleId="TOC5">
    <w:name w:val="toc 5"/>
    <w:basedOn w:val="TOC4"/>
    <w:semiHidden/>
    <w:rsid w:val="007B518B"/>
  </w:style>
  <w:style w:type="paragraph" w:styleId="TOC6">
    <w:name w:val="toc 6"/>
    <w:basedOn w:val="TOC4"/>
    <w:semiHidden/>
    <w:rsid w:val="007B518B"/>
  </w:style>
  <w:style w:type="paragraph" w:styleId="TOC7">
    <w:name w:val="toc 7"/>
    <w:basedOn w:val="TOC4"/>
    <w:semiHidden/>
    <w:rsid w:val="007B518B"/>
  </w:style>
  <w:style w:type="paragraph" w:styleId="TOC8">
    <w:name w:val="toc 8"/>
    <w:basedOn w:val="TOC4"/>
    <w:semiHidden/>
    <w:rsid w:val="007B518B"/>
  </w:style>
  <w:style w:type="paragraph" w:customStyle="1" w:styleId="Annexref">
    <w:name w:val="Annex_ref"/>
    <w:basedOn w:val="Normal"/>
    <w:next w:val="Normalaftertitle"/>
    <w:rsid w:val="007B518B"/>
    <w:pPr>
      <w:keepNext/>
      <w:keepLines/>
      <w:spacing w:after="280"/>
      <w:jc w:val="center"/>
    </w:pPr>
  </w:style>
  <w:style w:type="paragraph" w:customStyle="1" w:styleId="Appendixref">
    <w:name w:val="Appendix_ref"/>
    <w:basedOn w:val="Annexref"/>
    <w:next w:val="Normalaftertitle"/>
    <w:rsid w:val="007B518B"/>
  </w:style>
  <w:style w:type="paragraph" w:customStyle="1" w:styleId="Tabletitle">
    <w:name w:val="Table_title"/>
    <w:basedOn w:val="Normal"/>
    <w:next w:val="Tablehead"/>
    <w:rsid w:val="007B518B"/>
    <w:pPr>
      <w:keepNext/>
      <w:spacing w:before="0" w:after="120"/>
      <w:jc w:val="center"/>
    </w:pPr>
    <w:rPr>
      <w:b/>
    </w:rPr>
  </w:style>
  <w:style w:type="paragraph" w:customStyle="1" w:styleId="Summary">
    <w:name w:val="Summary"/>
    <w:basedOn w:val="Normal"/>
    <w:next w:val="Normalaftertitle"/>
    <w:rsid w:val="007B518B"/>
    <w:pPr>
      <w:spacing w:after="480"/>
    </w:pPr>
    <w:rPr>
      <w:sz w:val="22"/>
      <w:lang w:val="es-ES_tradnl"/>
    </w:rPr>
  </w:style>
  <w:style w:type="paragraph" w:customStyle="1" w:styleId="Part">
    <w:name w:val="Part"/>
    <w:basedOn w:val="Normal"/>
    <w:rsid w:val="00403476"/>
    <w:pPr>
      <w:tabs>
        <w:tab w:val="clear" w:pos="794"/>
        <w:tab w:val="clear" w:pos="1191"/>
        <w:tab w:val="clear" w:pos="1588"/>
        <w:tab w:val="clear" w:pos="1985"/>
        <w:tab w:val="left" w:pos="1276"/>
        <w:tab w:val="left" w:pos="1701"/>
      </w:tabs>
      <w:overflowPunct/>
      <w:autoSpaceDE/>
      <w:autoSpaceDN/>
      <w:adjustRightInd/>
      <w:spacing w:before="200"/>
      <w:ind w:left="1701" w:hanging="1701"/>
      <w:textAlignment w:val="auto"/>
    </w:pPr>
    <w:rPr>
      <w:caps/>
    </w:rPr>
  </w:style>
  <w:style w:type="character" w:styleId="Hyperlink">
    <w:name w:val="Hyperlink"/>
    <w:basedOn w:val="DefaultParagraphFont"/>
    <w:rsid w:val="0014322C"/>
    <w:rPr>
      <w:color w:val="0000FF"/>
      <w:u w:val="single"/>
    </w:rPr>
  </w:style>
  <w:style w:type="paragraph" w:customStyle="1" w:styleId="TableLegendNote">
    <w:name w:val="Table_Legend_Note"/>
    <w:basedOn w:val="Tablelegend"/>
    <w:next w:val="Tablelegend"/>
    <w:rsid w:val="007B518B"/>
    <w:pPr>
      <w:ind w:left="-85" w:firstLine="0"/>
    </w:pPr>
    <w:rPr>
      <w:lang w:val="en-US"/>
    </w:rPr>
  </w:style>
  <w:style w:type="character" w:customStyle="1" w:styleId="FootnoteTextChar">
    <w:name w:val="Footnote Text Char"/>
    <w:basedOn w:val="DefaultParagraphFont"/>
    <w:link w:val="FootnoteText"/>
    <w:rsid w:val="00D6498E"/>
    <w:rPr>
      <w:sz w:val="22"/>
      <w:lang w:val="fr-FR" w:eastAsia="en-US"/>
    </w:rPr>
  </w:style>
  <w:style w:type="character" w:customStyle="1" w:styleId="enumlev1Char">
    <w:name w:val="enumlev1 Char"/>
    <w:basedOn w:val="DefaultParagraphFont"/>
    <w:link w:val="enumlev1"/>
    <w:locked/>
    <w:rsid w:val="00D6498E"/>
    <w:rPr>
      <w:sz w:val="24"/>
      <w:lang w:val="fr-FR" w:eastAsia="en-US"/>
    </w:rPr>
  </w:style>
  <w:style w:type="character" w:customStyle="1" w:styleId="NormalaftertitleChar">
    <w:name w:val="Normal_after_title Char"/>
    <w:basedOn w:val="DefaultParagraphFont"/>
    <w:link w:val="Normalaftertitle"/>
    <w:rsid w:val="00D6498E"/>
    <w:rPr>
      <w:sz w:val="24"/>
      <w:lang w:val="fr-FR" w:eastAsia="en-US"/>
    </w:rPr>
  </w:style>
  <w:style w:type="character" w:customStyle="1" w:styleId="CallChar">
    <w:name w:val="Call Char"/>
    <w:basedOn w:val="DefaultParagraphFont"/>
    <w:link w:val="Call"/>
    <w:locked/>
    <w:rsid w:val="00D6498E"/>
    <w:rPr>
      <w:i/>
      <w:sz w:val="24"/>
      <w:lang w:val="fr-FR" w:eastAsia="en-US"/>
    </w:rPr>
  </w:style>
  <w:style w:type="character" w:customStyle="1" w:styleId="FigureNo0">
    <w:name w:val="Figure_No (文字)"/>
    <w:basedOn w:val="DefaultParagraphFont"/>
    <w:link w:val="FigureNo"/>
    <w:locked/>
    <w:rsid w:val="00D6498E"/>
    <w:rPr>
      <w:caps/>
      <w:sz w:val="18"/>
      <w:lang w:val="fr-FR" w:eastAsia="en-US"/>
    </w:rPr>
  </w:style>
  <w:style w:type="paragraph" w:customStyle="1" w:styleId="Reasons">
    <w:name w:val="Reasons"/>
    <w:basedOn w:val="Normal"/>
    <w:qFormat/>
    <w:rsid w:val="00020642"/>
    <w:pPr>
      <w:tabs>
        <w:tab w:val="clear" w:pos="794"/>
        <w:tab w:val="clear" w:pos="1191"/>
        <w:tab w:val="clear" w:pos="1588"/>
        <w:tab w:val="clear" w:pos="1985"/>
      </w:tabs>
      <w:overflowPunct/>
      <w:autoSpaceDE/>
      <w:autoSpaceDN/>
      <w:adjustRightInd/>
      <w:spacing w:before="0"/>
      <w:jc w:val="left"/>
      <w:textAlignment w:val="auto"/>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2.emf"/><Relationship Id="rId18" Type="http://schemas.openxmlformats.org/officeDocument/2006/relationships/header" Target="header6.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header" Target="header5.xml"/><Relationship Id="rId2" Type="http://schemas.openxmlformats.org/officeDocument/2006/relationships/styles" Target="styles.xml"/><Relationship Id="rId16" Type="http://schemas.openxmlformats.org/officeDocument/2006/relationships/oleObject" Target="embeddings/oleObject2.bin"/><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3.emf"/><Relationship Id="rId10" Type="http://schemas.openxmlformats.org/officeDocument/2006/relationships/hyperlink" Target="http://www.itu.int/publ/R-REC/fr"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itu.int/ITU-R/go/patents/fr" TargetMode="External"/><Relationship Id="rId14" Type="http://schemas.openxmlformats.org/officeDocument/2006/relationships/oleObject" Target="embeddings/oleObject1.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ez\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1</TotalTime>
  <Pages>6</Pages>
  <Words>1628</Words>
  <Characters>9571</Characters>
  <Application>Microsoft Office Word</Application>
  <DocSecurity>0</DocSecurity>
  <Lines>227</Lines>
  <Paragraphs>113</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11086</CharactersWithSpaces>
  <SharedDoc>false</SharedDoc>
  <HLinks>
    <vt:vector size="12" baseType="variant">
      <vt:variant>
        <vt:i4>131159</vt:i4>
      </vt:variant>
      <vt:variant>
        <vt:i4>3</vt:i4>
      </vt:variant>
      <vt:variant>
        <vt:i4>0</vt:i4>
      </vt:variant>
      <vt:variant>
        <vt:i4>5</vt:i4>
      </vt:variant>
      <vt:variant>
        <vt:lpwstr>http://www.itu.int/publ/R-REC/fr</vt:lpwstr>
      </vt:variant>
      <vt:variant>
        <vt:lpwstr/>
      </vt:variant>
      <vt:variant>
        <vt:i4>2162733</vt:i4>
      </vt:variant>
      <vt:variant>
        <vt:i4>0</vt:i4>
      </vt:variant>
      <vt:variant>
        <vt:i4>0</vt:i4>
      </vt:variant>
      <vt:variant>
        <vt:i4>5</vt:i4>
      </vt:variant>
      <vt:variant>
        <vt:lpwstr>http://www.itu.int/ITU-R/go/patents/fr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RECOMMANDATION  UIT-R  BT.2133-0 - Transport de contenus audiovisuels en immersion évolués dans  les systèmes de radiodiffusion basés sur le protocole IP</dc:title>
  <dc:subject>Série BT = Service de radiodiffusion (télévision)</dc:subject>
  <dc:creator>Bureau des radiocommunications de l'UIT (BR)</dc:creator>
  <cp:keywords>BT,2133-0</cp:keywords>
  <dc:description>Saez, 08.04.2020, ITU51013874</dc:description>
  <cp:lastModifiedBy>Saez Grau, Ricardo</cp:lastModifiedBy>
  <cp:revision>6</cp:revision>
  <cp:lastPrinted>2020-04-08T06:39:00Z</cp:lastPrinted>
  <dcterms:created xsi:type="dcterms:W3CDTF">2020-04-08T06:38:00Z</dcterms:created>
  <dcterms:modified xsi:type="dcterms:W3CDTF">2020-04-08T06:39:00Z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French</vt:lpwstr>
  </property>
  <property fmtid="{D5CDD505-2E9C-101B-9397-08002B2CF9AE}" pid="10" name="Typist">
    <vt:lpwstr>Saez</vt:lpwstr>
  </property>
  <property fmtid="{D5CDD505-2E9C-101B-9397-08002B2CF9AE}" pid="11" name="Date completed">
    <vt:lpwstr>mercredi, 8 avril 2020</vt:lpwstr>
  </property>
</Properties>
</file>