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C4C5" w14:textId="77777777" w:rsidR="00FE79FE" w:rsidRDefault="00FE79FE"/>
    <w:p w14:paraId="141E9F9F" w14:textId="77777777" w:rsidR="00013002" w:rsidRDefault="00013002" w:rsidP="00DE5556">
      <w:pPr>
        <w:tabs>
          <w:tab w:val="clear" w:pos="794"/>
          <w:tab w:val="clear" w:pos="1191"/>
          <w:tab w:val="clear" w:pos="1588"/>
          <w:tab w:val="clear" w:pos="1985"/>
        </w:tabs>
      </w:pPr>
    </w:p>
    <w:p w14:paraId="75DE595F" w14:textId="1CB1AC06"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441AF2">
        <w:rPr>
          <w:lang w:val="es-ES"/>
        </w:rPr>
        <w:t>BT</w:t>
      </w:r>
      <w:r w:rsidRPr="00F111D6">
        <w:rPr>
          <w:lang w:val="es-ES"/>
        </w:rPr>
        <w:t>.</w:t>
      </w:r>
      <w:r w:rsidR="0053258F" w:rsidRPr="0053258F">
        <w:rPr>
          <w:lang w:val="es-ES"/>
        </w:rPr>
        <w:t>2123-1</w:t>
      </w:r>
    </w:p>
    <w:p w14:paraId="6E177DB5" w14:textId="6DF824E2" w:rsidR="00D5024B" w:rsidRPr="00F111D6" w:rsidRDefault="00D5024B" w:rsidP="00D5024B">
      <w:pPr>
        <w:pStyle w:val="CoverDate"/>
        <w:rPr>
          <w:lang w:val="es-ES"/>
        </w:rPr>
      </w:pPr>
      <w:r w:rsidRPr="00F111D6">
        <w:rPr>
          <w:lang w:val="es-ES"/>
        </w:rPr>
        <w:t>(</w:t>
      </w:r>
      <w:r w:rsidR="0053258F" w:rsidRPr="0053258F">
        <w:rPr>
          <w:lang w:val="es-ES"/>
        </w:rPr>
        <w:t>02/2025</w:t>
      </w:r>
      <w:r w:rsidRPr="00F111D6">
        <w:rPr>
          <w:lang w:val="es-ES"/>
        </w:rPr>
        <w:t>)</w:t>
      </w:r>
    </w:p>
    <w:p w14:paraId="163E6DAF"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441AF2">
        <w:rPr>
          <w:lang w:val="es-ES"/>
        </w:rPr>
        <w:t>BT</w:t>
      </w:r>
      <w:r w:rsidR="00D5024B" w:rsidRPr="00F111D6">
        <w:rPr>
          <w:lang w:val="es-ES"/>
        </w:rPr>
        <w:t xml:space="preserve">: </w:t>
      </w:r>
      <w:r w:rsidR="00441AF2" w:rsidRPr="00441AF2">
        <w:rPr>
          <w:lang w:val="es-ES"/>
        </w:rPr>
        <w:t>Servicio de radiodifusión (televisión)</w:t>
      </w:r>
    </w:p>
    <w:p w14:paraId="74029FD3" w14:textId="42A740DD" w:rsidR="00D5024B" w:rsidRPr="00F111D6" w:rsidRDefault="0053258F" w:rsidP="00D5024B">
      <w:pPr>
        <w:pStyle w:val="CoverTitle"/>
        <w:rPr>
          <w:lang w:val="es-ES"/>
        </w:rPr>
      </w:pPr>
      <w:r w:rsidRPr="0053258F">
        <w:rPr>
          <w:lang w:val="es-ES"/>
        </w:rPr>
        <w:t>Valores de parámetros de vídeo de los sistemas audiovisuales inmersivos avanzados para la producción y el intercambio internacional de programas en el ámbito de la radiodifusión</w:t>
      </w:r>
    </w:p>
    <w:p w14:paraId="3C18B09F" w14:textId="77777777" w:rsidR="00A71FE5" w:rsidRPr="00F111D6" w:rsidRDefault="00A71FE5" w:rsidP="005373E0"/>
    <w:p w14:paraId="1A3C875A" w14:textId="77777777" w:rsidR="00EE47C4" w:rsidRPr="00F111D6" w:rsidRDefault="00EE47C4" w:rsidP="005373E0">
      <w:pPr>
        <w:sectPr w:rsidR="00EE47C4" w:rsidRPr="00F111D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F213507"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57FC2343"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7EE19362"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2EE012D6"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653F5583"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49C05E27" w14:textId="77777777" w:rsidR="0069322D" w:rsidRPr="007C36CA" w:rsidRDefault="0069322D" w:rsidP="0069322D">
      <w:pPr>
        <w:spacing w:before="0"/>
        <w:jc w:val="center"/>
        <w:rPr>
          <w:sz w:val="22"/>
          <w:lang w:val="es-ES_tradnl"/>
        </w:rPr>
      </w:pPr>
    </w:p>
    <w:p w14:paraId="73E8D6A8"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31B9F" w14:paraId="68C35FFD" w14:textId="77777777" w:rsidTr="0069322D">
        <w:tc>
          <w:tcPr>
            <w:tcW w:w="9360" w:type="dxa"/>
            <w:gridSpan w:val="2"/>
          </w:tcPr>
          <w:p w14:paraId="467FD8BA" w14:textId="0655016A"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 las Recomendaciones UIT-R</w:t>
            </w:r>
          </w:p>
          <w:p w14:paraId="31AA2E6A"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56A63DA9" w14:textId="77777777" w:rsidTr="00B96572">
        <w:tc>
          <w:tcPr>
            <w:tcW w:w="1140" w:type="dxa"/>
            <w:tcBorders>
              <w:bottom w:val="nil"/>
            </w:tcBorders>
            <w:vAlign w:val="bottom"/>
          </w:tcPr>
          <w:p w14:paraId="2A4651B1"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66B8B28A" w14:textId="77777777" w:rsidR="0069322D" w:rsidRPr="001F01E0" w:rsidRDefault="0069322D" w:rsidP="001F01E0">
            <w:pPr>
              <w:spacing w:before="180" w:after="100"/>
              <w:ind w:left="57"/>
              <w:jc w:val="center"/>
              <w:rPr>
                <w:b/>
                <w:bCs/>
                <w:sz w:val="20"/>
                <w:lang w:val="en-US"/>
              </w:rPr>
            </w:pPr>
            <w:r w:rsidRPr="001F01E0">
              <w:rPr>
                <w:b/>
                <w:bCs/>
                <w:sz w:val="20"/>
                <w:lang w:val="en-US"/>
              </w:rPr>
              <w:t>Título</w:t>
            </w:r>
          </w:p>
        </w:tc>
      </w:tr>
      <w:tr w:rsidR="0069322D" w:rsidRPr="004532F7" w14:paraId="3D329D18" w14:textId="77777777" w:rsidTr="0069322D">
        <w:tc>
          <w:tcPr>
            <w:tcW w:w="1140" w:type="dxa"/>
            <w:tcBorders>
              <w:top w:val="nil"/>
              <w:bottom w:val="nil"/>
            </w:tcBorders>
            <w:shd w:val="clear" w:color="auto" w:fill="auto"/>
          </w:tcPr>
          <w:p w14:paraId="42985AF4"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69E62552" w14:textId="77777777" w:rsidR="0069322D" w:rsidRPr="001F01E0" w:rsidRDefault="0069322D" w:rsidP="001F01E0">
            <w:pPr>
              <w:spacing w:before="30" w:after="30"/>
              <w:jc w:val="left"/>
              <w:rPr>
                <w:bCs/>
                <w:sz w:val="20"/>
                <w:lang w:val="es-ES_tradnl"/>
              </w:rPr>
            </w:pPr>
            <w:r w:rsidRPr="001F01E0">
              <w:rPr>
                <w:bCs/>
                <w:sz w:val="20"/>
                <w:lang w:val="es-ES_tradnl"/>
              </w:rPr>
              <w:t>Distribución por satélite</w:t>
            </w:r>
          </w:p>
        </w:tc>
      </w:tr>
      <w:tr w:rsidR="0069322D" w:rsidRPr="005A20C1" w14:paraId="0DAA51A9" w14:textId="77777777" w:rsidTr="0069322D">
        <w:tc>
          <w:tcPr>
            <w:tcW w:w="1140" w:type="dxa"/>
            <w:tcBorders>
              <w:top w:val="nil"/>
              <w:bottom w:val="nil"/>
            </w:tcBorders>
            <w:shd w:val="clear" w:color="auto" w:fill="auto"/>
          </w:tcPr>
          <w:p w14:paraId="59C1878C"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7079D9ED" w14:textId="77777777" w:rsidR="0069322D" w:rsidRPr="001F01E0" w:rsidRDefault="0069322D" w:rsidP="001F01E0">
            <w:pPr>
              <w:spacing w:before="30" w:after="30"/>
              <w:jc w:val="left"/>
              <w:rPr>
                <w:bCs/>
                <w:sz w:val="20"/>
                <w:lang w:val="es-ES_tradnl"/>
              </w:rPr>
            </w:pPr>
            <w:r w:rsidRPr="001F01E0">
              <w:rPr>
                <w:bCs/>
                <w:sz w:val="20"/>
                <w:lang w:val="es-ES_tradnl"/>
              </w:rPr>
              <w:t>Registro para producción, archivo y reproducción; películas en televisión</w:t>
            </w:r>
          </w:p>
        </w:tc>
      </w:tr>
      <w:tr w:rsidR="0069322D" w:rsidRPr="00847DD5" w14:paraId="049A9751" w14:textId="77777777" w:rsidTr="00441AF2">
        <w:tc>
          <w:tcPr>
            <w:tcW w:w="1140" w:type="dxa"/>
            <w:tcBorders>
              <w:top w:val="nil"/>
              <w:bottom w:val="nil"/>
            </w:tcBorders>
            <w:shd w:val="clear" w:color="auto" w:fill="auto"/>
          </w:tcPr>
          <w:p w14:paraId="5A0B7DE9"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05EA325C" w14:textId="77777777" w:rsidR="0069322D" w:rsidRPr="001F01E0" w:rsidRDefault="0069322D" w:rsidP="001F01E0">
            <w:pPr>
              <w:spacing w:before="30" w:after="30"/>
              <w:jc w:val="left"/>
              <w:rPr>
                <w:bCs/>
                <w:sz w:val="20"/>
                <w:lang w:val="es-ES_tradnl"/>
              </w:rPr>
            </w:pPr>
            <w:r w:rsidRPr="001F01E0">
              <w:rPr>
                <w:bCs/>
                <w:sz w:val="20"/>
                <w:lang w:val="es-ES_tradnl"/>
              </w:rPr>
              <w:t>Servicio de radiodifusión (sonora)</w:t>
            </w:r>
          </w:p>
        </w:tc>
      </w:tr>
      <w:tr w:rsidR="00441AF2" w:rsidRPr="00441AF2" w14:paraId="692703EA" w14:textId="77777777" w:rsidTr="00441AF2">
        <w:tc>
          <w:tcPr>
            <w:tcW w:w="1140" w:type="dxa"/>
            <w:tcBorders>
              <w:top w:val="nil"/>
              <w:bottom w:val="nil"/>
            </w:tcBorders>
            <w:shd w:val="clear" w:color="auto" w:fill="F2F2F2" w:themeFill="background1" w:themeFillShade="F2"/>
          </w:tcPr>
          <w:p w14:paraId="39ABB221" w14:textId="77777777" w:rsidR="0069322D" w:rsidRPr="00441AF2" w:rsidRDefault="0069322D" w:rsidP="000B4BD9">
            <w:pPr>
              <w:spacing w:before="30" w:after="30"/>
              <w:ind w:left="57"/>
              <w:jc w:val="left"/>
              <w:rPr>
                <w:b/>
                <w:bCs/>
                <w:color w:val="000080"/>
                <w:sz w:val="20"/>
                <w:lang w:val="en-US"/>
              </w:rPr>
            </w:pPr>
            <w:r w:rsidRPr="00441AF2">
              <w:rPr>
                <w:b/>
                <w:bCs/>
                <w:color w:val="000080"/>
                <w:sz w:val="20"/>
                <w:lang w:val="en-US"/>
              </w:rPr>
              <w:t>B</w:t>
            </w:r>
            <w:r w:rsidRPr="001F01E0">
              <w:rPr>
                <w:b/>
                <w:bCs/>
                <w:color w:val="000080"/>
                <w:sz w:val="20"/>
                <w:lang w:val="en-US"/>
              </w:rPr>
              <w:t>T</w:t>
            </w:r>
          </w:p>
        </w:tc>
        <w:tc>
          <w:tcPr>
            <w:tcW w:w="8220" w:type="dxa"/>
            <w:tcBorders>
              <w:top w:val="nil"/>
              <w:bottom w:val="nil"/>
            </w:tcBorders>
            <w:shd w:val="clear" w:color="auto" w:fill="F2F2F2" w:themeFill="background1" w:themeFillShade="F2"/>
          </w:tcPr>
          <w:p w14:paraId="0ADD5C35" w14:textId="77777777" w:rsidR="0069322D" w:rsidRPr="001F01E0" w:rsidRDefault="0069322D" w:rsidP="001F01E0">
            <w:pPr>
              <w:spacing w:before="30" w:after="30"/>
              <w:jc w:val="left"/>
              <w:rPr>
                <w:b/>
                <w:sz w:val="20"/>
                <w:lang w:val="es-ES_tradnl"/>
              </w:rPr>
            </w:pPr>
            <w:r w:rsidRPr="001F01E0">
              <w:rPr>
                <w:b/>
                <w:color w:val="000080"/>
                <w:sz w:val="20"/>
                <w:lang w:val="es-ES_tradnl"/>
              </w:rPr>
              <w:t>Servicio de radiodifusión (televisión)</w:t>
            </w:r>
          </w:p>
        </w:tc>
      </w:tr>
      <w:tr w:rsidR="0069322D" w:rsidRPr="00366CEE" w14:paraId="432A1494" w14:textId="77777777" w:rsidTr="0069322D">
        <w:tc>
          <w:tcPr>
            <w:tcW w:w="1140" w:type="dxa"/>
            <w:tcBorders>
              <w:top w:val="nil"/>
              <w:bottom w:val="nil"/>
            </w:tcBorders>
            <w:shd w:val="clear" w:color="auto" w:fill="auto"/>
          </w:tcPr>
          <w:p w14:paraId="18CE1DB9" w14:textId="77777777" w:rsidR="0069322D" w:rsidRPr="00366CEE" w:rsidRDefault="0069322D" w:rsidP="000B4BD9">
            <w:pPr>
              <w:spacing w:before="30" w:after="30"/>
              <w:ind w:left="57"/>
              <w:jc w:val="left"/>
              <w:rPr>
                <w:b/>
                <w:bCs/>
                <w:sz w:val="20"/>
                <w:lang w:val="fr-CH"/>
              </w:rPr>
            </w:pPr>
            <w:r w:rsidRPr="00366CEE">
              <w:rPr>
                <w:b/>
                <w:bCs/>
                <w:sz w:val="20"/>
                <w:lang w:val="fr-CH"/>
              </w:rPr>
              <w:t>F</w:t>
            </w:r>
          </w:p>
        </w:tc>
        <w:tc>
          <w:tcPr>
            <w:tcW w:w="8220" w:type="dxa"/>
            <w:tcBorders>
              <w:top w:val="nil"/>
              <w:bottom w:val="nil"/>
            </w:tcBorders>
            <w:shd w:val="clear" w:color="auto" w:fill="auto"/>
          </w:tcPr>
          <w:p w14:paraId="36570365" w14:textId="77777777" w:rsidR="0069322D" w:rsidRPr="001F01E0" w:rsidRDefault="0069322D" w:rsidP="001F01E0">
            <w:pPr>
              <w:spacing w:before="30" w:after="30"/>
              <w:jc w:val="left"/>
              <w:rPr>
                <w:sz w:val="20"/>
                <w:lang w:val="es-ES_tradnl"/>
              </w:rPr>
            </w:pPr>
            <w:r w:rsidRPr="001F01E0">
              <w:rPr>
                <w:sz w:val="20"/>
                <w:lang w:val="es-ES_tradnl"/>
              </w:rPr>
              <w:t>Servicio fijo</w:t>
            </w:r>
          </w:p>
        </w:tc>
      </w:tr>
      <w:tr w:rsidR="0069322D" w:rsidRPr="005A20C1" w14:paraId="2C864019" w14:textId="77777777" w:rsidTr="0069322D">
        <w:tc>
          <w:tcPr>
            <w:tcW w:w="1140" w:type="dxa"/>
            <w:tcBorders>
              <w:top w:val="nil"/>
              <w:bottom w:val="nil"/>
            </w:tcBorders>
            <w:shd w:val="clear" w:color="auto" w:fill="auto"/>
          </w:tcPr>
          <w:p w14:paraId="40645845"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649B151F" w14:textId="77777777" w:rsidR="0069322D" w:rsidRPr="001F01E0" w:rsidRDefault="0069322D" w:rsidP="001F01E0">
            <w:pPr>
              <w:spacing w:before="30" w:after="30"/>
              <w:jc w:val="left"/>
              <w:rPr>
                <w:sz w:val="20"/>
                <w:lang w:val="es-ES_tradnl"/>
              </w:rPr>
            </w:pPr>
            <w:r w:rsidRPr="001F01E0">
              <w:rPr>
                <w:sz w:val="20"/>
                <w:lang w:val="es-ES_tradnl"/>
              </w:rPr>
              <w:t>Servicios móviles, de radiodeterminación, de aficionados y otros servicios por satélite conexos</w:t>
            </w:r>
          </w:p>
        </w:tc>
      </w:tr>
      <w:tr w:rsidR="0069322D" w:rsidRPr="005A20C1" w14:paraId="2B97F2B1" w14:textId="77777777" w:rsidTr="0069322D">
        <w:tc>
          <w:tcPr>
            <w:tcW w:w="1140" w:type="dxa"/>
            <w:tcBorders>
              <w:top w:val="nil"/>
              <w:bottom w:val="nil"/>
            </w:tcBorders>
            <w:shd w:val="clear" w:color="auto" w:fill="auto"/>
          </w:tcPr>
          <w:p w14:paraId="3555BFE5"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35AF929A"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301FCCD0" w14:textId="77777777" w:rsidTr="0069322D">
        <w:tc>
          <w:tcPr>
            <w:tcW w:w="1140" w:type="dxa"/>
            <w:tcBorders>
              <w:top w:val="nil"/>
              <w:bottom w:val="nil"/>
            </w:tcBorders>
            <w:shd w:val="clear" w:color="auto" w:fill="auto"/>
          </w:tcPr>
          <w:p w14:paraId="7F46347B"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43585E20"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5A20C1" w14:paraId="2033D094" w14:textId="77777777" w:rsidTr="0069322D">
        <w:tc>
          <w:tcPr>
            <w:tcW w:w="1140" w:type="dxa"/>
            <w:tcBorders>
              <w:top w:val="nil"/>
              <w:bottom w:val="nil"/>
            </w:tcBorders>
            <w:shd w:val="clear" w:color="auto" w:fill="auto"/>
          </w:tcPr>
          <w:p w14:paraId="4F012393"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79BE9A56"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4113ED94" w14:textId="77777777" w:rsidTr="00441AF2">
        <w:tc>
          <w:tcPr>
            <w:tcW w:w="1140" w:type="dxa"/>
            <w:tcBorders>
              <w:top w:val="nil"/>
              <w:bottom w:val="nil"/>
            </w:tcBorders>
            <w:shd w:val="clear" w:color="auto" w:fill="auto"/>
          </w:tcPr>
          <w:p w14:paraId="7ED570A3"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5D4F2A3A" w14:textId="77777777" w:rsidR="0069322D" w:rsidRPr="00025336" w:rsidRDefault="0069322D" w:rsidP="000B4BD9">
            <w:pPr>
              <w:spacing w:before="30" w:after="30"/>
              <w:jc w:val="left"/>
              <w:rPr>
                <w:sz w:val="20"/>
                <w:lang w:val="en-US"/>
              </w:rPr>
            </w:pPr>
            <w:r w:rsidRPr="00025336">
              <w:rPr>
                <w:sz w:val="20"/>
              </w:rPr>
              <w:t>Servicio fijo por satélite</w:t>
            </w:r>
          </w:p>
        </w:tc>
      </w:tr>
      <w:tr w:rsidR="00441AF2" w:rsidRPr="00441AF2" w14:paraId="01A9DC90" w14:textId="77777777" w:rsidTr="00441AF2">
        <w:tc>
          <w:tcPr>
            <w:tcW w:w="1140" w:type="dxa"/>
            <w:tcBorders>
              <w:top w:val="nil"/>
              <w:bottom w:val="nil"/>
            </w:tcBorders>
            <w:shd w:val="clear" w:color="auto" w:fill="FFFFFF" w:themeFill="background1"/>
          </w:tcPr>
          <w:p w14:paraId="348E1FEE" w14:textId="77777777" w:rsidR="0069322D" w:rsidRPr="00441AF2" w:rsidRDefault="0069322D" w:rsidP="000B4BD9">
            <w:pPr>
              <w:spacing w:before="30" w:after="30"/>
              <w:ind w:left="57"/>
              <w:jc w:val="left"/>
              <w:rPr>
                <w:b/>
                <w:bCs/>
                <w:sz w:val="20"/>
                <w:lang w:val="en-US"/>
              </w:rPr>
            </w:pPr>
            <w:r w:rsidRPr="00441AF2">
              <w:rPr>
                <w:b/>
                <w:bCs/>
                <w:sz w:val="20"/>
                <w:lang w:val="en-US"/>
              </w:rPr>
              <w:t>SA</w:t>
            </w:r>
          </w:p>
        </w:tc>
        <w:tc>
          <w:tcPr>
            <w:tcW w:w="8220" w:type="dxa"/>
            <w:tcBorders>
              <w:top w:val="nil"/>
              <w:bottom w:val="nil"/>
            </w:tcBorders>
            <w:shd w:val="clear" w:color="auto" w:fill="FFFFFF" w:themeFill="background1"/>
          </w:tcPr>
          <w:p w14:paraId="4B6BCD25" w14:textId="77777777" w:rsidR="0069322D" w:rsidRPr="00441AF2" w:rsidRDefault="0069322D" w:rsidP="000B4BD9">
            <w:pPr>
              <w:spacing w:before="30" w:after="30"/>
              <w:jc w:val="left"/>
              <w:rPr>
                <w:sz w:val="20"/>
                <w:lang w:val="en-US"/>
              </w:rPr>
            </w:pPr>
            <w:r w:rsidRPr="00441AF2">
              <w:rPr>
                <w:sz w:val="20"/>
              </w:rPr>
              <w:t>Aplicaciones espaciales y meteorología</w:t>
            </w:r>
          </w:p>
        </w:tc>
      </w:tr>
      <w:tr w:rsidR="0069322D" w:rsidRPr="005A20C1" w14:paraId="5DA3A9E1" w14:textId="77777777" w:rsidTr="0069322D">
        <w:tc>
          <w:tcPr>
            <w:tcW w:w="1140" w:type="dxa"/>
            <w:tcBorders>
              <w:top w:val="nil"/>
            </w:tcBorders>
          </w:tcPr>
          <w:p w14:paraId="6C7F24CD"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64B3B7EB"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227738F4" w14:textId="77777777" w:rsidTr="0069322D">
        <w:tc>
          <w:tcPr>
            <w:tcW w:w="1140" w:type="dxa"/>
            <w:shd w:val="clear" w:color="auto" w:fill="auto"/>
          </w:tcPr>
          <w:p w14:paraId="6AB91213"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58F74DF9"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76DED6AE" w14:textId="77777777" w:rsidTr="0069322D">
        <w:tc>
          <w:tcPr>
            <w:tcW w:w="1140" w:type="dxa"/>
          </w:tcPr>
          <w:p w14:paraId="52D0A6E8"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299FE9F3"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5A20C1" w14:paraId="2F0C274F" w14:textId="77777777" w:rsidTr="0069322D">
        <w:tc>
          <w:tcPr>
            <w:tcW w:w="1140" w:type="dxa"/>
          </w:tcPr>
          <w:p w14:paraId="5DDED562"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48ACFA53"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23A5862F" w14:textId="77777777" w:rsidTr="0069322D">
        <w:tc>
          <w:tcPr>
            <w:tcW w:w="1140" w:type="dxa"/>
          </w:tcPr>
          <w:p w14:paraId="004CBD6C"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1B0B82CC"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2019722C"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5BC2E661" w14:textId="77777777" w:rsidTr="000B4BD9">
        <w:tc>
          <w:tcPr>
            <w:tcW w:w="720" w:type="dxa"/>
          </w:tcPr>
          <w:p w14:paraId="0B3DC533"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5A20C1" w14:paraId="1101C17D" w14:textId="77777777" w:rsidTr="00B96572">
        <w:tc>
          <w:tcPr>
            <w:tcW w:w="9360" w:type="dxa"/>
          </w:tcPr>
          <w:p w14:paraId="5F0D018F" w14:textId="6FFCDED7" w:rsidR="0069322D" w:rsidRPr="00F111D6" w:rsidRDefault="0069322D" w:rsidP="00B960A9">
            <w:pPr>
              <w:spacing w:before="92" w:after="92"/>
              <w:jc w:val="left"/>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w:t>
            </w:r>
            <w:r w:rsidR="00B960A9">
              <w:rPr>
                <w:rFonts w:ascii="Times New Roman" w:hAnsi="Times New Roman" w:cs="Times New Roman"/>
                <w:i/>
                <w:iCs/>
                <w:sz w:val="20"/>
                <w:lang w:val="es-ES_tradnl"/>
              </w:rPr>
              <w:t> </w:t>
            </w:r>
            <w:r w:rsidRPr="00F111D6">
              <w:rPr>
                <w:rFonts w:ascii="Times New Roman" w:hAnsi="Times New Roman" w:cs="Times New Roman"/>
                <w:i/>
                <w:iCs/>
                <w:sz w:val="20"/>
                <w:lang w:val="es-ES_tradnl"/>
              </w:rPr>
              <w:t>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0B689987" w14:textId="77777777" w:rsidR="0069322D" w:rsidRPr="00763D08" w:rsidRDefault="0069322D" w:rsidP="0069322D">
      <w:pPr>
        <w:spacing w:before="0"/>
        <w:jc w:val="center"/>
        <w:rPr>
          <w:sz w:val="22"/>
          <w:lang w:val="es-ES_tradnl"/>
        </w:rPr>
      </w:pPr>
    </w:p>
    <w:p w14:paraId="46D67D99"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2D9D4135" w14:textId="06C418AB"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53258F">
        <w:rPr>
          <w:sz w:val="20"/>
          <w:lang w:val="es-ES_tradnl"/>
        </w:rPr>
        <w:t>5</w:t>
      </w:r>
    </w:p>
    <w:p w14:paraId="04DB53F1" w14:textId="77777777" w:rsidR="0069322D" w:rsidRPr="00763D08" w:rsidRDefault="0069322D" w:rsidP="0069322D">
      <w:pPr>
        <w:spacing w:before="0" w:after="120"/>
        <w:jc w:val="center"/>
        <w:rPr>
          <w:sz w:val="22"/>
          <w:lang w:val="es-ES_tradnl"/>
        </w:rPr>
      </w:pPr>
    </w:p>
    <w:p w14:paraId="6D2FF52D" w14:textId="7413C141"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53258F">
        <w:rPr>
          <w:sz w:val="20"/>
          <w:lang w:val="es-ES_tradnl"/>
        </w:rPr>
        <w:t>5</w:t>
      </w:r>
    </w:p>
    <w:p w14:paraId="63DDBB21"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4C60BD86" w14:textId="77777777" w:rsidR="007565CC" w:rsidRPr="00F111D6" w:rsidRDefault="007565CC" w:rsidP="00A971A1">
      <w:pPr>
        <w:spacing w:before="160"/>
        <w:rPr>
          <w:i/>
          <w:sz w:val="20"/>
        </w:rPr>
        <w:sectPr w:rsidR="007565CC" w:rsidRPr="00F111D6"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3653A408" w14:textId="23F9FFE2" w:rsidR="00B874C6" w:rsidRPr="00B111CE" w:rsidRDefault="00B874C6" w:rsidP="00B960A9">
      <w:pPr>
        <w:pStyle w:val="RecNo"/>
        <w:spacing w:before="0"/>
      </w:pPr>
      <w:bookmarkStart w:id="2" w:name="irecnoe"/>
      <w:bookmarkEnd w:id="2"/>
      <w:r w:rsidRPr="0053004B">
        <w:lastRenderedPageBreak/>
        <w:t>RECOM</w:t>
      </w:r>
      <w:r w:rsidR="00C94436" w:rsidRPr="0053004B">
        <w:t>ENDACIÓN</w:t>
      </w:r>
      <w:r w:rsidRPr="00BF487A">
        <w:t xml:space="preserve">  </w:t>
      </w:r>
      <w:r w:rsidR="00A25EE2" w:rsidRPr="00B111CE">
        <w:rPr>
          <w:rStyle w:val="href"/>
        </w:rPr>
        <w:t>UI</w:t>
      </w:r>
      <w:r w:rsidRPr="00B111CE">
        <w:rPr>
          <w:rStyle w:val="href"/>
        </w:rPr>
        <w:t xml:space="preserve">T-R  </w:t>
      </w:r>
      <w:r w:rsidR="00441AF2">
        <w:rPr>
          <w:rStyle w:val="href"/>
        </w:rPr>
        <w:t>BT</w:t>
      </w:r>
      <w:r w:rsidRPr="00B111CE">
        <w:rPr>
          <w:rStyle w:val="href"/>
        </w:rPr>
        <w:t>.</w:t>
      </w:r>
      <w:r w:rsidR="0053258F" w:rsidRPr="0053258F">
        <w:rPr>
          <w:rStyle w:val="href"/>
        </w:rPr>
        <w:t>2123-1</w:t>
      </w:r>
    </w:p>
    <w:p w14:paraId="3459FDDA" w14:textId="69FF8CE2" w:rsidR="0053258F" w:rsidRPr="0053258F" w:rsidRDefault="0053258F" w:rsidP="0053258F">
      <w:pPr>
        <w:pStyle w:val="Rectitle"/>
      </w:pPr>
      <w:bookmarkStart w:id="3" w:name="lt_pId211"/>
      <w:bookmarkStart w:id="4" w:name="lt_pId212"/>
      <w:r w:rsidRPr="0053258F">
        <w:t xml:space="preserve">Valores de parámetros de vídeo de los sistemas audiovisuales inmersivos avanzados para la producción y el intercambio internacional </w:t>
      </w:r>
      <w:r w:rsidR="0053004B">
        <w:br/>
      </w:r>
      <w:r w:rsidRPr="0053258F">
        <w:t>de programas en el ámbito de la radiodifusión</w:t>
      </w:r>
    </w:p>
    <w:p w14:paraId="7B6C6F3B" w14:textId="77777777" w:rsidR="0053258F" w:rsidRPr="0053258F" w:rsidRDefault="0053258F" w:rsidP="0053258F">
      <w:pPr>
        <w:pStyle w:val="Recdate"/>
      </w:pPr>
      <w:bookmarkStart w:id="5" w:name="Revision_history"/>
      <w:r w:rsidRPr="0053258F">
        <w:t>(2019-2025)</w:t>
      </w:r>
      <w:bookmarkEnd w:id="5"/>
    </w:p>
    <w:p w14:paraId="09F41EE0" w14:textId="77777777" w:rsidR="0053258F" w:rsidRPr="0041015B" w:rsidRDefault="0053258F" w:rsidP="0053258F">
      <w:pPr>
        <w:pStyle w:val="HeadingSum"/>
        <w:rPr>
          <w:sz w:val="22"/>
          <w:szCs w:val="22"/>
        </w:rPr>
      </w:pPr>
      <w:r w:rsidRPr="0041015B">
        <w:rPr>
          <w:sz w:val="22"/>
          <w:szCs w:val="22"/>
        </w:rPr>
        <w:t>Cometido</w:t>
      </w:r>
    </w:p>
    <w:p w14:paraId="75513556" w14:textId="77777777" w:rsidR="0053258F" w:rsidRPr="0041015B" w:rsidRDefault="0053258F" w:rsidP="0053258F">
      <w:pPr>
        <w:pStyle w:val="Summary"/>
        <w:rPr>
          <w:sz w:val="22"/>
          <w:szCs w:val="22"/>
        </w:rPr>
      </w:pPr>
      <w:r w:rsidRPr="0041015B">
        <w:rPr>
          <w:sz w:val="22"/>
          <w:szCs w:val="22"/>
        </w:rPr>
        <w:t>Los sistemas audiovisuales inmersivos avanzados (AIAV) ofrecerán a los espectadores experiencias inmersivas con un nivel de presencia sin precedentes al permitirles un campo de visión amplio en la dirección deseada. Para producir cómodas imágenes de alta calidad, los sistemas AIAV requieren de unos parámetros de vídeo superiores a los de la televisión de extremadamente alta definición, así como parámetros adicionales para soportar la representación de imágenes omnidireccionales. En la presente Recomendación se especifican los parámetros de los sistemas AIAV para la producción y el intercambio internacional de programas.</w:t>
      </w:r>
    </w:p>
    <w:p w14:paraId="47782CC3" w14:textId="77777777" w:rsidR="0053258F" w:rsidRPr="0053258F" w:rsidRDefault="0053258F" w:rsidP="0053258F">
      <w:pPr>
        <w:pStyle w:val="Headingb"/>
      </w:pPr>
      <w:r w:rsidRPr="0053258F">
        <w:t>Palabras clave</w:t>
      </w:r>
    </w:p>
    <w:p w14:paraId="685A0CE1" w14:textId="0FD9CB66" w:rsidR="0053258F" w:rsidRPr="0053258F" w:rsidRDefault="0053258F" w:rsidP="0053258F">
      <w:r w:rsidRPr="0053258F">
        <w:t>Coordinación de proyecciones, medios de comunicación inmersivos, parámetros de sistema, realidad virtual, vídeo de 360</w:t>
      </w:r>
      <w:r w:rsidR="00C70C3C">
        <w:t>°</w:t>
      </w:r>
    </w:p>
    <w:p w14:paraId="61ACFDFC" w14:textId="77777777" w:rsidR="0053258F" w:rsidRPr="0053258F" w:rsidRDefault="0053258F" w:rsidP="0053258F">
      <w:pPr>
        <w:pStyle w:val="Normalaftertitle"/>
      </w:pPr>
      <w:r w:rsidRPr="0053258F">
        <w:t>La Asamblea de Radiocomunicaciones de la UIT,</w:t>
      </w:r>
    </w:p>
    <w:p w14:paraId="44989C1D" w14:textId="77777777" w:rsidR="0053258F" w:rsidRPr="0053258F" w:rsidRDefault="0053258F" w:rsidP="002A6D8D">
      <w:pPr>
        <w:pStyle w:val="Call"/>
      </w:pPr>
      <w:r w:rsidRPr="0053258F">
        <w:t>considerando</w:t>
      </w:r>
    </w:p>
    <w:p w14:paraId="2DA9F022" w14:textId="77777777" w:rsidR="0053258F" w:rsidRPr="0053258F" w:rsidRDefault="0053258F" w:rsidP="0053258F">
      <w:r w:rsidRPr="0053258F">
        <w:rPr>
          <w:i/>
          <w:iCs/>
        </w:rPr>
        <w:t>a)</w:t>
      </w:r>
      <w:r w:rsidRPr="0053258F">
        <w:tab/>
        <w:t>que la realidad virtual, los vídeos de 360</w:t>
      </w:r>
      <w:r w:rsidRPr="0053258F">
        <w:rPr>
          <w:lang w:eastAsia="de-DE"/>
        </w:rPr>
        <w:t>°</w:t>
      </w:r>
      <w:r w:rsidRPr="0053258F">
        <w:t xml:space="preserve"> y otras tecnologías de medios de comunicación inmersivos han suscitado el interés de proveedores de contenidos, espectadores y vendedores de tecnologías de consumo conexas;</w:t>
      </w:r>
    </w:p>
    <w:p w14:paraId="6B6E1BE5" w14:textId="77777777" w:rsidR="0053258F" w:rsidRPr="0053258F" w:rsidRDefault="0053258F" w:rsidP="0053258F">
      <w:r w:rsidRPr="0053258F">
        <w:rPr>
          <w:i/>
          <w:iCs/>
        </w:rPr>
        <w:t>b)</w:t>
      </w:r>
      <w:r w:rsidRPr="0053258F">
        <w:tab/>
        <w:t>que los creadores de programas de televisión y radio y otros actores están estudiando diversos sistemas inmersivos avanzados para mejorar la forma en que los espectadores experimentan sus contenidos;</w:t>
      </w:r>
    </w:p>
    <w:p w14:paraId="7A310E55" w14:textId="77777777" w:rsidR="0053258F" w:rsidRPr="0053258F" w:rsidRDefault="0053258F" w:rsidP="0053258F">
      <w:r w:rsidRPr="0053258F">
        <w:rPr>
          <w:i/>
          <w:iCs/>
        </w:rPr>
        <w:t>c)</w:t>
      </w:r>
      <w:r w:rsidRPr="0053258F">
        <w:tab/>
        <w:t>que, en la actualidad, los contenidos de medios de comunicación inmersivos suelen adquirirse y producirse conforme a los requisitos de las correspondientes tecnologías de entrega o distribución;</w:t>
      </w:r>
    </w:p>
    <w:p w14:paraId="46FFD3AE" w14:textId="77777777" w:rsidR="0053258F" w:rsidRPr="0053258F" w:rsidRDefault="0053258F" w:rsidP="0053258F">
      <w:r w:rsidRPr="0053258F">
        <w:rPr>
          <w:i/>
          <w:iCs/>
        </w:rPr>
        <w:t>d)</w:t>
      </w:r>
      <w:r w:rsidRPr="0053258F">
        <w:tab/>
        <w:t>que, en la actualidad, no existen normas ni prácticas recomendadas a escala mundial para la producción, la elaboración de copias maestras y el intercambio de contenidos de realidad virtual, vídeos de 360</w:t>
      </w:r>
      <w:r w:rsidRPr="0053258F">
        <w:rPr>
          <w:lang w:eastAsia="de-DE"/>
        </w:rPr>
        <w:t>°</w:t>
      </w:r>
      <w:r w:rsidRPr="0053258F">
        <w:t xml:space="preserve"> y otros programas inmersivos en el ámbito de la radiodifusión;</w:t>
      </w:r>
    </w:p>
    <w:p w14:paraId="5F689D57" w14:textId="77777777" w:rsidR="0053258F" w:rsidRPr="0053258F" w:rsidRDefault="0053258F" w:rsidP="0053258F">
      <w:r w:rsidRPr="0053258F">
        <w:rPr>
          <w:i/>
          <w:iCs/>
        </w:rPr>
        <w:t>e)</w:t>
      </w:r>
      <w:r w:rsidRPr="0053258F">
        <w:tab/>
        <w:t>que los organismos de radiodifusión están distribuyendo una amplia gama de contenidos a los espectadores a través de un número creciente de plataformas de distribución interactivas;</w:t>
      </w:r>
    </w:p>
    <w:p w14:paraId="4B68F85C" w14:textId="77777777" w:rsidR="0053258F" w:rsidRPr="0053258F" w:rsidRDefault="0053258F" w:rsidP="0053258F">
      <w:bookmarkStart w:id="6" w:name="lt_pId080"/>
      <w:r w:rsidRPr="0053258F">
        <w:rPr>
          <w:i/>
          <w:iCs/>
        </w:rPr>
        <w:t>f)</w:t>
      </w:r>
      <w:bookmarkEnd w:id="6"/>
      <w:r w:rsidRPr="0053258F">
        <w:tab/>
      </w:r>
      <w:bookmarkStart w:id="7" w:name="lt_pId081"/>
      <w:r w:rsidRPr="0053258F">
        <w:t>que, para que las imágenes de realidad virtual de 360</w:t>
      </w:r>
      <w:r w:rsidRPr="0053258F">
        <w:rPr>
          <w:lang w:eastAsia="de-DE"/>
        </w:rPr>
        <w:t>°</w:t>
      </w:r>
      <w:r w:rsidRPr="0053258F">
        <w:t xml:space="preserve"> sean cómodas y de alta calidad, se requiere una resolución espacial bastante elevada;</w:t>
      </w:r>
    </w:p>
    <w:p w14:paraId="150CAE87" w14:textId="77777777" w:rsidR="0053258F" w:rsidRPr="0053258F" w:rsidRDefault="0053258F" w:rsidP="0053258F">
      <w:bookmarkStart w:id="8" w:name="lt_pId082"/>
      <w:bookmarkEnd w:id="7"/>
      <w:r w:rsidRPr="0053258F">
        <w:rPr>
          <w:i/>
          <w:iCs/>
        </w:rPr>
        <w:t>g)</w:t>
      </w:r>
      <w:bookmarkEnd w:id="8"/>
      <w:r w:rsidRPr="0053258F">
        <w:tab/>
      </w:r>
      <w:bookmarkStart w:id="9" w:name="lt_pId083"/>
      <w:r w:rsidRPr="0053258F">
        <w:t>que la especificación de los valores paramétricos de los componentes audiovisuales de los sistemas audiovisuales inmersivos avanzados (AIAV) para la producción de contenidos lineales profesionales facilita la producción de diversos contenidos de AIAV,</w:t>
      </w:r>
    </w:p>
    <w:p w14:paraId="22902100" w14:textId="77777777" w:rsidR="0053258F" w:rsidRPr="0053258F" w:rsidRDefault="0053258F" w:rsidP="002A6D8D">
      <w:pPr>
        <w:pStyle w:val="Call"/>
        <w:rPr>
          <w:iCs/>
          <w:lang w:eastAsia="ko-KR"/>
        </w:rPr>
      </w:pPr>
      <w:bookmarkStart w:id="10" w:name="lt_pId084"/>
      <w:bookmarkEnd w:id="9"/>
      <w:r w:rsidRPr="0053258F">
        <w:rPr>
          <w:lang w:eastAsia="ko-KR"/>
        </w:rPr>
        <w:t>recom</w:t>
      </w:r>
      <w:bookmarkEnd w:id="10"/>
      <w:r w:rsidRPr="0053258F">
        <w:rPr>
          <w:lang w:eastAsia="ko-KR"/>
        </w:rPr>
        <w:t>ienda</w:t>
      </w:r>
    </w:p>
    <w:p w14:paraId="0E4EBA12" w14:textId="77777777" w:rsidR="0053258F" w:rsidRPr="0053258F" w:rsidRDefault="0053258F" w:rsidP="0053258F">
      <w:pPr>
        <w:rPr>
          <w:lang w:eastAsia="ko-KR"/>
        </w:rPr>
      </w:pPr>
      <w:bookmarkStart w:id="11" w:name="lt_pId085"/>
      <w:r w:rsidRPr="0053258F">
        <w:rPr>
          <w:lang w:eastAsia="ko-KR"/>
        </w:rPr>
        <w:t xml:space="preserve">que, para la producción y el intercambio internacional de </w:t>
      </w:r>
      <w:r w:rsidRPr="0053258F">
        <w:rPr>
          <w:rFonts w:asciiTheme="majorBidi" w:hAnsiTheme="majorBidi"/>
          <w:lang w:eastAsia="zh-CN"/>
        </w:rPr>
        <w:t>contenidos de AIAV,</w:t>
      </w:r>
      <w:r w:rsidRPr="0053258F">
        <w:rPr>
          <w:lang w:eastAsia="ko-KR"/>
        </w:rPr>
        <w:t xml:space="preserve"> se utilicen las especificaciones descritas en la presente Recomendación.</w:t>
      </w:r>
      <w:bookmarkEnd w:id="11"/>
    </w:p>
    <w:p w14:paraId="6A4C1802" w14:textId="1E604586" w:rsidR="0053258F" w:rsidRPr="0053258F" w:rsidRDefault="0053258F" w:rsidP="002A6D8D">
      <w:pPr>
        <w:pStyle w:val="Heading1"/>
        <w:rPr>
          <w:lang w:eastAsia="ko-KR"/>
        </w:rPr>
      </w:pPr>
      <w:r w:rsidRPr="0053258F">
        <w:rPr>
          <w:lang w:eastAsia="ko-KR"/>
        </w:rPr>
        <w:lastRenderedPageBreak/>
        <w:t>1</w:t>
      </w:r>
      <w:r w:rsidRPr="0053258F">
        <w:rPr>
          <w:lang w:eastAsia="ko-KR"/>
        </w:rPr>
        <w:tab/>
      </w:r>
      <w:bookmarkStart w:id="12" w:name="lt_pId087"/>
      <w:r w:rsidRPr="0053258F">
        <w:rPr>
          <w:lang w:eastAsia="ko-KR"/>
        </w:rPr>
        <w:t>Características de imagen de las imágenes de 360° en aplicaciones con tres grados de libertad</w:t>
      </w:r>
      <w:bookmarkEnd w:id="12"/>
      <w:r w:rsidRPr="0053258F">
        <w:rPr>
          <w:lang w:eastAsia="ko-KR"/>
        </w:rPr>
        <w:t xml:space="preserve"> (3DoF)</w:t>
      </w:r>
      <w:r w:rsidR="002A6D8D">
        <w:rPr>
          <w:rStyle w:val="FootnoteReference"/>
          <w:lang w:eastAsia="ko-KR"/>
        </w:rPr>
        <w:footnoteReference w:id="1"/>
      </w:r>
    </w:p>
    <w:p w14:paraId="04420768" w14:textId="77777777" w:rsidR="0053258F" w:rsidRPr="0053258F" w:rsidRDefault="0053258F" w:rsidP="0053258F">
      <w:pPr>
        <w:rPr>
          <w:rFonts w:eastAsia="MS Mincho"/>
          <w:lang w:eastAsia="ja-JP"/>
        </w:rPr>
      </w:pPr>
      <w:bookmarkStart w:id="13" w:name="lt_pId088"/>
      <w:r w:rsidRPr="0053258F">
        <w:rPr>
          <w:lang w:eastAsia="ja-JP"/>
        </w:rPr>
        <w:t>Las características de imagen de</w:t>
      </w:r>
      <w:r w:rsidRPr="0053258F">
        <w:rPr>
          <w:rFonts w:eastAsia="MS Mincho"/>
          <w:lang w:eastAsia="ja-JP"/>
        </w:rPr>
        <w:t xml:space="preserve"> las imágenes de 360</w:t>
      </w:r>
      <w:r w:rsidRPr="0053258F">
        <w:rPr>
          <w:lang w:eastAsia="de-DE"/>
        </w:rPr>
        <w:t>°</w:t>
      </w:r>
      <w:r w:rsidRPr="0053258F">
        <w:rPr>
          <w:rFonts w:eastAsia="MS Mincho"/>
          <w:lang w:eastAsia="ja-JP"/>
        </w:rPr>
        <w:t xml:space="preserve"> en aplicaciones </w:t>
      </w:r>
      <w:r w:rsidRPr="0053258F">
        <w:rPr>
          <w:lang w:eastAsia="ko-KR"/>
        </w:rPr>
        <w:t xml:space="preserve">3DoF </w:t>
      </w:r>
      <w:r w:rsidRPr="0053258F">
        <w:rPr>
          <w:rFonts w:eastAsia="MS Mincho"/>
          <w:lang w:eastAsia="ja-JP"/>
        </w:rPr>
        <w:t>figuran en los Cuadros</w:t>
      </w:r>
      <w:r w:rsidRPr="0053258F">
        <w:rPr>
          <w:lang w:eastAsia="ja-JP"/>
        </w:rPr>
        <w:t> 1 a 3.</w:t>
      </w:r>
      <w:bookmarkEnd w:id="13"/>
    </w:p>
    <w:p w14:paraId="7422CBDD" w14:textId="77777777" w:rsidR="0053258F" w:rsidRPr="0053258F" w:rsidRDefault="0053258F" w:rsidP="002A6D8D">
      <w:pPr>
        <w:pStyle w:val="TableNo"/>
        <w:rPr>
          <w:lang w:eastAsia="ko-KR"/>
        </w:rPr>
      </w:pPr>
      <w:r w:rsidRPr="0053258F">
        <w:rPr>
          <w:lang w:eastAsia="ko-KR"/>
        </w:rPr>
        <w:t>CUADRO 1</w:t>
      </w:r>
    </w:p>
    <w:p w14:paraId="75F3C821" w14:textId="77777777" w:rsidR="0053258F" w:rsidRPr="0053258F" w:rsidRDefault="0053258F" w:rsidP="002A6D8D">
      <w:pPr>
        <w:pStyle w:val="Tabletitle"/>
        <w:rPr>
          <w:lang w:eastAsia="ko-KR"/>
        </w:rPr>
      </w:pPr>
      <w:r w:rsidRPr="0053258F">
        <w:rPr>
          <w:lang w:eastAsia="ko-KR"/>
        </w:rPr>
        <w:t>Características espaciales</w:t>
      </w:r>
      <w:r w:rsidRPr="0053258F">
        <w:t xml:space="preserve"> </w:t>
      </w:r>
      <w:r w:rsidRPr="0053258F">
        <w:rPr>
          <w:lang w:eastAsia="ko-KR"/>
        </w:rPr>
        <w:t>y temporales de la imagen</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4682"/>
      </w:tblGrid>
      <w:tr w:rsidR="0053258F" w:rsidRPr="0053258F" w14:paraId="439BA0E8" w14:textId="77777777" w:rsidTr="00B56F09">
        <w:trPr>
          <w:trHeight w:val="20"/>
          <w:jc w:val="center"/>
        </w:trPr>
        <w:tc>
          <w:tcPr>
            <w:tcW w:w="4957" w:type="dxa"/>
            <w:vAlign w:val="center"/>
            <w:hideMark/>
          </w:tcPr>
          <w:p w14:paraId="24519B17" w14:textId="77777777" w:rsidR="0053258F" w:rsidRPr="0053258F" w:rsidRDefault="0053258F" w:rsidP="002A6D8D">
            <w:pPr>
              <w:pStyle w:val="Tablehead"/>
              <w:rPr>
                <w:lang w:eastAsia="ko-KR"/>
              </w:rPr>
            </w:pPr>
            <w:r w:rsidRPr="0053258F">
              <w:rPr>
                <w:lang w:eastAsia="ko-KR"/>
              </w:rPr>
              <w:t>Parámetro</w:t>
            </w:r>
          </w:p>
        </w:tc>
        <w:tc>
          <w:tcPr>
            <w:tcW w:w="4682" w:type="dxa"/>
            <w:vAlign w:val="center"/>
            <w:hideMark/>
          </w:tcPr>
          <w:p w14:paraId="69B799FE" w14:textId="77777777" w:rsidR="0053258F" w:rsidRPr="0053258F" w:rsidRDefault="0053258F" w:rsidP="002A6D8D">
            <w:pPr>
              <w:pStyle w:val="Tablehead"/>
              <w:rPr>
                <w:lang w:eastAsia="ko-KR"/>
              </w:rPr>
            </w:pPr>
            <w:r w:rsidRPr="0053258F">
              <w:rPr>
                <w:lang w:eastAsia="ko-KR"/>
              </w:rPr>
              <w:t>Valores</w:t>
            </w:r>
          </w:p>
        </w:tc>
      </w:tr>
      <w:tr w:rsidR="0053258F" w:rsidRPr="0053258F" w14:paraId="13DDAA9E" w14:textId="77777777" w:rsidTr="00B56F09">
        <w:trPr>
          <w:trHeight w:val="20"/>
          <w:jc w:val="center"/>
        </w:trPr>
        <w:tc>
          <w:tcPr>
            <w:tcW w:w="4957" w:type="dxa"/>
            <w:vAlign w:val="center"/>
            <w:hideMark/>
          </w:tcPr>
          <w:p w14:paraId="4478B2E2" w14:textId="77777777" w:rsidR="0053258F" w:rsidRPr="0053258F" w:rsidRDefault="0053258F" w:rsidP="002A6D8D">
            <w:pPr>
              <w:pStyle w:val="Tabletext"/>
              <w:rPr>
                <w:lang w:eastAsia="ko-KR"/>
              </w:rPr>
            </w:pPr>
            <w:r w:rsidRPr="0053258F">
              <w:rPr>
                <w:lang w:eastAsia="ko-KR"/>
              </w:rPr>
              <w:t>Método de proyección de esfera a imagen rectangular</w:t>
            </w:r>
          </w:p>
        </w:tc>
        <w:tc>
          <w:tcPr>
            <w:tcW w:w="4682" w:type="dxa"/>
            <w:vAlign w:val="center"/>
            <w:hideMark/>
          </w:tcPr>
          <w:p w14:paraId="65735055" w14:textId="15AE3916" w:rsidR="0053258F" w:rsidRPr="0053258F" w:rsidRDefault="0053258F" w:rsidP="002A6D8D">
            <w:pPr>
              <w:pStyle w:val="Tabletext"/>
              <w:jc w:val="center"/>
              <w:rPr>
                <w:lang w:eastAsia="ko-KR"/>
              </w:rPr>
            </w:pPr>
            <w:r w:rsidRPr="0053258F">
              <w:rPr>
                <w:lang w:eastAsia="ko-KR"/>
              </w:rPr>
              <w:t>Proyección equi</w:t>
            </w:r>
            <w:r w:rsidR="00B25ABB">
              <w:rPr>
                <w:lang w:eastAsia="ko-KR"/>
              </w:rPr>
              <w:t>r</w:t>
            </w:r>
            <w:r w:rsidRPr="0053258F">
              <w:rPr>
                <w:lang w:eastAsia="ko-KR"/>
              </w:rPr>
              <w:t>rectangular</w:t>
            </w:r>
            <w:r w:rsidRPr="0053258F">
              <w:rPr>
                <w:lang w:eastAsia="ko-KR"/>
              </w:rPr>
              <w:br/>
              <w:t>(véanse los detalles en el Anexo</w:t>
            </w:r>
            <w:r w:rsidR="00195418">
              <w:rPr>
                <w:lang w:eastAsia="ko-KR"/>
              </w:rPr>
              <w:t> </w:t>
            </w:r>
            <w:r w:rsidRPr="0053258F">
              <w:rPr>
                <w:lang w:eastAsia="ko-KR"/>
              </w:rPr>
              <w:t>1)</w:t>
            </w:r>
          </w:p>
        </w:tc>
      </w:tr>
      <w:tr w:rsidR="0053258F" w:rsidRPr="0053258F" w14:paraId="45D4047C" w14:textId="77777777" w:rsidTr="00B56F09">
        <w:trPr>
          <w:trHeight w:val="20"/>
          <w:jc w:val="center"/>
        </w:trPr>
        <w:tc>
          <w:tcPr>
            <w:tcW w:w="4957" w:type="dxa"/>
            <w:vAlign w:val="center"/>
            <w:hideMark/>
          </w:tcPr>
          <w:p w14:paraId="39E72BCB" w14:textId="77777777" w:rsidR="0053258F" w:rsidRPr="0053258F" w:rsidRDefault="0053258F" w:rsidP="002A6D8D">
            <w:pPr>
              <w:pStyle w:val="Tabletext"/>
              <w:rPr>
                <w:lang w:eastAsia="ko-KR"/>
              </w:rPr>
            </w:pPr>
            <w:bookmarkStart w:id="14" w:name="lt_pId096"/>
            <w:r w:rsidRPr="0053258F">
              <w:rPr>
                <w:lang w:eastAsia="ko-KR"/>
              </w:rPr>
              <w:t xml:space="preserve">Cómputo de píxeles de las imágenes </w:t>
            </w:r>
            <w:bookmarkEnd w:id="14"/>
            <w:r w:rsidRPr="0053258F">
              <w:rPr>
                <w:lang w:eastAsia="ko-KR"/>
              </w:rPr>
              <w:t>en mapa</w:t>
            </w:r>
          </w:p>
          <w:p w14:paraId="7487CDA7" w14:textId="77777777" w:rsidR="0053258F" w:rsidRPr="0053258F" w:rsidRDefault="0053258F" w:rsidP="002A6D8D">
            <w:pPr>
              <w:pStyle w:val="Tabletext"/>
              <w:rPr>
                <w:lang w:eastAsia="ko-KR"/>
              </w:rPr>
            </w:pPr>
            <w:r w:rsidRPr="0053258F">
              <w:rPr>
                <w:lang w:eastAsia="ko-KR"/>
              </w:rPr>
              <w:t>Horizontal × vertical</w:t>
            </w:r>
          </w:p>
        </w:tc>
        <w:tc>
          <w:tcPr>
            <w:tcW w:w="4682" w:type="dxa"/>
            <w:vAlign w:val="center"/>
            <w:hideMark/>
          </w:tcPr>
          <w:p w14:paraId="18E987BE" w14:textId="1333EAD7" w:rsidR="0053258F" w:rsidRPr="0053258F" w:rsidRDefault="0053258F" w:rsidP="002A6D8D">
            <w:pPr>
              <w:pStyle w:val="Tabletext"/>
              <w:jc w:val="center"/>
              <w:rPr>
                <w:lang w:eastAsia="ko-KR"/>
              </w:rPr>
            </w:pPr>
            <w:r w:rsidRPr="0053258F">
              <w:rPr>
                <w:lang w:eastAsia="ko-KR"/>
              </w:rPr>
              <w:t>30 720</w:t>
            </w:r>
            <w:r w:rsidR="00195418">
              <w:rPr>
                <w:lang w:eastAsia="ko-KR"/>
              </w:rPr>
              <w:t> </w:t>
            </w:r>
            <w:r w:rsidRPr="0053258F">
              <w:rPr>
                <w:lang w:eastAsia="ko-KR"/>
              </w:rPr>
              <w:t>×</w:t>
            </w:r>
            <w:r w:rsidR="00195418">
              <w:rPr>
                <w:lang w:eastAsia="ko-KR"/>
              </w:rPr>
              <w:t> </w:t>
            </w:r>
            <w:r w:rsidRPr="0053258F">
              <w:rPr>
                <w:lang w:eastAsia="ko-KR"/>
              </w:rPr>
              <w:t xml:space="preserve">15 360 </w:t>
            </w:r>
            <w:r w:rsidRPr="0053258F">
              <w:rPr>
                <w:vertAlign w:val="superscript"/>
                <w:lang w:eastAsia="ko-KR"/>
              </w:rPr>
              <w:t>(1), (2)</w:t>
            </w:r>
          </w:p>
          <w:p w14:paraId="5209321B" w14:textId="48124361" w:rsidR="0053258F" w:rsidRPr="0053258F" w:rsidRDefault="0053258F" w:rsidP="002A6D8D">
            <w:pPr>
              <w:pStyle w:val="Tabletext"/>
              <w:jc w:val="center"/>
              <w:rPr>
                <w:lang w:eastAsia="ko-KR"/>
              </w:rPr>
            </w:pPr>
            <w:bookmarkStart w:id="15" w:name="lt_pId099"/>
            <w:r w:rsidRPr="0053258F">
              <w:rPr>
                <w:lang w:eastAsia="ko-KR"/>
              </w:rPr>
              <w:t>(30</w:t>
            </w:r>
            <w:r w:rsidR="0041015B">
              <w:rPr>
                <w:lang w:eastAsia="ko-KR"/>
              </w:rPr>
              <w:t> </w:t>
            </w:r>
            <w:r w:rsidRPr="0053258F">
              <w:rPr>
                <w:lang w:eastAsia="ko-KR"/>
              </w:rPr>
              <w:t>000</w:t>
            </w:r>
            <w:r w:rsidR="00195418">
              <w:rPr>
                <w:lang w:eastAsia="ko-KR"/>
              </w:rPr>
              <w:t> </w:t>
            </w:r>
            <w:r w:rsidRPr="0053258F">
              <w:rPr>
                <w:lang w:eastAsia="ko-KR"/>
              </w:rPr>
              <w:t>×</w:t>
            </w:r>
            <w:r w:rsidR="00195418">
              <w:rPr>
                <w:lang w:eastAsia="ko-KR"/>
              </w:rPr>
              <w:t> </w:t>
            </w:r>
            <w:r w:rsidRPr="0053258F">
              <w:rPr>
                <w:lang w:eastAsia="ko-KR"/>
              </w:rPr>
              <w:t>15</w:t>
            </w:r>
            <w:r w:rsidR="0041015B">
              <w:rPr>
                <w:lang w:eastAsia="ko-KR"/>
              </w:rPr>
              <w:t> </w:t>
            </w:r>
            <w:r w:rsidRPr="0053258F">
              <w:rPr>
                <w:lang w:eastAsia="ko-KR"/>
              </w:rPr>
              <w:t>000)</w:t>
            </w:r>
            <w:bookmarkEnd w:id="15"/>
          </w:p>
        </w:tc>
      </w:tr>
      <w:tr w:rsidR="0053258F" w:rsidRPr="0053258F" w14:paraId="21F28BA2" w14:textId="77777777" w:rsidTr="00B56F09">
        <w:trPr>
          <w:trHeight w:val="20"/>
          <w:jc w:val="center"/>
        </w:trPr>
        <w:tc>
          <w:tcPr>
            <w:tcW w:w="4957" w:type="dxa"/>
            <w:vAlign w:val="center"/>
            <w:hideMark/>
          </w:tcPr>
          <w:p w14:paraId="71BCD83E" w14:textId="77777777" w:rsidR="0053258F" w:rsidRPr="0053258F" w:rsidRDefault="0053258F" w:rsidP="002A6D8D">
            <w:pPr>
              <w:pStyle w:val="Tabletext"/>
              <w:rPr>
                <w:lang w:eastAsia="ko-KR"/>
              </w:rPr>
            </w:pPr>
            <w:r w:rsidRPr="0053258F">
              <w:rPr>
                <w:lang w:eastAsia="ko-KR"/>
              </w:rPr>
              <w:t>Relación de aspecto de píxel</w:t>
            </w:r>
          </w:p>
        </w:tc>
        <w:tc>
          <w:tcPr>
            <w:tcW w:w="4682" w:type="dxa"/>
            <w:vAlign w:val="center"/>
            <w:hideMark/>
          </w:tcPr>
          <w:p w14:paraId="74C0C280" w14:textId="77777777" w:rsidR="0053258F" w:rsidRPr="0053258F" w:rsidRDefault="0053258F" w:rsidP="002A6D8D">
            <w:pPr>
              <w:pStyle w:val="Tabletext"/>
              <w:jc w:val="center"/>
              <w:rPr>
                <w:lang w:eastAsia="ko-KR"/>
              </w:rPr>
            </w:pPr>
            <w:r w:rsidRPr="0053258F">
              <w:rPr>
                <w:lang w:eastAsia="ko-KR"/>
              </w:rPr>
              <w:t>1:1 (píxeles cuadrados)</w:t>
            </w:r>
          </w:p>
        </w:tc>
      </w:tr>
      <w:tr w:rsidR="0053258F" w:rsidRPr="0053258F" w14:paraId="7EB0027B" w14:textId="77777777" w:rsidTr="00B56F09">
        <w:trPr>
          <w:trHeight w:val="20"/>
          <w:jc w:val="center"/>
        </w:trPr>
        <w:tc>
          <w:tcPr>
            <w:tcW w:w="4957" w:type="dxa"/>
            <w:vAlign w:val="center"/>
            <w:hideMark/>
          </w:tcPr>
          <w:p w14:paraId="70E38550" w14:textId="77777777" w:rsidR="0053258F" w:rsidRPr="0053258F" w:rsidRDefault="0053258F" w:rsidP="002A6D8D">
            <w:pPr>
              <w:pStyle w:val="Tabletext"/>
              <w:rPr>
                <w:lang w:eastAsia="ja-JP"/>
              </w:rPr>
            </w:pPr>
            <w:r w:rsidRPr="0053258F">
              <w:rPr>
                <w:lang w:eastAsia="ko-KR"/>
              </w:rPr>
              <w:t xml:space="preserve">Frecuencia de trama </w:t>
            </w:r>
            <w:r w:rsidRPr="0053258F">
              <w:rPr>
                <w:lang w:eastAsia="ja-JP"/>
              </w:rPr>
              <w:t>(</w:t>
            </w:r>
            <w:r w:rsidRPr="0053258F">
              <w:rPr>
                <w:lang w:eastAsia="ko-KR"/>
              </w:rPr>
              <w:t>Hz</w:t>
            </w:r>
            <w:r w:rsidRPr="0053258F">
              <w:rPr>
                <w:lang w:eastAsia="ja-JP"/>
              </w:rPr>
              <w:t>)</w:t>
            </w:r>
          </w:p>
        </w:tc>
        <w:tc>
          <w:tcPr>
            <w:tcW w:w="4682" w:type="dxa"/>
            <w:vAlign w:val="center"/>
            <w:hideMark/>
          </w:tcPr>
          <w:p w14:paraId="637E487E" w14:textId="77777777" w:rsidR="0053258F" w:rsidRPr="0053258F" w:rsidRDefault="0053258F" w:rsidP="002A6D8D">
            <w:pPr>
              <w:pStyle w:val="Tabletext"/>
              <w:jc w:val="center"/>
              <w:rPr>
                <w:lang w:eastAsia="ko-KR"/>
              </w:rPr>
            </w:pPr>
            <w:r w:rsidRPr="0053258F">
              <w:rPr>
                <w:lang w:eastAsia="ko-KR"/>
              </w:rPr>
              <w:t xml:space="preserve">120, </w:t>
            </w:r>
            <w:r w:rsidRPr="0053258F">
              <w:rPr>
                <w:lang w:eastAsia="ja-JP"/>
              </w:rPr>
              <w:t xml:space="preserve">120/1.001, </w:t>
            </w:r>
            <w:r w:rsidRPr="0053258F">
              <w:rPr>
                <w:lang w:eastAsia="ko-KR"/>
              </w:rPr>
              <w:t>100, 60, 60/1.001, 50</w:t>
            </w:r>
          </w:p>
        </w:tc>
      </w:tr>
      <w:tr w:rsidR="0053258F" w:rsidRPr="0053258F" w14:paraId="7EAD28F2" w14:textId="77777777" w:rsidTr="00B56F09">
        <w:trPr>
          <w:trHeight w:val="20"/>
          <w:jc w:val="center"/>
        </w:trPr>
        <w:tc>
          <w:tcPr>
            <w:tcW w:w="4957" w:type="dxa"/>
            <w:tcBorders>
              <w:bottom w:val="single" w:sz="4" w:space="0" w:color="auto"/>
            </w:tcBorders>
            <w:vAlign w:val="center"/>
            <w:hideMark/>
          </w:tcPr>
          <w:p w14:paraId="415C1A6D" w14:textId="77777777" w:rsidR="0053258F" w:rsidRPr="0053258F" w:rsidRDefault="0053258F" w:rsidP="002A6D8D">
            <w:pPr>
              <w:pStyle w:val="Tabletext"/>
              <w:rPr>
                <w:lang w:eastAsia="ja-JP"/>
              </w:rPr>
            </w:pPr>
            <w:r w:rsidRPr="0053258F">
              <w:rPr>
                <w:lang w:eastAsia="ko-KR"/>
              </w:rPr>
              <w:t>Formato de imagen</w:t>
            </w:r>
          </w:p>
        </w:tc>
        <w:tc>
          <w:tcPr>
            <w:tcW w:w="4682" w:type="dxa"/>
            <w:tcBorders>
              <w:bottom w:val="single" w:sz="4" w:space="0" w:color="auto"/>
            </w:tcBorders>
            <w:vAlign w:val="center"/>
            <w:hideMark/>
          </w:tcPr>
          <w:p w14:paraId="056E9740" w14:textId="77777777" w:rsidR="0053258F" w:rsidRPr="0053258F" w:rsidRDefault="0053258F" w:rsidP="002A6D8D">
            <w:pPr>
              <w:pStyle w:val="Tabletext"/>
              <w:jc w:val="center"/>
              <w:rPr>
                <w:lang w:eastAsia="ja-JP"/>
              </w:rPr>
            </w:pPr>
            <w:r w:rsidRPr="0053258F">
              <w:rPr>
                <w:lang w:eastAsia="ko-KR"/>
              </w:rPr>
              <w:t>Progresiva</w:t>
            </w:r>
          </w:p>
        </w:tc>
      </w:tr>
      <w:tr w:rsidR="0053258F" w:rsidRPr="0053258F" w14:paraId="732AA0D2" w14:textId="77777777" w:rsidTr="00B56F09">
        <w:trPr>
          <w:trHeight w:val="20"/>
          <w:jc w:val="center"/>
        </w:trPr>
        <w:tc>
          <w:tcPr>
            <w:tcW w:w="9639" w:type="dxa"/>
            <w:gridSpan w:val="2"/>
            <w:tcBorders>
              <w:top w:val="single" w:sz="4" w:space="0" w:color="auto"/>
              <w:left w:val="nil"/>
              <w:bottom w:val="nil"/>
              <w:right w:val="nil"/>
            </w:tcBorders>
            <w:vAlign w:val="center"/>
            <w:hideMark/>
          </w:tcPr>
          <w:p w14:paraId="5408BCAE" w14:textId="090B67E1" w:rsidR="0053258F" w:rsidRPr="0053258F" w:rsidRDefault="0053258F" w:rsidP="002A6D8D">
            <w:pPr>
              <w:pStyle w:val="Tablelegend"/>
            </w:pPr>
            <w:r w:rsidRPr="0053258F">
              <w:rPr>
                <w:vertAlign w:val="superscript"/>
              </w:rPr>
              <w:t>(1)</w:t>
            </w:r>
            <w:r w:rsidRPr="0053258F">
              <w:tab/>
            </w:r>
            <w:bookmarkStart w:id="16" w:name="lt_pId108"/>
            <w:r w:rsidRPr="0053258F">
              <w:t>Estos valores se basan en la típica agudeza angular espacial del ser humano, a fin de que los espectadores no perciban una estructura de píxeles cuando visualizan parte de una imagen de 360°. Para una imagen completa de 360°, se requiere un cómputo de píxeles de 30</w:t>
            </w:r>
            <w:r w:rsidR="00C70C3C">
              <w:t> </w:t>
            </w:r>
            <w:r w:rsidRPr="0053258F">
              <w:t>000</w:t>
            </w:r>
            <w:r w:rsidR="00195418">
              <w:t> </w:t>
            </w:r>
            <w:r w:rsidRPr="0053258F">
              <w:t>×</w:t>
            </w:r>
            <w:r w:rsidR="00195418">
              <w:t> </w:t>
            </w:r>
            <w:r w:rsidRPr="0053258F">
              <w:t>15</w:t>
            </w:r>
            <w:r w:rsidR="00C70C3C">
              <w:t> </w:t>
            </w:r>
            <w:r w:rsidRPr="0053258F">
              <w:t>000. Cabe la posibilidad de utilizar otros cómputos de píxeles cuando se lleva a cabo el diseño real del sistema.</w:t>
            </w:r>
          </w:p>
          <w:bookmarkEnd w:id="16"/>
          <w:p w14:paraId="6E3B4749" w14:textId="69AFD7D5" w:rsidR="0053258F" w:rsidRPr="0053258F" w:rsidRDefault="0053258F" w:rsidP="002A6D8D">
            <w:pPr>
              <w:pStyle w:val="Tablelegend"/>
            </w:pPr>
            <w:r w:rsidRPr="0053258F">
              <w:rPr>
                <w:vertAlign w:val="superscript"/>
              </w:rPr>
              <w:t>(2)</w:t>
            </w:r>
            <w:r w:rsidRPr="0053258F">
              <w:tab/>
            </w:r>
            <w:bookmarkStart w:id="17" w:name="lt_pId112"/>
            <w:r w:rsidRPr="0053258F">
              <w:t xml:space="preserve">Un hemisferio o fragmento de una imagen de 360° puede representarse utilizando una parte de los </w:t>
            </w:r>
            <w:r w:rsidRPr="0053258F">
              <w:br/>
              <w:t>30</w:t>
            </w:r>
            <w:r w:rsidR="0041015B">
              <w:t> </w:t>
            </w:r>
            <w:r w:rsidRPr="0053258F">
              <w:t>000</w:t>
            </w:r>
            <w:r w:rsidR="00195418">
              <w:t> </w:t>
            </w:r>
            <w:r w:rsidRPr="0053258F">
              <w:t>×</w:t>
            </w:r>
            <w:r w:rsidR="00195418">
              <w:t> </w:t>
            </w:r>
            <w:r w:rsidRPr="0053258F">
              <w:t>15</w:t>
            </w:r>
            <w:r w:rsidR="0041015B">
              <w:t> </w:t>
            </w:r>
            <w:r w:rsidRPr="0053258F">
              <w:t>000 píxeles.</w:t>
            </w:r>
            <w:bookmarkEnd w:id="17"/>
          </w:p>
        </w:tc>
      </w:tr>
    </w:tbl>
    <w:p w14:paraId="4568884F" w14:textId="77777777" w:rsidR="0053258F" w:rsidRPr="0041015B" w:rsidRDefault="0053258F" w:rsidP="002A6D8D">
      <w:pPr>
        <w:pStyle w:val="Tablefin"/>
        <w:rPr>
          <w:lang w:val="es-ES"/>
        </w:rPr>
      </w:pPr>
    </w:p>
    <w:p w14:paraId="56420774" w14:textId="77777777" w:rsidR="0053258F" w:rsidRPr="0053258F" w:rsidRDefault="0053258F" w:rsidP="002A6D8D">
      <w:pPr>
        <w:pStyle w:val="TableNo"/>
        <w:rPr>
          <w:lang w:eastAsia="ko-KR"/>
        </w:rPr>
      </w:pPr>
      <w:r w:rsidRPr="0053258F">
        <w:rPr>
          <w:lang w:eastAsia="ko-KR"/>
        </w:rPr>
        <w:t>CUADRO 2</w:t>
      </w:r>
    </w:p>
    <w:p w14:paraId="3E24D54B" w14:textId="77777777" w:rsidR="0053258F" w:rsidRPr="0053258F" w:rsidRDefault="0053258F" w:rsidP="002A6D8D">
      <w:pPr>
        <w:pStyle w:val="Tabletitle"/>
        <w:rPr>
          <w:lang w:eastAsia="ko-KR"/>
        </w:rPr>
      </w:pPr>
      <w:r w:rsidRPr="0053258F">
        <w:rPr>
          <w:lang w:eastAsia="ko-KR"/>
        </w:rPr>
        <w:t>Colorimetría del sistema</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
        <w:gridCol w:w="2455"/>
        <w:gridCol w:w="2980"/>
        <w:gridCol w:w="1846"/>
        <w:gridCol w:w="1271"/>
      </w:tblGrid>
      <w:tr w:rsidR="0053258F" w:rsidRPr="0053258F" w14:paraId="032A0D3C" w14:textId="77777777" w:rsidTr="002A6D8D">
        <w:trPr>
          <w:trHeight w:val="20"/>
          <w:jc w:val="center"/>
        </w:trPr>
        <w:tc>
          <w:tcPr>
            <w:tcW w:w="3542" w:type="dxa"/>
            <w:gridSpan w:val="2"/>
            <w:vMerge w:val="restart"/>
            <w:vAlign w:val="center"/>
          </w:tcPr>
          <w:p w14:paraId="26176428" w14:textId="77777777" w:rsidR="0053258F" w:rsidRPr="0053258F" w:rsidRDefault="0053258F" w:rsidP="002A6D8D">
            <w:pPr>
              <w:pStyle w:val="Tablehead"/>
              <w:rPr>
                <w:lang w:eastAsia="ko-KR"/>
              </w:rPr>
            </w:pPr>
            <w:r w:rsidRPr="0053258F">
              <w:rPr>
                <w:lang w:eastAsia="ko-KR"/>
              </w:rPr>
              <w:t>Parámetro</w:t>
            </w:r>
          </w:p>
        </w:tc>
        <w:tc>
          <w:tcPr>
            <w:tcW w:w="6097" w:type="dxa"/>
            <w:gridSpan w:val="3"/>
            <w:vAlign w:val="center"/>
          </w:tcPr>
          <w:p w14:paraId="6A6A1810" w14:textId="77777777" w:rsidR="0053258F" w:rsidRPr="0053258F" w:rsidRDefault="0053258F" w:rsidP="002A6D8D">
            <w:pPr>
              <w:pStyle w:val="Tablehead"/>
              <w:rPr>
                <w:lang w:eastAsia="ko-KR"/>
              </w:rPr>
            </w:pPr>
            <w:r w:rsidRPr="0053258F">
              <w:rPr>
                <w:lang w:eastAsia="ko-KR"/>
              </w:rPr>
              <w:t>Valores</w:t>
            </w:r>
          </w:p>
        </w:tc>
      </w:tr>
      <w:tr w:rsidR="0053258F" w:rsidRPr="0053258F" w14:paraId="0100719C" w14:textId="77777777" w:rsidTr="002A6D8D">
        <w:trPr>
          <w:trHeight w:val="20"/>
          <w:jc w:val="center"/>
        </w:trPr>
        <w:tc>
          <w:tcPr>
            <w:tcW w:w="3542" w:type="dxa"/>
            <w:gridSpan w:val="2"/>
            <w:vMerge/>
            <w:vAlign w:val="center"/>
          </w:tcPr>
          <w:p w14:paraId="7F4A6E17" w14:textId="77777777" w:rsidR="0053258F" w:rsidRPr="0053258F" w:rsidRDefault="0053258F" w:rsidP="002A6D8D">
            <w:pPr>
              <w:pStyle w:val="Tablehead"/>
              <w:rPr>
                <w:lang w:eastAsia="ko-KR"/>
              </w:rPr>
            </w:pPr>
          </w:p>
        </w:tc>
        <w:tc>
          <w:tcPr>
            <w:tcW w:w="2980" w:type="dxa"/>
            <w:vMerge w:val="restart"/>
            <w:tcBorders>
              <w:top w:val="single" w:sz="4" w:space="0" w:color="auto"/>
            </w:tcBorders>
            <w:vAlign w:val="center"/>
          </w:tcPr>
          <w:p w14:paraId="656E6A82" w14:textId="77777777" w:rsidR="0053258F" w:rsidRPr="0053258F" w:rsidRDefault="0053258F" w:rsidP="002A6D8D">
            <w:pPr>
              <w:pStyle w:val="Tablehead"/>
              <w:rPr>
                <w:lang w:eastAsia="ko-KR"/>
              </w:rPr>
            </w:pPr>
            <w:r w:rsidRPr="0053258F">
              <w:rPr>
                <w:lang w:eastAsia="ko-KR"/>
              </w:rPr>
              <w:t>Espectro óptico</w:t>
            </w:r>
            <w:r w:rsidRPr="0053258F">
              <w:rPr>
                <w:lang w:eastAsia="ko-KR"/>
              </w:rPr>
              <w:br/>
              <w:t>(para información)</w:t>
            </w:r>
          </w:p>
        </w:tc>
        <w:tc>
          <w:tcPr>
            <w:tcW w:w="3117" w:type="dxa"/>
            <w:gridSpan w:val="2"/>
            <w:vAlign w:val="center"/>
          </w:tcPr>
          <w:p w14:paraId="57F8DB43" w14:textId="77777777" w:rsidR="0053258F" w:rsidRPr="0053258F" w:rsidRDefault="0053258F" w:rsidP="002A6D8D">
            <w:pPr>
              <w:pStyle w:val="Tablehead"/>
              <w:rPr>
                <w:lang w:eastAsia="ko-KR"/>
              </w:rPr>
            </w:pPr>
            <w:r w:rsidRPr="0053258F">
              <w:rPr>
                <w:lang w:eastAsia="ko-KR"/>
              </w:rPr>
              <w:t xml:space="preserve">Coordenadas de cromaticidad </w:t>
            </w:r>
            <w:r w:rsidRPr="0053258F">
              <w:rPr>
                <w:lang w:eastAsia="ko-KR"/>
              </w:rPr>
              <w:br/>
              <w:t>(CIE, 1931)</w:t>
            </w:r>
          </w:p>
        </w:tc>
      </w:tr>
      <w:tr w:rsidR="0053258F" w:rsidRPr="0053258F" w14:paraId="4576CFB5" w14:textId="77777777" w:rsidTr="002A6D8D">
        <w:trPr>
          <w:trHeight w:val="20"/>
          <w:jc w:val="center"/>
        </w:trPr>
        <w:tc>
          <w:tcPr>
            <w:tcW w:w="3542" w:type="dxa"/>
            <w:gridSpan w:val="2"/>
            <w:vMerge/>
            <w:vAlign w:val="center"/>
          </w:tcPr>
          <w:p w14:paraId="0913201A" w14:textId="77777777" w:rsidR="0053258F" w:rsidRPr="0053258F" w:rsidRDefault="0053258F" w:rsidP="002A6D8D">
            <w:pPr>
              <w:pStyle w:val="Tablehead"/>
              <w:rPr>
                <w:lang w:eastAsia="ko-KR"/>
              </w:rPr>
            </w:pPr>
          </w:p>
        </w:tc>
        <w:tc>
          <w:tcPr>
            <w:tcW w:w="2980" w:type="dxa"/>
            <w:vMerge/>
            <w:vAlign w:val="center"/>
          </w:tcPr>
          <w:p w14:paraId="3DC3424A" w14:textId="77777777" w:rsidR="0053258F" w:rsidRPr="0053258F" w:rsidRDefault="0053258F" w:rsidP="002A6D8D">
            <w:pPr>
              <w:pStyle w:val="Tablehead"/>
              <w:rPr>
                <w:lang w:eastAsia="ko-KR"/>
              </w:rPr>
            </w:pPr>
          </w:p>
        </w:tc>
        <w:tc>
          <w:tcPr>
            <w:tcW w:w="1846" w:type="dxa"/>
            <w:vAlign w:val="center"/>
          </w:tcPr>
          <w:p w14:paraId="06D2E2BF" w14:textId="77777777" w:rsidR="0053258F" w:rsidRPr="0053258F" w:rsidRDefault="0053258F" w:rsidP="002A6D8D">
            <w:pPr>
              <w:pStyle w:val="Tablehead"/>
              <w:rPr>
                <w:i/>
                <w:iCs/>
                <w:lang w:eastAsia="ko-KR"/>
              </w:rPr>
            </w:pPr>
            <w:bookmarkStart w:id="18" w:name="lt_pId125"/>
            <w:r w:rsidRPr="0053258F">
              <w:rPr>
                <w:i/>
                <w:iCs/>
                <w:lang w:eastAsia="ko-KR"/>
              </w:rPr>
              <w:t>x</w:t>
            </w:r>
            <w:bookmarkEnd w:id="18"/>
          </w:p>
        </w:tc>
        <w:tc>
          <w:tcPr>
            <w:tcW w:w="1271" w:type="dxa"/>
            <w:vAlign w:val="center"/>
          </w:tcPr>
          <w:p w14:paraId="63516AB0" w14:textId="77777777" w:rsidR="0053258F" w:rsidRPr="0053258F" w:rsidRDefault="0053258F" w:rsidP="002A6D8D">
            <w:pPr>
              <w:pStyle w:val="Tablehead"/>
              <w:rPr>
                <w:i/>
                <w:iCs/>
                <w:lang w:eastAsia="ko-KR"/>
              </w:rPr>
            </w:pPr>
            <w:bookmarkStart w:id="19" w:name="lt_pId126"/>
            <w:r w:rsidRPr="0053258F">
              <w:rPr>
                <w:i/>
                <w:iCs/>
                <w:lang w:eastAsia="ko-KR"/>
              </w:rPr>
              <w:t>y</w:t>
            </w:r>
            <w:bookmarkEnd w:id="19"/>
          </w:p>
        </w:tc>
      </w:tr>
      <w:tr w:rsidR="0053258F" w:rsidRPr="0053258F" w14:paraId="7641C7B5" w14:textId="77777777" w:rsidTr="002A6D8D">
        <w:trPr>
          <w:trHeight w:val="20"/>
          <w:jc w:val="center"/>
        </w:trPr>
        <w:tc>
          <w:tcPr>
            <w:tcW w:w="1087" w:type="dxa"/>
            <w:vMerge w:val="restart"/>
            <w:vAlign w:val="center"/>
          </w:tcPr>
          <w:p w14:paraId="7A0B3090" w14:textId="77777777" w:rsidR="0053258F" w:rsidRPr="0053258F" w:rsidRDefault="0053258F" w:rsidP="002A6D8D">
            <w:pPr>
              <w:pStyle w:val="Tabletext"/>
              <w:jc w:val="center"/>
              <w:rPr>
                <w:lang w:eastAsia="ko-KR"/>
              </w:rPr>
            </w:pPr>
            <w:r w:rsidRPr="0053258F">
              <w:rPr>
                <w:lang w:eastAsia="ko-KR"/>
              </w:rPr>
              <w:t>Colores primarios</w:t>
            </w:r>
          </w:p>
        </w:tc>
        <w:tc>
          <w:tcPr>
            <w:tcW w:w="2455" w:type="dxa"/>
            <w:vAlign w:val="center"/>
          </w:tcPr>
          <w:p w14:paraId="1A52EE0A" w14:textId="77777777" w:rsidR="0053258F" w:rsidRPr="0053258F" w:rsidRDefault="0053258F" w:rsidP="002A6D8D">
            <w:pPr>
              <w:pStyle w:val="Tabletext"/>
              <w:jc w:val="center"/>
              <w:rPr>
                <w:lang w:eastAsia="ko-KR"/>
              </w:rPr>
            </w:pPr>
            <w:r w:rsidRPr="0053258F">
              <w:rPr>
                <w:lang w:eastAsia="ko-KR"/>
              </w:rPr>
              <w:t>Rojo primario (R)</w:t>
            </w:r>
          </w:p>
        </w:tc>
        <w:tc>
          <w:tcPr>
            <w:tcW w:w="2980" w:type="dxa"/>
            <w:vAlign w:val="center"/>
          </w:tcPr>
          <w:p w14:paraId="7A82B47F" w14:textId="49DD80C5" w:rsidR="0053258F" w:rsidRPr="0053258F" w:rsidRDefault="0053258F" w:rsidP="002A6D8D">
            <w:pPr>
              <w:pStyle w:val="Tabletext"/>
              <w:jc w:val="center"/>
              <w:rPr>
                <w:lang w:eastAsia="ko-KR"/>
              </w:rPr>
            </w:pPr>
            <w:bookmarkStart w:id="20" w:name="lt_pId129"/>
            <w:r w:rsidRPr="0053258F">
              <w:rPr>
                <w:lang w:eastAsia="ko-KR"/>
              </w:rPr>
              <w:t>Monocromático 630</w:t>
            </w:r>
            <w:r w:rsidR="00195418">
              <w:rPr>
                <w:lang w:eastAsia="ko-KR"/>
              </w:rPr>
              <w:t> </w:t>
            </w:r>
            <w:r w:rsidRPr="0053258F">
              <w:rPr>
                <w:lang w:eastAsia="ko-KR"/>
              </w:rPr>
              <w:t>nm</w:t>
            </w:r>
            <w:bookmarkEnd w:id="20"/>
          </w:p>
        </w:tc>
        <w:tc>
          <w:tcPr>
            <w:tcW w:w="1846" w:type="dxa"/>
            <w:vAlign w:val="center"/>
          </w:tcPr>
          <w:p w14:paraId="03535531" w14:textId="77777777" w:rsidR="0053258F" w:rsidRPr="0053258F" w:rsidRDefault="0053258F" w:rsidP="002A6D8D">
            <w:pPr>
              <w:pStyle w:val="Tabletext"/>
              <w:jc w:val="center"/>
              <w:rPr>
                <w:lang w:eastAsia="ko-KR"/>
              </w:rPr>
            </w:pPr>
            <w:r w:rsidRPr="0053258F">
              <w:rPr>
                <w:lang w:eastAsia="ko-KR"/>
              </w:rPr>
              <w:t>0,708</w:t>
            </w:r>
          </w:p>
        </w:tc>
        <w:tc>
          <w:tcPr>
            <w:tcW w:w="1271" w:type="dxa"/>
            <w:vAlign w:val="center"/>
          </w:tcPr>
          <w:p w14:paraId="2EF7DF64" w14:textId="77777777" w:rsidR="0053258F" w:rsidRPr="0053258F" w:rsidRDefault="0053258F" w:rsidP="002A6D8D">
            <w:pPr>
              <w:pStyle w:val="Tabletext"/>
              <w:jc w:val="center"/>
              <w:rPr>
                <w:lang w:eastAsia="ko-KR"/>
              </w:rPr>
            </w:pPr>
            <w:r w:rsidRPr="0053258F">
              <w:rPr>
                <w:lang w:eastAsia="ko-KR"/>
              </w:rPr>
              <w:t>0,292</w:t>
            </w:r>
          </w:p>
        </w:tc>
      </w:tr>
      <w:tr w:rsidR="0053258F" w:rsidRPr="0053258F" w14:paraId="1CCA85BC" w14:textId="77777777" w:rsidTr="002A6D8D">
        <w:trPr>
          <w:trHeight w:val="20"/>
          <w:jc w:val="center"/>
        </w:trPr>
        <w:tc>
          <w:tcPr>
            <w:tcW w:w="1087" w:type="dxa"/>
            <w:vMerge/>
            <w:vAlign w:val="center"/>
          </w:tcPr>
          <w:p w14:paraId="54976D6E" w14:textId="77777777" w:rsidR="0053258F" w:rsidRPr="0053258F" w:rsidRDefault="0053258F" w:rsidP="002A6D8D">
            <w:pPr>
              <w:pStyle w:val="Tabletext"/>
              <w:jc w:val="center"/>
              <w:rPr>
                <w:lang w:eastAsia="ko-KR"/>
              </w:rPr>
            </w:pPr>
          </w:p>
        </w:tc>
        <w:tc>
          <w:tcPr>
            <w:tcW w:w="2455" w:type="dxa"/>
            <w:vAlign w:val="center"/>
          </w:tcPr>
          <w:p w14:paraId="504DE668" w14:textId="77777777" w:rsidR="0053258F" w:rsidRPr="0053258F" w:rsidRDefault="0053258F" w:rsidP="002A6D8D">
            <w:pPr>
              <w:pStyle w:val="Tabletext"/>
              <w:jc w:val="center"/>
              <w:rPr>
                <w:lang w:eastAsia="ko-KR"/>
              </w:rPr>
            </w:pPr>
            <w:r w:rsidRPr="0053258F">
              <w:rPr>
                <w:lang w:eastAsia="ko-KR"/>
              </w:rPr>
              <w:t>Verde primario (G)</w:t>
            </w:r>
          </w:p>
        </w:tc>
        <w:tc>
          <w:tcPr>
            <w:tcW w:w="2980" w:type="dxa"/>
            <w:vAlign w:val="center"/>
          </w:tcPr>
          <w:p w14:paraId="578D0EA1" w14:textId="37669524" w:rsidR="0053258F" w:rsidRPr="0053258F" w:rsidRDefault="0053258F" w:rsidP="002A6D8D">
            <w:pPr>
              <w:pStyle w:val="Tabletext"/>
              <w:jc w:val="center"/>
              <w:rPr>
                <w:lang w:eastAsia="ko-KR"/>
              </w:rPr>
            </w:pPr>
            <w:bookmarkStart w:id="21" w:name="lt_pId133"/>
            <w:r w:rsidRPr="0053258F">
              <w:rPr>
                <w:lang w:eastAsia="ko-KR"/>
              </w:rPr>
              <w:t>Monocromático 532</w:t>
            </w:r>
            <w:r w:rsidR="00195418">
              <w:rPr>
                <w:lang w:eastAsia="ko-KR"/>
              </w:rPr>
              <w:t> </w:t>
            </w:r>
            <w:r w:rsidRPr="0053258F">
              <w:rPr>
                <w:lang w:eastAsia="ko-KR"/>
              </w:rPr>
              <w:t>nm</w:t>
            </w:r>
            <w:bookmarkEnd w:id="21"/>
          </w:p>
        </w:tc>
        <w:tc>
          <w:tcPr>
            <w:tcW w:w="1846" w:type="dxa"/>
            <w:vAlign w:val="center"/>
          </w:tcPr>
          <w:p w14:paraId="59771113" w14:textId="77777777" w:rsidR="0053258F" w:rsidRPr="0053258F" w:rsidRDefault="0053258F" w:rsidP="002A6D8D">
            <w:pPr>
              <w:pStyle w:val="Tabletext"/>
              <w:jc w:val="center"/>
              <w:rPr>
                <w:lang w:eastAsia="ko-KR"/>
              </w:rPr>
            </w:pPr>
            <w:r w:rsidRPr="0053258F">
              <w:rPr>
                <w:lang w:eastAsia="ko-KR"/>
              </w:rPr>
              <w:t>0,170</w:t>
            </w:r>
          </w:p>
        </w:tc>
        <w:tc>
          <w:tcPr>
            <w:tcW w:w="1271" w:type="dxa"/>
            <w:vAlign w:val="center"/>
          </w:tcPr>
          <w:p w14:paraId="47D6F6E5" w14:textId="77777777" w:rsidR="0053258F" w:rsidRPr="0053258F" w:rsidRDefault="0053258F" w:rsidP="002A6D8D">
            <w:pPr>
              <w:pStyle w:val="Tabletext"/>
              <w:jc w:val="center"/>
              <w:rPr>
                <w:lang w:eastAsia="ko-KR"/>
              </w:rPr>
            </w:pPr>
            <w:r w:rsidRPr="0053258F">
              <w:rPr>
                <w:lang w:eastAsia="ko-KR"/>
              </w:rPr>
              <w:t>0,797</w:t>
            </w:r>
          </w:p>
        </w:tc>
      </w:tr>
      <w:tr w:rsidR="0053258F" w:rsidRPr="0053258F" w14:paraId="7487E33A" w14:textId="77777777" w:rsidTr="002A6D8D">
        <w:trPr>
          <w:trHeight w:val="20"/>
          <w:jc w:val="center"/>
        </w:trPr>
        <w:tc>
          <w:tcPr>
            <w:tcW w:w="1087" w:type="dxa"/>
            <w:vMerge/>
            <w:vAlign w:val="center"/>
          </w:tcPr>
          <w:p w14:paraId="20794F45" w14:textId="77777777" w:rsidR="0053258F" w:rsidRPr="0053258F" w:rsidRDefault="0053258F" w:rsidP="002A6D8D">
            <w:pPr>
              <w:pStyle w:val="Tabletext"/>
              <w:jc w:val="center"/>
              <w:rPr>
                <w:lang w:eastAsia="ko-KR"/>
              </w:rPr>
            </w:pPr>
          </w:p>
        </w:tc>
        <w:tc>
          <w:tcPr>
            <w:tcW w:w="2455" w:type="dxa"/>
            <w:vAlign w:val="center"/>
          </w:tcPr>
          <w:p w14:paraId="68E2D8F7" w14:textId="77777777" w:rsidR="0053258F" w:rsidRPr="0053258F" w:rsidRDefault="0053258F" w:rsidP="002A6D8D">
            <w:pPr>
              <w:pStyle w:val="Tabletext"/>
              <w:jc w:val="center"/>
              <w:rPr>
                <w:lang w:eastAsia="ko-KR"/>
              </w:rPr>
            </w:pPr>
            <w:r w:rsidRPr="0053258F">
              <w:rPr>
                <w:lang w:eastAsia="ko-KR"/>
              </w:rPr>
              <w:t>Azul primario (B)</w:t>
            </w:r>
          </w:p>
        </w:tc>
        <w:tc>
          <w:tcPr>
            <w:tcW w:w="2980" w:type="dxa"/>
            <w:vAlign w:val="center"/>
          </w:tcPr>
          <w:p w14:paraId="61AA5FD5" w14:textId="3F83191F" w:rsidR="0053258F" w:rsidRPr="0053258F" w:rsidRDefault="0053258F" w:rsidP="002A6D8D">
            <w:pPr>
              <w:pStyle w:val="Tabletext"/>
              <w:jc w:val="center"/>
              <w:rPr>
                <w:lang w:eastAsia="ko-KR"/>
              </w:rPr>
            </w:pPr>
            <w:r w:rsidRPr="0053258F">
              <w:rPr>
                <w:lang w:eastAsia="ko-KR"/>
              </w:rPr>
              <w:t>Monocromático 467</w:t>
            </w:r>
            <w:r w:rsidR="00195418">
              <w:rPr>
                <w:lang w:eastAsia="ko-KR"/>
              </w:rPr>
              <w:t> </w:t>
            </w:r>
            <w:r w:rsidRPr="0053258F">
              <w:rPr>
                <w:lang w:eastAsia="ko-KR"/>
              </w:rPr>
              <w:t>nm</w:t>
            </w:r>
          </w:p>
        </w:tc>
        <w:tc>
          <w:tcPr>
            <w:tcW w:w="1846" w:type="dxa"/>
            <w:vAlign w:val="center"/>
          </w:tcPr>
          <w:p w14:paraId="602B61FE" w14:textId="77777777" w:rsidR="0053258F" w:rsidRPr="0053258F" w:rsidRDefault="0053258F" w:rsidP="002A6D8D">
            <w:pPr>
              <w:pStyle w:val="Tabletext"/>
              <w:jc w:val="center"/>
              <w:rPr>
                <w:lang w:eastAsia="ko-KR"/>
              </w:rPr>
            </w:pPr>
            <w:r w:rsidRPr="0053258F">
              <w:rPr>
                <w:lang w:eastAsia="ko-KR"/>
              </w:rPr>
              <w:t>0,131</w:t>
            </w:r>
          </w:p>
        </w:tc>
        <w:tc>
          <w:tcPr>
            <w:tcW w:w="1271" w:type="dxa"/>
            <w:vAlign w:val="center"/>
          </w:tcPr>
          <w:p w14:paraId="7B5B3186" w14:textId="77777777" w:rsidR="0053258F" w:rsidRPr="0053258F" w:rsidRDefault="0053258F" w:rsidP="002A6D8D">
            <w:pPr>
              <w:pStyle w:val="Tabletext"/>
              <w:jc w:val="center"/>
              <w:rPr>
                <w:lang w:eastAsia="ko-KR"/>
              </w:rPr>
            </w:pPr>
            <w:r w:rsidRPr="0053258F">
              <w:rPr>
                <w:lang w:eastAsia="ko-KR"/>
              </w:rPr>
              <w:t>0,046</w:t>
            </w:r>
          </w:p>
        </w:tc>
      </w:tr>
      <w:tr w:rsidR="0053258F" w:rsidRPr="0053258F" w14:paraId="13C3E71F" w14:textId="77777777" w:rsidTr="0041015B">
        <w:trPr>
          <w:trHeight w:val="20"/>
          <w:jc w:val="center"/>
        </w:trPr>
        <w:tc>
          <w:tcPr>
            <w:tcW w:w="3542" w:type="dxa"/>
            <w:gridSpan w:val="2"/>
            <w:vAlign w:val="center"/>
          </w:tcPr>
          <w:p w14:paraId="1C252A86" w14:textId="77777777" w:rsidR="0053258F" w:rsidRPr="0053258F" w:rsidRDefault="0053258F" w:rsidP="0041015B">
            <w:pPr>
              <w:pStyle w:val="Tabletext"/>
              <w:jc w:val="center"/>
              <w:rPr>
                <w:lang w:eastAsia="ko-KR"/>
              </w:rPr>
            </w:pPr>
            <w:r w:rsidRPr="0053258F">
              <w:rPr>
                <w:lang w:eastAsia="ko-KR"/>
              </w:rPr>
              <w:t>Blanco de referencia</w:t>
            </w:r>
          </w:p>
        </w:tc>
        <w:tc>
          <w:tcPr>
            <w:tcW w:w="2980" w:type="dxa"/>
            <w:vAlign w:val="center"/>
          </w:tcPr>
          <w:p w14:paraId="58DD134C" w14:textId="0364225A" w:rsidR="0053258F" w:rsidRPr="0053258F" w:rsidRDefault="0053258F" w:rsidP="002A6D8D">
            <w:pPr>
              <w:pStyle w:val="Tabletext"/>
              <w:jc w:val="center"/>
              <w:rPr>
                <w:lang w:eastAsia="ko-KR"/>
              </w:rPr>
            </w:pPr>
            <w:r w:rsidRPr="0053258F">
              <w:rPr>
                <w:lang w:eastAsia="ko-KR"/>
              </w:rPr>
              <w:t>D65 según</w:t>
            </w:r>
            <w:r w:rsidR="0041015B">
              <w:rPr>
                <w:lang w:eastAsia="ko-KR"/>
              </w:rPr>
              <w:br/>
            </w:r>
            <w:r w:rsidRPr="0053258F">
              <w:rPr>
                <w:lang w:eastAsia="ko-KR"/>
              </w:rPr>
              <w:t>ISO 11664</w:t>
            </w:r>
            <w:r w:rsidR="00195418">
              <w:rPr>
                <w:lang w:eastAsia="ko-KR"/>
              </w:rPr>
              <w:noBreakHyphen/>
            </w:r>
            <w:r w:rsidRPr="0053258F">
              <w:rPr>
                <w:lang w:eastAsia="ko-KR"/>
              </w:rPr>
              <w:t>2:2007</w:t>
            </w:r>
          </w:p>
        </w:tc>
        <w:tc>
          <w:tcPr>
            <w:tcW w:w="1846" w:type="dxa"/>
            <w:vAlign w:val="center"/>
          </w:tcPr>
          <w:p w14:paraId="343A226D" w14:textId="77777777" w:rsidR="0053258F" w:rsidRPr="0053258F" w:rsidRDefault="0053258F" w:rsidP="002A6D8D">
            <w:pPr>
              <w:pStyle w:val="Tabletext"/>
              <w:jc w:val="center"/>
              <w:rPr>
                <w:lang w:eastAsia="ko-KR"/>
              </w:rPr>
            </w:pPr>
            <w:r w:rsidRPr="0053258F">
              <w:rPr>
                <w:lang w:eastAsia="ko-KR"/>
              </w:rPr>
              <w:t>0,3127</w:t>
            </w:r>
          </w:p>
        </w:tc>
        <w:tc>
          <w:tcPr>
            <w:tcW w:w="1271" w:type="dxa"/>
            <w:vAlign w:val="center"/>
          </w:tcPr>
          <w:p w14:paraId="354784F1" w14:textId="77777777" w:rsidR="0053258F" w:rsidRPr="0053258F" w:rsidRDefault="0053258F" w:rsidP="002A6D8D">
            <w:pPr>
              <w:pStyle w:val="Tabletext"/>
              <w:jc w:val="center"/>
              <w:rPr>
                <w:lang w:eastAsia="ko-KR"/>
              </w:rPr>
            </w:pPr>
            <w:r w:rsidRPr="0053258F">
              <w:rPr>
                <w:lang w:eastAsia="ko-KR"/>
              </w:rPr>
              <w:t>0,3290</w:t>
            </w:r>
          </w:p>
        </w:tc>
      </w:tr>
      <w:tr w:rsidR="0053258F" w:rsidRPr="0053258F" w14:paraId="405518FF" w14:textId="77777777" w:rsidTr="002A6D8D">
        <w:trPr>
          <w:trHeight w:val="73"/>
          <w:jc w:val="center"/>
        </w:trPr>
        <w:tc>
          <w:tcPr>
            <w:tcW w:w="3542" w:type="dxa"/>
            <w:gridSpan w:val="2"/>
          </w:tcPr>
          <w:p w14:paraId="5D86545F" w14:textId="77777777" w:rsidR="0053258F" w:rsidRPr="0053258F" w:rsidRDefault="0053258F" w:rsidP="002A6D8D">
            <w:pPr>
              <w:pStyle w:val="Tabletext"/>
              <w:jc w:val="center"/>
              <w:rPr>
                <w:lang w:eastAsia="ko-KR"/>
              </w:rPr>
            </w:pPr>
            <w:r w:rsidRPr="0053258F">
              <w:rPr>
                <w:lang w:eastAsia="ko-KR"/>
              </w:rPr>
              <w:t>Funciones de armonización del color</w:t>
            </w:r>
          </w:p>
        </w:tc>
        <w:tc>
          <w:tcPr>
            <w:tcW w:w="6097" w:type="dxa"/>
            <w:gridSpan w:val="3"/>
          </w:tcPr>
          <w:p w14:paraId="055F9EA0" w14:textId="77777777" w:rsidR="0053258F" w:rsidRPr="0053258F" w:rsidRDefault="0053258F" w:rsidP="002A6D8D">
            <w:pPr>
              <w:pStyle w:val="Tabletext"/>
              <w:jc w:val="center"/>
              <w:rPr>
                <w:lang w:eastAsia="ko-KR"/>
              </w:rPr>
            </w:pPr>
            <w:r w:rsidRPr="0053258F">
              <w:rPr>
                <w:lang w:eastAsia="ko-KR"/>
              </w:rPr>
              <w:t>CIE 1931</w:t>
            </w:r>
          </w:p>
        </w:tc>
      </w:tr>
    </w:tbl>
    <w:p w14:paraId="1BACC34F" w14:textId="77777777" w:rsidR="0053258F" w:rsidRPr="0053258F" w:rsidRDefault="0053258F" w:rsidP="002A6D8D">
      <w:pPr>
        <w:pStyle w:val="Tablefin"/>
      </w:pPr>
    </w:p>
    <w:p w14:paraId="4DCD6AEA" w14:textId="77777777" w:rsidR="0053258F" w:rsidRPr="0053258F" w:rsidRDefault="0053258F" w:rsidP="002A6D8D">
      <w:pPr>
        <w:pStyle w:val="TableNo"/>
        <w:rPr>
          <w:lang w:eastAsia="ko-KR"/>
        </w:rPr>
      </w:pPr>
      <w:bookmarkStart w:id="22" w:name="lt_pId143"/>
      <w:r w:rsidRPr="0053258F">
        <w:rPr>
          <w:lang w:eastAsia="ko-KR"/>
        </w:rPr>
        <w:lastRenderedPageBreak/>
        <w:t>CUADRO 3</w:t>
      </w:r>
      <w:bookmarkEnd w:id="22"/>
    </w:p>
    <w:p w14:paraId="5C8B7C35" w14:textId="77777777" w:rsidR="0053258F" w:rsidRPr="0053258F" w:rsidRDefault="0053258F" w:rsidP="002A6D8D">
      <w:pPr>
        <w:pStyle w:val="Tabletitle"/>
        <w:rPr>
          <w:lang w:eastAsia="ko-KR"/>
        </w:rPr>
      </w:pPr>
      <w:r w:rsidRPr="0053258F">
        <w:rPr>
          <w:lang w:eastAsia="ko-KR"/>
        </w:rPr>
        <w:t>Formato de la señal</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7"/>
        <w:gridCol w:w="6802"/>
      </w:tblGrid>
      <w:tr w:rsidR="0053258F" w:rsidRPr="0053258F" w14:paraId="18E71D8F" w14:textId="77777777" w:rsidTr="0041015B">
        <w:trPr>
          <w:jc w:val="center"/>
        </w:trPr>
        <w:tc>
          <w:tcPr>
            <w:tcW w:w="2837" w:type="dxa"/>
            <w:vAlign w:val="center"/>
            <w:hideMark/>
          </w:tcPr>
          <w:p w14:paraId="6E28D7FD" w14:textId="77777777" w:rsidR="0053258F" w:rsidRPr="0053258F" w:rsidRDefault="0053258F" w:rsidP="002A6D8D">
            <w:pPr>
              <w:pStyle w:val="Tablehead"/>
              <w:rPr>
                <w:lang w:eastAsia="ko-KR"/>
              </w:rPr>
            </w:pPr>
            <w:r w:rsidRPr="0053258F">
              <w:rPr>
                <w:lang w:eastAsia="ko-KR"/>
              </w:rPr>
              <w:t>Parámetro</w:t>
            </w:r>
          </w:p>
        </w:tc>
        <w:tc>
          <w:tcPr>
            <w:tcW w:w="6802" w:type="dxa"/>
            <w:vAlign w:val="center"/>
            <w:hideMark/>
          </w:tcPr>
          <w:p w14:paraId="2FF303D7" w14:textId="77777777" w:rsidR="0053258F" w:rsidRPr="0053258F" w:rsidRDefault="0053258F" w:rsidP="002A6D8D">
            <w:pPr>
              <w:pStyle w:val="Tablehead"/>
              <w:rPr>
                <w:lang w:eastAsia="ko-KR"/>
              </w:rPr>
            </w:pPr>
            <w:r w:rsidRPr="0053258F">
              <w:rPr>
                <w:lang w:eastAsia="ko-KR"/>
              </w:rPr>
              <w:t>Valores</w:t>
            </w:r>
          </w:p>
        </w:tc>
      </w:tr>
      <w:tr w:rsidR="0053258F" w:rsidRPr="0053258F" w14:paraId="0CD47996" w14:textId="77777777" w:rsidTr="0041015B">
        <w:trPr>
          <w:jc w:val="center"/>
        </w:trPr>
        <w:tc>
          <w:tcPr>
            <w:tcW w:w="2837" w:type="dxa"/>
            <w:vAlign w:val="center"/>
            <w:hideMark/>
          </w:tcPr>
          <w:p w14:paraId="7565B13E" w14:textId="77777777" w:rsidR="0053258F" w:rsidRPr="0053258F" w:rsidRDefault="0053258F" w:rsidP="002A6D8D">
            <w:pPr>
              <w:pStyle w:val="Tabletext"/>
              <w:rPr>
                <w:lang w:eastAsia="ko-KR"/>
              </w:rPr>
            </w:pPr>
            <w:r w:rsidRPr="0053258F">
              <w:rPr>
                <w:lang w:eastAsia="ko-KR"/>
              </w:rPr>
              <w:t>Formato de la señal</w:t>
            </w:r>
          </w:p>
        </w:tc>
        <w:tc>
          <w:tcPr>
            <w:tcW w:w="6802" w:type="dxa"/>
            <w:vAlign w:val="center"/>
            <w:hideMark/>
          </w:tcPr>
          <w:p w14:paraId="594D7D80" w14:textId="77777777" w:rsidR="0053258F" w:rsidRPr="0053258F" w:rsidRDefault="0053258F" w:rsidP="002A6D8D">
            <w:pPr>
              <w:pStyle w:val="Tabletext"/>
              <w:jc w:val="center"/>
              <w:rPr>
                <w:lang w:val="pt-BR" w:eastAsia="ko-KR"/>
              </w:rPr>
            </w:pPr>
            <w:bookmarkStart w:id="23" w:name="lt_pId148"/>
            <w:r w:rsidRPr="0053258F">
              <w:rPr>
                <w:i/>
                <w:iCs/>
                <w:lang w:val="pt-BR" w:eastAsia="ko-KR"/>
              </w:rPr>
              <w:t>R’G’B’</w:t>
            </w:r>
            <w:r w:rsidRPr="0053258F">
              <w:rPr>
                <w:lang w:val="pt-BR" w:eastAsia="ko-KR"/>
              </w:rPr>
              <w:t xml:space="preserve">, </w:t>
            </w:r>
            <w:r w:rsidRPr="0053258F">
              <w:rPr>
                <w:i/>
                <w:iCs/>
                <w:lang w:val="pt-BR" w:eastAsia="ko-KR"/>
              </w:rPr>
              <w:t>Y'C'</w:t>
            </w:r>
            <w:r w:rsidRPr="0053258F">
              <w:rPr>
                <w:i/>
                <w:iCs/>
                <w:vertAlign w:val="subscript"/>
                <w:lang w:val="pt-BR" w:eastAsia="ko-KR"/>
              </w:rPr>
              <w:t>B</w:t>
            </w:r>
            <w:r w:rsidRPr="0053258F">
              <w:rPr>
                <w:i/>
                <w:iCs/>
                <w:lang w:val="pt-BR" w:eastAsia="ko-KR"/>
              </w:rPr>
              <w:t>C'</w:t>
            </w:r>
            <w:r w:rsidRPr="0053258F">
              <w:rPr>
                <w:i/>
                <w:iCs/>
                <w:vertAlign w:val="subscript"/>
                <w:lang w:val="pt-BR" w:eastAsia="ko-KR"/>
              </w:rPr>
              <w:t>R</w:t>
            </w:r>
            <w:r w:rsidRPr="0053258F">
              <w:rPr>
                <w:lang w:val="pt-BR" w:eastAsia="ko-KR"/>
              </w:rPr>
              <w:t xml:space="preserve"> (luminancia no constante), </w:t>
            </w:r>
            <w:r w:rsidRPr="0053258F">
              <w:rPr>
                <w:i/>
                <w:iCs/>
                <w:lang w:val="pt-BR" w:eastAsia="ko-KR"/>
              </w:rPr>
              <w:t>IC</w:t>
            </w:r>
            <w:r w:rsidRPr="0053258F">
              <w:rPr>
                <w:i/>
                <w:iCs/>
                <w:vertAlign w:val="subscript"/>
                <w:lang w:val="pt-BR" w:eastAsia="ko-KR"/>
              </w:rPr>
              <w:t>T</w:t>
            </w:r>
            <w:r w:rsidRPr="0053258F">
              <w:rPr>
                <w:i/>
                <w:iCs/>
                <w:lang w:val="pt-BR" w:eastAsia="ko-KR"/>
              </w:rPr>
              <w:t>C</w:t>
            </w:r>
            <w:r w:rsidRPr="0053258F">
              <w:rPr>
                <w:i/>
                <w:iCs/>
                <w:vertAlign w:val="subscript"/>
                <w:lang w:val="pt-BR" w:eastAsia="ko-KR"/>
              </w:rPr>
              <w:t>P</w:t>
            </w:r>
            <w:bookmarkEnd w:id="23"/>
          </w:p>
        </w:tc>
      </w:tr>
      <w:tr w:rsidR="0053258F" w:rsidRPr="0053258F" w14:paraId="6ADB6250" w14:textId="77777777" w:rsidTr="0041015B">
        <w:trPr>
          <w:jc w:val="center"/>
        </w:trPr>
        <w:tc>
          <w:tcPr>
            <w:tcW w:w="2837" w:type="dxa"/>
            <w:vAlign w:val="center"/>
            <w:hideMark/>
          </w:tcPr>
          <w:p w14:paraId="4E491A0D" w14:textId="110D7150" w:rsidR="0053258F" w:rsidRPr="0053258F" w:rsidRDefault="0053258F" w:rsidP="002A6D8D">
            <w:pPr>
              <w:pStyle w:val="Tabletext"/>
              <w:jc w:val="left"/>
              <w:rPr>
                <w:lang w:eastAsia="ko-KR"/>
              </w:rPr>
            </w:pPr>
            <w:bookmarkStart w:id="24" w:name="lt_pId149"/>
            <w:r w:rsidRPr="0053258F">
              <w:rPr>
                <w:lang w:eastAsia="ko-KR"/>
              </w:rPr>
              <w:t xml:space="preserve">Derivación de </w:t>
            </w:r>
            <w:r w:rsidRPr="0053258F">
              <w:rPr>
                <w:i/>
                <w:iCs/>
                <w:lang w:eastAsia="ko-KR"/>
              </w:rPr>
              <w:t>R'G'B'</w:t>
            </w:r>
            <w:r w:rsidRPr="0053258F">
              <w:rPr>
                <w:lang w:eastAsia="ko-KR"/>
              </w:rPr>
              <w:t xml:space="preserve">, </w:t>
            </w:r>
            <w:r w:rsidRPr="0053258F">
              <w:rPr>
                <w:i/>
                <w:iCs/>
                <w:lang w:eastAsia="ko-KR"/>
              </w:rPr>
              <w:t>Y'C'</w:t>
            </w:r>
            <w:r w:rsidRPr="0053258F">
              <w:rPr>
                <w:i/>
                <w:iCs/>
                <w:vertAlign w:val="subscript"/>
                <w:lang w:eastAsia="ko-KR"/>
              </w:rPr>
              <w:t>B</w:t>
            </w:r>
            <w:r w:rsidRPr="0053258F">
              <w:rPr>
                <w:i/>
                <w:iCs/>
                <w:lang w:eastAsia="ko-KR"/>
              </w:rPr>
              <w:t>C'</w:t>
            </w:r>
            <w:r w:rsidRPr="0053258F">
              <w:rPr>
                <w:i/>
                <w:iCs/>
                <w:vertAlign w:val="subscript"/>
                <w:lang w:eastAsia="ko-KR"/>
              </w:rPr>
              <w:t>R</w:t>
            </w:r>
            <w:r w:rsidRPr="0053258F">
              <w:rPr>
                <w:lang w:eastAsia="ko-KR"/>
              </w:rPr>
              <w:t xml:space="preserve">, </w:t>
            </w:r>
            <w:r w:rsidR="00195418">
              <w:rPr>
                <w:lang w:eastAsia="ko-KR"/>
              </w:rPr>
              <w:t>e</w:t>
            </w:r>
            <w:r w:rsidRPr="0053258F">
              <w:rPr>
                <w:lang w:eastAsia="ko-KR"/>
              </w:rPr>
              <w:t> </w:t>
            </w:r>
            <w:r w:rsidRPr="0053258F">
              <w:rPr>
                <w:i/>
                <w:iCs/>
                <w:lang w:eastAsia="ko-KR"/>
              </w:rPr>
              <w:t>IC</w:t>
            </w:r>
            <w:r w:rsidRPr="0053258F">
              <w:rPr>
                <w:i/>
                <w:iCs/>
                <w:vertAlign w:val="subscript"/>
                <w:lang w:eastAsia="ko-KR"/>
              </w:rPr>
              <w:t>T</w:t>
            </w:r>
            <w:r w:rsidRPr="0053258F">
              <w:rPr>
                <w:i/>
                <w:iCs/>
                <w:lang w:eastAsia="ko-KR"/>
              </w:rPr>
              <w:t>C</w:t>
            </w:r>
            <w:r w:rsidRPr="0053258F">
              <w:rPr>
                <w:i/>
                <w:iCs/>
                <w:vertAlign w:val="subscript"/>
                <w:lang w:eastAsia="ko-KR"/>
              </w:rPr>
              <w:t>P</w:t>
            </w:r>
            <w:r w:rsidRPr="0053258F">
              <w:rPr>
                <w:i/>
                <w:iCs/>
                <w:lang w:eastAsia="ko-KR"/>
              </w:rPr>
              <w:t xml:space="preserve"> (solo HDR)</w:t>
            </w:r>
            <w:bookmarkEnd w:id="24"/>
          </w:p>
        </w:tc>
        <w:tc>
          <w:tcPr>
            <w:tcW w:w="6802" w:type="dxa"/>
            <w:vAlign w:val="center"/>
            <w:hideMark/>
          </w:tcPr>
          <w:p w14:paraId="65794527" w14:textId="38C7E351" w:rsidR="0053258F" w:rsidRPr="0053258F" w:rsidRDefault="0053258F" w:rsidP="002A6D8D">
            <w:pPr>
              <w:pStyle w:val="Tabletext"/>
              <w:jc w:val="center"/>
              <w:rPr>
                <w:lang w:eastAsia="ko-KR"/>
              </w:rPr>
            </w:pPr>
            <w:bookmarkStart w:id="25" w:name="lt_pId150"/>
            <w:r w:rsidRPr="0053258F">
              <w:rPr>
                <w:lang w:eastAsia="ko-KR"/>
              </w:rPr>
              <w:t>Gama dinámica convencional (SDR):</w:t>
            </w:r>
            <w:bookmarkEnd w:id="25"/>
            <w:r w:rsidRPr="0053258F">
              <w:rPr>
                <w:lang w:eastAsia="ko-KR"/>
              </w:rPr>
              <w:t xml:space="preserve"> </w:t>
            </w:r>
            <w:bookmarkStart w:id="26" w:name="lt_pId151"/>
            <w:r w:rsidR="0041015B">
              <w:rPr>
                <w:lang w:eastAsia="ko-KR"/>
              </w:rPr>
              <w:t>c</w:t>
            </w:r>
            <w:r w:rsidRPr="0053258F">
              <w:rPr>
                <w:lang w:eastAsia="ko-KR"/>
              </w:rPr>
              <w:t>onforme a la Rec. UIT-R BT.2020</w:t>
            </w:r>
            <w:bookmarkEnd w:id="26"/>
          </w:p>
          <w:p w14:paraId="785EE09A" w14:textId="06333393" w:rsidR="0053258F" w:rsidRPr="0053258F" w:rsidRDefault="0053258F" w:rsidP="002A6D8D">
            <w:pPr>
              <w:pStyle w:val="Tabletext"/>
              <w:jc w:val="center"/>
              <w:rPr>
                <w:lang w:eastAsia="ko-KR"/>
              </w:rPr>
            </w:pPr>
            <w:bookmarkStart w:id="27" w:name="lt_pId152"/>
            <w:r w:rsidRPr="0053258F">
              <w:rPr>
                <w:lang w:eastAsia="ko-KR"/>
              </w:rPr>
              <w:t>Elevada gama dinámica (HDR):</w:t>
            </w:r>
            <w:bookmarkEnd w:id="27"/>
            <w:r w:rsidRPr="0053258F">
              <w:rPr>
                <w:lang w:eastAsia="ko-KR"/>
              </w:rPr>
              <w:t xml:space="preserve"> </w:t>
            </w:r>
            <w:bookmarkStart w:id="28" w:name="lt_pId153"/>
            <w:r w:rsidR="0041015B">
              <w:rPr>
                <w:lang w:eastAsia="ko-KR"/>
              </w:rPr>
              <w:t>c</w:t>
            </w:r>
            <w:r w:rsidRPr="0053258F">
              <w:rPr>
                <w:lang w:eastAsia="ko-KR"/>
              </w:rPr>
              <w:t>onforme a la Rec. UIT-R BT.2100</w:t>
            </w:r>
            <w:bookmarkEnd w:id="28"/>
          </w:p>
        </w:tc>
      </w:tr>
      <w:tr w:rsidR="0053258F" w:rsidRPr="0053258F" w14:paraId="3FDCE9EC" w14:textId="77777777" w:rsidTr="0041015B">
        <w:trPr>
          <w:jc w:val="center"/>
        </w:trPr>
        <w:tc>
          <w:tcPr>
            <w:tcW w:w="2837" w:type="dxa"/>
            <w:vAlign w:val="center"/>
            <w:hideMark/>
          </w:tcPr>
          <w:p w14:paraId="7D578654" w14:textId="77777777" w:rsidR="0053258F" w:rsidRPr="0053258F" w:rsidRDefault="0053258F" w:rsidP="002A6D8D">
            <w:pPr>
              <w:pStyle w:val="Tabletext"/>
              <w:rPr>
                <w:lang w:eastAsia="ko-KR"/>
              </w:rPr>
            </w:pPr>
            <w:r w:rsidRPr="0053258F">
              <w:rPr>
                <w:lang w:eastAsia="ko-KR"/>
              </w:rPr>
              <w:t>Profundidad de bits</w:t>
            </w:r>
          </w:p>
        </w:tc>
        <w:tc>
          <w:tcPr>
            <w:tcW w:w="6802" w:type="dxa"/>
            <w:vAlign w:val="center"/>
            <w:hideMark/>
          </w:tcPr>
          <w:p w14:paraId="21C93AAE" w14:textId="77777777" w:rsidR="0053258F" w:rsidRPr="0053258F" w:rsidRDefault="0053258F" w:rsidP="002A6D8D">
            <w:pPr>
              <w:pStyle w:val="Tabletext"/>
              <w:jc w:val="center"/>
              <w:rPr>
                <w:lang w:eastAsia="ko-KR"/>
              </w:rPr>
            </w:pPr>
            <w:bookmarkStart w:id="29" w:name="lt_pId155"/>
            <w:r w:rsidRPr="0053258F">
              <w:rPr>
                <w:lang w:eastAsia="ko-KR"/>
              </w:rPr>
              <w:t>10 ó 12 bits por component</w:t>
            </w:r>
            <w:bookmarkEnd w:id="29"/>
            <w:r w:rsidRPr="0053258F">
              <w:rPr>
                <w:lang w:eastAsia="ko-KR"/>
              </w:rPr>
              <w:t>e</w:t>
            </w:r>
          </w:p>
        </w:tc>
      </w:tr>
      <w:tr w:rsidR="0053258F" w:rsidRPr="0053258F" w14:paraId="6E6705AC" w14:textId="77777777" w:rsidTr="0041015B">
        <w:trPr>
          <w:jc w:val="center"/>
        </w:trPr>
        <w:tc>
          <w:tcPr>
            <w:tcW w:w="2837" w:type="dxa"/>
            <w:vAlign w:val="center"/>
            <w:hideMark/>
          </w:tcPr>
          <w:p w14:paraId="1906CBDE" w14:textId="333D46E8" w:rsidR="0053258F" w:rsidRPr="0053258F" w:rsidRDefault="0053258F" w:rsidP="002A6D8D">
            <w:pPr>
              <w:pStyle w:val="Tabletext"/>
              <w:rPr>
                <w:lang w:eastAsia="ko-KR"/>
              </w:rPr>
            </w:pPr>
            <w:bookmarkStart w:id="30" w:name="lt_pId156"/>
            <w:r w:rsidRPr="0053258F">
              <w:rPr>
                <w:lang w:eastAsia="ko-KR"/>
              </w:rPr>
              <w:t>Submuestreo de colores</w:t>
            </w:r>
            <w:bookmarkEnd w:id="30"/>
            <w:r w:rsidRPr="0053258F">
              <w:rPr>
                <w:lang w:eastAsia="ko-KR"/>
              </w:rPr>
              <w:t xml:space="preserve"> </w:t>
            </w:r>
          </w:p>
        </w:tc>
        <w:tc>
          <w:tcPr>
            <w:tcW w:w="6802" w:type="dxa"/>
            <w:vAlign w:val="center"/>
            <w:hideMark/>
          </w:tcPr>
          <w:p w14:paraId="34C7C1EA" w14:textId="2BE01665" w:rsidR="0053258F" w:rsidRPr="0053258F" w:rsidRDefault="0053258F" w:rsidP="002A6D8D">
            <w:pPr>
              <w:pStyle w:val="Tabletext"/>
              <w:jc w:val="center"/>
              <w:rPr>
                <w:lang w:eastAsia="ko-KR"/>
              </w:rPr>
            </w:pPr>
            <w:bookmarkStart w:id="31" w:name="lt_pId157"/>
            <w:r w:rsidRPr="0053258F">
              <w:rPr>
                <w:lang w:eastAsia="ko-KR"/>
              </w:rPr>
              <w:t>Conforme al Cuadro</w:t>
            </w:r>
            <w:r w:rsidR="00815D98">
              <w:rPr>
                <w:lang w:eastAsia="ko-KR"/>
              </w:rPr>
              <w:t> </w:t>
            </w:r>
            <w:r w:rsidRPr="0053258F">
              <w:rPr>
                <w:lang w:eastAsia="ko-KR"/>
              </w:rPr>
              <w:t>8 de la Rec. UIT-R BT.2100</w:t>
            </w:r>
            <w:bookmarkEnd w:id="31"/>
          </w:p>
        </w:tc>
      </w:tr>
      <w:tr w:rsidR="0053258F" w:rsidRPr="0053258F" w14:paraId="2448158D" w14:textId="77777777" w:rsidTr="0041015B">
        <w:trPr>
          <w:jc w:val="center"/>
        </w:trPr>
        <w:tc>
          <w:tcPr>
            <w:tcW w:w="2837" w:type="dxa"/>
            <w:vAlign w:val="center"/>
            <w:hideMark/>
          </w:tcPr>
          <w:p w14:paraId="01518542" w14:textId="77777777" w:rsidR="0053258F" w:rsidRPr="0053258F" w:rsidRDefault="0053258F" w:rsidP="002A6D8D">
            <w:pPr>
              <w:pStyle w:val="Tabletext"/>
              <w:jc w:val="left"/>
              <w:rPr>
                <w:lang w:eastAsia="ko-KR"/>
              </w:rPr>
            </w:pPr>
            <w:r w:rsidRPr="0053258F">
              <w:rPr>
                <w:lang w:eastAsia="ko-KR"/>
              </w:rPr>
              <w:t>Representación digital de números enteros</w:t>
            </w:r>
          </w:p>
        </w:tc>
        <w:tc>
          <w:tcPr>
            <w:tcW w:w="6802" w:type="dxa"/>
            <w:vAlign w:val="center"/>
            <w:hideMark/>
          </w:tcPr>
          <w:p w14:paraId="2F71EC80" w14:textId="11E5FE20" w:rsidR="0053258F" w:rsidRPr="0053258F" w:rsidRDefault="0053258F" w:rsidP="002A6D8D">
            <w:pPr>
              <w:pStyle w:val="Tabletext"/>
              <w:jc w:val="center"/>
              <w:rPr>
                <w:lang w:eastAsia="ko-KR"/>
              </w:rPr>
            </w:pPr>
            <w:bookmarkStart w:id="32" w:name="lt_pId159"/>
            <w:r w:rsidRPr="0053258F">
              <w:rPr>
                <w:lang w:eastAsia="ko-KR"/>
              </w:rPr>
              <w:t>Conforme al Cuadro</w:t>
            </w:r>
            <w:r w:rsidR="00815D98">
              <w:rPr>
                <w:lang w:eastAsia="ko-KR"/>
              </w:rPr>
              <w:t> </w:t>
            </w:r>
            <w:r w:rsidRPr="0053258F">
              <w:rPr>
                <w:lang w:eastAsia="ko-KR"/>
              </w:rPr>
              <w:t>9 de la Rec. UIT-R BT.2100</w:t>
            </w:r>
            <w:bookmarkEnd w:id="32"/>
          </w:p>
          <w:p w14:paraId="408AB4D5" w14:textId="77777777" w:rsidR="0053258F" w:rsidRPr="0053258F" w:rsidRDefault="0053258F" w:rsidP="002A6D8D">
            <w:pPr>
              <w:pStyle w:val="Tabletext"/>
              <w:jc w:val="center"/>
              <w:rPr>
                <w:lang w:eastAsia="ko-KR"/>
              </w:rPr>
            </w:pPr>
            <w:bookmarkStart w:id="33" w:name="lt_pId160"/>
            <w:r w:rsidRPr="0053258F">
              <w:rPr>
                <w:lang w:eastAsia="ko-KR"/>
              </w:rPr>
              <w:t>(SDR:</w:t>
            </w:r>
            <w:bookmarkEnd w:id="33"/>
            <w:r w:rsidRPr="0053258F">
              <w:rPr>
                <w:lang w:eastAsia="ko-KR"/>
              </w:rPr>
              <w:t xml:space="preserve"> </w:t>
            </w:r>
            <w:bookmarkStart w:id="34" w:name="lt_pId161"/>
            <w:r w:rsidRPr="0053258F">
              <w:rPr>
                <w:lang w:eastAsia="ko-KR"/>
              </w:rPr>
              <w:t>gama reducida, HDR:</w:t>
            </w:r>
            <w:bookmarkEnd w:id="34"/>
            <w:r w:rsidRPr="0053258F">
              <w:rPr>
                <w:lang w:eastAsia="ko-KR"/>
              </w:rPr>
              <w:t xml:space="preserve"> </w:t>
            </w:r>
            <w:bookmarkStart w:id="35" w:name="lt_pId162"/>
            <w:r w:rsidRPr="0053258F">
              <w:rPr>
                <w:lang w:eastAsia="ko-KR"/>
              </w:rPr>
              <w:t>gama reducida o completa)</w:t>
            </w:r>
            <w:bookmarkEnd w:id="35"/>
          </w:p>
        </w:tc>
      </w:tr>
      <w:tr w:rsidR="0053258F" w:rsidRPr="0053258F" w14:paraId="5E811D7A" w14:textId="77777777" w:rsidTr="00B56F09">
        <w:trPr>
          <w:jc w:val="center"/>
        </w:trPr>
        <w:tc>
          <w:tcPr>
            <w:tcW w:w="9639" w:type="dxa"/>
            <w:gridSpan w:val="2"/>
            <w:tcBorders>
              <w:left w:val="nil"/>
              <w:bottom w:val="nil"/>
              <w:right w:val="nil"/>
            </w:tcBorders>
            <w:vAlign w:val="center"/>
          </w:tcPr>
          <w:p w14:paraId="7C6F8CFF" w14:textId="3A48825F" w:rsidR="0053258F" w:rsidRPr="0041015B" w:rsidRDefault="00B960A9" w:rsidP="00B960A9">
            <w:pPr>
              <w:pStyle w:val="Tabletext"/>
              <w:rPr>
                <w:lang w:eastAsia="ko-KR"/>
              </w:rPr>
            </w:pPr>
            <w:bookmarkStart w:id="36" w:name="lt_pId163"/>
            <w:r>
              <w:rPr>
                <w:i/>
                <w:iCs/>
                <w:lang w:eastAsia="ko-KR"/>
              </w:rPr>
              <w:t>Nota</w:t>
            </w:r>
            <w:r w:rsidRPr="00B960A9">
              <w:rPr>
                <w:lang w:eastAsia="ko-KR"/>
              </w:rPr>
              <w:t xml:space="preserve">: </w:t>
            </w:r>
            <w:r w:rsidR="0053258F" w:rsidRPr="0041015B">
              <w:rPr>
                <w:lang w:eastAsia="ko-KR"/>
              </w:rPr>
              <w:t xml:space="preserve">El formato de señal </w:t>
            </w:r>
            <w:r w:rsidR="0053258F" w:rsidRPr="0041015B">
              <w:rPr>
                <w:i/>
                <w:iCs/>
                <w:lang w:eastAsia="ko-KR"/>
              </w:rPr>
              <w:t>IC</w:t>
            </w:r>
            <w:r w:rsidR="0053258F" w:rsidRPr="0041015B">
              <w:rPr>
                <w:i/>
                <w:iCs/>
                <w:vertAlign w:val="subscript"/>
                <w:lang w:eastAsia="ko-KR"/>
              </w:rPr>
              <w:t>T</w:t>
            </w:r>
            <w:r w:rsidR="0053258F" w:rsidRPr="0041015B">
              <w:rPr>
                <w:i/>
                <w:iCs/>
                <w:lang w:eastAsia="ko-KR"/>
              </w:rPr>
              <w:t>C</w:t>
            </w:r>
            <w:r w:rsidR="0053258F" w:rsidRPr="0041015B">
              <w:rPr>
                <w:i/>
                <w:iCs/>
                <w:vertAlign w:val="subscript"/>
                <w:lang w:eastAsia="ko-KR"/>
              </w:rPr>
              <w:t>P</w:t>
            </w:r>
            <w:r w:rsidR="0053258F" w:rsidRPr="0041015B">
              <w:rPr>
                <w:lang w:eastAsia="ko-KR"/>
              </w:rPr>
              <w:t xml:space="preserve"> de intensidad constante se presentó inicialmente en 2016 en el marco de la Recomendación UIT-R BT.2100.</w:t>
            </w:r>
            <w:bookmarkEnd w:id="36"/>
            <w:r w:rsidR="0053258F" w:rsidRPr="0041015B">
              <w:rPr>
                <w:lang w:eastAsia="ko-KR"/>
              </w:rPr>
              <w:t xml:space="preserve"> Dicho formato de señal </w:t>
            </w:r>
            <w:bookmarkStart w:id="37" w:name="lt_pId294"/>
            <w:r w:rsidR="0053258F" w:rsidRPr="0041015B">
              <w:rPr>
                <w:lang w:eastAsia="ko-KR"/>
              </w:rPr>
              <w:t>no debería utilizarse para el intercambio de programas a menos que todas las partes</w:t>
            </w:r>
            <w:bookmarkEnd w:id="37"/>
            <w:r w:rsidR="0053258F" w:rsidRPr="0041015B">
              <w:rPr>
                <w:lang w:eastAsia="ko-KR"/>
              </w:rPr>
              <w:t xml:space="preserve"> accedan a ello.</w:t>
            </w:r>
          </w:p>
        </w:tc>
      </w:tr>
    </w:tbl>
    <w:p w14:paraId="1A54C17E" w14:textId="77777777" w:rsidR="0053258F" w:rsidRPr="0041015B" w:rsidRDefault="0053258F" w:rsidP="002A6D8D">
      <w:pPr>
        <w:pStyle w:val="Tablefin"/>
        <w:rPr>
          <w:lang w:val="es-ES"/>
        </w:rPr>
      </w:pPr>
    </w:p>
    <w:p w14:paraId="408FAF07" w14:textId="1DFD29B3" w:rsidR="0053258F" w:rsidRPr="0053258F" w:rsidRDefault="0053258F" w:rsidP="002A6D8D">
      <w:pPr>
        <w:pStyle w:val="Heading1"/>
        <w:rPr>
          <w:lang w:eastAsia="ko-KR"/>
        </w:rPr>
      </w:pPr>
      <w:r w:rsidRPr="0053258F">
        <w:rPr>
          <w:lang w:eastAsia="ko-KR"/>
        </w:rPr>
        <w:t>2</w:t>
      </w:r>
      <w:r w:rsidRPr="0053258F">
        <w:rPr>
          <w:lang w:eastAsia="ko-KR"/>
        </w:rPr>
        <w:tab/>
        <w:t>Características de presentación de las imágenes de 360</w:t>
      </w:r>
      <w:r w:rsidR="00C70C3C">
        <w:rPr>
          <w:lang w:eastAsia="ko-KR"/>
        </w:rPr>
        <w:t>°</w:t>
      </w:r>
    </w:p>
    <w:p w14:paraId="633A787B" w14:textId="0FA18BFB" w:rsidR="0053258F" w:rsidRPr="0053258F" w:rsidRDefault="0053258F" w:rsidP="0053258F">
      <w:pPr>
        <w:rPr>
          <w:rFonts w:eastAsia="MS Mincho"/>
          <w:lang w:eastAsia="ko-KR"/>
        </w:rPr>
      </w:pPr>
      <w:bookmarkStart w:id="38" w:name="lt_pId167"/>
      <w:r w:rsidRPr="0053258F">
        <w:rPr>
          <w:lang w:eastAsia="ko-KR"/>
        </w:rPr>
        <w:t>Las características de presentación de las imágenes de 360</w:t>
      </w:r>
      <w:r w:rsidRPr="0053258F">
        <w:rPr>
          <w:lang w:eastAsia="de-DE"/>
        </w:rPr>
        <w:t>°</w:t>
      </w:r>
      <w:r w:rsidRPr="0053258F">
        <w:rPr>
          <w:lang w:eastAsia="ko-KR"/>
        </w:rPr>
        <w:t xml:space="preserve"> se abordan a título informativo en el Anexo</w:t>
      </w:r>
      <w:r w:rsidR="00815D98">
        <w:rPr>
          <w:lang w:eastAsia="ko-KR"/>
        </w:rPr>
        <w:t> </w:t>
      </w:r>
      <w:r w:rsidRPr="0053258F">
        <w:rPr>
          <w:lang w:eastAsia="ko-KR"/>
        </w:rPr>
        <w:t>2.</w:t>
      </w:r>
      <w:bookmarkEnd w:id="38"/>
    </w:p>
    <w:p w14:paraId="552CF7D3" w14:textId="77777777" w:rsidR="0053258F" w:rsidRPr="0053258F" w:rsidRDefault="0053258F" w:rsidP="0053258F">
      <w:pPr>
        <w:rPr>
          <w:lang w:eastAsia="ko-KR"/>
        </w:rPr>
      </w:pPr>
    </w:p>
    <w:p w14:paraId="392C3E22" w14:textId="77777777" w:rsidR="0053258F" w:rsidRPr="0053258F" w:rsidRDefault="0053258F" w:rsidP="0053258F">
      <w:pPr>
        <w:rPr>
          <w:lang w:eastAsia="ko-KR"/>
        </w:rPr>
      </w:pPr>
    </w:p>
    <w:p w14:paraId="71586814" w14:textId="7BD5957D" w:rsidR="0053258F" w:rsidRPr="0053258F" w:rsidRDefault="0053258F" w:rsidP="00C70C3C">
      <w:pPr>
        <w:pStyle w:val="AnnexNoTitle"/>
      </w:pPr>
      <w:bookmarkStart w:id="39" w:name="lt_pId168"/>
      <w:bookmarkStart w:id="40" w:name="_Ref480901738"/>
      <w:bookmarkStart w:id="41" w:name="_Ref480975486"/>
      <w:bookmarkStart w:id="42" w:name="_Ref480997946"/>
      <w:bookmarkStart w:id="43" w:name="_Ref480998296"/>
      <w:bookmarkStart w:id="44" w:name="_Toc485386542"/>
      <w:bookmarkStart w:id="45" w:name="_Ref480997283"/>
      <w:r w:rsidRPr="0053258F">
        <w:rPr>
          <w:lang w:eastAsia="ko-KR"/>
        </w:rPr>
        <w:t>Anexo 1</w:t>
      </w:r>
      <w:bookmarkEnd w:id="39"/>
      <w:r w:rsidRPr="0053258F">
        <w:rPr>
          <w:lang w:eastAsia="ko-KR"/>
        </w:rPr>
        <w:t xml:space="preserve"> </w:t>
      </w:r>
      <w:r w:rsidRPr="0053258F">
        <w:rPr>
          <w:lang w:eastAsia="ko-KR"/>
        </w:rPr>
        <w:br/>
      </w:r>
      <w:bookmarkStart w:id="46" w:name="lt_pId169"/>
      <w:r w:rsidRPr="0053258F">
        <w:t>(normativo)</w:t>
      </w:r>
      <w:bookmarkStart w:id="47" w:name="_Toc485386541"/>
      <w:bookmarkEnd w:id="46"/>
      <w:r w:rsidRPr="0053258F">
        <w:rPr>
          <w:lang w:eastAsia="ko-KR"/>
        </w:rPr>
        <w:br/>
      </w:r>
      <w:r w:rsidRPr="0053258F">
        <w:rPr>
          <w:lang w:eastAsia="ko-KR"/>
        </w:rPr>
        <w:br/>
      </w:r>
      <w:bookmarkEnd w:id="47"/>
      <w:r w:rsidRPr="0053258F">
        <w:t>Proyección de vídeo omnidireccional</w:t>
      </w:r>
      <w:r w:rsidR="00C70C3C">
        <w:rPr>
          <w:rStyle w:val="FootnoteReference"/>
        </w:rPr>
        <w:footnoteReference w:id="2"/>
      </w:r>
    </w:p>
    <w:p w14:paraId="679DBD47" w14:textId="77777777" w:rsidR="0053258F" w:rsidRPr="0053258F" w:rsidRDefault="0053258F" w:rsidP="00C70C3C">
      <w:pPr>
        <w:pStyle w:val="Heading1"/>
        <w:rPr>
          <w:lang w:eastAsia="ko-KR"/>
        </w:rPr>
      </w:pPr>
      <w:r w:rsidRPr="0053258F">
        <w:rPr>
          <w:lang w:eastAsia="ko-KR"/>
        </w:rPr>
        <w:t>1</w:t>
      </w:r>
      <w:r w:rsidRPr="0053258F">
        <w:rPr>
          <w:lang w:eastAsia="ko-KR"/>
        </w:rPr>
        <w:tab/>
      </w:r>
      <w:bookmarkEnd w:id="40"/>
      <w:bookmarkEnd w:id="41"/>
      <w:bookmarkEnd w:id="42"/>
      <w:bookmarkEnd w:id="43"/>
      <w:bookmarkEnd w:id="44"/>
      <w:r w:rsidRPr="0053258F">
        <w:rPr>
          <w:lang w:eastAsia="ko-KR"/>
        </w:rPr>
        <w:t>Estructura de proyección y sistema de coordenadas</w:t>
      </w:r>
    </w:p>
    <w:p w14:paraId="297329EE" w14:textId="77777777" w:rsidR="0053258F" w:rsidRPr="0053258F" w:rsidRDefault="0053258F" w:rsidP="0053258F">
      <w:pPr>
        <w:rPr>
          <w:lang w:eastAsia="ko-KR"/>
        </w:rPr>
      </w:pPr>
      <w:bookmarkStart w:id="48" w:name="_Toc480808588"/>
      <w:bookmarkStart w:id="49" w:name="_Toc481048339"/>
      <w:bookmarkStart w:id="50" w:name="_Toc481048639"/>
      <w:bookmarkStart w:id="51" w:name="_Toc481048939"/>
      <w:bookmarkStart w:id="52" w:name="_Toc481049239"/>
      <w:bookmarkStart w:id="53" w:name="_Toc481049545"/>
      <w:bookmarkStart w:id="54" w:name="_Toc481050547"/>
      <w:bookmarkStart w:id="55" w:name="_Toc480812593"/>
      <w:bookmarkStart w:id="56" w:name="_Toc480808589"/>
      <w:bookmarkStart w:id="57" w:name="_Toc481048340"/>
      <w:bookmarkStart w:id="58" w:name="_Toc481048640"/>
      <w:bookmarkStart w:id="59" w:name="_Toc481048940"/>
      <w:bookmarkStart w:id="60" w:name="_Toc481049240"/>
      <w:bookmarkStart w:id="61" w:name="_Toc481049546"/>
      <w:bookmarkStart w:id="62" w:name="_Toc481050548"/>
      <w:bookmarkStart w:id="63" w:name="lt_pId173"/>
      <w:bookmarkStart w:id="64" w:name="_Ref480968425"/>
      <w:bookmarkStart w:id="65" w:name="_Toc48538654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3258F">
        <w:rPr>
          <w:lang w:eastAsia="ko-KR"/>
        </w:rPr>
        <w:t>La estructura de proyección es una esfera unitaria.</w:t>
      </w:r>
      <w:bookmarkEnd w:id="63"/>
    </w:p>
    <w:p w14:paraId="421C60D5" w14:textId="77777777" w:rsidR="0053258F" w:rsidRPr="0053258F" w:rsidRDefault="0053258F" w:rsidP="0053258F">
      <w:pPr>
        <w:rPr>
          <w:lang w:eastAsia="ko-KR"/>
        </w:rPr>
      </w:pPr>
      <w:bookmarkStart w:id="66" w:name="lt_pId174"/>
      <w:r w:rsidRPr="0053258F">
        <w:rPr>
          <w:lang w:eastAsia="ko-KR"/>
        </w:rPr>
        <w:t>El sistema de coordenadas especificado en la presente sección debe utilizarse para indicar la orientación de la estructura de proyección o la ubicación esférica de un punto. En este último caso, el ángulo de balanceo puede</w:t>
      </w:r>
      <w:bookmarkEnd w:id="66"/>
      <w:r w:rsidRPr="0053258F">
        <w:rPr>
          <w:lang w:eastAsia="ko-KR"/>
        </w:rPr>
        <w:t xml:space="preserve"> no existir o ignorarse.</w:t>
      </w:r>
    </w:p>
    <w:p w14:paraId="55BBAF42" w14:textId="22FA23B1" w:rsidR="0053258F" w:rsidRPr="0053258F" w:rsidRDefault="0053258F" w:rsidP="00C70C3C">
      <w:pPr>
        <w:pStyle w:val="Note"/>
        <w:rPr>
          <w:lang w:eastAsia="ko-KR"/>
        </w:rPr>
      </w:pPr>
      <w:bookmarkStart w:id="67" w:name="lt_pId176"/>
      <w:r w:rsidRPr="0053258F">
        <w:rPr>
          <w:lang w:eastAsia="ko-KR"/>
        </w:rPr>
        <w:t>NOTA</w:t>
      </w:r>
      <w:r w:rsidR="0041015B">
        <w:rPr>
          <w:lang w:eastAsia="ko-KR"/>
        </w:rPr>
        <w:t> </w:t>
      </w:r>
      <w:r w:rsidRPr="0053258F">
        <w:rPr>
          <w:lang w:eastAsia="ko-KR"/>
        </w:rPr>
        <w:t>1 – Se asume que los sistemas de coordenadas para los diferentes tipos de medios fueron armonizados durante la fase de producción del contenido.</w:t>
      </w:r>
    </w:p>
    <w:p w14:paraId="1C3F55B0" w14:textId="21FA57B6" w:rsidR="0053258F" w:rsidRPr="0053258F" w:rsidRDefault="0053258F" w:rsidP="00C70C3C">
      <w:pPr>
        <w:pStyle w:val="Note"/>
        <w:rPr>
          <w:rFonts w:eastAsia="MS Mincho"/>
          <w:lang w:eastAsia="ko-KR"/>
        </w:rPr>
      </w:pPr>
      <w:bookmarkStart w:id="68" w:name="lt_pId177"/>
      <w:bookmarkEnd w:id="67"/>
      <w:r w:rsidRPr="0053258F">
        <w:rPr>
          <w:lang w:eastAsia="ko-KR"/>
        </w:rPr>
        <w:t>NOTA</w:t>
      </w:r>
      <w:r w:rsidR="0041015B">
        <w:rPr>
          <w:lang w:eastAsia="ko-KR"/>
        </w:rPr>
        <w:t> </w:t>
      </w:r>
      <w:r w:rsidRPr="0053258F">
        <w:rPr>
          <w:lang w:eastAsia="ko-KR"/>
        </w:rPr>
        <w:t>2 – El sistema de coordenadas especificado es el mismo que el sistema de coordenadas de referencia para accionadores descrito en la norma ISO/CEI 23005-5.</w:t>
      </w:r>
      <w:bookmarkEnd w:id="68"/>
    </w:p>
    <w:p w14:paraId="44C70B31" w14:textId="48D02462" w:rsidR="0053258F" w:rsidRPr="0053258F" w:rsidRDefault="0053258F" w:rsidP="0053258F">
      <w:pPr>
        <w:rPr>
          <w:lang w:eastAsia="ko-KR"/>
        </w:rPr>
      </w:pPr>
      <w:bookmarkStart w:id="69" w:name="lt_pId178"/>
      <w:r w:rsidRPr="0053258F">
        <w:rPr>
          <w:lang w:eastAsia="ko-KR"/>
        </w:rPr>
        <w:t>La Fig</w:t>
      </w:r>
      <w:r w:rsidR="005505E7">
        <w:rPr>
          <w:lang w:eastAsia="ko-KR"/>
        </w:rPr>
        <w:t>.</w:t>
      </w:r>
      <w:r w:rsidR="00C70C3C">
        <w:rPr>
          <w:lang w:eastAsia="ko-KR"/>
        </w:rPr>
        <w:t> </w:t>
      </w:r>
      <w:r w:rsidRPr="0053258F">
        <w:rPr>
          <w:lang w:eastAsia="ko-KR"/>
        </w:rPr>
        <w:t>1 ilustra los ejes de coordenadas utilizados para definir los ángulos de guiñada (</w:t>
      </w:r>
      <w:r w:rsidRPr="0053258F">
        <w:rPr>
          <w:rFonts w:ascii="Symbol" w:hAnsi="Symbol"/>
          <w:szCs w:val="24"/>
          <w:lang w:eastAsia="ko-KR"/>
        </w:rPr>
        <w:sym w:font="Symbol" w:char="F066"/>
      </w:r>
      <w:r w:rsidRPr="0053258F">
        <w:rPr>
          <w:lang w:eastAsia="ko-KR"/>
        </w:rPr>
        <w:t>), cabeceo (</w:t>
      </w:r>
      <w:r w:rsidRPr="0053258F">
        <w:rPr>
          <w:rFonts w:ascii="Symbol" w:hAnsi="Symbol"/>
          <w:szCs w:val="24"/>
          <w:lang w:eastAsia="ko-KR"/>
        </w:rPr>
        <w:sym w:font="Symbol" w:char="F071"/>
      </w:r>
      <w:r w:rsidRPr="0053258F">
        <w:rPr>
          <w:lang w:eastAsia="ko-KR"/>
        </w:rPr>
        <w:t>) y balanceo. El de guiñada gira alrededor del eje</w:t>
      </w:r>
      <w:r w:rsidR="00815D98">
        <w:rPr>
          <w:lang w:eastAsia="ko-KR"/>
        </w:rPr>
        <w:t> </w:t>
      </w:r>
      <w:r w:rsidRPr="0053258F">
        <w:rPr>
          <w:lang w:eastAsia="ko-KR"/>
        </w:rPr>
        <w:t>Y (vertical, ascendente), el de cabeceo alrededor del eje</w:t>
      </w:r>
      <w:r w:rsidR="00815D98">
        <w:rPr>
          <w:lang w:eastAsia="ko-KR"/>
        </w:rPr>
        <w:t> </w:t>
      </w:r>
      <w:r w:rsidRPr="0053258F">
        <w:rPr>
          <w:lang w:eastAsia="ko-KR"/>
        </w:rPr>
        <w:t>X (lateral, de lado a lado) y el de balanceo alrededor del eje</w:t>
      </w:r>
      <w:r w:rsidR="00815D98">
        <w:rPr>
          <w:lang w:eastAsia="ko-KR"/>
        </w:rPr>
        <w:t> </w:t>
      </w:r>
      <w:r w:rsidRPr="0053258F">
        <w:rPr>
          <w:lang w:eastAsia="ko-KR"/>
        </w:rPr>
        <w:t xml:space="preserve">Z (de atrás hacia adelante). Las rotaciones son extrínsecas, es decir, en torno a los ejes fijos de referencia X, Y y Z. Los ángulos </w:t>
      </w:r>
      <w:r w:rsidRPr="0053258F">
        <w:rPr>
          <w:lang w:eastAsia="ko-KR"/>
        </w:rPr>
        <w:lastRenderedPageBreak/>
        <w:t>aumentan en el sentido de las agujas del reloj cuando se mira desde el origen hacia el extremo positivo de un eje.</w:t>
      </w:r>
    </w:p>
    <w:p w14:paraId="230530DE" w14:textId="36531CA5" w:rsidR="0053258F" w:rsidRPr="0053258F" w:rsidRDefault="0053258F" w:rsidP="00C70C3C">
      <w:pPr>
        <w:pStyle w:val="FigureNo"/>
        <w:rPr>
          <w:rFonts w:eastAsia="MS Mincho"/>
        </w:rPr>
      </w:pPr>
      <w:bookmarkStart w:id="70" w:name="lt_pId182"/>
      <w:bookmarkEnd w:id="69"/>
      <w:r w:rsidRPr="0053258F">
        <w:t>Figur</w:t>
      </w:r>
      <w:r w:rsidR="005505E7">
        <w:t>a</w:t>
      </w:r>
      <w:r w:rsidRPr="0053258F">
        <w:t> 1</w:t>
      </w:r>
      <w:bookmarkEnd w:id="70"/>
    </w:p>
    <w:p w14:paraId="193074DD" w14:textId="2959B525" w:rsidR="0053258F" w:rsidRDefault="0053258F" w:rsidP="00C70C3C">
      <w:pPr>
        <w:pStyle w:val="Figuretitle"/>
      </w:pPr>
      <w:bookmarkStart w:id="71" w:name="lt_pId183"/>
      <w:r w:rsidRPr="0053258F">
        <w:t>Ejes principales para los ángulos de guiñada, cabeceo y balanceo</w:t>
      </w:r>
      <w:r w:rsidRPr="0053258F">
        <w:br/>
        <w:t xml:space="preserve">El de guiñada gira alrededor del eje Y (vertical, ascendente), </w:t>
      </w:r>
      <w:r w:rsidRPr="0053258F">
        <w:rPr>
          <w:lang w:eastAsia="ko-KR"/>
        </w:rPr>
        <w:t xml:space="preserve">el de cabeceo </w:t>
      </w:r>
      <w:r w:rsidRPr="0053258F">
        <w:t xml:space="preserve">alrededor del eje X </w:t>
      </w:r>
      <w:r w:rsidRPr="0053258F">
        <w:br/>
        <w:t>(lateral, de lado a lado), el de balanceo alrededor del eje Z (de atrás hacia adelante)</w:t>
      </w:r>
      <w:bookmarkEnd w:id="71"/>
    </w:p>
    <w:p w14:paraId="71871E43" w14:textId="0FDA08CC" w:rsidR="00794760" w:rsidRPr="00794760" w:rsidRDefault="005505E7" w:rsidP="00794760">
      <w:pPr>
        <w:pStyle w:val="Figure"/>
      </w:pPr>
      <w:r w:rsidRPr="005505E7">
        <w:rPr>
          <w:noProof/>
        </w:rPr>
        <w:drawing>
          <wp:inline distT="0" distB="0" distL="0" distR="0" wp14:anchorId="3A902E8F" wp14:editId="20D22E08">
            <wp:extent cx="2552400" cy="185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52400" cy="1854000"/>
                    </a:xfrm>
                    <a:prstGeom prst="rect">
                      <a:avLst/>
                    </a:prstGeom>
                  </pic:spPr>
                </pic:pic>
              </a:graphicData>
            </a:graphic>
          </wp:inline>
        </w:drawing>
      </w:r>
    </w:p>
    <w:p w14:paraId="288586C6" w14:textId="6D2A6367" w:rsidR="0053258F" w:rsidRPr="0041015B" w:rsidRDefault="0053258F" w:rsidP="0041015B">
      <w:pPr>
        <w:pStyle w:val="enumlev1"/>
        <w:rPr>
          <w:lang w:eastAsia="ko-KR"/>
        </w:rPr>
      </w:pPr>
      <w:bookmarkStart w:id="72" w:name="lt_pId185"/>
      <w:r w:rsidRPr="0041015B">
        <w:rPr>
          <w:lang w:eastAsia="ko-KR"/>
        </w:rPr>
        <w:t xml:space="preserve">El </w:t>
      </w:r>
      <w:r w:rsidRPr="0041015B">
        <w:rPr>
          <w:b/>
          <w:bCs/>
          <w:lang w:eastAsia="ko-KR"/>
        </w:rPr>
        <w:t>ángulo de guiñada</w:t>
      </w:r>
      <w:r w:rsidRPr="0041015B">
        <w:rPr>
          <w:lang w:eastAsia="ko-KR"/>
        </w:rPr>
        <w:t xml:space="preserve"> (</w:t>
      </w:r>
      <w:r w:rsidRPr="0041015B">
        <w:rPr>
          <w:lang w:eastAsia="ko-KR"/>
        </w:rPr>
        <w:sym w:font="Symbol" w:char="F066"/>
      </w:r>
      <w:r w:rsidRPr="0041015B">
        <w:rPr>
          <w:lang w:eastAsia="ko-KR"/>
        </w:rPr>
        <w:t xml:space="preserve">) </w:t>
      </w:r>
      <w:r w:rsidRPr="0053258F">
        <w:rPr>
          <w:lang w:eastAsia="ko-KR"/>
        </w:rPr>
        <w:t>indica</w:t>
      </w:r>
      <w:r w:rsidRPr="0041015B">
        <w:rPr>
          <w:lang w:eastAsia="ko-KR"/>
        </w:rPr>
        <w:t xml:space="preserve"> el ángulo de rotación alrededor del eje</w:t>
      </w:r>
      <w:r w:rsidR="00815D98">
        <w:rPr>
          <w:lang w:eastAsia="ko-KR"/>
        </w:rPr>
        <w:t> </w:t>
      </w:r>
      <w:r w:rsidRPr="0041015B">
        <w:rPr>
          <w:lang w:eastAsia="ko-KR"/>
        </w:rPr>
        <w:t>Y en grados.</w:t>
      </w:r>
    </w:p>
    <w:p w14:paraId="2590156D" w14:textId="77777777" w:rsidR="0053258F" w:rsidRPr="0053258F" w:rsidRDefault="0053258F" w:rsidP="0041015B">
      <w:pPr>
        <w:pStyle w:val="enumlev2"/>
        <w:rPr>
          <w:lang w:eastAsia="ko-KR"/>
        </w:rPr>
      </w:pPr>
      <w:bookmarkStart w:id="73" w:name="lt_pId186"/>
      <w:bookmarkEnd w:id="72"/>
      <w:r w:rsidRPr="0053258F">
        <w:rPr>
          <w:lang w:eastAsia="ko-KR"/>
        </w:rPr>
        <w:t>Tipo: valores decimales de coma flotante</w:t>
      </w:r>
      <w:bookmarkEnd w:id="73"/>
    </w:p>
    <w:p w14:paraId="2392B29E" w14:textId="3E303001" w:rsidR="0053258F" w:rsidRPr="0053258F" w:rsidRDefault="0053258F" w:rsidP="0041015B">
      <w:pPr>
        <w:pStyle w:val="enumlev2"/>
        <w:rPr>
          <w:lang w:eastAsia="ko-KR"/>
        </w:rPr>
      </w:pPr>
      <w:bookmarkStart w:id="74" w:name="lt_pId188"/>
      <w:r w:rsidRPr="0053258F">
        <w:rPr>
          <w:lang w:eastAsia="ko-KR"/>
        </w:rPr>
        <w:t xml:space="preserve">Gama: en la gama de </w:t>
      </w:r>
      <w:r w:rsidR="0041015B">
        <w:rPr>
          <w:lang w:eastAsia="ko-KR"/>
        </w:rPr>
        <w:t>−</w:t>
      </w:r>
      <w:r w:rsidRPr="0053258F">
        <w:rPr>
          <w:lang w:eastAsia="ko-KR"/>
        </w:rPr>
        <w:t>180, inclusive, a 180, exclusive</w:t>
      </w:r>
      <w:bookmarkEnd w:id="74"/>
    </w:p>
    <w:p w14:paraId="4DDB1DD5" w14:textId="2115F06F" w:rsidR="0053258F" w:rsidRPr="0053258F" w:rsidRDefault="0053258F" w:rsidP="0041015B">
      <w:pPr>
        <w:pStyle w:val="enumlev1"/>
        <w:rPr>
          <w:lang w:eastAsia="ko-KR"/>
        </w:rPr>
      </w:pPr>
      <w:bookmarkStart w:id="75" w:name="lt_pId190"/>
      <w:r w:rsidRPr="0053258F">
        <w:rPr>
          <w:lang w:eastAsia="ko-KR"/>
        </w:rPr>
        <w:t xml:space="preserve">El </w:t>
      </w:r>
      <w:r w:rsidRPr="0053258F">
        <w:rPr>
          <w:b/>
          <w:bCs/>
          <w:lang w:eastAsia="ko-KR"/>
        </w:rPr>
        <w:t>ángulo de cabeceo</w:t>
      </w:r>
      <w:r w:rsidRPr="0053258F">
        <w:rPr>
          <w:lang w:eastAsia="ko-KR"/>
        </w:rPr>
        <w:t xml:space="preserve"> (</w:t>
      </w:r>
      <w:r w:rsidRPr="0053258F">
        <w:rPr>
          <w:lang w:eastAsia="ko-KR"/>
        </w:rPr>
        <w:sym w:font="Symbol" w:char="F071"/>
      </w:r>
      <w:r w:rsidRPr="0053258F">
        <w:rPr>
          <w:lang w:eastAsia="ko-KR"/>
        </w:rPr>
        <w:t>) indica el ángulo de rotación alrededor del eje</w:t>
      </w:r>
      <w:r w:rsidR="00815D98">
        <w:rPr>
          <w:lang w:eastAsia="ko-KR"/>
        </w:rPr>
        <w:t> </w:t>
      </w:r>
      <w:r w:rsidRPr="0053258F">
        <w:rPr>
          <w:lang w:eastAsia="ko-KR"/>
        </w:rPr>
        <w:t>X en grados.</w:t>
      </w:r>
      <w:bookmarkEnd w:id="75"/>
    </w:p>
    <w:p w14:paraId="6A144453" w14:textId="77777777" w:rsidR="0053258F" w:rsidRPr="0053258F" w:rsidRDefault="0053258F" w:rsidP="0041015B">
      <w:pPr>
        <w:pStyle w:val="enumlev2"/>
        <w:rPr>
          <w:lang w:eastAsia="ko-KR"/>
        </w:rPr>
      </w:pPr>
      <w:bookmarkStart w:id="76" w:name="lt_pId194"/>
      <w:r w:rsidRPr="0053258F">
        <w:rPr>
          <w:lang w:eastAsia="ko-KR"/>
        </w:rPr>
        <w:t>Tipo: valores decimales de coma flotante</w:t>
      </w:r>
    </w:p>
    <w:p w14:paraId="268E1D17" w14:textId="436A9B17" w:rsidR="0053258F" w:rsidRPr="0053258F" w:rsidRDefault="0053258F" w:rsidP="0041015B">
      <w:pPr>
        <w:pStyle w:val="enumlev2"/>
        <w:rPr>
          <w:lang w:eastAsia="ko-KR"/>
        </w:rPr>
      </w:pPr>
      <w:r w:rsidRPr="0053258F">
        <w:rPr>
          <w:lang w:eastAsia="ko-KR"/>
        </w:rPr>
        <w:t xml:space="preserve">Gama: en la gama de </w:t>
      </w:r>
      <w:r w:rsidR="0041015B">
        <w:rPr>
          <w:lang w:eastAsia="ko-KR"/>
        </w:rPr>
        <w:t>−</w:t>
      </w:r>
      <w:r w:rsidRPr="0053258F">
        <w:rPr>
          <w:lang w:eastAsia="ko-KR"/>
        </w:rPr>
        <w:t>90 a 90, ambos inclusive</w:t>
      </w:r>
      <w:bookmarkEnd w:id="76"/>
    </w:p>
    <w:p w14:paraId="34FEB547" w14:textId="3D81D3F7" w:rsidR="0053258F" w:rsidRPr="0041015B" w:rsidRDefault="0053258F" w:rsidP="0041015B">
      <w:pPr>
        <w:pStyle w:val="enumlev1"/>
        <w:rPr>
          <w:lang w:eastAsia="ko-KR"/>
        </w:rPr>
      </w:pPr>
      <w:r w:rsidRPr="0053258F">
        <w:rPr>
          <w:lang w:eastAsia="ko-KR"/>
        </w:rPr>
        <w:t xml:space="preserve">El </w:t>
      </w:r>
      <w:r w:rsidRPr="0041015B">
        <w:rPr>
          <w:b/>
          <w:bCs/>
          <w:lang w:eastAsia="ko-KR"/>
        </w:rPr>
        <w:t>ángulo de balanceo</w:t>
      </w:r>
      <w:r w:rsidRPr="0053258F">
        <w:rPr>
          <w:lang w:eastAsia="ko-KR"/>
        </w:rPr>
        <w:t xml:space="preserve"> indica el ángulo de rotación alrededor del eje</w:t>
      </w:r>
      <w:r w:rsidR="00815D98">
        <w:rPr>
          <w:lang w:eastAsia="ko-KR"/>
        </w:rPr>
        <w:t> </w:t>
      </w:r>
      <w:r w:rsidRPr="0053258F">
        <w:rPr>
          <w:lang w:eastAsia="ko-KR"/>
        </w:rPr>
        <w:t>Z en grados.</w:t>
      </w:r>
    </w:p>
    <w:p w14:paraId="2A7D27EE" w14:textId="77777777" w:rsidR="0053258F" w:rsidRPr="0053258F" w:rsidRDefault="0053258F" w:rsidP="0041015B">
      <w:pPr>
        <w:pStyle w:val="enumlev2"/>
        <w:rPr>
          <w:lang w:eastAsia="ko-KR"/>
        </w:rPr>
      </w:pPr>
      <w:r w:rsidRPr="0053258F">
        <w:rPr>
          <w:lang w:eastAsia="ko-KR"/>
        </w:rPr>
        <w:t>Tipo: valores decimales de coma flotante</w:t>
      </w:r>
    </w:p>
    <w:p w14:paraId="1E71A5B6" w14:textId="7327191F" w:rsidR="0053258F" w:rsidRPr="0053258F" w:rsidRDefault="0053258F" w:rsidP="0041015B">
      <w:pPr>
        <w:pStyle w:val="enumlev2"/>
        <w:rPr>
          <w:lang w:eastAsia="ko-KR"/>
        </w:rPr>
      </w:pPr>
      <w:r w:rsidRPr="0053258F">
        <w:rPr>
          <w:lang w:eastAsia="ko-KR"/>
        </w:rPr>
        <w:t xml:space="preserve">Gama: en la gama de </w:t>
      </w:r>
      <w:r w:rsidR="0041015B">
        <w:rPr>
          <w:lang w:eastAsia="ko-KR"/>
        </w:rPr>
        <w:t>−</w:t>
      </w:r>
      <w:r w:rsidRPr="0053258F">
        <w:rPr>
          <w:lang w:eastAsia="ko-KR"/>
        </w:rPr>
        <w:t>180, inclusive, a 180, exclusive</w:t>
      </w:r>
    </w:p>
    <w:p w14:paraId="08EEFF34" w14:textId="77777777" w:rsidR="0053258F" w:rsidRPr="0053258F" w:rsidRDefault="0053258F" w:rsidP="00C70C3C">
      <w:pPr>
        <w:pStyle w:val="Heading1"/>
        <w:rPr>
          <w:lang w:eastAsia="ko-KR"/>
        </w:rPr>
      </w:pPr>
      <w:r w:rsidRPr="0053258F">
        <w:rPr>
          <w:lang w:eastAsia="ko-KR"/>
        </w:rPr>
        <w:t>2</w:t>
      </w:r>
      <w:r w:rsidRPr="0053258F">
        <w:rPr>
          <w:lang w:eastAsia="ko-KR"/>
        </w:rPr>
        <w:tab/>
      </w:r>
      <w:bookmarkEnd w:id="64"/>
      <w:bookmarkEnd w:id="65"/>
      <w:r w:rsidRPr="0053258F">
        <w:rPr>
          <w:lang w:eastAsia="ko-KR"/>
        </w:rPr>
        <w:t>Formatos de proyección omnidireccional</w:t>
      </w:r>
    </w:p>
    <w:bookmarkEnd w:id="45"/>
    <w:p w14:paraId="53C11753" w14:textId="77777777" w:rsidR="0053258F" w:rsidRPr="0053258F" w:rsidRDefault="0053258F" w:rsidP="0053258F">
      <w:pPr>
        <w:rPr>
          <w:lang w:eastAsia="ko-KR"/>
        </w:rPr>
      </w:pPr>
      <w:r w:rsidRPr="0053258F">
        <w:rPr>
          <w:lang w:eastAsia="ko-KR"/>
        </w:rPr>
        <w:t>Aportaciones a la presente sección:</w:t>
      </w:r>
    </w:p>
    <w:p w14:paraId="31A8B627" w14:textId="469BB040" w:rsidR="0053258F" w:rsidRPr="0053258F" w:rsidRDefault="0053258F" w:rsidP="00C70C3C">
      <w:pPr>
        <w:pStyle w:val="enumlev1"/>
        <w:rPr>
          <w:lang w:eastAsia="ko-KR"/>
        </w:rPr>
      </w:pPr>
      <w:r w:rsidRPr="0053258F">
        <w:rPr>
          <w:lang w:eastAsia="ko-KR"/>
        </w:rPr>
        <w:t>–</w:t>
      </w:r>
      <w:r w:rsidRPr="0053258F">
        <w:rPr>
          <w:lang w:eastAsia="ko-KR"/>
        </w:rPr>
        <w:tab/>
      </w:r>
      <w:bookmarkStart w:id="77" w:name="lt_pId204"/>
      <w:r w:rsidRPr="0053258F">
        <w:rPr>
          <w:lang w:eastAsia="ko-KR"/>
        </w:rPr>
        <w:t xml:space="preserve">el </w:t>
      </w:r>
      <w:r w:rsidRPr="0053258F">
        <w:rPr>
          <w:b/>
          <w:bCs/>
          <w:lang w:eastAsia="ko-KR"/>
        </w:rPr>
        <w:t>ancho de la imagen</w:t>
      </w:r>
      <w:r w:rsidRPr="0053258F">
        <w:rPr>
          <w:lang w:eastAsia="ko-KR"/>
        </w:rPr>
        <w:t xml:space="preserve"> (</w:t>
      </w:r>
      <w:r w:rsidRPr="0053258F">
        <w:rPr>
          <w:i/>
          <w:iCs/>
          <w:lang w:eastAsia="ko-KR"/>
        </w:rPr>
        <w:t>w</w:t>
      </w:r>
      <w:r w:rsidRPr="0053258F">
        <w:rPr>
          <w:lang w:eastAsia="ko-KR"/>
        </w:rPr>
        <w:t xml:space="preserve">) y el </w:t>
      </w:r>
      <w:r w:rsidRPr="0053258F">
        <w:rPr>
          <w:b/>
          <w:bCs/>
          <w:lang w:eastAsia="ko-KR"/>
        </w:rPr>
        <w:t>alto de la imagen</w:t>
      </w:r>
      <w:r w:rsidRPr="0053258F">
        <w:rPr>
          <w:lang w:eastAsia="ko-KR"/>
        </w:rPr>
        <w:t xml:space="preserve"> (</w:t>
      </w:r>
      <w:r w:rsidRPr="0053258F">
        <w:rPr>
          <w:i/>
          <w:iCs/>
          <w:lang w:eastAsia="ko-KR"/>
        </w:rPr>
        <w:t>h</w:t>
      </w:r>
      <w:r w:rsidRPr="0053258F">
        <w:rPr>
          <w:lang w:eastAsia="ko-KR"/>
        </w:rPr>
        <w:t>), que son el ancho y el alto, respectivamente, de la imagen panorámica equi</w:t>
      </w:r>
      <w:r w:rsidR="00B25ABB">
        <w:rPr>
          <w:lang w:eastAsia="ko-KR"/>
        </w:rPr>
        <w:t>r</w:t>
      </w:r>
      <w:r w:rsidRPr="0053258F">
        <w:rPr>
          <w:lang w:eastAsia="ko-KR"/>
        </w:rPr>
        <w:t>rectangular en las muestras; y</w:t>
      </w:r>
      <w:bookmarkEnd w:id="77"/>
    </w:p>
    <w:p w14:paraId="3060B855" w14:textId="77777777" w:rsidR="0053258F" w:rsidRPr="0053258F" w:rsidRDefault="0053258F" w:rsidP="00C70C3C">
      <w:pPr>
        <w:pStyle w:val="enumlev1"/>
        <w:rPr>
          <w:lang w:eastAsia="ko-KR"/>
        </w:rPr>
      </w:pPr>
      <w:r w:rsidRPr="0053258F">
        <w:rPr>
          <w:lang w:eastAsia="ko-KR"/>
        </w:rPr>
        <w:t>–</w:t>
      </w:r>
      <w:r w:rsidRPr="0053258F">
        <w:rPr>
          <w:lang w:eastAsia="ko-KR"/>
        </w:rPr>
        <w:tab/>
      </w:r>
      <w:bookmarkStart w:id="78" w:name="lt_pId206"/>
      <w:r w:rsidRPr="0053258F">
        <w:rPr>
          <w:lang w:eastAsia="ko-KR"/>
        </w:rPr>
        <w:t>el punto central de una ubicación de muestreo (</w:t>
      </w:r>
      <w:r w:rsidRPr="0053258F">
        <w:rPr>
          <w:i/>
          <w:iCs/>
          <w:lang w:eastAsia="ko-KR"/>
        </w:rPr>
        <w:t>i</w:t>
      </w:r>
      <w:r w:rsidRPr="0053258F">
        <w:rPr>
          <w:lang w:eastAsia="ko-KR"/>
        </w:rPr>
        <w:t xml:space="preserve">, </w:t>
      </w:r>
      <w:r w:rsidRPr="0053258F">
        <w:rPr>
          <w:i/>
          <w:iCs/>
          <w:lang w:eastAsia="ko-KR"/>
        </w:rPr>
        <w:t>j</w:t>
      </w:r>
      <w:r w:rsidRPr="0053258F">
        <w:rPr>
          <w:lang w:eastAsia="ko-KR"/>
        </w:rPr>
        <w:t>) a lo largo de los ejes horizontal y vertical, respectivamente.</w:t>
      </w:r>
      <w:bookmarkEnd w:id="78"/>
    </w:p>
    <w:p w14:paraId="098C5745" w14:textId="77777777" w:rsidR="0053258F" w:rsidRPr="0053258F" w:rsidRDefault="0053258F" w:rsidP="0053258F">
      <w:pPr>
        <w:rPr>
          <w:lang w:eastAsia="ko-KR"/>
        </w:rPr>
      </w:pPr>
      <w:r w:rsidRPr="0053258F">
        <w:rPr>
          <w:lang w:eastAsia="ko-KR"/>
        </w:rPr>
        <w:t>Resultados de la presente sección:</w:t>
      </w:r>
    </w:p>
    <w:p w14:paraId="67FCA2FE" w14:textId="77777777" w:rsidR="0053258F" w:rsidRPr="00C70C3C" w:rsidRDefault="0053258F" w:rsidP="00C70C3C">
      <w:pPr>
        <w:pStyle w:val="enumlev1"/>
        <w:rPr>
          <w:lang w:eastAsia="ko-KR"/>
        </w:rPr>
      </w:pPr>
      <w:r w:rsidRPr="00C70C3C">
        <w:rPr>
          <w:lang w:eastAsia="ko-KR"/>
        </w:rPr>
        <w:t>–</w:t>
      </w:r>
      <w:r w:rsidRPr="00C70C3C">
        <w:rPr>
          <w:lang w:eastAsia="ko-KR"/>
        </w:rPr>
        <w:tab/>
      </w:r>
      <w:bookmarkStart w:id="79" w:name="lt_pId209"/>
      <w:r w:rsidRPr="00C70C3C">
        <w:rPr>
          <w:lang w:eastAsia="ko-KR"/>
        </w:rPr>
        <w:t xml:space="preserve">las </w:t>
      </w:r>
      <w:r w:rsidRPr="0053258F">
        <w:rPr>
          <w:lang w:eastAsia="ko-KR"/>
        </w:rPr>
        <w:t>coordenadas</w:t>
      </w:r>
      <w:r w:rsidRPr="00C70C3C">
        <w:rPr>
          <w:lang w:eastAsia="ko-KR"/>
        </w:rPr>
        <w:t xml:space="preserve"> angulares (</w:t>
      </w:r>
      <w:r w:rsidRPr="00C70C3C">
        <w:rPr>
          <w:rFonts w:hint="eastAsia"/>
          <w:lang w:eastAsia="ko-KR"/>
        </w:rPr>
        <w:sym w:font="Symbol" w:char="F066"/>
      </w:r>
      <w:r w:rsidRPr="00C70C3C">
        <w:rPr>
          <w:lang w:eastAsia="ko-KR"/>
        </w:rPr>
        <w:t xml:space="preserve">, </w:t>
      </w:r>
      <w:r w:rsidRPr="00C70C3C">
        <w:rPr>
          <w:rFonts w:hint="eastAsia"/>
          <w:lang w:eastAsia="ko-KR"/>
        </w:rPr>
        <w:sym w:font="Symbol" w:char="F071"/>
      </w:r>
      <w:r w:rsidRPr="00C70C3C">
        <w:rPr>
          <w:lang w:eastAsia="ko-KR"/>
        </w:rPr>
        <w:t>) de la muestra en grados con respecto a los ejes de coordenadas especificados en el § 1.</w:t>
      </w:r>
      <w:bookmarkEnd w:id="79"/>
    </w:p>
    <w:p w14:paraId="6205DB90" w14:textId="3EEA32ED" w:rsidR="0053258F" w:rsidRPr="0053258F" w:rsidRDefault="0053258F" w:rsidP="0053258F">
      <w:pPr>
        <w:rPr>
          <w:lang w:eastAsia="ko-KR"/>
        </w:rPr>
      </w:pPr>
      <w:bookmarkStart w:id="80" w:name="lt_pId210"/>
      <w:r w:rsidRPr="0053258F">
        <w:rPr>
          <w:lang w:eastAsia="ko-KR"/>
        </w:rPr>
        <w:t>Las coordenadas angulares (</w:t>
      </w:r>
      <w:r w:rsidRPr="0053258F">
        <w:rPr>
          <w:rFonts w:hint="eastAsia"/>
          <w:lang w:eastAsia="ko-KR"/>
        </w:rPr>
        <w:sym w:font="Symbol" w:char="F066"/>
      </w:r>
      <w:r w:rsidRPr="0053258F">
        <w:rPr>
          <w:lang w:eastAsia="ko-KR"/>
        </w:rPr>
        <w:t xml:space="preserve">, </w:t>
      </w:r>
      <w:r w:rsidRPr="0053258F">
        <w:rPr>
          <w:rFonts w:hint="eastAsia"/>
          <w:lang w:eastAsia="ko-KR"/>
        </w:rPr>
        <w:sym w:font="Symbol" w:char="F071"/>
      </w:r>
      <w:r w:rsidRPr="0053258F">
        <w:rPr>
          <w:lang w:eastAsia="ko-KR"/>
        </w:rPr>
        <w:t>) para la ubicación de muestreo de luminancia, en grados, vienen dadas por las siguientes ecuaciones de establecimiento de correspondencias equir</w:t>
      </w:r>
      <w:r w:rsidR="00B25ABB">
        <w:rPr>
          <w:lang w:eastAsia="ko-KR"/>
        </w:rPr>
        <w:t>r</w:t>
      </w:r>
      <w:r w:rsidRPr="0053258F">
        <w:rPr>
          <w:lang w:eastAsia="ko-KR"/>
        </w:rPr>
        <w:t>ectangulares, según se indica en la Fig</w:t>
      </w:r>
      <w:r w:rsidR="005505E7">
        <w:rPr>
          <w:lang w:eastAsia="ko-KR"/>
        </w:rPr>
        <w:t>. </w:t>
      </w:r>
      <w:r w:rsidRPr="0053258F">
        <w:rPr>
          <w:lang w:eastAsia="ko-KR"/>
        </w:rPr>
        <w:t>2.</w:t>
      </w:r>
      <w:bookmarkEnd w:id="80"/>
    </w:p>
    <w:p w14:paraId="15C515BB" w14:textId="77777777" w:rsidR="0053258F" w:rsidRPr="00C70C3C" w:rsidRDefault="0053258F" w:rsidP="00C70C3C">
      <w:pPr>
        <w:pStyle w:val="Equation"/>
        <w:rPr>
          <w:lang w:eastAsia="ko-KR"/>
        </w:rPr>
      </w:pPr>
      <w:r w:rsidRPr="00C70C3C">
        <w:rPr>
          <w:lang w:eastAsia="ko-KR"/>
        </w:rPr>
        <w:tab/>
      </w:r>
      <w:r w:rsidRPr="00C70C3C">
        <w:rPr>
          <w:lang w:eastAsia="ko-KR"/>
        </w:rPr>
        <w:tab/>
      </w:r>
      <w:bookmarkStart w:id="81" w:name=""/>
      <w:bookmarkEnd w:id="81"/>
      <w:r w:rsidRPr="00C70C3C">
        <w:rPr>
          <w:rFonts w:hint="eastAsia"/>
          <w:lang w:eastAsia="ko-KR"/>
        </w:rPr>
        <w:sym w:font="Symbol" w:char="F066"/>
      </w:r>
      <w:r w:rsidRPr="00C70C3C">
        <w:rPr>
          <w:lang w:eastAsia="ko-KR"/>
        </w:rPr>
        <w:t xml:space="preserve"> = ( </w:t>
      </w:r>
      <w:r w:rsidRPr="0041015B">
        <w:rPr>
          <w:i/>
          <w:iCs/>
          <w:lang w:eastAsia="ko-KR"/>
        </w:rPr>
        <w:t>i</w:t>
      </w:r>
      <w:r w:rsidRPr="00C70C3C">
        <w:rPr>
          <w:lang w:eastAsia="ko-KR"/>
        </w:rPr>
        <w:t xml:space="preserve"> ÷ </w:t>
      </w:r>
      <w:r w:rsidRPr="0041015B">
        <w:rPr>
          <w:i/>
          <w:iCs/>
          <w:lang w:eastAsia="ko-KR"/>
        </w:rPr>
        <w:t>w</w:t>
      </w:r>
      <w:r w:rsidRPr="00C70C3C">
        <w:rPr>
          <w:lang w:eastAsia="ko-KR"/>
        </w:rPr>
        <w:t xml:space="preserve"> – 0,5 ) * 360</w:t>
      </w:r>
      <w:bookmarkEnd w:id="3"/>
    </w:p>
    <w:p w14:paraId="44DF686C" w14:textId="77777777" w:rsidR="0053258F" w:rsidRPr="0053258F" w:rsidRDefault="0053258F" w:rsidP="00C70C3C">
      <w:pPr>
        <w:pStyle w:val="Equation"/>
        <w:rPr>
          <w:lang w:eastAsia="ko-KR"/>
        </w:rPr>
      </w:pPr>
      <w:r w:rsidRPr="0053258F">
        <w:rPr>
          <w:lang w:eastAsia="ko-KR"/>
        </w:rPr>
        <w:tab/>
      </w:r>
      <w:r w:rsidRPr="0053258F">
        <w:rPr>
          <w:lang w:eastAsia="ko-KR"/>
        </w:rPr>
        <w:tab/>
      </w:r>
      <w:bookmarkStart w:id="82" w:name=""/>
      <w:bookmarkEnd w:id="82"/>
      <w:r w:rsidRPr="0053258F">
        <w:rPr>
          <w:lang w:eastAsia="ko-KR"/>
        </w:rPr>
        <w:sym w:font="Symbol" w:char="F071"/>
      </w:r>
      <w:r w:rsidRPr="0053258F">
        <w:rPr>
          <w:lang w:eastAsia="ko-KR"/>
        </w:rPr>
        <w:t xml:space="preserve"> = ( 0,5 − </w:t>
      </w:r>
      <w:r w:rsidRPr="0041015B">
        <w:rPr>
          <w:i/>
          <w:iCs/>
          <w:lang w:eastAsia="ko-KR"/>
        </w:rPr>
        <w:t>j</w:t>
      </w:r>
      <w:r w:rsidRPr="0053258F">
        <w:rPr>
          <w:lang w:eastAsia="ko-KR"/>
        </w:rPr>
        <w:t xml:space="preserve"> ÷ </w:t>
      </w:r>
      <w:r w:rsidRPr="0041015B">
        <w:rPr>
          <w:i/>
          <w:iCs/>
          <w:lang w:eastAsia="ko-KR"/>
        </w:rPr>
        <w:t>h</w:t>
      </w:r>
      <w:r w:rsidRPr="0053258F">
        <w:rPr>
          <w:lang w:eastAsia="ko-KR"/>
        </w:rPr>
        <w:t xml:space="preserve"> ) * 180</w:t>
      </w:r>
      <w:bookmarkEnd w:id="4"/>
    </w:p>
    <w:p w14:paraId="49B5C7A2" w14:textId="61C4CBDD" w:rsidR="0053258F" w:rsidRPr="0053258F" w:rsidRDefault="0053258F" w:rsidP="00C70C3C">
      <w:pPr>
        <w:pStyle w:val="FigureNo"/>
        <w:rPr>
          <w:rFonts w:eastAsia="MS Mincho"/>
          <w:lang w:val="pt-BR"/>
        </w:rPr>
      </w:pPr>
      <w:bookmarkStart w:id="83" w:name="lt_pId213"/>
      <w:r w:rsidRPr="0053258F">
        <w:rPr>
          <w:lang w:val="pt-BR"/>
        </w:rPr>
        <w:lastRenderedPageBreak/>
        <w:t>Figur</w:t>
      </w:r>
      <w:r w:rsidR="005505E7">
        <w:rPr>
          <w:lang w:val="pt-BR"/>
        </w:rPr>
        <w:t>a</w:t>
      </w:r>
      <w:r w:rsidRPr="0053258F">
        <w:rPr>
          <w:lang w:val="pt-BR"/>
        </w:rPr>
        <w:t> 2</w:t>
      </w:r>
      <w:bookmarkEnd w:id="83"/>
    </w:p>
    <w:p w14:paraId="5DB867DE" w14:textId="3292B09E" w:rsidR="0053258F" w:rsidRDefault="0053258F" w:rsidP="00C70C3C">
      <w:pPr>
        <w:pStyle w:val="Figuretitle"/>
      </w:pPr>
      <w:r w:rsidRPr="0053258F">
        <w:t>Definición de las coordenadas de muestreo</w:t>
      </w:r>
    </w:p>
    <w:p w14:paraId="408E6973" w14:textId="680F4334" w:rsidR="005505E7" w:rsidRPr="005505E7" w:rsidRDefault="005505E7" w:rsidP="005505E7">
      <w:pPr>
        <w:pStyle w:val="Figure"/>
      </w:pPr>
      <w:r w:rsidRPr="005505E7">
        <w:rPr>
          <w:noProof/>
        </w:rPr>
        <w:drawing>
          <wp:inline distT="0" distB="0" distL="0" distR="0" wp14:anchorId="2C921D39" wp14:editId="4FCA8AAF">
            <wp:extent cx="3679200" cy="222840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79200" cy="2228400"/>
                    </a:xfrm>
                    <a:prstGeom prst="rect">
                      <a:avLst/>
                    </a:prstGeom>
                  </pic:spPr>
                </pic:pic>
              </a:graphicData>
            </a:graphic>
          </wp:inline>
        </w:drawing>
      </w:r>
    </w:p>
    <w:p w14:paraId="2598A3B8" w14:textId="1F3903DE" w:rsidR="0053258F" w:rsidRDefault="0053258F" w:rsidP="0053258F">
      <w:pPr>
        <w:rPr>
          <w:lang w:eastAsia="ko-KR"/>
        </w:rPr>
      </w:pPr>
      <w:bookmarkStart w:id="84" w:name="lt_pId215"/>
    </w:p>
    <w:p w14:paraId="69562753" w14:textId="77777777" w:rsidR="005505E7" w:rsidRPr="0053258F" w:rsidRDefault="005505E7" w:rsidP="0053258F">
      <w:pPr>
        <w:rPr>
          <w:lang w:eastAsia="ko-KR"/>
        </w:rPr>
      </w:pPr>
    </w:p>
    <w:p w14:paraId="6BCD8961" w14:textId="77777777" w:rsidR="0053258F" w:rsidRPr="0053258F" w:rsidRDefault="0053258F" w:rsidP="00C70C3C">
      <w:pPr>
        <w:pStyle w:val="AnnexNoTitle"/>
        <w:rPr>
          <w:lang w:eastAsia="ko-KR"/>
        </w:rPr>
      </w:pPr>
      <w:r w:rsidRPr="0053258F">
        <w:rPr>
          <w:lang w:eastAsia="ko-KR"/>
        </w:rPr>
        <w:t>Anexo 2</w:t>
      </w:r>
      <w:bookmarkEnd w:id="84"/>
      <w:r w:rsidRPr="0053258F">
        <w:rPr>
          <w:lang w:eastAsia="ko-KR"/>
        </w:rPr>
        <w:t xml:space="preserve"> </w:t>
      </w:r>
      <w:r w:rsidRPr="0053258F">
        <w:rPr>
          <w:lang w:eastAsia="ko-KR"/>
        </w:rPr>
        <w:br/>
      </w:r>
      <w:bookmarkStart w:id="85" w:name="lt_pId216"/>
      <w:r w:rsidRPr="0053258F">
        <w:rPr>
          <w:lang w:eastAsia="ko-KR"/>
        </w:rPr>
        <w:t>(informativo)</w:t>
      </w:r>
      <w:bookmarkEnd w:id="85"/>
      <w:r w:rsidRPr="0053258F">
        <w:rPr>
          <w:lang w:eastAsia="ko-KR"/>
        </w:rPr>
        <w:br/>
      </w:r>
      <w:r w:rsidRPr="0053258F">
        <w:rPr>
          <w:lang w:eastAsia="ko-KR"/>
        </w:rPr>
        <w:br/>
      </w:r>
      <w:bookmarkStart w:id="86" w:name="lt_pId217"/>
      <w:r w:rsidRPr="0053258F">
        <w:rPr>
          <w:lang w:eastAsia="ko-KR"/>
        </w:rPr>
        <w:t>Características de presentación de las imágenes de 360</w:t>
      </w:r>
      <w:bookmarkEnd w:id="86"/>
      <w:r w:rsidRPr="0053258F">
        <w:rPr>
          <w:lang w:eastAsia="ko-KR"/>
        </w:rPr>
        <w:t>°</w:t>
      </w:r>
    </w:p>
    <w:p w14:paraId="471C4FA4" w14:textId="56BE0714" w:rsidR="0053258F" w:rsidRPr="0053258F" w:rsidRDefault="0053258F" w:rsidP="00C70C3C">
      <w:pPr>
        <w:pStyle w:val="Normalaftertitle"/>
        <w:rPr>
          <w:lang w:eastAsia="ko-KR"/>
        </w:rPr>
      </w:pPr>
      <w:bookmarkStart w:id="87" w:name="lt_pId218"/>
      <w:r w:rsidRPr="0053258F">
        <w:rPr>
          <w:lang w:eastAsia="ko-KR"/>
        </w:rPr>
        <w:t>La presentación de imágenes de 360</w:t>
      </w:r>
      <w:r w:rsidRPr="0053258F">
        <w:rPr>
          <w:lang w:eastAsia="de-DE"/>
        </w:rPr>
        <w:t>°</w:t>
      </w:r>
      <w:r w:rsidRPr="0053258F">
        <w:rPr>
          <w:lang w:eastAsia="ko-KR"/>
        </w:rPr>
        <w:t xml:space="preserve"> en un</w:t>
      </w:r>
      <w:r w:rsidRPr="0053258F">
        <w:t xml:space="preserve"> monitor en forma de visor</w:t>
      </w:r>
      <w:r w:rsidRPr="0053258F">
        <w:rPr>
          <w:lang w:eastAsia="ko-KR"/>
        </w:rPr>
        <w:t xml:space="preserve"> (HMD) requiere las características espaciales que se indican en el Cuadro</w:t>
      </w:r>
      <w:r w:rsidR="00815D98">
        <w:rPr>
          <w:lang w:eastAsia="ko-KR"/>
        </w:rPr>
        <w:t> </w:t>
      </w:r>
      <w:r w:rsidRPr="0053258F">
        <w:rPr>
          <w:lang w:eastAsia="ko-KR"/>
        </w:rPr>
        <w:t>4.</w:t>
      </w:r>
      <w:bookmarkEnd w:id="87"/>
    </w:p>
    <w:p w14:paraId="242814BB" w14:textId="77777777" w:rsidR="0053258F" w:rsidRPr="0053258F" w:rsidRDefault="0053258F" w:rsidP="0053258F">
      <w:pPr>
        <w:tabs>
          <w:tab w:val="clear" w:pos="794"/>
          <w:tab w:val="clear" w:pos="1191"/>
          <w:tab w:val="clear" w:pos="1588"/>
          <w:tab w:val="clear" w:pos="1985"/>
        </w:tabs>
        <w:overflowPunct/>
        <w:autoSpaceDE/>
        <w:autoSpaceDN/>
        <w:adjustRightInd/>
        <w:spacing w:before="0"/>
        <w:jc w:val="left"/>
        <w:textAlignment w:val="auto"/>
      </w:pPr>
    </w:p>
    <w:p w14:paraId="30B00EB8" w14:textId="77777777" w:rsidR="0053258F" w:rsidRPr="0053258F" w:rsidRDefault="0053258F" w:rsidP="00C70C3C">
      <w:pPr>
        <w:pStyle w:val="TableNo"/>
        <w:rPr>
          <w:lang w:eastAsia="ja-JP"/>
        </w:rPr>
      </w:pPr>
      <w:r w:rsidRPr="0053258F">
        <w:rPr>
          <w:lang w:eastAsia="ja-JP"/>
        </w:rPr>
        <w:t>CUADRO 4</w:t>
      </w:r>
    </w:p>
    <w:p w14:paraId="6D3178F1" w14:textId="24C5C340" w:rsidR="0053258F" w:rsidRPr="0053258F" w:rsidRDefault="0053258F" w:rsidP="00C70C3C">
      <w:pPr>
        <w:pStyle w:val="Tabletitle"/>
      </w:pPr>
      <w:r w:rsidRPr="0053258F">
        <w:t xml:space="preserve">Requisitos de las características espaciales de los monitores HMD </w:t>
      </w:r>
      <w:r w:rsidR="00815D98">
        <w:br/>
      </w:r>
      <w:r w:rsidRPr="0053258F">
        <w:t>para la presentación de imágenes de 360</w:t>
      </w:r>
      <w:r w:rsidR="00815D98">
        <w:rPr>
          <w:vertAlign w:val="superscript"/>
        </w:rPr>
        <w:t>°</w:t>
      </w:r>
    </w:p>
    <w:tbl>
      <w:tblPr>
        <w:tblStyle w:val="TableGridLight"/>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401"/>
        <w:gridCol w:w="2691"/>
      </w:tblGrid>
      <w:tr w:rsidR="0053258F" w:rsidRPr="0053258F" w14:paraId="63B9C6A8" w14:textId="77777777" w:rsidTr="00815D98">
        <w:trPr>
          <w:jc w:val="center"/>
        </w:trPr>
        <w:tc>
          <w:tcPr>
            <w:tcW w:w="6948" w:type="dxa"/>
            <w:gridSpan w:val="2"/>
          </w:tcPr>
          <w:p w14:paraId="1DF99610" w14:textId="77777777" w:rsidR="0053258F" w:rsidRPr="0053258F" w:rsidRDefault="0053258F" w:rsidP="00C70C3C">
            <w:pPr>
              <w:pStyle w:val="Tablehead"/>
            </w:pPr>
            <w:r w:rsidRPr="0053258F">
              <w:t>Características espaciales</w:t>
            </w:r>
          </w:p>
        </w:tc>
        <w:tc>
          <w:tcPr>
            <w:tcW w:w="2691" w:type="dxa"/>
          </w:tcPr>
          <w:p w14:paraId="0AFE957E" w14:textId="77777777" w:rsidR="0053258F" w:rsidRPr="0053258F" w:rsidRDefault="0053258F" w:rsidP="00C70C3C">
            <w:pPr>
              <w:pStyle w:val="Tablehead"/>
            </w:pPr>
            <w:r w:rsidRPr="0053258F">
              <w:t>Requisitos</w:t>
            </w:r>
          </w:p>
        </w:tc>
      </w:tr>
      <w:tr w:rsidR="0053258F" w:rsidRPr="0053258F" w14:paraId="56DE16C2" w14:textId="77777777" w:rsidTr="00815D98">
        <w:trPr>
          <w:jc w:val="center"/>
        </w:trPr>
        <w:tc>
          <w:tcPr>
            <w:tcW w:w="2547" w:type="dxa"/>
            <w:vMerge w:val="restart"/>
            <w:vAlign w:val="center"/>
          </w:tcPr>
          <w:p w14:paraId="69070A99" w14:textId="77777777" w:rsidR="0053258F" w:rsidRPr="0053258F" w:rsidRDefault="0053258F" w:rsidP="0041015B">
            <w:pPr>
              <w:pStyle w:val="Tabletext"/>
              <w:jc w:val="center"/>
              <w:rPr>
                <w:b/>
                <w:lang w:eastAsia="ja-JP"/>
              </w:rPr>
            </w:pPr>
            <w:r w:rsidRPr="0053258F">
              <w:rPr>
                <w:lang w:eastAsia="ja-JP"/>
              </w:rPr>
              <w:t>Campo de visión (FV)</w:t>
            </w:r>
          </w:p>
        </w:tc>
        <w:tc>
          <w:tcPr>
            <w:tcW w:w="4401" w:type="dxa"/>
          </w:tcPr>
          <w:p w14:paraId="4E2E7B2E" w14:textId="77777777" w:rsidR="0053258F" w:rsidRPr="0053258F" w:rsidRDefault="0053258F" w:rsidP="00C70C3C">
            <w:pPr>
              <w:pStyle w:val="Tabletext"/>
              <w:jc w:val="center"/>
              <w:rPr>
                <w:lang w:eastAsia="ja-JP"/>
              </w:rPr>
            </w:pPr>
            <w:r w:rsidRPr="0053258F">
              <w:rPr>
                <w:lang w:eastAsia="ja-JP"/>
              </w:rPr>
              <w:t>Horizontal (FV</w:t>
            </w:r>
            <w:r w:rsidRPr="0053258F">
              <w:rPr>
                <w:vertAlign w:val="subscript"/>
                <w:lang w:eastAsia="ja-JP"/>
              </w:rPr>
              <w:t>H</w:t>
            </w:r>
            <w:r w:rsidRPr="0053258F">
              <w:rPr>
                <w:lang w:eastAsia="ja-JP"/>
              </w:rPr>
              <w:t>)</w:t>
            </w:r>
          </w:p>
        </w:tc>
        <w:tc>
          <w:tcPr>
            <w:tcW w:w="2691" w:type="dxa"/>
          </w:tcPr>
          <w:p w14:paraId="68386741" w14:textId="4CAD0667" w:rsidR="0053258F" w:rsidRPr="0053258F" w:rsidRDefault="0053258F" w:rsidP="00C70C3C">
            <w:pPr>
              <w:pStyle w:val="Tabletext"/>
              <w:jc w:val="center"/>
              <w:rPr>
                <w:lang w:eastAsia="ja-JP"/>
              </w:rPr>
            </w:pPr>
            <w:r w:rsidRPr="0053258F">
              <w:rPr>
                <w:lang w:eastAsia="ja-JP"/>
              </w:rPr>
              <w:t>FV</w:t>
            </w:r>
            <w:r w:rsidRPr="0053258F">
              <w:rPr>
                <w:vertAlign w:val="subscript"/>
                <w:lang w:eastAsia="ja-JP"/>
              </w:rPr>
              <w:t>H</w:t>
            </w:r>
            <w:r w:rsidRPr="0053258F">
              <w:rPr>
                <w:lang w:eastAsia="ja-JP"/>
              </w:rPr>
              <w:t xml:space="preserve"> ≥ 240</w:t>
            </w:r>
            <w:r w:rsidR="00C70C3C">
              <w:rPr>
                <w:lang w:eastAsia="ja-JP"/>
              </w:rPr>
              <w:t>°</w:t>
            </w:r>
          </w:p>
        </w:tc>
      </w:tr>
      <w:tr w:rsidR="0053258F" w:rsidRPr="0053258F" w14:paraId="4B54F866" w14:textId="77777777" w:rsidTr="00815D98">
        <w:trPr>
          <w:jc w:val="center"/>
        </w:trPr>
        <w:tc>
          <w:tcPr>
            <w:tcW w:w="2547" w:type="dxa"/>
            <w:vMerge/>
          </w:tcPr>
          <w:p w14:paraId="211BEAC4" w14:textId="77777777" w:rsidR="0053258F" w:rsidRPr="0053258F" w:rsidRDefault="0053258F" w:rsidP="00C70C3C">
            <w:pPr>
              <w:pStyle w:val="Tabletext"/>
              <w:jc w:val="center"/>
              <w:rPr>
                <w:b/>
                <w:lang w:eastAsia="ja-JP"/>
              </w:rPr>
            </w:pPr>
          </w:p>
        </w:tc>
        <w:tc>
          <w:tcPr>
            <w:tcW w:w="4401" w:type="dxa"/>
          </w:tcPr>
          <w:p w14:paraId="470A3652" w14:textId="77777777" w:rsidR="0053258F" w:rsidRPr="0053258F" w:rsidRDefault="0053258F" w:rsidP="00C70C3C">
            <w:pPr>
              <w:pStyle w:val="Tabletext"/>
              <w:jc w:val="center"/>
              <w:rPr>
                <w:lang w:eastAsia="ja-JP"/>
              </w:rPr>
            </w:pPr>
            <w:r w:rsidRPr="0053258F">
              <w:rPr>
                <w:lang w:eastAsia="ja-JP"/>
              </w:rPr>
              <w:t>Vertical (FV</w:t>
            </w:r>
            <w:r w:rsidRPr="0053258F">
              <w:rPr>
                <w:vertAlign w:val="subscript"/>
                <w:lang w:eastAsia="ja-JP"/>
              </w:rPr>
              <w:t>V</w:t>
            </w:r>
            <w:r w:rsidRPr="0053258F">
              <w:rPr>
                <w:lang w:eastAsia="ja-JP"/>
              </w:rPr>
              <w:t>)</w:t>
            </w:r>
          </w:p>
        </w:tc>
        <w:tc>
          <w:tcPr>
            <w:tcW w:w="2691" w:type="dxa"/>
          </w:tcPr>
          <w:p w14:paraId="6DD2CED0" w14:textId="019006B5" w:rsidR="0053258F" w:rsidRPr="0053258F" w:rsidRDefault="0053258F" w:rsidP="00C70C3C">
            <w:pPr>
              <w:pStyle w:val="Tabletext"/>
              <w:jc w:val="center"/>
              <w:rPr>
                <w:lang w:eastAsia="ja-JP"/>
              </w:rPr>
            </w:pPr>
            <w:r w:rsidRPr="0053258F">
              <w:rPr>
                <w:lang w:eastAsia="ja-JP"/>
              </w:rPr>
              <w:t>FV</w:t>
            </w:r>
            <w:r w:rsidRPr="0053258F">
              <w:rPr>
                <w:vertAlign w:val="subscript"/>
                <w:lang w:eastAsia="ja-JP"/>
              </w:rPr>
              <w:t>V</w:t>
            </w:r>
            <w:r w:rsidRPr="0053258F">
              <w:rPr>
                <w:lang w:eastAsia="ja-JP"/>
              </w:rPr>
              <w:t xml:space="preserve"> ≥ 160</w:t>
            </w:r>
            <w:r w:rsidR="00C70C3C">
              <w:rPr>
                <w:lang w:eastAsia="ja-JP"/>
              </w:rPr>
              <w:t>°</w:t>
            </w:r>
          </w:p>
        </w:tc>
      </w:tr>
      <w:tr w:rsidR="0053258F" w:rsidRPr="0053258F" w14:paraId="190012FF" w14:textId="77777777" w:rsidTr="00815D98">
        <w:trPr>
          <w:jc w:val="center"/>
        </w:trPr>
        <w:tc>
          <w:tcPr>
            <w:tcW w:w="2547" w:type="dxa"/>
            <w:vMerge w:val="restart"/>
            <w:vAlign w:val="center"/>
          </w:tcPr>
          <w:p w14:paraId="15CA3E32" w14:textId="77777777" w:rsidR="0053258F" w:rsidRPr="0053258F" w:rsidRDefault="0053258F" w:rsidP="0041015B">
            <w:pPr>
              <w:pStyle w:val="Tabletext"/>
              <w:jc w:val="center"/>
              <w:rPr>
                <w:b/>
                <w:lang w:eastAsia="ja-JP"/>
              </w:rPr>
            </w:pPr>
            <w:r w:rsidRPr="0053258F">
              <w:rPr>
                <w:lang w:eastAsia="ja-JP"/>
              </w:rPr>
              <w:t>Resolución espacial (SR)</w:t>
            </w:r>
          </w:p>
        </w:tc>
        <w:tc>
          <w:tcPr>
            <w:tcW w:w="4401" w:type="dxa"/>
          </w:tcPr>
          <w:p w14:paraId="0AC0AF2D" w14:textId="45223CEE" w:rsidR="0053258F" w:rsidRPr="0053258F" w:rsidRDefault="0053258F" w:rsidP="00C70C3C">
            <w:pPr>
              <w:pStyle w:val="Tabletext"/>
              <w:jc w:val="center"/>
              <w:rPr>
                <w:lang w:eastAsia="ja-JP"/>
              </w:rPr>
            </w:pPr>
            <w:r w:rsidRPr="0053258F">
              <w:rPr>
                <w:lang w:eastAsia="ja-JP"/>
              </w:rPr>
              <w:t>FV</w:t>
            </w:r>
            <w:r w:rsidRPr="0053258F">
              <w:rPr>
                <w:vertAlign w:val="subscript"/>
                <w:lang w:eastAsia="ja-JP"/>
              </w:rPr>
              <w:t>H</w:t>
            </w:r>
            <w:r w:rsidRPr="0053258F">
              <w:rPr>
                <w:lang w:eastAsia="ja-JP"/>
              </w:rPr>
              <w:t xml:space="preserve"> ≤ 100</w:t>
            </w:r>
            <w:r w:rsidR="00C70C3C">
              <w:rPr>
                <w:lang w:eastAsia="ja-JP"/>
              </w:rPr>
              <w:t>°</w:t>
            </w:r>
            <w:r w:rsidRPr="0053258F">
              <w:rPr>
                <w:lang w:eastAsia="ja-JP"/>
              </w:rPr>
              <w:t>, FV</w:t>
            </w:r>
            <w:r w:rsidRPr="0053258F">
              <w:rPr>
                <w:vertAlign w:val="subscript"/>
                <w:lang w:eastAsia="ja-JP"/>
              </w:rPr>
              <w:t>V</w:t>
            </w:r>
            <w:r w:rsidRPr="0053258F">
              <w:rPr>
                <w:lang w:eastAsia="ja-JP"/>
              </w:rPr>
              <w:t xml:space="preserve"> ≤ 90</w:t>
            </w:r>
            <w:r w:rsidR="00C70C3C">
              <w:rPr>
                <w:lang w:eastAsia="ja-JP"/>
              </w:rPr>
              <w:t>°</w:t>
            </w:r>
          </w:p>
        </w:tc>
        <w:tc>
          <w:tcPr>
            <w:tcW w:w="2691" w:type="dxa"/>
          </w:tcPr>
          <w:p w14:paraId="1D0D0EDE" w14:textId="77777777" w:rsidR="0053258F" w:rsidRPr="0053258F" w:rsidRDefault="0053258F" w:rsidP="00C70C3C">
            <w:pPr>
              <w:pStyle w:val="Tabletext"/>
              <w:jc w:val="center"/>
              <w:rPr>
                <w:lang w:eastAsia="ja-JP"/>
              </w:rPr>
            </w:pPr>
            <w:r w:rsidRPr="0053258F">
              <w:rPr>
                <w:lang w:eastAsia="ja-JP"/>
              </w:rPr>
              <w:t>SR ≥ 30 cpd</w:t>
            </w:r>
          </w:p>
        </w:tc>
      </w:tr>
      <w:tr w:rsidR="0053258F" w:rsidRPr="0053258F" w14:paraId="11E565D0" w14:textId="77777777" w:rsidTr="00815D98">
        <w:trPr>
          <w:jc w:val="center"/>
        </w:trPr>
        <w:tc>
          <w:tcPr>
            <w:tcW w:w="2547" w:type="dxa"/>
            <w:vMerge/>
          </w:tcPr>
          <w:p w14:paraId="32E58AE4" w14:textId="77777777" w:rsidR="0053258F" w:rsidRPr="0053258F" w:rsidRDefault="0053258F" w:rsidP="005325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b/>
                <w:sz w:val="21"/>
                <w:szCs w:val="21"/>
                <w:lang w:eastAsia="ja-JP"/>
              </w:rPr>
            </w:pPr>
          </w:p>
        </w:tc>
        <w:tc>
          <w:tcPr>
            <w:tcW w:w="4401" w:type="dxa"/>
          </w:tcPr>
          <w:p w14:paraId="2B0E26E5" w14:textId="1DBC9D0C" w:rsidR="0053258F" w:rsidRPr="0053258F" w:rsidRDefault="0053258F" w:rsidP="00C70C3C">
            <w:pPr>
              <w:pStyle w:val="Tabletext"/>
              <w:jc w:val="center"/>
              <w:rPr>
                <w:lang w:eastAsia="ja-JP"/>
              </w:rPr>
            </w:pPr>
            <w:r w:rsidRPr="0053258F">
              <w:rPr>
                <w:lang w:eastAsia="ja-JP"/>
              </w:rPr>
              <w:t>100</w:t>
            </w:r>
            <w:r w:rsidR="00C70C3C">
              <w:rPr>
                <w:lang w:eastAsia="ja-JP"/>
              </w:rPr>
              <w:t>°</w:t>
            </w:r>
            <w:r w:rsidRPr="0053258F">
              <w:rPr>
                <w:lang w:eastAsia="ja-JP"/>
              </w:rPr>
              <w:t xml:space="preserve"> &lt; FV</w:t>
            </w:r>
            <w:r w:rsidRPr="0053258F">
              <w:rPr>
                <w:vertAlign w:val="subscript"/>
                <w:lang w:eastAsia="ja-JP"/>
              </w:rPr>
              <w:t>H</w:t>
            </w:r>
            <w:r w:rsidRPr="0053258F">
              <w:rPr>
                <w:lang w:eastAsia="ja-JP"/>
              </w:rPr>
              <w:t xml:space="preserve"> ≤ 160</w:t>
            </w:r>
            <w:r w:rsidR="00C70C3C">
              <w:rPr>
                <w:lang w:eastAsia="ja-JP"/>
              </w:rPr>
              <w:t>°</w:t>
            </w:r>
            <w:r w:rsidRPr="0053258F">
              <w:rPr>
                <w:lang w:eastAsia="ja-JP"/>
              </w:rPr>
              <w:t>, 90</w:t>
            </w:r>
            <w:r w:rsidR="00C70C3C">
              <w:rPr>
                <w:lang w:eastAsia="ja-JP"/>
              </w:rPr>
              <w:t>°</w:t>
            </w:r>
            <w:r w:rsidRPr="0053258F">
              <w:rPr>
                <w:lang w:eastAsia="ja-JP"/>
              </w:rPr>
              <w:t xml:space="preserve"> &lt; FV</w:t>
            </w:r>
            <w:r w:rsidRPr="0053258F">
              <w:rPr>
                <w:vertAlign w:val="subscript"/>
                <w:lang w:eastAsia="ja-JP"/>
              </w:rPr>
              <w:t>V</w:t>
            </w:r>
            <w:r w:rsidRPr="0053258F">
              <w:rPr>
                <w:lang w:eastAsia="ja-JP"/>
              </w:rPr>
              <w:t xml:space="preserve"> ≤ 110</w:t>
            </w:r>
            <w:r w:rsidR="00C70C3C">
              <w:rPr>
                <w:lang w:eastAsia="ja-JP"/>
              </w:rPr>
              <w:t>°</w:t>
            </w:r>
          </w:p>
        </w:tc>
        <w:tc>
          <w:tcPr>
            <w:tcW w:w="2691" w:type="dxa"/>
          </w:tcPr>
          <w:p w14:paraId="58F6DF67" w14:textId="77777777" w:rsidR="0053258F" w:rsidRPr="0053258F" w:rsidRDefault="0053258F" w:rsidP="00C70C3C">
            <w:pPr>
              <w:pStyle w:val="Tabletext"/>
              <w:jc w:val="center"/>
              <w:rPr>
                <w:lang w:eastAsia="ja-JP"/>
              </w:rPr>
            </w:pPr>
            <w:r w:rsidRPr="0053258F">
              <w:rPr>
                <w:lang w:eastAsia="ja-JP"/>
              </w:rPr>
              <w:t>SR ≥ 8 cpd</w:t>
            </w:r>
          </w:p>
        </w:tc>
      </w:tr>
      <w:tr w:rsidR="0053258F" w:rsidRPr="0053258F" w14:paraId="2BB4FF69" w14:textId="77777777" w:rsidTr="00815D98">
        <w:trPr>
          <w:jc w:val="center"/>
        </w:trPr>
        <w:tc>
          <w:tcPr>
            <w:tcW w:w="2547" w:type="dxa"/>
            <w:vMerge/>
            <w:tcBorders>
              <w:bottom w:val="single" w:sz="4" w:space="0" w:color="auto"/>
            </w:tcBorders>
          </w:tcPr>
          <w:p w14:paraId="287F858D" w14:textId="77777777" w:rsidR="0053258F" w:rsidRPr="0053258F" w:rsidRDefault="0053258F" w:rsidP="005325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b/>
                <w:sz w:val="21"/>
                <w:szCs w:val="21"/>
                <w:lang w:eastAsia="ja-JP"/>
              </w:rPr>
            </w:pPr>
          </w:p>
        </w:tc>
        <w:tc>
          <w:tcPr>
            <w:tcW w:w="4401" w:type="dxa"/>
            <w:tcBorders>
              <w:bottom w:val="single" w:sz="4" w:space="0" w:color="auto"/>
            </w:tcBorders>
          </w:tcPr>
          <w:p w14:paraId="3F333369" w14:textId="2A9FD379" w:rsidR="0053258F" w:rsidRPr="0053258F" w:rsidRDefault="0053258F" w:rsidP="00C70C3C">
            <w:pPr>
              <w:pStyle w:val="Tabletext"/>
              <w:jc w:val="center"/>
              <w:rPr>
                <w:lang w:eastAsia="ja-JP"/>
              </w:rPr>
            </w:pPr>
            <w:r w:rsidRPr="0053258F">
              <w:rPr>
                <w:lang w:eastAsia="ja-JP"/>
              </w:rPr>
              <w:t>160</w:t>
            </w:r>
            <w:r w:rsidR="00C70C3C">
              <w:rPr>
                <w:lang w:eastAsia="ja-JP"/>
              </w:rPr>
              <w:t>°</w:t>
            </w:r>
            <w:r w:rsidRPr="0053258F">
              <w:rPr>
                <w:lang w:eastAsia="ja-JP"/>
              </w:rPr>
              <w:t xml:space="preserve"> &lt; FV</w:t>
            </w:r>
            <w:r w:rsidRPr="0053258F">
              <w:rPr>
                <w:vertAlign w:val="subscript"/>
                <w:lang w:eastAsia="ja-JP"/>
              </w:rPr>
              <w:t>H</w:t>
            </w:r>
            <w:r w:rsidRPr="0053258F">
              <w:rPr>
                <w:lang w:eastAsia="ja-JP"/>
              </w:rPr>
              <w:t>, 110</w:t>
            </w:r>
            <w:r w:rsidR="00C70C3C">
              <w:rPr>
                <w:lang w:eastAsia="ja-JP"/>
              </w:rPr>
              <w:t>°</w:t>
            </w:r>
            <w:r w:rsidRPr="0053258F">
              <w:rPr>
                <w:lang w:eastAsia="ja-JP"/>
              </w:rPr>
              <w:t xml:space="preserve"> &lt; FV</w:t>
            </w:r>
            <w:r w:rsidRPr="0053258F">
              <w:rPr>
                <w:vertAlign w:val="subscript"/>
                <w:lang w:eastAsia="ja-JP"/>
              </w:rPr>
              <w:t>V</w:t>
            </w:r>
          </w:p>
        </w:tc>
        <w:tc>
          <w:tcPr>
            <w:tcW w:w="2691" w:type="dxa"/>
            <w:tcBorders>
              <w:bottom w:val="single" w:sz="4" w:space="0" w:color="auto"/>
            </w:tcBorders>
          </w:tcPr>
          <w:p w14:paraId="2A481E09" w14:textId="77777777" w:rsidR="0053258F" w:rsidRPr="0053258F" w:rsidRDefault="0053258F" w:rsidP="00C70C3C">
            <w:pPr>
              <w:pStyle w:val="Tabletext"/>
              <w:jc w:val="center"/>
              <w:rPr>
                <w:lang w:eastAsia="ja-JP"/>
              </w:rPr>
            </w:pPr>
            <w:r w:rsidRPr="0053258F">
              <w:rPr>
                <w:lang w:eastAsia="ja-JP"/>
              </w:rPr>
              <w:t>SR ≥ 1 cpd</w:t>
            </w:r>
          </w:p>
        </w:tc>
      </w:tr>
      <w:tr w:rsidR="0053258F" w:rsidRPr="0053258F" w14:paraId="621B0F5C" w14:textId="77777777" w:rsidTr="00815D98">
        <w:trPr>
          <w:jc w:val="center"/>
        </w:trPr>
        <w:tc>
          <w:tcPr>
            <w:tcW w:w="9639" w:type="dxa"/>
            <w:gridSpan w:val="3"/>
            <w:tcBorders>
              <w:left w:val="nil"/>
              <w:bottom w:val="nil"/>
              <w:right w:val="nil"/>
            </w:tcBorders>
          </w:tcPr>
          <w:p w14:paraId="59B72534" w14:textId="779F6D8D" w:rsidR="0053258F" w:rsidRPr="0053258F" w:rsidRDefault="00B960A9" w:rsidP="00B960A9">
            <w:pPr>
              <w:pStyle w:val="Tabletext"/>
              <w:rPr>
                <w:lang w:eastAsia="ja-JP"/>
              </w:rPr>
            </w:pPr>
            <w:r>
              <w:rPr>
                <w:i/>
                <w:iCs/>
                <w:lang w:eastAsia="ko-KR"/>
              </w:rPr>
              <w:t>Nota</w:t>
            </w:r>
            <w:r w:rsidRPr="00B960A9">
              <w:rPr>
                <w:lang w:eastAsia="ko-KR"/>
              </w:rPr>
              <w:t xml:space="preserve">: </w:t>
            </w:r>
            <w:r w:rsidR="0053258F" w:rsidRPr="0053258F">
              <w:rPr>
                <w:lang w:eastAsia="ja-JP"/>
              </w:rPr>
              <w:t>Estos requisitos se basan en el Informe UIT-R BT.2506-1.</w:t>
            </w:r>
          </w:p>
        </w:tc>
      </w:tr>
    </w:tbl>
    <w:p w14:paraId="43292399" w14:textId="77777777" w:rsidR="0053258F" w:rsidRPr="0053258F" w:rsidRDefault="0053258F" w:rsidP="00C70C3C">
      <w:pPr>
        <w:pStyle w:val="Tablefin"/>
        <w:rPr>
          <w:lang w:eastAsia="ja-JP"/>
        </w:rPr>
      </w:pPr>
    </w:p>
    <w:p w14:paraId="5BE316A2" w14:textId="77777777" w:rsidR="0053258F" w:rsidRDefault="0053258F" w:rsidP="00B960A9"/>
    <w:p w14:paraId="3427054F" w14:textId="77777777" w:rsidR="00B960A9" w:rsidRDefault="00B960A9" w:rsidP="00B960A9">
      <w:pPr>
        <w:pStyle w:val="Line"/>
      </w:pPr>
    </w:p>
    <w:sectPr w:rsidR="00B960A9" w:rsidSect="007565CC">
      <w:footerReference w:type="default" r:id="rId1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15AC1" w14:textId="77777777" w:rsidR="00112EF3" w:rsidRDefault="00112EF3">
      <w:r>
        <w:separator/>
      </w:r>
    </w:p>
  </w:endnote>
  <w:endnote w:type="continuationSeparator" w:id="0">
    <w:p w14:paraId="378394DE" w14:textId="77777777" w:rsidR="00112EF3" w:rsidRDefault="0011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ECC0F" w14:textId="77777777" w:rsidR="00301DB3" w:rsidRDefault="00301DB3">
    <w:pPr>
      <w:pStyle w:val="Footer"/>
    </w:pPr>
    <w:r>
      <w:drawing>
        <wp:anchor distT="0" distB="0" distL="0" distR="0" simplePos="0" relativeHeight="251656192" behindDoc="0" locked="0" layoutInCell="1" allowOverlap="1" wp14:anchorId="5C55351B" wp14:editId="4BE34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123D"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08CAA" w14:textId="77777777" w:rsidR="00112EF3" w:rsidRDefault="00112EF3">
      <w:r>
        <w:separator/>
      </w:r>
    </w:p>
  </w:footnote>
  <w:footnote w:type="continuationSeparator" w:id="0">
    <w:p w14:paraId="7DD44841" w14:textId="77777777" w:rsidR="00112EF3" w:rsidRDefault="00112EF3">
      <w:r>
        <w:continuationSeparator/>
      </w:r>
    </w:p>
  </w:footnote>
  <w:footnote w:id="1">
    <w:p w14:paraId="227DC532" w14:textId="77375B48" w:rsidR="002A6D8D" w:rsidRDefault="002A6D8D" w:rsidP="002A6D8D">
      <w:pPr>
        <w:pStyle w:val="FootnoteText"/>
      </w:pPr>
      <w:r>
        <w:rPr>
          <w:rStyle w:val="FootnoteReference"/>
        </w:rPr>
        <w:footnoteRef/>
      </w:r>
      <w:r>
        <w:tab/>
      </w:r>
      <w:r w:rsidRPr="002A6D8D">
        <w:t>Material de programa que permite al usuario mirar libremente en cualquier dirección con tres grados de libertad (3DoF) (balanceo, cabeceo y guiñada). Entre los típicos casos de uso figura el de un usuario que, sentado en una silla, visualiza el contenido 3D RV/360° a través de un monitor en forma de visor (</w:t>
      </w:r>
      <w:r w:rsidRPr="002A6D8D">
        <w:rPr>
          <w:i/>
          <w:iCs/>
        </w:rPr>
        <w:t>head</w:t>
      </w:r>
      <w:r w:rsidR="0041015B">
        <w:rPr>
          <w:i/>
          <w:iCs/>
        </w:rPr>
        <w:noBreakHyphen/>
      </w:r>
      <w:r w:rsidRPr="002A6D8D">
        <w:rPr>
          <w:i/>
          <w:iCs/>
        </w:rPr>
        <w:t>mounted display</w:t>
      </w:r>
      <w:r w:rsidRPr="002A6D8D">
        <w:t xml:space="preserve"> o HMD). La Fig</w:t>
      </w:r>
      <w:r w:rsidR="005505E7">
        <w:t>. </w:t>
      </w:r>
      <w:r w:rsidRPr="002A6D8D">
        <w:t>1 proporciona más detalles al respecto.</w:t>
      </w:r>
    </w:p>
  </w:footnote>
  <w:footnote w:id="2">
    <w:p w14:paraId="651E76E0" w14:textId="3175A63F" w:rsidR="00C70C3C" w:rsidRDefault="00C70C3C" w:rsidP="00C70C3C">
      <w:pPr>
        <w:pStyle w:val="FootnoteText"/>
      </w:pPr>
      <w:r>
        <w:rPr>
          <w:rStyle w:val="FootnoteReference"/>
        </w:rPr>
        <w:footnoteRef/>
      </w:r>
      <w:r>
        <w:tab/>
      </w:r>
      <w:r w:rsidRPr="00C70C3C">
        <w:t xml:space="preserve">Este Anexo se basa en las especificaciones contenidas en la norma ISO/CEI 23090-2 </w:t>
      </w:r>
      <w:r w:rsidRPr="00C70C3C">
        <w:rPr>
          <w:i/>
          <w:iCs/>
        </w:rPr>
        <w:t>Omnidirectional Media Format</w:t>
      </w:r>
      <w:r w:rsidRPr="00C70C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1A17"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5D58B722" w14:textId="77777777" w:rsidTr="0019307B">
      <w:tc>
        <w:tcPr>
          <w:tcW w:w="4634" w:type="dxa"/>
          <w:vAlign w:val="center"/>
        </w:tcPr>
        <w:p w14:paraId="41124263"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489965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C94436">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C94436">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39FBE9B8" w14:textId="77777777" w:rsidTr="0019307B">
      <w:tc>
        <w:tcPr>
          <w:tcW w:w="4634" w:type="dxa"/>
          <w:vAlign w:val="center"/>
        </w:tcPr>
        <w:p w14:paraId="2F766A32"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6CD4C7A5"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10421D86"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A6E3E01" wp14:editId="124D77D2">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0FA6365" wp14:editId="60C3E4B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5FE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37363D0"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562953AF" wp14:editId="0A7C444F">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0B592"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2233D" w14:textId="279646CB" w:rsidR="001B164E" w:rsidRPr="00112EF3" w:rsidRDefault="00D72623" w:rsidP="00D72623">
    <w:pPr>
      <w:pStyle w:val="Header"/>
      <w:jc w:val="left"/>
      <w:rPr>
        <w:lang w:val="pt-BR"/>
      </w:rPr>
    </w:pPr>
    <w:r>
      <w:rPr>
        <w:rStyle w:val="PageNumber"/>
        <w:b/>
        <w:bCs/>
      </w:rPr>
      <w:fldChar w:fldCharType="begin"/>
    </w:r>
    <w:r w:rsidRPr="0053258F">
      <w:rPr>
        <w:rStyle w:val="PageNumber"/>
        <w:b/>
        <w:bCs/>
        <w:lang w:val="pt-BR"/>
      </w:rPr>
      <w:instrText xml:space="preserve"> PAGE </w:instrText>
    </w:r>
    <w:r>
      <w:rPr>
        <w:rStyle w:val="PageNumber"/>
        <w:b/>
        <w:bCs/>
      </w:rPr>
      <w:fldChar w:fldCharType="separate"/>
    </w:r>
    <w:r w:rsidRPr="0053258F">
      <w:rPr>
        <w:rStyle w:val="PageNumber"/>
        <w:b/>
        <w:bCs/>
        <w:lang w:val="pt-BR"/>
      </w:rPr>
      <w:t>i</w:t>
    </w:r>
    <w:r w:rsidRPr="00112EF3">
      <w:rPr>
        <w:rStyle w:val="PageNumber"/>
        <w:b/>
        <w:bCs/>
        <w:lang w:val="pt-BR"/>
      </w:rPr>
      <w:t>i</w:t>
    </w:r>
    <w:r>
      <w:rPr>
        <w:rStyle w:val="PageNumber"/>
        <w:b/>
        <w:bCs/>
      </w:rPr>
      <w:fldChar w:fldCharType="end"/>
    </w:r>
    <w:r w:rsidRPr="00112EF3">
      <w:rPr>
        <w:lang w:val="pt-BR"/>
      </w:rPr>
      <w:tab/>
    </w:r>
    <w:r>
      <w:rPr>
        <w:b/>
        <w:bCs/>
        <w:lang w:val="en-US"/>
      </w:rPr>
      <w:fldChar w:fldCharType="begin"/>
    </w:r>
    <w:r w:rsidRPr="00112EF3">
      <w:rPr>
        <w:b/>
        <w:bCs/>
        <w:lang w:val="pt-BR"/>
      </w:rPr>
      <w:instrText xml:space="preserve"> DOCPROPERTY "Header" \* MERGEFORMAT </w:instrText>
    </w:r>
    <w:r>
      <w:rPr>
        <w:b/>
        <w:bCs/>
        <w:lang w:val="en-US"/>
      </w:rPr>
      <w:fldChar w:fldCharType="separate"/>
    </w:r>
    <w:r w:rsidR="00112EF3" w:rsidRPr="00112EF3">
      <w:rPr>
        <w:b/>
        <w:bCs/>
        <w:lang w:val="pt-BR"/>
      </w:rPr>
      <w:t xml:space="preserve">Rec. </w:t>
    </w:r>
    <w:r>
      <w:rPr>
        <w:b/>
        <w:bCs/>
        <w:lang w:val="en-US"/>
      </w:rPr>
      <w:fldChar w:fldCharType="end"/>
    </w:r>
    <w:r w:rsidRPr="00112EF3">
      <w:rPr>
        <w:b/>
        <w:bCs/>
        <w:lang w:val="pt-BR"/>
      </w:rPr>
      <w:t xml:space="preserve"> </w:t>
    </w:r>
    <w:r>
      <w:rPr>
        <w:b/>
        <w:bCs/>
      </w:rPr>
      <w:fldChar w:fldCharType="begin"/>
    </w:r>
    <w:r w:rsidRPr="00112EF3">
      <w:rPr>
        <w:b/>
        <w:bCs/>
        <w:lang w:val="pt-BR"/>
      </w:rPr>
      <w:instrText>styleref href</w:instrText>
    </w:r>
    <w:r>
      <w:rPr>
        <w:b/>
        <w:bCs/>
      </w:rPr>
      <w:fldChar w:fldCharType="separate"/>
    </w:r>
    <w:r w:rsidR="00AB005E">
      <w:rPr>
        <w:b/>
        <w:bCs/>
        <w:noProof/>
        <w:lang w:val="pt-BR"/>
      </w:rPr>
      <w:t>UIT-R  BT.2123-1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5B9D" w14:textId="252385EB"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112EF3">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AB005E">
      <w:rPr>
        <w:b/>
        <w:bCs/>
        <w:noProof/>
      </w:rPr>
      <w:t>UIT-R  BT.2123-1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3"/>
    <w:rsid w:val="00013002"/>
    <w:rsid w:val="00036EE3"/>
    <w:rsid w:val="00072484"/>
    <w:rsid w:val="00095530"/>
    <w:rsid w:val="00096612"/>
    <w:rsid w:val="000A4A32"/>
    <w:rsid w:val="000B1B2B"/>
    <w:rsid w:val="000B7683"/>
    <w:rsid w:val="000D0677"/>
    <w:rsid w:val="000E0548"/>
    <w:rsid w:val="000E6A6E"/>
    <w:rsid w:val="000F50D8"/>
    <w:rsid w:val="00102934"/>
    <w:rsid w:val="00103CD7"/>
    <w:rsid w:val="00112EF3"/>
    <w:rsid w:val="00147110"/>
    <w:rsid w:val="001511A6"/>
    <w:rsid w:val="00171C4D"/>
    <w:rsid w:val="0017562F"/>
    <w:rsid w:val="0019307B"/>
    <w:rsid w:val="00195418"/>
    <w:rsid w:val="001A12B1"/>
    <w:rsid w:val="001B0927"/>
    <w:rsid w:val="001B164E"/>
    <w:rsid w:val="001B7886"/>
    <w:rsid w:val="001F01E0"/>
    <w:rsid w:val="001F38BB"/>
    <w:rsid w:val="002058CE"/>
    <w:rsid w:val="002165F1"/>
    <w:rsid w:val="00233211"/>
    <w:rsid w:val="00260B24"/>
    <w:rsid w:val="0027411A"/>
    <w:rsid w:val="00276D21"/>
    <w:rsid w:val="00282DCF"/>
    <w:rsid w:val="00296D7F"/>
    <w:rsid w:val="002A5D45"/>
    <w:rsid w:val="002A6D8D"/>
    <w:rsid w:val="002B0AB6"/>
    <w:rsid w:val="002B3CF6"/>
    <w:rsid w:val="002B3E59"/>
    <w:rsid w:val="002C768A"/>
    <w:rsid w:val="002D0BD7"/>
    <w:rsid w:val="002D76C4"/>
    <w:rsid w:val="002F5199"/>
    <w:rsid w:val="00301DB3"/>
    <w:rsid w:val="00305119"/>
    <w:rsid w:val="003157F1"/>
    <w:rsid w:val="00346EC2"/>
    <w:rsid w:val="00356B5D"/>
    <w:rsid w:val="00357707"/>
    <w:rsid w:val="0036627C"/>
    <w:rsid w:val="003E5516"/>
    <w:rsid w:val="003F4B75"/>
    <w:rsid w:val="0041015B"/>
    <w:rsid w:val="00420DFD"/>
    <w:rsid w:val="00425BC7"/>
    <w:rsid w:val="00437A76"/>
    <w:rsid w:val="00441AF2"/>
    <w:rsid w:val="004604B2"/>
    <w:rsid w:val="00470E28"/>
    <w:rsid w:val="0047379B"/>
    <w:rsid w:val="00474170"/>
    <w:rsid w:val="00477729"/>
    <w:rsid w:val="004842E2"/>
    <w:rsid w:val="00486EB3"/>
    <w:rsid w:val="004934C5"/>
    <w:rsid w:val="004A6FEB"/>
    <w:rsid w:val="004E61FF"/>
    <w:rsid w:val="0053004B"/>
    <w:rsid w:val="0053258F"/>
    <w:rsid w:val="005373E0"/>
    <w:rsid w:val="005505E7"/>
    <w:rsid w:val="00556548"/>
    <w:rsid w:val="00571B1C"/>
    <w:rsid w:val="00576D47"/>
    <w:rsid w:val="00586EF8"/>
    <w:rsid w:val="005A20C1"/>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80D2B"/>
    <w:rsid w:val="00681B32"/>
    <w:rsid w:val="0069322D"/>
    <w:rsid w:val="00697887"/>
    <w:rsid w:val="006B1D2B"/>
    <w:rsid w:val="006C37D5"/>
    <w:rsid w:val="006E1131"/>
    <w:rsid w:val="006E2037"/>
    <w:rsid w:val="006E6199"/>
    <w:rsid w:val="006E7384"/>
    <w:rsid w:val="00712870"/>
    <w:rsid w:val="00714AC0"/>
    <w:rsid w:val="0074147D"/>
    <w:rsid w:val="00743D85"/>
    <w:rsid w:val="00744F8B"/>
    <w:rsid w:val="00747D6E"/>
    <w:rsid w:val="00753CF4"/>
    <w:rsid w:val="007565CC"/>
    <w:rsid w:val="007624B1"/>
    <w:rsid w:val="00763B9A"/>
    <w:rsid w:val="00794760"/>
    <w:rsid w:val="007A6AA8"/>
    <w:rsid w:val="007B1357"/>
    <w:rsid w:val="007B3343"/>
    <w:rsid w:val="007B7428"/>
    <w:rsid w:val="00815D98"/>
    <w:rsid w:val="008310C9"/>
    <w:rsid w:val="008335F0"/>
    <w:rsid w:val="00834306"/>
    <w:rsid w:val="00853CC5"/>
    <w:rsid w:val="00877E6E"/>
    <w:rsid w:val="008B083A"/>
    <w:rsid w:val="008C7848"/>
    <w:rsid w:val="00901C2E"/>
    <w:rsid w:val="00906589"/>
    <w:rsid w:val="00906AD6"/>
    <w:rsid w:val="00917AF2"/>
    <w:rsid w:val="0092418A"/>
    <w:rsid w:val="00930E85"/>
    <w:rsid w:val="00934ED7"/>
    <w:rsid w:val="00940D16"/>
    <w:rsid w:val="009543C3"/>
    <w:rsid w:val="00966E1B"/>
    <w:rsid w:val="00972F51"/>
    <w:rsid w:val="00984A02"/>
    <w:rsid w:val="00991D62"/>
    <w:rsid w:val="009947C0"/>
    <w:rsid w:val="009A4039"/>
    <w:rsid w:val="009A41F9"/>
    <w:rsid w:val="009D4BBD"/>
    <w:rsid w:val="009F2D2C"/>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05E"/>
    <w:rsid w:val="00AB0DC8"/>
    <w:rsid w:val="00AB405C"/>
    <w:rsid w:val="00AC015D"/>
    <w:rsid w:val="00AE698D"/>
    <w:rsid w:val="00AF0286"/>
    <w:rsid w:val="00AF5326"/>
    <w:rsid w:val="00B019A2"/>
    <w:rsid w:val="00B0286E"/>
    <w:rsid w:val="00B033C8"/>
    <w:rsid w:val="00B111CE"/>
    <w:rsid w:val="00B20E43"/>
    <w:rsid w:val="00B25ABB"/>
    <w:rsid w:val="00B33425"/>
    <w:rsid w:val="00B42334"/>
    <w:rsid w:val="00B44E24"/>
    <w:rsid w:val="00B54ECC"/>
    <w:rsid w:val="00B60AC0"/>
    <w:rsid w:val="00B714F3"/>
    <w:rsid w:val="00B75A52"/>
    <w:rsid w:val="00B874C6"/>
    <w:rsid w:val="00B87B6B"/>
    <w:rsid w:val="00B9169E"/>
    <w:rsid w:val="00B960A9"/>
    <w:rsid w:val="00B96572"/>
    <w:rsid w:val="00BB7886"/>
    <w:rsid w:val="00BC5D77"/>
    <w:rsid w:val="00BD4283"/>
    <w:rsid w:val="00BF487A"/>
    <w:rsid w:val="00BF5544"/>
    <w:rsid w:val="00C15F3E"/>
    <w:rsid w:val="00C46BD9"/>
    <w:rsid w:val="00C55258"/>
    <w:rsid w:val="00C70C3C"/>
    <w:rsid w:val="00C73560"/>
    <w:rsid w:val="00C84DB7"/>
    <w:rsid w:val="00C87A35"/>
    <w:rsid w:val="00C94436"/>
    <w:rsid w:val="00CB0F14"/>
    <w:rsid w:val="00CD659B"/>
    <w:rsid w:val="00CE0A43"/>
    <w:rsid w:val="00CF130D"/>
    <w:rsid w:val="00D00118"/>
    <w:rsid w:val="00D0483A"/>
    <w:rsid w:val="00D16749"/>
    <w:rsid w:val="00D5024B"/>
    <w:rsid w:val="00D61962"/>
    <w:rsid w:val="00D72623"/>
    <w:rsid w:val="00D83556"/>
    <w:rsid w:val="00D872D4"/>
    <w:rsid w:val="00DE11B1"/>
    <w:rsid w:val="00DE5556"/>
    <w:rsid w:val="00DF4176"/>
    <w:rsid w:val="00E0095C"/>
    <w:rsid w:val="00E17240"/>
    <w:rsid w:val="00E31B9F"/>
    <w:rsid w:val="00E74595"/>
    <w:rsid w:val="00E77485"/>
    <w:rsid w:val="00EB1CB6"/>
    <w:rsid w:val="00EB7C57"/>
    <w:rsid w:val="00ED2695"/>
    <w:rsid w:val="00ED3CA8"/>
    <w:rsid w:val="00EE04BA"/>
    <w:rsid w:val="00EE47C4"/>
    <w:rsid w:val="00EF2D52"/>
    <w:rsid w:val="00F111D6"/>
    <w:rsid w:val="00F30C9B"/>
    <w:rsid w:val="00F354B1"/>
    <w:rsid w:val="00F354D7"/>
    <w:rsid w:val="00F6343F"/>
    <w:rsid w:val="00F72776"/>
    <w:rsid w:val="00F77360"/>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086FB1F3"/>
  <w15:docId w15:val="{F82FF395-3BE3-4C3B-BE2C-1C91C30F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42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uiPriority w:val="9"/>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rsid w:val="00B960A9"/>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link w:val="NoteChar"/>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uiPriority w:val="99"/>
    <w:rsid w:val="00A936CB"/>
    <w:rPr>
      <w:position w:val="6"/>
      <w:sz w:val="18"/>
    </w:rPr>
  </w:style>
  <w:style w:type="paragraph" w:styleId="FootnoteText">
    <w:name w:val="footnote text"/>
    <w:basedOn w:val="Normal"/>
    <w:link w:val="FootnoteTextChar"/>
    <w:uiPriority w:val="99"/>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uiPriority w:val="9"/>
    <w:locked/>
    <w:rsid w:val="0053258F"/>
    <w:rPr>
      <w:b/>
      <w:sz w:val="24"/>
      <w:lang w:val="es-ES" w:eastAsia="en-US"/>
    </w:rPr>
  </w:style>
  <w:style w:type="character" w:customStyle="1" w:styleId="FootnoteTextChar">
    <w:name w:val="Footnote Text Char"/>
    <w:basedOn w:val="DefaultParagraphFont"/>
    <w:link w:val="FootnoteText"/>
    <w:uiPriority w:val="99"/>
    <w:locked/>
    <w:rsid w:val="0053258F"/>
    <w:rPr>
      <w:sz w:val="22"/>
      <w:lang w:val="es-ES" w:eastAsia="en-US"/>
    </w:rPr>
  </w:style>
  <w:style w:type="character" w:customStyle="1" w:styleId="HeadingbChar">
    <w:name w:val="Heading_b Char"/>
    <w:link w:val="Headingb"/>
    <w:locked/>
    <w:rsid w:val="0053258F"/>
    <w:rPr>
      <w:b/>
      <w:sz w:val="24"/>
      <w:lang w:val="es-ES" w:eastAsia="en-US"/>
    </w:rPr>
  </w:style>
  <w:style w:type="paragraph" w:customStyle="1" w:styleId="Reasons">
    <w:name w:val="Reasons"/>
    <w:basedOn w:val="Normal"/>
    <w:qFormat/>
    <w:rsid w:val="0053258F"/>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customStyle="1" w:styleId="CallChar">
    <w:name w:val="Call Char"/>
    <w:basedOn w:val="DefaultParagraphFont"/>
    <w:link w:val="Call"/>
    <w:locked/>
    <w:rsid w:val="0053258F"/>
    <w:rPr>
      <w:i/>
      <w:sz w:val="24"/>
      <w:lang w:val="es-ES" w:eastAsia="en-US"/>
    </w:rPr>
  </w:style>
  <w:style w:type="character" w:customStyle="1" w:styleId="TableNoChar">
    <w:name w:val="Table_No Char"/>
    <w:basedOn w:val="DefaultParagraphFont"/>
    <w:link w:val="TableNo"/>
    <w:locked/>
    <w:rsid w:val="0053258F"/>
    <w:rPr>
      <w:sz w:val="24"/>
      <w:lang w:val="es-ES" w:eastAsia="en-US"/>
    </w:rPr>
  </w:style>
  <w:style w:type="character" w:customStyle="1" w:styleId="TabletitleChar">
    <w:name w:val="Table_title Char"/>
    <w:basedOn w:val="DefaultParagraphFont"/>
    <w:link w:val="Tabletitle"/>
    <w:locked/>
    <w:rsid w:val="0053258F"/>
    <w:rPr>
      <w:b/>
      <w:sz w:val="24"/>
      <w:lang w:val="es-ES" w:eastAsia="en-US"/>
    </w:rPr>
  </w:style>
  <w:style w:type="character" w:customStyle="1" w:styleId="enumlev1Char">
    <w:name w:val="enumlev1 Char"/>
    <w:basedOn w:val="DefaultParagraphFont"/>
    <w:link w:val="enumlev1"/>
    <w:locked/>
    <w:rsid w:val="0053258F"/>
    <w:rPr>
      <w:sz w:val="24"/>
      <w:lang w:val="es-ES" w:eastAsia="en-US"/>
    </w:rPr>
  </w:style>
  <w:style w:type="character" w:customStyle="1" w:styleId="NormalaftertitleChar">
    <w:name w:val="Normal_after_title Char"/>
    <w:basedOn w:val="DefaultParagraphFont"/>
    <w:link w:val="Normalaftertitle"/>
    <w:locked/>
    <w:rsid w:val="0053258F"/>
    <w:rPr>
      <w:sz w:val="24"/>
      <w:lang w:val="es-ES" w:eastAsia="en-US"/>
    </w:rPr>
  </w:style>
  <w:style w:type="character" w:customStyle="1" w:styleId="AnnexNoTitleChar">
    <w:name w:val="Annex_NoTitle Char"/>
    <w:basedOn w:val="DefaultParagraphFont"/>
    <w:link w:val="AnnexNoTitle"/>
    <w:locked/>
    <w:rsid w:val="00B960A9"/>
    <w:rPr>
      <w:b/>
      <w:sz w:val="28"/>
      <w:lang w:val="es-ES" w:eastAsia="en-US"/>
    </w:rPr>
  </w:style>
  <w:style w:type="character" w:customStyle="1" w:styleId="FiguretitleChar">
    <w:name w:val="Figure_title Char"/>
    <w:basedOn w:val="TabletitleChar"/>
    <w:link w:val="Figuretitle"/>
    <w:locked/>
    <w:rsid w:val="0053258F"/>
    <w:rPr>
      <w:rFonts w:ascii="Times New Roman Bold" w:hAnsi="Times New Roman Bold"/>
      <w:b/>
      <w:sz w:val="18"/>
      <w:lang w:val="es-ES" w:eastAsia="en-US"/>
    </w:rPr>
  </w:style>
  <w:style w:type="character" w:customStyle="1" w:styleId="FigureNoChar">
    <w:name w:val="Figure_No Char"/>
    <w:basedOn w:val="DefaultParagraphFont"/>
    <w:link w:val="FigureNo"/>
    <w:locked/>
    <w:rsid w:val="0053258F"/>
    <w:rPr>
      <w:caps/>
      <w:sz w:val="18"/>
      <w:lang w:val="es-ES" w:eastAsia="en-US"/>
    </w:rPr>
  </w:style>
  <w:style w:type="character" w:customStyle="1" w:styleId="TabletextChar">
    <w:name w:val="Table_text Char"/>
    <w:basedOn w:val="DefaultParagraphFont"/>
    <w:link w:val="Tabletext"/>
    <w:locked/>
    <w:rsid w:val="0053258F"/>
    <w:rPr>
      <w:sz w:val="22"/>
      <w:lang w:val="es-ES" w:eastAsia="en-US"/>
    </w:rPr>
  </w:style>
  <w:style w:type="character" w:customStyle="1" w:styleId="NoteChar">
    <w:name w:val="Note Char"/>
    <w:link w:val="Note"/>
    <w:locked/>
    <w:rsid w:val="0053258F"/>
    <w:rPr>
      <w:sz w:val="22"/>
      <w:lang w:val="es-ES" w:eastAsia="en-US"/>
    </w:rPr>
  </w:style>
  <w:style w:type="character" w:customStyle="1" w:styleId="TableheadChar">
    <w:name w:val="Table_head Char"/>
    <w:link w:val="Tablehead"/>
    <w:locked/>
    <w:rsid w:val="0053258F"/>
    <w:rPr>
      <w:b/>
      <w:sz w:val="22"/>
      <w:lang w:val="es-ES" w:eastAsia="en-US"/>
    </w:rPr>
  </w:style>
  <w:style w:type="paragraph" w:styleId="Revision">
    <w:name w:val="Revision"/>
    <w:hidden/>
    <w:uiPriority w:val="99"/>
    <w:semiHidden/>
    <w:rsid w:val="0053258F"/>
    <w:rPr>
      <w:sz w:val="24"/>
      <w:lang w:val="es-ES" w:eastAsia="en-US"/>
    </w:rPr>
  </w:style>
  <w:style w:type="table" w:styleId="TableGridLight">
    <w:name w:val="Grid Table Light"/>
    <w:basedOn w:val="TableNormal"/>
    <w:uiPriority w:val="40"/>
    <w:rsid w:val="00C70C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Desktop\Mis%20plantillas\Recomendaciones\BR\RecS\2023-ITU-R_REC_BT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165BD-2785-46B5-8866-291F729C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2023-ITU-R_REC_BT_S.dotx</Template>
  <TotalTime>44</TotalTime>
  <Pages>7</Pages>
  <Words>1826</Words>
  <Characters>9848</Characters>
  <Application>Microsoft Office Word</Application>
  <DocSecurity>0</DocSecurity>
  <Lines>298</Lines>
  <Paragraphs>216</Paragraphs>
  <ScaleCrop>false</ScaleCrop>
  <HeadingPairs>
    <vt:vector size="2" baseType="variant">
      <vt:variant>
        <vt:lpstr>Title</vt:lpstr>
      </vt:variant>
      <vt:variant>
        <vt:i4>1</vt:i4>
      </vt:variant>
    </vt:vector>
  </HeadingPairs>
  <TitlesOfParts>
    <vt:vector size="1" baseType="lpstr">
      <vt:lpstr>RECOMENDACIÓN  UIT-R  BT.2123-1 - Valores de parámetros de vídeo de los sistemas audiovisuales inmersivos avanzados para la producción y el intercambio internacional  de programas en el ámbito de la radiodifusión</vt:lpstr>
    </vt:vector>
  </TitlesOfParts>
  <Manager/>
  <Company>ITU</Company>
  <LinksUpToDate>false</LinksUpToDate>
  <CharactersWithSpaces>11458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BT.2123-1 (02/2025) - Valores de parámetros de vídeo de los sistemas audiovisuales inmersivos avanzados para la producción y el intercambio internacional de programas en el ámbito de la radiodifusión</dc:title>
  <dc:subject>Serie BT = Servicio de radiodifusión (televisión)</dc:subject>
  <dc:creator>Oficina de Radiocomunicaciones del UIT (BR)</dc:creator>
  <cp:keywords>Coordinación de proyecciones, medios de comunicación inmersivos, parámetros de sistema, realidad virtual, vídeo de 360°</cp:keywords>
  <dc:description>Saez, 15/04/2025, ITU51017659</dc:description>
  <cp:lastModifiedBy>Saez Grau, Ricardo</cp:lastModifiedBy>
  <cp:revision>9</cp:revision>
  <cp:lastPrinted>2023-03-17T15:41:00Z</cp:lastPrinted>
  <dcterms:created xsi:type="dcterms:W3CDTF">2025-04-15T10:33:00Z</dcterms:created>
  <dcterms:modified xsi:type="dcterms:W3CDTF">2025-04-15T11:18:00Z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15 April 2025</vt:lpwstr>
  </property>
</Properties>
</file>