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EF2F5" w14:textId="77777777" w:rsidR="00EF5660" w:rsidRPr="006830D9" w:rsidRDefault="00EF5660" w:rsidP="00EF5660">
      <w:pPr>
        <w:rPr>
          <w:lang w:val="fr-FR"/>
        </w:rPr>
      </w:pPr>
    </w:p>
    <w:p w14:paraId="7CDB7CF1" w14:textId="77777777" w:rsidR="00EF5660" w:rsidRPr="006830D9" w:rsidRDefault="00EF5660" w:rsidP="00EF5660">
      <w:pPr>
        <w:tabs>
          <w:tab w:val="clear" w:pos="794"/>
          <w:tab w:val="clear" w:pos="1191"/>
          <w:tab w:val="clear" w:pos="1588"/>
          <w:tab w:val="clear" w:pos="1985"/>
        </w:tabs>
        <w:rPr>
          <w:lang w:val="fr-FR"/>
        </w:rPr>
      </w:pPr>
    </w:p>
    <w:p w14:paraId="0B551587" w14:textId="5C527EBD" w:rsidR="00EF5660" w:rsidRPr="006830D9" w:rsidRDefault="00EF5660" w:rsidP="00EF5660">
      <w:pPr>
        <w:pStyle w:val="CoverNumber"/>
        <w:rPr>
          <w:lang w:val="fr-FR"/>
        </w:rPr>
      </w:pPr>
      <w:r w:rsidRPr="006830D9">
        <w:rPr>
          <w:lang w:val="fr-FR"/>
        </w:rPr>
        <w:t>Recommandation UIT-R BT.</w:t>
      </w:r>
      <w:r w:rsidR="00F11690" w:rsidRPr="006830D9">
        <w:rPr>
          <w:lang w:val="fr-FR"/>
        </w:rPr>
        <w:t>2123-1</w:t>
      </w:r>
    </w:p>
    <w:p w14:paraId="5A2785C7" w14:textId="38B01321" w:rsidR="00EF5660" w:rsidRPr="006830D9" w:rsidRDefault="00EF5660" w:rsidP="00EF5660">
      <w:pPr>
        <w:pStyle w:val="CoverDate"/>
        <w:rPr>
          <w:lang w:val="fr-FR"/>
        </w:rPr>
      </w:pPr>
      <w:r w:rsidRPr="006830D9">
        <w:rPr>
          <w:lang w:val="fr-FR"/>
        </w:rPr>
        <w:t>(</w:t>
      </w:r>
      <w:r w:rsidR="00F11690" w:rsidRPr="006830D9">
        <w:rPr>
          <w:lang w:val="fr-FR"/>
        </w:rPr>
        <w:t>02</w:t>
      </w:r>
      <w:r w:rsidRPr="006830D9">
        <w:rPr>
          <w:lang w:val="fr-FR"/>
        </w:rPr>
        <w:t>/</w:t>
      </w:r>
      <w:r w:rsidR="00F11690" w:rsidRPr="006830D9">
        <w:rPr>
          <w:lang w:val="fr-FR"/>
        </w:rPr>
        <w:t>2025</w:t>
      </w:r>
      <w:r w:rsidRPr="006830D9">
        <w:rPr>
          <w:lang w:val="fr-FR"/>
        </w:rPr>
        <w:t>)</w:t>
      </w:r>
    </w:p>
    <w:p w14:paraId="394403CD" w14:textId="77777777" w:rsidR="00EF5660" w:rsidRPr="006830D9" w:rsidRDefault="00EF5660" w:rsidP="00EF5660">
      <w:pPr>
        <w:pStyle w:val="CoverSeries"/>
        <w:rPr>
          <w:lang w:val="fr-FR"/>
        </w:rPr>
      </w:pPr>
      <w:r w:rsidRPr="006830D9">
        <w:rPr>
          <w:lang w:val="fr-FR"/>
        </w:rPr>
        <w:t>Série BT: Service de radiodiffusion télévisuelle</w:t>
      </w:r>
    </w:p>
    <w:p w14:paraId="0152A784" w14:textId="2B14C9D3" w:rsidR="00EF5660" w:rsidRPr="006830D9" w:rsidRDefault="00F11690" w:rsidP="00EF5660">
      <w:pPr>
        <w:pStyle w:val="CoverTitle"/>
        <w:rPr>
          <w:lang w:val="fr-FR"/>
        </w:rPr>
      </w:pPr>
      <w:r w:rsidRPr="006830D9">
        <w:rPr>
          <w:lang w:val="fr-FR"/>
        </w:rPr>
        <w:t>Valeurs de paramètres vidéo des systèmes audiovisuels en immersion évolués pour la production et l'échange international de programmes de radiodiffusion</w:t>
      </w:r>
    </w:p>
    <w:p w14:paraId="5AF136D6" w14:textId="77777777" w:rsidR="00EF5660" w:rsidRPr="006830D9" w:rsidRDefault="00EF5660" w:rsidP="00EF5660">
      <w:pPr>
        <w:rPr>
          <w:lang w:val="fr-FR"/>
        </w:rPr>
      </w:pPr>
    </w:p>
    <w:p w14:paraId="72D19F4F" w14:textId="77777777" w:rsidR="00EF5660" w:rsidRPr="006830D9" w:rsidRDefault="00EF5660" w:rsidP="00EF5660">
      <w:pPr>
        <w:rPr>
          <w:lang w:val="fr-FR"/>
        </w:rPr>
      </w:pPr>
    </w:p>
    <w:p w14:paraId="6ED990C2" w14:textId="77777777" w:rsidR="00EF5660" w:rsidRPr="006830D9" w:rsidRDefault="00EF5660" w:rsidP="00EF5660">
      <w:pPr>
        <w:rPr>
          <w:lang w:val="fr-FR"/>
        </w:rPr>
        <w:sectPr w:rsidR="00EF5660" w:rsidRPr="006830D9" w:rsidSect="00EF5660">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2B935472" w14:textId="77777777" w:rsidR="00EF5660" w:rsidRPr="006830D9" w:rsidRDefault="00EF5660" w:rsidP="00EF566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FR"/>
        </w:rPr>
      </w:pPr>
      <w:bookmarkStart w:id="0" w:name="c2tope"/>
      <w:bookmarkEnd w:id="0"/>
      <w:r w:rsidRPr="006830D9">
        <w:rPr>
          <w:bCs/>
          <w:sz w:val="24"/>
          <w:szCs w:val="24"/>
          <w:lang w:val="fr-FR"/>
        </w:rPr>
        <w:lastRenderedPageBreak/>
        <w:t>Avant-propos</w:t>
      </w:r>
    </w:p>
    <w:p w14:paraId="4E1B5787" w14:textId="4B1CA570" w:rsidR="00EF5660" w:rsidRPr="006830D9" w:rsidRDefault="00EF5660" w:rsidP="00EF5660">
      <w:pPr>
        <w:spacing w:before="240"/>
        <w:rPr>
          <w:sz w:val="20"/>
          <w:lang w:val="fr-FR"/>
        </w:rPr>
      </w:pPr>
      <w:r w:rsidRPr="006830D9">
        <w:rPr>
          <w:sz w:val="20"/>
          <w:lang w:val="fr-FR"/>
        </w:rPr>
        <w:t>Le rôle du Secteur des radiocommunications est d</w:t>
      </w:r>
      <w:r w:rsidR="00F11690" w:rsidRPr="006830D9">
        <w:rPr>
          <w:sz w:val="20"/>
          <w:lang w:val="fr-FR"/>
        </w:rPr>
        <w:t>'</w:t>
      </w:r>
      <w:r w:rsidRPr="006830D9">
        <w:rPr>
          <w:sz w:val="20"/>
          <w:lang w:val="fr-FR"/>
        </w:rPr>
        <w:t>assurer l</w:t>
      </w:r>
      <w:r w:rsidR="00F11690" w:rsidRPr="006830D9">
        <w:rPr>
          <w:sz w:val="20"/>
          <w:lang w:val="fr-FR"/>
        </w:rPr>
        <w:t>'</w:t>
      </w:r>
      <w:r w:rsidRPr="006830D9">
        <w:rPr>
          <w:sz w:val="20"/>
          <w:lang w:val="fr-FR"/>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09F9C624" w14:textId="16702602" w:rsidR="00EF5660" w:rsidRPr="006830D9" w:rsidRDefault="00EF5660" w:rsidP="00EF5660">
      <w:pPr>
        <w:rPr>
          <w:sz w:val="20"/>
          <w:lang w:val="fr-FR"/>
        </w:rPr>
      </w:pPr>
      <w:r w:rsidRPr="006830D9">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w:t>
      </w:r>
      <w:r w:rsidR="00F11690" w:rsidRPr="006830D9">
        <w:rPr>
          <w:sz w:val="20"/>
          <w:lang w:val="fr-FR"/>
        </w:rPr>
        <w:t>'</w:t>
      </w:r>
      <w:r w:rsidRPr="006830D9">
        <w:rPr>
          <w:sz w:val="20"/>
          <w:lang w:val="fr-FR"/>
        </w:rPr>
        <w:t>études.</w:t>
      </w:r>
    </w:p>
    <w:p w14:paraId="4E32FC5D" w14:textId="77777777" w:rsidR="00EF5660" w:rsidRPr="006830D9" w:rsidRDefault="00EF5660" w:rsidP="00EF5660">
      <w:pPr>
        <w:pStyle w:val="Heading1"/>
        <w:spacing w:before="360"/>
        <w:jc w:val="center"/>
        <w:rPr>
          <w:szCs w:val="24"/>
          <w:lang w:val="fr-FR"/>
        </w:rPr>
      </w:pPr>
      <w:r w:rsidRPr="006830D9">
        <w:rPr>
          <w:szCs w:val="24"/>
          <w:lang w:val="fr-FR"/>
        </w:rPr>
        <w:t>Politique en matière de droits de propriété intellectuelle (IPR)</w:t>
      </w:r>
    </w:p>
    <w:p w14:paraId="150858D9" w14:textId="7B7EAF04" w:rsidR="00EF5660" w:rsidRPr="006830D9" w:rsidRDefault="00EF5660" w:rsidP="00EF5660">
      <w:pPr>
        <w:spacing w:before="240"/>
        <w:rPr>
          <w:sz w:val="20"/>
          <w:lang w:val="fr-FR"/>
        </w:rPr>
      </w:pPr>
      <w:r w:rsidRPr="006830D9">
        <w:rPr>
          <w:sz w:val="20"/>
          <w:lang w:val="fr-FR"/>
        </w:rPr>
        <w:t>La politique de l</w:t>
      </w:r>
      <w:r w:rsidR="00F11690" w:rsidRPr="006830D9">
        <w:rPr>
          <w:sz w:val="20"/>
          <w:lang w:val="fr-FR"/>
        </w:rPr>
        <w:t>'</w:t>
      </w:r>
      <w:r w:rsidRPr="006830D9">
        <w:rPr>
          <w:sz w:val="20"/>
          <w:lang w:val="fr-FR"/>
        </w:rPr>
        <w:t>UIT</w:t>
      </w:r>
      <w:r w:rsidRPr="006830D9">
        <w:rPr>
          <w:sz w:val="20"/>
          <w:lang w:val="fr-FR"/>
        </w:rPr>
        <w:noBreakHyphen/>
        <w:t>R en matière de droits de propriété intellectuelle est décrite dans la «Politique commune de l</w:t>
      </w:r>
      <w:r w:rsidR="00F11690" w:rsidRPr="006830D9">
        <w:rPr>
          <w:sz w:val="20"/>
          <w:lang w:val="fr-FR"/>
        </w:rPr>
        <w:t>'</w:t>
      </w:r>
      <w:r w:rsidRPr="006830D9">
        <w:rPr>
          <w:sz w:val="20"/>
          <w:lang w:val="fr-FR"/>
        </w:rPr>
        <w:t>UIT</w:t>
      </w:r>
      <w:r w:rsidRPr="006830D9">
        <w:rPr>
          <w:sz w:val="20"/>
          <w:lang w:val="fr-FR"/>
        </w:rPr>
        <w:noBreakHyphen/>
        <w:t>T, l</w:t>
      </w:r>
      <w:r w:rsidR="00F11690" w:rsidRPr="006830D9">
        <w:rPr>
          <w:sz w:val="20"/>
          <w:lang w:val="fr-FR"/>
        </w:rPr>
        <w:t>'</w:t>
      </w:r>
      <w:r w:rsidRPr="006830D9">
        <w:rPr>
          <w:sz w:val="20"/>
          <w:lang w:val="fr-FR"/>
        </w:rPr>
        <w:t>UIT</w:t>
      </w:r>
      <w:r w:rsidRPr="006830D9">
        <w:rPr>
          <w:sz w:val="20"/>
          <w:lang w:val="fr-FR"/>
        </w:rPr>
        <w:noBreakHyphen/>
        <w:t>R, l</w:t>
      </w:r>
      <w:r w:rsidR="00F11690" w:rsidRPr="006830D9">
        <w:rPr>
          <w:sz w:val="20"/>
          <w:lang w:val="fr-FR"/>
        </w:rPr>
        <w:t>'</w:t>
      </w:r>
      <w:r w:rsidRPr="006830D9">
        <w:rPr>
          <w:sz w:val="20"/>
          <w:lang w:val="fr-FR"/>
        </w:rPr>
        <w:t>ISO et la CEI en matière de brevets», dont il est question dans la Résolution UIT-R 1. Les formulaires que les titulaires de brevets doivent utiliser pour soumettre les déclarations de brevet et d</w:t>
      </w:r>
      <w:r w:rsidR="00F11690" w:rsidRPr="006830D9">
        <w:rPr>
          <w:sz w:val="20"/>
          <w:lang w:val="fr-FR"/>
        </w:rPr>
        <w:t>'</w:t>
      </w:r>
      <w:r w:rsidRPr="006830D9">
        <w:rPr>
          <w:sz w:val="20"/>
          <w:lang w:val="fr-FR"/>
        </w:rPr>
        <w:t>octroi de licence sont accessibles à l</w:t>
      </w:r>
      <w:r w:rsidR="00F11690" w:rsidRPr="006830D9">
        <w:rPr>
          <w:sz w:val="20"/>
          <w:lang w:val="fr-FR"/>
        </w:rPr>
        <w:t>'</w:t>
      </w:r>
      <w:r w:rsidRPr="006830D9">
        <w:rPr>
          <w:sz w:val="20"/>
          <w:lang w:val="fr-FR"/>
        </w:rPr>
        <w:t xml:space="preserve">adresse </w:t>
      </w:r>
      <w:hyperlink r:id="rId10" w:history="1">
        <w:r w:rsidR="00412F68" w:rsidRPr="006830D9">
          <w:rPr>
            <w:rStyle w:val="Hyperlink"/>
            <w:sz w:val="20"/>
            <w:lang w:val="fr-FR"/>
          </w:rPr>
          <w:t>https://www.itu.int/ITU-R/go/patents/fr</w:t>
        </w:r>
      </w:hyperlink>
      <w:r w:rsidRPr="006830D9">
        <w:rPr>
          <w:sz w:val="20"/>
          <w:lang w:val="fr-FR"/>
        </w:rPr>
        <w:t>, où l</w:t>
      </w:r>
      <w:r w:rsidR="00F11690" w:rsidRPr="006830D9">
        <w:rPr>
          <w:sz w:val="20"/>
          <w:lang w:val="fr-FR"/>
        </w:rPr>
        <w:t>'</w:t>
      </w:r>
      <w:r w:rsidRPr="006830D9">
        <w:rPr>
          <w:sz w:val="20"/>
          <w:lang w:val="fr-FR"/>
        </w:rPr>
        <w:t xml:space="preserve">on trouvera également les Lignes directrices pour la mise en </w:t>
      </w:r>
      <w:r w:rsidR="005154D0" w:rsidRPr="006830D9">
        <w:rPr>
          <w:sz w:val="20"/>
          <w:lang w:val="fr-FR"/>
        </w:rPr>
        <w:t>œuvre</w:t>
      </w:r>
      <w:r w:rsidRPr="006830D9">
        <w:rPr>
          <w:sz w:val="20"/>
          <w:lang w:val="fr-FR"/>
        </w:rPr>
        <w:t xml:space="preserve"> de la politique commune en matière de brevets de l</w:t>
      </w:r>
      <w:r w:rsidR="00F11690" w:rsidRPr="006830D9">
        <w:rPr>
          <w:sz w:val="20"/>
          <w:lang w:val="fr-FR"/>
        </w:rPr>
        <w:t>'</w:t>
      </w:r>
      <w:r w:rsidRPr="006830D9">
        <w:rPr>
          <w:sz w:val="20"/>
          <w:lang w:val="fr-FR"/>
        </w:rPr>
        <w:t>UIT</w:t>
      </w:r>
      <w:r w:rsidRPr="006830D9">
        <w:rPr>
          <w:sz w:val="20"/>
          <w:lang w:val="fr-FR"/>
        </w:rPr>
        <w:noBreakHyphen/>
        <w:t>T, l</w:t>
      </w:r>
      <w:r w:rsidR="00F11690" w:rsidRPr="006830D9">
        <w:rPr>
          <w:sz w:val="20"/>
          <w:lang w:val="fr-FR"/>
        </w:rPr>
        <w:t>'</w:t>
      </w:r>
      <w:r w:rsidRPr="006830D9">
        <w:rPr>
          <w:sz w:val="20"/>
          <w:lang w:val="fr-FR"/>
        </w:rPr>
        <w:t>UIT</w:t>
      </w:r>
      <w:r w:rsidRPr="006830D9">
        <w:rPr>
          <w:sz w:val="20"/>
          <w:lang w:val="fr-FR"/>
        </w:rPr>
        <w:noBreakHyphen/>
        <w:t>R, l</w:t>
      </w:r>
      <w:r w:rsidR="00F11690" w:rsidRPr="006830D9">
        <w:rPr>
          <w:sz w:val="20"/>
          <w:lang w:val="fr-FR"/>
        </w:rPr>
        <w:t>'</w:t>
      </w:r>
      <w:r w:rsidRPr="006830D9">
        <w:rPr>
          <w:sz w:val="20"/>
          <w:lang w:val="fr-FR"/>
        </w:rPr>
        <w:t>ISO et la CEI</w:t>
      </w:r>
      <w:r w:rsidRPr="006830D9" w:rsidDel="0061025C">
        <w:rPr>
          <w:sz w:val="20"/>
          <w:lang w:val="fr-FR"/>
        </w:rPr>
        <w:t xml:space="preserve"> </w:t>
      </w:r>
      <w:r w:rsidRPr="006830D9">
        <w:rPr>
          <w:sz w:val="20"/>
          <w:lang w:val="fr-FR"/>
        </w:rPr>
        <w:t>et la base de données en matière de brevets de l</w:t>
      </w:r>
      <w:r w:rsidR="00F11690" w:rsidRPr="006830D9">
        <w:rPr>
          <w:sz w:val="20"/>
          <w:lang w:val="fr-FR"/>
        </w:rPr>
        <w:t>'</w:t>
      </w:r>
      <w:r w:rsidRPr="006830D9">
        <w:rPr>
          <w:sz w:val="20"/>
          <w:lang w:val="fr-FR"/>
        </w:rPr>
        <w:t>UIT-R.</w:t>
      </w:r>
    </w:p>
    <w:p w14:paraId="7C45473C" w14:textId="77777777" w:rsidR="00EF5660" w:rsidRPr="006830D9" w:rsidRDefault="00EF5660" w:rsidP="00EF5660">
      <w:pPr>
        <w:spacing w:before="24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EF5660" w:rsidRPr="006830D9" w14:paraId="4799C331" w14:textId="77777777" w:rsidTr="009F2B2B">
        <w:tc>
          <w:tcPr>
            <w:tcW w:w="9360" w:type="dxa"/>
            <w:gridSpan w:val="2"/>
          </w:tcPr>
          <w:p w14:paraId="08CAB0CD" w14:textId="77777777" w:rsidR="00EF5660" w:rsidRPr="006830D9" w:rsidRDefault="00EF5660" w:rsidP="009F2B2B">
            <w:pPr>
              <w:pStyle w:val="Chaptitle"/>
              <w:keepLines w:val="0"/>
              <w:tabs>
                <w:tab w:val="clear" w:pos="794"/>
                <w:tab w:val="clear" w:pos="1191"/>
                <w:tab w:val="clear" w:pos="1588"/>
                <w:tab w:val="clear" w:pos="1985"/>
              </w:tabs>
              <w:overflowPunct/>
              <w:spacing w:before="140"/>
              <w:textAlignment w:val="auto"/>
              <w:rPr>
                <w:sz w:val="22"/>
                <w:szCs w:val="22"/>
                <w:lang w:val="fr-FR"/>
              </w:rPr>
            </w:pPr>
            <w:r w:rsidRPr="006830D9">
              <w:rPr>
                <w:sz w:val="22"/>
                <w:szCs w:val="22"/>
                <w:lang w:val="fr-FR"/>
              </w:rPr>
              <w:t xml:space="preserve">Séries des Recommandations UIT-R </w:t>
            </w:r>
          </w:p>
          <w:p w14:paraId="62ED6071" w14:textId="3715F3C4"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r w:rsidRPr="006830D9">
              <w:rPr>
                <w:b w:val="0"/>
                <w:sz w:val="18"/>
                <w:szCs w:val="18"/>
                <w:lang w:val="fr-FR"/>
              </w:rPr>
              <w:t>(</w:t>
            </w:r>
            <w:r w:rsidR="005154D0" w:rsidRPr="006830D9">
              <w:rPr>
                <w:b w:val="0"/>
                <w:sz w:val="18"/>
                <w:szCs w:val="18"/>
                <w:lang w:val="fr-FR"/>
              </w:rPr>
              <w:t>Également</w:t>
            </w:r>
            <w:r w:rsidRPr="006830D9">
              <w:rPr>
                <w:b w:val="0"/>
                <w:sz w:val="18"/>
                <w:szCs w:val="18"/>
                <w:lang w:val="fr-FR"/>
              </w:rPr>
              <w:t xml:space="preserve"> disponible en ligne: </w:t>
            </w:r>
            <w:hyperlink r:id="rId11" w:history="1">
              <w:r w:rsidRPr="006830D9">
                <w:rPr>
                  <w:rStyle w:val="Hyperlink"/>
                  <w:b w:val="0"/>
                  <w:bCs/>
                  <w:sz w:val="18"/>
                  <w:szCs w:val="18"/>
                  <w:lang w:val="fr-FR"/>
                </w:rPr>
                <w:t>https://www.itu.int/publ/R-REC/fr</w:t>
              </w:r>
            </w:hyperlink>
            <w:r w:rsidRPr="006830D9">
              <w:rPr>
                <w:b w:val="0"/>
                <w:bCs/>
                <w:sz w:val="18"/>
                <w:szCs w:val="18"/>
                <w:lang w:val="fr-FR"/>
              </w:rPr>
              <w:t>)</w:t>
            </w:r>
          </w:p>
        </w:tc>
      </w:tr>
      <w:tr w:rsidR="00EF5660" w:rsidRPr="006830D9" w14:paraId="31AD9F3A" w14:textId="77777777" w:rsidTr="009F2B2B">
        <w:tc>
          <w:tcPr>
            <w:tcW w:w="1140" w:type="dxa"/>
            <w:tcBorders>
              <w:bottom w:val="nil"/>
            </w:tcBorders>
          </w:tcPr>
          <w:p w14:paraId="70E1F71B" w14:textId="77777777" w:rsidR="00EF5660" w:rsidRPr="006830D9" w:rsidRDefault="00EF5660" w:rsidP="009F2B2B">
            <w:pPr>
              <w:spacing w:before="90" w:after="100"/>
              <w:ind w:left="57"/>
              <w:rPr>
                <w:b/>
                <w:bCs/>
                <w:sz w:val="20"/>
                <w:lang w:val="fr-FR"/>
              </w:rPr>
            </w:pPr>
            <w:r w:rsidRPr="006830D9">
              <w:rPr>
                <w:b/>
                <w:bCs/>
                <w:sz w:val="20"/>
                <w:lang w:val="fr-FR"/>
              </w:rPr>
              <w:t>Séries</w:t>
            </w:r>
          </w:p>
        </w:tc>
        <w:tc>
          <w:tcPr>
            <w:tcW w:w="8220" w:type="dxa"/>
            <w:tcBorders>
              <w:bottom w:val="nil"/>
            </w:tcBorders>
          </w:tcPr>
          <w:p w14:paraId="27D1AB84" w14:textId="77777777"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fr-FR"/>
              </w:rPr>
            </w:pPr>
            <w:r w:rsidRPr="006830D9">
              <w:rPr>
                <w:bCs/>
                <w:sz w:val="20"/>
                <w:lang w:val="fr-FR"/>
              </w:rPr>
              <w:t>Titre</w:t>
            </w:r>
          </w:p>
        </w:tc>
      </w:tr>
      <w:tr w:rsidR="00EF5660" w:rsidRPr="006830D9" w14:paraId="32F53CCD" w14:textId="77777777" w:rsidTr="009F2B2B">
        <w:tc>
          <w:tcPr>
            <w:tcW w:w="1140" w:type="dxa"/>
            <w:tcBorders>
              <w:top w:val="nil"/>
              <w:bottom w:val="nil"/>
            </w:tcBorders>
            <w:shd w:val="clear" w:color="auto" w:fill="auto"/>
          </w:tcPr>
          <w:p w14:paraId="6CC2375A" w14:textId="77777777" w:rsidR="00EF5660" w:rsidRPr="006830D9" w:rsidRDefault="00EF5660" w:rsidP="009F2B2B">
            <w:pPr>
              <w:spacing w:before="30" w:after="30"/>
              <w:ind w:left="57"/>
              <w:jc w:val="left"/>
              <w:rPr>
                <w:rFonts w:ascii="Times New Roman Bold" w:hAnsi="Times New Roman Bold"/>
                <w:b/>
                <w:bCs/>
                <w:sz w:val="20"/>
                <w:lang w:val="fr-FR"/>
              </w:rPr>
            </w:pPr>
            <w:r w:rsidRPr="006830D9">
              <w:rPr>
                <w:rFonts w:ascii="Times New Roman Bold" w:hAnsi="Times New Roman Bold"/>
                <w:b/>
                <w:bCs/>
                <w:sz w:val="20"/>
                <w:lang w:val="fr-FR"/>
              </w:rPr>
              <w:t>BO</w:t>
            </w:r>
          </w:p>
        </w:tc>
        <w:tc>
          <w:tcPr>
            <w:tcW w:w="8220" w:type="dxa"/>
            <w:tcBorders>
              <w:top w:val="nil"/>
              <w:bottom w:val="nil"/>
            </w:tcBorders>
            <w:shd w:val="clear" w:color="auto" w:fill="auto"/>
          </w:tcPr>
          <w:p w14:paraId="71D27C3E" w14:textId="77777777"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830D9">
              <w:rPr>
                <w:b w:val="0"/>
                <w:sz w:val="20"/>
                <w:lang w:val="fr-FR"/>
              </w:rPr>
              <w:t>Diffusion par satellite</w:t>
            </w:r>
          </w:p>
        </w:tc>
      </w:tr>
      <w:tr w:rsidR="00EF5660" w:rsidRPr="006830D9" w14:paraId="2D2940F8" w14:textId="77777777" w:rsidTr="009F2B2B">
        <w:tc>
          <w:tcPr>
            <w:tcW w:w="1140" w:type="dxa"/>
            <w:tcBorders>
              <w:top w:val="nil"/>
              <w:bottom w:val="nil"/>
            </w:tcBorders>
          </w:tcPr>
          <w:p w14:paraId="052A5C11" w14:textId="77777777" w:rsidR="00EF5660" w:rsidRPr="006830D9" w:rsidRDefault="00EF5660" w:rsidP="009F2B2B">
            <w:pPr>
              <w:spacing w:before="30" w:after="30"/>
              <w:ind w:left="57"/>
              <w:jc w:val="left"/>
              <w:rPr>
                <w:rFonts w:ascii="Times New Roman Bold" w:hAnsi="Times New Roman Bold"/>
                <w:b/>
                <w:bCs/>
                <w:sz w:val="20"/>
                <w:lang w:val="fr-FR"/>
              </w:rPr>
            </w:pPr>
            <w:r w:rsidRPr="006830D9">
              <w:rPr>
                <w:rFonts w:ascii="Times New Roman Bold" w:hAnsi="Times New Roman Bold"/>
                <w:b/>
                <w:bCs/>
                <w:sz w:val="20"/>
                <w:lang w:val="fr-FR"/>
              </w:rPr>
              <w:t>BR</w:t>
            </w:r>
          </w:p>
        </w:tc>
        <w:tc>
          <w:tcPr>
            <w:tcW w:w="8220" w:type="dxa"/>
            <w:tcBorders>
              <w:top w:val="nil"/>
              <w:bottom w:val="nil"/>
            </w:tcBorders>
          </w:tcPr>
          <w:p w14:paraId="451AB89D" w14:textId="3D6F81CE"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830D9">
              <w:rPr>
                <w:b w:val="0"/>
                <w:sz w:val="20"/>
                <w:lang w:val="fr-FR"/>
              </w:rPr>
              <w:t>Enregistrement pour la production, l</w:t>
            </w:r>
            <w:r w:rsidR="00F11690" w:rsidRPr="006830D9">
              <w:rPr>
                <w:b w:val="0"/>
                <w:sz w:val="20"/>
                <w:lang w:val="fr-FR"/>
              </w:rPr>
              <w:t>'</w:t>
            </w:r>
            <w:r w:rsidRPr="006830D9">
              <w:rPr>
                <w:b w:val="0"/>
                <w:sz w:val="20"/>
                <w:lang w:val="fr-FR"/>
              </w:rPr>
              <w:t>archivage et la diffusion; films pour la télévision</w:t>
            </w:r>
          </w:p>
        </w:tc>
      </w:tr>
      <w:tr w:rsidR="00EF5660" w:rsidRPr="006830D9" w14:paraId="313C2DE0" w14:textId="77777777" w:rsidTr="009F2B2B">
        <w:tc>
          <w:tcPr>
            <w:tcW w:w="1140" w:type="dxa"/>
            <w:tcBorders>
              <w:top w:val="nil"/>
              <w:bottom w:val="nil"/>
            </w:tcBorders>
            <w:shd w:val="clear" w:color="auto" w:fill="auto"/>
          </w:tcPr>
          <w:p w14:paraId="22AE2D15" w14:textId="77777777" w:rsidR="00EF5660" w:rsidRPr="006830D9" w:rsidRDefault="00EF5660" w:rsidP="009F2B2B">
            <w:pPr>
              <w:spacing w:before="30" w:after="30"/>
              <w:ind w:left="57"/>
              <w:jc w:val="left"/>
              <w:rPr>
                <w:b/>
                <w:bCs/>
                <w:sz w:val="20"/>
                <w:lang w:val="fr-FR"/>
              </w:rPr>
            </w:pPr>
            <w:r w:rsidRPr="006830D9">
              <w:rPr>
                <w:b/>
                <w:bCs/>
                <w:sz w:val="20"/>
                <w:lang w:val="fr-FR"/>
              </w:rPr>
              <w:t>BS</w:t>
            </w:r>
          </w:p>
        </w:tc>
        <w:tc>
          <w:tcPr>
            <w:tcW w:w="8220" w:type="dxa"/>
            <w:tcBorders>
              <w:top w:val="nil"/>
              <w:bottom w:val="nil"/>
            </w:tcBorders>
            <w:shd w:val="clear" w:color="auto" w:fill="auto"/>
          </w:tcPr>
          <w:p w14:paraId="0F0440F2" w14:textId="77777777"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830D9">
              <w:rPr>
                <w:b w:val="0"/>
                <w:sz w:val="20"/>
                <w:lang w:val="fr-FR"/>
              </w:rPr>
              <w:t>Service de radiodiffusion sonore</w:t>
            </w:r>
          </w:p>
        </w:tc>
      </w:tr>
      <w:tr w:rsidR="00EF5660" w:rsidRPr="006830D9" w14:paraId="0C30A6F5" w14:textId="77777777" w:rsidTr="009F2B2B">
        <w:tc>
          <w:tcPr>
            <w:tcW w:w="1140" w:type="dxa"/>
            <w:tcBorders>
              <w:top w:val="nil"/>
              <w:bottom w:val="nil"/>
            </w:tcBorders>
            <w:shd w:val="clear" w:color="auto" w:fill="F3F3F3"/>
          </w:tcPr>
          <w:p w14:paraId="6CB8B96C" w14:textId="77777777" w:rsidR="00EF5660" w:rsidRPr="006830D9" w:rsidRDefault="00EF5660" w:rsidP="009F2B2B">
            <w:pPr>
              <w:spacing w:before="30" w:after="30"/>
              <w:ind w:left="57"/>
              <w:jc w:val="left"/>
              <w:rPr>
                <w:b/>
                <w:bCs/>
                <w:color w:val="000080"/>
                <w:sz w:val="20"/>
                <w:lang w:val="fr-FR"/>
              </w:rPr>
            </w:pPr>
            <w:r w:rsidRPr="006830D9">
              <w:rPr>
                <w:b/>
                <w:bCs/>
                <w:color w:val="000080"/>
                <w:sz w:val="20"/>
                <w:lang w:val="fr-FR"/>
              </w:rPr>
              <w:t>BT</w:t>
            </w:r>
          </w:p>
        </w:tc>
        <w:tc>
          <w:tcPr>
            <w:tcW w:w="8220" w:type="dxa"/>
            <w:tcBorders>
              <w:top w:val="nil"/>
              <w:bottom w:val="nil"/>
            </w:tcBorders>
            <w:shd w:val="clear" w:color="auto" w:fill="F3F3F3"/>
          </w:tcPr>
          <w:p w14:paraId="05AE5647" w14:textId="77777777"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fr-FR"/>
              </w:rPr>
            </w:pPr>
            <w:r w:rsidRPr="006830D9">
              <w:rPr>
                <w:bCs/>
                <w:color w:val="000080"/>
                <w:sz w:val="20"/>
                <w:lang w:val="fr-FR"/>
              </w:rPr>
              <w:t>Service de radiodiffusion télévisuelle</w:t>
            </w:r>
          </w:p>
        </w:tc>
      </w:tr>
      <w:tr w:rsidR="00EF5660" w:rsidRPr="006830D9" w14:paraId="55F6FDCD" w14:textId="77777777" w:rsidTr="009F2B2B">
        <w:tc>
          <w:tcPr>
            <w:tcW w:w="1140" w:type="dxa"/>
            <w:tcBorders>
              <w:top w:val="nil"/>
              <w:bottom w:val="nil"/>
            </w:tcBorders>
            <w:shd w:val="clear" w:color="auto" w:fill="auto"/>
          </w:tcPr>
          <w:p w14:paraId="4181AB38" w14:textId="77777777" w:rsidR="00EF5660" w:rsidRPr="006830D9" w:rsidRDefault="00EF5660" w:rsidP="009F2B2B">
            <w:pPr>
              <w:spacing w:before="30" w:after="30"/>
              <w:ind w:left="57"/>
              <w:jc w:val="left"/>
              <w:rPr>
                <w:b/>
                <w:bCs/>
                <w:sz w:val="20"/>
                <w:lang w:val="fr-FR"/>
              </w:rPr>
            </w:pPr>
            <w:r w:rsidRPr="006830D9">
              <w:rPr>
                <w:b/>
                <w:bCs/>
                <w:sz w:val="20"/>
                <w:lang w:val="fr-FR"/>
              </w:rPr>
              <w:t>F</w:t>
            </w:r>
          </w:p>
        </w:tc>
        <w:tc>
          <w:tcPr>
            <w:tcW w:w="8220" w:type="dxa"/>
            <w:tcBorders>
              <w:top w:val="nil"/>
              <w:bottom w:val="nil"/>
            </w:tcBorders>
            <w:shd w:val="clear" w:color="auto" w:fill="auto"/>
          </w:tcPr>
          <w:p w14:paraId="26924F3F" w14:textId="77777777"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830D9">
              <w:rPr>
                <w:b w:val="0"/>
                <w:sz w:val="20"/>
                <w:lang w:val="fr-FR"/>
              </w:rPr>
              <w:t>Service fixe</w:t>
            </w:r>
          </w:p>
        </w:tc>
      </w:tr>
      <w:tr w:rsidR="00EF5660" w:rsidRPr="006830D9" w14:paraId="55D3D096" w14:textId="77777777" w:rsidTr="009F2B2B">
        <w:tc>
          <w:tcPr>
            <w:tcW w:w="1140" w:type="dxa"/>
            <w:tcBorders>
              <w:top w:val="nil"/>
              <w:bottom w:val="nil"/>
            </w:tcBorders>
            <w:shd w:val="clear" w:color="auto" w:fill="auto"/>
          </w:tcPr>
          <w:p w14:paraId="7F737A1C" w14:textId="77777777" w:rsidR="00EF5660" w:rsidRPr="006830D9" w:rsidRDefault="00EF5660" w:rsidP="009F2B2B">
            <w:pPr>
              <w:spacing w:before="30" w:after="30"/>
              <w:ind w:left="57"/>
              <w:jc w:val="left"/>
              <w:rPr>
                <w:b/>
                <w:bCs/>
                <w:sz w:val="20"/>
                <w:lang w:val="fr-FR"/>
              </w:rPr>
            </w:pPr>
            <w:r w:rsidRPr="006830D9">
              <w:rPr>
                <w:b/>
                <w:bCs/>
                <w:sz w:val="20"/>
                <w:lang w:val="fr-FR"/>
              </w:rPr>
              <w:t>M</w:t>
            </w:r>
          </w:p>
        </w:tc>
        <w:tc>
          <w:tcPr>
            <w:tcW w:w="8220" w:type="dxa"/>
            <w:tcBorders>
              <w:top w:val="nil"/>
              <w:bottom w:val="nil"/>
            </w:tcBorders>
            <w:shd w:val="clear" w:color="auto" w:fill="auto"/>
          </w:tcPr>
          <w:p w14:paraId="0C207FCF" w14:textId="446FA78A"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830D9">
              <w:rPr>
                <w:b w:val="0"/>
                <w:sz w:val="20"/>
                <w:lang w:val="fr-FR"/>
              </w:rPr>
              <w:t>Services mobile, de radiorepérage et d</w:t>
            </w:r>
            <w:r w:rsidR="00F11690" w:rsidRPr="006830D9">
              <w:rPr>
                <w:b w:val="0"/>
                <w:sz w:val="20"/>
                <w:lang w:val="fr-FR"/>
              </w:rPr>
              <w:t>'</w:t>
            </w:r>
            <w:r w:rsidRPr="006830D9">
              <w:rPr>
                <w:b w:val="0"/>
                <w:sz w:val="20"/>
                <w:lang w:val="fr-FR"/>
              </w:rPr>
              <w:t>amateur y compris les services par satellite associés</w:t>
            </w:r>
          </w:p>
        </w:tc>
      </w:tr>
      <w:tr w:rsidR="00EF5660" w:rsidRPr="006830D9" w14:paraId="4A684FF8" w14:textId="77777777" w:rsidTr="009F2B2B">
        <w:tc>
          <w:tcPr>
            <w:tcW w:w="1140" w:type="dxa"/>
            <w:tcBorders>
              <w:top w:val="nil"/>
              <w:bottom w:val="nil"/>
            </w:tcBorders>
            <w:shd w:val="clear" w:color="auto" w:fill="auto"/>
          </w:tcPr>
          <w:p w14:paraId="39F5E0A9" w14:textId="77777777" w:rsidR="00EF5660" w:rsidRPr="006830D9" w:rsidRDefault="00EF5660" w:rsidP="009F2B2B">
            <w:pPr>
              <w:spacing w:before="30" w:after="30"/>
              <w:ind w:left="57"/>
              <w:jc w:val="left"/>
              <w:rPr>
                <w:b/>
                <w:bCs/>
                <w:sz w:val="20"/>
                <w:lang w:val="fr-FR"/>
              </w:rPr>
            </w:pPr>
            <w:r w:rsidRPr="006830D9">
              <w:rPr>
                <w:b/>
                <w:bCs/>
                <w:sz w:val="20"/>
                <w:lang w:val="fr-FR"/>
              </w:rPr>
              <w:t>P</w:t>
            </w:r>
          </w:p>
        </w:tc>
        <w:tc>
          <w:tcPr>
            <w:tcW w:w="8220" w:type="dxa"/>
            <w:tcBorders>
              <w:top w:val="nil"/>
              <w:bottom w:val="nil"/>
            </w:tcBorders>
            <w:shd w:val="clear" w:color="auto" w:fill="auto"/>
          </w:tcPr>
          <w:p w14:paraId="28B888E4" w14:textId="77777777"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830D9">
              <w:rPr>
                <w:b w:val="0"/>
                <w:sz w:val="20"/>
                <w:lang w:val="fr-FR"/>
              </w:rPr>
              <w:t>Propagation des ondes radioélectriques</w:t>
            </w:r>
          </w:p>
        </w:tc>
      </w:tr>
      <w:tr w:rsidR="00EF5660" w:rsidRPr="006830D9" w14:paraId="04E1F549" w14:textId="77777777" w:rsidTr="009F2B2B">
        <w:tc>
          <w:tcPr>
            <w:tcW w:w="1140" w:type="dxa"/>
            <w:tcBorders>
              <w:top w:val="nil"/>
              <w:bottom w:val="nil"/>
            </w:tcBorders>
            <w:shd w:val="clear" w:color="auto" w:fill="auto"/>
          </w:tcPr>
          <w:p w14:paraId="1ED0BF54" w14:textId="77777777" w:rsidR="00EF5660" w:rsidRPr="006830D9" w:rsidRDefault="00EF5660" w:rsidP="009F2B2B">
            <w:pPr>
              <w:spacing w:before="30" w:after="30"/>
              <w:ind w:left="57"/>
              <w:jc w:val="left"/>
              <w:rPr>
                <w:b/>
                <w:bCs/>
                <w:sz w:val="20"/>
                <w:lang w:val="fr-FR"/>
              </w:rPr>
            </w:pPr>
            <w:r w:rsidRPr="006830D9">
              <w:rPr>
                <w:b/>
                <w:bCs/>
                <w:sz w:val="20"/>
                <w:lang w:val="fr-FR"/>
              </w:rPr>
              <w:t>RA</w:t>
            </w:r>
          </w:p>
        </w:tc>
        <w:tc>
          <w:tcPr>
            <w:tcW w:w="8220" w:type="dxa"/>
            <w:tcBorders>
              <w:top w:val="nil"/>
              <w:bottom w:val="nil"/>
            </w:tcBorders>
            <w:shd w:val="clear" w:color="auto" w:fill="auto"/>
          </w:tcPr>
          <w:p w14:paraId="4948B203" w14:textId="77777777"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830D9">
              <w:rPr>
                <w:b w:val="0"/>
                <w:sz w:val="20"/>
                <w:lang w:val="fr-FR"/>
              </w:rPr>
              <w:t>Radio astronomie</w:t>
            </w:r>
          </w:p>
        </w:tc>
      </w:tr>
      <w:tr w:rsidR="00EF5660" w:rsidRPr="006830D9" w14:paraId="5D1C19DC" w14:textId="77777777" w:rsidTr="009F2B2B">
        <w:tc>
          <w:tcPr>
            <w:tcW w:w="1140" w:type="dxa"/>
            <w:tcBorders>
              <w:top w:val="nil"/>
              <w:bottom w:val="nil"/>
            </w:tcBorders>
            <w:shd w:val="clear" w:color="auto" w:fill="auto"/>
          </w:tcPr>
          <w:p w14:paraId="6B8B9CFA" w14:textId="77777777" w:rsidR="00EF5660" w:rsidRPr="006830D9" w:rsidRDefault="00EF5660" w:rsidP="009F2B2B">
            <w:pPr>
              <w:spacing w:before="30" w:after="30"/>
              <w:ind w:left="57"/>
              <w:jc w:val="left"/>
              <w:rPr>
                <w:b/>
                <w:bCs/>
                <w:sz w:val="20"/>
                <w:lang w:val="fr-FR"/>
              </w:rPr>
            </w:pPr>
            <w:r w:rsidRPr="006830D9">
              <w:rPr>
                <w:b/>
                <w:bCs/>
                <w:sz w:val="20"/>
                <w:lang w:val="fr-FR"/>
              </w:rPr>
              <w:t>RS</w:t>
            </w:r>
          </w:p>
        </w:tc>
        <w:tc>
          <w:tcPr>
            <w:tcW w:w="8220" w:type="dxa"/>
            <w:tcBorders>
              <w:top w:val="nil"/>
              <w:bottom w:val="nil"/>
            </w:tcBorders>
            <w:shd w:val="clear" w:color="auto" w:fill="auto"/>
          </w:tcPr>
          <w:p w14:paraId="66120A25" w14:textId="77777777"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830D9">
              <w:rPr>
                <w:b w:val="0"/>
                <w:sz w:val="20"/>
                <w:lang w:val="fr-FR"/>
              </w:rPr>
              <w:t>Systèmes de télédétection</w:t>
            </w:r>
          </w:p>
        </w:tc>
      </w:tr>
      <w:tr w:rsidR="00EF5660" w:rsidRPr="006830D9" w14:paraId="1FAF524B" w14:textId="77777777" w:rsidTr="009F2B2B">
        <w:tc>
          <w:tcPr>
            <w:tcW w:w="1140" w:type="dxa"/>
            <w:tcBorders>
              <w:top w:val="nil"/>
              <w:bottom w:val="nil"/>
            </w:tcBorders>
            <w:shd w:val="clear" w:color="auto" w:fill="auto"/>
          </w:tcPr>
          <w:p w14:paraId="1A1906C2" w14:textId="77777777" w:rsidR="00EF5660" w:rsidRPr="006830D9" w:rsidRDefault="00EF5660" w:rsidP="009F2B2B">
            <w:pPr>
              <w:spacing w:before="30" w:after="30"/>
              <w:ind w:left="57"/>
              <w:jc w:val="left"/>
              <w:rPr>
                <w:b/>
                <w:bCs/>
                <w:sz w:val="20"/>
                <w:lang w:val="fr-FR"/>
              </w:rPr>
            </w:pPr>
            <w:r w:rsidRPr="006830D9">
              <w:rPr>
                <w:b/>
                <w:bCs/>
                <w:sz w:val="20"/>
                <w:lang w:val="fr-FR"/>
              </w:rPr>
              <w:t>S</w:t>
            </w:r>
          </w:p>
        </w:tc>
        <w:tc>
          <w:tcPr>
            <w:tcW w:w="8220" w:type="dxa"/>
            <w:tcBorders>
              <w:top w:val="nil"/>
              <w:bottom w:val="nil"/>
            </w:tcBorders>
            <w:shd w:val="clear" w:color="auto" w:fill="auto"/>
          </w:tcPr>
          <w:p w14:paraId="4D25014A" w14:textId="77777777"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830D9">
              <w:rPr>
                <w:b w:val="0"/>
                <w:sz w:val="20"/>
                <w:lang w:val="fr-FR"/>
              </w:rPr>
              <w:t>Service fixe par satellite</w:t>
            </w:r>
          </w:p>
        </w:tc>
      </w:tr>
      <w:tr w:rsidR="00EF5660" w:rsidRPr="006830D9" w14:paraId="6DFC6494" w14:textId="77777777" w:rsidTr="009F2B2B">
        <w:tc>
          <w:tcPr>
            <w:tcW w:w="1140" w:type="dxa"/>
            <w:tcBorders>
              <w:top w:val="nil"/>
              <w:bottom w:val="nil"/>
            </w:tcBorders>
            <w:shd w:val="clear" w:color="auto" w:fill="FFFFFF" w:themeFill="background1"/>
          </w:tcPr>
          <w:p w14:paraId="23F4DBFE" w14:textId="77777777" w:rsidR="00EF5660" w:rsidRPr="006830D9" w:rsidRDefault="00EF5660" w:rsidP="009F2B2B">
            <w:pPr>
              <w:spacing w:before="30" w:after="30"/>
              <w:ind w:left="57"/>
              <w:jc w:val="left"/>
              <w:rPr>
                <w:rFonts w:ascii="Times New Roman Bold" w:hAnsi="Times New Roman Bold"/>
                <w:b/>
                <w:bCs/>
                <w:sz w:val="20"/>
                <w:lang w:val="fr-FR"/>
              </w:rPr>
            </w:pPr>
            <w:r w:rsidRPr="006830D9">
              <w:rPr>
                <w:rFonts w:ascii="Times New Roman Bold" w:hAnsi="Times New Roman Bold"/>
                <w:b/>
                <w:bCs/>
                <w:sz w:val="20"/>
                <w:lang w:val="fr-FR"/>
              </w:rPr>
              <w:t>SA</w:t>
            </w:r>
          </w:p>
        </w:tc>
        <w:tc>
          <w:tcPr>
            <w:tcW w:w="8220" w:type="dxa"/>
            <w:tcBorders>
              <w:top w:val="nil"/>
              <w:bottom w:val="nil"/>
            </w:tcBorders>
            <w:shd w:val="clear" w:color="auto" w:fill="FFFFFF" w:themeFill="background1"/>
          </w:tcPr>
          <w:p w14:paraId="03A86376" w14:textId="77777777"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830D9">
              <w:rPr>
                <w:b w:val="0"/>
                <w:sz w:val="20"/>
                <w:lang w:val="fr-FR"/>
              </w:rPr>
              <w:t>Applications spatiales et météorologie</w:t>
            </w:r>
          </w:p>
        </w:tc>
      </w:tr>
      <w:tr w:rsidR="00EF5660" w:rsidRPr="006830D9" w14:paraId="5426B8BC" w14:textId="77777777" w:rsidTr="009F2B2B">
        <w:tc>
          <w:tcPr>
            <w:tcW w:w="1140" w:type="dxa"/>
            <w:tcBorders>
              <w:top w:val="nil"/>
            </w:tcBorders>
          </w:tcPr>
          <w:p w14:paraId="06AB833F" w14:textId="77777777" w:rsidR="00EF5660" w:rsidRPr="006830D9" w:rsidRDefault="00EF5660" w:rsidP="009F2B2B">
            <w:pPr>
              <w:spacing w:before="30" w:after="30"/>
              <w:ind w:left="57"/>
              <w:jc w:val="left"/>
              <w:rPr>
                <w:b/>
                <w:bCs/>
                <w:sz w:val="20"/>
                <w:lang w:val="fr-FR"/>
              </w:rPr>
            </w:pPr>
            <w:r w:rsidRPr="006830D9">
              <w:rPr>
                <w:b/>
                <w:bCs/>
                <w:sz w:val="20"/>
                <w:lang w:val="fr-FR"/>
              </w:rPr>
              <w:t>SF</w:t>
            </w:r>
          </w:p>
        </w:tc>
        <w:tc>
          <w:tcPr>
            <w:tcW w:w="8220" w:type="dxa"/>
            <w:tcBorders>
              <w:top w:val="nil"/>
            </w:tcBorders>
          </w:tcPr>
          <w:p w14:paraId="7CD6B690" w14:textId="77777777"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830D9">
              <w:rPr>
                <w:b w:val="0"/>
                <w:sz w:val="20"/>
                <w:lang w:val="fr-FR"/>
              </w:rPr>
              <w:t>Partage des fréquences et coordination entre les systèmes du service fixe par satellite et du service fixe</w:t>
            </w:r>
          </w:p>
        </w:tc>
      </w:tr>
      <w:tr w:rsidR="00EF5660" w:rsidRPr="006830D9" w14:paraId="777CACF0" w14:textId="77777777" w:rsidTr="009F2B2B">
        <w:tc>
          <w:tcPr>
            <w:tcW w:w="1140" w:type="dxa"/>
            <w:shd w:val="clear" w:color="auto" w:fill="auto"/>
          </w:tcPr>
          <w:p w14:paraId="6C89D90A" w14:textId="77777777" w:rsidR="00EF5660" w:rsidRPr="006830D9" w:rsidRDefault="00EF5660" w:rsidP="009F2B2B">
            <w:pPr>
              <w:spacing w:before="30" w:after="30"/>
              <w:ind w:left="57"/>
              <w:jc w:val="left"/>
              <w:rPr>
                <w:b/>
                <w:bCs/>
                <w:sz w:val="20"/>
                <w:lang w:val="fr-FR"/>
              </w:rPr>
            </w:pPr>
            <w:r w:rsidRPr="006830D9">
              <w:rPr>
                <w:b/>
                <w:bCs/>
                <w:sz w:val="20"/>
                <w:lang w:val="fr-FR"/>
              </w:rPr>
              <w:t>SM</w:t>
            </w:r>
          </w:p>
        </w:tc>
        <w:tc>
          <w:tcPr>
            <w:tcW w:w="8220" w:type="dxa"/>
            <w:shd w:val="clear" w:color="auto" w:fill="auto"/>
          </w:tcPr>
          <w:p w14:paraId="7F583F2D" w14:textId="77777777"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830D9">
              <w:rPr>
                <w:b w:val="0"/>
                <w:sz w:val="20"/>
                <w:lang w:val="fr-FR"/>
              </w:rPr>
              <w:t>Gestion du spectre</w:t>
            </w:r>
          </w:p>
        </w:tc>
      </w:tr>
      <w:tr w:rsidR="00EF5660" w:rsidRPr="006830D9" w14:paraId="30A273F0" w14:textId="77777777" w:rsidTr="009F2B2B">
        <w:tc>
          <w:tcPr>
            <w:tcW w:w="1140" w:type="dxa"/>
          </w:tcPr>
          <w:p w14:paraId="05035C51" w14:textId="77777777" w:rsidR="00EF5660" w:rsidRPr="006830D9" w:rsidRDefault="00EF5660" w:rsidP="009F2B2B">
            <w:pPr>
              <w:spacing w:before="30" w:after="30"/>
              <w:ind w:left="57"/>
              <w:jc w:val="left"/>
              <w:rPr>
                <w:b/>
                <w:bCs/>
                <w:sz w:val="20"/>
                <w:lang w:val="fr-FR"/>
              </w:rPr>
            </w:pPr>
            <w:r w:rsidRPr="006830D9">
              <w:rPr>
                <w:b/>
                <w:bCs/>
                <w:sz w:val="20"/>
                <w:lang w:val="fr-FR"/>
              </w:rPr>
              <w:t>SNG</w:t>
            </w:r>
          </w:p>
        </w:tc>
        <w:tc>
          <w:tcPr>
            <w:tcW w:w="8220" w:type="dxa"/>
          </w:tcPr>
          <w:p w14:paraId="6CF93CE8" w14:textId="3159E369"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830D9">
              <w:rPr>
                <w:b w:val="0"/>
                <w:sz w:val="20"/>
                <w:lang w:val="fr-FR"/>
              </w:rPr>
              <w:t>Reportage d</w:t>
            </w:r>
            <w:r w:rsidR="00F11690" w:rsidRPr="006830D9">
              <w:rPr>
                <w:b w:val="0"/>
                <w:sz w:val="20"/>
                <w:lang w:val="fr-FR"/>
              </w:rPr>
              <w:t>'</w:t>
            </w:r>
            <w:r w:rsidRPr="006830D9">
              <w:rPr>
                <w:b w:val="0"/>
                <w:sz w:val="20"/>
                <w:lang w:val="fr-FR"/>
              </w:rPr>
              <w:t>actualités par satellite</w:t>
            </w:r>
          </w:p>
        </w:tc>
      </w:tr>
      <w:tr w:rsidR="00EF5660" w:rsidRPr="006830D9" w14:paraId="2468648D" w14:textId="77777777" w:rsidTr="009F2B2B">
        <w:tc>
          <w:tcPr>
            <w:tcW w:w="1140" w:type="dxa"/>
          </w:tcPr>
          <w:p w14:paraId="63468824" w14:textId="77777777" w:rsidR="00EF5660" w:rsidRPr="006830D9" w:rsidRDefault="00EF5660" w:rsidP="009F2B2B">
            <w:pPr>
              <w:spacing w:before="30" w:after="30"/>
              <w:ind w:left="57"/>
              <w:jc w:val="left"/>
              <w:rPr>
                <w:rFonts w:ascii="Times New Roman Bold" w:hAnsi="Times New Roman Bold"/>
                <w:b/>
                <w:bCs/>
                <w:sz w:val="20"/>
                <w:lang w:val="fr-FR"/>
              </w:rPr>
            </w:pPr>
            <w:r w:rsidRPr="006830D9">
              <w:rPr>
                <w:rFonts w:ascii="Times New Roman Bold" w:hAnsi="Times New Roman Bold"/>
                <w:b/>
                <w:bCs/>
                <w:sz w:val="20"/>
                <w:lang w:val="fr-FR"/>
              </w:rPr>
              <w:t>TF</w:t>
            </w:r>
          </w:p>
        </w:tc>
        <w:tc>
          <w:tcPr>
            <w:tcW w:w="8220" w:type="dxa"/>
          </w:tcPr>
          <w:p w14:paraId="23E1B1A2" w14:textId="0BBC60A2" w:rsidR="00EF5660" w:rsidRPr="006830D9" w:rsidRDefault="005154D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830D9">
              <w:rPr>
                <w:b w:val="0"/>
                <w:sz w:val="20"/>
                <w:lang w:val="fr-FR"/>
              </w:rPr>
              <w:t>Émissions</w:t>
            </w:r>
            <w:r w:rsidR="00EF5660" w:rsidRPr="006830D9">
              <w:rPr>
                <w:b w:val="0"/>
                <w:sz w:val="20"/>
                <w:lang w:val="fr-FR"/>
              </w:rPr>
              <w:t xml:space="preserve"> de fréquences étalon et de signaux horaires</w:t>
            </w:r>
          </w:p>
        </w:tc>
      </w:tr>
      <w:tr w:rsidR="00EF5660" w:rsidRPr="006830D9" w14:paraId="446E6F52" w14:textId="77777777" w:rsidTr="009F2B2B">
        <w:tc>
          <w:tcPr>
            <w:tcW w:w="1140" w:type="dxa"/>
          </w:tcPr>
          <w:p w14:paraId="53E640C0" w14:textId="77777777" w:rsidR="00EF5660" w:rsidRPr="006830D9" w:rsidRDefault="00EF5660" w:rsidP="009F2B2B">
            <w:pPr>
              <w:spacing w:before="30" w:after="30"/>
              <w:ind w:left="57"/>
              <w:jc w:val="left"/>
              <w:rPr>
                <w:b/>
                <w:bCs/>
                <w:sz w:val="20"/>
                <w:lang w:val="fr-FR"/>
              </w:rPr>
            </w:pPr>
            <w:r w:rsidRPr="006830D9">
              <w:rPr>
                <w:b/>
                <w:bCs/>
                <w:sz w:val="20"/>
                <w:lang w:val="fr-FR"/>
              </w:rPr>
              <w:t>V</w:t>
            </w:r>
          </w:p>
        </w:tc>
        <w:tc>
          <w:tcPr>
            <w:tcW w:w="8220" w:type="dxa"/>
          </w:tcPr>
          <w:p w14:paraId="434EE330" w14:textId="77777777" w:rsidR="00EF5660" w:rsidRPr="006830D9" w:rsidRDefault="00EF5660" w:rsidP="009F2B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lang w:val="fr-FR"/>
              </w:rPr>
            </w:pPr>
            <w:r w:rsidRPr="006830D9">
              <w:rPr>
                <w:b w:val="0"/>
                <w:sz w:val="20"/>
                <w:lang w:val="fr-FR"/>
              </w:rPr>
              <w:t>Vocabulaire et sujets associés</w:t>
            </w:r>
          </w:p>
        </w:tc>
      </w:tr>
    </w:tbl>
    <w:p w14:paraId="5BB1702F" w14:textId="77777777" w:rsidR="00EF5660" w:rsidRPr="006830D9" w:rsidRDefault="00EF5660" w:rsidP="00EF5660">
      <w:pPr>
        <w:spacing w:before="0"/>
        <w:jc w:val="center"/>
        <w:rPr>
          <w:sz w:val="20"/>
          <w:lang w:val="fr-FR"/>
        </w:rPr>
      </w:pPr>
    </w:p>
    <w:p w14:paraId="41299B48" w14:textId="77777777" w:rsidR="00EF5660" w:rsidRPr="006830D9" w:rsidRDefault="00EF5660" w:rsidP="00EF5660">
      <w:pPr>
        <w:spacing w:before="0"/>
        <w:ind w:left="18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EF5660" w:rsidRPr="006830D9" w14:paraId="7C62634E" w14:textId="77777777" w:rsidTr="009F2B2B">
        <w:tc>
          <w:tcPr>
            <w:tcW w:w="9360" w:type="dxa"/>
          </w:tcPr>
          <w:p w14:paraId="7436FBAF" w14:textId="77777777" w:rsidR="00EF5660" w:rsidRPr="006830D9" w:rsidRDefault="00EF5660" w:rsidP="009F2B2B">
            <w:pPr>
              <w:spacing w:before="80" w:after="80"/>
              <w:rPr>
                <w:i/>
                <w:iCs/>
                <w:sz w:val="20"/>
                <w:lang w:val="fr-FR"/>
              </w:rPr>
            </w:pPr>
            <w:r w:rsidRPr="006830D9">
              <w:rPr>
                <w:b/>
                <w:bCs/>
                <w:i/>
                <w:iCs/>
                <w:sz w:val="20"/>
                <w:lang w:val="fr-FR"/>
              </w:rPr>
              <w:t>Note</w:t>
            </w:r>
            <w:r w:rsidRPr="006830D9">
              <w:rPr>
                <w:i/>
                <w:iCs/>
                <w:sz w:val="20"/>
                <w:lang w:val="fr-FR"/>
              </w:rPr>
              <w:t xml:space="preserve">: Cette Recommandation UIT-R a été approuvée en anglais aux termes de la procédure détaillée dans la Résolution UIT-R 1. </w:t>
            </w:r>
          </w:p>
        </w:tc>
      </w:tr>
    </w:tbl>
    <w:p w14:paraId="6588958E" w14:textId="77777777" w:rsidR="00EF5660" w:rsidRPr="006830D9" w:rsidRDefault="00EF5660" w:rsidP="00EF5660">
      <w:pPr>
        <w:spacing w:before="0"/>
        <w:jc w:val="center"/>
        <w:rPr>
          <w:sz w:val="22"/>
          <w:lang w:val="fr-FR"/>
        </w:rPr>
      </w:pPr>
    </w:p>
    <w:p w14:paraId="43DE49EB" w14:textId="77777777" w:rsidR="00EF5660" w:rsidRPr="006830D9" w:rsidRDefault="00EF5660" w:rsidP="00EF5660">
      <w:pPr>
        <w:spacing w:before="100"/>
        <w:jc w:val="right"/>
        <w:rPr>
          <w:i/>
          <w:iCs/>
          <w:sz w:val="20"/>
          <w:lang w:val="fr-FR"/>
        </w:rPr>
      </w:pPr>
      <w:r w:rsidRPr="006830D9">
        <w:rPr>
          <w:i/>
          <w:iCs/>
          <w:sz w:val="20"/>
          <w:lang w:val="fr-FR"/>
        </w:rPr>
        <w:t>Publication électronique</w:t>
      </w:r>
    </w:p>
    <w:p w14:paraId="41C69456" w14:textId="48164774" w:rsidR="00EF5660" w:rsidRPr="006830D9" w:rsidRDefault="00EF5660" w:rsidP="00EF5660">
      <w:pPr>
        <w:spacing w:before="0"/>
        <w:jc w:val="right"/>
        <w:rPr>
          <w:sz w:val="20"/>
          <w:lang w:val="fr-FR"/>
        </w:rPr>
      </w:pPr>
      <w:r w:rsidRPr="006830D9">
        <w:rPr>
          <w:sz w:val="20"/>
          <w:lang w:val="fr-FR"/>
        </w:rPr>
        <w:t>Genève, 202</w:t>
      </w:r>
      <w:r w:rsidR="00F11690" w:rsidRPr="006830D9">
        <w:rPr>
          <w:sz w:val="20"/>
          <w:lang w:val="fr-FR"/>
        </w:rPr>
        <w:t>5</w:t>
      </w:r>
    </w:p>
    <w:p w14:paraId="7A358A85" w14:textId="00D2996F" w:rsidR="00EF5660" w:rsidRPr="006830D9" w:rsidRDefault="00EF5660" w:rsidP="00EF5660">
      <w:pPr>
        <w:spacing w:before="200"/>
        <w:jc w:val="center"/>
        <w:rPr>
          <w:sz w:val="20"/>
          <w:lang w:val="fr-FR"/>
        </w:rPr>
      </w:pPr>
      <w:r w:rsidRPr="006830D9">
        <w:rPr>
          <w:sz w:val="20"/>
          <w:lang w:val="fr-FR"/>
        </w:rPr>
        <w:sym w:font="Symbol" w:char="F0E3"/>
      </w:r>
      <w:r w:rsidRPr="006830D9">
        <w:rPr>
          <w:sz w:val="20"/>
          <w:lang w:val="fr-FR"/>
        </w:rPr>
        <w:t xml:space="preserve"> UIT </w:t>
      </w:r>
      <w:bookmarkStart w:id="1" w:name="iiannee"/>
      <w:bookmarkEnd w:id="1"/>
      <w:r w:rsidRPr="006830D9">
        <w:rPr>
          <w:sz w:val="20"/>
          <w:lang w:val="fr-FR"/>
        </w:rPr>
        <w:t>202</w:t>
      </w:r>
      <w:r w:rsidR="00F11690" w:rsidRPr="006830D9">
        <w:rPr>
          <w:sz w:val="20"/>
          <w:lang w:val="fr-FR"/>
        </w:rPr>
        <w:t>5</w:t>
      </w:r>
    </w:p>
    <w:p w14:paraId="73100401" w14:textId="012FF65E" w:rsidR="00EF5660" w:rsidRPr="006830D9" w:rsidRDefault="00EF5660" w:rsidP="00EF5660">
      <w:pPr>
        <w:rPr>
          <w:sz w:val="18"/>
          <w:szCs w:val="18"/>
          <w:lang w:val="fr-FR"/>
        </w:rPr>
      </w:pPr>
      <w:r w:rsidRPr="006830D9">
        <w:rPr>
          <w:sz w:val="18"/>
          <w:szCs w:val="18"/>
          <w:lang w:val="fr-FR"/>
        </w:rPr>
        <w:t>Tous droits réservés. Aucune partie de cette publication ne peut être reproduite, par quelque procédé que ce soit, sans l</w:t>
      </w:r>
      <w:r w:rsidR="00F11690" w:rsidRPr="006830D9">
        <w:rPr>
          <w:sz w:val="18"/>
          <w:szCs w:val="18"/>
          <w:lang w:val="fr-FR"/>
        </w:rPr>
        <w:t>'</w:t>
      </w:r>
      <w:r w:rsidRPr="006830D9">
        <w:rPr>
          <w:sz w:val="18"/>
          <w:szCs w:val="18"/>
          <w:lang w:val="fr-FR"/>
        </w:rPr>
        <w:t>accord écrit préalable de l</w:t>
      </w:r>
      <w:r w:rsidR="00F11690" w:rsidRPr="006830D9">
        <w:rPr>
          <w:sz w:val="18"/>
          <w:szCs w:val="18"/>
          <w:lang w:val="fr-FR"/>
        </w:rPr>
        <w:t>'</w:t>
      </w:r>
      <w:r w:rsidRPr="006830D9">
        <w:rPr>
          <w:sz w:val="18"/>
          <w:szCs w:val="18"/>
          <w:lang w:val="fr-FR"/>
        </w:rPr>
        <w:t>UIT.</w:t>
      </w:r>
    </w:p>
    <w:p w14:paraId="48768596" w14:textId="77777777" w:rsidR="00EF5660" w:rsidRPr="006830D9" w:rsidRDefault="00EF5660" w:rsidP="00EF5660">
      <w:pPr>
        <w:spacing w:before="160"/>
        <w:rPr>
          <w:i/>
          <w:sz w:val="20"/>
          <w:lang w:val="fr-FR"/>
        </w:rPr>
        <w:sectPr w:rsidR="00EF5660" w:rsidRPr="006830D9" w:rsidSect="00EF5660">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05EFA2A3" w14:textId="11757E23" w:rsidR="00EF5660" w:rsidRPr="006830D9" w:rsidRDefault="00EF5660" w:rsidP="00EF5660">
      <w:pPr>
        <w:pStyle w:val="RecNo"/>
        <w:spacing w:before="0"/>
        <w:rPr>
          <w:lang w:val="fr-FR"/>
        </w:rPr>
      </w:pPr>
      <w:bookmarkStart w:id="2" w:name="irecnoe"/>
      <w:bookmarkEnd w:id="2"/>
      <w:r w:rsidRPr="006830D9">
        <w:rPr>
          <w:lang w:val="fr-FR"/>
        </w:rPr>
        <w:lastRenderedPageBreak/>
        <w:t xml:space="preserve">RECOMMANDATION  </w:t>
      </w:r>
      <w:r w:rsidRPr="006830D9">
        <w:rPr>
          <w:rStyle w:val="href"/>
          <w:lang w:val="fr-FR"/>
        </w:rPr>
        <w:t>UIT-R  BT.</w:t>
      </w:r>
      <w:r w:rsidR="00F11690" w:rsidRPr="006830D9">
        <w:rPr>
          <w:rStyle w:val="href"/>
          <w:lang w:val="fr-FR"/>
        </w:rPr>
        <w:t>2123-1</w:t>
      </w:r>
    </w:p>
    <w:p w14:paraId="74360B0A" w14:textId="77777777" w:rsidR="00F11690" w:rsidRPr="006830D9" w:rsidRDefault="00F11690" w:rsidP="00F11690">
      <w:pPr>
        <w:pStyle w:val="Rectitle"/>
        <w:rPr>
          <w:lang w:val="fr-FR"/>
        </w:rPr>
      </w:pPr>
      <w:r w:rsidRPr="006830D9">
        <w:rPr>
          <w:lang w:val="fr-FR"/>
        </w:rPr>
        <w:t>Valeurs de paramètres vidéo des systèmes audiovisuels en immersion</w:t>
      </w:r>
      <w:r w:rsidRPr="006830D9">
        <w:rPr>
          <w:lang w:val="fr-FR"/>
        </w:rPr>
        <w:br/>
        <w:t>évolués pour la production et l'échange international</w:t>
      </w:r>
      <w:r w:rsidRPr="006830D9">
        <w:rPr>
          <w:lang w:val="fr-FR"/>
        </w:rPr>
        <w:br/>
        <w:t>de programmes de radiodiffusion</w:t>
      </w:r>
    </w:p>
    <w:p w14:paraId="58528607" w14:textId="77777777" w:rsidR="00F11690" w:rsidRPr="006830D9" w:rsidRDefault="00F11690" w:rsidP="00F11690">
      <w:pPr>
        <w:pStyle w:val="Recdate"/>
        <w:rPr>
          <w:i/>
          <w:iCs/>
          <w:lang w:val="fr-FR"/>
        </w:rPr>
      </w:pPr>
      <w:r w:rsidRPr="006830D9">
        <w:rPr>
          <w:iCs/>
          <w:lang w:val="fr-FR"/>
        </w:rPr>
        <w:t>(2019-</w:t>
      </w:r>
      <w:r w:rsidRPr="006830D9">
        <w:rPr>
          <w:lang w:val="fr-FR"/>
        </w:rPr>
        <w:t>2025</w:t>
      </w:r>
      <w:r w:rsidRPr="006830D9">
        <w:rPr>
          <w:iCs/>
          <w:lang w:val="fr-FR"/>
        </w:rPr>
        <w:t>)</w:t>
      </w:r>
    </w:p>
    <w:p w14:paraId="70EC9D12" w14:textId="77777777" w:rsidR="00F11690" w:rsidRPr="006830D9" w:rsidRDefault="00F11690" w:rsidP="00F11690">
      <w:pPr>
        <w:pStyle w:val="HeadingSum"/>
        <w:rPr>
          <w:lang w:val="fr-FR"/>
        </w:rPr>
      </w:pPr>
      <w:r w:rsidRPr="006830D9">
        <w:rPr>
          <w:lang w:val="fr-FR"/>
        </w:rPr>
        <w:t>Domaine d'application</w:t>
      </w:r>
    </w:p>
    <w:p w14:paraId="4052B646" w14:textId="77777777" w:rsidR="00F11690" w:rsidRPr="006830D9" w:rsidRDefault="00F11690" w:rsidP="00F11690">
      <w:pPr>
        <w:pStyle w:val="Summary"/>
        <w:rPr>
          <w:lang w:val="fr-FR" w:eastAsia="ko-KR"/>
        </w:rPr>
      </w:pPr>
      <w:r w:rsidRPr="006830D9">
        <w:rPr>
          <w:lang w:val="fr-FR" w:eastAsia="ko-KR"/>
        </w:rPr>
        <w:t>Les systèmes audiovisuels en immersion évolués (AIAV) offrent aux utilisateurs une expérience immersive qui suscite une impression de présence inédite, en offrant un champ de vision élargi dans la direction souhaitée. En vue de produire des images de qualité élevée pouvant être visionnées confortablement, les systèmes AIAV nécessitent des paramètres de système vidéo qui atteignent des niveaux supérieurs à ceux de la TVUHD ainsi que des paramètres de système additionnels qui permettent une représentation de l'image dans toutes les directions. La présente Recommandation spécifie les paramètres de système AIAV pour la production et l'échange international de programmes.</w:t>
      </w:r>
    </w:p>
    <w:p w14:paraId="40276349" w14:textId="77777777" w:rsidR="00F11690" w:rsidRPr="006830D9" w:rsidRDefault="00F11690" w:rsidP="00F11690">
      <w:pPr>
        <w:pStyle w:val="Headingb"/>
        <w:rPr>
          <w:lang w:val="fr-FR" w:eastAsia="ko-KR"/>
        </w:rPr>
      </w:pPr>
      <w:r w:rsidRPr="006830D9">
        <w:rPr>
          <w:lang w:val="fr-FR" w:eastAsia="ko-KR"/>
        </w:rPr>
        <w:t>Mots clés</w:t>
      </w:r>
    </w:p>
    <w:p w14:paraId="4218C8C7" w14:textId="77777777" w:rsidR="00F11690" w:rsidRPr="006830D9" w:rsidRDefault="00F11690" w:rsidP="00F11690">
      <w:pPr>
        <w:rPr>
          <w:lang w:val="fr-FR"/>
        </w:rPr>
      </w:pPr>
      <w:r w:rsidRPr="006830D9">
        <w:rPr>
          <w:lang w:val="fr-FR" w:eastAsia="ko-KR"/>
        </w:rPr>
        <w:t>Multimédias en immersion, réalité virtuelle, vidéo à 360°, paramètres de système, cartographie de projection.</w:t>
      </w:r>
    </w:p>
    <w:p w14:paraId="4BDB4B4A" w14:textId="77777777" w:rsidR="00F11690" w:rsidRPr="006830D9" w:rsidRDefault="00F11690" w:rsidP="00F11690">
      <w:pPr>
        <w:pStyle w:val="Normalaftertitle"/>
        <w:rPr>
          <w:lang w:val="fr-FR"/>
        </w:rPr>
      </w:pPr>
      <w:r w:rsidRPr="006830D9">
        <w:rPr>
          <w:lang w:val="fr-FR"/>
        </w:rPr>
        <w:t>L'Assemblée des radiocommunications de l'UIT,</w:t>
      </w:r>
    </w:p>
    <w:p w14:paraId="36E43D49" w14:textId="77777777" w:rsidR="00F11690" w:rsidRPr="006830D9" w:rsidRDefault="00F11690" w:rsidP="00F11690">
      <w:pPr>
        <w:pStyle w:val="Call"/>
        <w:rPr>
          <w:lang w:val="fr-FR"/>
        </w:rPr>
      </w:pPr>
      <w:r w:rsidRPr="006830D9">
        <w:rPr>
          <w:lang w:val="fr-FR"/>
        </w:rPr>
        <w:t>considérant</w:t>
      </w:r>
    </w:p>
    <w:p w14:paraId="6D0FE678" w14:textId="77777777" w:rsidR="00F11690" w:rsidRPr="006830D9" w:rsidRDefault="00F11690" w:rsidP="00F11690">
      <w:pPr>
        <w:rPr>
          <w:lang w:val="fr-FR"/>
        </w:rPr>
      </w:pPr>
      <w:r w:rsidRPr="006830D9">
        <w:rPr>
          <w:i/>
          <w:iCs/>
          <w:lang w:val="fr-FR"/>
        </w:rPr>
        <w:t>a)</w:t>
      </w:r>
      <w:r w:rsidRPr="006830D9">
        <w:rPr>
          <w:lang w:val="fr-FR"/>
        </w:rPr>
        <w:tab/>
        <w:t>que la réalité virtuelle, la vidéo à 360° et d'autres technologies multimédias en immersion suscitent l'attention des fournisseurs de contenus, du public et des fournisseurs de technologies grand public associées;</w:t>
      </w:r>
    </w:p>
    <w:p w14:paraId="16097857" w14:textId="77777777" w:rsidR="00F11690" w:rsidRPr="006830D9" w:rsidRDefault="00F11690" w:rsidP="00F11690">
      <w:pPr>
        <w:rPr>
          <w:lang w:val="fr-FR"/>
        </w:rPr>
      </w:pPr>
      <w:r w:rsidRPr="006830D9">
        <w:rPr>
          <w:i/>
          <w:iCs/>
          <w:lang w:val="fr-FR"/>
        </w:rPr>
        <w:t>b)</w:t>
      </w:r>
      <w:r w:rsidRPr="006830D9">
        <w:rPr>
          <w:lang w:val="fr-FR"/>
        </w:rPr>
        <w:tab/>
        <w:t>que les réalisateurs de programmes de télévision et de radio, entre autres, s'intéressent aux systèmes en immersion évolués afin de permettre au public de tirer le meilleur parti de leurs contenus;</w:t>
      </w:r>
    </w:p>
    <w:p w14:paraId="045A6711" w14:textId="77777777" w:rsidR="00F11690" w:rsidRPr="006830D9" w:rsidRDefault="00F11690" w:rsidP="00F11690">
      <w:pPr>
        <w:rPr>
          <w:lang w:val="fr-FR"/>
        </w:rPr>
      </w:pPr>
      <w:r w:rsidRPr="006830D9">
        <w:rPr>
          <w:i/>
          <w:iCs/>
          <w:lang w:val="fr-FR"/>
        </w:rPr>
        <w:t>c)</w:t>
      </w:r>
      <w:r w:rsidRPr="006830D9">
        <w:rPr>
          <w:lang w:val="fr-FR"/>
        </w:rPr>
        <w:tab/>
        <w:t>qu'à l'heure actuelle, les contenus multimédia en immersion sont généralement acquis et produits selon les exigences de technologies de diffusion ou de distribution spécifiques;</w:t>
      </w:r>
    </w:p>
    <w:p w14:paraId="1B30B944" w14:textId="77777777" w:rsidR="00F11690" w:rsidRPr="006830D9" w:rsidRDefault="00F11690" w:rsidP="00F11690">
      <w:pPr>
        <w:rPr>
          <w:lang w:val="fr-FR" w:eastAsia="zh-CN"/>
        </w:rPr>
      </w:pPr>
      <w:r w:rsidRPr="006830D9">
        <w:rPr>
          <w:i/>
          <w:lang w:val="fr-FR" w:eastAsia="zh-CN"/>
        </w:rPr>
        <w:t>d</w:t>
      </w:r>
      <w:r w:rsidRPr="006830D9">
        <w:rPr>
          <w:i/>
          <w:iCs/>
          <w:lang w:val="fr-FR" w:eastAsia="zh-CN"/>
        </w:rPr>
        <w:t>)</w:t>
      </w:r>
      <w:r w:rsidRPr="006830D9">
        <w:rPr>
          <w:lang w:val="fr-FR" w:eastAsia="zh-CN"/>
        </w:rPr>
        <w:tab/>
        <w:t>qu'il n'existe actuellement ni normes ni pratiques recommandées à l'échelle mondiale pour la production, le matriçage et l'échange de programmes radiodiffusés utilisant la réalité virtuelle, la vidéo à 360° ou d'autres technologies en immersion;</w:t>
      </w:r>
    </w:p>
    <w:p w14:paraId="3740211F" w14:textId="77777777" w:rsidR="00F11690" w:rsidRPr="006830D9" w:rsidRDefault="00F11690" w:rsidP="00F11690">
      <w:pPr>
        <w:rPr>
          <w:lang w:val="fr-FR"/>
        </w:rPr>
      </w:pPr>
      <w:r w:rsidRPr="006830D9">
        <w:rPr>
          <w:i/>
          <w:iCs/>
          <w:lang w:val="fr-FR"/>
        </w:rPr>
        <w:t>e)</w:t>
      </w:r>
      <w:r w:rsidRPr="006830D9">
        <w:rPr>
          <w:lang w:val="fr-FR"/>
        </w:rPr>
        <w:tab/>
        <w:t>que les radiodiffuseurs distribuent un large éventail de contenus au public sur des plates</w:t>
      </w:r>
      <w:r w:rsidRPr="006830D9">
        <w:rPr>
          <w:lang w:val="fr-FR"/>
        </w:rPr>
        <w:noBreakHyphen/>
        <w:t>formes de diffusion interactives de plus en plus nombreuses;</w:t>
      </w:r>
    </w:p>
    <w:p w14:paraId="32437DAD" w14:textId="5A6A4987" w:rsidR="00F11690" w:rsidRPr="006830D9" w:rsidRDefault="00F11690" w:rsidP="00F11690">
      <w:pPr>
        <w:rPr>
          <w:lang w:val="fr-FR"/>
        </w:rPr>
      </w:pPr>
      <w:bookmarkStart w:id="3" w:name="lt_pId080"/>
      <w:r w:rsidRPr="006830D9">
        <w:rPr>
          <w:i/>
          <w:iCs/>
          <w:lang w:val="fr-FR"/>
        </w:rPr>
        <w:t>f)</w:t>
      </w:r>
      <w:bookmarkEnd w:id="3"/>
      <w:r w:rsidRPr="006830D9">
        <w:rPr>
          <w:lang w:val="fr-FR"/>
        </w:rPr>
        <w:tab/>
      </w:r>
      <w:bookmarkStart w:id="4" w:name="lt_pId081"/>
      <w:r w:rsidRPr="006830D9">
        <w:rPr>
          <w:lang w:val="fr-FR"/>
        </w:rPr>
        <w:t>que la production d'images de réalité virtuelle à 360° de grande qualité et pouvant être visionnées confortablement exige une résolution spatiale très élevée;</w:t>
      </w:r>
    </w:p>
    <w:p w14:paraId="62392066" w14:textId="77777777" w:rsidR="00F11690" w:rsidRPr="006830D9" w:rsidRDefault="00F11690" w:rsidP="00F11690">
      <w:pPr>
        <w:rPr>
          <w:rFonts w:asciiTheme="majorBidi" w:hAnsiTheme="majorBidi" w:cstheme="majorBidi"/>
          <w:lang w:val="fr-FR" w:eastAsia="zh-CN"/>
        </w:rPr>
      </w:pPr>
      <w:bookmarkStart w:id="5" w:name="lt_pId082"/>
      <w:bookmarkEnd w:id="4"/>
      <w:r w:rsidRPr="006830D9">
        <w:rPr>
          <w:rFonts w:asciiTheme="majorBidi" w:hAnsiTheme="majorBidi" w:cstheme="majorBidi"/>
          <w:i/>
          <w:iCs/>
          <w:lang w:val="fr-FR" w:eastAsia="zh-CN"/>
        </w:rPr>
        <w:t>g)</w:t>
      </w:r>
      <w:bookmarkEnd w:id="5"/>
      <w:r w:rsidRPr="006830D9">
        <w:rPr>
          <w:rFonts w:asciiTheme="majorBidi" w:hAnsiTheme="majorBidi" w:cstheme="majorBidi"/>
          <w:lang w:val="fr-FR" w:eastAsia="zh-CN"/>
        </w:rPr>
        <w:tab/>
        <w:t xml:space="preserve">que le fait de spécifier des valeurs pour les paramètres des composants audiovisuels des systèmes </w:t>
      </w:r>
      <w:r w:rsidRPr="006830D9">
        <w:rPr>
          <w:lang w:val="fr-FR"/>
        </w:rPr>
        <w:t>audiovisuels en immersion évolués (AIAV) pour la production de contenus linéaires professionnels facilite la production de divers contenus AIAV,</w:t>
      </w:r>
    </w:p>
    <w:p w14:paraId="449CDEFE" w14:textId="77777777" w:rsidR="00F11690" w:rsidRPr="006830D9" w:rsidRDefault="00F11690" w:rsidP="00F11690">
      <w:pPr>
        <w:pStyle w:val="Call"/>
        <w:rPr>
          <w:lang w:val="fr-FR"/>
        </w:rPr>
      </w:pPr>
      <w:r w:rsidRPr="006830D9">
        <w:rPr>
          <w:lang w:val="fr-FR"/>
        </w:rPr>
        <w:t>recommande</w:t>
      </w:r>
    </w:p>
    <w:p w14:paraId="51238C5E" w14:textId="77777777" w:rsidR="00F11690" w:rsidRPr="006830D9" w:rsidRDefault="00F11690" w:rsidP="00F11690">
      <w:pPr>
        <w:rPr>
          <w:lang w:val="fr-FR"/>
        </w:rPr>
      </w:pPr>
      <w:r w:rsidRPr="006830D9">
        <w:rPr>
          <w:lang w:val="fr-FR"/>
        </w:rPr>
        <w:t>que les spécifications décrites dans la présente Recommandation soient utilisées pour la production et l'échange international de contenu AIAV.</w:t>
      </w:r>
    </w:p>
    <w:p w14:paraId="5BCCC0AC" w14:textId="77777777" w:rsidR="00F11690" w:rsidRPr="006830D9" w:rsidRDefault="00F11690" w:rsidP="00F11690">
      <w:pPr>
        <w:pStyle w:val="Heading1"/>
        <w:rPr>
          <w:lang w:val="fr-FR"/>
        </w:rPr>
      </w:pPr>
      <w:r w:rsidRPr="006830D9">
        <w:rPr>
          <w:lang w:val="fr-FR"/>
        </w:rPr>
        <w:lastRenderedPageBreak/>
        <w:t>1</w:t>
      </w:r>
      <w:r w:rsidRPr="006830D9">
        <w:rPr>
          <w:lang w:val="fr-FR"/>
        </w:rPr>
        <w:tab/>
        <w:t>Caractéristiques des images à 360° dans les applications à trois degrés de liberté (3DoF)</w:t>
      </w:r>
      <w:r w:rsidRPr="006830D9">
        <w:rPr>
          <w:rStyle w:val="FootnoteReference"/>
          <w:b w:val="0"/>
          <w:bCs/>
          <w:lang w:val="fr-FR"/>
        </w:rPr>
        <w:footnoteReference w:id="1"/>
      </w:r>
    </w:p>
    <w:p w14:paraId="59086E1C" w14:textId="77777777" w:rsidR="00F11690" w:rsidRPr="006830D9" w:rsidRDefault="00F11690" w:rsidP="00F11690">
      <w:pPr>
        <w:rPr>
          <w:lang w:val="fr-FR"/>
        </w:rPr>
      </w:pPr>
      <w:r w:rsidRPr="006830D9">
        <w:rPr>
          <w:rFonts w:eastAsia="Arial Unicode MS"/>
          <w:lang w:val="fr-FR"/>
        </w:rPr>
        <w:t>On trouvera dans les Tableaux 1 à 3 les caractéristiques des images à 360° dans les applications 3DoF.</w:t>
      </w:r>
    </w:p>
    <w:p w14:paraId="33750A08" w14:textId="77777777" w:rsidR="00F11690" w:rsidRPr="006830D9" w:rsidRDefault="00F11690" w:rsidP="00F11690">
      <w:pPr>
        <w:pStyle w:val="TableNo"/>
        <w:rPr>
          <w:lang w:val="fr-FR"/>
        </w:rPr>
      </w:pPr>
      <w:r w:rsidRPr="006830D9">
        <w:rPr>
          <w:lang w:val="fr-FR"/>
        </w:rPr>
        <w:t>TABLEAU 1</w:t>
      </w:r>
    </w:p>
    <w:p w14:paraId="2C0E90ED" w14:textId="77777777" w:rsidR="00F11690" w:rsidRPr="006830D9" w:rsidRDefault="00F11690" w:rsidP="00F11690">
      <w:pPr>
        <w:pStyle w:val="Tabletitle"/>
        <w:rPr>
          <w:lang w:val="fr-FR"/>
        </w:rPr>
      </w:pPr>
      <w:r w:rsidRPr="006830D9">
        <w:rPr>
          <w:lang w:val="fr-FR"/>
        </w:rPr>
        <w:t>Caractéristiques spatiales et temporelles de l'image</w:t>
      </w:r>
    </w:p>
    <w:tbl>
      <w:tblPr>
        <w:tblW w:w="96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4F81BD"/>
        <w:tblLayout w:type="fixed"/>
        <w:tblLook w:val="04A0" w:firstRow="1" w:lastRow="0" w:firstColumn="1" w:lastColumn="0" w:noHBand="0" w:noVBand="1"/>
      </w:tblPr>
      <w:tblGrid>
        <w:gridCol w:w="4948"/>
        <w:gridCol w:w="4697"/>
      </w:tblGrid>
      <w:tr w:rsidR="00F11690" w:rsidRPr="006830D9" w14:paraId="05C42CA2" w14:textId="77777777" w:rsidTr="00F11690">
        <w:trPr>
          <w:trHeight w:val="222"/>
          <w:tblHeader/>
          <w:jc w:val="center"/>
        </w:trPr>
        <w:tc>
          <w:tcPr>
            <w:tcW w:w="4933" w:type="dxa"/>
            <w:shd w:val="clear" w:color="auto" w:fill="auto"/>
            <w:tcMar>
              <w:top w:w="80" w:type="dxa"/>
              <w:left w:w="80" w:type="dxa"/>
              <w:bottom w:w="80" w:type="dxa"/>
              <w:right w:w="80" w:type="dxa"/>
            </w:tcMar>
            <w:hideMark/>
          </w:tcPr>
          <w:p w14:paraId="45DA9A88" w14:textId="77777777" w:rsidR="00F11690" w:rsidRPr="006830D9" w:rsidRDefault="00F11690" w:rsidP="009F2B2B">
            <w:pPr>
              <w:pStyle w:val="Tablehead"/>
              <w:rPr>
                <w:lang w:val="fr-FR"/>
              </w:rPr>
            </w:pPr>
            <w:r w:rsidRPr="006830D9">
              <w:rPr>
                <w:lang w:val="fr-FR"/>
              </w:rPr>
              <w:t>Paramètre</w:t>
            </w:r>
          </w:p>
        </w:tc>
        <w:tc>
          <w:tcPr>
            <w:tcW w:w="4683" w:type="dxa"/>
            <w:shd w:val="clear" w:color="auto" w:fill="auto"/>
            <w:tcMar>
              <w:top w:w="80" w:type="dxa"/>
              <w:left w:w="80" w:type="dxa"/>
              <w:bottom w:w="80" w:type="dxa"/>
              <w:right w:w="80" w:type="dxa"/>
            </w:tcMar>
            <w:hideMark/>
          </w:tcPr>
          <w:p w14:paraId="6E67235A" w14:textId="77777777" w:rsidR="00F11690" w:rsidRPr="006830D9" w:rsidRDefault="00F11690" w:rsidP="009F2B2B">
            <w:pPr>
              <w:pStyle w:val="Tablehead"/>
              <w:rPr>
                <w:lang w:val="fr-FR"/>
              </w:rPr>
            </w:pPr>
            <w:r w:rsidRPr="006830D9">
              <w:rPr>
                <w:lang w:val="fr-FR"/>
              </w:rPr>
              <w:t>Valeurs</w:t>
            </w:r>
          </w:p>
        </w:tc>
      </w:tr>
      <w:tr w:rsidR="00F11690" w:rsidRPr="006830D9" w14:paraId="49CB3D15" w14:textId="77777777" w:rsidTr="00F11690">
        <w:trPr>
          <w:trHeight w:val="222"/>
          <w:tblHeader/>
          <w:jc w:val="center"/>
        </w:trPr>
        <w:tc>
          <w:tcPr>
            <w:tcW w:w="4933" w:type="dxa"/>
            <w:shd w:val="clear" w:color="auto" w:fill="auto"/>
            <w:tcMar>
              <w:top w:w="80" w:type="dxa"/>
              <w:left w:w="80" w:type="dxa"/>
              <w:bottom w:w="80" w:type="dxa"/>
              <w:right w:w="80" w:type="dxa"/>
            </w:tcMar>
            <w:hideMark/>
          </w:tcPr>
          <w:p w14:paraId="51F0FCEC" w14:textId="77777777" w:rsidR="00F11690" w:rsidRPr="006830D9" w:rsidRDefault="00F11690" w:rsidP="009F2B2B">
            <w:pPr>
              <w:pStyle w:val="Tabletext"/>
              <w:jc w:val="left"/>
              <w:rPr>
                <w:lang w:val="fr-FR"/>
              </w:rPr>
            </w:pPr>
            <w:bookmarkStart w:id="6" w:name="lt_pId093"/>
            <w:r w:rsidRPr="006830D9">
              <w:rPr>
                <w:lang w:val="fr-FR" w:eastAsia="ko-KR"/>
              </w:rPr>
              <w:t>Méthode de projection d'une sphère sur une image rectangulaire</w:t>
            </w:r>
            <w:bookmarkEnd w:id="6"/>
          </w:p>
        </w:tc>
        <w:tc>
          <w:tcPr>
            <w:tcW w:w="4683" w:type="dxa"/>
            <w:shd w:val="clear" w:color="auto" w:fill="auto"/>
            <w:tcMar>
              <w:top w:w="80" w:type="dxa"/>
              <w:left w:w="80" w:type="dxa"/>
              <w:bottom w:w="80" w:type="dxa"/>
              <w:right w:w="80" w:type="dxa"/>
            </w:tcMar>
            <w:vAlign w:val="center"/>
            <w:hideMark/>
          </w:tcPr>
          <w:p w14:paraId="2523BACF" w14:textId="77777777" w:rsidR="00F11690" w:rsidRPr="006830D9" w:rsidRDefault="00F11690" w:rsidP="009F2B2B">
            <w:pPr>
              <w:pStyle w:val="Tabletext"/>
              <w:jc w:val="center"/>
              <w:rPr>
                <w:lang w:val="fr-FR"/>
              </w:rPr>
            </w:pPr>
            <w:r w:rsidRPr="006830D9">
              <w:rPr>
                <w:lang w:val="fr-FR"/>
              </w:rPr>
              <w:t>Projection équirectangulaire</w:t>
            </w:r>
          </w:p>
          <w:p w14:paraId="66C25F34" w14:textId="77777777" w:rsidR="00F11690" w:rsidRPr="006830D9" w:rsidRDefault="00F11690" w:rsidP="009F2B2B">
            <w:pPr>
              <w:pStyle w:val="Tabletext"/>
              <w:jc w:val="center"/>
              <w:rPr>
                <w:lang w:val="fr-FR"/>
              </w:rPr>
            </w:pPr>
            <w:r w:rsidRPr="006830D9">
              <w:rPr>
                <w:lang w:val="fr-FR"/>
              </w:rPr>
              <w:t>(Voir les informations détaillées données dans l'Annexe 1)</w:t>
            </w:r>
          </w:p>
        </w:tc>
      </w:tr>
      <w:tr w:rsidR="00F11690" w:rsidRPr="006830D9" w14:paraId="758F8D75" w14:textId="77777777" w:rsidTr="00F11690">
        <w:trPr>
          <w:trHeight w:val="222"/>
          <w:tblHeader/>
          <w:jc w:val="center"/>
        </w:trPr>
        <w:tc>
          <w:tcPr>
            <w:tcW w:w="4933" w:type="dxa"/>
            <w:shd w:val="clear" w:color="auto" w:fill="auto"/>
            <w:tcMar>
              <w:top w:w="80" w:type="dxa"/>
              <w:left w:w="80" w:type="dxa"/>
              <w:bottom w:w="80" w:type="dxa"/>
              <w:right w:w="80" w:type="dxa"/>
            </w:tcMar>
            <w:hideMark/>
          </w:tcPr>
          <w:p w14:paraId="14F33DC0" w14:textId="77777777" w:rsidR="00F11690" w:rsidRPr="006830D9" w:rsidRDefault="00F11690" w:rsidP="009F2B2B">
            <w:pPr>
              <w:pStyle w:val="Tabletext"/>
              <w:jc w:val="left"/>
              <w:rPr>
                <w:szCs w:val="22"/>
                <w:lang w:val="fr-FR"/>
              </w:rPr>
            </w:pPr>
            <w:r w:rsidRPr="006830D9">
              <w:rPr>
                <w:szCs w:val="22"/>
                <w:lang w:val="fr-FR"/>
              </w:rPr>
              <w:t>Nombre de pixels des images cartographiées</w:t>
            </w:r>
          </w:p>
          <w:p w14:paraId="5294B089" w14:textId="77777777" w:rsidR="00F11690" w:rsidRPr="006830D9" w:rsidRDefault="00F11690" w:rsidP="009F2B2B">
            <w:pPr>
              <w:pStyle w:val="Tabletext"/>
              <w:jc w:val="left"/>
              <w:rPr>
                <w:lang w:val="fr-FR"/>
              </w:rPr>
            </w:pPr>
            <w:r w:rsidRPr="006830D9">
              <w:rPr>
                <w:szCs w:val="22"/>
                <w:lang w:val="fr-FR"/>
              </w:rPr>
              <w:t>Horizontal × vertical</w:t>
            </w:r>
          </w:p>
        </w:tc>
        <w:tc>
          <w:tcPr>
            <w:tcW w:w="4683" w:type="dxa"/>
            <w:shd w:val="clear" w:color="auto" w:fill="auto"/>
            <w:tcMar>
              <w:top w:w="80" w:type="dxa"/>
              <w:left w:w="80" w:type="dxa"/>
              <w:bottom w:w="80" w:type="dxa"/>
              <w:right w:w="80" w:type="dxa"/>
            </w:tcMar>
            <w:vAlign w:val="center"/>
            <w:hideMark/>
          </w:tcPr>
          <w:p w14:paraId="2D45640B" w14:textId="77777777" w:rsidR="00F11690" w:rsidRPr="006830D9" w:rsidRDefault="00F11690" w:rsidP="009F2B2B">
            <w:pPr>
              <w:pStyle w:val="Tabletext"/>
              <w:jc w:val="center"/>
              <w:rPr>
                <w:lang w:val="fr-FR" w:eastAsia="ko-KR"/>
              </w:rPr>
            </w:pPr>
            <w:r w:rsidRPr="006830D9">
              <w:rPr>
                <w:lang w:val="fr-FR" w:eastAsia="ko-KR"/>
              </w:rPr>
              <w:t xml:space="preserve">30 720 </w:t>
            </w:r>
            <w:r w:rsidRPr="006830D9">
              <w:rPr>
                <w:lang w:val="fr-FR" w:eastAsia="ja-JP"/>
              </w:rPr>
              <w:t>×</w:t>
            </w:r>
            <w:r w:rsidRPr="006830D9">
              <w:rPr>
                <w:lang w:val="fr-FR" w:eastAsia="ko-KR"/>
              </w:rPr>
              <w:t xml:space="preserve"> 15 360</w:t>
            </w:r>
            <w:r w:rsidRPr="006830D9">
              <w:rPr>
                <w:vertAlign w:val="superscript"/>
                <w:lang w:val="fr-FR" w:eastAsia="ko-KR"/>
              </w:rPr>
              <w:t>(1), (2)</w:t>
            </w:r>
          </w:p>
          <w:p w14:paraId="5A1BBF87" w14:textId="77777777" w:rsidR="00F11690" w:rsidRPr="006830D9" w:rsidRDefault="00F11690" w:rsidP="009F2B2B">
            <w:pPr>
              <w:pStyle w:val="Tabletext"/>
              <w:jc w:val="center"/>
              <w:rPr>
                <w:lang w:val="fr-FR"/>
              </w:rPr>
            </w:pPr>
            <w:bookmarkStart w:id="7" w:name="lt_pId099"/>
            <w:r w:rsidRPr="006830D9">
              <w:rPr>
                <w:lang w:val="fr-FR" w:eastAsia="ko-KR"/>
              </w:rPr>
              <w:t xml:space="preserve">(30K </w:t>
            </w:r>
            <w:r w:rsidRPr="006830D9">
              <w:rPr>
                <w:lang w:val="fr-FR" w:eastAsia="zh-CN"/>
              </w:rPr>
              <w:t>× 15K</w:t>
            </w:r>
            <w:r w:rsidRPr="006830D9">
              <w:rPr>
                <w:lang w:val="fr-FR" w:eastAsia="ko-KR"/>
              </w:rPr>
              <w:t>)</w:t>
            </w:r>
            <w:bookmarkEnd w:id="7"/>
          </w:p>
        </w:tc>
      </w:tr>
      <w:tr w:rsidR="00F11690" w:rsidRPr="006830D9" w14:paraId="54C91D27" w14:textId="77777777" w:rsidTr="00F11690">
        <w:trPr>
          <w:trHeight w:val="222"/>
          <w:tblHeader/>
          <w:jc w:val="center"/>
        </w:trPr>
        <w:tc>
          <w:tcPr>
            <w:tcW w:w="4933" w:type="dxa"/>
            <w:shd w:val="clear" w:color="auto" w:fill="auto"/>
            <w:tcMar>
              <w:top w:w="80" w:type="dxa"/>
              <w:left w:w="80" w:type="dxa"/>
              <w:bottom w:w="80" w:type="dxa"/>
              <w:right w:w="80" w:type="dxa"/>
            </w:tcMar>
            <w:hideMark/>
          </w:tcPr>
          <w:p w14:paraId="1F32C588" w14:textId="77777777" w:rsidR="00F11690" w:rsidRPr="006830D9" w:rsidRDefault="00F11690" w:rsidP="009F2B2B">
            <w:pPr>
              <w:pStyle w:val="Tabletext"/>
              <w:jc w:val="left"/>
              <w:rPr>
                <w:lang w:val="fr-FR"/>
              </w:rPr>
            </w:pPr>
            <w:r w:rsidRPr="006830D9">
              <w:rPr>
                <w:szCs w:val="22"/>
                <w:lang w:val="fr-FR"/>
              </w:rPr>
              <w:t>Format de pixel</w:t>
            </w:r>
          </w:p>
        </w:tc>
        <w:tc>
          <w:tcPr>
            <w:tcW w:w="4683" w:type="dxa"/>
            <w:shd w:val="clear" w:color="auto" w:fill="auto"/>
            <w:tcMar>
              <w:top w:w="80" w:type="dxa"/>
              <w:left w:w="80" w:type="dxa"/>
              <w:bottom w:w="80" w:type="dxa"/>
              <w:right w:w="80" w:type="dxa"/>
            </w:tcMar>
            <w:vAlign w:val="center"/>
            <w:hideMark/>
          </w:tcPr>
          <w:p w14:paraId="79D0A7FA" w14:textId="77777777" w:rsidR="00F11690" w:rsidRPr="006830D9" w:rsidRDefault="00F11690" w:rsidP="009F2B2B">
            <w:pPr>
              <w:pStyle w:val="Tabletext"/>
              <w:jc w:val="center"/>
              <w:rPr>
                <w:lang w:val="fr-FR"/>
              </w:rPr>
            </w:pPr>
            <w:r w:rsidRPr="006830D9">
              <w:rPr>
                <w:lang w:val="fr-FR"/>
              </w:rPr>
              <w:t>1:1 (pixels carrés)</w:t>
            </w:r>
          </w:p>
        </w:tc>
      </w:tr>
      <w:tr w:rsidR="00F11690" w:rsidRPr="006830D9" w14:paraId="79CE0C51" w14:textId="77777777" w:rsidTr="00F11690">
        <w:trPr>
          <w:trHeight w:val="222"/>
          <w:tblHeader/>
          <w:jc w:val="center"/>
        </w:trPr>
        <w:tc>
          <w:tcPr>
            <w:tcW w:w="4933" w:type="dxa"/>
            <w:shd w:val="clear" w:color="auto" w:fill="auto"/>
            <w:tcMar>
              <w:top w:w="80" w:type="dxa"/>
              <w:left w:w="80" w:type="dxa"/>
              <w:bottom w:w="80" w:type="dxa"/>
              <w:right w:w="80" w:type="dxa"/>
            </w:tcMar>
            <w:hideMark/>
          </w:tcPr>
          <w:p w14:paraId="42703A68" w14:textId="77777777" w:rsidR="00F11690" w:rsidRPr="006830D9" w:rsidRDefault="00F11690" w:rsidP="009F2B2B">
            <w:pPr>
              <w:pStyle w:val="Tabletext"/>
              <w:jc w:val="left"/>
              <w:rPr>
                <w:lang w:val="fr-FR"/>
              </w:rPr>
            </w:pPr>
            <w:r w:rsidRPr="006830D9">
              <w:rPr>
                <w:szCs w:val="22"/>
                <w:lang w:val="fr-FR"/>
              </w:rPr>
              <w:t>Fréquence de trame (Hz)</w:t>
            </w:r>
          </w:p>
        </w:tc>
        <w:tc>
          <w:tcPr>
            <w:tcW w:w="4683" w:type="dxa"/>
            <w:shd w:val="clear" w:color="auto" w:fill="auto"/>
            <w:tcMar>
              <w:top w:w="80" w:type="dxa"/>
              <w:left w:w="80" w:type="dxa"/>
              <w:bottom w:w="80" w:type="dxa"/>
              <w:right w:w="80" w:type="dxa"/>
            </w:tcMar>
            <w:vAlign w:val="center"/>
            <w:hideMark/>
          </w:tcPr>
          <w:p w14:paraId="667D8E6E" w14:textId="77777777" w:rsidR="00F11690" w:rsidRPr="006830D9" w:rsidRDefault="00F11690" w:rsidP="009F2B2B">
            <w:pPr>
              <w:pStyle w:val="Tabletext"/>
              <w:keepNext/>
              <w:keepLines/>
              <w:jc w:val="center"/>
              <w:rPr>
                <w:lang w:val="fr-FR"/>
              </w:rPr>
            </w:pPr>
            <w:r w:rsidRPr="006830D9">
              <w:rPr>
                <w:lang w:val="fr-FR"/>
              </w:rPr>
              <w:t>120, 120/1,001, 100, 60, 60/1,001, 50</w:t>
            </w:r>
          </w:p>
        </w:tc>
      </w:tr>
      <w:tr w:rsidR="00F11690" w:rsidRPr="006830D9" w14:paraId="24C1F6AE" w14:textId="77777777" w:rsidTr="00F11690">
        <w:trPr>
          <w:trHeight w:val="396"/>
          <w:jc w:val="center"/>
        </w:trPr>
        <w:tc>
          <w:tcPr>
            <w:tcW w:w="4933" w:type="dxa"/>
            <w:tcBorders>
              <w:bottom w:val="single" w:sz="2" w:space="0" w:color="000000"/>
            </w:tcBorders>
            <w:shd w:val="clear" w:color="auto" w:fill="auto"/>
            <w:tcMar>
              <w:top w:w="80" w:type="dxa"/>
              <w:left w:w="80" w:type="dxa"/>
              <w:bottom w:w="80" w:type="dxa"/>
              <w:right w:w="80" w:type="dxa"/>
            </w:tcMar>
            <w:vAlign w:val="center"/>
            <w:hideMark/>
          </w:tcPr>
          <w:p w14:paraId="70BB7104" w14:textId="77777777" w:rsidR="00F11690" w:rsidRPr="006830D9" w:rsidRDefault="00F11690" w:rsidP="009F2B2B">
            <w:pPr>
              <w:pStyle w:val="Tabletext"/>
              <w:jc w:val="left"/>
              <w:rPr>
                <w:lang w:val="fr-FR"/>
              </w:rPr>
            </w:pPr>
            <w:r w:rsidRPr="006830D9">
              <w:rPr>
                <w:lang w:val="fr-FR"/>
              </w:rPr>
              <w:t>Format d'image</w:t>
            </w:r>
          </w:p>
        </w:tc>
        <w:tc>
          <w:tcPr>
            <w:tcW w:w="4683" w:type="dxa"/>
            <w:tcBorders>
              <w:bottom w:val="single" w:sz="2" w:space="0" w:color="000000"/>
            </w:tcBorders>
            <w:shd w:val="clear" w:color="auto" w:fill="auto"/>
            <w:tcMar>
              <w:top w:w="80" w:type="dxa"/>
              <w:left w:w="80" w:type="dxa"/>
              <w:bottom w:w="80" w:type="dxa"/>
              <w:right w:w="80" w:type="dxa"/>
            </w:tcMar>
            <w:vAlign w:val="center"/>
            <w:hideMark/>
          </w:tcPr>
          <w:p w14:paraId="61EB8E60" w14:textId="77777777" w:rsidR="00F11690" w:rsidRPr="006830D9" w:rsidRDefault="00F11690" w:rsidP="009F2B2B">
            <w:pPr>
              <w:pStyle w:val="Tabletext"/>
              <w:keepNext/>
              <w:keepLines/>
              <w:jc w:val="center"/>
              <w:rPr>
                <w:lang w:val="fr-FR"/>
              </w:rPr>
            </w:pPr>
            <w:r w:rsidRPr="006830D9">
              <w:rPr>
                <w:lang w:val="fr-FR"/>
              </w:rPr>
              <w:t>Progressif</w:t>
            </w:r>
          </w:p>
        </w:tc>
      </w:tr>
      <w:tr w:rsidR="00F11690" w:rsidRPr="006830D9" w14:paraId="6A80B280" w14:textId="77777777" w:rsidTr="00F11690">
        <w:trPr>
          <w:trHeight w:val="847"/>
          <w:jc w:val="center"/>
        </w:trPr>
        <w:tc>
          <w:tcPr>
            <w:tcW w:w="4933" w:type="dxa"/>
            <w:gridSpan w:val="2"/>
            <w:tcBorders>
              <w:left w:val="nil"/>
              <w:bottom w:val="nil"/>
              <w:right w:val="nil"/>
            </w:tcBorders>
            <w:shd w:val="clear" w:color="auto" w:fill="auto"/>
            <w:tcMar>
              <w:top w:w="80" w:type="dxa"/>
              <w:left w:w="80" w:type="dxa"/>
              <w:bottom w:w="80" w:type="dxa"/>
              <w:right w:w="80" w:type="dxa"/>
            </w:tcMar>
            <w:hideMark/>
          </w:tcPr>
          <w:p w14:paraId="40214A14" w14:textId="77777777" w:rsidR="00F11690" w:rsidRPr="006830D9" w:rsidRDefault="00F11690" w:rsidP="00F11690">
            <w:pPr>
              <w:pStyle w:val="Tabletext"/>
              <w:ind w:left="284" w:hanging="284"/>
              <w:rPr>
                <w:lang w:val="fr-FR"/>
              </w:rPr>
            </w:pPr>
            <w:r w:rsidRPr="006830D9">
              <w:rPr>
                <w:vertAlign w:val="superscript"/>
                <w:lang w:val="fr-FR"/>
              </w:rPr>
              <w:t>(1)</w:t>
            </w:r>
            <w:r w:rsidRPr="006830D9">
              <w:rPr>
                <w:lang w:val="fr-FR"/>
              </w:rPr>
              <w:tab/>
              <w:t>Ces valeurs sont fondées sur l'acuité humaine angulaire spatiale type afin que les spectateurs ne perçoivent pas la structure des pixels lorsqu'ils regardent une partie d'une image à 360°. Il faut un nombre de pixels de 30K × 15K pour une image à 360° complète. Un nombre de pixels différent peut être utilisé lorsqu'on procède à la conception effective du système.</w:t>
            </w:r>
          </w:p>
          <w:p w14:paraId="5823A513" w14:textId="77777777" w:rsidR="00F11690" w:rsidRPr="006830D9" w:rsidRDefault="00F11690" w:rsidP="00F11690">
            <w:pPr>
              <w:pStyle w:val="Tabletext"/>
              <w:ind w:left="284" w:hanging="284"/>
              <w:rPr>
                <w:lang w:val="fr-FR"/>
              </w:rPr>
            </w:pPr>
            <w:r w:rsidRPr="006830D9">
              <w:rPr>
                <w:vertAlign w:val="superscript"/>
                <w:lang w:val="fr-FR"/>
              </w:rPr>
              <w:t>(2)</w:t>
            </w:r>
            <w:r w:rsidRPr="006830D9">
              <w:rPr>
                <w:lang w:val="fr-FR"/>
              </w:rPr>
              <w:tab/>
              <w:t>Un hémisphère ou une partie de l'image à 360° peut être représenté en prenant une partie de 30K × 15K pixels.</w:t>
            </w:r>
          </w:p>
        </w:tc>
      </w:tr>
    </w:tbl>
    <w:p w14:paraId="664CC837" w14:textId="77777777" w:rsidR="00F11690" w:rsidRPr="006830D9" w:rsidRDefault="00F11690" w:rsidP="00F11690">
      <w:pPr>
        <w:pStyle w:val="Tablefin"/>
        <w:rPr>
          <w:lang w:val="fr-FR"/>
        </w:rPr>
      </w:pPr>
    </w:p>
    <w:p w14:paraId="2AA9DF84" w14:textId="77777777" w:rsidR="00F11690" w:rsidRPr="006830D9" w:rsidRDefault="00F11690" w:rsidP="00F11690">
      <w:pPr>
        <w:pStyle w:val="TableNo"/>
        <w:rPr>
          <w:lang w:val="fr-FR"/>
        </w:rPr>
      </w:pPr>
      <w:r w:rsidRPr="006830D9">
        <w:rPr>
          <w:lang w:val="fr-FR"/>
        </w:rPr>
        <w:t>TABLEAU 2</w:t>
      </w:r>
    </w:p>
    <w:p w14:paraId="51F09641" w14:textId="77777777" w:rsidR="00F11690" w:rsidRPr="006830D9" w:rsidRDefault="00F11690" w:rsidP="00F11690">
      <w:pPr>
        <w:pStyle w:val="Tabletitle"/>
        <w:rPr>
          <w:lang w:val="fr-FR"/>
        </w:rPr>
      </w:pPr>
      <w:r w:rsidRPr="006830D9">
        <w:rPr>
          <w:lang w:val="fr-FR"/>
        </w:rPr>
        <w:t>Colorimétrie utilisée dans le système</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2038"/>
        <w:gridCol w:w="2269"/>
        <w:gridCol w:w="1480"/>
        <w:gridCol w:w="1929"/>
      </w:tblGrid>
      <w:tr w:rsidR="00F11690" w:rsidRPr="006830D9" w14:paraId="481B443A" w14:textId="77777777" w:rsidTr="00F11690">
        <w:trPr>
          <w:jc w:val="center"/>
        </w:trPr>
        <w:tc>
          <w:tcPr>
            <w:tcW w:w="39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C12A83" w14:textId="77777777" w:rsidR="00F11690" w:rsidRPr="006830D9" w:rsidRDefault="00F11690" w:rsidP="00F11690">
            <w:pPr>
              <w:pStyle w:val="Tablehead"/>
              <w:rPr>
                <w:lang w:val="fr-FR"/>
              </w:rPr>
            </w:pPr>
            <w:r w:rsidRPr="006830D9">
              <w:rPr>
                <w:lang w:val="fr-FR"/>
              </w:rPr>
              <w:t>Paramètre</w:t>
            </w:r>
          </w:p>
        </w:tc>
        <w:tc>
          <w:tcPr>
            <w:tcW w:w="5678" w:type="dxa"/>
            <w:gridSpan w:val="3"/>
            <w:tcBorders>
              <w:top w:val="single" w:sz="4" w:space="0" w:color="auto"/>
              <w:left w:val="single" w:sz="4" w:space="0" w:color="auto"/>
              <w:bottom w:val="single" w:sz="4" w:space="0" w:color="auto"/>
              <w:right w:val="single" w:sz="4" w:space="0" w:color="auto"/>
            </w:tcBorders>
            <w:hideMark/>
          </w:tcPr>
          <w:p w14:paraId="2E889079" w14:textId="77777777" w:rsidR="00F11690" w:rsidRPr="006830D9" w:rsidRDefault="00F11690" w:rsidP="00F11690">
            <w:pPr>
              <w:pStyle w:val="Tablehead"/>
              <w:rPr>
                <w:lang w:val="fr-FR"/>
              </w:rPr>
            </w:pPr>
            <w:r w:rsidRPr="006830D9">
              <w:rPr>
                <w:lang w:val="fr-FR"/>
              </w:rPr>
              <w:t>Valeurs</w:t>
            </w:r>
          </w:p>
        </w:tc>
      </w:tr>
      <w:tr w:rsidR="00F11690" w:rsidRPr="006830D9" w14:paraId="5C274BFA" w14:textId="77777777" w:rsidTr="00F11690">
        <w:trPr>
          <w:jc w:val="center"/>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14:paraId="59154FD8" w14:textId="77777777" w:rsidR="00F11690" w:rsidRPr="006830D9" w:rsidRDefault="00F11690" w:rsidP="00F11690">
            <w:pPr>
              <w:pStyle w:val="Tablehead"/>
              <w:rPr>
                <w:lang w:val="fr-FR"/>
              </w:rPr>
            </w:pP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21A4E517" w14:textId="77777777" w:rsidR="00F11690" w:rsidRPr="006830D9" w:rsidRDefault="00F11690" w:rsidP="00F11690">
            <w:pPr>
              <w:pStyle w:val="Tablehead"/>
              <w:rPr>
                <w:rFonts w:eastAsia="GulimChe"/>
                <w:lang w:val="fr-FR"/>
              </w:rPr>
            </w:pPr>
            <w:bookmarkStart w:id="8" w:name="lt_pId122"/>
            <w:r w:rsidRPr="006830D9">
              <w:rPr>
                <w:lang w:val="fr-FR"/>
              </w:rPr>
              <w:t xml:space="preserve">Spectre optique </w:t>
            </w:r>
            <w:r w:rsidRPr="006830D9">
              <w:rPr>
                <w:sz w:val="20"/>
                <w:lang w:val="fr-FR"/>
              </w:rPr>
              <w:t>(à titre d'information)</w:t>
            </w:r>
            <w:bookmarkEnd w:id="8"/>
          </w:p>
        </w:tc>
        <w:tc>
          <w:tcPr>
            <w:tcW w:w="3409" w:type="dxa"/>
            <w:gridSpan w:val="2"/>
            <w:tcBorders>
              <w:top w:val="single" w:sz="4" w:space="0" w:color="auto"/>
              <w:left w:val="single" w:sz="4" w:space="0" w:color="auto"/>
              <w:bottom w:val="single" w:sz="4" w:space="0" w:color="auto"/>
              <w:right w:val="single" w:sz="4" w:space="0" w:color="auto"/>
            </w:tcBorders>
            <w:hideMark/>
          </w:tcPr>
          <w:p w14:paraId="4DF5721B" w14:textId="77777777" w:rsidR="00F11690" w:rsidRPr="006830D9" w:rsidRDefault="00F11690" w:rsidP="00F11690">
            <w:pPr>
              <w:pStyle w:val="Tablehead"/>
              <w:rPr>
                <w:lang w:val="fr-FR"/>
              </w:rPr>
            </w:pPr>
            <w:r w:rsidRPr="006830D9">
              <w:rPr>
                <w:lang w:val="fr-FR"/>
              </w:rPr>
              <w:t>Coordonnées de chromaticité</w:t>
            </w:r>
            <w:r w:rsidRPr="006830D9">
              <w:rPr>
                <w:lang w:val="fr-FR"/>
              </w:rPr>
              <w:br/>
              <w:t>(CIE, 1931)</w:t>
            </w:r>
          </w:p>
        </w:tc>
      </w:tr>
      <w:tr w:rsidR="00F11690" w:rsidRPr="006830D9" w14:paraId="797FCB44" w14:textId="77777777" w:rsidTr="00F11690">
        <w:trPr>
          <w:jc w:val="center"/>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14:paraId="6A9A8B50" w14:textId="77777777" w:rsidR="00F11690" w:rsidRPr="006830D9" w:rsidRDefault="00F11690" w:rsidP="00F11690">
            <w:pPr>
              <w:pStyle w:val="Tablehead"/>
              <w:rPr>
                <w:lang w:val="fr-FR"/>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45DF5F91" w14:textId="77777777" w:rsidR="00F11690" w:rsidRPr="006830D9" w:rsidRDefault="00F11690" w:rsidP="00F11690">
            <w:pPr>
              <w:pStyle w:val="Tablehead"/>
              <w:rPr>
                <w:rFonts w:eastAsia="GulimChe"/>
                <w:lang w:val="fr-FR"/>
              </w:rPr>
            </w:pPr>
          </w:p>
        </w:tc>
        <w:tc>
          <w:tcPr>
            <w:tcW w:w="1480" w:type="dxa"/>
            <w:tcBorders>
              <w:top w:val="single" w:sz="4" w:space="0" w:color="auto"/>
              <w:left w:val="single" w:sz="4" w:space="0" w:color="auto"/>
              <w:bottom w:val="single" w:sz="4" w:space="0" w:color="auto"/>
              <w:right w:val="single" w:sz="4" w:space="0" w:color="auto"/>
            </w:tcBorders>
            <w:hideMark/>
          </w:tcPr>
          <w:p w14:paraId="25621FE9" w14:textId="77777777" w:rsidR="00F11690" w:rsidRPr="006830D9" w:rsidRDefault="00F11690" w:rsidP="00F11690">
            <w:pPr>
              <w:pStyle w:val="Tablehead"/>
              <w:rPr>
                <w:rFonts w:eastAsia="Gulim"/>
                <w:i/>
                <w:iCs/>
                <w:lang w:val="fr-FR"/>
              </w:rPr>
            </w:pPr>
            <w:r w:rsidRPr="006830D9">
              <w:rPr>
                <w:i/>
                <w:iCs/>
                <w:lang w:val="fr-FR"/>
              </w:rPr>
              <w:t>x</w:t>
            </w:r>
          </w:p>
        </w:tc>
        <w:tc>
          <w:tcPr>
            <w:tcW w:w="1929" w:type="dxa"/>
            <w:tcBorders>
              <w:top w:val="single" w:sz="4" w:space="0" w:color="auto"/>
              <w:left w:val="single" w:sz="4" w:space="0" w:color="auto"/>
              <w:bottom w:val="single" w:sz="4" w:space="0" w:color="auto"/>
              <w:right w:val="single" w:sz="4" w:space="0" w:color="auto"/>
            </w:tcBorders>
            <w:hideMark/>
          </w:tcPr>
          <w:p w14:paraId="406EE624" w14:textId="77777777" w:rsidR="00F11690" w:rsidRPr="006830D9" w:rsidRDefault="00F11690" w:rsidP="00F11690">
            <w:pPr>
              <w:pStyle w:val="Tablehead"/>
              <w:rPr>
                <w:rFonts w:eastAsia="Gulim"/>
                <w:i/>
                <w:iCs/>
                <w:lang w:val="fr-FR"/>
              </w:rPr>
            </w:pPr>
            <w:r w:rsidRPr="006830D9">
              <w:rPr>
                <w:i/>
                <w:iCs/>
                <w:lang w:val="fr-FR"/>
              </w:rPr>
              <w:t>y</w:t>
            </w:r>
          </w:p>
        </w:tc>
      </w:tr>
      <w:tr w:rsidR="00F11690" w:rsidRPr="006830D9" w14:paraId="061B77CD" w14:textId="77777777" w:rsidTr="00F11690">
        <w:trPr>
          <w:jc w:val="center"/>
        </w:trPr>
        <w:tc>
          <w:tcPr>
            <w:tcW w:w="1929" w:type="dxa"/>
            <w:vMerge w:val="restart"/>
            <w:tcBorders>
              <w:top w:val="single" w:sz="4" w:space="0" w:color="auto"/>
              <w:left w:val="single" w:sz="4" w:space="0" w:color="auto"/>
              <w:bottom w:val="single" w:sz="4" w:space="0" w:color="auto"/>
              <w:right w:val="single" w:sz="4" w:space="0" w:color="auto"/>
            </w:tcBorders>
            <w:vAlign w:val="center"/>
            <w:hideMark/>
          </w:tcPr>
          <w:p w14:paraId="36A5E7E4" w14:textId="77777777" w:rsidR="00F11690" w:rsidRPr="006830D9" w:rsidRDefault="00F11690" w:rsidP="009F2B2B">
            <w:pPr>
              <w:pStyle w:val="Tabletext"/>
              <w:jc w:val="center"/>
              <w:rPr>
                <w:rFonts w:cs="Arial"/>
                <w:szCs w:val="24"/>
                <w:lang w:val="fr-FR"/>
              </w:rPr>
            </w:pPr>
            <w:r w:rsidRPr="006830D9">
              <w:rPr>
                <w:rFonts w:cs="Arial"/>
                <w:szCs w:val="24"/>
                <w:lang w:val="fr-FR"/>
              </w:rPr>
              <w:t>Couleurs</w:t>
            </w:r>
            <w:r w:rsidRPr="006830D9">
              <w:rPr>
                <w:rFonts w:cs="Arial"/>
                <w:szCs w:val="24"/>
                <w:lang w:val="fr-FR"/>
              </w:rPr>
              <w:br/>
              <w:t>primaires</w:t>
            </w:r>
          </w:p>
        </w:tc>
        <w:tc>
          <w:tcPr>
            <w:tcW w:w="2038" w:type="dxa"/>
            <w:tcBorders>
              <w:top w:val="single" w:sz="4" w:space="0" w:color="auto"/>
              <w:left w:val="single" w:sz="4" w:space="0" w:color="auto"/>
              <w:bottom w:val="single" w:sz="4" w:space="0" w:color="auto"/>
              <w:right w:val="single" w:sz="4" w:space="0" w:color="auto"/>
            </w:tcBorders>
            <w:vAlign w:val="center"/>
            <w:hideMark/>
          </w:tcPr>
          <w:p w14:paraId="15BDD6CB" w14:textId="77777777" w:rsidR="00F11690" w:rsidRPr="006830D9" w:rsidRDefault="00F11690" w:rsidP="009F2B2B">
            <w:pPr>
              <w:pStyle w:val="Tabletext"/>
              <w:jc w:val="center"/>
              <w:rPr>
                <w:rFonts w:cs="Arial"/>
                <w:szCs w:val="24"/>
                <w:lang w:val="fr-FR"/>
              </w:rPr>
            </w:pPr>
            <w:r w:rsidRPr="006830D9">
              <w:rPr>
                <w:rFonts w:cs="Arial"/>
                <w:szCs w:val="24"/>
                <w:lang w:val="fr-FR"/>
              </w:rPr>
              <w:t>Rouge primaire (R)</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EE5EFBB" w14:textId="77777777" w:rsidR="00F11690" w:rsidRPr="006830D9" w:rsidRDefault="00F11690" w:rsidP="009F2B2B">
            <w:pPr>
              <w:pStyle w:val="Tabletext"/>
              <w:jc w:val="center"/>
              <w:rPr>
                <w:rFonts w:cs="Arial"/>
                <w:szCs w:val="24"/>
                <w:lang w:val="fr-FR"/>
              </w:rPr>
            </w:pPr>
            <w:bookmarkStart w:id="9" w:name="lt_pId129"/>
            <w:r w:rsidRPr="006830D9">
              <w:rPr>
                <w:rFonts w:cs="Arial"/>
                <w:szCs w:val="24"/>
                <w:lang w:val="fr-FR"/>
              </w:rPr>
              <w:t xml:space="preserve">monochromatique </w:t>
            </w:r>
            <w:r w:rsidRPr="006830D9">
              <w:rPr>
                <w:rFonts w:cs="Arial"/>
                <w:szCs w:val="24"/>
                <w:lang w:val="fr-FR"/>
              </w:rPr>
              <w:br/>
              <w:t>630 nm</w:t>
            </w:r>
            <w:bookmarkEnd w:id="9"/>
          </w:p>
        </w:tc>
        <w:tc>
          <w:tcPr>
            <w:tcW w:w="1480" w:type="dxa"/>
            <w:tcBorders>
              <w:top w:val="single" w:sz="4" w:space="0" w:color="auto"/>
              <w:left w:val="single" w:sz="4" w:space="0" w:color="auto"/>
              <w:bottom w:val="single" w:sz="4" w:space="0" w:color="auto"/>
              <w:right w:val="single" w:sz="4" w:space="0" w:color="auto"/>
            </w:tcBorders>
            <w:vAlign w:val="center"/>
            <w:hideMark/>
          </w:tcPr>
          <w:p w14:paraId="462AA56F" w14:textId="77777777" w:rsidR="00F11690" w:rsidRPr="006830D9" w:rsidRDefault="00F11690" w:rsidP="009F2B2B">
            <w:pPr>
              <w:pStyle w:val="Tabletext"/>
              <w:jc w:val="center"/>
              <w:rPr>
                <w:rFonts w:cs="Arial"/>
                <w:szCs w:val="24"/>
                <w:lang w:val="fr-FR"/>
              </w:rPr>
            </w:pPr>
            <w:r w:rsidRPr="006830D9">
              <w:rPr>
                <w:rFonts w:cs="Arial"/>
                <w:szCs w:val="24"/>
                <w:lang w:val="fr-FR"/>
              </w:rPr>
              <w:t>0,708</w:t>
            </w:r>
          </w:p>
        </w:tc>
        <w:tc>
          <w:tcPr>
            <w:tcW w:w="1929" w:type="dxa"/>
            <w:tcBorders>
              <w:top w:val="single" w:sz="4" w:space="0" w:color="auto"/>
              <w:left w:val="single" w:sz="4" w:space="0" w:color="auto"/>
              <w:bottom w:val="single" w:sz="4" w:space="0" w:color="auto"/>
              <w:right w:val="single" w:sz="4" w:space="0" w:color="auto"/>
            </w:tcBorders>
            <w:vAlign w:val="center"/>
            <w:hideMark/>
          </w:tcPr>
          <w:p w14:paraId="6D197E9E" w14:textId="77777777" w:rsidR="00F11690" w:rsidRPr="006830D9" w:rsidRDefault="00F11690" w:rsidP="009F2B2B">
            <w:pPr>
              <w:pStyle w:val="Tabletext"/>
              <w:jc w:val="center"/>
              <w:rPr>
                <w:rFonts w:cs="Arial"/>
                <w:szCs w:val="24"/>
                <w:lang w:val="fr-FR"/>
              </w:rPr>
            </w:pPr>
            <w:r w:rsidRPr="006830D9">
              <w:rPr>
                <w:rFonts w:cs="Arial"/>
                <w:szCs w:val="24"/>
                <w:lang w:val="fr-FR"/>
              </w:rPr>
              <w:t>0,292</w:t>
            </w:r>
          </w:p>
        </w:tc>
      </w:tr>
      <w:tr w:rsidR="00F11690" w:rsidRPr="006830D9" w14:paraId="0E60BDD8" w14:textId="77777777" w:rsidTr="00F11690">
        <w:trPr>
          <w:jc w:val="center"/>
        </w:trPr>
        <w:tc>
          <w:tcPr>
            <w:tcW w:w="1929" w:type="dxa"/>
            <w:vMerge/>
            <w:tcBorders>
              <w:top w:val="single" w:sz="4" w:space="0" w:color="auto"/>
              <w:left w:val="single" w:sz="4" w:space="0" w:color="auto"/>
              <w:bottom w:val="single" w:sz="4" w:space="0" w:color="auto"/>
              <w:right w:val="single" w:sz="4" w:space="0" w:color="auto"/>
            </w:tcBorders>
            <w:vAlign w:val="center"/>
            <w:hideMark/>
          </w:tcPr>
          <w:p w14:paraId="66CFA573" w14:textId="77777777" w:rsidR="00F11690" w:rsidRPr="006830D9" w:rsidRDefault="00F11690" w:rsidP="009F2B2B">
            <w:pPr>
              <w:tabs>
                <w:tab w:val="clear" w:pos="794"/>
                <w:tab w:val="clear" w:pos="1191"/>
                <w:tab w:val="clear" w:pos="1588"/>
                <w:tab w:val="clear" w:pos="1985"/>
              </w:tabs>
              <w:overflowPunct/>
              <w:autoSpaceDE/>
              <w:autoSpaceDN/>
              <w:adjustRightInd/>
              <w:spacing w:before="0"/>
              <w:jc w:val="left"/>
              <w:rPr>
                <w:rFonts w:cs="Arial"/>
                <w:sz w:val="22"/>
                <w:szCs w:val="24"/>
                <w:lang w:val="fr-FR"/>
              </w:rPr>
            </w:pPr>
          </w:p>
        </w:tc>
        <w:tc>
          <w:tcPr>
            <w:tcW w:w="2038" w:type="dxa"/>
            <w:tcBorders>
              <w:top w:val="single" w:sz="4" w:space="0" w:color="auto"/>
              <w:left w:val="single" w:sz="4" w:space="0" w:color="auto"/>
              <w:bottom w:val="single" w:sz="4" w:space="0" w:color="auto"/>
              <w:right w:val="single" w:sz="4" w:space="0" w:color="auto"/>
            </w:tcBorders>
            <w:vAlign w:val="center"/>
            <w:hideMark/>
          </w:tcPr>
          <w:p w14:paraId="470B0C89" w14:textId="77777777" w:rsidR="00F11690" w:rsidRPr="006830D9" w:rsidRDefault="00F11690" w:rsidP="009F2B2B">
            <w:pPr>
              <w:pStyle w:val="Tabletext"/>
              <w:jc w:val="center"/>
              <w:rPr>
                <w:rFonts w:cs="Arial"/>
                <w:szCs w:val="24"/>
                <w:lang w:val="fr-FR"/>
              </w:rPr>
            </w:pPr>
            <w:r w:rsidRPr="006830D9">
              <w:rPr>
                <w:rFonts w:cs="Arial"/>
                <w:szCs w:val="24"/>
                <w:lang w:val="fr-FR"/>
              </w:rPr>
              <w:t>Vert primaire (G)</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DECC2DB" w14:textId="77777777" w:rsidR="00F11690" w:rsidRPr="006830D9" w:rsidRDefault="00F11690" w:rsidP="009F2B2B">
            <w:pPr>
              <w:pStyle w:val="Tabletext"/>
              <w:jc w:val="center"/>
              <w:rPr>
                <w:rFonts w:cs="Arial"/>
                <w:szCs w:val="24"/>
                <w:lang w:val="fr-FR"/>
              </w:rPr>
            </w:pPr>
            <w:bookmarkStart w:id="10" w:name="lt_pId133"/>
            <w:r w:rsidRPr="006830D9">
              <w:rPr>
                <w:rFonts w:cs="Arial"/>
                <w:szCs w:val="24"/>
                <w:lang w:val="fr-FR"/>
              </w:rPr>
              <w:t xml:space="preserve">monochromatique </w:t>
            </w:r>
            <w:r w:rsidRPr="006830D9">
              <w:rPr>
                <w:rFonts w:cs="Arial"/>
                <w:szCs w:val="24"/>
                <w:lang w:val="fr-FR"/>
              </w:rPr>
              <w:br/>
              <w:t>532 nm</w:t>
            </w:r>
            <w:bookmarkEnd w:id="10"/>
          </w:p>
        </w:tc>
        <w:tc>
          <w:tcPr>
            <w:tcW w:w="1480" w:type="dxa"/>
            <w:tcBorders>
              <w:top w:val="single" w:sz="4" w:space="0" w:color="auto"/>
              <w:left w:val="single" w:sz="4" w:space="0" w:color="auto"/>
              <w:bottom w:val="single" w:sz="4" w:space="0" w:color="auto"/>
              <w:right w:val="single" w:sz="4" w:space="0" w:color="auto"/>
            </w:tcBorders>
            <w:vAlign w:val="center"/>
            <w:hideMark/>
          </w:tcPr>
          <w:p w14:paraId="4EFC124A" w14:textId="77777777" w:rsidR="00F11690" w:rsidRPr="006830D9" w:rsidRDefault="00F11690" w:rsidP="009F2B2B">
            <w:pPr>
              <w:pStyle w:val="Tabletext"/>
              <w:jc w:val="center"/>
              <w:rPr>
                <w:rFonts w:cs="Arial"/>
                <w:szCs w:val="24"/>
                <w:lang w:val="fr-FR"/>
              </w:rPr>
            </w:pPr>
            <w:r w:rsidRPr="006830D9">
              <w:rPr>
                <w:rFonts w:cs="Arial"/>
                <w:szCs w:val="24"/>
                <w:lang w:val="fr-FR"/>
              </w:rPr>
              <w:t>0,170</w:t>
            </w:r>
          </w:p>
        </w:tc>
        <w:tc>
          <w:tcPr>
            <w:tcW w:w="1929" w:type="dxa"/>
            <w:tcBorders>
              <w:top w:val="single" w:sz="4" w:space="0" w:color="auto"/>
              <w:left w:val="single" w:sz="4" w:space="0" w:color="auto"/>
              <w:bottom w:val="single" w:sz="4" w:space="0" w:color="auto"/>
              <w:right w:val="single" w:sz="4" w:space="0" w:color="auto"/>
            </w:tcBorders>
            <w:vAlign w:val="center"/>
            <w:hideMark/>
          </w:tcPr>
          <w:p w14:paraId="37568CB5" w14:textId="77777777" w:rsidR="00F11690" w:rsidRPr="006830D9" w:rsidRDefault="00F11690" w:rsidP="009F2B2B">
            <w:pPr>
              <w:pStyle w:val="Tabletext"/>
              <w:jc w:val="center"/>
              <w:rPr>
                <w:rFonts w:cs="Arial"/>
                <w:szCs w:val="24"/>
                <w:lang w:val="fr-FR"/>
              </w:rPr>
            </w:pPr>
            <w:r w:rsidRPr="006830D9">
              <w:rPr>
                <w:rFonts w:cs="Arial"/>
                <w:szCs w:val="24"/>
                <w:lang w:val="fr-FR"/>
              </w:rPr>
              <w:t>0,797</w:t>
            </w:r>
          </w:p>
        </w:tc>
      </w:tr>
      <w:tr w:rsidR="00F11690" w:rsidRPr="006830D9" w14:paraId="70197320" w14:textId="77777777" w:rsidTr="00F11690">
        <w:trPr>
          <w:jc w:val="center"/>
        </w:trPr>
        <w:tc>
          <w:tcPr>
            <w:tcW w:w="1929" w:type="dxa"/>
            <w:vMerge/>
            <w:tcBorders>
              <w:top w:val="single" w:sz="4" w:space="0" w:color="auto"/>
              <w:left w:val="single" w:sz="4" w:space="0" w:color="auto"/>
              <w:bottom w:val="single" w:sz="4" w:space="0" w:color="auto"/>
              <w:right w:val="single" w:sz="4" w:space="0" w:color="auto"/>
            </w:tcBorders>
            <w:vAlign w:val="center"/>
            <w:hideMark/>
          </w:tcPr>
          <w:p w14:paraId="305FC2E3" w14:textId="77777777" w:rsidR="00F11690" w:rsidRPr="006830D9" w:rsidRDefault="00F11690" w:rsidP="009F2B2B">
            <w:pPr>
              <w:tabs>
                <w:tab w:val="clear" w:pos="794"/>
                <w:tab w:val="clear" w:pos="1191"/>
                <w:tab w:val="clear" w:pos="1588"/>
                <w:tab w:val="clear" w:pos="1985"/>
              </w:tabs>
              <w:overflowPunct/>
              <w:autoSpaceDE/>
              <w:autoSpaceDN/>
              <w:adjustRightInd/>
              <w:spacing w:before="0"/>
              <w:jc w:val="left"/>
              <w:rPr>
                <w:rFonts w:cs="Arial"/>
                <w:sz w:val="22"/>
                <w:szCs w:val="24"/>
                <w:lang w:val="fr-FR"/>
              </w:rPr>
            </w:pPr>
          </w:p>
        </w:tc>
        <w:tc>
          <w:tcPr>
            <w:tcW w:w="2038" w:type="dxa"/>
            <w:tcBorders>
              <w:top w:val="single" w:sz="4" w:space="0" w:color="auto"/>
              <w:left w:val="single" w:sz="4" w:space="0" w:color="auto"/>
              <w:bottom w:val="single" w:sz="4" w:space="0" w:color="auto"/>
              <w:right w:val="single" w:sz="4" w:space="0" w:color="auto"/>
            </w:tcBorders>
            <w:vAlign w:val="center"/>
            <w:hideMark/>
          </w:tcPr>
          <w:p w14:paraId="64C459E0" w14:textId="77777777" w:rsidR="00F11690" w:rsidRPr="006830D9" w:rsidRDefault="00F11690" w:rsidP="009F2B2B">
            <w:pPr>
              <w:pStyle w:val="Tabletext"/>
              <w:jc w:val="center"/>
              <w:rPr>
                <w:rFonts w:cs="Arial"/>
                <w:szCs w:val="24"/>
                <w:lang w:val="fr-FR"/>
              </w:rPr>
            </w:pPr>
            <w:r w:rsidRPr="006830D9">
              <w:rPr>
                <w:rFonts w:cs="Arial"/>
                <w:szCs w:val="24"/>
                <w:lang w:val="fr-FR"/>
              </w:rPr>
              <w:t>Bleu primaire (B)</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BB8D74A" w14:textId="77777777" w:rsidR="00F11690" w:rsidRPr="006830D9" w:rsidRDefault="00F11690" w:rsidP="009F2B2B">
            <w:pPr>
              <w:pStyle w:val="Tabletext"/>
              <w:jc w:val="center"/>
              <w:rPr>
                <w:rFonts w:cs="Arial"/>
                <w:szCs w:val="24"/>
                <w:lang w:val="fr-FR"/>
              </w:rPr>
            </w:pPr>
            <w:bookmarkStart w:id="11" w:name="lt_pId137"/>
            <w:r w:rsidRPr="006830D9">
              <w:rPr>
                <w:rFonts w:cs="Arial"/>
                <w:szCs w:val="24"/>
                <w:lang w:val="fr-FR"/>
              </w:rPr>
              <w:t xml:space="preserve">monochromatique </w:t>
            </w:r>
            <w:r w:rsidRPr="006830D9">
              <w:rPr>
                <w:rFonts w:cs="Arial"/>
                <w:szCs w:val="24"/>
                <w:lang w:val="fr-FR"/>
              </w:rPr>
              <w:br/>
              <w:t>467 nm</w:t>
            </w:r>
            <w:bookmarkEnd w:id="11"/>
          </w:p>
        </w:tc>
        <w:tc>
          <w:tcPr>
            <w:tcW w:w="1480" w:type="dxa"/>
            <w:tcBorders>
              <w:top w:val="single" w:sz="4" w:space="0" w:color="auto"/>
              <w:left w:val="single" w:sz="4" w:space="0" w:color="auto"/>
              <w:bottom w:val="single" w:sz="4" w:space="0" w:color="auto"/>
              <w:right w:val="single" w:sz="4" w:space="0" w:color="auto"/>
            </w:tcBorders>
            <w:vAlign w:val="center"/>
            <w:hideMark/>
          </w:tcPr>
          <w:p w14:paraId="5D2827D2" w14:textId="77777777" w:rsidR="00F11690" w:rsidRPr="006830D9" w:rsidRDefault="00F11690" w:rsidP="009F2B2B">
            <w:pPr>
              <w:pStyle w:val="Tabletext"/>
              <w:jc w:val="center"/>
              <w:rPr>
                <w:rFonts w:cs="Arial"/>
                <w:szCs w:val="24"/>
                <w:lang w:val="fr-FR"/>
              </w:rPr>
            </w:pPr>
            <w:r w:rsidRPr="006830D9">
              <w:rPr>
                <w:rFonts w:cs="Arial"/>
                <w:szCs w:val="24"/>
                <w:lang w:val="fr-FR"/>
              </w:rPr>
              <w:t>0,131</w:t>
            </w:r>
          </w:p>
        </w:tc>
        <w:tc>
          <w:tcPr>
            <w:tcW w:w="1929" w:type="dxa"/>
            <w:tcBorders>
              <w:top w:val="single" w:sz="4" w:space="0" w:color="auto"/>
              <w:left w:val="single" w:sz="4" w:space="0" w:color="auto"/>
              <w:bottom w:val="single" w:sz="4" w:space="0" w:color="auto"/>
              <w:right w:val="single" w:sz="4" w:space="0" w:color="auto"/>
            </w:tcBorders>
            <w:vAlign w:val="center"/>
            <w:hideMark/>
          </w:tcPr>
          <w:p w14:paraId="688C7961" w14:textId="77777777" w:rsidR="00F11690" w:rsidRPr="006830D9" w:rsidRDefault="00F11690" w:rsidP="009F2B2B">
            <w:pPr>
              <w:pStyle w:val="Tabletext"/>
              <w:jc w:val="center"/>
              <w:rPr>
                <w:rFonts w:cs="Arial"/>
                <w:szCs w:val="24"/>
                <w:lang w:val="fr-FR"/>
              </w:rPr>
            </w:pPr>
            <w:r w:rsidRPr="006830D9">
              <w:rPr>
                <w:rFonts w:cs="Arial"/>
                <w:szCs w:val="24"/>
                <w:lang w:val="fr-FR"/>
              </w:rPr>
              <w:t>0,046</w:t>
            </w:r>
          </w:p>
        </w:tc>
      </w:tr>
    </w:tbl>
    <w:p w14:paraId="1B627A41" w14:textId="77777777" w:rsidR="00F11690" w:rsidRPr="006830D9" w:rsidRDefault="00F11690" w:rsidP="00F11690">
      <w:pPr>
        <w:pStyle w:val="TableNo"/>
        <w:rPr>
          <w:lang w:val="fr-FR"/>
        </w:rPr>
      </w:pPr>
      <w:r w:rsidRPr="006830D9">
        <w:rPr>
          <w:lang w:val="fr-FR"/>
        </w:rPr>
        <w:lastRenderedPageBreak/>
        <w:t>TABLEAU 2 (</w:t>
      </w:r>
      <w:r w:rsidRPr="006830D9">
        <w:rPr>
          <w:i/>
          <w:iCs/>
          <w:lang w:val="fr-FR"/>
        </w:rPr>
        <w:t>fin</w:t>
      </w:r>
      <w:r w:rsidRPr="006830D9">
        <w:rPr>
          <w:lang w:val="fr-FR"/>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7"/>
        <w:gridCol w:w="2269"/>
        <w:gridCol w:w="1480"/>
        <w:gridCol w:w="1929"/>
      </w:tblGrid>
      <w:tr w:rsidR="00F11690" w:rsidRPr="006830D9" w14:paraId="0B0B6121" w14:textId="77777777" w:rsidTr="00F11690">
        <w:trPr>
          <w:jc w:val="center"/>
        </w:trPr>
        <w:tc>
          <w:tcPr>
            <w:tcW w:w="3967" w:type="dxa"/>
            <w:vMerge w:val="restart"/>
            <w:tcBorders>
              <w:top w:val="single" w:sz="4" w:space="0" w:color="auto"/>
              <w:left w:val="single" w:sz="4" w:space="0" w:color="auto"/>
              <w:right w:val="single" w:sz="4" w:space="0" w:color="auto"/>
            </w:tcBorders>
            <w:vAlign w:val="center"/>
          </w:tcPr>
          <w:p w14:paraId="2BF8CB2F" w14:textId="77777777" w:rsidR="00F11690" w:rsidRPr="006830D9" w:rsidRDefault="00F11690" w:rsidP="00F11690">
            <w:pPr>
              <w:pStyle w:val="Tablehead"/>
              <w:rPr>
                <w:lang w:val="fr-FR"/>
              </w:rPr>
            </w:pPr>
            <w:r w:rsidRPr="006830D9">
              <w:rPr>
                <w:lang w:val="fr-FR"/>
              </w:rPr>
              <w:t>Paramètre</w:t>
            </w:r>
          </w:p>
        </w:tc>
        <w:tc>
          <w:tcPr>
            <w:tcW w:w="5678" w:type="dxa"/>
            <w:gridSpan w:val="3"/>
            <w:tcBorders>
              <w:top w:val="single" w:sz="4" w:space="0" w:color="auto"/>
              <w:left w:val="single" w:sz="4" w:space="0" w:color="auto"/>
              <w:bottom w:val="single" w:sz="4" w:space="0" w:color="auto"/>
              <w:right w:val="single" w:sz="4" w:space="0" w:color="auto"/>
            </w:tcBorders>
          </w:tcPr>
          <w:p w14:paraId="02978D10" w14:textId="77777777" w:rsidR="00F11690" w:rsidRPr="006830D9" w:rsidRDefault="00F11690" w:rsidP="00F11690">
            <w:pPr>
              <w:pStyle w:val="Tablehead"/>
              <w:rPr>
                <w:lang w:val="fr-FR"/>
              </w:rPr>
            </w:pPr>
            <w:r w:rsidRPr="006830D9">
              <w:rPr>
                <w:lang w:val="fr-FR"/>
              </w:rPr>
              <w:t>Valeurs</w:t>
            </w:r>
          </w:p>
        </w:tc>
      </w:tr>
      <w:tr w:rsidR="00F11690" w:rsidRPr="006830D9" w14:paraId="61FBF17E" w14:textId="77777777" w:rsidTr="00F11690">
        <w:trPr>
          <w:jc w:val="center"/>
        </w:trPr>
        <w:tc>
          <w:tcPr>
            <w:tcW w:w="3967" w:type="dxa"/>
            <w:vMerge/>
            <w:tcBorders>
              <w:left w:val="single" w:sz="4" w:space="0" w:color="auto"/>
              <w:right w:val="single" w:sz="4" w:space="0" w:color="auto"/>
            </w:tcBorders>
            <w:vAlign w:val="center"/>
          </w:tcPr>
          <w:p w14:paraId="4E99D8F3" w14:textId="77777777" w:rsidR="00F11690" w:rsidRPr="006830D9" w:rsidRDefault="00F11690" w:rsidP="00F11690">
            <w:pPr>
              <w:pStyle w:val="Tablehead"/>
              <w:rPr>
                <w:lang w:val="fr-FR"/>
              </w:rPr>
            </w:pPr>
          </w:p>
        </w:tc>
        <w:tc>
          <w:tcPr>
            <w:tcW w:w="2269" w:type="dxa"/>
            <w:vMerge w:val="restart"/>
            <w:tcBorders>
              <w:top w:val="single" w:sz="4" w:space="0" w:color="auto"/>
              <w:left w:val="single" w:sz="4" w:space="0" w:color="auto"/>
              <w:right w:val="single" w:sz="4" w:space="0" w:color="auto"/>
            </w:tcBorders>
            <w:vAlign w:val="center"/>
          </w:tcPr>
          <w:p w14:paraId="7F24C851" w14:textId="32A3CBF6" w:rsidR="00F11690" w:rsidRPr="006830D9" w:rsidRDefault="00F11690" w:rsidP="00F11690">
            <w:pPr>
              <w:pStyle w:val="Tablehead"/>
              <w:rPr>
                <w:sz w:val="20"/>
                <w:lang w:val="fr-FR"/>
              </w:rPr>
            </w:pPr>
            <w:r w:rsidRPr="006830D9">
              <w:rPr>
                <w:szCs w:val="22"/>
                <w:lang w:val="fr-FR"/>
              </w:rPr>
              <w:t xml:space="preserve">Spectre optique </w:t>
            </w:r>
            <w:r w:rsidRPr="006830D9">
              <w:rPr>
                <w:sz w:val="20"/>
                <w:lang w:val="fr-FR"/>
              </w:rPr>
              <w:t>(à titre d'information)</w:t>
            </w:r>
          </w:p>
        </w:tc>
        <w:tc>
          <w:tcPr>
            <w:tcW w:w="3409" w:type="dxa"/>
            <w:gridSpan w:val="2"/>
            <w:tcBorders>
              <w:top w:val="single" w:sz="4" w:space="0" w:color="auto"/>
              <w:left w:val="single" w:sz="4" w:space="0" w:color="auto"/>
              <w:bottom w:val="single" w:sz="4" w:space="0" w:color="auto"/>
              <w:right w:val="single" w:sz="4" w:space="0" w:color="auto"/>
            </w:tcBorders>
          </w:tcPr>
          <w:p w14:paraId="4125CB7A" w14:textId="77777777" w:rsidR="00F11690" w:rsidRPr="006830D9" w:rsidRDefault="00F11690" w:rsidP="00F11690">
            <w:pPr>
              <w:pStyle w:val="Tablehead"/>
              <w:rPr>
                <w:lang w:val="fr-FR"/>
              </w:rPr>
            </w:pPr>
            <w:r w:rsidRPr="006830D9">
              <w:rPr>
                <w:lang w:val="fr-FR"/>
              </w:rPr>
              <w:t>Coordonnées de chromaticité</w:t>
            </w:r>
            <w:r w:rsidRPr="006830D9">
              <w:rPr>
                <w:lang w:val="fr-FR"/>
              </w:rPr>
              <w:br/>
              <w:t>(CIE, 1931)</w:t>
            </w:r>
          </w:p>
        </w:tc>
      </w:tr>
      <w:tr w:rsidR="00F11690" w:rsidRPr="006830D9" w14:paraId="26DE3D4F" w14:textId="77777777" w:rsidTr="00F11690">
        <w:trPr>
          <w:jc w:val="center"/>
        </w:trPr>
        <w:tc>
          <w:tcPr>
            <w:tcW w:w="3967" w:type="dxa"/>
            <w:vMerge/>
            <w:tcBorders>
              <w:left w:val="single" w:sz="4" w:space="0" w:color="auto"/>
              <w:bottom w:val="single" w:sz="4" w:space="0" w:color="auto"/>
              <w:right w:val="single" w:sz="4" w:space="0" w:color="auto"/>
            </w:tcBorders>
            <w:vAlign w:val="center"/>
          </w:tcPr>
          <w:p w14:paraId="196C5760" w14:textId="77777777" w:rsidR="00F11690" w:rsidRPr="006830D9" w:rsidRDefault="00F11690" w:rsidP="00F11690">
            <w:pPr>
              <w:pStyle w:val="Tablehead"/>
              <w:rPr>
                <w:lang w:val="fr-FR"/>
              </w:rPr>
            </w:pPr>
          </w:p>
        </w:tc>
        <w:tc>
          <w:tcPr>
            <w:tcW w:w="2269" w:type="dxa"/>
            <w:vMerge/>
            <w:tcBorders>
              <w:left w:val="single" w:sz="4" w:space="0" w:color="auto"/>
              <w:bottom w:val="single" w:sz="4" w:space="0" w:color="auto"/>
              <w:right w:val="single" w:sz="4" w:space="0" w:color="auto"/>
            </w:tcBorders>
            <w:vAlign w:val="center"/>
          </w:tcPr>
          <w:p w14:paraId="6C60C73A" w14:textId="77777777" w:rsidR="00F11690" w:rsidRPr="006830D9" w:rsidRDefault="00F11690" w:rsidP="00F11690">
            <w:pPr>
              <w:pStyle w:val="Tablehead"/>
              <w:rPr>
                <w:lang w:val="fr-FR"/>
              </w:rPr>
            </w:pPr>
          </w:p>
        </w:tc>
        <w:tc>
          <w:tcPr>
            <w:tcW w:w="1480" w:type="dxa"/>
            <w:tcBorders>
              <w:top w:val="single" w:sz="4" w:space="0" w:color="auto"/>
              <w:left w:val="single" w:sz="4" w:space="0" w:color="auto"/>
              <w:bottom w:val="single" w:sz="4" w:space="0" w:color="auto"/>
              <w:right w:val="single" w:sz="4" w:space="0" w:color="auto"/>
            </w:tcBorders>
          </w:tcPr>
          <w:p w14:paraId="57C7F59A" w14:textId="77777777" w:rsidR="00F11690" w:rsidRPr="006830D9" w:rsidRDefault="00F11690" w:rsidP="00F11690">
            <w:pPr>
              <w:pStyle w:val="Tablehead"/>
              <w:rPr>
                <w:i/>
                <w:iCs/>
                <w:lang w:val="fr-FR"/>
              </w:rPr>
            </w:pPr>
            <w:r w:rsidRPr="006830D9">
              <w:rPr>
                <w:i/>
                <w:iCs/>
                <w:lang w:val="fr-FR"/>
              </w:rPr>
              <w:t>x</w:t>
            </w:r>
          </w:p>
        </w:tc>
        <w:tc>
          <w:tcPr>
            <w:tcW w:w="1929" w:type="dxa"/>
            <w:tcBorders>
              <w:top w:val="single" w:sz="4" w:space="0" w:color="auto"/>
              <w:left w:val="single" w:sz="4" w:space="0" w:color="auto"/>
              <w:bottom w:val="single" w:sz="4" w:space="0" w:color="auto"/>
              <w:right w:val="single" w:sz="4" w:space="0" w:color="auto"/>
            </w:tcBorders>
          </w:tcPr>
          <w:p w14:paraId="2D2606C3" w14:textId="77777777" w:rsidR="00F11690" w:rsidRPr="006830D9" w:rsidRDefault="00F11690" w:rsidP="00F11690">
            <w:pPr>
              <w:pStyle w:val="Tablehead"/>
              <w:rPr>
                <w:i/>
                <w:iCs/>
                <w:lang w:val="fr-FR"/>
              </w:rPr>
            </w:pPr>
            <w:r w:rsidRPr="006830D9">
              <w:rPr>
                <w:i/>
                <w:iCs/>
                <w:lang w:val="fr-FR"/>
              </w:rPr>
              <w:t>y</w:t>
            </w:r>
          </w:p>
        </w:tc>
      </w:tr>
      <w:tr w:rsidR="00F11690" w:rsidRPr="006830D9" w14:paraId="7AE7DB4C" w14:textId="77777777" w:rsidTr="00F11690">
        <w:trPr>
          <w:jc w:val="center"/>
        </w:trPr>
        <w:tc>
          <w:tcPr>
            <w:tcW w:w="3967" w:type="dxa"/>
            <w:tcBorders>
              <w:top w:val="single" w:sz="4" w:space="0" w:color="auto"/>
              <w:left w:val="single" w:sz="4" w:space="0" w:color="auto"/>
              <w:bottom w:val="single" w:sz="4" w:space="0" w:color="auto"/>
              <w:right w:val="single" w:sz="4" w:space="0" w:color="auto"/>
            </w:tcBorders>
            <w:vAlign w:val="center"/>
            <w:hideMark/>
          </w:tcPr>
          <w:p w14:paraId="36E2CAB4" w14:textId="77777777" w:rsidR="00F11690" w:rsidRPr="006830D9" w:rsidRDefault="00F11690" w:rsidP="009F2B2B">
            <w:pPr>
              <w:pStyle w:val="Tabletext"/>
              <w:jc w:val="center"/>
              <w:rPr>
                <w:rFonts w:cs="Arial"/>
                <w:szCs w:val="24"/>
                <w:lang w:val="fr-FR"/>
              </w:rPr>
            </w:pPr>
            <w:r w:rsidRPr="006830D9">
              <w:rPr>
                <w:rFonts w:cs="Arial"/>
                <w:szCs w:val="24"/>
                <w:lang w:val="fr-FR"/>
              </w:rPr>
              <w:t>Blanc de référence</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5872E6A" w14:textId="77777777" w:rsidR="00F11690" w:rsidRPr="006830D9" w:rsidRDefault="00F11690" w:rsidP="009F2B2B">
            <w:pPr>
              <w:pStyle w:val="Tabletext"/>
              <w:jc w:val="center"/>
              <w:rPr>
                <w:rFonts w:cs="Arial"/>
                <w:szCs w:val="24"/>
                <w:lang w:val="fr-FR"/>
              </w:rPr>
            </w:pPr>
            <w:bookmarkStart w:id="12" w:name="lt_pId142"/>
            <w:bookmarkStart w:id="13" w:name="lt_pId141"/>
            <w:r w:rsidRPr="006830D9">
              <w:rPr>
                <w:rFonts w:cs="Arial"/>
                <w:szCs w:val="24"/>
                <w:lang w:val="fr-FR"/>
              </w:rPr>
              <w:t>D65 selon</w:t>
            </w:r>
            <w:r w:rsidRPr="006830D9">
              <w:rPr>
                <w:rFonts w:ascii="GulimChe" w:eastAsia="GulimChe" w:cs="Arial"/>
                <w:szCs w:val="24"/>
                <w:lang w:val="fr-FR"/>
              </w:rPr>
              <w:br/>
            </w:r>
            <w:r w:rsidRPr="006830D9">
              <w:rPr>
                <w:rFonts w:cs="Arial"/>
                <w:szCs w:val="24"/>
                <w:lang w:val="fr-FR"/>
              </w:rPr>
              <w:t>ISO 11664</w:t>
            </w:r>
            <w:r w:rsidRPr="006830D9">
              <w:rPr>
                <w:rFonts w:cs="Arial"/>
                <w:szCs w:val="24"/>
                <w:lang w:val="fr-FR"/>
              </w:rPr>
              <w:noBreakHyphen/>
              <w:t>2:2007</w:t>
            </w:r>
            <w:bookmarkEnd w:id="12"/>
            <w:bookmarkEnd w:id="13"/>
          </w:p>
        </w:tc>
        <w:tc>
          <w:tcPr>
            <w:tcW w:w="1480" w:type="dxa"/>
            <w:tcBorders>
              <w:top w:val="single" w:sz="4" w:space="0" w:color="auto"/>
              <w:left w:val="single" w:sz="4" w:space="0" w:color="auto"/>
              <w:bottom w:val="single" w:sz="4" w:space="0" w:color="auto"/>
              <w:right w:val="single" w:sz="4" w:space="0" w:color="auto"/>
            </w:tcBorders>
            <w:vAlign w:val="center"/>
            <w:hideMark/>
          </w:tcPr>
          <w:p w14:paraId="1E0C55E0" w14:textId="77777777" w:rsidR="00F11690" w:rsidRPr="006830D9" w:rsidRDefault="00F11690" w:rsidP="009F2B2B">
            <w:pPr>
              <w:pStyle w:val="Tabletext"/>
              <w:jc w:val="center"/>
              <w:rPr>
                <w:rFonts w:cs="Arial"/>
                <w:szCs w:val="24"/>
                <w:lang w:val="fr-FR"/>
              </w:rPr>
            </w:pPr>
            <w:r w:rsidRPr="006830D9">
              <w:rPr>
                <w:rFonts w:cs="Arial"/>
                <w:szCs w:val="24"/>
                <w:lang w:val="fr-FR"/>
              </w:rPr>
              <w:t>0,327</w:t>
            </w:r>
          </w:p>
        </w:tc>
        <w:tc>
          <w:tcPr>
            <w:tcW w:w="1929" w:type="dxa"/>
            <w:tcBorders>
              <w:top w:val="single" w:sz="4" w:space="0" w:color="auto"/>
              <w:left w:val="single" w:sz="4" w:space="0" w:color="auto"/>
              <w:bottom w:val="single" w:sz="4" w:space="0" w:color="auto"/>
              <w:right w:val="single" w:sz="4" w:space="0" w:color="auto"/>
            </w:tcBorders>
            <w:vAlign w:val="center"/>
            <w:hideMark/>
          </w:tcPr>
          <w:p w14:paraId="5A474325" w14:textId="77777777" w:rsidR="00F11690" w:rsidRPr="006830D9" w:rsidRDefault="00F11690" w:rsidP="009F2B2B">
            <w:pPr>
              <w:pStyle w:val="Tabletext"/>
              <w:jc w:val="center"/>
              <w:rPr>
                <w:rFonts w:ascii="GulimChe" w:eastAsia="GulimChe" w:cs="Arial"/>
                <w:szCs w:val="24"/>
                <w:highlight w:val="yellow"/>
                <w:lang w:val="fr-FR"/>
              </w:rPr>
            </w:pPr>
            <w:r w:rsidRPr="006830D9">
              <w:rPr>
                <w:rFonts w:cs="Arial"/>
                <w:szCs w:val="24"/>
                <w:lang w:val="fr-FR"/>
              </w:rPr>
              <w:t>0,3290</w:t>
            </w:r>
          </w:p>
        </w:tc>
      </w:tr>
      <w:tr w:rsidR="00F11690" w:rsidRPr="006830D9" w14:paraId="2C8DDCF4" w14:textId="77777777" w:rsidTr="00F11690">
        <w:trPr>
          <w:jc w:val="center"/>
        </w:trPr>
        <w:tc>
          <w:tcPr>
            <w:tcW w:w="3967" w:type="dxa"/>
            <w:tcBorders>
              <w:top w:val="single" w:sz="4" w:space="0" w:color="auto"/>
              <w:left w:val="single" w:sz="4" w:space="0" w:color="auto"/>
              <w:bottom w:val="single" w:sz="4" w:space="0" w:color="auto"/>
              <w:right w:val="single" w:sz="4" w:space="0" w:color="auto"/>
            </w:tcBorders>
            <w:hideMark/>
          </w:tcPr>
          <w:p w14:paraId="2BD4F24A" w14:textId="77777777" w:rsidR="00F11690" w:rsidRPr="006830D9" w:rsidRDefault="00F11690" w:rsidP="009F2B2B">
            <w:pPr>
              <w:pStyle w:val="Tabletext"/>
              <w:jc w:val="center"/>
              <w:rPr>
                <w:rFonts w:cs="Arial"/>
                <w:szCs w:val="24"/>
                <w:lang w:val="fr-FR"/>
              </w:rPr>
            </w:pPr>
            <w:bookmarkStart w:id="14" w:name="lt_pId146"/>
            <w:bookmarkStart w:id="15" w:name="lt_pId145"/>
            <w:r w:rsidRPr="006830D9">
              <w:rPr>
                <w:rFonts w:cs="Arial"/>
                <w:szCs w:val="24"/>
                <w:lang w:val="fr-FR"/>
              </w:rPr>
              <w:t>Fonctions d'égalisation des couleurs</w:t>
            </w:r>
            <w:bookmarkEnd w:id="14"/>
            <w:bookmarkEnd w:id="15"/>
          </w:p>
        </w:tc>
        <w:tc>
          <w:tcPr>
            <w:tcW w:w="5678" w:type="dxa"/>
            <w:gridSpan w:val="3"/>
            <w:tcBorders>
              <w:top w:val="single" w:sz="4" w:space="0" w:color="auto"/>
              <w:left w:val="single" w:sz="4" w:space="0" w:color="auto"/>
              <w:bottom w:val="single" w:sz="4" w:space="0" w:color="auto"/>
              <w:right w:val="single" w:sz="4" w:space="0" w:color="auto"/>
            </w:tcBorders>
            <w:hideMark/>
          </w:tcPr>
          <w:p w14:paraId="235FC824" w14:textId="77777777" w:rsidR="00F11690" w:rsidRPr="006830D9" w:rsidRDefault="00F11690" w:rsidP="009F2B2B">
            <w:pPr>
              <w:pStyle w:val="Tabletext"/>
              <w:jc w:val="center"/>
              <w:rPr>
                <w:rFonts w:cs="Arial"/>
                <w:szCs w:val="24"/>
                <w:lang w:val="fr-FR"/>
              </w:rPr>
            </w:pPr>
            <w:r w:rsidRPr="006830D9">
              <w:rPr>
                <w:rFonts w:cs="Arial"/>
                <w:szCs w:val="24"/>
                <w:lang w:val="fr-FR"/>
              </w:rPr>
              <w:t>CIE 1931</w:t>
            </w:r>
          </w:p>
        </w:tc>
      </w:tr>
    </w:tbl>
    <w:p w14:paraId="5962483E" w14:textId="77777777" w:rsidR="00F11690" w:rsidRPr="006830D9" w:rsidRDefault="00F11690" w:rsidP="00F11690">
      <w:pPr>
        <w:pStyle w:val="Tablefin"/>
        <w:rPr>
          <w:lang w:val="fr-FR"/>
        </w:rPr>
      </w:pPr>
    </w:p>
    <w:p w14:paraId="2A7A56EE" w14:textId="77777777" w:rsidR="00F11690" w:rsidRPr="006830D9" w:rsidRDefault="00F11690" w:rsidP="00F11690">
      <w:pPr>
        <w:pStyle w:val="TableNo"/>
        <w:rPr>
          <w:lang w:val="fr-FR"/>
        </w:rPr>
      </w:pPr>
      <w:r w:rsidRPr="006830D9">
        <w:rPr>
          <w:lang w:val="fr-FR"/>
        </w:rPr>
        <w:t>TABLEAU 3</w:t>
      </w:r>
    </w:p>
    <w:p w14:paraId="3265AB39" w14:textId="77777777" w:rsidR="00F11690" w:rsidRPr="006830D9" w:rsidRDefault="00F11690" w:rsidP="00F11690">
      <w:pPr>
        <w:pStyle w:val="Tabletitle"/>
        <w:rPr>
          <w:lang w:val="fr-FR"/>
        </w:rPr>
      </w:pPr>
      <w:r w:rsidRPr="006830D9">
        <w:rPr>
          <w:lang w:val="fr-FR"/>
        </w:rPr>
        <w:t>Format du signal</w:t>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815"/>
      </w:tblGrid>
      <w:tr w:rsidR="00F11690" w:rsidRPr="006830D9" w14:paraId="1B9CB0A8" w14:textId="77777777" w:rsidTr="009F2B2B">
        <w:trPr>
          <w:jc w:val="center"/>
        </w:trPr>
        <w:tc>
          <w:tcPr>
            <w:tcW w:w="2830" w:type="dxa"/>
            <w:tcBorders>
              <w:top w:val="single" w:sz="4" w:space="0" w:color="000000"/>
              <w:left w:val="single" w:sz="4" w:space="0" w:color="000000"/>
              <w:bottom w:val="single" w:sz="4" w:space="0" w:color="000000"/>
              <w:right w:val="single" w:sz="4" w:space="0" w:color="000000"/>
            </w:tcBorders>
            <w:vAlign w:val="center"/>
            <w:hideMark/>
          </w:tcPr>
          <w:p w14:paraId="01667D7B" w14:textId="77777777" w:rsidR="00F11690" w:rsidRPr="006830D9" w:rsidRDefault="00F11690" w:rsidP="009F2B2B">
            <w:pPr>
              <w:pStyle w:val="Tablehead"/>
              <w:rPr>
                <w:lang w:val="fr-FR"/>
              </w:rPr>
            </w:pPr>
            <w:r w:rsidRPr="006830D9">
              <w:rPr>
                <w:lang w:val="fr-FR"/>
              </w:rPr>
              <w:t>Paramètre</w:t>
            </w:r>
          </w:p>
        </w:tc>
        <w:tc>
          <w:tcPr>
            <w:tcW w:w="6815" w:type="dxa"/>
            <w:tcBorders>
              <w:top w:val="single" w:sz="4" w:space="0" w:color="000000"/>
              <w:left w:val="single" w:sz="4" w:space="0" w:color="000000"/>
              <w:bottom w:val="single" w:sz="4" w:space="0" w:color="000000"/>
              <w:right w:val="single" w:sz="4" w:space="0" w:color="000000"/>
            </w:tcBorders>
            <w:vAlign w:val="center"/>
            <w:hideMark/>
          </w:tcPr>
          <w:p w14:paraId="53E88E01" w14:textId="77777777" w:rsidR="00F11690" w:rsidRPr="006830D9" w:rsidRDefault="00F11690" w:rsidP="009F2B2B">
            <w:pPr>
              <w:pStyle w:val="Tablehead"/>
              <w:rPr>
                <w:lang w:val="fr-FR"/>
              </w:rPr>
            </w:pPr>
            <w:r w:rsidRPr="006830D9">
              <w:rPr>
                <w:lang w:val="fr-FR"/>
              </w:rPr>
              <w:t>Valeurs</w:t>
            </w:r>
          </w:p>
        </w:tc>
      </w:tr>
      <w:tr w:rsidR="00F11690" w:rsidRPr="006830D9" w14:paraId="66C0AB76" w14:textId="77777777" w:rsidTr="009F2B2B">
        <w:trPr>
          <w:jc w:val="center"/>
        </w:trPr>
        <w:tc>
          <w:tcPr>
            <w:tcW w:w="2830" w:type="dxa"/>
            <w:tcBorders>
              <w:top w:val="single" w:sz="4" w:space="0" w:color="000000"/>
              <w:left w:val="single" w:sz="4" w:space="0" w:color="000000"/>
              <w:bottom w:val="single" w:sz="4" w:space="0" w:color="000000"/>
              <w:right w:val="single" w:sz="4" w:space="0" w:color="000000"/>
            </w:tcBorders>
            <w:vAlign w:val="center"/>
            <w:hideMark/>
          </w:tcPr>
          <w:p w14:paraId="6531D85F" w14:textId="77777777" w:rsidR="00F11690" w:rsidRPr="006830D9" w:rsidRDefault="00F11690" w:rsidP="009F2B2B">
            <w:pPr>
              <w:pStyle w:val="Tabletext"/>
              <w:jc w:val="left"/>
              <w:rPr>
                <w:lang w:val="fr-FR"/>
              </w:rPr>
            </w:pPr>
            <w:r w:rsidRPr="006830D9">
              <w:rPr>
                <w:lang w:val="fr-FR"/>
              </w:rPr>
              <w:t>Format du signal</w:t>
            </w:r>
          </w:p>
        </w:tc>
        <w:tc>
          <w:tcPr>
            <w:tcW w:w="6815" w:type="dxa"/>
            <w:tcBorders>
              <w:top w:val="single" w:sz="4" w:space="0" w:color="000000"/>
              <w:left w:val="single" w:sz="4" w:space="0" w:color="000000"/>
              <w:bottom w:val="single" w:sz="4" w:space="0" w:color="000000"/>
              <w:right w:val="single" w:sz="4" w:space="0" w:color="000000"/>
            </w:tcBorders>
            <w:vAlign w:val="center"/>
            <w:hideMark/>
          </w:tcPr>
          <w:p w14:paraId="4446AF52" w14:textId="77777777" w:rsidR="00F11690" w:rsidRPr="006830D9" w:rsidRDefault="00F11690" w:rsidP="009F2B2B">
            <w:pPr>
              <w:pStyle w:val="Tabletext"/>
              <w:jc w:val="center"/>
              <w:rPr>
                <w:lang w:val="fr-FR"/>
              </w:rPr>
            </w:pPr>
            <w:bookmarkStart w:id="16" w:name="lt_pId148"/>
            <w:r w:rsidRPr="006830D9">
              <w:rPr>
                <w:i/>
                <w:iCs/>
                <w:lang w:val="fr-FR"/>
              </w:rPr>
              <w:t>R'G'B'</w:t>
            </w:r>
            <w:r w:rsidRPr="006830D9">
              <w:rPr>
                <w:lang w:val="fr-FR"/>
              </w:rPr>
              <w:t xml:space="preserve">, </w:t>
            </w:r>
            <w:r w:rsidRPr="006830D9">
              <w:rPr>
                <w:i/>
                <w:iCs/>
                <w:lang w:val="fr-FR"/>
              </w:rPr>
              <w:t>Y'C'</w:t>
            </w:r>
            <w:r w:rsidRPr="006830D9">
              <w:rPr>
                <w:i/>
                <w:iCs/>
                <w:vertAlign w:val="subscript"/>
                <w:lang w:val="fr-FR"/>
              </w:rPr>
              <w:t>B</w:t>
            </w:r>
            <w:r w:rsidRPr="006830D9">
              <w:rPr>
                <w:i/>
                <w:iCs/>
                <w:lang w:val="fr-FR"/>
              </w:rPr>
              <w:t>C'</w:t>
            </w:r>
            <w:r w:rsidRPr="006830D9">
              <w:rPr>
                <w:i/>
                <w:iCs/>
                <w:vertAlign w:val="subscript"/>
                <w:lang w:val="fr-FR"/>
              </w:rPr>
              <w:t>R</w:t>
            </w:r>
            <w:r w:rsidRPr="006830D9">
              <w:rPr>
                <w:lang w:val="fr-FR"/>
              </w:rPr>
              <w:t xml:space="preserve"> (luminance non constante), </w:t>
            </w:r>
            <w:r w:rsidRPr="006830D9">
              <w:rPr>
                <w:i/>
                <w:iCs/>
                <w:lang w:val="fr-FR"/>
              </w:rPr>
              <w:t>IC</w:t>
            </w:r>
            <w:r w:rsidRPr="006830D9">
              <w:rPr>
                <w:i/>
                <w:iCs/>
                <w:vertAlign w:val="subscript"/>
                <w:lang w:val="fr-FR"/>
              </w:rPr>
              <w:t>T</w:t>
            </w:r>
            <w:r w:rsidRPr="006830D9">
              <w:rPr>
                <w:i/>
                <w:iCs/>
                <w:lang w:val="fr-FR"/>
              </w:rPr>
              <w:t>C</w:t>
            </w:r>
            <w:r w:rsidRPr="006830D9">
              <w:rPr>
                <w:i/>
                <w:iCs/>
                <w:vertAlign w:val="subscript"/>
                <w:lang w:val="fr-FR"/>
              </w:rPr>
              <w:t>P</w:t>
            </w:r>
            <w:bookmarkEnd w:id="16"/>
          </w:p>
        </w:tc>
      </w:tr>
      <w:tr w:rsidR="00F11690" w:rsidRPr="006830D9" w14:paraId="6E26D529" w14:textId="77777777" w:rsidTr="009F2B2B">
        <w:trPr>
          <w:jc w:val="center"/>
        </w:trPr>
        <w:tc>
          <w:tcPr>
            <w:tcW w:w="2830" w:type="dxa"/>
            <w:tcBorders>
              <w:top w:val="single" w:sz="4" w:space="0" w:color="000000"/>
              <w:left w:val="single" w:sz="4" w:space="0" w:color="000000"/>
              <w:bottom w:val="single" w:sz="4" w:space="0" w:color="000000"/>
              <w:right w:val="single" w:sz="4" w:space="0" w:color="000000"/>
            </w:tcBorders>
            <w:vAlign w:val="center"/>
            <w:hideMark/>
          </w:tcPr>
          <w:p w14:paraId="087EC36F" w14:textId="77777777" w:rsidR="00F11690" w:rsidRPr="006830D9" w:rsidRDefault="00F11690" w:rsidP="009F2B2B">
            <w:pPr>
              <w:pStyle w:val="Tabletext"/>
              <w:jc w:val="left"/>
              <w:rPr>
                <w:lang w:val="fr-FR"/>
              </w:rPr>
            </w:pPr>
            <w:bookmarkStart w:id="17" w:name="lt_pId149"/>
            <w:r w:rsidRPr="006830D9">
              <w:rPr>
                <w:lang w:val="fr-FR"/>
              </w:rPr>
              <w:t xml:space="preserve">Calcul de </w:t>
            </w:r>
            <w:r w:rsidRPr="006830D9">
              <w:rPr>
                <w:i/>
                <w:iCs/>
                <w:lang w:val="fr-FR"/>
              </w:rPr>
              <w:t>R'G'B'</w:t>
            </w:r>
            <w:r w:rsidRPr="006830D9">
              <w:rPr>
                <w:lang w:val="fr-FR"/>
              </w:rPr>
              <w:t xml:space="preserve">, </w:t>
            </w:r>
            <w:r w:rsidRPr="006830D9">
              <w:rPr>
                <w:i/>
                <w:iCs/>
                <w:lang w:val="fr-FR"/>
              </w:rPr>
              <w:t>Y'C'</w:t>
            </w:r>
            <w:r w:rsidRPr="006830D9">
              <w:rPr>
                <w:i/>
                <w:iCs/>
                <w:vertAlign w:val="subscript"/>
                <w:lang w:val="fr-FR"/>
              </w:rPr>
              <w:t>B</w:t>
            </w:r>
            <w:r w:rsidRPr="006830D9">
              <w:rPr>
                <w:i/>
                <w:iCs/>
                <w:lang w:val="fr-FR"/>
              </w:rPr>
              <w:t>C'</w:t>
            </w:r>
            <w:r w:rsidRPr="006830D9">
              <w:rPr>
                <w:i/>
                <w:iCs/>
                <w:vertAlign w:val="subscript"/>
                <w:lang w:val="fr-FR"/>
              </w:rPr>
              <w:t>R</w:t>
            </w:r>
            <w:r w:rsidRPr="006830D9">
              <w:rPr>
                <w:lang w:val="fr-FR"/>
              </w:rPr>
              <w:t>, et </w:t>
            </w:r>
            <w:r w:rsidRPr="006830D9">
              <w:rPr>
                <w:i/>
                <w:iCs/>
                <w:lang w:val="fr-FR"/>
              </w:rPr>
              <w:t>IC</w:t>
            </w:r>
            <w:r w:rsidRPr="006830D9">
              <w:rPr>
                <w:i/>
                <w:iCs/>
                <w:vertAlign w:val="subscript"/>
                <w:lang w:val="fr-FR"/>
              </w:rPr>
              <w:t>T</w:t>
            </w:r>
            <w:r w:rsidRPr="006830D9">
              <w:rPr>
                <w:i/>
                <w:iCs/>
                <w:lang w:val="fr-FR"/>
              </w:rPr>
              <w:t>C</w:t>
            </w:r>
            <w:r w:rsidRPr="006830D9">
              <w:rPr>
                <w:i/>
                <w:iCs/>
                <w:vertAlign w:val="subscript"/>
                <w:lang w:val="fr-FR"/>
              </w:rPr>
              <w:t>P</w:t>
            </w:r>
            <w:r w:rsidRPr="006830D9">
              <w:rPr>
                <w:lang w:val="fr-FR"/>
              </w:rPr>
              <w:t xml:space="preserve"> (plage HDR uniquement)</w:t>
            </w:r>
            <w:bookmarkEnd w:id="17"/>
          </w:p>
        </w:tc>
        <w:tc>
          <w:tcPr>
            <w:tcW w:w="6815" w:type="dxa"/>
            <w:tcBorders>
              <w:top w:val="single" w:sz="4" w:space="0" w:color="000000"/>
              <w:left w:val="single" w:sz="4" w:space="0" w:color="000000"/>
              <w:bottom w:val="single" w:sz="4" w:space="0" w:color="000000"/>
              <w:right w:val="single" w:sz="4" w:space="0" w:color="000000"/>
            </w:tcBorders>
            <w:vAlign w:val="center"/>
            <w:hideMark/>
          </w:tcPr>
          <w:p w14:paraId="021C2C94" w14:textId="77777777" w:rsidR="00F11690" w:rsidRPr="006830D9" w:rsidRDefault="00F11690" w:rsidP="009F2B2B">
            <w:pPr>
              <w:pStyle w:val="Tabletext"/>
              <w:jc w:val="center"/>
              <w:rPr>
                <w:lang w:val="fr-FR"/>
              </w:rPr>
            </w:pPr>
            <w:bookmarkStart w:id="18" w:name="lt_pId150"/>
            <w:r w:rsidRPr="006830D9">
              <w:rPr>
                <w:lang w:val="fr-FR"/>
              </w:rPr>
              <w:t>Plage dynamique type (SDR):</w:t>
            </w:r>
            <w:bookmarkEnd w:id="18"/>
            <w:r w:rsidRPr="006830D9">
              <w:rPr>
                <w:lang w:val="fr-FR"/>
              </w:rPr>
              <w:t xml:space="preserve"> </w:t>
            </w:r>
            <w:bookmarkStart w:id="19" w:name="lt_pId151"/>
            <w:r w:rsidRPr="006830D9">
              <w:rPr>
                <w:lang w:val="fr-FR"/>
              </w:rPr>
              <w:t>conformément à la Rec. UIT-R BT.2020</w:t>
            </w:r>
            <w:bookmarkEnd w:id="19"/>
          </w:p>
          <w:p w14:paraId="0DE6E689" w14:textId="77777777" w:rsidR="00F11690" w:rsidRPr="006830D9" w:rsidRDefault="00F11690" w:rsidP="009F2B2B">
            <w:pPr>
              <w:pStyle w:val="Tabletext"/>
              <w:jc w:val="center"/>
              <w:rPr>
                <w:lang w:val="fr-FR"/>
              </w:rPr>
            </w:pPr>
            <w:bookmarkStart w:id="20" w:name="lt_pId152"/>
            <w:r w:rsidRPr="006830D9">
              <w:rPr>
                <w:lang w:val="fr-FR"/>
              </w:rPr>
              <w:t>Grande plage dynamique (HDR):</w:t>
            </w:r>
            <w:bookmarkEnd w:id="20"/>
            <w:r w:rsidRPr="006830D9">
              <w:rPr>
                <w:lang w:val="fr-FR"/>
              </w:rPr>
              <w:t xml:space="preserve"> </w:t>
            </w:r>
            <w:bookmarkStart w:id="21" w:name="lt_pId153"/>
            <w:r w:rsidRPr="006830D9">
              <w:rPr>
                <w:lang w:val="fr-FR"/>
              </w:rPr>
              <w:t>conformément à la Rec. UIT-R BT.2100</w:t>
            </w:r>
            <w:bookmarkEnd w:id="21"/>
          </w:p>
        </w:tc>
      </w:tr>
      <w:tr w:rsidR="00F11690" w:rsidRPr="006830D9" w14:paraId="67EC2E80" w14:textId="77777777" w:rsidTr="009F2B2B">
        <w:trPr>
          <w:jc w:val="center"/>
        </w:trPr>
        <w:tc>
          <w:tcPr>
            <w:tcW w:w="2830" w:type="dxa"/>
            <w:tcBorders>
              <w:top w:val="single" w:sz="4" w:space="0" w:color="000000"/>
              <w:left w:val="single" w:sz="4" w:space="0" w:color="000000"/>
              <w:bottom w:val="single" w:sz="4" w:space="0" w:color="000000"/>
              <w:right w:val="single" w:sz="4" w:space="0" w:color="000000"/>
            </w:tcBorders>
            <w:vAlign w:val="center"/>
            <w:hideMark/>
          </w:tcPr>
          <w:p w14:paraId="62CC69FF" w14:textId="77777777" w:rsidR="00F11690" w:rsidRPr="006830D9" w:rsidRDefault="00F11690" w:rsidP="009F2B2B">
            <w:pPr>
              <w:pStyle w:val="Tabletext"/>
              <w:jc w:val="left"/>
              <w:rPr>
                <w:lang w:val="fr-FR"/>
              </w:rPr>
            </w:pPr>
            <w:r w:rsidRPr="006830D9">
              <w:rPr>
                <w:lang w:val="fr-FR"/>
              </w:rPr>
              <w:t>Profondeurs binaires</w:t>
            </w:r>
          </w:p>
        </w:tc>
        <w:tc>
          <w:tcPr>
            <w:tcW w:w="6815" w:type="dxa"/>
            <w:tcBorders>
              <w:top w:val="single" w:sz="4" w:space="0" w:color="000000"/>
              <w:left w:val="single" w:sz="4" w:space="0" w:color="000000"/>
              <w:bottom w:val="single" w:sz="4" w:space="0" w:color="000000"/>
              <w:right w:val="single" w:sz="4" w:space="0" w:color="000000"/>
            </w:tcBorders>
            <w:vAlign w:val="center"/>
            <w:hideMark/>
          </w:tcPr>
          <w:p w14:paraId="570B4F40" w14:textId="77777777" w:rsidR="00F11690" w:rsidRPr="006830D9" w:rsidRDefault="00F11690" w:rsidP="009F2B2B">
            <w:pPr>
              <w:pStyle w:val="Tabletext"/>
              <w:jc w:val="center"/>
              <w:rPr>
                <w:lang w:val="fr-FR"/>
              </w:rPr>
            </w:pPr>
            <w:bookmarkStart w:id="22" w:name="lt_pId155"/>
            <w:r w:rsidRPr="006830D9">
              <w:rPr>
                <w:lang w:val="fr-FR"/>
              </w:rPr>
              <w:t xml:space="preserve">10 ou 12 bits </w:t>
            </w:r>
            <w:bookmarkEnd w:id="22"/>
            <w:r w:rsidRPr="006830D9">
              <w:rPr>
                <w:lang w:val="fr-FR"/>
              </w:rPr>
              <w:t>par composante</w:t>
            </w:r>
          </w:p>
        </w:tc>
      </w:tr>
      <w:tr w:rsidR="00F11690" w:rsidRPr="006830D9" w14:paraId="7760743B" w14:textId="77777777" w:rsidTr="009F2B2B">
        <w:trPr>
          <w:jc w:val="center"/>
        </w:trPr>
        <w:tc>
          <w:tcPr>
            <w:tcW w:w="2830" w:type="dxa"/>
            <w:tcBorders>
              <w:top w:val="single" w:sz="4" w:space="0" w:color="000000"/>
              <w:left w:val="single" w:sz="4" w:space="0" w:color="000000"/>
              <w:bottom w:val="single" w:sz="4" w:space="0" w:color="000000"/>
              <w:right w:val="single" w:sz="4" w:space="0" w:color="000000"/>
            </w:tcBorders>
            <w:vAlign w:val="center"/>
            <w:hideMark/>
          </w:tcPr>
          <w:p w14:paraId="6AC0E60C" w14:textId="77777777" w:rsidR="00F11690" w:rsidRPr="006830D9" w:rsidRDefault="00F11690" w:rsidP="009F2B2B">
            <w:pPr>
              <w:pStyle w:val="Tabletext"/>
              <w:jc w:val="left"/>
              <w:rPr>
                <w:lang w:val="fr-FR"/>
              </w:rPr>
            </w:pPr>
            <w:r w:rsidRPr="006830D9">
              <w:rPr>
                <w:lang w:val="fr-FR"/>
              </w:rPr>
              <w:t>Sous-échantillonnage de la couleur</w:t>
            </w:r>
          </w:p>
        </w:tc>
        <w:tc>
          <w:tcPr>
            <w:tcW w:w="6815" w:type="dxa"/>
            <w:tcBorders>
              <w:top w:val="single" w:sz="4" w:space="0" w:color="000000"/>
              <w:left w:val="single" w:sz="4" w:space="0" w:color="000000"/>
              <w:bottom w:val="single" w:sz="4" w:space="0" w:color="000000"/>
              <w:right w:val="single" w:sz="4" w:space="0" w:color="000000"/>
            </w:tcBorders>
            <w:vAlign w:val="center"/>
            <w:hideMark/>
          </w:tcPr>
          <w:p w14:paraId="05465CBD" w14:textId="77777777" w:rsidR="00F11690" w:rsidRPr="006830D9" w:rsidRDefault="00F11690" w:rsidP="009F2B2B">
            <w:pPr>
              <w:pStyle w:val="Tabletext"/>
              <w:jc w:val="center"/>
              <w:rPr>
                <w:lang w:val="fr-FR"/>
              </w:rPr>
            </w:pPr>
            <w:bookmarkStart w:id="23" w:name="lt_pId157"/>
            <w:r w:rsidRPr="006830D9">
              <w:rPr>
                <w:lang w:val="fr-FR"/>
              </w:rPr>
              <w:t>Conformément au Tableau 8 de la Rec. UIT-R BT.2100</w:t>
            </w:r>
            <w:bookmarkEnd w:id="23"/>
          </w:p>
        </w:tc>
      </w:tr>
      <w:tr w:rsidR="00F11690" w:rsidRPr="006830D9" w14:paraId="1801F463" w14:textId="77777777" w:rsidTr="009F2B2B">
        <w:trPr>
          <w:jc w:val="center"/>
        </w:trPr>
        <w:tc>
          <w:tcPr>
            <w:tcW w:w="2830" w:type="dxa"/>
            <w:tcBorders>
              <w:top w:val="single" w:sz="4" w:space="0" w:color="000000"/>
              <w:left w:val="single" w:sz="4" w:space="0" w:color="000000"/>
              <w:bottom w:val="single" w:sz="4" w:space="0" w:color="000000"/>
              <w:right w:val="single" w:sz="4" w:space="0" w:color="000000"/>
            </w:tcBorders>
            <w:vAlign w:val="center"/>
            <w:hideMark/>
          </w:tcPr>
          <w:p w14:paraId="4A57F6C4" w14:textId="77777777" w:rsidR="00F11690" w:rsidRPr="006830D9" w:rsidRDefault="00F11690" w:rsidP="009F2B2B">
            <w:pPr>
              <w:pStyle w:val="Tabletext"/>
              <w:jc w:val="left"/>
              <w:rPr>
                <w:lang w:val="fr-FR"/>
              </w:rPr>
            </w:pPr>
            <w:r w:rsidRPr="006830D9">
              <w:rPr>
                <w:lang w:val="fr-FR"/>
              </w:rPr>
              <w:t>Représentation numérique par entiers</w:t>
            </w:r>
          </w:p>
        </w:tc>
        <w:tc>
          <w:tcPr>
            <w:tcW w:w="6815" w:type="dxa"/>
            <w:tcBorders>
              <w:top w:val="single" w:sz="4" w:space="0" w:color="000000"/>
              <w:left w:val="single" w:sz="4" w:space="0" w:color="000000"/>
              <w:bottom w:val="single" w:sz="4" w:space="0" w:color="000000"/>
              <w:right w:val="single" w:sz="4" w:space="0" w:color="000000"/>
            </w:tcBorders>
            <w:vAlign w:val="center"/>
            <w:hideMark/>
          </w:tcPr>
          <w:p w14:paraId="2BA29672" w14:textId="77777777" w:rsidR="00F11690" w:rsidRPr="006830D9" w:rsidRDefault="00F11690" w:rsidP="009F2B2B">
            <w:pPr>
              <w:pStyle w:val="Tabletext"/>
              <w:jc w:val="center"/>
              <w:rPr>
                <w:lang w:val="fr-FR"/>
              </w:rPr>
            </w:pPr>
            <w:bookmarkStart w:id="24" w:name="lt_pId159"/>
            <w:r w:rsidRPr="006830D9">
              <w:rPr>
                <w:lang w:val="fr-FR"/>
              </w:rPr>
              <w:t>Conformément au Tableau 9 de la Rec. UIT-R BT.2100</w:t>
            </w:r>
            <w:bookmarkEnd w:id="24"/>
          </w:p>
          <w:p w14:paraId="177253B5" w14:textId="77777777" w:rsidR="00F11690" w:rsidRPr="006830D9" w:rsidRDefault="00F11690" w:rsidP="009F2B2B">
            <w:pPr>
              <w:pStyle w:val="Tabletext"/>
              <w:jc w:val="center"/>
              <w:rPr>
                <w:lang w:val="fr-FR"/>
              </w:rPr>
            </w:pPr>
            <w:bookmarkStart w:id="25" w:name="lt_pId160"/>
            <w:r w:rsidRPr="006830D9">
              <w:rPr>
                <w:lang w:val="fr-FR"/>
              </w:rPr>
              <w:t>(SDR:</w:t>
            </w:r>
            <w:bookmarkEnd w:id="25"/>
            <w:r w:rsidRPr="006830D9">
              <w:rPr>
                <w:lang w:val="fr-FR"/>
              </w:rPr>
              <w:t xml:space="preserve"> </w:t>
            </w:r>
            <w:bookmarkStart w:id="26" w:name="lt_pId161"/>
            <w:r w:rsidRPr="006830D9">
              <w:rPr>
                <w:lang w:val="fr-FR"/>
              </w:rPr>
              <w:t>intervalle étroit, HDR:</w:t>
            </w:r>
            <w:bookmarkEnd w:id="26"/>
            <w:r w:rsidRPr="006830D9">
              <w:rPr>
                <w:lang w:val="fr-FR"/>
              </w:rPr>
              <w:t xml:space="preserve"> </w:t>
            </w:r>
            <w:bookmarkStart w:id="27" w:name="lt_pId162"/>
            <w:r w:rsidRPr="006830D9">
              <w:rPr>
                <w:lang w:val="fr-FR"/>
              </w:rPr>
              <w:t>intervalle étroit ou complet)</w:t>
            </w:r>
            <w:bookmarkEnd w:id="27"/>
          </w:p>
        </w:tc>
      </w:tr>
      <w:tr w:rsidR="00F11690" w:rsidRPr="006830D9" w14:paraId="64B050B9" w14:textId="77777777" w:rsidTr="0020765F">
        <w:trPr>
          <w:jc w:val="center"/>
        </w:trPr>
        <w:tc>
          <w:tcPr>
            <w:tcW w:w="9645" w:type="dxa"/>
            <w:gridSpan w:val="2"/>
            <w:tcBorders>
              <w:top w:val="single" w:sz="4" w:space="0" w:color="000000"/>
              <w:left w:val="nil"/>
              <w:bottom w:val="nil"/>
              <w:right w:val="nil"/>
            </w:tcBorders>
            <w:hideMark/>
          </w:tcPr>
          <w:p w14:paraId="1E094532" w14:textId="77777777" w:rsidR="00F11690" w:rsidRPr="006830D9" w:rsidRDefault="00F11690" w:rsidP="00DF0EC0">
            <w:pPr>
              <w:pStyle w:val="Tabletext"/>
              <w:rPr>
                <w:lang w:val="fr-FR"/>
              </w:rPr>
            </w:pPr>
            <w:bookmarkStart w:id="28" w:name="lt_pId163"/>
            <w:r w:rsidRPr="006830D9">
              <w:rPr>
                <w:i/>
                <w:iCs/>
                <w:lang w:val="fr-FR"/>
              </w:rPr>
              <w:t>Note concernant le Tableau 3</w:t>
            </w:r>
            <w:r w:rsidRPr="006830D9">
              <w:rPr>
                <w:lang w:val="fr-FR"/>
              </w:rPr>
              <w:t xml:space="preserve">: </w:t>
            </w:r>
            <w:bookmarkEnd w:id="28"/>
            <w:r w:rsidRPr="006830D9">
              <w:rPr>
                <w:lang w:val="fr-FR"/>
              </w:rPr>
              <w:t xml:space="preserve">le format de signal intensité constante </w:t>
            </w:r>
            <w:r w:rsidRPr="006830D9">
              <w:rPr>
                <w:i/>
                <w:iCs/>
                <w:lang w:val="fr-FR"/>
              </w:rPr>
              <w:t>IC</w:t>
            </w:r>
            <w:r w:rsidRPr="006830D9">
              <w:rPr>
                <w:i/>
                <w:iCs/>
                <w:vertAlign w:val="subscript"/>
                <w:lang w:val="fr-FR"/>
              </w:rPr>
              <w:t>T</w:t>
            </w:r>
            <w:r w:rsidRPr="006830D9">
              <w:rPr>
                <w:i/>
                <w:iCs/>
                <w:lang w:val="fr-FR"/>
              </w:rPr>
              <w:t>C</w:t>
            </w:r>
            <w:r w:rsidRPr="006830D9">
              <w:rPr>
                <w:i/>
                <w:iCs/>
                <w:vertAlign w:val="subscript"/>
                <w:lang w:val="fr-FR"/>
              </w:rPr>
              <w:t>P</w:t>
            </w:r>
            <w:r w:rsidRPr="006830D9">
              <w:rPr>
                <w:lang w:val="fr-FR"/>
              </w:rPr>
              <w:t xml:space="preserve"> a été introduit pour la première fois en 2016 dans le Recommandation UIT-R BT.2100. Ce format de signal ne devrait pas être utilisé pour l'échange de programmes, sauf accord de toutes les parties prenantes.</w:t>
            </w:r>
          </w:p>
        </w:tc>
      </w:tr>
    </w:tbl>
    <w:p w14:paraId="5B15C6EF" w14:textId="77777777" w:rsidR="00F11690" w:rsidRPr="006830D9" w:rsidRDefault="00F11690" w:rsidP="00F11690">
      <w:pPr>
        <w:pStyle w:val="Tablefin"/>
        <w:rPr>
          <w:lang w:val="fr-FR"/>
        </w:rPr>
      </w:pPr>
    </w:p>
    <w:p w14:paraId="6D7DB715" w14:textId="77777777" w:rsidR="00F11690" w:rsidRPr="006830D9" w:rsidRDefault="00F11690" w:rsidP="00F11690">
      <w:pPr>
        <w:pStyle w:val="Heading1"/>
        <w:rPr>
          <w:lang w:val="fr-FR"/>
        </w:rPr>
      </w:pPr>
      <w:r w:rsidRPr="006830D9">
        <w:rPr>
          <w:lang w:val="fr-FR"/>
        </w:rPr>
        <w:t>2</w:t>
      </w:r>
      <w:r w:rsidRPr="006830D9">
        <w:rPr>
          <w:lang w:val="fr-FR"/>
        </w:rPr>
        <w:tab/>
        <w:t>Caractéristiques de présentation des images à 360°</w:t>
      </w:r>
    </w:p>
    <w:p w14:paraId="0AE58EED" w14:textId="77777777" w:rsidR="00F11690" w:rsidRPr="006830D9" w:rsidRDefault="00F11690" w:rsidP="00F11690">
      <w:pPr>
        <w:rPr>
          <w:lang w:val="fr-FR"/>
        </w:rPr>
      </w:pPr>
      <w:r w:rsidRPr="006830D9">
        <w:rPr>
          <w:lang w:val="fr-FR"/>
        </w:rPr>
        <w:t>On trouvera dans l'Annexe 2, pour information, les caractéristiques de présentation des images à 360°.</w:t>
      </w:r>
    </w:p>
    <w:p w14:paraId="2C768C01" w14:textId="77777777" w:rsidR="0020765F" w:rsidRPr="006830D9" w:rsidRDefault="0020765F" w:rsidP="00F11690">
      <w:pPr>
        <w:rPr>
          <w:lang w:val="fr-FR"/>
        </w:rPr>
      </w:pPr>
    </w:p>
    <w:p w14:paraId="0C657F4F" w14:textId="77777777" w:rsidR="0020765F" w:rsidRPr="006830D9" w:rsidRDefault="0020765F" w:rsidP="00F11690">
      <w:pPr>
        <w:rPr>
          <w:lang w:val="fr-FR"/>
        </w:rPr>
      </w:pPr>
    </w:p>
    <w:p w14:paraId="699FE74C" w14:textId="77777777" w:rsidR="00F11690" w:rsidRPr="006830D9" w:rsidRDefault="00F11690" w:rsidP="0020765F">
      <w:pPr>
        <w:pStyle w:val="AnnexNoTitle"/>
        <w:outlineLvl w:val="0"/>
        <w:rPr>
          <w:lang w:val="fr-FR"/>
        </w:rPr>
      </w:pPr>
      <w:r w:rsidRPr="006830D9">
        <w:rPr>
          <w:lang w:val="fr-FR"/>
        </w:rPr>
        <w:lastRenderedPageBreak/>
        <w:t>Annexe 1</w:t>
      </w:r>
      <w:r w:rsidRPr="006830D9">
        <w:rPr>
          <w:lang w:val="fr-FR"/>
        </w:rPr>
        <w:br/>
        <w:t>(normative)</w:t>
      </w:r>
      <w:r w:rsidRPr="006830D9">
        <w:rPr>
          <w:lang w:val="fr-FR"/>
        </w:rPr>
        <w:br/>
      </w:r>
      <w:r w:rsidRPr="006830D9">
        <w:rPr>
          <w:lang w:val="fr-FR"/>
        </w:rPr>
        <w:br/>
        <w:t>Projection vidéo omnidirectionnelle</w:t>
      </w:r>
      <w:r w:rsidRPr="006830D9">
        <w:rPr>
          <w:rStyle w:val="FootnoteReference"/>
          <w:lang w:val="fr-FR"/>
        </w:rPr>
        <w:footnoteReference w:id="2"/>
      </w:r>
    </w:p>
    <w:p w14:paraId="36793E67" w14:textId="77777777" w:rsidR="00F11690" w:rsidRPr="006830D9" w:rsidRDefault="00F11690" w:rsidP="0020765F">
      <w:pPr>
        <w:pStyle w:val="Heading1"/>
        <w:rPr>
          <w:lang w:val="fr-FR"/>
        </w:rPr>
      </w:pPr>
      <w:r w:rsidRPr="006830D9">
        <w:rPr>
          <w:lang w:val="fr-FR"/>
        </w:rPr>
        <w:t>1</w:t>
      </w:r>
      <w:r w:rsidRPr="006830D9">
        <w:rPr>
          <w:lang w:val="fr-FR"/>
        </w:rPr>
        <w:tab/>
        <w:t>Structure de projection et système de coordonnées</w:t>
      </w:r>
    </w:p>
    <w:p w14:paraId="645BCF8E" w14:textId="77777777" w:rsidR="00F11690" w:rsidRPr="006830D9" w:rsidRDefault="00F11690" w:rsidP="00F11690">
      <w:pPr>
        <w:rPr>
          <w:lang w:val="fr-FR"/>
        </w:rPr>
      </w:pPr>
      <w:r w:rsidRPr="006830D9">
        <w:rPr>
          <w:lang w:val="fr-FR"/>
        </w:rPr>
        <w:t>La structure de projection est une sphère unité.</w:t>
      </w:r>
    </w:p>
    <w:p w14:paraId="31366822" w14:textId="77777777" w:rsidR="00F11690" w:rsidRPr="006830D9" w:rsidRDefault="00F11690" w:rsidP="00F11690">
      <w:pPr>
        <w:rPr>
          <w:lang w:val="fr-FR"/>
        </w:rPr>
      </w:pPr>
      <w:r w:rsidRPr="006830D9">
        <w:rPr>
          <w:lang w:val="fr-FR"/>
        </w:rPr>
        <w:t>Il convient d'utiliser le système de coordonnées spécifié dans la présente section pour indiquer l'orientation de la structure de projection ou l'emplacement d'un point dans la sphère. Dans ce second cas, l'angle de roulis pourra être absent ou ignoré.</w:t>
      </w:r>
    </w:p>
    <w:p w14:paraId="0F45A943" w14:textId="77777777" w:rsidR="00F11690" w:rsidRPr="006830D9" w:rsidRDefault="00F11690" w:rsidP="00F11690">
      <w:pPr>
        <w:pStyle w:val="Note"/>
        <w:rPr>
          <w:lang w:val="fr-FR"/>
        </w:rPr>
      </w:pPr>
      <w:r w:rsidRPr="006830D9">
        <w:rPr>
          <w:lang w:val="fr-FR"/>
        </w:rPr>
        <w:t>NOTE 1 – On présume que les systèmes de coordonnées des différents types de médias ont été alignés lors de la production du contenu.</w:t>
      </w:r>
    </w:p>
    <w:p w14:paraId="7E7B18B2" w14:textId="77777777" w:rsidR="00F11690" w:rsidRPr="006830D9" w:rsidRDefault="00F11690" w:rsidP="00F11690">
      <w:pPr>
        <w:pStyle w:val="Note"/>
        <w:rPr>
          <w:lang w:val="fr-FR"/>
        </w:rPr>
      </w:pPr>
      <w:r w:rsidRPr="006830D9">
        <w:rPr>
          <w:lang w:val="fr-FR"/>
        </w:rPr>
        <w:t>NOTE 2 – Le système de coordonnées spécifié est identique au système de coordonnées de référence spécifié pour les organes de commande dans la norme ISO/CEI 23005-5.</w:t>
      </w:r>
    </w:p>
    <w:p w14:paraId="536F6F0E" w14:textId="77777777" w:rsidR="00F11690" w:rsidRPr="006830D9" w:rsidRDefault="00F11690" w:rsidP="00F11690">
      <w:pPr>
        <w:rPr>
          <w:lang w:val="fr-FR"/>
        </w:rPr>
      </w:pPr>
      <w:r w:rsidRPr="006830D9">
        <w:rPr>
          <w:lang w:val="fr-FR"/>
        </w:rPr>
        <w:t>La Figure 1 spécifie les axes des coordonnées utilisés pour définir les angles de lacet (</w:t>
      </w:r>
      <w:r w:rsidRPr="006830D9">
        <w:rPr>
          <w:lang w:val="fr-FR" w:eastAsia="ko-KR"/>
        </w:rPr>
        <w:sym w:font="Symbol" w:char="F066"/>
      </w:r>
      <w:r w:rsidRPr="006830D9">
        <w:rPr>
          <w:lang w:val="fr-FR"/>
        </w:rPr>
        <w:t>), de tangage (</w:t>
      </w:r>
      <w:r w:rsidRPr="006830D9">
        <w:rPr>
          <w:lang w:val="fr-FR" w:eastAsia="ko-KR"/>
        </w:rPr>
        <w:sym w:font="Symbol" w:char="F071"/>
      </w:r>
      <w:r w:rsidRPr="006830D9">
        <w:rPr>
          <w:lang w:val="fr-FR"/>
        </w:rPr>
        <w:t>) et de roulis. Le lacet est une rotation autour de l'axe des Y (vertical, vers le haut), le tangage est une rotation autour de l'axe des X (latéral, de droite à gauche et inversement) et le roulis est une rotation autour de l'axe des Z (d'arrière en avant). Les rotations sont extrinsèques, c'est-à-dire qu'elles se font autour des axes de référence fixes X, Y et Z. Les angles augmentent dans le sens des aiguilles d'une montre par rapport à l'axe depuis son origine en direction des valeurs positives.</w:t>
      </w:r>
    </w:p>
    <w:p w14:paraId="750458CE" w14:textId="77777777" w:rsidR="00F11690" w:rsidRPr="006830D9" w:rsidRDefault="00F11690" w:rsidP="00F11690">
      <w:pPr>
        <w:pStyle w:val="FigureNo"/>
        <w:rPr>
          <w:rFonts w:eastAsia="MS Mincho"/>
          <w:lang w:val="fr-FR"/>
        </w:rPr>
      </w:pPr>
      <w:bookmarkStart w:id="29" w:name="lt_pId182"/>
      <w:r w:rsidRPr="006830D9">
        <w:rPr>
          <w:lang w:val="fr-FR"/>
        </w:rPr>
        <w:t>Figure 1</w:t>
      </w:r>
      <w:bookmarkEnd w:id="29"/>
    </w:p>
    <w:p w14:paraId="42CFC62E" w14:textId="77777777" w:rsidR="00F11690" w:rsidRPr="006830D9" w:rsidRDefault="00F11690" w:rsidP="0020765F">
      <w:pPr>
        <w:pStyle w:val="Figuretitle"/>
        <w:rPr>
          <w:lang w:val="fr-FR"/>
        </w:rPr>
      </w:pPr>
      <w:r w:rsidRPr="006830D9">
        <w:rPr>
          <w:lang w:val="fr-FR"/>
        </w:rPr>
        <w:t>Axes principaux pour les angles de lacet, de tangage et de roulis</w:t>
      </w:r>
      <w:bookmarkStart w:id="30" w:name="lt_pId184"/>
      <w:r w:rsidRPr="006830D9">
        <w:rPr>
          <w:lang w:val="fr-FR"/>
        </w:rPr>
        <w:br/>
        <w:t>Le lacet est une rotation autour de l'axe des Y (vertical, vers le haut), le tangage est une rotation autour</w:t>
      </w:r>
      <w:r w:rsidRPr="006830D9">
        <w:rPr>
          <w:lang w:val="fr-FR"/>
        </w:rPr>
        <w:br/>
        <w:t>de l'axe des X (latéral, de droite à gauche) et inversement, le roulis est une rotation autour</w:t>
      </w:r>
      <w:r w:rsidRPr="006830D9">
        <w:rPr>
          <w:lang w:val="fr-FR"/>
        </w:rPr>
        <w:br/>
        <w:t>de l'axe des Z (de l'arrière vers l'avant)</w:t>
      </w:r>
      <w:bookmarkEnd w:id="30"/>
    </w:p>
    <w:p w14:paraId="37F2A98E" w14:textId="77777777" w:rsidR="00F11690" w:rsidRPr="006830D9" w:rsidRDefault="00F11690" w:rsidP="0020765F">
      <w:pPr>
        <w:pStyle w:val="Figure"/>
        <w:rPr>
          <w:lang w:val="fr-FR"/>
        </w:rPr>
      </w:pPr>
      <w:r w:rsidRPr="006830D9">
        <w:rPr>
          <w:lang w:val="fr-FR"/>
        </w:rPr>
        <w:object w:dxaOrig="4275" w:dyaOrig="3285" w14:anchorId="635DF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64.45pt" o:ole="">
            <v:imagedata r:id="rId14" o:title=""/>
          </v:shape>
          <o:OLEObject Type="Embed" ProgID="CorelDraw.Graphic.16" ShapeID="_x0000_i1025" DrawAspect="Content" ObjectID="_1806299020" r:id="rId15"/>
        </w:object>
      </w:r>
    </w:p>
    <w:p w14:paraId="735F7411" w14:textId="77777777" w:rsidR="00F11690" w:rsidRPr="006830D9" w:rsidRDefault="00F11690" w:rsidP="0020765F">
      <w:pPr>
        <w:pStyle w:val="enumlev1"/>
        <w:spacing w:before="280"/>
        <w:rPr>
          <w:rFonts w:eastAsia="Malgun Gothic"/>
          <w:lang w:val="fr-FR" w:eastAsia="ko-KR"/>
        </w:rPr>
      </w:pPr>
      <w:bookmarkStart w:id="31" w:name="lt_pId185"/>
      <w:r w:rsidRPr="006830D9">
        <w:rPr>
          <w:b/>
          <w:lang w:val="fr-FR" w:eastAsia="ko-KR"/>
        </w:rPr>
        <w:t xml:space="preserve">L'angle de lacet </w:t>
      </w:r>
      <w:r w:rsidRPr="006830D9">
        <w:rPr>
          <w:rFonts w:eastAsia="Malgun Gothic"/>
          <w:lang w:val="fr-FR" w:eastAsia="ko-KR"/>
        </w:rPr>
        <w:t>(</w:t>
      </w:r>
      <w:r w:rsidRPr="006830D9">
        <w:rPr>
          <w:lang w:val="fr-FR" w:eastAsia="ko-KR"/>
        </w:rPr>
        <w:sym w:font="Symbol" w:char="F066"/>
      </w:r>
      <w:r w:rsidRPr="006830D9">
        <w:rPr>
          <w:rFonts w:eastAsia="Malgun Gothic"/>
          <w:lang w:val="fr-FR" w:eastAsia="ko-KR"/>
        </w:rPr>
        <w:t>) indique l'angle de rotation autour de l'axe des Y en degrés.</w:t>
      </w:r>
    </w:p>
    <w:p w14:paraId="2FF494F5" w14:textId="77777777" w:rsidR="00F11690" w:rsidRPr="006830D9" w:rsidRDefault="00F11690" w:rsidP="00F11690">
      <w:pPr>
        <w:pStyle w:val="enumlev2"/>
        <w:rPr>
          <w:lang w:val="fr-FR" w:eastAsia="ko-KR"/>
        </w:rPr>
      </w:pPr>
      <w:bookmarkStart w:id="32" w:name="lt_pId186"/>
      <w:bookmarkEnd w:id="31"/>
      <w:r w:rsidRPr="006830D9">
        <w:rPr>
          <w:lang w:val="fr-FR"/>
        </w:rPr>
        <w:t>Type:</w:t>
      </w:r>
      <w:bookmarkEnd w:id="32"/>
      <w:r w:rsidRPr="006830D9">
        <w:rPr>
          <w:lang w:val="fr-FR"/>
        </w:rPr>
        <w:t xml:space="preserve"> valeurs décimales à virgule flottante</w:t>
      </w:r>
    </w:p>
    <w:p w14:paraId="55033A51" w14:textId="77777777" w:rsidR="00F11690" w:rsidRPr="006830D9" w:rsidRDefault="00F11690" w:rsidP="00F11690">
      <w:pPr>
        <w:pStyle w:val="enumlev2"/>
        <w:rPr>
          <w:lang w:val="fr-FR" w:eastAsia="ko-KR"/>
        </w:rPr>
      </w:pPr>
      <w:bookmarkStart w:id="33" w:name="lt_pId188"/>
      <w:r w:rsidRPr="006830D9">
        <w:rPr>
          <w:lang w:val="fr-FR"/>
        </w:rPr>
        <w:t>Plage:</w:t>
      </w:r>
      <w:bookmarkEnd w:id="33"/>
      <w:r w:rsidRPr="006830D9">
        <w:rPr>
          <w:lang w:val="fr-FR"/>
        </w:rPr>
        <w:t xml:space="preserve"> </w:t>
      </w:r>
      <w:bookmarkStart w:id="34" w:name="lt_pId189"/>
      <w:r w:rsidRPr="006830D9">
        <w:rPr>
          <w:lang w:val="fr-FR"/>
        </w:rPr>
        <w:t>de −180, inclus, à 180, exclus</w:t>
      </w:r>
      <w:bookmarkEnd w:id="34"/>
    </w:p>
    <w:p w14:paraId="77E121EB" w14:textId="77777777" w:rsidR="00F11690" w:rsidRPr="006830D9" w:rsidRDefault="00F11690" w:rsidP="00F11690">
      <w:pPr>
        <w:pStyle w:val="enumlev1"/>
        <w:keepNext/>
        <w:rPr>
          <w:b/>
          <w:szCs w:val="24"/>
          <w:lang w:val="fr-FR" w:eastAsia="ko-KR"/>
        </w:rPr>
      </w:pPr>
      <w:bookmarkStart w:id="35" w:name="lt_pId190"/>
      <w:r w:rsidRPr="006830D9">
        <w:rPr>
          <w:b/>
          <w:lang w:val="fr-FR" w:eastAsia="ko-KR"/>
        </w:rPr>
        <w:lastRenderedPageBreak/>
        <w:t xml:space="preserve">L'angle de tangage </w:t>
      </w:r>
      <w:r w:rsidRPr="006830D9">
        <w:rPr>
          <w:rFonts w:eastAsia="Malgun Gothic"/>
          <w:szCs w:val="24"/>
          <w:lang w:val="fr-FR" w:eastAsia="ko-KR"/>
        </w:rPr>
        <w:t>(</w:t>
      </w:r>
      <w:r w:rsidRPr="006830D9">
        <w:rPr>
          <w:szCs w:val="24"/>
          <w:lang w:val="fr-FR" w:eastAsia="ko-KR"/>
        </w:rPr>
        <w:sym w:font="Symbol" w:char="F071"/>
      </w:r>
      <w:r w:rsidRPr="006830D9">
        <w:rPr>
          <w:rFonts w:eastAsia="Malgun Gothic"/>
          <w:szCs w:val="24"/>
          <w:lang w:val="fr-FR" w:eastAsia="ko-KR"/>
        </w:rPr>
        <w:t xml:space="preserve">) </w:t>
      </w:r>
      <w:r w:rsidRPr="006830D9">
        <w:rPr>
          <w:rFonts w:eastAsia="Malgun Gothic"/>
          <w:lang w:val="fr-FR" w:eastAsia="ko-KR"/>
        </w:rPr>
        <w:t xml:space="preserve">indique l'angle de rotation autour de l'axe des </w:t>
      </w:r>
      <w:r w:rsidRPr="006830D9">
        <w:rPr>
          <w:szCs w:val="24"/>
          <w:lang w:val="fr-FR" w:eastAsia="ko-KR"/>
        </w:rPr>
        <w:t xml:space="preserve">X </w:t>
      </w:r>
      <w:r w:rsidRPr="006830D9">
        <w:rPr>
          <w:rFonts w:eastAsia="Malgun Gothic"/>
          <w:lang w:val="fr-FR" w:eastAsia="ko-KR"/>
        </w:rPr>
        <w:t>en degrés</w:t>
      </w:r>
      <w:r w:rsidRPr="006830D9">
        <w:rPr>
          <w:szCs w:val="24"/>
          <w:lang w:val="fr-FR" w:eastAsia="ko-KR"/>
        </w:rPr>
        <w:t>.</w:t>
      </w:r>
      <w:bookmarkEnd w:id="35"/>
    </w:p>
    <w:p w14:paraId="12DF352D" w14:textId="77777777" w:rsidR="00F11690" w:rsidRPr="006830D9" w:rsidRDefault="00F11690" w:rsidP="00F11690">
      <w:pPr>
        <w:pStyle w:val="enumlev2"/>
        <w:rPr>
          <w:lang w:val="fr-FR" w:eastAsia="ko-KR"/>
        </w:rPr>
      </w:pPr>
      <w:r w:rsidRPr="006830D9">
        <w:rPr>
          <w:lang w:val="fr-FR"/>
        </w:rPr>
        <w:t>Type: valeurs décimales à virgule flottante</w:t>
      </w:r>
    </w:p>
    <w:p w14:paraId="1807BC1E" w14:textId="7AB71F72" w:rsidR="00F11690" w:rsidRPr="006830D9" w:rsidRDefault="00F11690" w:rsidP="00F11690">
      <w:pPr>
        <w:pStyle w:val="enumlev2"/>
        <w:rPr>
          <w:lang w:val="fr-FR" w:eastAsia="ko-KR"/>
        </w:rPr>
      </w:pPr>
      <w:bookmarkStart w:id="36" w:name="lt_pId194"/>
      <w:r w:rsidRPr="006830D9">
        <w:rPr>
          <w:lang w:val="fr-FR"/>
        </w:rPr>
        <w:t xml:space="preserve">Plage: de </w:t>
      </w:r>
      <w:r w:rsidR="0020765F" w:rsidRPr="006830D9">
        <w:rPr>
          <w:lang w:val="fr-FR"/>
        </w:rPr>
        <w:t>−</w:t>
      </w:r>
      <w:r w:rsidRPr="006830D9">
        <w:rPr>
          <w:lang w:val="fr-FR"/>
        </w:rPr>
        <w:t>90, inclus, à 90</w:t>
      </w:r>
      <w:bookmarkEnd w:id="36"/>
      <w:r w:rsidRPr="006830D9">
        <w:rPr>
          <w:lang w:val="fr-FR"/>
        </w:rPr>
        <w:t>, exclus</w:t>
      </w:r>
    </w:p>
    <w:p w14:paraId="7BC88A49" w14:textId="77777777" w:rsidR="00F11690" w:rsidRPr="006830D9" w:rsidRDefault="00F11690" w:rsidP="00F11690">
      <w:pPr>
        <w:pStyle w:val="enumlev1"/>
        <w:rPr>
          <w:b/>
          <w:szCs w:val="24"/>
          <w:lang w:val="fr-FR" w:eastAsia="ko-KR"/>
        </w:rPr>
      </w:pPr>
      <w:bookmarkStart w:id="37" w:name="lt_pId195"/>
      <w:r w:rsidRPr="006830D9">
        <w:rPr>
          <w:b/>
          <w:lang w:val="fr-FR" w:eastAsia="ko-KR"/>
        </w:rPr>
        <w:t xml:space="preserve">L'angle de roulis </w:t>
      </w:r>
      <w:r w:rsidRPr="006830D9">
        <w:rPr>
          <w:rFonts w:eastAsia="Malgun Gothic"/>
          <w:lang w:val="fr-FR" w:eastAsia="ko-KR"/>
        </w:rPr>
        <w:t xml:space="preserve">indique l'angle de rotation autour de l'axe des </w:t>
      </w:r>
      <w:r w:rsidRPr="006830D9">
        <w:rPr>
          <w:szCs w:val="24"/>
          <w:lang w:val="fr-FR" w:eastAsia="ko-KR"/>
        </w:rPr>
        <w:t xml:space="preserve">Z </w:t>
      </w:r>
      <w:r w:rsidRPr="006830D9">
        <w:rPr>
          <w:rFonts w:eastAsia="Malgun Gothic"/>
          <w:lang w:val="fr-FR" w:eastAsia="ko-KR"/>
        </w:rPr>
        <w:t>en degrés</w:t>
      </w:r>
      <w:r w:rsidRPr="006830D9">
        <w:rPr>
          <w:szCs w:val="24"/>
          <w:lang w:val="fr-FR" w:eastAsia="ko-KR"/>
        </w:rPr>
        <w:t>.</w:t>
      </w:r>
      <w:bookmarkEnd w:id="37"/>
    </w:p>
    <w:p w14:paraId="576E05FC" w14:textId="77777777" w:rsidR="00F11690" w:rsidRPr="006830D9" w:rsidRDefault="00F11690" w:rsidP="00F11690">
      <w:pPr>
        <w:pStyle w:val="enumlev2"/>
        <w:tabs>
          <w:tab w:val="left" w:pos="6250"/>
        </w:tabs>
        <w:rPr>
          <w:lang w:val="fr-FR" w:eastAsia="ko-KR"/>
        </w:rPr>
      </w:pPr>
      <w:r w:rsidRPr="006830D9">
        <w:rPr>
          <w:lang w:val="fr-FR"/>
        </w:rPr>
        <w:t>Type: valeurs décimales à virgule flottante</w:t>
      </w:r>
    </w:p>
    <w:p w14:paraId="32E86AF1" w14:textId="59BBC708" w:rsidR="00F11690" w:rsidRPr="006830D9" w:rsidRDefault="00F11690" w:rsidP="00F11690">
      <w:pPr>
        <w:pStyle w:val="enumlev2"/>
        <w:rPr>
          <w:lang w:val="fr-FR" w:eastAsia="ko-KR"/>
        </w:rPr>
      </w:pPr>
      <w:r w:rsidRPr="006830D9">
        <w:rPr>
          <w:lang w:val="fr-FR"/>
        </w:rPr>
        <w:t xml:space="preserve">Plage: de </w:t>
      </w:r>
      <w:r w:rsidR="0020765F" w:rsidRPr="006830D9">
        <w:rPr>
          <w:lang w:val="fr-FR"/>
        </w:rPr>
        <w:t>−</w:t>
      </w:r>
      <w:r w:rsidRPr="006830D9">
        <w:rPr>
          <w:lang w:val="fr-FR"/>
        </w:rPr>
        <w:t>180, inclus, à 180, exclus</w:t>
      </w:r>
    </w:p>
    <w:p w14:paraId="195B6397" w14:textId="77777777" w:rsidR="00F11690" w:rsidRPr="006830D9" w:rsidRDefault="00F11690" w:rsidP="0020765F">
      <w:pPr>
        <w:pStyle w:val="Heading1"/>
        <w:rPr>
          <w:rFonts w:eastAsia="MS Mincho"/>
          <w:lang w:val="fr-FR"/>
        </w:rPr>
      </w:pPr>
      <w:r w:rsidRPr="006830D9">
        <w:rPr>
          <w:rFonts w:eastAsia="MS Mincho"/>
          <w:lang w:val="fr-FR"/>
        </w:rPr>
        <w:t>2</w:t>
      </w:r>
      <w:r w:rsidRPr="006830D9">
        <w:rPr>
          <w:rFonts w:eastAsia="MS Mincho"/>
          <w:lang w:val="fr-FR"/>
        </w:rPr>
        <w:tab/>
        <w:t>Formats de projection omnidirectionnelle</w:t>
      </w:r>
    </w:p>
    <w:p w14:paraId="620848A2" w14:textId="77777777" w:rsidR="00F11690" w:rsidRPr="006830D9" w:rsidRDefault="00F11690" w:rsidP="0020765F">
      <w:pPr>
        <w:rPr>
          <w:rFonts w:eastAsia="Malgun Gothic"/>
          <w:lang w:val="fr-FR" w:eastAsia="ko-KR"/>
        </w:rPr>
      </w:pPr>
      <w:bookmarkStart w:id="38" w:name="lt_pId202"/>
      <w:r w:rsidRPr="006830D9">
        <w:rPr>
          <w:rFonts w:eastAsia="Malgun Gothic"/>
          <w:lang w:val="fr-FR" w:eastAsia="ko-KR"/>
        </w:rPr>
        <w:t>Les données nécessaires aux fins du présent paragraphe sont les suivantes:</w:t>
      </w:r>
      <w:bookmarkEnd w:id="38"/>
    </w:p>
    <w:p w14:paraId="72D75234" w14:textId="7A3CC83E" w:rsidR="00F11690" w:rsidRPr="006830D9" w:rsidRDefault="00F11690" w:rsidP="00F11690">
      <w:pPr>
        <w:pStyle w:val="enumlev1"/>
        <w:rPr>
          <w:rFonts w:eastAsia="Malgun Gothic"/>
          <w:lang w:val="fr-FR" w:eastAsia="ko-KR"/>
        </w:rPr>
      </w:pPr>
      <w:r w:rsidRPr="006830D9">
        <w:rPr>
          <w:rFonts w:eastAsia="Malgun Gothic"/>
          <w:b/>
          <w:lang w:val="fr-FR" w:eastAsia="ko-KR"/>
        </w:rPr>
        <w:t>–</w:t>
      </w:r>
      <w:r w:rsidRPr="006830D9">
        <w:rPr>
          <w:rFonts w:eastAsia="Malgun Gothic"/>
          <w:b/>
          <w:lang w:val="fr-FR" w:eastAsia="ko-KR"/>
        </w:rPr>
        <w:tab/>
      </w:r>
      <w:bookmarkStart w:id="39" w:name="lt_pId204"/>
      <w:r w:rsidRPr="006830D9">
        <w:rPr>
          <w:rFonts w:eastAsia="Malgun Gothic"/>
          <w:b/>
          <w:lang w:val="fr-FR" w:eastAsia="ko-KR"/>
        </w:rPr>
        <w:t>Largeur d'image</w:t>
      </w:r>
      <w:r w:rsidRPr="006830D9">
        <w:rPr>
          <w:rFonts w:eastAsia="Malgun Gothic"/>
          <w:lang w:val="fr-FR" w:eastAsia="ko-KR"/>
        </w:rPr>
        <w:t xml:space="preserve"> (</w:t>
      </w:r>
      <w:r w:rsidRPr="006830D9">
        <w:rPr>
          <w:rFonts w:eastAsia="Malgun Gothic"/>
          <w:i/>
          <w:iCs/>
          <w:lang w:val="fr-FR" w:eastAsia="ko-KR"/>
        </w:rPr>
        <w:t>w</w:t>
      </w:r>
      <w:r w:rsidRPr="006830D9">
        <w:rPr>
          <w:rFonts w:eastAsia="Malgun Gothic"/>
          <w:lang w:val="fr-FR" w:eastAsia="ko-KR"/>
        </w:rPr>
        <w:t xml:space="preserve">) et </w:t>
      </w:r>
      <w:r w:rsidRPr="006830D9">
        <w:rPr>
          <w:rFonts w:eastAsia="Malgun Gothic"/>
          <w:b/>
          <w:lang w:val="fr-FR" w:eastAsia="ko-KR"/>
        </w:rPr>
        <w:t>hauteur d'image</w:t>
      </w:r>
      <w:r w:rsidRPr="006830D9">
        <w:rPr>
          <w:rFonts w:eastAsia="Malgun Gothic"/>
          <w:lang w:val="fr-FR" w:eastAsia="ko-KR"/>
        </w:rPr>
        <w:t xml:space="preserve"> (</w:t>
      </w:r>
      <w:r w:rsidRPr="006830D9">
        <w:rPr>
          <w:rFonts w:eastAsia="Malgun Gothic"/>
          <w:i/>
          <w:iCs/>
          <w:lang w:val="fr-FR" w:eastAsia="ko-KR"/>
        </w:rPr>
        <w:t>h</w:t>
      </w:r>
      <w:r w:rsidRPr="006830D9">
        <w:rPr>
          <w:rFonts w:eastAsia="Malgun Gothic"/>
          <w:lang w:val="fr-FR" w:eastAsia="ko-KR"/>
        </w:rPr>
        <w:t>), qui sont respectivement la largeur et la hauteur de l'image panoramique équirectangulaire dans les échantillons.</w:t>
      </w:r>
    </w:p>
    <w:bookmarkEnd w:id="39"/>
    <w:p w14:paraId="49798F8C" w14:textId="5EAC929A" w:rsidR="00F11690" w:rsidRPr="006830D9" w:rsidRDefault="00311B17" w:rsidP="00F11690">
      <w:pPr>
        <w:pStyle w:val="enumlev1"/>
        <w:rPr>
          <w:rFonts w:eastAsia="Malgun Gothic"/>
          <w:lang w:val="fr-FR" w:eastAsia="ko-KR"/>
        </w:rPr>
      </w:pPr>
      <w:r w:rsidRPr="006830D9">
        <w:rPr>
          <w:rFonts w:eastAsia="Malgun Gothic"/>
          <w:b/>
          <w:lang w:val="fr-FR" w:eastAsia="ko-KR"/>
        </w:rPr>
        <w:t>–</w:t>
      </w:r>
      <w:r w:rsidR="00F11690" w:rsidRPr="006830D9">
        <w:rPr>
          <w:rFonts w:eastAsia="Malgun Gothic"/>
          <w:lang w:val="fr-FR" w:eastAsia="ko-KR"/>
        </w:rPr>
        <w:tab/>
      </w:r>
      <w:bookmarkStart w:id="40" w:name="lt_pId206"/>
      <w:r w:rsidR="00F11690" w:rsidRPr="006830D9">
        <w:rPr>
          <w:rFonts w:eastAsia="Malgun Gothic"/>
          <w:lang w:val="fr-FR" w:eastAsia="ko-KR"/>
        </w:rPr>
        <w:t>Le point central de l'emplacement de l'échantillon (</w:t>
      </w:r>
      <w:r w:rsidR="00F11690" w:rsidRPr="006830D9">
        <w:rPr>
          <w:rFonts w:eastAsia="Malgun Gothic"/>
          <w:i/>
          <w:iCs/>
          <w:lang w:val="fr-FR" w:eastAsia="ko-KR"/>
        </w:rPr>
        <w:t>i</w:t>
      </w:r>
      <w:r w:rsidR="00F11690" w:rsidRPr="006830D9">
        <w:rPr>
          <w:rFonts w:eastAsia="Malgun Gothic"/>
          <w:lang w:val="fr-FR" w:eastAsia="ko-KR"/>
        </w:rPr>
        <w:t xml:space="preserve">, </w:t>
      </w:r>
      <w:r w:rsidR="00F11690" w:rsidRPr="006830D9">
        <w:rPr>
          <w:rFonts w:eastAsia="Malgun Gothic"/>
          <w:i/>
          <w:iCs/>
          <w:lang w:val="fr-FR" w:eastAsia="ko-KR"/>
        </w:rPr>
        <w:t>j</w:t>
      </w:r>
      <w:r w:rsidR="00F11690" w:rsidRPr="006830D9">
        <w:rPr>
          <w:rFonts w:eastAsia="Malgun Gothic"/>
          <w:lang w:val="fr-FR" w:eastAsia="ko-KR"/>
        </w:rPr>
        <w:t>) le long des axes horizontal et vertical, respectivement.</w:t>
      </w:r>
      <w:bookmarkEnd w:id="40"/>
    </w:p>
    <w:p w14:paraId="5784D509" w14:textId="77777777" w:rsidR="00F11690" w:rsidRPr="006830D9" w:rsidRDefault="00F11690" w:rsidP="00F11690">
      <w:pPr>
        <w:rPr>
          <w:rFonts w:eastAsia="Malgun Gothic"/>
          <w:szCs w:val="24"/>
          <w:lang w:val="fr-FR" w:eastAsia="ko-KR"/>
        </w:rPr>
      </w:pPr>
      <w:bookmarkStart w:id="41" w:name="lt_pId207"/>
      <w:r w:rsidRPr="006830D9">
        <w:rPr>
          <w:rFonts w:eastAsia="Malgun Gothic"/>
          <w:szCs w:val="24"/>
          <w:lang w:val="fr-FR" w:eastAsia="ko-KR"/>
        </w:rPr>
        <w:t>Les données obtenues grâce au présent paragraphe sont les suivantes:</w:t>
      </w:r>
      <w:bookmarkEnd w:id="41"/>
    </w:p>
    <w:p w14:paraId="1DED98AE" w14:textId="1478132C" w:rsidR="00F11690" w:rsidRPr="006830D9" w:rsidRDefault="00311B17" w:rsidP="00F11690">
      <w:pPr>
        <w:pStyle w:val="enumlev1"/>
        <w:rPr>
          <w:rFonts w:eastAsia="Malgun Gothic"/>
          <w:lang w:val="fr-FR" w:eastAsia="ko-KR"/>
        </w:rPr>
      </w:pPr>
      <w:r w:rsidRPr="006830D9">
        <w:rPr>
          <w:rFonts w:eastAsia="Malgun Gothic"/>
          <w:b/>
          <w:lang w:val="fr-FR" w:eastAsia="ko-KR"/>
        </w:rPr>
        <w:t>–</w:t>
      </w:r>
      <w:r w:rsidR="00F11690" w:rsidRPr="006830D9">
        <w:rPr>
          <w:rFonts w:eastAsia="Malgun Gothic"/>
          <w:lang w:val="fr-FR" w:eastAsia="ko-KR"/>
        </w:rPr>
        <w:tab/>
      </w:r>
      <w:bookmarkStart w:id="42" w:name="lt_pId209"/>
      <w:r w:rsidR="00F11690" w:rsidRPr="006830D9">
        <w:rPr>
          <w:rFonts w:eastAsia="Malgun Gothic"/>
          <w:lang w:val="fr-FR" w:eastAsia="ko-KR"/>
        </w:rPr>
        <w:t>Coordonnées angulaires (</w:t>
      </w:r>
      <w:r w:rsidR="00F11690" w:rsidRPr="006830D9">
        <w:rPr>
          <w:rFonts w:eastAsia="Malgun Gothic"/>
          <w:lang w:val="fr-FR" w:eastAsia="ko-KR"/>
        </w:rPr>
        <w:sym w:font="Symbol" w:char="F066"/>
      </w:r>
      <w:r w:rsidR="00F11690" w:rsidRPr="006830D9">
        <w:rPr>
          <w:rFonts w:eastAsia="Malgun Gothic"/>
          <w:lang w:val="fr-FR" w:eastAsia="ko-KR"/>
        </w:rPr>
        <w:t xml:space="preserve">, </w:t>
      </w:r>
      <w:r w:rsidR="00F11690" w:rsidRPr="006830D9">
        <w:rPr>
          <w:rFonts w:eastAsia="Malgun Gothic"/>
          <w:lang w:val="fr-FR" w:eastAsia="ko-KR"/>
        </w:rPr>
        <w:sym w:font="Symbol" w:char="F071"/>
      </w:r>
      <w:r w:rsidR="00F11690" w:rsidRPr="006830D9">
        <w:rPr>
          <w:rFonts w:eastAsia="Malgun Gothic"/>
          <w:lang w:val="fr-FR" w:eastAsia="ko-KR"/>
        </w:rPr>
        <w:t>) pour l'échantillon en degrés par rapport aux axes spécifiés pour les coordonnées au § 1.</w:t>
      </w:r>
      <w:bookmarkEnd w:id="42"/>
    </w:p>
    <w:p w14:paraId="3F071FF5" w14:textId="77777777" w:rsidR="00F11690" w:rsidRPr="006830D9" w:rsidRDefault="00F11690" w:rsidP="00F11690">
      <w:pPr>
        <w:rPr>
          <w:rFonts w:eastAsia="Malgun Gothic"/>
          <w:lang w:val="fr-FR" w:eastAsia="ko-KR"/>
        </w:rPr>
      </w:pPr>
      <w:bookmarkStart w:id="43" w:name="lt_pId210"/>
      <w:r w:rsidRPr="006830D9">
        <w:rPr>
          <w:rFonts w:eastAsia="Malgun Gothic"/>
          <w:lang w:val="fr-FR" w:eastAsia="ko-KR"/>
        </w:rPr>
        <w:t>Les coordonnées angulaires (</w:t>
      </w:r>
      <w:r w:rsidRPr="006830D9">
        <w:rPr>
          <w:rFonts w:eastAsia="Malgun Gothic"/>
          <w:lang w:val="fr-FR" w:eastAsia="ko-KR"/>
        </w:rPr>
        <w:sym w:font="Symbol" w:char="F066"/>
      </w:r>
      <w:r w:rsidRPr="006830D9">
        <w:rPr>
          <w:rFonts w:eastAsia="Malgun Gothic"/>
          <w:lang w:val="fr-FR" w:eastAsia="ko-KR"/>
        </w:rPr>
        <w:t xml:space="preserve">, </w:t>
      </w:r>
      <w:r w:rsidRPr="006830D9">
        <w:rPr>
          <w:rFonts w:eastAsia="Malgun Gothic"/>
          <w:lang w:val="fr-FR" w:eastAsia="ko-KR"/>
        </w:rPr>
        <w:sym w:font="Symbol" w:char="F071"/>
      </w:r>
      <w:r w:rsidRPr="006830D9">
        <w:rPr>
          <w:rFonts w:eastAsia="Malgun Gothic"/>
          <w:lang w:val="fr-FR" w:eastAsia="ko-KR"/>
        </w:rPr>
        <w:t>) de l'emplacement de l'échantillon luma, en degrés, sont obtenues grâce aux équations de cartographie équirectangulaire ci-après, comme indiqué dans la Fig. 2.</w:t>
      </w:r>
    </w:p>
    <w:bookmarkEnd w:id="43"/>
    <w:p w14:paraId="0F61BE31" w14:textId="28AC5D5F" w:rsidR="00F11690" w:rsidRPr="006830D9" w:rsidRDefault="00F11690" w:rsidP="00F11690">
      <w:pPr>
        <w:pStyle w:val="Equation"/>
        <w:rPr>
          <w:rFonts w:eastAsia="Malgun Gothic"/>
          <w:lang w:val="fr-FR" w:eastAsia="ko-KR"/>
        </w:rPr>
      </w:pPr>
      <w:r w:rsidRPr="006830D9">
        <w:rPr>
          <w:rFonts w:eastAsia="Malgun Gothic"/>
          <w:lang w:val="fr-FR" w:eastAsia="ko-KR"/>
        </w:rPr>
        <w:tab/>
      </w:r>
      <w:r w:rsidRPr="006830D9">
        <w:rPr>
          <w:rFonts w:eastAsia="Malgun Gothic"/>
          <w:lang w:val="fr-FR" w:eastAsia="ko-KR"/>
        </w:rPr>
        <w:tab/>
      </w:r>
      <w:bookmarkStart w:id="44" w:name="lt_pId211"/>
      <w:r w:rsidRPr="006830D9">
        <w:rPr>
          <w:rFonts w:eastAsia="Malgun Gothic"/>
          <w:lang w:val="fr-FR" w:eastAsia="ko-KR"/>
        </w:rPr>
        <w:sym w:font="Symbol" w:char="F066"/>
      </w:r>
      <w:r w:rsidRPr="006830D9">
        <w:rPr>
          <w:rFonts w:eastAsia="Malgun Gothic"/>
          <w:lang w:val="fr-FR" w:eastAsia="ko-KR"/>
        </w:rPr>
        <w:t xml:space="preserve"> = (</w:t>
      </w:r>
      <w:r w:rsidRPr="006830D9">
        <w:rPr>
          <w:rFonts w:eastAsia="Malgun Gothic"/>
          <w:i/>
          <w:iCs/>
          <w:lang w:val="fr-FR" w:eastAsia="ko-KR"/>
        </w:rPr>
        <w:t>i</w:t>
      </w:r>
      <w:r w:rsidRPr="006830D9">
        <w:rPr>
          <w:rFonts w:eastAsia="Malgun Gothic"/>
          <w:lang w:val="fr-FR" w:eastAsia="ko-KR"/>
        </w:rPr>
        <w:t xml:space="preserve"> ÷ </w:t>
      </w:r>
      <w:r w:rsidRPr="006830D9">
        <w:rPr>
          <w:rFonts w:eastAsia="Malgun Gothic"/>
          <w:i/>
          <w:iCs/>
          <w:lang w:val="fr-FR" w:eastAsia="ko-KR"/>
        </w:rPr>
        <w:t>w</w:t>
      </w:r>
      <w:r w:rsidRPr="006830D9">
        <w:rPr>
          <w:rFonts w:eastAsia="Malgun Gothic"/>
          <w:lang w:val="fr-FR" w:eastAsia="ko-KR"/>
        </w:rPr>
        <w:t xml:space="preserve"> − 0,5) * 360</w:t>
      </w:r>
      <w:bookmarkEnd w:id="44"/>
    </w:p>
    <w:p w14:paraId="33CA1C84" w14:textId="77777777" w:rsidR="00F11690" w:rsidRPr="006830D9" w:rsidRDefault="00F11690" w:rsidP="00F11690">
      <w:pPr>
        <w:pStyle w:val="Equation"/>
        <w:rPr>
          <w:rFonts w:eastAsia="Malgun Gothic"/>
          <w:lang w:val="fr-FR" w:eastAsia="ko-KR"/>
        </w:rPr>
      </w:pPr>
      <w:r w:rsidRPr="006830D9">
        <w:rPr>
          <w:rFonts w:eastAsia="Candara"/>
          <w:lang w:val="fr-FR"/>
        </w:rPr>
        <w:tab/>
      </w:r>
      <w:r w:rsidRPr="006830D9">
        <w:rPr>
          <w:rFonts w:eastAsia="Candara"/>
          <w:lang w:val="fr-FR"/>
        </w:rPr>
        <w:tab/>
      </w:r>
      <w:bookmarkStart w:id="45" w:name="lt_pId212"/>
      <w:r w:rsidRPr="006830D9">
        <w:rPr>
          <w:rFonts w:eastAsia="Candara"/>
          <w:lang w:val="fr-FR"/>
        </w:rPr>
        <w:sym w:font="Symbol" w:char="F071"/>
      </w:r>
      <w:r w:rsidRPr="006830D9">
        <w:rPr>
          <w:rFonts w:eastAsia="Candara"/>
          <w:color w:val="000000"/>
          <w:lang w:val="fr-FR"/>
        </w:rPr>
        <w:t xml:space="preserve"> = </w:t>
      </w:r>
      <w:r w:rsidRPr="006830D9">
        <w:rPr>
          <w:rFonts w:eastAsia="Malgun Gothic"/>
          <w:lang w:val="fr-FR" w:eastAsia="ko-KR"/>
        </w:rPr>
        <w:t xml:space="preserve">(0,5 − </w:t>
      </w:r>
      <w:r w:rsidRPr="006830D9">
        <w:rPr>
          <w:rFonts w:eastAsia="Malgun Gothic"/>
          <w:i/>
          <w:iCs/>
          <w:lang w:val="fr-FR" w:eastAsia="ko-KR"/>
        </w:rPr>
        <w:t xml:space="preserve">j </w:t>
      </w:r>
      <w:r w:rsidRPr="006830D9">
        <w:rPr>
          <w:rFonts w:eastAsia="Malgun Gothic"/>
          <w:lang w:val="fr-FR" w:eastAsia="ko-KR"/>
        </w:rPr>
        <w:t xml:space="preserve">÷ </w:t>
      </w:r>
      <w:r w:rsidRPr="006830D9">
        <w:rPr>
          <w:rFonts w:eastAsia="Malgun Gothic"/>
          <w:i/>
          <w:iCs/>
          <w:lang w:val="fr-FR" w:eastAsia="ko-KR"/>
        </w:rPr>
        <w:t>h</w:t>
      </w:r>
      <w:r w:rsidRPr="006830D9">
        <w:rPr>
          <w:rFonts w:eastAsia="Malgun Gothic"/>
          <w:lang w:val="fr-FR" w:eastAsia="ko-KR"/>
        </w:rPr>
        <w:t>) * 180</w:t>
      </w:r>
      <w:bookmarkEnd w:id="45"/>
    </w:p>
    <w:p w14:paraId="6BB4CF10" w14:textId="77777777" w:rsidR="00F11690" w:rsidRPr="006830D9" w:rsidRDefault="00F11690" w:rsidP="00F11690">
      <w:pPr>
        <w:pStyle w:val="FigureNo"/>
        <w:rPr>
          <w:rFonts w:eastAsia="MS Mincho"/>
          <w:lang w:val="fr-FR"/>
        </w:rPr>
      </w:pPr>
      <w:bookmarkStart w:id="46" w:name="lt_pId213"/>
      <w:r w:rsidRPr="006830D9">
        <w:rPr>
          <w:lang w:val="fr-FR"/>
        </w:rPr>
        <w:t>Figure 2</w:t>
      </w:r>
      <w:bookmarkEnd w:id="46"/>
    </w:p>
    <w:p w14:paraId="12789439" w14:textId="77777777" w:rsidR="00F11690" w:rsidRPr="006830D9" w:rsidRDefault="00F11690" w:rsidP="00F11690">
      <w:pPr>
        <w:pStyle w:val="Figuretitle"/>
        <w:rPr>
          <w:lang w:val="fr-FR"/>
        </w:rPr>
      </w:pPr>
      <w:r w:rsidRPr="006830D9">
        <w:rPr>
          <w:lang w:val="fr-FR"/>
        </w:rPr>
        <w:t>Définition des coordonnées d'échantillonnage</w:t>
      </w:r>
    </w:p>
    <w:p w14:paraId="36DB087A" w14:textId="77777777" w:rsidR="00F11690" w:rsidRPr="006830D9" w:rsidRDefault="00F11690" w:rsidP="0020765F">
      <w:pPr>
        <w:pStyle w:val="Figure"/>
        <w:rPr>
          <w:rFonts w:eastAsia="Malgun Gothic"/>
          <w:szCs w:val="24"/>
          <w:lang w:val="fr-FR" w:eastAsia="ko-KR"/>
        </w:rPr>
      </w:pPr>
      <w:r w:rsidRPr="006830D9">
        <w:rPr>
          <w:lang w:val="fr-FR"/>
        </w:rPr>
        <w:object w:dxaOrig="5400" w:dyaOrig="3285" w14:anchorId="272FEA23">
          <v:shape id="_x0000_i1026" type="#_x0000_t75" style="width:269.8pt;height:164.45pt" o:ole="">
            <v:imagedata r:id="rId16" o:title=""/>
          </v:shape>
          <o:OLEObject Type="Embed" ProgID="CorelDraw.Graphic.16" ShapeID="_x0000_i1026" DrawAspect="Content" ObjectID="_1806299021" r:id="rId17"/>
        </w:object>
      </w:r>
    </w:p>
    <w:p w14:paraId="0BE10BE3" w14:textId="77777777" w:rsidR="00F11690" w:rsidRPr="006830D9" w:rsidRDefault="00F11690" w:rsidP="00F11690">
      <w:pPr>
        <w:rPr>
          <w:rFonts w:eastAsia="MS Mincho"/>
          <w:lang w:val="fr-FR" w:eastAsia="ko-KR"/>
        </w:rPr>
      </w:pPr>
    </w:p>
    <w:p w14:paraId="5391B597" w14:textId="77777777" w:rsidR="00F11690" w:rsidRPr="006830D9" w:rsidRDefault="00F11690" w:rsidP="00F11690">
      <w:pPr>
        <w:rPr>
          <w:lang w:val="fr-FR" w:eastAsia="ko-KR"/>
        </w:rPr>
      </w:pPr>
    </w:p>
    <w:p w14:paraId="17F04F8E" w14:textId="2153EECE" w:rsidR="00F11690" w:rsidRPr="006830D9" w:rsidRDefault="00F11690" w:rsidP="0020765F">
      <w:pPr>
        <w:pStyle w:val="AnnexNoTitle"/>
        <w:outlineLvl w:val="0"/>
        <w:rPr>
          <w:lang w:val="fr-FR"/>
        </w:rPr>
      </w:pPr>
      <w:bookmarkStart w:id="47" w:name="lt_pId215"/>
      <w:r w:rsidRPr="006830D9">
        <w:rPr>
          <w:lang w:val="fr-FR"/>
        </w:rPr>
        <w:lastRenderedPageBreak/>
        <w:t>Annexe 2</w:t>
      </w:r>
      <w:bookmarkEnd w:id="47"/>
      <w:r w:rsidRPr="006830D9">
        <w:rPr>
          <w:lang w:val="fr-FR"/>
        </w:rPr>
        <w:t xml:space="preserve"> </w:t>
      </w:r>
      <w:r w:rsidRPr="006830D9">
        <w:rPr>
          <w:lang w:val="fr-FR"/>
        </w:rPr>
        <w:br/>
      </w:r>
      <w:bookmarkStart w:id="48" w:name="lt_pId216"/>
      <w:r w:rsidRPr="006830D9">
        <w:rPr>
          <w:lang w:val="fr-FR"/>
        </w:rPr>
        <w:t>(pour information)</w:t>
      </w:r>
      <w:bookmarkEnd w:id="48"/>
      <w:r w:rsidRPr="006830D9">
        <w:rPr>
          <w:lang w:val="fr-FR"/>
        </w:rPr>
        <w:br/>
      </w:r>
      <w:r w:rsidRPr="006830D9">
        <w:rPr>
          <w:lang w:val="fr-FR"/>
        </w:rPr>
        <w:br/>
      </w:r>
      <w:bookmarkStart w:id="49" w:name="lt_pId217"/>
      <w:r w:rsidRPr="006830D9">
        <w:rPr>
          <w:lang w:val="fr-FR"/>
        </w:rPr>
        <w:t>Caractéristiques de présentation des images à 360</w:t>
      </w:r>
      <w:bookmarkEnd w:id="49"/>
      <w:r w:rsidR="009E415B" w:rsidRPr="006830D9">
        <w:rPr>
          <w:lang w:val="fr-FR"/>
        </w:rPr>
        <w:t>°</w:t>
      </w:r>
    </w:p>
    <w:p w14:paraId="7928AB10" w14:textId="77777777" w:rsidR="00F11690" w:rsidRPr="006830D9" w:rsidRDefault="00F11690" w:rsidP="0020765F">
      <w:pPr>
        <w:pStyle w:val="Normalaftertitle"/>
        <w:rPr>
          <w:lang w:val="fr-FR" w:eastAsia="ko-KR"/>
        </w:rPr>
      </w:pPr>
      <w:r w:rsidRPr="006830D9">
        <w:rPr>
          <w:lang w:val="fr-FR" w:eastAsia="ko-KR"/>
        </w:rPr>
        <w:t>La présentation d'images à 360</w:t>
      </w:r>
      <w:r w:rsidRPr="006830D9">
        <w:rPr>
          <w:rFonts w:asciiTheme="majorBidi" w:hAnsiTheme="majorBidi" w:cstheme="majorBidi"/>
          <w:vertAlign w:val="superscript"/>
          <w:lang w:val="fr-FR" w:eastAsia="zh-CN"/>
        </w:rPr>
        <w:t>o</w:t>
      </w:r>
      <w:r w:rsidRPr="006830D9">
        <w:rPr>
          <w:rFonts w:asciiTheme="majorBidi" w:hAnsiTheme="majorBidi" w:cstheme="majorBidi"/>
          <w:lang w:val="fr-FR" w:eastAsia="zh-CN"/>
        </w:rPr>
        <w:t xml:space="preserve"> </w:t>
      </w:r>
      <w:r w:rsidRPr="006830D9">
        <w:rPr>
          <w:lang w:val="fr-FR" w:eastAsia="ko-KR"/>
        </w:rPr>
        <w:t>grâce à un visiocasque (HMD) exige les caractéristiques spatiales énoncées dans le Tableau 4.</w:t>
      </w:r>
    </w:p>
    <w:p w14:paraId="283772A9" w14:textId="77777777" w:rsidR="00F11690" w:rsidRPr="006830D9" w:rsidRDefault="00F11690" w:rsidP="0020765F">
      <w:pPr>
        <w:pStyle w:val="TableNo"/>
        <w:rPr>
          <w:lang w:val="fr-FR"/>
        </w:rPr>
      </w:pPr>
      <w:r w:rsidRPr="006830D9">
        <w:rPr>
          <w:lang w:val="fr-FR"/>
        </w:rPr>
        <w:t>TABLEAU 4</w:t>
      </w:r>
    </w:p>
    <w:p w14:paraId="72367BF5" w14:textId="72C6606F" w:rsidR="00F11690" w:rsidRPr="006830D9" w:rsidRDefault="00F11690" w:rsidP="0020765F">
      <w:pPr>
        <w:pStyle w:val="Tabletitle"/>
        <w:rPr>
          <w:lang w:val="fr-FR"/>
        </w:rPr>
      </w:pPr>
      <w:r w:rsidRPr="006830D9">
        <w:rPr>
          <w:lang w:val="fr-FR"/>
        </w:rPr>
        <w:t>Exigences relatives aux caractéristiques spatiales d'un visiocasque (HMD)</w:t>
      </w:r>
      <w:r w:rsidRPr="006830D9">
        <w:rPr>
          <w:lang w:val="fr-FR"/>
        </w:rPr>
        <w:br/>
        <w:t>pour la présentation d'images à 360</w:t>
      </w:r>
      <w:r w:rsidR="0020765F" w:rsidRPr="006830D9">
        <w:rPr>
          <w:lang w:val="fr-FR"/>
        </w:rPr>
        <w:t>°</w:t>
      </w:r>
    </w:p>
    <w:tbl>
      <w:tblPr>
        <w:tblStyle w:val="TableGrid"/>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5"/>
        <w:gridCol w:w="4683"/>
        <w:gridCol w:w="2691"/>
      </w:tblGrid>
      <w:tr w:rsidR="00F11690" w:rsidRPr="006830D9" w14:paraId="7D5CC5B4" w14:textId="77777777" w:rsidTr="009E415B">
        <w:trPr>
          <w:jc w:val="center"/>
        </w:trPr>
        <w:tc>
          <w:tcPr>
            <w:tcW w:w="6948" w:type="dxa"/>
            <w:gridSpan w:val="2"/>
            <w:hideMark/>
          </w:tcPr>
          <w:p w14:paraId="2F3E598B" w14:textId="77777777" w:rsidR="00F11690" w:rsidRPr="006830D9" w:rsidRDefault="00F11690" w:rsidP="009F2B2B">
            <w:pPr>
              <w:pStyle w:val="Tablehead"/>
              <w:rPr>
                <w:rFonts w:asciiTheme="majorBidi" w:hAnsiTheme="majorBidi" w:cstheme="majorBidi"/>
                <w:lang w:val="fr-FR"/>
              </w:rPr>
            </w:pPr>
            <w:r w:rsidRPr="006830D9">
              <w:rPr>
                <w:rFonts w:asciiTheme="majorBidi" w:hAnsiTheme="majorBidi" w:cstheme="majorBidi"/>
                <w:lang w:val="fr-FR"/>
              </w:rPr>
              <w:t>Caractéristiques spatiales</w:t>
            </w:r>
          </w:p>
        </w:tc>
        <w:tc>
          <w:tcPr>
            <w:tcW w:w="2691" w:type="dxa"/>
            <w:hideMark/>
          </w:tcPr>
          <w:p w14:paraId="05FE06EF" w14:textId="77777777" w:rsidR="00F11690" w:rsidRPr="006830D9" w:rsidRDefault="00F11690" w:rsidP="009F2B2B">
            <w:pPr>
              <w:pStyle w:val="Tablehead"/>
              <w:rPr>
                <w:rFonts w:asciiTheme="majorBidi" w:hAnsiTheme="majorBidi" w:cstheme="majorBidi"/>
                <w:lang w:val="fr-FR"/>
              </w:rPr>
            </w:pPr>
            <w:r w:rsidRPr="006830D9">
              <w:rPr>
                <w:rFonts w:asciiTheme="majorBidi" w:hAnsiTheme="majorBidi" w:cstheme="majorBidi"/>
                <w:lang w:val="fr-FR"/>
              </w:rPr>
              <w:t>Exigences</w:t>
            </w:r>
          </w:p>
        </w:tc>
      </w:tr>
      <w:tr w:rsidR="00F11690" w:rsidRPr="006830D9" w14:paraId="0FE208E5" w14:textId="77777777" w:rsidTr="009E415B">
        <w:trPr>
          <w:jc w:val="center"/>
        </w:trPr>
        <w:tc>
          <w:tcPr>
            <w:tcW w:w="2265" w:type="dxa"/>
            <w:vMerge w:val="restart"/>
            <w:vAlign w:val="center"/>
            <w:hideMark/>
          </w:tcPr>
          <w:p w14:paraId="6B198426" w14:textId="77777777" w:rsidR="00F11690" w:rsidRPr="006830D9" w:rsidRDefault="00F11690" w:rsidP="0020765F">
            <w:pPr>
              <w:pStyle w:val="Tabletext"/>
              <w:jc w:val="center"/>
              <w:rPr>
                <w:rFonts w:ascii="Times New Roman" w:hAnsi="Times New Roman" w:cs="Times New Roman"/>
                <w:b/>
                <w:lang w:val="fr-FR" w:eastAsia="ja-JP"/>
              </w:rPr>
            </w:pPr>
            <w:r w:rsidRPr="006830D9">
              <w:rPr>
                <w:rFonts w:ascii="Times New Roman" w:hAnsi="Times New Roman" w:cs="Times New Roman"/>
                <w:lang w:val="fr-FR" w:eastAsia="ja-JP"/>
              </w:rPr>
              <w:t>Champ de vision (FV)</w:t>
            </w:r>
          </w:p>
        </w:tc>
        <w:tc>
          <w:tcPr>
            <w:tcW w:w="4683" w:type="dxa"/>
            <w:hideMark/>
          </w:tcPr>
          <w:p w14:paraId="4CEF8616" w14:textId="77777777" w:rsidR="00F11690" w:rsidRPr="006830D9" w:rsidRDefault="00F11690" w:rsidP="009E415B">
            <w:pPr>
              <w:pStyle w:val="Tabletext"/>
              <w:jc w:val="center"/>
              <w:rPr>
                <w:rFonts w:ascii="Times New Roman" w:hAnsi="Times New Roman" w:cs="Times New Roman"/>
                <w:lang w:val="fr-FR"/>
              </w:rPr>
            </w:pPr>
            <w:r w:rsidRPr="006830D9">
              <w:rPr>
                <w:rFonts w:ascii="Times New Roman" w:hAnsi="Times New Roman" w:cs="Times New Roman"/>
                <w:lang w:val="fr-FR"/>
              </w:rPr>
              <w:t>Horizontal (FV</w:t>
            </w:r>
            <w:r w:rsidRPr="006830D9">
              <w:rPr>
                <w:rFonts w:ascii="Times New Roman" w:hAnsi="Times New Roman" w:cs="Times New Roman"/>
                <w:vertAlign w:val="subscript"/>
                <w:lang w:val="fr-FR"/>
              </w:rPr>
              <w:t>H</w:t>
            </w:r>
            <w:r w:rsidRPr="006830D9">
              <w:rPr>
                <w:rFonts w:ascii="Times New Roman" w:hAnsi="Times New Roman" w:cs="Times New Roman"/>
                <w:lang w:val="fr-FR"/>
              </w:rPr>
              <w:t>)</w:t>
            </w:r>
          </w:p>
        </w:tc>
        <w:tc>
          <w:tcPr>
            <w:tcW w:w="2691" w:type="dxa"/>
            <w:hideMark/>
          </w:tcPr>
          <w:p w14:paraId="1BF7E392" w14:textId="29F7D601" w:rsidR="00F11690" w:rsidRPr="006830D9" w:rsidRDefault="00F11690" w:rsidP="009E415B">
            <w:pPr>
              <w:pStyle w:val="Tabletext"/>
              <w:jc w:val="center"/>
              <w:rPr>
                <w:rFonts w:ascii="Times New Roman" w:hAnsi="Times New Roman" w:cs="Times New Roman"/>
                <w:lang w:val="fr-FR"/>
              </w:rPr>
            </w:pPr>
            <w:r w:rsidRPr="006830D9">
              <w:rPr>
                <w:rFonts w:ascii="Times New Roman" w:hAnsi="Times New Roman" w:cs="Times New Roman"/>
                <w:lang w:val="fr-FR"/>
              </w:rPr>
              <w:t>FV</w:t>
            </w:r>
            <w:r w:rsidRPr="006830D9">
              <w:rPr>
                <w:rFonts w:ascii="Times New Roman" w:hAnsi="Times New Roman" w:cs="Times New Roman"/>
                <w:vertAlign w:val="subscript"/>
                <w:lang w:val="fr-FR"/>
              </w:rPr>
              <w:t>H</w:t>
            </w:r>
            <w:r w:rsidRPr="006830D9">
              <w:rPr>
                <w:rFonts w:ascii="Times New Roman" w:hAnsi="Times New Roman" w:cs="Times New Roman"/>
                <w:lang w:val="fr-FR"/>
              </w:rPr>
              <w:t xml:space="preserve"> </w:t>
            </w:r>
            <w:r w:rsidR="00C96DE9" w:rsidRPr="006830D9">
              <w:rPr>
                <w:rFonts w:ascii="Times New Roman" w:hAnsi="Times New Roman" w:cs="Times New Roman"/>
                <w:lang w:val="fr-FR"/>
              </w:rPr>
              <w:t>≥</w:t>
            </w:r>
            <w:r w:rsidRPr="006830D9">
              <w:rPr>
                <w:rFonts w:ascii="Times New Roman" w:hAnsi="Times New Roman" w:cs="Times New Roman"/>
                <w:lang w:val="fr-FR"/>
              </w:rPr>
              <w:t xml:space="preserve"> 240</w:t>
            </w:r>
            <w:r w:rsidR="00C96DE9" w:rsidRPr="006830D9">
              <w:rPr>
                <w:rFonts w:ascii="Times New Roman" w:hAnsi="Times New Roman" w:cs="Times New Roman"/>
                <w:lang w:val="fr-FR"/>
              </w:rPr>
              <w:t>°</w:t>
            </w:r>
          </w:p>
        </w:tc>
      </w:tr>
      <w:tr w:rsidR="00F11690" w:rsidRPr="006830D9" w14:paraId="350A1F4A" w14:textId="77777777" w:rsidTr="009E415B">
        <w:trPr>
          <w:jc w:val="center"/>
        </w:trPr>
        <w:tc>
          <w:tcPr>
            <w:tcW w:w="0" w:type="auto"/>
            <w:vMerge/>
            <w:vAlign w:val="center"/>
            <w:hideMark/>
          </w:tcPr>
          <w:p w14:paraId="6D7BFD26" w14:textId="77777777" w:rsidR="00F11690" w:rsidRPr="006830D9" w:rsidRDefault="00F11690" w:rsidP="0020765F">
            <w:pPr>
              <w:pStyle w:val="Tabletext"/>
              <w:jc w:val="center"/>
              <w:rPr>
                <w:rFonts w:ascii="Times New Roman" w:hAnsi="Times New Roman" w:cs="Times New Roman"/>
                <w:b/>
                <w:lang w:val="fr-FR" w:eastAsia="ja-JP"/>
              </w:rPr>
            </w:pPr>
          </w:p>
        </w:tc>
        <w:tc>
          <w:tcPr>
            <w:tcW w:w="4683" w:type="dxa"/>
            <w:hideMark/>
          </w:tcPr>
          <w:p w14:paraId="48AB9157" w14:textId="77777777" w:rsidR="00F11690" w:rsidRPr="006830D9" w:rsidRDefault="00F11690" w:rsidP="009E415B">
            <w:pPr>
              <w:pStyle w:val="Tabletext"/>
              <w:jc w:val="center"/>
              <w:rPr>
                <w:rFonts w:ascii="Times New Roman" w:hAnsi="Times New Roman" w:cs="Times New Roman"/>
                <w:lang w:val="fr-FR"/>
              </w:rPr>
            </w:pPr>
            <w:r w:rsidRPr="006830D9">
              <w:rPr>
                <w:rFonts w:ascii="Times New Roman" w:hAnsi="Times New Roman" w:cs="Times New Roman"/>
                <w:lang w:val="fr-FR"/>
              </w:rPr>
              <w:t>Vertical (FV</w:t>
            </w:r>
            <w:r w:rsidRPr="006830D9">
              <w:rPr>
                <w:rFonts w:ascii="Times New Roman" w:hAnsi="Times New Roman" w:cs="Times New Roman"/>
                <w:vertAlign w:val="subscript"/>
                <w:lang w:val="fr-FR"/>
              </w:rPr>
              <w:t>V</w:t>
            </w:r>
            <w:r w:rsidRPr="006830D9">
              <w:rPr>
                <w:rFonts w:ascii="Times New Roman" w:hAnsi="Times New Roman" w:cs="Times New Roman"/>
                <w:lang w:val="fr-FR"/>
              </w:rPr>
              <w:t>)</w:t>
            </w:r>
          </w:p>
        </w:tc>
        <w:tc>
          <w:tcPr>
            <w:tcW w:w="2691" w:type="dxa"/>
            <w:hideMark/>
          </w:tcPr>
          <w:p w14:paraId="78F39E3A" w14:textId="45993648" w:rsidR="00F11690" w:rsidRPr="006830D9" w:rsidRDefault="00F11690" w:rsidP="009E415B">
            <w:pPr>
              <w:pStyle w:val="Tabletext"/>
              <w:jc w:val="center"/>
              <w:rPr>
                <w:rFonts w:ascii="Times New Roman" w:hAnsi="Times New Roman" w:cs="Times New Roman"/>
                <w:lang w:val="fr-FR"/>
              </w:rPr>
            </w:pPr>
            <w:r w:rsidRPr="006830D9">
              <w:rPr>
                <w:rFonts w:ascii="Times New Roman" w:hAnsi="Times New Roman" w:cs="Times New Roman"/>
                <w:lang w:val="fr-FR"/>
              </w:rPr>
              <w:t>FV</w:t>
            </w:r>
            <w:r w:rsidRPr="006830D9">
              <w:rPr>
                <w:rFonts w:ascii="Times New Roman" w:hAnsi="Times New Roman" w:cs="Times New Roman"/>
                <w:vertAlign w:val="subscript"/>
                <w:lang w:val="fr-FR"/>
              </w:rPr>
              <w:t>V</w:t>
            </w:r>
            <w:r w:rsidRPr="006830D9">
              <w:rPr>
                <w:rFonts w:ascii="Times New Roman" w:hAnsi="Times New Roman" w:cs="Times New Roman"/>
                <w:lang w:val="fr-FR"/>
              </w:rPr>
              <w:t xml:space="preserve"> </w:t>
            </w:r>
            <w:r w:rsidR="00C96DE9" w:rsidRPr="006830D9">
              <w:rPr>
                <w:rFonts w:ascii="Times New Roman" w:hAnsi="Times New Roman" w:cs="Times New Roman"/>
                <w:lang w:val="fr-FR"/>
              </w:rPr>
              <w:t>≥</w:t>
            </w:r>
            <w:r w:rsidRPr="006830D9">
              <w:rPr>
                <w:rFonts w:ascii="Times New Roman" w:hAnsi="Times New Roman" w:cs="Times New Roman"/>
                <w:lang w:val="fr-FR"/>
              </w:rPr>
              <w:t xml:space="preserve"> 160</w:t>
            </w:r>
            <w:r w:rsidR="00C96DE9" w:rsidRPr="006830D9">
              <w:rPr>
                <w:rFonts w:ascii="Times New Roman" w:hAnsi="Times New Roman" w:cs="Times New Roman"/>
                <w:lang w:val="fr-FR"/>
              </w:rPr>
              <w:t>°</w:t>
            </w:r>
          </w:p>
        </w:tc>
      </w:tr>
      <w:tr w:rsidR="00F11690" w:rsidRPr="006830D9" w14:paraId="64811DBB" w14:textId="77777777" w:rsidTr="009E415B">
        <w:trPr>
          <w:jc w:val="center"/>
        </w:trPr>
        <w:tc>
          <w:tcPr>
            <w:tcW w:w="2265" w:type="dxa"/>
            <w:vMerge w:val="restart"/>
            <w:vAlign w:val="center"/>
            <w:hideMark/>
          </w:tcPr>
          <w:p w14:paraId="605F3C69" w14:textId="77777777" w:rsidR="00F11690" w:rsidRPr="006830D9" w:rsidRDefault="00F11690" w:rsidP="0020765F">
            <w:pPr>
              <w:pStyle w:val="Tabletext"/>
              <w:jc w:val="center"/>
              <w:rPr>
                <w:rFonts w:ascii="Times New Roman" w:hAnsi="Times New Roman" w:cs="Times New Roman"/>
                <w:b/>
                <w:lang w:val="fr-FR" w:eastAsia="ja-JP"/>
              </w:rPr>
            </w:pPr>
            <w:r w:rsidRPr="006830D9">
              <w:rPr>
                <w:rFonts w:ascii="Times New Roman" w:hAnsi="Times New Roman" w:cs="Times New Roman"/>
                <w:lang w:val="fr-FR" w:eastAsia="ja-JP"/>
              </w:rPr>
              <w:t>Résolution spatiale (SR)</w:t>
            </w:r>
          </w:p>
        </w:tc>
        <w:tc>
          <w:tcPr>
            <w:tcW w:w="4683" w:type="dxa"/>
            <w:hideMark/>
          </w:tcPr>
          <w:p w14:paraId="409D82E1" w14:textId="502A7565" w:rsidR="00F11690" w:rsidRPr="006830D9" w:rsidRDefault="00F11690" w:rsidP="009E415B">
            <w:pPr>
              <w:pStyle w:val="Tabletext"/>
              <w:jc w:val="center"/>
              <w:rPr>
                <w:rFonts w:ascii="Times New Roman" w:hAnsi="Times New Roman" w:cs="Times New Roman"/>
                <w:lang w:val="fr-FR"/>
              </w:rPr>
            </w:pPr>
            <w:r w:rsidRPr="006830D9">
              <w:rPr>
                <w:rFonts w:ascii="Times New Roman" w:hAnsi="Times New Roman" w:cs="Times New Roman"/>
                <w:lang w:val="fr-FR"/>
              </w:rPr>
              <w:t>FV</w:t>
            </w:r>
            <w:r w:rsidRPr="006830D9">
              <w:rPr>
                <w:rFonts w:ascii="Times New Roman" w:hAnsi="Times New Roman" w:cs="Times New Roman"/>
                <w:vertAlign w:val="subscript"/>
                <w:lang w:val="fr-FR"/>
              </w:rPr>
              <w:t>H</w:t>
            </w:r>
            <w:r w:rsidRPr="006830D9">
              <w:rPr>
                <w:rFonts w:ascii="Times New Roman" w:hAnsi="Times New Roman" w:cs="Times New Roman"/>
                <w:lang w:val="fr-FR"/>
              </w:rPr>
              <w:t xml:space="preserve"> ≤ 100</w:t>
            </w:r>
            <w:r w:rsidR="009E415B" w:rsidRPr="006830D9">
              <w:rPr>
                <w:rFonts w:ascii="Times New Roman" w:hAnsi="Times New Roman" w:cs="Times New Roman"/>
                <w:lang w:val="fr-FR"/>
              </w:rPr>
              <w:t>°</w:t>
            </w:r>
            <w:r w:rsidRPr="006830D9">
              <w:rPr>
                <w:rFonts w:ascii="Times New Roman" w:hAnsi="Times New Roman" w:cs="Times New Roman"/>
                <w:lang w:val="fr-FR"/>
              </w:rPr>
              <w:t>, FV</w:t>
            </w:r>
            <w:r w:rsidRPr="006830D9">
              <w:rPr>
                <w:rFonts w:ascii="Times New Roman" w:hAnsi="Times New Roman" w:cs="Times New Roman"/>
                <w:vertAlign w:val="subscript"/>
                <w:lang w:val="fr-FR"/>
              </w:rPr>
              <w:t>V</w:t>
            </w:r>
            <w:r w:rsidRPr="006830D9">
              <w:rPr>
                <w:rFonts w:ascii="Times New Roman" w:hAnsi="Times New Roman" w:cs="Times New Roman"/>
                <w:lang w:val="fr-FR"/>
              </w:rPr>
              <w:t xml:space="preserve"> ≤ 90</w:t>
            </w:r>
            <w:r w:rsidR="00C96DE9" w:rsidRPr="006830D9">
              <w:rPr>
                <w:rFonts w:ascii="Times New Roman" w:hAnsi="Times New Roman" w:cs="Times New Roman"/>
                <w:lang w:val="fr-FR"/>
              </w:rPr>
              <w:t>°</w:t>
            </w:r>
          </w:p>
        </w:tc>
        <w:tc>
          <w:tcPr>
            <w:tcW w:w="2691" w:type="dxa"/>
            <w:hideMark/>
          </w:tcPr>
          <w:p w14:paraId="75B2B971" w14:textId="0283710F" w:rsidR="00F11690" w:rsidRPr="006830D9" w:rsidRDefault="00F11690" w:rsidP="009E415B">
            <w:pPr>
              <w:pStyle w:val="Tabletext"/>
              <w:jc w:val="center"/>
              <w:rPr>
                <w:rFonts w:ascii="Times New Roman" w:hAnsi="Times New Roman" w:cs="Times New Roman"/>
                <w:lang w:val="fr-FR"/>
              </w:rPr>
            </w:pPr>
            <w:r w:rsidRPr="006830D9">
              <w:rPr>
                <w:rFonts w:ascii="Times New Roman" w:hAnsi="Times New Roman" w:cs="Times New Roman"/>
                <w:lang w:val="fr-FR"/>
              </w:rPr>
              <w:t xml:space="preserve">SR </w:t>
            </w:r>
            <w:r w:rsidR="00C96DE9" w:rsidRPr="006830D9">
              <w:rPr>
                <w:rFonts w:ascii="Times New Roman" w:hAnsi="Times New Roman" w:cs="Times New Roman"/>
                <w:lang w:val="fr-FR"/>
              </w:rPr>
              <w:t>≥</w:t>
            </w:r>
            <w:r w:rsidRPr="006830D9">
              <w:rPr>
                <w:rFonts w:ascii="Times New Roman" w:hAnsi="Times New Roman" w:cs="Times New Roman"/>
                <w:lang w:val="fr-FR"/>
              </w:rPr>
              <w:t xml:space="preserve"> 30 cpd</w:t>
            </w:r>
          </w:p>
        </w:tc>
      </w:tr>
      <w:tr w:rsidR="00F11690" w:rsidRPr="006830D9" w14:paraId="234FDDBD" w14:textId="77777777" w:rsidTr="009E415B">
        <w:trPr>
          <w:jc w:val="center"/>
        </w:trPr>
        <w:tc>
          <w:tcPr>
            <w:tcW w:w="0" w:type="auto"/>
            <w:vMerge/>
            <w:vAlign w:val="center"/>
            <w:hideMark/>
          </w:tcPr>
          <w:p w14:paraId="485E8E89" w14:textId="77777777" w:rsidR="00F11690" w:rsidRPr="006830D9" w:rsidRDefault="00F11690" w:rsidP="0020765F">
            <w:pPr>
              <w:pStyle w:val="Tabletext"/>
              <w:rPr>
                <w:rFonts w:ascii="Times New Roman" w:hAnsi="Times New Roman" w:cs="Times New Roman"/>
                <w:b/>
                <w:lang w:val="fr-FR" w:eastAsia="ja-JP"/>
              </w:rPr>
            </w:pPr>
          </w:p>
        </w:tc>
        <w:tc>
          <w:tcPr>
            <w:tcW w:w="4683" w:type="dxa"/>
            <w:hideMark/>
          </w:tcPr>
          <w:p w14:paraId="6E8F046B" w14:textId="74121931" w:rsidR="00F11690" w:rsidRPr="006830D9" w:rsidRDefault="00F11690" w:rsidP="009E415B">
            <w:pPr>
              <w:pStyle w:val="Tabletext"/>
              <w:jc w:val="center"/>
              <w:rPr>
                <w:rFonts w:ascii="Times New Roman" w:hAnsi="Times New Roman" w:cs="Times New Roman"/>
                <w:lang w:val="fr-FR"/>
              </w:rPr>
            </w:pPr>
            <w:r w:rsidRPr="006830D9">
              <w:rPr>
                <w:rFonts w:ascii="Times New Roman" w:hAnsi="Times New Roman" w:cs="Times New Roman"/>
                <w:lang w:val="fr-FR"/>
              </w:rPr>
              <w:t>100</w:t>
            </w:r>
            <w:r w:rsidR="009E415B" w:rsidRPr="006830D9">
              <w:rPr>
                <w:rFonts w:ascii="Times New Roman" w:hAnsi="Times New Roman" w:cs="Times New Roman"/>
                <w:lang w:val="fr-FR"/>
              </w:rPr>
              <w:t>°</w:t>
            </w:r>
            <w:r w:rsidRPr="006830D9">
              <w:rPr>
                <w:rFonts w:ascii="Times New Roman" w:hAnsi="Times New Roman" w:cs="Times New Roman"/>
                <w:lang w:val="fr-FR"/>
              </w:rPr>
              <w:t xml:space="preserve"> &lt; FV</w:t>
            </w:r>
            <w:r w:rsidRPr="006830D9">
              <w:rPr>
                <w:rFonts w:ascii="Times New Roman" w:hAnsi="Times New Roman" w:cs="Times New Roman"/>
                <w:vertAlign w:val="subscript"/>
                <w:lang w:val="fr-FR"/>
              </w:rPr>
              <w:t>H</w:t>
            </w:r>
            <w:r w:rsidRPr="006830D9">
              <w:rPr>
                <w:rFonts w:ascii="Times New Roman" w:hAnsi="Times New Roman" w:cs="Times New Roman"/>
                <w:lang w:val="fr-FR"/>
              </w:rPr>
              <w:t xml:space="preserve"> ≤ 160</w:t>
            </w:r>
            <w:r w:rsidR="009E415B" w:rsidRPr="006830D9">
              <w:rPr>
                <w:rFonts w:ascii="Times New Roman" w:hAnsi="Times New Roman" w:cs="Times New Roman"/>
                <w:lang w:val="fr-FR"/>
              </w:rPr>
              <w:t>°</w:t>
            </w:r>
            <w:r w:rsidRPr="006830D9">
              <w:rPr>
                <w:rFonts w:ascii="Times New Roman" w:hAnsi="Times New Roman" w:cs="Times New Roman"/>
                <w:lang w:val="fr-FR"/>
              </w:rPr>
              <w:t>, 90</w:t>
            </w:r>
            <w:r w:rsidR="00C96DE9" w:rsidRPr="006830D9">
              <w:rPr>
                <w:rFonts w:ascii="Times New Roman" w:hAnsi="Times New Roman" w:cs="Times New Roman"/>
                <w:lang w:val="fr-FR"/>
              </w:rPr>
              <w:t>°</w:t>
            </w:r>
            <w:r w:rsidRPr="006830D9">
              <w:rPr>
                <w:rFonts w:ascii="Times New Roman" w:hAnsi="Times New Roman" w:cs="Times New Roman"/>
                <w:lang w:val="fr-FR"/>
              </w:rPr>
              <w:t xml:space="preserve"> &lt; FV</w:t>
            </w:r>
            <w:r w:rsidRPr="006830D9">
              <w:rPr>
                <w:rFonts w:ascii="Times New Roman" w:hAnsi="Times New Roman" w:cs="Times New Roman"/>
                <w:vertAlign w:val="subscript"/>
                <w:lang w:val="fr-FR"/>
              </w:rPr>
              <w:t>V</w:t>
            </w:r>
            <w:r w:rsidRPr="006830D9">
              <w:rPr>
                <w:rFonts w:ascii="Times New Roman" w:hAnsi="Times New Roman" w:cs="Times New Roman"/>
                <w:lang w:val="fr-FR"/>
              </w:rPr>
              <w:t xml:space="preserve"> ≤ 110</w:t>
            </w:r>
            <w:r w:rsidR="00C96DE9" w:rsidRPr="006830D9">
              <w:rPr>
                <w:rFonts w:ascii="Times New Roman" w:hAnsi="Times New Roman" w:cs="Times New Roman"/>
                <w:lang w:val="fr-FR"/>
              </w:rPr>
              <w:t>°</w:t>
            </w:r>
          </w:p>
        </w:tc>
        <w:tc>
          <w:tcPr>
            <w:tcW w:w="2691" w:type="dxa"/>
            <w:hideMark/>
          </w:tcPr>
          <w:p w14:paraId="7FA9773A" w14:textId="24912BAA" w:rsidR="00F11690" w:rsidRPr="006830D9" w:rsidRDefault="00F11690" w:rsidP="009E415B">
            <w:pPr>
              <w:pStyle w:val="Tabletext"/>
              <w:jc w:val="center"/>
              <w:rPr>
                <w:rFonts w:ascii="Times New Roman" w:hAnsi="Times New Roman" w:cs="Times New Roman"/>
                <w:lang w:val="fr-FR"/>
              </w:rPr>
            </w:pPr>
            <w:r w:rsidRPr="006830D9">
              <w:rPr>
                <w:rFonts w:ascii="Times New Roman" w:hAnsi="Times New Roman" w:cs="Times New Roman"/>
                <w:lang w:val="fr-FR"/>
              </w:rPr>
              <w:t xml:space="preserve">SR </w:t>
            </w:r>
            <w:r w:rsidR="00C96DE9" w:rsidRPr="006830D9">
              <w:rPr>
                <w:rFonts w:ascii="Times New Roman" w:hAnsi="Times New Roman" w:cs="Times New Roman"/>
                <w:lang w:val="fr-FR"/>
              </w:rPr>
              <w:t>≥</w:t>
            </w:r>
            <w:r w:rsidRPr="006830D9">
              <w:rPr>
                <w:rFonts w:ascii="Times New Roman" w:hAnsi="Times New Roman" w:cs="Times New Roman"/>
                <w:lang w:val="fr-FR"/>
              </w:rPr>
              <w:t xml:space="preserve"> 8 cpd</w:t>
            </w:r>
          </w:p>
        </w:tc>
      </w:tr>
      <w:tr w:rsidR="00F11690" w:rsidRPr="006830D9" w14:paraId="55CD7876" w14:textId="77777777" w:rsidTr="009E415B">
        <w:trPr>
          <w:jc w:val="center"/>
        </w:trPr>
        <w:tc>
          <w:tcPr>
            <w:tcW w:w="0" w:type="auto"/>
            <w:vMerge/>
            <w:tcBorders>
              <w:bottom w:val="single" w:sz="2" w:space="0" w:color="auto"/>
            </w:tcBorders>
            <w:vAlign w:val="center"/>
            <w:hideMark/>
          </w:tcPr>
          <w:p w14:paraId="49FA6444" w14:textId="77777777" w:rsidR="00F11690" w:rsidRPr="006830D9" w:rsidRDefault="00F11690" w:rsidP="0020765F">
            <w:pPr>
              <w:pStyle w:val="Tabletext"/>
              <w:rPr>
                <w:rFonts w:ascii="Times New Roman" w:hAnsi="Times New Roman" w:cs="Times New Roman"/>
                <w:b/>
                <w:lang w:val="fr-FR" w:eastAsia="ja-JP"/>
              </w:rPr>
            </w:pPr>
          </w:p>
        </w:tc>
        <w:tc>
          <w:tcPr>
            <w:tcW w:w="4683" w:type="dxa"/>
            <w:tcBorders>
              <w:bottom w:val="single" w:sz="2" w:space="0" w:color="auto"/>
            </w:tcBorders>
            <w:hideMark/>
          </w:tcPr>
          <w:p w14:paraId="25E55EEB" w14:textId="0620C0B4" w:rsidR="00F11690" w:rsidRPr="006830D9" w:rsidRDefault="00F11690" w:rsidP="009E415B">
            <w:pPr>
              <w:pStyle w:val="Tabletext"/>
              <w:jc w:val="center"/>
              <w:rPr>
                <w:rFonts w:ascii="Times New Roman" w:hAnsi="Times New Roman" w:cs="Times New Roman"/>
                <w:lang w:val="fr-FR"/>
              </w:rPr>
            </w:pPr>
            <w:r w:rsidRPr="006830D9">
              <w:rPr>
                <w:rFonts w:ascii="Times New Roman" w:hAnsi="Times New Roman" w:cs="Times New Roman"/>
                <w:lang w:val="fr-FR"/>
              </w:rPr>
              <w:t>160</w:t>
            </w:r>
            <w:r w:rsidR="00C96DE9" w:rsidRPr="006830D9">
              <w:rPr>
                <w:rFonts w:ascii="Times New Roman" w:hAnsi="Times New Roman" w:cs="Times New Roman"/>
                <w:lang w:val="fr-FR"/>
              </w:rPr>
              <w:t>°</w:t>
            </w:r>
            <w:r w:rsidRPr="006830D9">
              <w:rPr>
                <w:rFonts w:ascii="Times New Roman" w:hAnsi="Times New Roman" w:cs="Times New Roman"/>
                <w:lang w:val="fr-FR"/>
              </w:rPr>
              <w:t xml:space="preserve"> &lt; FV</w:t>
            </w:r>
            <w:r w:rsidRPr="006830D9">
              <w:rPr>
                <w:rFonts w:ascii="Times New Roman" w:hAnsi="Times New Roman" w:cs="Times New Roman"/>
                <w:vertAlign w:val="subscript"/>
                <w:lang w:val="fr-FR"/>
              </w:rPr>
              <w:t>H</w:t>
            </w:r>
            <w:r w:rsidRPr="006830D9">
              <w:rPr>
                <w:rFonts w:ascii="Times New Roman" w:hAnsi="Times New Roman" w:cs="Times New Roman"/>
                <w:lang w:val="fr-FR"/>
              </w:rPr>
              <w:t>, 110</w:t>
            </w:r>
            <w:r w:rsidR="00C96DE9" w:rsidRPr="006830D9">
              <w:rPr>
                <w:rFonts w:ascii="Times New Roman" w:hAnsi="Times New Roman" w:cs="Times New Roman"/>
                <w:lang w:val="fr-FR"/>
              </w:rPr>
              <w:t>°</w:t>
            </w:r>
            <w:r w:rsidRPr="006830D9">
              <w:rPr>
                <w:rFonts w:ascii="Times New Roman" w:hAnsi="Times New Roman" w:cs="Times New Roman"/>
                <w:lang w:val="fr-FR"/>
              </w:rPr>
              <w:t xml:space="preserve"> &lt; FV</w:t>
            </w:r>
            <w:r w:rsidRPr="006830D9">
              <w:rPr>
                <w:rFonts w:ascii="Times New Roman" w:hAnsi="Times New Roman" w:cs="Times New Roman"/>
                <w:vertAlign w:val="subscript"/>
                <w:lang w:val="fr-FR"/>
              </w:rPr>
              <w:t>V</w:t>
            </w:r>
          </w:p>
        </w:tc>
        <w:tc>
          <w:tcPr>
            <w:tcW w:w="2691" w:type="dxa"/>
            <w:tcBorders>
              <w:bottom w:val="single" w:sz="2" w:space="0" w:color="auto"/>
            </w:tcBorders>
            <w:hideMark/>
          </w:tcPr>
          <w:p w14:paraId="6B772B85" w14:textId="0632438A" w:rsidR="00F11690" w:rsidRPr="006830D9" w:rsidRDefault="00F11690" w:rsidP="009E415B">
            <w:pPr>
              <w:pStyle w:val="Tabletext"/>
              <w:jc w:val="center"/>
              <w:rPr>
                <w:rFonts w:ascii="Times New Roman" w:hAnsi="Times New Roman" w:cs="Times New Roman"/>
                <w:lang w:val="fr-FR"/>
              </w:rPr>
            </w:pPr>
            <w:r w:rsidRPr="006830D9">
              <w:rPr>
                <w:rFonts w:ascii="Times New Roman" w:hAnsi="Times New Roman" w:cs="Times New Roman"/>
                <w:lang w:val="fr-FR"/>
              </w:rPr>
              <w:t xml:space="preserve">SR </w:t>
            </w:r>
            <w:r w:rsidR="00C96DE9" w:rsidRPr="006830D9">
              <w:rPr>
                <w:rFonts w:ascii="Times New Roman" w:hAnsi="Times New Roman" w:cs="Times New Roman"/>
                <w:lang w:val="fr-FR"/>
              </w:rPr>
              <w:t>≥</w:t>
            </w:r>
            <w:r w:rsidRPr="006830D9">
              <w:rPr>
                <w:rFonts w:ascii="Times New Roman" w:hAnsi="Times New Roman" w:cs="Times New Roman"/>
                <w:lang w:val="fr-FR"/>
              </w:rPr>
              <w:t xml:space="preserve"> 1 cpd</w:t>
            </w:r>
          </w:p>
        </w:tc>
      </w:tr>
      <w:tr w:rsidR="00F11690" w:rsidRPr="006830D9" w14:paraId="19AA5FC4" w14:textId="77777777" w:rsidTr="009E415B">
        <w:trPr>
          <w:jc w:val="center"/>
        </w:trPr>
        <w:tc>
          <w:tcPr>
            <w:tcW w:w="9639" w:type="dxa"/>
            <w:gridSpan w:val="3"/>
            <w:tcBorders>
              <w:left w:val="nil"/>
              <w:bottom w:val="nil"/>
              <w:right w:val="nil"/>
            </w:tcBorders>
            <w:hideMark/>
          </w:tcPr>
          <w:p w14:paraId="46933D7B" w14:textId="5D538F28" w:rsidR="00F11690" w:rsidRPr="006830D9" w:rsidRDefault="00F11690" w:rsidP="0020765F">
            <w:pPr>
              <w:pStyle w:val="Tabletext"/>
              <w:rPr>
                <w:rFonts w:ascii="Times New Roman" w:hAnsi="Times New Roman" w:cs="Times New Roman"/>
                <w:szCs w:val="20"/>
                <w:lang w:val="fr-FR" w:eastAsia="ja-JP"/>
              </w:rPr>
            </w:pPr>
            <w:r w:rsidRPr="006830D9">
              <w:rPr>
                <w:rFonts w:ascii="Times New Roman" w:hAnsi="Times New Roman" w:cs="Times New Roman"/>
                <w:i/>
                <w:iCs/>
                <w:lang w:val="fr-FR" w:eastAsia="ja-JP"/>
              </w:rPr>
              <w:t>Note concernant le Tableau 4:</w:t>
            </w:r>
            <w:r w:rsidRPr="006830D9">
              <w:rPr>
                <w:rFonts w:ascii="Times New Roman" w:hAnsi="Times New Roman" w:cs="Times New Roman"/>
                <w:lang w:val="fr-FR" w:eastAsia="ja-JP"/>
              </w:rPr>
              <w:t xml:space="preserve"> les exigences sont fondées sur le Rapport UIT-R BT.2506-1.</w:t>
            </w:r>
          </w:p>
        </w:tc>
      </w:tr>
    </w:tbl>
    <w:p w14:paraId="54C27E7D" w14:textId="1C4241EC" w:rsidR="009E415B" w:rsidRPr="006830D9" w:rsidRDefault="009E415B" w:rsidP="009E415B">
      <w:pPr>
        <w:pStyle w:val="Tablefin"/>
        <w:rPr>
          <w:lang w:val="fr-FR"/>
        </w:rPr>
      </w:pPr>
    </w:p>
    <w:p w14:paraId="430132CF" w14:textId="77777777" w:rsidR="00EF5660" w:rsidRPr="006830D9" w:rsidRDefault="00EF5660" w:rsidP="00EF5660">
      <w:pPr>
        <w:pStyle w:val="Line"/>
        <w:rPr>
          <w:lang w:val="fr-FR"/>
        </w:rPr>
      </w:pPr>
    </w:p>
    <w:sectPr w:rsidR="00EF5660" w:rsidRPr="006830D9" w:rsidSect="00F11690">
      <w:headerReference w:type="even" r:id="rId18"/>
      <w:headerReference w:type="default" r:id="rId19"/>
      <w:footerReference w:type="default" r:id="rId20"/>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01868" w14:textId="77777777" w:rsidR="00EF5660" w:rsidRDefault="00EF5660">
      <w:r>
        <w:separator/>
      </w:r>
    </w:p>
  </w:endnote>
  <w:endnote w:type="continuationSeparator" w:id="0">
    <w:p w14:paraId="3988F4A5" w14:textId="77777777" w:rsidR="00EF5660" w:rsidRDefault="00EF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CC"/>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475C" w14:textId="77777777" w:rsidR="00EF5660" w:rsidRDefault="00EF5660">
    <w:pPr>
      <w:pStyle w:val="Footer"/>
    </w:pPr>
    <w:r>
      <w:drawing>
        <wp:anchor distT="0" distB="0" distL="0" distR="0" simplePos="0" relativeHeight="251659264" behindDoc="0" locked="0" layoutInCell="1" allowOverlap="1" wp14:anchorId="49DCC508" wp14:editId="357F9F3F">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7C8D" w14:textId="08A6124B" w:rsidR="00F11690" w:rsidRDefault="00F11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2C314" w14:textId="77777777" w:rsidR="00EF5660" w:rsidRDefault="00EF5660">
      <w:r>
        <w:separator/>
      </w:r>
    </w:p>
  </w:footnote>
  <w:footnote w:type="continuationSeparator" w:id="0">
    <w:p w14:paraId="315A408D" w14:textId="77777777" w:rsidR="00EF5660" w:rsidRDefault="00EF5660">
      <w:r>
        <w:continuationSeparator/>
      </w:r>
    </w:p>
  </w:footnote>
  <w:footnote w:id="1">
    <w:p w14:paraId="0C419500" w14:textId="77777777" w:rsidR="00F11690" w:rsidRPr="00305FE3" w:rsidRDefault="00F11690" w:rsidP="00F11690">
      <w:pPr>
        <w:pStyle w:val="FootnoteText"/>
        <w:rPr>
          <w:lang w:val="fr-FR"/>
        </w:rPr>
      </w:pPr>
      <w:r>
        <w:rPr>
          <w:rStyle w:val="FootnoteReference"/>
        </w:rPr>
        <w:footnoteRef/>
      </w:r>
      <w:r w:rsidRPr="00305FE3">
        <w:rPr>
          <w:lang w:val="fr-FR"/>
        </w:rPr>
        <w:tab/>
        <w:t>Programme dans lequel l'utilisateur peut regarder librement dans n'importe quelle direction avec trois degrés de liberté (3DoF) (lacet, tangage ou roulis). Un utilisateur assis sur une chaise regardant un contenu 3D de réalité virtuelle à 360° présenté avec un visiocasque (HMD) est un cas d'utilisation type. Voir la Fig. 1 pour plus de détails.</w:t>
      </w:r>
    </w:p>
  </w:footnote>
  <w:footnote w:id="2">
    <w:p w14:paraId="4AFDE329" w14:textId="77777777" w:rsidR="00F11690" w:rsidRPr="00963008" w:rsidRDefault="00F11690" w:rsidP="00F11690">
      <w:pPr>
        <w:pStyle w:val="FootnoteText"/>
        <w:rPr>
          <w:lang w:val="fr-FR"/>
        </w:rPr>
      </w:pPr>
      <w:r>
        <w:rPr>
          <w:rStyle w:val="FootnoteReference"/>
        </w:rPr>
        <w:footnoteRef/>
      </w:r>
      <w:r w:rsidRPr="00963008">
        <w:rPr>
          <w:lang w:val="fr-FR"/>
        </w:rPr>
        <w:tab/>
        <w:t xml:space="preserve">La présente </w:t>
      </w:r>
      <w:r>
        <w:rPr>
          <w:lang w:val="fr-FR"/>
        </w:rPr>
        <w:t>a</w:t>
      </w:r>
      <w:r w:rsidRPr="00963008">
        <w:rPr>
          <w:lang w:val="fr-FR"/>
        </w:rPr>
        <w:t>nnexe repose sur les spécifications figurant dans la norme ISO/CEI 23090-2 Format de média omnidirectionnel.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70824" w14:textId="77777777" w:rsidR="00EF5660" w:rsidRDefault="00EF566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EF5660" w:rsidRPr="00A239D1" w14:paraId="616B9D6F" w14:textId="77777777" w:rsidTr="0019307B">
      <w:tc>
        <w:tcPr>
          <w:tcW w:w="4634" w:type="dxa"/>
          <w:vAlign w:val="center"/>
        </w:tcPr>
        <w:p w14:paraId="72301109" w14:textId="77777777" w:rsidR="00EF5660" w:rsidRPr="005B0371" w:rsidRDefault="00EF5660"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390A765D" w14:textId="77777777" w:rsidR="00EF5660" w:rsidRPr="00260B24" w:rsidRDefault="00EF5660"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i</w:t>
          </w:r>
          <w:r w:rsidRPr="00260B24">
            <w:rPr>
              <w:rFonts w:asciiTheme="minorBidi" w:hAnsiTheme="minorBidi"/>
              <w:b/>
              <w:spacing w:val="4"/>
              <w:szCs w:val="24"/>
            </w:rPr>
            <w:t>nternational</w:t>
          </w:r>
          <w:r>
            <w:rPr>
              <w:rFonts w:asciiTheme="minorBidi" w:hAnsiTheme="minorBidi"/>
              <w:b/>
              <w:spacing w:val="4"/>
              <w:szCs w:val="24"/>
            </w:rPr>
            <w:t>e</w:t>
          </w:r>
          <w:r w:rsidRPr="00260B24">
            <w:rPr>
              <w:rFonts w:asciiTheme="minorBidi" w:hAnsiTheme="minorBidi"/>
              <w:b/>
              <w:spacing w:val="4"/>
              <w:szCs w:val="24"/>
            </w:rPr>
            <w:t xml:space="preserve"> </w:t>
          </w:r>
          <w:r>
            <w:rPr>
              <w:rFonts w:asciiTheme="minorBidi" w:hAnsiTheme="minorBidi"/>
              <w:b/>
              <w:spacing w:val="4"/>
              <w:szCs w:val="24"/>
            </w:rPr>
            <w:t>des 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
      </w:tc>
    </w:tr>
    <w:tr w:rsidR="00EF5660" w:rsidRPr="00A239D1" w14:paraId="4091E639" w14:textId="77777777" w:rsidTr="0019307B">
      <w:tc>
        <w:tcPr>
          <w:tcW w:w="4634" w:type="dxa"/>
          <w:vAlign w:val="center"/>
        </w:tcPr>
        <w:p w14:paraId="78838862" w14:textId="77777777" w:rsidR="00EF5660" w:rsidRPr="00260B24" w:rsidRDefault="00EF5660" w:rsidP="00744F8B">
          <w:pPr>
            <w:pStyle w:val="Header"/>
            <w:jc w:val="left"/>
            <w:rPr>
              <w:rFonts w:asciiTheme="minorBidi" w:hAnsiTheme="minorBidi"/>
              <w:spacing w:val="4"/>
              <w:sz w:val="21"/>
              <w:szCs w:val="21"/>
            </w:rPr>
          </w:pPr>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
      </w:tc>
      <w:tc>
        <w:tcPr>
          <w:tcW w:w="5998" w:type="dxa"/>
          <w:vAlign w:val="center"/>
        </w:tcPr>
        <w:p w14:paraId="6914085E" w14:textId="77777777" w:rsidR="00EF5660" w:rsidRPr="00260B24" w:rsidRDefault="00EF5660"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Pr="00260B24">
            <w:rPr>
              <w:rFonts w:asciiTheme="minorBidi" w:hAnsiTheme="minorBidi"/>
              <w:spacing w:val="4"/>
              <w:szCs w:val="24"/>
            </w:rPr>
            <w:t>Radiocommunication</w:t>
          </w:r>
          <w:r>
            <w:rPr>
              <w:rFonts w:asciiTheme="minorBidi" w:hAnsiTheme="minorBidi"/>
              <w:spacing w:val="4"/>
              <w:szCs w:val="24"/>
            </w:rPr>
            <w:t>s</w:t>
          </w:r>
        </w:p>
      </w:tc>
    </w:tr>
  </w:tbl>
  <w:p w14:paraId="3839FE03" w14:textId="77777777" w:rsidR="00EF5660" w:rsidRDefault="00EF5660"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79CE17C5" wp14:editId="7272DC32">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3B765F47" wp14:editId="4731FD09">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BE4F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3D282BF" w14:textId="77777777" w:rsidR="00EF5660" w:rsidRDefault="00EF5660"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63C51EBB" wp14:editId="1C38CB52">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72150"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64D4D" w14:textId="0AE9CAE4" w:rsidR="00EF5660" w:rsidRPr="00D72623" w:rsidRDefault="00EF5660"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502CBC">
      <w:rPr>
        <w:b/>
        <w:bCs/>
        <w:lang w:val="en-US"/>
      </w:rPr>
      <w:t xml:space="preserve">Rec. </w:t>
    </w:r>
    <w:r>
      <w:rPr>
        <w:b/>
        <w:bCs/>
        <w:lang w:val="en-US"/>
      </w:rPr>
      <w:fldChar w:fldCharType="end"/>
    </w:r>
    <w:r w:rsidRPr="004F3F6F">
      <w:rPr>
        <w:b/>
        <w:bCs/>
      </w:rPr>
      <w:t xml:space="preserve"> </w:t>
    </w:r>
    <w:r>
      <w:rPr>
        <w:b/>
        <w:bCs/>
      </w:rPr>
      <w:fldChar w:fldCharType="begin"/>
    </w:r>
    <w:r>
      <w:rPr>
        <w:b/>
        <w:bCs/>
        <w:lang w:val="en-US"/>
      </w:rPr>
      <w:instrText>styleref href</w:instrText>
    </w:r>
    <w:r>
      <w:rPr>
        <w:b/>
        <w:bCs/>
      </w:rPr>
      <w:fldChar w:fldCharType="separate"/>
    </w:r>
    <w:r w:rsidR="006830D9">
      <w:rPr>
        <w:b/>
        <w:bCs/>
        <w:noProof/>
        <w:lang w:val="en-US"/>
      </w:rPr>
      <w:t>UIT-R  BT.2123-1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8A01F" w14:textId="05601343" w:rsidR="00EF5660" w:rsidRDefault="00EF5660">
    <w:pPr>
      <w:pStyle w:val="Header"/>
    </w:pPr>
    <w:r>
      <w:tab/>
    </w:r>
    <w:r>
      <w:rPr>
        <w:b/>
        <w:bCs/>
      </w:rPr>
      <w:fldChar w:fldCharType="begin"/>
    </w:r>
    <w:r>
      <w:rPr>
        <w:b/>
        <w:bCs/>
      </w:rPr>
      <w:instrText xml:space="preserve"> DOCPROPERTY "Header" \* MERGEFORMAT </w:instrText>
    </w:r>
    <w:r>
      <w:rPr>
        <w:b/>
        <w:bCs/>
      </w:rPr>
      <w:fldChar w:fldCharType="separate"/>
    </w:r>
    <w:r w:rsidR="00502CBC">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502CBC">
      <w:rPr>
        <w:b/>
        <w:bCs/>
        <w:noProof/>
      </w:rPr>
      <w:t>UIT-R  BT.2123-1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080EE" w14:textId="0A32A3B7"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502CBC" w:rsidRPr="00502CBC">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6830D9">
      <w:rPr>
        <w:b/>
        <w:bCs/>
        <w:noProof/>
        <w:lang w:val="en-US"/>
      </w:rPr>
      <w:t>UIT-R  BT.2123-1</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3966" w14:textId="1FF9DFA7" w:rsidR="00607D68" w:rsidRDefault="00607D68">
    <w:pPr>
      <w:pStyle w:val="Header"/>
    </w:pPr>
    <w:r>
      <w:tab/>
    </w:r>
    <w:fldSimple w:instr=" DOCPROPERTY &quot;Header&quot; \* MERGEFORMAT ">
      <w:r w:rsidR="00502CBC" w:rsidRPr="00502CBC">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6830D9">
      <w:rPr>
        <w:b/>
        <w:bCs/>
        <w:noProof/>
      </w:rPr>
      <w:t>UIT-R  BT.2123-1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60"/>
    <w:rsid w:val="0020765F"/>
    <w:rsid w:val="00217EBF"/>
    <w:rsid w:val="00242AEE"/>
    <w:rsid w:val="00264A4B"/>
    <w:rsid w:val="002D76C4"/>
    <w:rsid w:val="00311B17"/>
    <w:rsid w:val="003B3959"/>
    <w:rsid w:val="003E0761"/>
    <w:rsid w:val="0040235E"/>
    <w:rsid w:val="00412F68"/>
    <w:rsid w:val="00502CBC"/>
    <w:rsid w:val="005154D0"/>
    <w:rsid w:val="0052529D"/>
    <w:rsid w:val="005652AF"/>
    <w:rsid w:val="005730F8"/>
    <w:rsid w:val="00607D68"/>
    <w:rsid w:val="006611BE"/>
    <w:rsid w:val="006830D9"/>
    <w:rsid w:val="006B6562"/>
    <w:rsid w:val="007468DA"/>
    <w:rsid w:val="00813FF5"/>
    <w:rsid w:val="00815F55"/>
    <w:rsid w:val="008F1970"/>
    <w:rsid w:val="009E00A8"/>
    <w:rsid w:val="009E415B"/>
    <w:rsid w:val="00A6617B"/>
    <w:rsid w:val="00AB0DC8"/>
    <w:rsid w:val="00B1188F"/>
    <w:rsid w:val="00B44E24"/>
    <w:rsid w:val="00C71D6F"/>
    <w:rsid w:val="00C96DE9"/>
    <w:rsid w:val="00D17B1C"/>
    <w:rsid w:val="00D5290C"/>
    <w:rsid w:val="00D90C82"/>
    <w:rsid w:val="00DC2B47"/>
    <w:rsid w:val="00DD57EF"/>
    <w:rsid w:val="00DF0EC0"/>
    <w:rsid w:val="00DF4176"/>
    <w:rsid w:val="00EF5660"/>
    <w:rsid w:val="00F11690"/>
    <w:rsid w:val="00F836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84F109B"/>
  <w15:docId w15:val="{102407B3-E8DB-423D-994C-CA370F3B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690"/>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F11690"/>
    <w:pPr>
      <w:keepNext/>
      <w:keepLines/>
      <w:spacing w:before="480"/>
      <w:ind w:left="794" w:hanging="794"/>
      <w:outlineLvl w:val="0"/>
    </w:pPr>
    <w:rPr>
      <w:b/>
    </w:rPr>
  </w:style>
  <w:style w:type="paragraph" w:styleId="Heading2">
    <w:name w:val="heading 2"/>
    <w:basedOn w:val="Heading1"/>
    <w:next w:val="Normal"/>
    <w:qFormat/>
    <w:rsid w:val="00F11690"/>
    <w:pPr>
      <w:spacing w:before="320"/>
      <w:outlineLvl w:val="1"/>
    </w:pPr>
  </w:style>
  <w:style w:type="paragraph" w:styleId="Heading3">
    <w:name w:val="heading 3"/>
    <w:basedOn w:val="Heading1"/>
    <w:next w:val="Normal"/>
    <w:qFormat/>
    <w:rsid w:val="00F11690"/>
    <w:pPr>
      <w:spacing w:before="200"/>
      <w:outlineLvl w:val="2"/>
    </w:pPr>
  </w:style>
  <w:style w:type="paragraph" w:styleId="Heading4">
    <w:name w:val="heading 4"/>
    <w:basedOn w:val="Heading3"/>
    <w:next w:val="Normal"/>
    <w:qFormat/>
    <w:rsid w:val="00F11690"/>
    <w:pPr>
      <w:tabs>
        <w:tab w:val="clear" w:pos="794"/>
        <w:tab w:val="left" w:pos="992"/>
      </w:tabs>
      <w:ind w:left="992" w:hanging="992"/>
      <w:outlineLvl w:val="3"/>
    </w:pPr>
  </w:style>
  <w:style w:type="paragraph" w:styleId="Heading5">
    <w:name w:val="heading 5"/>
    <w:basedOn w:val="Heading4"/>
    <w:next w:val="Normal"/>
    <w:qFormat/>
    <w:rsid w:val="00F11690"/>
    <w:pPr>
      <w:outlineLvl w:val="4"/>
    </w:pPr>
  </w:style>
  <w:style w:type="paragraph" w:styleId="Heading6">
    <w:name w:val="heading 6"/>
    <w:basedOn w:val="Heading4"/>
    <w:next w:val="Normal"/>
    <w:qFormat/>
    <w:rsid w:val="00F11690"/>
    <w:pPr>
      <w:tabs>
        <w:tab w:val="clear" w:pos="992"/>
        <w:tab w:val="clear" w:pos="1191"/>
      </w:tabs>
      <w:ind w:left="1588" w:hanging="1588"/>
      <w:outlineLvl w:val="5"/>
    </w:pPr>
  </w:style>
  <w:style w:type="paragraph" w:styleId="Heading7">
    <w:name w:val="heading 7"/>
    <w:basedOn w:val="Heading6"/>
    <w:next w:val="Normal"/>
    <w:qFormat/>
    <w:rsid w:val="00F11690"/>
    <w:pPr>
      <w:outlineLvl w:val="6"/>
    </w:pPr>
  </w:style>
  <w:style w:type="paragraph" w:styleId="Heading8">
    <w:name w:val="heading 8"/>
    <w:basedOn w:val="Heading6"/>
    <w:next w:val="Normal"/>
    <w:qFormat/>
    <w:rsid w:val="00F11690"/>
    <w:pPr>
      <w:outlineLvl w:val="7"/>
    </w:pPr>
  </w:style>
  <w:style w:type="paragraph" w:styleId="Heading9">
    <w:name w:val="heading 9"/>
    <w:basedOn w:val="Heading6"/>
    <w:next w:val="Normal"/>
    <w:qFormat/>
    <w:rsid w:val="00F1169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1690"/>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F11690"/>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F11690"/>
  </w:style>
  <w:style w:type="paragraph" w:customStyle="1" w:styleId="Headingb">
    <w:name w:val="Heading_b"/>
    <w:basedOn w:val="Heading3"/>
    <w:next w:val="Normal"/>
    <w:link w:val="HeadingbChar"/>
    <w:rsid w:val="00F11690"/>
    <w:pPr>
      <w:spacing w:before="160"/>
      <w:ind w:left="0" w:firstLine="0"/>
      <w:outlineLvl w:val="9"/>
    </w:pPr>
  </w:style>
  <w:style w:type="paragraph" w:customStyle="1" w:styleId="Headingi">
    <w:name w:val="Heading_i"/>
    <w:basedOn w:val="Heading3"/>
    <w:next w:val="Normal"/>
    <w:rsid w:val="00F11690"/>
    <w:pPr>
      <w:spacing w:before="160"/>
      <w:ind w:left="0" w:firstLine="0"/>
    </w:pPr>
    <w:rPr>
      <w:b w:val="0"/>
      <w:i/>
    </w:rPr>
  </w:style>
  <w:style w:type="character" w:customStyle="1" w:styleId="href">
    <w:name w:val="href"/>
    <w:basedOn w:val="DefaultParagraphFont"/>
    <w:rsid w:val="00F11690"/>
  </w:style>
  <w:style w:type="paragraph" w:customStyle="1" w:styleId="enumlev1">
    <w:name w:val="enumlev1"/>
    <w:basedOn w:val="Normal"/>
    <w:link w:val="enumlev1Char"/>
    <w:rsid w:val="00F11690"/>
    <w:pPr>
      <w:spacing w:before="80"/>
      <w:ind w:left="794" w:hanging="794"/>
    </w:pPr>
  </w:style>
  <w:style w:type="paragraph" w:customStyle="1" w:styleId="enumlev2">
    <w:name w:val="enumlev2"/>
    <w:basedOn w:val="enumlev1"/>
    <w:link w:val="enumlev2Char"/>
    <w:rsid w:val="00F11690"/>
    <w:pPr>
      <w:ind w:left="1191" w:hanging="397"/>
    </w:pPr>
  </w:style>
  <w:style w:type="paragraph" w:customStyle="1" w:styleId="enumlev3">
    <w:name w:val="enumlev3"/>
    <w:basedOn w:val="enumlev2"/>
    <w:rsid w:val="00F11690"/>
    <w:pPr>
      <w:ind w:left="1588"/>
    </w:pPr>
  </w:style>
  <w:style w:type="paragraph" w:customStyle="1" w:styleId="Normalaftertitle">
    <w:name w:val="Normal_after_title"/>
    <w:basedOn w:val="Normal"/>
    <w:next w:val="Normal"/>
    <w:link w:val="NormalaftertitleChar"/>
    <w:rsid w:val="00F11690"/>
    <w:pPr>
      <w:spacing w:before="320"/>
    </w:pPr>
  </w:style>
  <w:style w:type="paragraph" w:customStyle="1" w:styleId="Note">
    <w:name w:val="Note"/>
    <w:basedOn w:val="Normal"/>
    <w:link w:val="NoteChar"/>
    <w:rsid w:val="00F11690"/>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F11690"/>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F11690"/>
    <w:pPr>
      <w:spacing w:before="240"/>
    </w:pPr>
    <w:rPr>
      <w:sz w:val="22"/>
      <w:lang w:val="es-ES_tradnl"/>
    </w:rPr>
  </w:style>
  <w:style w:type="paragraph" w:customStyle="1" w:styleId="Recref">
    <w:name w:val="Rec_ref"/>
    <w:basedOn w:val="Normal"/>
    <w:next w:val="Recdate"/>
    <w:rsid w:val="00F11690"/>
    <w:pPr>
      <w:jc w:val="center"/>
    </w:pPr>
  </w:style>
  <w:style w:type="paragraph" w:customStyle="1" w:styleId="Recdate">
    <w:name w:val="Rec_date"/>
    <w:basedOn w:val="Recref"/>
    <w:next w:val="Normalaftertitle"/>
    <w:rsid w:val="00F11690"/>
    <w:pPr>
      <w:jc w:val="right"/>
    </w:pPr>
  </w:style>
  <w:style w:type="paragraph" w:customStyle="1" w:styleId="AnnexNoTitle">
    <w:name w:val="Annex_NoTitle"/>
    <w:basedOn w:val="Normal"/>
    <w:next w:val="Normalaftertitle"/>
    <w:link w:val="AnnexNoTitleChar"/>
    <w:rsid w:val="00F11690"/>
    <w:pPr>
      <w:keepNext/>
      <w:keepLines/>
      <w:spacing w:before="480" w:after="80"/>
      <w:jc w:val="center"/>
    </w:pPr>
    <w:rPr>
      <w:b/>
      <w:sz w:val="28"/>
    </w:rPr>
  </w:style>
  <w:style w:type="paragraph" w:customStyle="1" w:styleId="AppendixNoTitle">
    <w:name w:val="Appendix_NoTitle"/>
    <w:basedOn w:val="AnnexNoTitle"/>
    <w:next w:val="Normal"/>
    <w:rsid w:val="00F11690"/>
  </w:style>
  <w:style w:type="paragraph" w:customStyle="1" w:styleId="Tablefin">
    <w:name w:val="Table_fin"/>
    <w:basedOn w:val="Normal"/>
    <w:next w:val="Normal"/>
    <w:rsid w:val="00F11690"/>
    <w:pPr>
      <w:spacing w:before="0"/>
    </w:pPr>
    <w:rPr>
      <w:sz w:val="20"/>
    </w:rPr>
  </w:style>
  <w:style w:type="paragraph" w:customStyle="1" w:styleId="Tablehead">
    <w:name w:val="Table_head"/>
    <w:basedOn w:val="Normal"/>
    <w:next w:val="Normal"/>
    <w:link w:val="TableheadChar"/>
    <w:rsid w:val="00F1169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F116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F11690"/>
    <w:pPr>
      <w:keepNext/>
      <w:spacing w:before="360" w:after="120"/>
      <w:jc w:val="center"/>
    </w:pPr>
  </w:style>
  <w:style w:type="paragraph" w:customStyle="1" w:styleId="Tabletext">
    <w:name w:val="Table_text"/>
    <w:basedOn w:val="Normal"/>
    <w:link w:val="TabletextChar"/>
    <w:rsid w:val="00F116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F11690"/>
    <w:pPr>
      <w:tabs>
        <w:tab w:val="clear" w:pos="1191"/>
        <w:tab w:val="clear" w:pos="1588"/>
        <w:tab w:val="clear" w:pos="1985"/>
        <w:tab w:val="center" w:pos="4820"/>
        <w:tab w:val="right" w:pos="9639"/>
      </w:tabs>
    </w:pPr>
  </w:style>
  <w:style w:type="paragraph" w:customStyle="1" w:styleId="Equationlegend">
    <w:name w:val="Equation_legend"/>
    <w:basedOn w:val="NormalIndent"/>
    <w:rsid w:val="00F1169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F11690"/>
    <w:pPr>
      <w:ind w:left="794"/>
    </w:pPr>
  </w:style>
  <w:style w:type="paragraph" w:customStyle="1" w:styleId="Figurelegend">
    <w:name w:val="Figure_legend"/>
    <w:basedOn w:val="Normal"/>
    <w:rsid w:val="00F1169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F11690"/>
    <w:pPr>
      <w:keepNext/>
      <w:keepLines/>
      <w:spacing w:before="480" w:after="80"/>
      <w:jc w:val="center"/>
    </w:pPr>
    <w:rPr>
      <w:caps/>
      <w:sz w:val="18"/>
    </w:rPr>
  </w:style>
  <w:style w:type="paragraph" w:customStyle="1" w:styleId="tocpart">
    <w:name w:val="tocpart"/>
    <w:basedOn w:val="Normal"/>
    <w:rsid w:val="00F1169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F11690"/>
    <w:pPr>
      <w:keepNext/>
      <w:keepLines/>
      <w:spacing w:before="480"/>
      <w:jc w:val="center"/>
    </w:pPr>
    <w:rPr>
      <w:sz w:val="28"/>
    </w:rPr>
  </w:style>
  <w:style w:type="paragraph" w:customStyle="1" w:styleId="Arttitle">
    <w:name w:val="Art_title"/>
    <w:basedOn w:val="Normal"/>
    <w:next w:val="Normalaftertitle"/>
    <w:rsid w:val="00F11690"/>
    <w:pPr>
      <w:keepNext/>
      <w:keepLines/>
      <w:spacing w:before="240"/>
      <w:jc w:val="center"/>
    </w:pPr>
    <w:rPr>
      <w:b/>
      <w:sz w:val="28"/>
    </w:rPr>
  </w:style>
  <w:style w:type="paragraph" w:customStyle="1" w:styleId="Blanc">
    <w:name w:val="Blanc"/>
    <w:basedOn w:val="Normal"/>
    <w:next w:val="Tabletext"/>
    <w:rsid w:val="00F11690"/>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F116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11690"/>
    <w:pPr>
      <w:keepNext/>
      <w:keepLines/>
      <w:spacing w:before="160"/>
      <w:ind w:left="794"/>
    </w:pPr>
    <w:rPr>
      <w:i/>
    </w:rPr>
  </w:style>
  <w:style w:type="paragraph" w:customStyle="1" w:styleId="ChapNo">
    <w:name w:val="Chap_No"/>
    <w:basedOn w:val="ArtNo"/>
    <w:next w:val="Chaptitle"/>
    <w:rsid w:val="00F11690"/>
    <w:rPr>
      <w:b/>
    </w:rPr>
  </w:style>
  <w:style w:type="paragraph" w:customStyle="1" w:styleId="Chaptitle">
    <w:name w:val="Chap_title"/>
    <w:basedOn w:val="Arttitle"/>
    <w:next w:val="Normalaftertitle"/>
    <w:rsid w:val="00F11690"/>
  </w:style>
  <w:style w:type="character" w:styleId="FootnoteReference">
    <w:name w:val="footnote reference"/>
    <w:basedOn w:val="DefaultParagraphFont"/>
    <w:rsid w:val="00F11690"/>
    <w:rPr>
      <w:position w:val="6"/>
      <w:sz w:val="18"/>
    </w:rPr>
  </w:style>
  <w:style w:type="paragraph" w:styleId="FootnoteText">
    <w:name w:val="footnote text"/>
    <w:basedOn w:val="Normal"/>
    <w:link w:val="FootnoteTextChar"/>
    <w:rsid w:val="00F11690"/>
    <w:pPr>
      <w:keepLines/>
      <w:tabs>
        <w:tab w:val="left" w:pos="255"/>
      </w:tabs>
      <w:ind w:left="255" w:hanging="255"/>
    </w:pPr>
    <w:rPr>
      <w:sz w:val="22"/>
    </w:rPr>
  </w:style>
  <w:style w:type="paragraph" w:styleId="Index1">
    <w:name w:val="index 1"/>
    <w:basedOn w:val="Normal"/>
    <w:next w:val="Normal"/>
    <w:semiHidden/>
    <w:rsid w:val="00F11690"/>
  </w:style>
  <w:style w:type="paragraph" w:styleId="Index2">
    <w:name w:val="index 2"/>
    <w:basedOn w:val="Normal"/>
    <w:next w:val="Normal"/>
    <w:semiHidden/>
    <w:rsid w:val="00F11690"/>
    <w:pPr>
      <w:ind w:left="283"/>
    </w:pPr>
  </w:style>
  <w:style w:type="paragraph" w:styleId="Index3">
    <w:name w:val="index 3"/>
    <w:basedOn w:val="Normal"/>
    <w:next w:val="Normal"/>
    <w:semiHidden/>
    <w:rsid w:val="00F11690"/>
    <w:pPr>
      <w:ind w:left="566"/>
    </w:pPr>
  </w:style>
  <w:style w:type="paragraph" w:styleId="IndexHeading">
    <w:name w:val="index heading"/>
    <w:basedOn w:val="Normal"/>
    <w:next w:val="Index1"/>
    <w:semiHidden/>
    <w:rsid w:val="00F11690"/>
  </w:style>
  <w:style w:type="paragraph" w:customStyle="1" w:styleId="Line">
    <w:name w:val="Line"/>
    <w:basedOn w:val="Normal"/>
    <w:next w:val="Normal"/>
    <w:rsid w:val="00F11690"/>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F1169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F11690"/>
  </w:style>
  <w:style w:type="paragraph" w:customStyle="1" w:styleId="Partref">
    <w:name w:val="Part_ref"/>
    <w:basedOn w:val="Normal"/>
    <w:next w:val="Normal"/>
    <w:rsid w:val="00F11690"/>
    <w:pPr>
      <w:keepNext/>
      <w:keepLines/>
      <w:spacing w:after="280"/>
      <w:jc w:val="center"/>
    </w:pPr>
  </w:style>
  <w:style w:type="paragraph" w:customStyle="1" w:styleId="Parttitle">
    <w:name w:val="Part_title"/>
    <w:basedOn w:val="Normal"/>
    <w:next w:val="Normalaftertitle"/>
    <w:rsid w:val="00F1169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F11690"/>
  </w:style>
  <w:style w:type="paragraph" w:customStyle="1" w:styleId="QuestionNo">
    <w:name w:val="Question_No"/>
    <w:basedOn w:val="RecNo"/>
    <w:next w:val="Normal"/>
    <w:rsid w:val="00F11690"/>
  </w:style>
  <w:style w:type="paragraph" w:customStyle="1" w:styleId="Questionref">
    <w:name w:val="Question_ref"/>
    <w:basedOn w:val="Recref"/>
    <w:next w:val="Questiondate"/>
    <w:rsid w:val="00F11690"/>
  </w:style>
  <w:style w:type="paragraph" w:customStyle="1" w:styleId="Questiontitle">
    <w:name w:val="Question_title"/>
    <w:basedOn w:val="Normal"/>
    <w:next w:val="Questionref"/>
    <w:rsid w:val="00F11690"/>
  </w:style>
  <w:style w:type="paragraph" w:customStyle="1" w:styleId="Reftext">
    <w:name w:val="Ref_text"/>
    <w:basedOn w:val="Normal"/>
    <w:rsid w:val="00F11690"/>
    <w:pPr>
      <w:ind w:left="794" w:hanging="794"/>
    </w:pPr>
    <w:rPr>
      <w:sz w:val="22"/>
    </w:rPr>
  </w:style>
  <w:style w:type="paragraph" w:customStyle="1" w:styleId="Reftitle">
    <w:name w:val="Ref_title"/>
    <w:basedOn w:val="Normal"/>
    <w:next w:val="Reftext"/>
    <w:rsid w:val="00F1169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F11690"/>
  </w:style>
  <w:style w:type="paragraph" w:customStyle="1" w:styleId="RepNo">
    <w:name w:val="Rep_No"/>
    <w:basedOn w:val="RecNo"/>
    <w:next w:val="Reptitle"/>
    <w:rsid w:val="00F11690"/>
  </w:style>
  <w:style w:type="paragraph" w:customStyle="1" w:styleId="Repref">
    <w:name w:val="Rep_ref"/>
    <w:basedOn w:val="Recref"/>
    <w:next w:val="Repdate"/>
    <w:rsid w:val="00F11690"/>
  </w:style>
  <w:style w:type="paragraph" w:customStyle="1" w:styleId="Reptitle">
    <w:name w:val="Rep_title"/>
    <w:basedOn w:val="Rectitle"/>
    <w:next w:val="Repref"/>
    <w:rsid w:val="00F11690"/>
  </w:style>
  <w:style w:type="paragraph" w:customStyle="1" w:styleId="Resdate">
    <w:name w:val="Res_date"/>
    <w:basedOn w:val="Recdate"/>
    <w:next w:val="Normalaftertitle"/>
    <w:rsid w:val="00F11690"/>
  </w:style>
  <w:style w:type="paragraph" w:customStyle="1" w:styleId="ResNo">
    <w:name w:val="Res_No"/>
    <w:basedOn w:val="RecNo"/>
    <w:next w:val="Restitle"/>
    <w:rsid w:val="00F11690"/>
  </w:style>
  <w:style w:type="paragraph" w:customStyle="1" w:styleId="Resref">
    <w:name w:val="Res_ref"/>
    <w:basedOn w:val="Recref"/>
    <w:next w:val="Resdate"/>
    <w:rsid w:val="00F11690"/>
  </w:style>
  <w:style w:type="paragraph" w:customStyle="1" w:styleId="Restitle">
    <w:name w:val="Res_title"/>
    <w:basedOn w:val="Normal"/>
    <w:next w:val="Resref"/>
    <w:rsid w:val="00F11690"/>
    <w:pPr>
      <w:spacing w:before="240"/>
      <w:jc w:val="center"/>
    </w:pPr>
    <w:rPr>
      <w:b/>
      <w:sz w:val="28"/>
    </w:rPr>
  </w:style>
  <w:style w:type="paragraph" w:customStyle="1" w:styleId="SectionNo">
    <w:name w:val="Section_No"/>
    <w:basedOn w:val="Normal"/>
    <w:next w:val="Normal"/>
    <w:rsid w:val="00F11690"/>
  </w:style>
  <w:style w:type="paragraph" w:customStyle="1" w:styleId="Sectiontitle">
    <w:name w:val="Section_title"/>
    <w:basedOn w:val="Normal"/>
    <w:next w:val="Normalaftertitle"/>
    <w:rsid w:val="00F1169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F11690"/>
    <w:pPr>
      <w:tabs>
        <w:tab w:val="clear" w:pos="794"/>
        <w:tab w:val="clear" w:pos="1191"/>
        <w:tab w:val="clear" w:pos="1588"/>
        <w:tab w:val="clear" w:pos="1985"/>
        <w:tab w:val="right" w:pos="9611"/>
      </w:tabs>
    </w:pPr>
    <w:rPr>
      <w:i/>
    </w:rPr>
  </w:style>
  <w:style w:type="paragraph" w:styleId="TOC1">
    <w:name w:val="toc 1"/>
    <w:basedOn w:val="Normal"/>
    <w:semiHidden/>
    <w:rsid w:val="00F1169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F11690"/>
    <w:pPr>
      <w:tabs>
        <w:tab w:val="clear" w:pos="567"/>
        <w:tab w:val="left" w:pos="1276"/>
      </w:tabs>
      <w:spacing w:before="160"/>
      <w:ind w:left="1276" w:hanging="709"/>
    </w:pPr>
  </w:style>
  <w:style w:type="paragraph" w:styleId="TOC3">
    <w:name w:val="toc 3"/>
    <w:basedOn w:val="TOC2"/>
    <w:semiHidden/>
    <w:rsid w:val="00F11690"/>
    <w:pPr>
      <w:tabs>
        <w:tab w:val="clear" w:pos="1276"/>
        <w:tab w:val="left" w:pos="2155"/>
      </w:tabs>
      <w:ind w:left="2155" w:hanging="879"/>
    </w:pPr>
  </w:style>
  <w:style w:type="paragraph" w:styleId="TOC4">
    <w:name w:val="toc 4"/>
    <w:basedOn w:val="TOC3"/>
    <w:semiHidden/>
    <w:rsid w:val="00F11690"/>
    <w:pPr>
      <w:tabs>
        <w:tab w:val="left" w:pos="3261"/>
      </w:tabs>
      <w:spacing w:before="80"/>
      <w:ind w:left="3261" w:hanging="993"/>
    </w:pPr>
  </w:style>
  <w:style w:type="paragraph" w:styleId="TOC5">
    <w:name w:val="toc 5"/>
    <w:basedOn w:val="TOC4"/>
    <w:semiHidden/>
    <w:rsid w:val="00F11690"/>
  </w:style>
  <w:style w:type="paragraph" w:styleId="TOC6">
    <w:name w:val="toc 6"/>
    <w:basedOn w:val="TOC4"/>
    <w:semiHidden/>
    <w:rsid w:val="00F11690"/>
  </w:style>
  <w:style w:type="paragraph" w:styleId="TOC7">
    <w:name w:val="toc 7"/>
    <w:basedOn w:val="TOC4"/>
    <w:semiHidden/>
    <w:rsid w:val="00F11690"/>
  </w:style>
  <w:style w:type="paragraph" w:styleId="TOC8">
    <w:name w:val="toc 8"/>
    <w:basedOn w:val="TOC4"/>
    <w:semiHidden/>
    <w:rsid w:val="00F11690"/>
  </w:style>
  <w:style w:type="paragraph" w:customStyle="1" w:styleId="Rectitle">
    <w:name w:val="Rec_title"/>
    <w:basedOn w:val="Normal"/>
    <w:next w:val="Recref"/>
    <w:link w:val="RectitleChar"/>
    <w:rsid w:val="00F11690"/>
    <w:pPr>
      <w:keepNext/>
      <w:keepLines/>
      <w:spacing w:before="240"/>
      <w:jc w:val="center"/>
    </w:pPr>
    <w:rPr>
      <w:b/>
      <w:sz w:val="28"/>
    </w:rPr>
  </w:style>
  <w:style w:type="paragraph" w:customStyle="1" w:styleId="Annexref">
    <w:name w:val="Annex_ref"/>
    <w:basedOn w:val="Normal"/>
    <w:next w:val="Normalaftertitle"/>
    <w:rsid w:val="00F11690"/>
    <w:pPr>
      <w:keepNext/>
      <w:keepLines/>
      <w:spacing w:after="280"/>
      <w:jc w:val="center"/>
    </w:pPr>
  </w:style>
  <w:style w:type="paragraph" w:customStyle="1" w:styleId="Appendixref">
    <w:name w:val="Appendix_ref"/>
    <w:basedOn w:val="Annexref"/>
    <w:next w:val="Normalaftertitle"/>
    <w:rsid w:val="00F11690"/>
  </w:style>
  <w:style w:type="paragraph" w:customStyle="1" w:styleId="Figuretitle">
    <w:name w:val="Figure_title"/>
    <w:basedOn w:val="Normal"/>
    <w:next w:val="Figure"/>
    <w:link w:val="FiguretitleChar"/>
    <w:rsid w:val="00F11690"/>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F11690"/>
    <w:pPr>
      <w:keepNext/>
      <w:spacing w:before="0" w:after="120"/>
      <w:jc w:val="center"/>
    </w:pPr>
    <w:rPr>
      <w:b/>
    </w:rPr>
  </w:style>
  <w:style w:type="paragraph" w:customStyle="1" w:styleId="Summary">
    <w:name w:val="Summary"/>
    <w:basedOn w:val="Normal"/>
    <w:next w:val="Normalaftertitle"/>
    <w:autoRedefine/>
    <w:rsid w:val="00F11690"/>
    <w:pPr>
      <w:spacing w:after="480"/>
    </w:pPr>
    <w:rPr>
      <w:sz w:val="22"/>
      <w:lang w:val="es-ES_tradnl"/>
    </w:rPr>
  </w:style>
  <w:style w:type="paragraph" w:customStyle="1" w:styleId="TableLegendNote">
    <w:name w:val="Table_Legend_Note"/>
    <w:basedOn w:val="Tablelegend"/>
    <w:next w:val="Tablelegend"/>
    <w:rsid w:val="00F11690"/>
    <w:pPr>
      <w:ind w:left="-85" w:firstLine="0"/>
    </w:pPr>
    <w:rPr>
      <w:lang w:val="en-US"/>
    </w:rPr>
  </w:style>
  <w:style w:type="paragraph" w:customStyle="1" w:styleId="Figure">
    <w:name w:val="Figure"/>
    <w:basedOn w:val="FigureNo"/>
    <w:next w:val="Normal"/>
    <w:link w:val="FigureChar"/>
    <w:rsid w:val="00F11690"/>
    <w:pPr>
      <w:keepNext w:val="0"/>
      <w:spacing w:before="0" w:after="240"/>
    </w:pPr>
  </w:style>
  <w:style w:type="character" w:styleId="Hyperlink">
    <w:name w:val="Hyperlink"/>
    <w:basedOn w:val="DefaultParagraphFont"/>
    <w:rsid w:val="00EF5660"/>
    <w:rPr>
      <w:color w:val="0000FF"/>
      <w:u w:val="single"/>
    </w:rPr>
  </w:style>
  <w:style w:type="character" w:customStyle="1" w:styleId="HeaderChar">
    <w:name w:val="Header Char"/>
    <w:basedOn w:val="DefaultParagraphFont"/>
    <w:link w:val="Header"/>
    <w:rsid w:val="00EF5660"/>
    <w:rPr>
      <w:sz w:val="24"/>
      <w:lang w:val="en-GB" w:eastAsia="en-US"/>
    </w:rPr>
  </w:style>
  <w:style w:type="table" w:styleId="TableGrid">
    <w:name w:val="Table Grid"/>
    <w:basedOn w:val="TableNormal"/>
    <w:uiPriority w:val="59"/>
    <w:qFormat/>
    <w:rsid w:val="00EF566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EF5660"/>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EF5660"/>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EF5660"/>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EF5660"/>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F11690"/>
    <w:rPr>
      <w:b/>
      <w:sz w:val="24"/>
      <w:lang w:val="en-GB" w:eastAsia="en-US"/>
    </w:rPr>
  </w:style>
  <w:style w:type="paragraph" w:customStyle="1" w:styleId="Normalaftertitle0">
    <w:name w:val="Normal after title"/>
    <w:basedOn w:val="Normal"/>
    <w:next w:val="Normal"/>
    <w:rsid w:val="00F11690"/>
    <w:pPr>
      <w:tabs>
        <w:tab w:val="clear" w:pos="794"/>
        <w:tab w:val="clear" w:pos="1191"/>
        <w:tab w:val="clear" w:pos="1588"/>
        <w:tab w:val="clear" w:pos="1985"/>
        <w:tab w:val="left" w:pos="1134"/>
        <w:tab w:val="left" w:pos="1871"/>
        <w:tab w:val="left" w:pos="2268"/>
      </w:tabs>
      <w:spacing w:before="280"/>
      <w:jc w:val="left"/>
    </w:pPr>
  </w:style>
  <w:style w:type="character" w:customStyle="1" w:styleId="FootnoteTextChar">
    <w:name w:val="Footnote Text Char"/>
    <w:basedOn w:val="DefaultParagraphFont"/>
    <w:link w:val="FootnoteText"/>
    <w:qFormat/>
    <w:rsid w:val="00F11690"/>
    <w:rPr>
      <w:sz w:val="22"/>
      <w:lang w:val="en-GB" w:eastAsia="en-US"/>
    </w:rPr>
  </w:style>
  <w:style w:type="character" w:customStyle="1" w:styleId="FiguretitleChar">
    <w:name w:val="Figure_title Char"/>
    <w:basedOn w:val="DefaultParagraphFont"/>
    <w:link w:val="Figuretitle"/>
    <w:rsid w:val="00F11690"/>
    <w:rPr>
      <w:rFonts w:ascii="Times New Roman Bold" w:hAnsi="Times New Roman Bold"/>
      <w:b/>
      <w:sz w:val="18"/>
      <w:lang w:val="en-GB" w:eastAsia="en-US"/>
    </w:rPr>
  </w:style>
  <w:style w:type="character" w:customStyle="1" w:styleId="HeadingbChar">
    <w:name w:val="Heading_b Char"/>
    <w:basedOn w:val="DefaultParagraphFont"/>
    <w:link w:val="Headingb"/>
    <w:qFormat/>
    <w:locked/>
    <w:rsid w:val="00F11690"/>
    <w:rPr>
      <w:b/>
      <w:sz w:val="24"/>
      <w:lang w:val="en-GB" w:eastAsia="en-US"/>
    </w:rPr>
  </w:style>
  <w:style w:type="character" w:customStyle="1" w:styleId="enumlev1Char">
    <w:name w:val="enumlev1 Char"/>
    <w:basedOn w:val="DefaultParagraphFont"/>
    <w:link w:val="enumlev1"/>
    <w:locked/>
    <w:rsid w:val="00F11690"/>
    <w:rPr>
      <w:sz w:val="24"/>
      <w:lang w:val="en-GB" w:eastAsia="en-US"/>
    </w:rPr>
  </w:style>
  <w:style w:type="character" w:customStyle="1" w:styleId="NormalaftertitleChar">
    <w:name w:val="Normal_after_title Char"/>
    <w:basedOn w:val="DefaultParagraphFont"/>
    <w:link w:val="Normalaftertitle"/>
    <w:locked/>
    <w:rsid w:val="00F11690"/>
    <w:rPr>
      <w:sz w:val="24"/>
      <w:lang w:val="en-GB" w:eastAsia="en-US"/>
    </w:rPr>
  </w:style>
  <w:style w:type="character" w:customStyle="1" w:styleId="RectitleChar">
    <w:name w:val="Rec_title Char"/>
    <w:link w:val="Rectitle"/>
    <w:locked/>
    <w:rsid w:val="00F11690"/>
    <w:rPr>
      <w:b/>
      <w:sz w:val="28"/>
      <w:lang w:val="en-GB" w:eastAsia="en-US"/>
    </w:rPr>
  </w:style>
  <w:style w:type="character" w:customStyle="1" w:styleId="NoteChar">
    <w:name w:val="Note Char"/>
    <w:basedOn w:val="DefaultParagraphFont"/>
    <w:link w:val="Note"/>
    <w:locked/>
    <w:rsid w:val="00F11690"/>
    <w:rPr>
      <w:sz w:val="22"/>
      <w:lang w:val="en-GB" w:eastAsia="en-US"/>
    </w:rPr>
  </w:style>
  <w:style w:type="character" w:customStyle="1" w:styleId="CallChar">
    <w:name w:val="Call Char"/>
    <w:link w:val="Call"/>
    <w:locked/>
    <w:rsid w:val="00F11690"/>
    <w:rPr>
      <w:i/>
      <w:sz w:val="24"/>
      <w:lang w:val="en-GB" w:eastAsia="en-US"/>
    </w:rPr>
  </w:style>
  <w:style w:type="character" w:customStyle="1" w:styleId="TableheadChar">
    <w:name w:val="Table_head Char"/>
    <w:link w:val="Tablehead"/>
    <w:locked/>
    <w:rsid w:val="00F11690"/>
    <w:rPr>
      <w:b/>
      <w:sz w:val="22"/>
      <w:lang w:val="en-GB" w:eastAsia="en-US"/>
    </w:rPr>
  </w:style>
  <w:style w:type="character" w:customStyle="1" w:styleId="TableNoChar">
    <w:name w:val="Table_No Char"/>
    <w:link w:val="TableNo"/>
    <w:rsid w:val="00F11690"/>
    <w:rPr>
      <w:sz w:val="24"/>
      <w:lang w:val="en-GB" w:eastAsia="en-US"/>
    </w:rPr>
  </w:style>
  <w:style w:type="character" w:customStyle="1" w:styleId="TabletextChar">
    <w:name w:val="Table_text Char"/>
    <w:link w:val="Tabletext"/>
    <w:locked/>
    <w:rsid w:val="00F11690"/>
    <w:rPr>
      <w:sz w:val="22"/>
      <w:lang w:val="en-GB" w:eastAsia="en-US"/>
    </w:rPr>
  </w:style>
  <w:style w:type="character" w:customStyle="1" w:styleId="TabletitleChar">
    <w:name w:val="Table_title Char"/>
    <w:link w:val="Tabletitle"/>
    <w:qFormat/>
    <w:rsid w:val="00F11690"/>
    <w:rPr>
      <w:b/>
      <w:sz w:val="24"/>
      <w:lang w:val="en-GB" w:eastAsia="en-US"/>
    </w:rPr>
  </w:style>
  <w:style w:type="character" w:customStyle="1" w:styleId="FigureChar">
    <w:name w:val="Figure Char"/>
    <w:aliases w:val="fig Char"/>
    <w:link w:val="Figure"/>
    <w:rsid w:val="00F11690"/>
    <w:rPr>
      <w:caps/>
      <w:sz w:val="18"/>
      <w:lang w:val="en-GB" w:eastAsia="en-US"/>
    </w:rPr>
  </w:style>
  <w:style w:type="character" w:customStyle="1" w:styleId="FigureNo0">
    <w:name w:val="Figure_No (文字)"/>
    <w:link w:val="FigureNo"/>
    <w:rsid w:val="00F11690"/>
    <w:rPr>
      <w:caps/>
      <w:sz w:val="18"/>
      <w:lang w:val="en-GB" w:eastAsia="en-US"/>
    </w:rPr>
  </w:style>
  <w:style w:type="character" w:customStyle="1" w:styleId="TablelegendChar">
    <w:name w:val="Table_legend Char"/>
    <w:link w:val="Tablelegend"/>
    <w:locked/>
    <w:rsid w:val="00F11690"/>
    <w:rPr>
      <w:sz w:val="22"/>
      <w:lang w:val="en-GB" w:eastAsia="en-US"/>
    </w:rPr>
  </w:style>
  <w:style w:type="character" w:customStyle="1" w:styleId="enumlev2Char">
    <w:name w:val="enumlev2 Char"/>
    <w:basedOn w:val="DefaultParagraphFont"/>
    <w:link w:val="enumlev2"/>
    <w:locked/>
    <w:rsid w:val="00F11690"/>
    <w:rPr>
      <w:sz w:val="24"/>
      <w:lang w:val="en-GB" w:eastAsia="en-US"/>
    </w:rPr>
  </w:style>
  <w:style w:type="character" w:customStyle="1" w:styleId="EquationChar">
    <w:name w:val="Equation Char"/>
    <w:link w:val="Equation"/>
    <w:locked/>
    <w:rsid w:val="00F11690"/>
    <w:rPr>
      <w:sz w:val="24"/>
      <w:lang w:val="en-GB" w:eastAsia="en-US"/>
    </w:rPr>
  </w:style>
  <w:style w:type="character" w:customStyle="1" w:styleId="AnnexNoTitleChar">
    <w:name w:val="Annex_NoTitle Char"/>
    <w:basedOn w:val="DefaultParagraphFont"/>
    <w:link w:val="AnnexNoTitle"/>
    <w:locked/>
    <w:rsid w:val="00F11690"/>
    <w:rPr>
      <w:b/>
      <w:sz w:val="28"/>
      <w:lang w:val="en-GB" w:eastAsia="en-US"/>
    </w:rPr>
  </w:style>
  <w:style w:type="character" w:styleId="CommentReference">
    <w:name w:val="annotation reference"/>
    <w:basedOn w:val="DefaultParagraphFont"/>
    <w:semiHidden/>
    <w:unhideWhenUsed/>
    <w:rsid w:val="00F11690"/>
    <w:rPr>
      <w:sz w:val="16"/>
      <w:szCs w:val="16"/>
    </w:rPr>
  </w:style>
  <w:style w:type="paragraph" w:styleId="CommentText">
    <w:name w:val="annotation text"/>
    <w:basedOn w:val="Normal"/>
    <w:link w:val="CommentTextChar"/>
    <w:unhideWhenUsed/>
    <w:rsid w:val="00F11690"/>
    <w:rPr>
      <w:sz w:val="20"/>
    </w:rPr>
  </w:style>
  <w:style w:type="character" w:customStyle="1" w:styleId="CommentTextChar">
    <w:name w:val="Comment Text Char"/>
    <w:basedOn w:val="DefaultParagraphFont"/>
    <w:link w:val="CommentText"/>
    <w:rsid w:val="00F11690"/>
    <w:rPr>
      <w:lang w:val="en-GB" w:eastAsia="en-US"/>
    </w:rPr>
  </w:style>
  <w:style w:type="paragraph" w:styleId="CommentSubject">
    <w:name w:val="annotation subject"/>
    <w:basedOn w:val="CommentText"/>
    <w:next w:val="CommentText"/>
    <w:link w:val="CommentSubjectChar"/>
    <w:semiHidden/>
    <w:unhideWhenUsed/>
    <w:rsid w:val="00F11690"/>
    <w:rPr>
      <w:b/>
      <w:bCs/>
    </w:rPr>
  </w:style>
  <w:style w:type="character" w:customStyle="1" w:styleId="CommentSubjectChar">
    <w:name w:val="Comment Subject Char"/>
    <w:basedOn w:val="CommentTextChar"/>
    <w:link w:val="CommentSubject"/>
    <w:semiHidden/>
    <w:rsid w:val="00F11690"/>
    <w:rPr>
      <w:b/>
      <w:bCs/>
      <w:lang w:val="en-GB" w:eastAsia="en-US"/>
    </w:rPr>
  </w:style>
  <w:style w:type="paragraph" w:styleId="Revision">
    <w:name w:val="Revision"/>
    <w:hidden/>
    <w:uiPriority w:val="99"/>
    <w:semiHidden/>
    <w:rsid w:val="00D5290C"/>
    <w:rPr>
      <w:sz w:val="24"/>
      <w:lang w:val="en-GB" w:eastAsia="en-US"/>
    </w:rPr>
  </w:style>
  <w:style w:type="character" w:styleId="UnresolvedMention">
    <w:name w:val="Unresolved Mention"/>
    <w:basedOn w:val="DefaultParagraphFont"/>
    <w:uiPriority w:val="99"/>
    <w:semiHidden/>
    <w:unhideWhenUsed/>
    <w:rsid w:val="00412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publ/R-REC/fr"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s://www.itu.int/ITU-R/go/patents/fr"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23923-CC11-4F60-A952-D13E959B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51</TotalTime>
  <Pages>8</Pages>
  <Words>1784</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Recommandation UIT-R BT.2123-1 (02/2025) – Valeurs de paramètres vidéo des systèmes audiovisuels en immersion évolués pour la production et l'échange international de programmes de radiodiffusion</vt:lpstr>
    </vt:vector>
  </TitlesOfParts>
  <Manager/>
  <Company>ITU</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BT.2123-1 (02/2025) – Valeurs de paramètres vidéo des systèmes audiovisuels en immersion évolués pour la production et l'échange international de programmes de radiodiffusion</dc:title>
  <dc:subject/>
  <dc:creator>French</dc:creator>
  <cp:keywords>Multimédias en immersion, réalité virtuelle, vidéo à 360°, paramètres de système, cartographie de projection</cp:keywords>
  <dc:description/>
  <cp:lastModifiedBy>French</cp:lastModifiedBy>
  <cp:revision>22</cp:revision>
  <cp:lastPrinted>2025-04-16T06:50:00Z</cp:lastPrinted>
  <dcterms:created xsi:type="dcterms:W3CDTF">2025-04-15T14:15:00Z</dcterms:created>
  <dcterms:modified xsi:type="dcterms:W3CDTF">2025-04-16T06:56:00Z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