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Pr="00EF0670" w:rsidRDefault="00F335DC" w:rsidP="00F335DC"/>
    <w:p w14:paraId="42EE66A8" w14:textId="77777777" w:rsidR="00F335DC" w:rsidRPr="00EF0670" w:rsidRDefault="00F335DC" w:rsidP="00F335DC">
      <w:pPr>
        <w:tabs>
          <w:tab w:val="clear" w:pos="794"/>
          <w:tab w:val="clear" w:pos="1191"/>
          <w:tab w:val="clear" w:pos="1588"/>
          <w:tab w:val="clear" w:pos="1985"/>
        </w:tabs>
      </w:pPr>
    </w:p>
    <w:p w14:paraId="4EE52175" w14:textId="2E6C511D" w:rsidR="00F335DC" w:rsidRPr="00EF0670" w:rsidRDefault="00F335DC" w:rsidP="00F335DC">
      <w:pPr>
        <w:pStyle w:val="CoverNumber"/>
        <w:rPr>
          <w:lang w:val="en-GB"/>
        </w:rPr>
      </w:pPr>
      <w:r w:rsidRPr="00EF0670">
        <w:rPr>
          <w:lang w:val="en-GB"/>
        </w:rPr>
        <w:t>Recommendation ITU-R BT.21</w:t>
      </w:r>
      <w:r w:rsidR="007E4410" w:rsidRPr="00EF0670">
        <w:rPr>
          <w:lang w:val="en-GB"/>
        </w:rPr>
        <w:t>23</w:t>
      </w:r>
      <w:r w:rsidRPr="00EF0670">
        <w:rPr>
          <w:lang w:val="en-GB"/>
        </w:rPr>
        <w:t>-</w:t>
      </w:r>
      <w:r w:rsidR="007E4410" w:rsidRPr="00EF0670">
        <w:rPr>
          <w:lang w:val="en-GB"/>
        </w:rPr>
        <w:t>1</w:t>
      </w:r>
    </w:p>
    <w:p w14:paraId="47416AF5" w14:textId="7F9129DA" w:rsidR="00F335DC" w:rsidRPr="00EF0670" w:rsidRDefault="00F335DC" w:rsidP="00F335DC">
      <w:pPr>
        <w:pStyle w:val="DateCover"/>
        <w:rPr>
          <w:lang w:val="en-GB"/>
        </w:rPr>
      </w:pPr>
      <w:r w:rsidRPr="00EF0670">
        <w:rPr>
          <w:lang w:val="en-GB"/>
        </w:rPr>
        <w:t>(</w:t>
      </w:r>
      <w:r w:rsidR="005C0A8E" w:rsidRPr="00EF0670">
        <w:rPr>
          <w:lang w:val="en-GB"/>
        </w:rPr>
        <w:t>02</w:t>
      </w:r>
      <w:r w:rsidRPr="00EF0670">
        <w:rPr>
          <w:lang w:val="en-GB"/>
        </w:rPr>
        <w:t>/</w:t>
      </w:r>
      <w:r w:rsidR="008030EF" w:rsidRPr="00EF0670">
        <w:rPr>
          <w:lang w:val="en-GB"/>
        </w:rPr>
        <w:t>202</w:t>
      </w:r>
      <w:r w:rsidR="005C0A8E" w:rsidRPr="00EF0670">
        <w:rPr>
          <w:lang w:val="en-GB"/>
        </w:rPr>
        <w:t>5</w:t>
      </w:r>
      <w:r w:rsidRPr="00EF0670">
        <w:rPr>
          <w:lang w:val="en-GB"/>
        </w:rPr>
        <w:t>)</w:t>
      </w:r>
    </w:p>
    <w:p w14:paraId="33B11099" w14:textId="77777777" w:rsidR="00F335DC" w:rsidRPr="00EF0670" w:rsidRDefault="00F335DC" w:rsidP="00F335DC">
      <w:pPr>
        <w:pStyle w:val="CoverSeries"/>
        <w:rPr>
          <w:lang w:val="en-GB"/>
        </w:rPr>
      </w:pPr>
      <w:r w:rsidRPr="00EF0670">
        <w:rPr>
          <w:lang w:val="en-GB"/>
        </w:rPr>
        <w:t xml:space="preserve">BT Series: </w:t>
      </w:r>
      <w:r w:rsidRPr="00EF0670">
        <w:rPr>
          <w:bCs w:val="0"/>
          <w:lang w:val="en-GB"/>
        </w:rPr>
        <w:t>Broadcasting service (television)</w:t>
      </w:r>
    </w:p>
    <w:p w14:paraId="2AD67E06" w14:textId="63094E7B" w:rsidR="00F335DC" w:rsidRPr="00EF0670" w:rsidRDefault="00667612" w:rsidP="00F335DC">
      <w:pPr>
        <w:pStyle w:val="TitleCover"/>
        <w:rPr>
          <w:lang w:val="en-GB"/>
        </w:rPr>
      </w:pPr>
      <w:r w:rsidRPr="00EF0670">
        <w:rPr>
          <w:lang w:val="en-GB" w:eastAsia="zh-CN"/>
        </w:rPr>
        <w:t>Video parameter values for advanced immersive audio-visual systems</w:t>
      </w:r>
      <w:r w:rsidRPr="00EF0670">
        <w:rPr>
          <w:lang w:val="en-GB" w:eastAsia="ja-JP"/>
        </w:rPr>
        <w:t xml:space="preserve"> </w:t>
      </w:r>
      <w:r w:rsidRPr="00EF0670">
        <w:rPr>
          <w:lang w:val="en-GB" w:eastAsia="zh-CN"/>
        </w:rPr>
        <w:t>for production and international programme exchange in broadcasting</w:t>
      </w:r>
    </w:p>
    <w:p w14:paraId="01AD67C0" w14:textId="77777777" w:rsidR="00F335DC" w:rsidRPr="00EF0670" w:rsidRDefault="00F335DC" w:rsidP="00F335DC"/>
    <w:p w14:paraId="7471F3BC" w14:textId="77777777" w:rsidR="00F335DC" w:rsidRPr="00EF0670" w:rsidRDefault="00F335DC" w:rsidP="00F335DC"/>
    <w:p w14:paraId="52A05BF9" w14:textId="77777777" w:rsidR="00F335DC" w:rsidRPr="00EF0670" w:rsidRDefault="00F335DC" w:rsidP="00F335DC">
      <w:pPr>
        <w:sectPr w:rsidR="00F335DC" w:rsidRPr="00EF067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EF0670"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0" w:name="c2tope"/>
      <w:bookmarkEnd w:id="0"/>
      <w:r w:rsidRPr="00EF0670">
        <w:rPr>
          <w:bCs/>
          <w:sz w:val="24"/>
          <w:szCs w:val="24"/>
        </w:rPr>
        <w:lastRenderedPageBreak/>
        <w:t>Foreword</w:t>
      </w:r>
    </w:p>
    <w:p w14:paraId="18A95301" w14:textId="77777777" w:rsidR="00F335DC" w:rsidRPr="00EF0670" w:rsidRDefault="00F335DC" w:rsidP="00F335DC">
      <w:pPr>
        <w:spacing w:before="240"/>
        <w:rPr>
          <w:sz w:val="20"/>
        </w:rPr>
      </w:pPr>
      <w:r w:rsidRPr="00EF0670">
        <w:rPr>
          <w:sz w:val="20"/>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sidRPr="00EF0670">
        <w:rPr>
          <w:sz w:val="20"/>
        </w:rPr>
        <w:t>on the basis of</w:t>
      </w:r>
      <w:proofErr w:type="gramEnd"/>
      <w:r w:rsidRPr="00EF0670">
        <w:rPr>
          <w:sz w:val="20"/>
        </w:rPr>
        <w:t xml:space="preserve"> which Recommendations are adopted.</w:t>
      </w:r>
    </w:p>
    <w:p w14:paraId="32E21A04" w14:textId="77777777" w:rsidR="00F335DC" w:rsidRPr="00EF0670" w:rsidRDefault="00F335DC" w:rsidP="00F335DC">
      <w:pPr>
        <w:rPr>
          <w:sz w:val="20"/>
        </w:rPr>
      </w:pPr>
      <w:r w:rsidRPr="00EF0670">
        <w:rPr>
          <w:sz w:val="20"/>
        </w:rPr>
        <w:t>The regulatory and policy functions of the Radiocommunication Sector are performed by World and Regional Radiocommunication Conferences and Radiocommunication Assemblies supported by Study Groups.</w:t>
      </w:r>
    </w:p>
    <w:p w14:paraId="270CDE53" w14:textId="77777777" w:rsidR="00F335DC" w:rsidRPr="00EF0670" w:rsidRDefault="00F335DC" w:rsidP="00F335DC">
      <w:pPr>
        <w:pStyle w:val="Heading1"/>
        <w:spacing w:before="680"/>
        <w:jc w:val="center"/>
        <w:rPr>
          <w:szCs w:val="24"/>
        </w:rPr>
      </w:pPr>
      <w:bookmarkStart w:id="1" w:name="_Hlk188271556"/>
      <w:r w:rsidRPr="00EF0670">
        <w:rPr>
          <w:szCs w:val="24"/>
        </w:rPr>
        <w:t>Policy on Intellectual Property Right (IPR)</w:t>
      </w:r>
    </w:p>
    <w:p w14:paraId="33B9EBF2" w14:textId="64821738" w:rsidR="00F335DC" w:rsidRPr="00EF0670" w:rsidRDefault="00F335DC" w:rsidP="00F335DC">
      <w:pPr>
        <w:tabs>
          <w:tab w:val="clear" w:pos="794"/>
          <w:tab w:val="clear" w:pos="1191"/>
          <w:tab w:val="clear" w:pos="1588"/>
          <w:tab w:val="clear" w:pos="1985"/>
        </w:tabs>
        <w:spacing w:before="240"/>
        <w:rPr>
          <w:sz w:val="20"/>
        </w:rPr>
      </w:pPr>
      <w:r w:rsidRPr="00EF0670">
        <w:rPr>
          <w:sz w:val="20"/>
        </w:rPr>
        <w:t>ITU-R policy on IPR is described in the Common Patent Policy for ITU-T/ITU-R/ISO/IEC referenced in Resolution ITU</w:t>
      </w:r>
      <w:r w:rsidRPr="00EF0670">
        <w:rPr>
          <w:sz w:val="20"/>
        </w:rPr>
        <w:noBreakHyphen/>
        <w:t xml:space="preserve">R 1. Forms to be used for the submission of patent statements and licensing declarations by patent holders are available from </w:t>
      </w:r>
      <w:hyperlink r:id="rId13" w:history="1">
        <w:r w:rsidR="00B97974" w:rsidRPr="00E907B7">
          <w:rPr>
            <w:rStyle w:val="Hyperlink"/>
            <w:sz w:val="20"/>
          </w:rPr>
          <w:t>https://www.itu.int/ITU-R/go/patents/en</w:t>
        </w:r>
      </w:hyperlink>
      <w:r w:rsidRPr="00EF0670">
        <w:rPr>
          <w:sz w:val="20"/>
        </w:rPr>
        <w:t xml:space="preserve"> where the Guidelines for Implementation of the Common Patent Policy for ITU</w:t>
      </w:r>
      <w:r w:rsidRPr="00EF0670">
        <w:rPr>
          <w:sz w:val="20"/>
        </w:rPr>
        <w:noBreakHyphen/>
        <w:t>T/ITU</w:t>
      </w:r>
      <w:r w:rsidRPr="00EF0670">
        <w:rPr>
          <w:sz w:val="20"/>
        </w:rPr>
        <w:noBreakHyphen/>
        <w:t xml:space="preserve">R/ISO/IEC and the ITU-R patent information database can also be found. </w:t>
      </w:r>
    </w:p>
    <w:p w14:paraId="7E9D7BED" w14:textId="77777777" w:rsidR="00F335DC" w:rsidRPr="00EF0670" w:rsidRDefault="00F335DC" w:rsidP="00F335DC">
      <w:pPr>
        <w:jc w:val="center"/>
        <w:rPr>
          <w:sz w:val="22"/>
        </w:rPr>
      </w:pPr>
    </w:p>
    <w:bookmarkEnd w:id="1"/>
    <w:p w14:paraId="7AA82B34" w14:textId="77777777" w:rsidR="00F335DC" w:rsidRPr="00EF0670" w:rsidRDefault="00F335DC" w:rsidP="00F335DC">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EF0670" w14:paraId="1218D7F8" w14:textId="77777777" w:rsidTr="00773F61">
        <w:tc>
          <w:tcPr>
            <w:tcW w:w="9360" w:type="dxa"/>
            <w:gridSpan w:val="2"/>
          </w:tcPr>
          <w:p w14:paraId="208E70B0" w14:textId="77777777" w:rsidR="00F335DC" w:rsidRPr="00EF0670" w:rsidRDefault="00F335DC" w:rsidP="00773F61">
            <w:pPr>
              <w:pStyle w:val="Chaptitle"/>
              <w:keepLines w:val="0"/>
              <w:tabs>
                <w:tab w:val="clear" w:pos="794"/>
                <w:tab w:val="clear" w:pos="1191"/>
                <w:tab w:val="clear" w:pos="1588"/>
                <w:tab w:val="clear" w:pos="1985"/>
              </w:tabs>
              <w:overflowPunct/>
              <w:spacing w:before="180"/>
              <w:textAlignment w:val="auto"/>
              <w:rPr>
                <w:sz w:val="22"/>
                <w:szCs w:val="22"/>
              </w:rPr>
            </w:pPr>
            <w:r w:rsidRPr="00EF0670">
              <w:rPr>
                <w:sz w:val="22"/>
                <w:szCs w:val="22"/>
              </w:rPr>
              <w:t xml:space="preserve">Series of ITU-R Recommendations </w:t>
            </w:r>
          </w:p>
          <w:p w14:paraId="1385E116"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EF0670">
              <w:rPr>
                <w:b w:val="0"/>
                <w:sz w:val="18"/>
                <w:szCs w:val="18"/>
              </w:rPr>
              <w:t xml:space="preserve">(Also available online at </w:t>
            </w:r>
            <w:hyperlink r:id="rId14" w:history="1">
              <w:r w:rsidRPr="00EF0670">
                <w:rPr>
                  <w:rStyle w:val="Hyperlink"/>
                  <w:b w:val="0"/>
                  <w:sz w:val="18"/>
                  <w:szCs w:val="18"/>
                </w:rPr>
                <w:t>https://www.itu.int/publ/R-REC/en</w:t>
              </w:r>
            </w:hyperlink>
            <w:r w:rsidRPr="00EF0670">
              <w:rPr>
                <w:b w:val="0"/>
                <w:sz w:val="18"/>
                <w:szCs w:val="18"/>
              </w:rPr>
              <w:t>)</w:t>
            </w:r>
          </w:p>
        </w:tc>
      </w:tr>
      <w:tr w:rsidR="00F335DC" w:rsidRPr="00EF0670" w14:paraId="3535A45C" w14:textId="77777777" w:rsidTr="00773F61">
        <w:tc>
          <w:tcPr>
            <w:tcW w:w="1140" w:type="dxa"/>
            <w:tcBorders>
              <w:bottom w:val="nil"/>
            </w:tcBorders>
            <w:vAlign w:val="bottom"/>
          </w:tcPr>
          <w:p w14:paraId="5E2209CD" w14:textId="77777777" w:rsidR="00F335DC" w:rsidRPr="00EF0670" w:rsidRDefault="00F335DC" w:rsidP="00773F61">
            <w:pPr>
              <w:spacing w:before="200" w:after="100"/>
              <w:ind w:left="57"/>
              <w:jc w:val="left"/>
              <w:rPr>
                <w:b/>
                <w:bCs/>
                <w:sz w:val="20"/>
              </w:rPr>
            </w:pPr>
            <w:r w:rsidRPr="00EF0670">
              <w:rPr>
                <w:b/>
                <w:bCs/>
                <w:sz w:val="20"/>
              </w:rPr>
              <w:t>Series</w:t>
            </w:r>
          </w:p>
        </w:tc>
        <w:tc>
          <w:tcPr>
            <w:tcW w:w="8220" w:type="dxa"/>
            <w:tcBorders>
              <w:bottom w:val="nil"/>
            </w:tcBorders>
            <w:vAlign w:val="bottom"/>
          </w:tcPr>
          <w:p w14:paraId="5ADEECF7"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EF0670">
              <w:rPr>
                <w:bCs/>
                <w:sz w:val="20"/>
              </w:rPr>
              <w:t>Title</w:t>
            </w:r>
          </w:p>
        </w:tc>
      </w:tr>
      <w:tr w:rsidR="00F335DC" w:rsidRPr="00EF0670" w14:paraId="067668A7" w14:textId="77777777" w:rsidTr="00773F61">
        <w:tc>
          <w:tcPr>
            <w:tcW w:w="1140" w:type="dxa"/>
            <w:tcBorders>
              <w:top w:val="nil"/>
              <w:bottom w:val="nil"/>
            </w:tcBorders>
            <w:shd w:val="clear" w:color="auto" w:fill="auto"/>
          </w:tcPr>
          <w:p w14:paraId="65EF3516" w14:textId="77777777" w:rsidR="00F335DC" w:rsidRPr="00EF0670" w:rsidRDefault="00F335DC" w:rsidP="00773F61">
            <w:pPr>
              <w:spacing w:before="30" w:after="30"/>
              <w:ind w:left="57"/>
              <w:jc w:val="left"/>
              <w:rPr>
                <w:b/>
                <w:sz w:val="20"/>
              </w:rPr>
            </w:pPr>
            <w:r w:rsidRPr="00EF0670">
              <w:rPr>
                <w:b/>
                <w:sz w:val="20"/>
              </w:rPr>
              <w:t>BO</w:t>
            </w:r>
          </w:p>
        </w:tc>
        <w:tc>
          <w:tcPr>
            <w:tcW w:w="8220" w:type="dxa"/>
            <w:tcBorders>
              <w:top w:val="nil"/>
              <w:bottom w:val="nil"/>
            </w:tcBorders>
            <w:shd w:val="clear" w:color="auto" w:fill="auto"/>
          </w:tcPr>
          <w:p w14:paraId="24D47AC4"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EF0670">
              <w:rPr>
                <w:b w:val="0"/>
                <w:bCs/>
                <w:sz w:val="20"/>
              </w:rPr>
              <w:t>Satellite delivery</w:t>
            </w:r>
          </w:p>
        </w:tc>
      </w:tr>
      <w:tr w:rsidR="00F335DC" w:rsidRPr="00EF0670" w14:paraId="475BBDBF" w14:textId="77777777" w:rsidTr="00773F61">
        <w:tc>
          <w:tcPr>
            <w:tcW w:w="1140" w:type="dxa"/>
            <w:tcBorders>
              <w:top w:val="nil"/>
            </w:tcBorders>
          </w:tcPr>
          <w:p w14:paraId="07999208" w14:textId="77777777" w:rsidR="00F335DC" w:rsidRPr="00EF0670" w:rsidRDefault="00F335DC" w:rsidP="00773F61">
            <w:pPr>
              <w:spacing w:before="30" w:after="30"/>
              <w:ind w:left="57"/>
              <w:jc w:val="left"/>
              <w:rPr>
                <w:b/>
                <w:bCs/>
                <w:sz w:val="20"/>
              </w:rPr>
            </w:pPr>
            <w:r w:rsidRPr="00EF0670">
              <w:rPr>
                <w:b/>
                <w:bCs/>
                <w:sz w:val="20"/>
              </w:rPr>
              <w:t>BR</w:t>
            </w:r>
          </w:p>
        </w:tc>
        <w:tc>
          <w:tcPr>
            <w:tcW w:w="8220" w:type="dxa"/>
            <w:tcBorders>
              <w:top w:val="nil"/>
            </w:tcBorders>
          </w:tcPr>
          <w:p w14:paraId="2983FBB3"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F0670">
              <w:rPr>
                <w:b w:val="0"/>
                <w:sz w:val="20"/>
              </w:rPr>
              <w:t>Recording for production, archival and play-out; film for television</w:t>
            </w:r>
          </w:p>
        </w:tc>
      </w:tr>
      <w:tr w:rsidR="00F335DC" w:rsidRPr="00EF0670" w14:paraId="70E2056C" w14:textId="77777777" w:rsidTr="00773F61">
        <w:tc>
          <w:tcPr>
            <w:tcW w:w="1140" w:type="dxa"/>
            <w:shd w:val="clear" w:color="auto" w:fill="FFFFFF" w:themeFill="background1"/>
          </w:tcPr>
          <w:p w14:paraId="258B1950" w14:textId="77777777" w:rsidR="00F335DC" w:rsidRPr="00EF0670" w:rsidRDefault="00F335DC" w:rsidP="00773F61">
            <w:pPr>
              <w:spacing w:before="30" w:after="30"/>
              <w:ind w:left="57"/>
              <w:jc w:val="left"/>
              <w:rPr>
                <w:b/>
                <w:bCs/>
                <w:sz w:val="20"/>
              </w:rPr>
            </w:pPr>
            <w:r w:rsidRPr="00EF0670">
              <w:rPr>
                <w:b/>
                <w:bCs/>
                <w:sz w:val="20"/>
              </w:rPr>
              <w:t>BS</w:t>
            </w:r>
          </w:p>
        </w:tc>
        <w:tc>
          <w:tcPr>
            <w:tcW w:w="8220" w:type="dxa"/>
            <w:shd w:val="clear" w:color="auto" w:fill="FFFFFF" w:themeFill="background1"/>
          </w:tcPr>
          <w:p w14:paraId="6456CC21"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Broadcasting service (sound)</w:t>
            </w:r>
          </w:p>
        </w:tc>
      </w:tr>
      <w:tr w:rsidR="00F335DC" w:rsidRPr="00EF0670" w14:paraId="223302B5" w14:textId="77777777" w:rsidTr="00773F61">
        <w:tc>
          <w:tcPr>
            <w:tcW w:w="1140" w:type="dxa"/>
            <w:shd w:val="clear" w:color="auto" w:fill="F2F2F2" w:themeFill="background1" w:themeFillShade="F2"/>
          </w:tcPr>
          <w:p w14:paraId="29F6EE9B" w14:textId="77777777" w:rsidR="00F335DC" w:rsidRPr="00EF0670" w:rsidRDefault="00F335DC" w:rsidP="00773F61">
            <w:pPr>
              <w:spacing w:before="30" w:after="30"/>
              <w:ind w:left="57"/>
              <w:jc w:val="left"/>
              <w:rPr>
                <w:b/>
                <w:bCs/>
                <w:color w:val="000080"/>
                <w:sz w:val="20"/>
              </w:rPr>
            </w:pPr>
            <w:r w:rsidRPr="00EF0670">
              <w:rPr>
                <w:b/>
                <w:bCs/>
                <w:color w:val="000080"/>
                <w:sz w:val="20"/>
              </w:rPr>
              <w:t>BT</w:t>
            </w:r>
          </w:p>
        </w:tc>
        <w:tc>
          <w:tcPr>
            <w:tcW w:w="8220" w:type="dxa"/>
            <w:shd w:val="clear" w:color="auto" w:fill="F2F2F2" w:themeFill="background1" w:themeFillShade="F2"/>
          </w:tcPr>
          <w:p w14:paraId="012C7938"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EF0670">
              <w:rPr>
                <w:bCs/>
                <w:color w:val="000080"/>
                <w:sz w:val="20"/>
              </w:rPr>
              <w:t>Broadcasting service (television)</w:t>
            </w:r>
          </w:p>
        </w:tc>
      </w:tr>
      <w:tr w:rsidR="00F335DC" w:rsidRPr="00EF0670" w14:paraId="10C17C7B" w14:textId="77777777" w:rsidTr="00773F61">
        <w:tc>
          <w:tcPr>
            <w:tcW w:w="1140" w:type="dxa"/>
            <w:shd w:val="clear" w:color="auto" w:fill="auto"/>
          </w:tcPr>
          <w:p w14:paraId="19FB976C" w14:textId="77777777" w:rsidR="00F335DC" w:rsidRPr="00EF0670" w:rsidRDefault="00F335DC" w:rsidP="00773F61">
            <w:pPr>
              <w:spacing w:before="30" w:after="30"/>
              <w:ind w:left="57"/>
              <w:jc w:val="left"/>
              <w:rPr>
                <w:b/>
                <w:bCs/>
                <w:sz w:val="20"/>
              </w:rPr>
            </w:pPr>
            <w:r w:rsidRPr="00EF0670">
              <w:rPr>
                <w:b/>
                <w:bCs/>
                <w:sz w:val="20"/>
              </w:rPr>
              <w:t>F</w:t>
            </w:r>
          </w:p>
        </w:tc>
        <w:tc>
          <w:tcPr>
            <w:tcW w:w="8220" w:type="dxa"/>
            <w:shd w:val="clear" w:color="auto" w:fill="auto"/>
          </w:tcPr>
          <w:p w14:paraId="63ECDC04"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Fixed service</w:t>
            </w:r>
          </w:p>
        </w:tc>
      </w:tr>
      <w:tr w:rsidR="00F335DC" w:rsidRPr="00EF0670" w14:paraId="46F6EBFD" w14:textId="77777777" w:rsidTr="00773F61">
        <w:tc>
          <w:tcPr>
            <w:tcW w:w="1140" w:type="dxa"/>
            <w:shd w:val="clear" w:color="auto" w:fill="auto"/>
          </w:tcPr>
          <w:p w14:paraId="69D12F95" w14:textId="77777777" w:rsidR="00F335DC" w:rsidRPr="00EF0670" w:rsidRDefault="00F335DC" w:rsidP="00773F61">
            <w:pPr>
              <w:spacing w:before="30" w:after="30"/>
              <w:ind w:left="57"/>
              <w:jc w:val="left"/>
              <w:rPr>
                <w:b/>
                <w:bCs/>
                <w:sz w:val="20"/>
              </w:rPr>
            </w:pPr>
            <w:r w:rsidRPr="00EF0670">
              <w:rPr>
                <w:b/>
                <w:bCs/>
                <w:sz w:val="20"/>
              </w:rPr>
              <w:t>M</w:t>
            </w:r>
          </w:p>
        </w:tc>
        <w:tc>
          <w:tcPr>
            <w:tcW w:w="8220" w:type="dxa"/>
            <w:shd w:val="clear" w:color="auto" w:fill="auto"/>
          </w:tcPr>
          <w:p w14:paraId="191B4A1D"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F0670">
              <w:rPr>
                <w:b w:val="0"/>
                <w:sz w:val="20"/>
              </w:rPr>
              <w:t>Mobile, radiodetermination, amateur and related satellite services</w:t>
            </w:r>
          </w:p>
        </w:tc>
      </w:tr>
      <w:tr w:rsidR="00F335DC" w:rsidRPr="00EF0670" w14:paraId="1A5EC430" w14:textId="77777777" w:rsidTr="00773F61">
        <w:tc>
          <w:tcPr>
            <w:tcW w:w="1140" w:type="dxa"/>
          </w:tcPr>
          <w:p w14:paraId="09C81E42" w14:textId="77777777" w:rsidR="00F335DC" w:rsidRPr="00EF0670" w:rsidRDefault="00F335DC" w:rsidP="00773F61">
            <w:pPr>
              <w:spacing w:before="30" w:after="30"/>
              <w:ind w:left="57"/>
              <w:jc w:val="left"/>
              <w:rPr>
                <w:b/>
                <w:bCs/>
                <w:sz w:val="20"/>
              </w:rPr>
            </w:pPr>
            <w:r w:rsidRPr="00EF0670">
              <w:rPr>
                <w:b/>
                <w:bCs/>
                <w:sz w:val="20"/>
              </w:rPr>
              <w:t>P</w:t>
            </w:r>
          </w:p>
        </w:tc>
        <w:tc>
          <w:tcPr>
            <w:tcW w:w="8220" w:type="dxa"/>
          </w:tcPr>
          <w:p w14:paraId="5D3D792E" w14:textId="77777777" w:rsidR="00F335DC" w:rsidRPr="00EF0670" w:rsidRDefault="00F335DC" w:rsidP="00773F61">
            <w:pPr>
              <w:spacing w:before="30" w:after="30"/>
              <w:jc w:val="left"/>
              <w:rPr>
                <w:sz w:val="20"/>
              </w:rPr>
            </w:pPr>
            <w:r w:rsidRPr="00EF0670">
              <w:rPr>
                <w:sz w:val="20"/>
              </w:rPr>
              <w:t>Radiowave propagation</w:t>
            </w:r>
          </w:p>
        </w:tc>
      </w:tr>
      <w:tr w:rsidR="00F335DC" w:rsidRPr="00EF0670" w14:paraId="4BB1725E" w14:textId="77777777" w:rsidTr="00773F61">
        <w:tc>
          <w:tcPr>
            <w:tcW w:w="1140" w:type="dxa"/>
          </w:tcPr>
          <w:p w14:paraId="40991D2F" w14:textId="77777777" w:rsidR="00F335DC" w:rsidRPr="00EF0670" w:rsidRDefault="00F335DC" w:rsidP="00773F61">
            <w:pPr>
              <w:spacing w:before="30" w:after="30"/>
              <w:ind w:left="57"/>
              <w:jc w:val="left"/>
              <w:rPr>
                <w:b/>
                <w:bCs/>
                <w:sz w:val="20"/>
              </w:rPr>
            </w:pPr>
            <w:r w:rsidRPr="00EF0670">
              <w:rPr>
                <w:b/>
                <w:bCs/>
                <w:sz w:val="20"/>
              </w:rPr>
              <w:t>RA</w:t>
            </w:r>
          </w:p>
        </w:tc>
        <w:tc>
          <w:tcPr>
            <w:tcW w:w="8220" w:type="dxa"/>
          </w:tcPr>
          <w:p w14:paraId="4D01734F"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Radio astronomy</w:t>
            </w:r>
          </w:p>
        </w:tc>
      </w:tr>
      <w:tr w:rsidR="00F335DC" w:rsidRPr="00EF0670" w14:paraId="1134C34F" w14:textId="77777777" w:rsidTr="00773F61">
        <w:tc>
          <w:tcPr>
            <w:tcW w:w="1140" w:type="dxa"/>
          </w:tcPr>
          <w:p w14:paraId="717D63BA" w14:textId="77777777" w:rsidR="00F335DC" w:rsidRPr="00EF0670" w:rsidRDefault="00F335DC" w:rsidP="00773F61">
            <w:pPr>
              <w:spacing w:before="30" w:after="30"/>
              <w:ind w:left="57"/>
              <w:jc w:val="left"/>
              <w:rPr>
                <w:b/>
                <w:bCs/>
                <w:sz w:val="20"/>
              </w:rPr>
            </w:pPr>
            <w:r w:rsidRPr="00EF0670">
              <w:rPr>
                <w:b/>
                <w:bCs/>
                <w:sz w:val="20"/>
              </w:rPr>
              <w:t>RS</w:t>
            </w:r>
          </w:p>
        </w:tc>
        <w:tc>
          <w:tcPr>
            <w:tcW w:w="8220" w:type="dxa"/>
          </w:tcPr>
          <w:p w14:paraId="7267BFC4"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Remote sensing systems</w:t>
            </w:r>
          </w:p>
        </w:tc>
      </w:tr>
      <w:tr w:rsidR="00F335DC" w:rsidRPr="00EF0670" w14:paraId="15A873F5" w14:textId="77777777" w:rsidTr="00773F61">
        <w:tc>
          <w:tcPr>
            <w:tcW w:w="1140" w:type="dxa"/>
            <w:tcBorders>
              <w:bottom w:val="nil"/>
            </w:tcBorders>
          </w:tcPr>
          <w:p w14:paraId="30355FFA" w14:textId="77777777" w:rsidR="00F335DC" w:rsidRPr="00EF0670" w:rsidRDefault="00F335DC" w:rsidP="00773F61">
            <w:pPr>
              <w:spacing w:before="30" w:after="30"/>
              <w:ind w:left="57"/>
              <w:jc w:val="left"/>
              <w:rPr>
                <w:b/>
                <w:bCs/>
                <w:sz w:val="20"/>
              </w:rPr>
            </w:pPr>
            <w:r w:rsidRPr="00EF0670">
              <w:rPr>
                <w:b/>
                <w:bCs/>
                <w:sz w:val="20"/>
              </w:rPr>
              <w:t>S</w:t>
            </w:r>
          </w:p>
        </w:tc>
        <w:tc>
          <w:tcPr>
            <w:tcW w:w="8220" w:type="dxa"/>
            <w:tcBorders>
              <w:bottom w:val="nil"/>
            </w:tcBorders>
          </w:tcPr>
          <w:p w14:paraId="0AAFCF18" w14:textId="77777777" w:rsidR="00F335DC" w:rsidRPr="00EF0670" w:rsidRDefault="00F335DC" w:rsidP="00773F61">
            <w:pPr>
              <w:spacing w:before="30" w:after="30"/>
              <w:jc w:val="left"/>
              <w:rPr>
                <w:sz w:val="20"/>
              </w:rPr>
            </w:pPr>
            <w:r w:rsidRPr="00EF0670">
              <w:rPr>
                <w:sz w:val="20"/>
              </w:rPr>
              <w:t>Fixed-satellite service</w:t>
            </w:r>
          </w:p>
        </w:tc>
      </w:tr>
      <w:tr w:rsidR="00F335DC" w:rsidRPr="00EF0670" w14:paraId="2555C93D" w14:textId="77777777" w:rsidTr="00773F61">
        <w:tc>
          <w:tcPr>
            <w:tcW w:w="1140" w:type="dxa"/>
            <w:tcBorders>
              <w:top w:val="nil"/>
              <w:bottom w:val="nil"/>
            </w:tcBorders>
            <w:shd w:val="clear" w:color="auto" w:fill="FFFFFF" w:themeFill="background1"/>
          </w:tcPr>
          <w:p w14:paraId="7A75463B" w14:textId="77777777" w:rsidR="00F335DC" w:rsidRPr="00EF0670" w:rsidRDefault="00F335DC" w:rsidP="00773F61">
            <w:pPr>
              <w:spacing w:before="30" w:after="30"/>
              <w:ind w:left="57"/>
              <w:jc w:val="left"/>
              <w:rPr>
                <w:b/>
                <w:bCs/>
                <w:sz w:val="20"/>
              </w:rPr>
            </w:pPr>
            <w:r w:rsidRPr="00EF0670">
              <w:rPr>
                <w:b/>
                <w:bCs/>
                <w:sz w:val="20"/>
              </w:rPr>
              <w:t>SA</w:t>
            </w:r>
          </w:p>
        </w:tc>
        <w:tc>
          <w:tcPr>
            <w:tcW w:w="8220" w:type="dxa"/>
            <w:tcBorders>
              <w:top w:val="nil"/>
              <w:bottom w:val="nil"/>
            </w:tcBorders>
            <w:shd w:val="clear" w:color="auto" w:fill="FFFFFF" w:themeFill="background1"/>
          </w:tcPr>
          <w:p w14:paraId="00144989" w14:textId="77777777" w:rsidR="00F335DC" w:rsidRPr="00EF0670" w:rsidRDefault="00F335DC" w:rsidP="00773F61">
            <w:pPr>
              <w:spacing w:before="30" w:after="30"/>
              <w:jc w:val="left"/>
              <w:rPr>
                <w:sz w:val="20"/>
              </w:rPr>
            </w:pPr>
            <w:r w:rsidRPr="00EF0670">
              <w:rPr>
                <w:sz w:val="20"/>
              </w:rPr>
              <w:t>Space applications and meteorology</w:t>
            </w:r>
          </w:p>
        </w:tc>
      </w:tr>
      <w:tr w:rsidR="00F335DC" w:rsidRPr="00EF0670" w14:paraId="04C8F5A1" w14:textId="77777777" w:rsidTr="00773F61">
        <w:tc>
          <w:tcPr>
            <w:tcW w:w="1140" w:type="dxa"/>
            <w:tcBorders>
              <w:top w:val="nil"/>
              <w:bottom w:val="nil"/>
            </w:tcBorders>
          </w:tcPr>
          <w:p w14:paraId="6715F30A" w14:textId="77777777" w:rsidR="00F335DC" w:rsidRPr="00EF0670" w:rsidRDefault="00F335DC" w:rsidP="00773F61">
            <w:pPr>
              <w:spacing w:before="30" w:after="30"/>
              <w:ind w:left="57"/>
              <w:jc w:val="left"/>
              <w:rPr>
                <w:b/>
                <w:bCs/>
                <w:sz w:val="20"/>
              </w:rPr>
            </w:pPr>
            <w:r w:rsidRPr="00EF0670">
              <w:rPr>
                <w:b/>
                <w:bCs/>
                <w:sz w:val="20"/>
              </w:rPr>
              <w:t>SF</w:t>
            </w:r>
          </w:p>
        </w:tc>
        <w:tc>
          <w:tcPr>
            <w:tcW w:w="8220" w:type="dxa"/>
            <w:tcBorders>
              <w:top w:val="nil"/>
              <w:bottom w:val="nil"/>
            </w:tcBorders>
          </w:tcPr>
          <w:p w14:paraId="5019B1DB" w14:textId="77777777" w:rsidR="00F335DC" w:rsidRPr="00EF0670" w:rsidRDefault="00F335DC" w:rsidP="00773F61">
            <w:pPr>
              <w:spacing w:before="30" w:after="30"/>
              <w:jc w:val="left"/>
              <w:rPr>
                <w:sz w:val="20"/>
              </w:rPr>
            </w:pPr>
            <w:r w:rsidRPr="00EF0670">
              <w:rPr>
                <w:sz w:val="20"/>
              </w:rPr>
              <w:t>Frequency sharing and coordination between fixed-satellite and fixed service systems</w:t>
            </w:r>
          </w:p>
        </w:tc>
      </w:tr>
      <w:tr w:rsidR="00F335DC" w:rsidRPr="00EF0670" w14:paraId="7A342E16" w14:textId="77777777" w:rsidTr="00773F61">
        <w:tc>
          <w:tcPr>
            <w:tcW w:w="1140" w:type="dxa"/>
            <w:tcBorders>
              <w:top w:val="nil"/>
              <w:bottom w:val="nil"/>
            </w:tcBorders>
            <w:shd w:val="clear" w:color="auto" w:fill="auto"/>
          </w:tcPr>
          <w:p w14:paraId="2C83D783" w14:textId="77777777" w:rsidR="00F335DC" w:rsidRPr="00EF0670" w:rsidRDefault="00F335DC" w:rsidP="00773F61">
            <w:pPr>
              <w:spacing w:before="30" w:after="30"/>
              <w:ind w:left="57"/>
              <w:jc w:val="left"/>
              <w:rPr>
                <w:rFonts w:ascii="Times New Roman Bold" w:hAnsi="Times New Roman Bold" w:cs="Times New Roman Bold"/>
                <w:b/>
                <w:bCs/>
                <w:sz w:val="20"/>
              </w:rPr>
            </w:pPr>
            <w:r w:rsidRPr="00EF0670">
              <w:rPr>
                <w:rFonts w:ascii="Times New Roman Bold" w:hAnsi="Times New Roman Bold" w:cs="Times New Roman Bold"/>
                <w:b/>
                <w:bCs/>
                <w:sz w:val="20"/>
              </w:rPr>
              <w:t>SM</w:t>
            </w:r>
          </w:p>
        </w:tc>
        <w:tc>
          <w:tcPr>
            <w:tcW w:w="8220" w:type="dxa"/>
            <w:tcBorders>
              <w:top w:val="nil"/>
              <w:bottom w:val="nil"/>
            </w:tcBorders>
            <w:shd w:val="clear" w:color="auto" w:fill="auto"/>
          </w:tcPr>
          <w:p w14:paraId="58EF9501" w14:textId="77777777" w:rsidR="00F335DC" w:rsidRPr="00EF0670" w:rsidRDefault="00F335DC" w:rsidP="00773F61">
            <w:pPr>
              <w:spacing w:before="30" w:after="30"/>
              <w:jc w:val="left"/>
              <w:rPr>
                <w:rFonts w:hAnsi="Times New Roman Bold"/>
                <w:sz w:val="20"/>
              </w:rPr>
            </w:pPr>
            <w:r w:rsidRPr="00EF0670">
              <w:rPr>
                <w:rFonts w:hAnsi="Times New Roman Bold"/>
                <w:sz w:val="20"/>
              </w:rPr>
              <w:t>Spectrum management</w:t>
            </w:r>
          </w:p>
        </w:tc>
      </w:tr>
      <w:tr w:rsidR="00F335DC" w:rsidRPr="00EF0670" w14:paraId="784A243B" w14:textId="77777777" w:rsidTr="00773F61">
        <w:tc>
          <w:tcPr>
            <w:tcW w:w="1140" w:type="dxa"/>
            <w:tcBorders>
              <w:top w:val="nil"/>
            </w:tcBorders>
          </w:tcPr>
          <w:p w14:paraId="3ED90352" w14:textId="77777777" w:rsidR="00F335DC" w:rsidRPr="00EF0670" w:rsidRDefault="00F335DC" w:rsidP="00773F61">
            <w:pPr>
              <w:spacing w:before="30" w:after="30"/>
              <w:ind w:left="57"/>
              <w:jc w:val="left"/>
              <w:rPr>
                <w:b/>
                <w:bCs/>
                <w:sz w:val="20"/>
              </w:rPr>
            </w:pPr>
            <w:r w:rsidRPr="00EF0670">
              <w:rPr>
                <w:b/>
                <w:bCs/>
                <w:sz w:val="20"/>
              </w:rPr>
              <w:t>SNG</w:t>
            </w:r>
          </w:p>
        </w:tc>
        <w:tc>
          <w:tcPr>
            <w:tcW w:w="8220" w:type="dxa"/>
            <w:tcBorders>
              <w:top w:val="nil"/>
            </w:tcBorders>
          </w:tcPr>
          <w:p w14:paraId="2661280C" w14:textId="77777777" w:rsidR="00F335DC" w:rsidRPr="00EF0670" w:rsidRDefault="00F335DC" w:rsidP="00773F61">
            <w:pPr>
              <w:spacing w:before="30" w:after="30"/>
              <w:jc w:val="left"/>
              <w:rPr>
                <w:sz w:val="20"/>
              </w:rPr>
            </w:pPr>
            <w:r w:rsidRPr="00EF0670">
              <w:rPr>
                <w:sz w:val="20"/>
              </w:rPr>
              <w:t>Satellite news gathering</w:t>
            </w:r>
          </w:p>
        </w:tc>
      </w:tr>
      <w:tr w:rsidR="00F335DC" w:rsidRPr="00EF0670" w14:paraId="651E2F7F" w14:textId="77777777" w:rsidTr="00773F61">
        <w:tc>
          <w:tcPr>
            <w:tcW w:w="1140" w:type="dxa"/>
          </w:tcPr>
          <w:p w14:paraId="4F5CDD66" w14:textId="77777777" w:rsidR="00F335DC" w:rsidRPr="00EF0670" w:rsidRDefault="00F335DC" w:rsidP="00773F61">
            <w:pPr>
              <w:spacing w:before="30" w:after="30"/>
              <w:ind w:left="57"/>
              <w:jc w:val="left"/>
              <w:rPr>
                <w:b/>
                <w:bCs/>
                <w:sz w:val="20"/>
              </w:rPr>
            </w:pPr>
            <w:r w:rsidRPr="00EF0670">
              <w:rPr>
                <w:b/>
                <w:bCs/>
                <w:sz w:val="20"/>
              </w:rPr>
              <w:t>TF</w:t>
            </w:r>
          </w:p>
        </w:tc>
        <w:tc>
          <w:tcPr>
            <w:tcW w:w="8220" w:type="dxa"/>
          </w:tcPr>
          <w:p w14:paraId="38A67689" w14:textId="77777777" w:rsidR="00F335DC" w:rsidRPr="00EF0670" w:rsidRDefault="00F335DC" w:rsidP="00773F61">
            <w:pPr>
              <w:spacing w:before="30" w:after="30"/>
              <w:jc w:val="left"/>
              <w:rPr>
                <w:sz w:val="20"/>
              </w:rPr>
            </w:pPr>
            <w:r w:rsidRPr="00EF0670">
              <w:rPr>
                <w:sz w:val="20"/>
              </w:rPr>
              <w:t>Time signals and frequency standards emissions</w:t>
            </w:r>
          </w:p>
        </w:tc>
      </w:tr>
      <w:tr w:rsidR="00F335DC" w:rsidRPr="00EF0670" w14:paraId="69F2FE0D" w14:textId="77777777" w:rsidTr="00773F61">
        <w:tc>
          <w:tcPr>
            <w:tcW w:w="1140" w:type="dxa"/>
          </w:tcPr>
          <w:p w14:paraId="52111126" w14:textId="77777777" w:rsidR="00F335DC" w:rsidRPr="00EF0670" w:rsidRDefault="00F335DC" w:rsidP="00773F61">
            <w:pPr>
              <w:spacing w:before="30" w:after="30"/>
              <w:ind w:left="57"/>
              <w:jc w:val="left"/>
              <w:rPr>
                <w:b/>
                <w:bCs/>
                <w:sz w:val="20"/>
              </w:rPr>
            </w:pPr>
            <w:r w:rsidRPr="00EF0670">
              <w:rPr>
                <w:b/>
                <w:bCs/>
                <w:sz w:val="20"/>
              </w:rPr>
              <w:t>V</w:t>
            </w:r>
          </w:p>
        </w:tc>
        <w:tc>
          <w:tcPr>
            <w:tcW w:w="8220" w:type="dxa"/>
          </w:tcPr>
          <w:p w14:paraId="73CBBBDD" w14:textId="77777777" w:rsidR="00F335DC" w:rsidRPr="00EF0670" w:rsidRDefault="00F335DC" w:rsidP="00773F61">
            <w:pPr>
              <w:spacing w:before="30" w:after="180"/>
              <w:jc w:val="left"/>
              <w:rPr>
                <w:sz w:val="20"/>
              </w:rPr>
            </w:pPr>
            <w:r w:rsidRPr="00EF0670">
              <w:rPr>
                <w:sz w:val="20"/>
              </w:rPr>
              <w:t>Vocabulary and related subjects</w:t>
            </w:r>
          </w:p>
        </w:tc>
      </w:tr>
    </w:tbl>
    <w:p w14:paraId="2A0920CD" w14:textId="77777777" w:rsidR="00F335DC" w:rsidRPr="00EF0670" w:rsidRDefault="00F335DC" w:rsidP="00F335DC">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F335DC" w:rsidRPr="00EF0670" w14:paraId="0B5B072A" w14:textId="77777777" w:rsidTr="00773F61">
        <w:tc>
          <w:tcPr>
            <w:tcW w:w="720" w:type="dxa"/>
          </w:tcPr>
          <w:p w14:paraId="3B3C176A" w14:textId="77777777" w:rsidR="00F335DC" w:rsidRPr="00EF0670" w:rsidRDefault="00F335DC" w:rsidP="00773F61">
            <w:pPr>
              <w:jc w:val="center"/>
              <w:rPr>
                <w:sz w:val="22"/>
              </w:rPr>
            </w:pPr>
          </w:p>
        </w:tc>
      </w:tr>
    </w:tbl>
    <w:p w14:paraId="3E2E9EF0" w14:textId="77777777" w:rsidR="00F335DC" w:rsidRPr="00EF0670" w:rsidRDefault="00F335DC" w:rsidP="00F335DC">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EF0670" w14:paraId="5B298C8A" w14:textId="77777777" w:rsidTr="00773F61">
        <w:tc>
          <w:tcPr>
            <w:tcW w:w="9360" w:type="dxa"/>
          </w:tcPr>
          <w:p w14:paraId="1D943E5F" w14:textId="77777777" w:rsidR="00F335DC" w:rsidRPr="00EF0670" w:rsidRDefault="00F335DC" w:rsidP="00773F61">
            <w:pPr>
              <w:spacing w:after="120"/>
              <w:jc w:val="left"/>
              <w:rPr>
                <w:sz w:val="20"/>
              </w:rPr>
            </w:pPr>
            <w:r w:rsidRPr="00EF0670">
              <w:rPr>
                <w:b/>
                <w:bCs/>
                <w:i/>
                <w:iCs/>
                <w:sz w:val="20"/>
              </w:rPr>
              <w:t>Note</w:t>
            </w:r>
            <w:r w:rsidRPr="00EF0670">
              <w:rPr>
                <w:sz w:val="20"/>
              </w:rPr>
              <w:t xml:space="preserve">: </w:t>
            </w:r>
            <w:r w:rsidRPr="00EF0670">
              <w:rPr>
                <w:i/>
                <w:iCs/>
                <w:sz w:val="20"/>
              </w:rPr>
              <w:t>This ITU-R Recommendation was approved in English under the procedure detailed in Resolution ITU-R 1.</w:t>
            </w:r>
          </w:p>
        </w:tc>
      </w:tr>
    </w:tbl>
    <w:p w14:paraId="640175A7" w14:textId="77777777" w:rsidR="00F335DC" w:rsidRPr="00EF0670" w:rsidRDefault="00F335DC" w:rsidP="00F335DC">
      <w:pPr>
        <w:spacing w:before="0"/>
        <w:jc w:val="center"/>
        <w:rPr>
          <w:sz w:val="22"/>
        </w:rPr>
      </w:pPr>
    </w:p>
    <w:p w14:paraId="270B7A9C" w14:textId="77777777" w:rsidR="00F335DC" w:rsidRPr="00EF0670" w:rsidRDefault="00F335DC" w:rsidP="00F335DC">
      <w:pPr>
        <w:spacing w:before="0"/>
        <w:jc w:val="center"/>
        <w:rPr>
          <w:sz w:val="22"/>
        </w:rPr>
      </w:pPr>
    </w:p>
    <w:p w14:paraId="7E6B7E92" w14:textId="77777777" w:rsidR="00F335DC" w:rsidRPr="00EF0670" w:rsidRDefault="00F335DC" w:rsidP="00F335DC">
      <w:pPr>
        <w:spacing w:before="0"/>
        <w:jc w:val="right"/>
        <w:rPr>
          <w:i/>
          <w:iCs/>
          <w:sz w:val="20"/>
        </w:rPr>
      </w:pPr>
      <w:r w:rsidRPr="00EF0670">
        <w:rPr>
          <w:i/>
          <w:iCs/>
          <w:sz w:val="20"/>
        </w:rPr>
        <w:t>Electronic Publication</w:t>
      </w:r>
    </w:p>
    <w:p w14:paraId="7CE3A750" w14:textId="217A8621" w:rsidR="00F335DC" w:rsidRPr="00EF0670" w:rsidRDefault="00F335DC" w:rsidP="00F335DC">
      <w:pPr>
        <w:spacing w:before="0"/>
        <w:jc w:val="right"/>
        <w:rPr>
          <w:sz w:val="20"/>
        </w:rPr>
      </w:pPr>
      <w:r w:rsidRPr="00EF0670">
        <w:rPr>
          <w:sz w:val="20"/>
        </w:rPr>
        <w:t>Geneva, 202</w:t>
      </w:r>
      <w:r w:rsidR="00EB30B5" w:rsidRPr="00EF0670">
        <w:rPr>
          <w:sz w:val="20"/>
        </w:rPr>
        <w:t>5</w:t>
      </w:r>
    </w:p>
    <w:p w14:paraId="4496A711" w14:textId="77777777" w:rsidR="00F335DC" w:rsidRPr="00EF0670" w:rsidRDefault="00F335DC" w:rsidP="00F335DC">
      <w:pPr>
        <w:jc w:val="center"/>
        <w:rPr>
          <w:sz w:val="22"/>
        </w:rPr>
      </w:pPr>
    </w:p>
    <w:p w14:paraId="62940C84" w14:textId="569D90C8" w:rsidR="00F335DC" w:rsidRPr="00EF0670" w:rsidRDefault="00F335DC" w:rsidP="00F335DC">
      <w:pPr>
        <w:jc w:val="center"/>
        <w:rPr>
          <w:sz w:val="20"/>
        </w:rPr>
      </w:pPr>
      <w:r w:rsidRPr="00EF0670">
        <w:rPr>
          <w:sz w:val="20"/>
        </w:rPr>
        <w:sym w:font="Symbol" w:char="F0E3"/>
      </w:r>
      <w:r w:rsidRPr="00EF0670">
        <w:rPr>
          <w:sz w:val="20"/>
        </w:rPr>
        <w:t xml:space="preserve"> ITU </w:t>
      </w:r>
      <w:bookmarkStart w:id="2" w:name="iiannee"/>
      <w:bookmarkEnd w:id="2"/>
      <w:r w:rsidRPr="00EF0670">
        <w:rPr>
          <w:sz w:val="20"/>
        </w:rPr>
        <w:t>202</w:t>
      </w:r>
      <w:r w:rsidR="00EB30B5" w:rsidRPr="00EF0670">
        <w:rPr>
          <w:sz w:val="20"/>
        </w:rPr>
        <w:t>5</w:t>
      </w:r>
    </w:p>
    <w:p w14:paraId="64B11FE2" w14:textId="77777777" w:rsidR="00F335DC" w:rsidRPr="00EF0670" w:rsidRDefault="00F335DC" w:rsidP="00F335DC">
      <w:pPr>
        <w:rPr>
          <w:sz w:val="18"/>
          <w:szCs w:val="18"/>
        </w:rPr>
      </w:pPr>
      <w:r w:rsidRPr="00EF0670">
        <w:rPr>
          <w:sz w:val="18"/>
          <w:szCs w:val="18"/>
        </w:rPr>
        <w:t>All rights reserved. No part of this publication may be reproduced, by any means whatsoever, without written permission of ITU.</w:t>
      </w:r>
    </w:p>
    <w:p w14:paraId="7A210B92" w14:textId="77777777" w:rsidR="00F335DC" w:rsidRPr="00EF0670" w:rsidRDefault="00F335DC" w:rsidP="00F335DC">
      <w:pPr>
        <w:spacing w:before="160"/>
        <w:rPr>
          <w:i/>
          <w:sz w:val="20"/>
        </w:rPr>
        <w:sectPr w:rsidR="00F335DC" w:rsidRPr="00EF0670"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3D1324C5" w:rsidR="00F335DC" w:rsidRPr="00EF0670" w:rsidRDefault="00F335DC" w:rsidP="00F335DC">
      <w:pPr>
        <w:pStyle w:val="RecNo"/>
        <w:spacing w:before="0"/>
      </w:pPr>
      <w:bookmarkStart w:id="3" w:name="irecnoe"/>
      <w:bookmarkEnd w:id="3"/>
      <w:r w:rsidRPr="00EF0670">
        <w:lastRenderedPageBreak/>
        <w:t xml:space="preserve">RECOMMENDATION  </w:t>
      </w:r>
      <w:r w:rsidRPr="00EF0670">
        <w:rPr>
          <w:rStyle w:val="href"/>
        </w:rPr>
        <w:t>ITU-R  BT.</w:t>
      </w:r>
      <w:r w:rsidR="008030EF" w:rsidRPr="00EF0670">
        <w:rPr>
          <w:rStyle w:val="href"/>
        </w:rPr>
        <w:t>21</w:t>
      </w:r>
      <w:r w:rsidR="00667612" w:rsidRPr="00EF0670">
        <w:rPr>
          <w:rStyle w:val="href"/>
        </w:rPr>
        <w:t>23</w:t>
      </w:r>
      <w:r w:rsidR="008030EF" w:rsidRPr="00EF0670">
        <w:rPr>
          <w:rStyle w:val="href"/>
        </w:rPr>
        <w:t>-</w:t>
      </w:r>
      <w:r w:rsidR="00667612" w:rsidRPr="00EF0670">
        <w:rPr>
          <w:rStyle w:val="href"/>
        </w:rPr>
        <w:t>1</w:t>
      </w:r>
    </w:p>
    <w:p w14:paraId="590F476B" w14:textId="2272795B" w:rsidR="008030EF" w:rsidRPr="00EF0670" w:rsidRDefault="00AA0199" w:rsidP="008030EF">
      <w:pPr>
        <w:pStyle w:val="Rectitle"/>
      </w:pPr>
      <w:r w:rsidRPr="00EF0670">
        <w:rPr>
          <w:lang w:eastAsia="zh-CN"/>
        </w:rPr>
        <w:t>Video parameter values for advanced immersive audio-visual systems</w:t>
      </w:r>
      <w:r w:rsidRPr="00EF0670">
        <w:rPr>
          <w:lang w:eastAsia="ja-JP"/>
        </w:rPr>
        <w:t xml:space="preserve"> </w:t>
      </w:r>
      <w:r w:rsidRPr="00EF0670">
        <w:rPr>
          <w:lang w:eastAsia="zh-CN"/>
        </w:rPr>
        <w:t>for production and international programme exchange in broadcasting</w:t>
      </w:r>
    </w:p>
    <w:p w14:paraId="6E2B534D" w14:textId="7EC36593" w:rsidR="008030EF" w:rsidRPr="00EF0670" w:rsidRDefault="008030EF" w:rsidP="008030EF">
      <w:pPr>
        <w:pStyle w:val="Recdate"/>
      </w:pPr>
      <w:r w:rsidRPr="00EF0670">
        <w:t>(</w:t>
      </w:r>
      <w:r w:rsidR="00667612" w:rsidRPr="00EF0670">
        <w:t>2019</w:t>
      </w:r>
      <w:r w:rsidR="00AA0199" w:rsidRPr="00EF0670">
        <w:t>-</w:t>
      </w:r>
      <w:r w:rsidRPr="00EF0670">
        <w:t>202</w:t>
      </w:r>
      <w:r w:rsidR="00BC0133" w:rsidRPr="00EF0670">
        <w:t>5</w:t>
      </w:r>
      <w:r w:rsidRPr="00EF0670">
        <w:t>)</w:t>
      </w:r>
    </w:p>
    <w:p w14:paraId="0F279DD9" w14:textId="77777777" w:rsidR="008030EF" w:rsidRPr="00EF0670" w:rsidRDefault="008030EF" w:rsidP="008030EF">
      <w:pPr>
        <w:pStyle w:val="HeadingSum"/>
        <w:rPr>
          <w:lang w:val="en-GB"/>
        </w:rPr>
      </w:pPr>
      <w:r w:rsidRPr="00EF0670">
        <w:rPr>
          <w:lang w:val="en-GB"/>
        </w:rPr>
        <w:t>Scope</w:t>
      </w:r>
    </w:p>
    <w:p w14:paraId="3B2ADCE4" w14:textId="77777777" w:rsidR="00F50786" w:rsidRPr="00EF0670" w:rsidRDefault="00F50786" w:rsidP="00F50786">
      <w:pPr>
        <w:pStyle w:val="Summary"/>
        <w:rPr>
          <w:lang w:val="en-GB"/>
        </w:rPr>
      </w:pPr>
      <w:r w:rsidRPr="00EF0670">
        <w:rPr>
          <w:lang w:val="en-GB" w:eastAsia="ja-JP"/>
        </w:rPr>
        <w:t xml:space="preserve">Advanced immersive audio-visual (AIAV) systems will provide viewers with immersive experiences with an unprecedented degree of presence by enabling a wide field of view of their desired direction. </w:t>
      </w:r>
      <w:proofErr w:type="gramStart"/>
      <w:r w:rsidRPr="00EF0670">
        <w:rPr>
          <w:lang w:val="en-GB" w:eastAsia="ja-JP"/>
        </w:rPr>
        <w:t>In order to</w:t>
      </w:r>
      <w:proofErr w:type="gramEnd"/>
      <w:r w:rsidRPr="00EF0670">
        <w:rPr>
          <w:lang w:val="en-GB" w:eastAsia="ja-JP"/>
        </w:rPr>
        <w:t xml:space="preserve"> produce high-quality comfortable images, AIAV systems require video system parameters that go beyond the levels of UHDTV as well as additional system parameters to support omnidirectional image representation. This Recommendation specifies AIAV system parameters for production and international programme exchange.</w:t>
      </w:r>
    </w:p>
    <w:p w14:paraId="786C0A48" w14:textId="77777777" w:rsidR="008030EF" w:rsidRPr="00EF0670" w:rsidRDefault="008030EF" w:rsidP="008030EF">
      <w:pPr>
        <w:pStyle w:val="Headingb"/>
      </w:pPr>
      <w:r w:rsidRPr="00EF0670">
        <w:t>Keywords</w:t>
      </w:r>
    </w:p>
    <w:p w14:paraId="5F1845A0" w14:textId="77777777" w:rsidR="005243E6" w:rsidRPr="00EF0670" w:rsidRDefault="005243E6" w:rsidP="005243E6">
      <w:pPr>
        <w:rPr>
          <w:lang w:eastAsia="ja-JP"/>
        </w:rPr>
      </w:pPr>
      <w:r w:rsidRPr="00EF0670">
        <w:t xml:space="preserve">Immersive media, virtual reality, </w:t>
      </w:r>
      <w:r w:rsidRPr="00EF0670">
        <w:rPr>
          <w:rFonts w:asciiTheme="majorBidi" w:hAnsiTheme="majorBidi" w:cstheme="majorBidi"/>
        </w:rPr>
        <w:t>360</w:t>
      </w:r>
      <w:r w:rsidRPr="00EF0670">
        <w:rPr>
          <w:rFonts w:asciiTheme="majorBidi" w:hAnsiTheme="majorBidi" w:cstheme="majorBidi"/>
          <w:vertAlign w:val="superscript"/>
        </w:rPr>
        <w:t>o</w:t>
      </w:r>
      <w:r w:rsidRPr="00EF0670">
        <w:t xml:space="preserve"> video, system parameters, projection mapping</w:t>
      </w:r>
    </w:p>
    <w:p w14:paraId="41585283" w14:textId="77777777" w:rsidR="008030EF" w:rsidRPr="00EF0670" w:rsidRDefault="008030EF" w:rsidP="008030EF">
      <w:pPr>
        <w:pStyle w:val="Normalaftertitle"/>
        <w:rPr>
          <w:szCs w:val="24"/>
        </w:rPr>
      </w:pPr>
      <w:r w:rsidRPr="00EF0670">
        <w:t>The ITU Radiocommunication Assembly,</w:t>
      </w:r>
    </w:p>
    <w:p w14:paraId="7462510A" w14:textId="77777777" w:rsidR="008030EF" w:rsidRPr="00EF0670" w:rsidRDefault="008030EF" w:rsidP="008030EF">
      <w:pPr>
        <w:pStyle w:val="Call"/>
      </w:pPr>
      <w:r w:rsidRPr="00EF0670">
        <w:t>considering</w:t>
      </w:r>
    </w:p>
    <w:p w14:paraId="45DB4B31" w14:textId="77777777" w:rsidR="00707C3E" w:rsidRPr="00EF0670" w:rsidRDefault="00707C3E" w:rsidP="00707C3E">
      <w:r w:rsidRPr="00EF0670">
        <w:rPr>
          <w:i/>
          <w:iCs/>
        </w:rPr>
        <w:t>a)</w:t>
      </w:r>
      <w:r w:rsidRPr="00EF0670">
        <w:tab/>
        <w:t xml:space="preserve">that </w:t>
      </w:r>
      <w:bookmarkStart w:id="4" w:name="_Hlk506972213"/>
      <w:r w:rsidRPr="00EF0670">
        <w:t>virtual reality, 360</w:t>
      </w:r>
      <w:r w:rsidRPr="00EF0670">
        <w:rPr>
          <w:vertAlign w:val="superscript"/>
        </w:rPr>
        <w:t>o</w:t>
      </w:r>
      <w:bookmarkEnd w:id="4"/>
      <w:r w:rsidRPr="00EF0670">
        <w:t xml:space="preserve"> video, and other immersive media technologies have caught the attention of the content providers, audiences, and the associated consumer technology vendors;</w:t>
      </w:r>
    </w:p>
    <w:p w14:paraId="08E067BA" w14:textId="77777777" w:rsidR="00707C3E" w:rsidRPr="00EF0670" w:rsidRDefault="00707C3E" w:rsidP="00707C3E">
      <w:r w:rsidRPr="00EF0670">
        <w:rPr>
          <w:i/>
          <w:iCs/>
        </w:rPr>
        <w:t>b)</w:t>
      </w:r>
      <w:r w:rsidRPr="00EF0670">
        <w:tab/>
        <w:t>that television and radio programme makers and others are exploring advanced immersive systems to enhance the audiences’ experience of their content;</w:t>
      </w:r>
    </w:p>
    <w:p w14:paraId="23F804A4" w14:textId="77777777" w:rsidR="00707C3E" w:rsidRPr="00EF0670" w:rsidRDefault="00707C3E" w:rsidP="00707C3E">
      <w:pPr>
        <w:rPr>
          <w:rFonts w:asciiTheme="majorBidi" w:hAnsiTheme="majorBidi" w:cstheme="majorBidi"/>
        </w:rPr>
      </w:pPr>
      <w:r w:rsidRPr="00EF0670">
        <w:rPr>
          <w:rFonts w:asciiTheme="majorBidi" w:hAnsiTheme="majorBidi" w:cstheme="majorBidi"/>
          <w:i/>
          <w:iCs/>
        </w:rPr>
        <w:t>c)</w:t>
      </w:r>
      <w:r w:rsidRPr="00EF0670">
        <w:rPr>
          <w:rFonts w:asciiTheme="majorBidi" w:hAnsiTheme="majorBidi" w:cstheme="majorBidi"/>
        </w:rPr>
        <w:tab/>
        <w:t xml:space="preserve">that currently immersive media content </w:t>
      </w:r>
      <w:r w:rsidRPr="00EF0670">
        <w:rPr>
          <w:rFonts w:asciiTheme="majorBidi" w:hAnsiTheme="majorBidi" w:cstheme="majorBidi"/>
          <w:lang w:eastAsia="ja-JP"/>
        </w:rPr>
        <w:t xml:space="preserve">is </w:t>
      </w:r>
      <w:r w:rsidRPr="00EF0670">
        <w:rPr>
          <w:rFonts w:asciiTheme="majorBidi" w:hAnsiTheme="majorBidi" w:cstheme="majorBidi"/>
        </w:rPr>
        <w:t>usually acquired and produced to the requirements of specific delivery or distribution technologies;</w:t>
      </w:r>
    </w:p>
    <w:p w14:paraId="7CD6D8A6" w14:textId="77777777" w:rsidR="00707C3E" w:rsidRPr="00EF0670" w:rsidRDefault="00707C3E" w:rsidP="00707C3E">
      <w:pPr>
        <w:rPr>
          <w:rFonts w:asciiTheme="majorBidi" w:hAnsiTheme="majorBidi" w:cstheme="majorBidi"/>
          <w:lang w:eastAsia="zh-CN"/>
        </w:rPr>
      </w:pPr>
      <w:r w:rsidRPr="00EF0670">
        <w:rPr>
          <w:rFonts w:asciiTheme="majorBidi" w:hAnsiTheme="majorBidi" w:cstheme="majorBidi"/>
          <w:i/>
          <w:lang w:eastAsia="zh-CN"/>
        </w:rPr>
        <w:t>d</w:t>
      </w:r>
      <w:r w:rsidRPr="00EF0670">
        <w:rPr>
          <w:rFonts w:asciiTheme="majorBidi" w:hAnsiTheme="majorBidi" w:cstheme="majorBidi"/>
          <w:i/>
          <w:iCs/>
          <w:lang w:eastAsia="zh-CN"/>
        </w:rPr>
        <w:t>)</w:t>
      </w:r>
      <w:r w:rsidRPr="00EF0670">
        <w:rPr>
          <w:rFonts w:asciiTheme="majorBidi" w:hAnsiTheme="majorBidi" w:cstheme="majorBidi"/>
          <w:lang w:eastAsia="zh-CN"/>
        </w:rPr>
        <w:tab/>
        <w:t xml:space="preserve">that currently no </w:t>
      </w:r>
      <w:r w:rsidRPr="00EF0670">
        <w:t>worldwide</w:t>
      </w:r>
      <w:r w:rsidRPr="00EF0670">
        <w:rPr>
          <w:rFonts w:asciiTheme="majorBidi" w:hAnsiTheme="majorBidi" w:cstheme="majorBidi"/>
          <w:lang w:eastAsia="zh-CN"/>
        </w:rPr>
        <w:t xml:space="preserve"> standards or recommended practices exist for production, mastering, and exchange of virtual reality, 360</w:t>
      </w:r>
      <w:r w:rsidRPr="00EF0670">
        <w:rPr>
          <w:rFonts w:asciiTheme="majorBidi" w:hAnsiTheme="majorBidi" w:cstheme="majorBidi"/>
          <w:vertAlign w:val="superscript"/>
          <w:lang w:eastAsia="zh-CN"/>
        </w:rPr>
        <w:t xml:space="preserve">o </w:t>
      </w:r>
      <w:r w:rsidRPr="00EF0670">
        <w:rPr>
          <w:rFonts w:asciiTheme="majorBidi" w:hAnsiTheme="majorBidi" w:cstheme="majorBidi"/>
        </w:rPr>
        <w:t>video,</w:t>
      </w:r>
      <w:r w:rsidRPr="00EF0670">
        <w:rPr>
          <w:rFonts w:asciiTheme="majorBidi" w:hAnsiTheme="majorBidi" w:cstheme="majorBidi"/>
          <w:lang w:eastAsia="zh-CN"/>
        </w:rPr>
        <w:t xml:space="preserve"> and other immersive programmes in broadcast;</w:t>
      </w:r>
    </w:p>
    <w:p w14:paraId="594246AC" w14:textId="77777777" w:rsidR="00707C3E" w:rsidRPr="00EF0670" w:rsidRDefault="00707C3E" w:rsidP="00707C3E">
      <w:pPr>
        <w:rPr>
          <w:rFonts w:asciiTheme="majorBidi" w:hAnsiTheme="majorBidi" w:cstheme="majorBidi"/>
          <w:lang w:eastAsia="zh-CN"/>
        </w:rPr>
      </w:pPr>
      <w:r w:rsidRPr="00EF0670">
        <w:rPr>
          <w:rFonts w:asciiTheme="majorBidi" w:hAnsiTheme="majorBidi" w:cstheme="majorBidi"/>
          <w:i/>
          <w:lang w:eastAsia="zh-CN"/>
        </w:rPr>
        <w:t>e)</w:t>
      </w:r>
      <w:r w:rsidRPr="00EF0670">
        <w:rPr>
          <w:rFonts w:asciiTheme="majorBidi" w:hAnsiTheme="majorBidi" w:cstheme="majorBidi"/>
        </w:rPr>
        <w:tab/>
        <w:t xml:space="preserve">that broadcasters are </w:t>
      </w:r>
      <w:r w:rsidRPr="00EF0670">
        <w:t>distributing</w:t>
      </w:r>
      <w:r w:rsidRPr="00EF0670">
        <w:rPr>
          <w:rFonts w:asciiTheme="majorBidi" w:hAnsiTheme="majorBidi" w:cstheme="majorBidi"/>
        </w:rPr>
        <w:t xml:space="preserve"> a wide variety of content to audiences via an increasing number of interactive delivery platforms;</w:t>
      </w:r>
    </w:p>
    <w:p w14:paraId="5E9E23C0" w14:textId="77777777" w:rsidR="00707C3E" w:rsidRPr="00EF0670" w:rsidRDefault="00707C3E" w:rsidP="00707C3E">
      <w:pPr>
        <w:rPr>
          <w:rFonts w:asciiTheme="majorBidi" w:hAnsiTheme="majorBidi" w:cstheme="majorBidi"/>
        </w:rPr>
      </w:pPr>
      <w:r w:rsidRPr="00EF0670">
        <w:rPr>
          <w:rFonts w:asciiTheme="majorBidi" w:hAnsiTheme="majorBidi" w:cstheme="majorBidi"/>
          <w:i/>
        </w:rPr>
        <w:t>f</w:t>
      </w:r>
      <w:r w:rsidRPr="00EF0670">
        <w:rPr>
          <w:rFonts w:asciiTheme="majorBidi" w:hAnsiTheme="majorBidi" w:cstheme="majorBidi"/>
          <w:i/>
          <w:iCs/>
        </w:rPr>
        <w:t>)</w:t>
      </w:r>
      <w:r w:rsidRPr="00EF0670">
        <w:rPr>
          <w:rFonts w:asciiTheme="majorBidi" w:hAnsiTheme="majorBidi" w:cstheme="majorBidi"/>
        </w:rPr>
        <w:tab/>
        <w:t xml:space="preserve">that making virtual reality </w:t>
      </w:r>
      <w:r w:rsidRPr="00EF0670">
        <w:rPr>
          <w:rFonts w:asciiTheme="majorBidi" w:hAnsiTheme="majorBidi" w:cstheme="majorBidi"/>
          <w:lang w:eastAsia="zh-CN"/>
        </w:rPr>
        <w:t>360</w:t>
      </w:r>
      <w:r w:rsidRPr="00EF0670">
        <w:rPr>
          <w:rFonts w:asciiTheme="majorBidi" w:hAnsiTheme="majorBidi" w:cstheme="majorBidi"/>
          <w:vertAlign w:val="superscript"/>
          <w:lang w:eastAsia="zh-CN"/>
        </w:rPr>
        <w:t>o</w:t>
      </w:r>
      <w:r w:rsidRPr="00EF0670">
        <w:rPr>
          <w:rFonts w:asciiTheme="majorBidi" w:hAnsiTheme="majorBidi" w:cstheme="majorBidi"/>
        </w:rPr>
        <w:t xml:space="preserve"> images high quality and comfortable requires having a significantly high spatial resolution;</w:t>
      </w:r>
    </w:p>
    <w:p w14:paraId="73CE72D6" w14:textId="77777777" w:rsidR="00707C3E" w:rsidRPr="00EF0670" w:rsidRDefault="00707C3E" w:rsidP="00707C3E">
      <w:r w:rsidRPr="00EF0670">
        <w:rPr>
          <w:rFonts w:asciiTheme="majorBidi" w:hAnsiTheme="majorBidi" w:cstheme="majorBidi"/>
          <w:i/>
          <w:iCs/>
          <w:lang w:eastAsia="zh-CN"/>
        </w:rPr>
        <w:t>g)</w:t>
      </w:r>
      <w:r w:rsidRPr="00EF0670">
        <w:rPr>
          <w:rFonts w:asciiTheme="majorBidi" w:hAnsiTheme="majorBidi" w:cstheme="majorBidi"/>
          <w:lang w:eastAsia="zh-CN"/>
        </w:rPr>
        <w:tab/>
        <w:t xml:space="preserve">that specifying parameter values of audio-visual components for </w:t>
      </w:r>
      <w:r w:rsidRPr="00EF0670">
        <w:rPr>
          <w:lang w:eastAsia="ja-JP"/>
        </w:rPr>
        <w:t xml:space="preserve">advanced immersive audio-visual (AIAV) </w:t>
      </w:r>
      <w:r w:rsidRPr="00EF0670">
        <w:rPr>
          <w:rFonts w:asciiTheme="majorBidi" w:hAnsiTheme="majorBidi" w:cstheme="majorBidi"/>
          <w:lang w:eastAsia="zh-CN"/>
        </w:rPr>
        <w:t xml:space="preserve">systems for production of professional linear </w:t>
      </w:r>
      <w:r w:rsidRPr="00EF0670">
        <w:t>content</w:t>
      </w:r>
      <w:r w:rsidRPr="00EF0670">
        <w:rPr>
          <w:rFonts w:asciiTheme="majorBidi" w:hAnsiTheme="majorBidi" w:cstheme="majorBidi"/>
          <w:lang w:eastAsia="zh-CN"/>
        </w:rPr>
        <w:t xml:space="preserve"> facilitates producing a variety of AIAV content,</w:t>
      </w:r>
    </w:p>
    <w:p w14:paraId="52185FC5" w14:textId="77777777" w:rsidR="00707C3E" w:rsidRPr="00EF0670" w:rsidRDefault="00707C3E" w:rsidP="00707C3E">
      <w:pPr>
        <w:pStyle w:val="Call"/>
        <w:rPr>
          <w:i w:val="0"/>
          <w:iCs/>
          <w:lang w:eastAsia="ko-KR"/>
        </w:rPr>
      </w:pPr>
      <w:r w:rsidRPr="00EF0670">
        <w:rPr>
          <w:lang w:eastAsia="ko-KR"/>
        </w:rPr>
        <w:t>recommends</w:t>
      </w:r>
    </w:p>
    <w:p w14:paraId="0C1EF54A" w14:textId="77777777" w:rsidR="00707C3E" w:rsidRPr="00EF0670" w:rsidRDefault="00707C3E" w:rsidP="00707C3E">
      <w:pPr>
        <w:rPr>
          <w:lang w:eastAsia="ko-KR"/>
        </w:rPr>
      </w:pPr>
      <w:r w:rsidRPr="00EF0670">
        <w:rPr>
          <w:lang w:eastAsia="ko-KR"/>
        </w:rPr>
        <w:t xml:space="preserve">that </w:t>
      </w:r>
      <w:r w:rsidRPr="00EF0670">
        <w:t>for production and international exchange</w:t>
      </w:r>
      <w:r w:rsidRPr="00EF0670">
        <w:rPr>
          <w:lang w:eastAsia="ko-KR"/>
        </w:rPr>
        <w:t xml:space="preserve"> of AIAV content, the specifications described in this Recommendation should be used.</w:t>
      </w:r>
    </w:p>
    <w:p w14:paraId="1AB4E0DE" w14:textId="77777777" w:rsidR="00707C3E" w:rsidRPr="00EF0670" w:rsidRDefault="00707C3E" w:rsidP="00707C3E">
      <w:pPr>
        <w:pStyle w:val="Heading1"/>
        <w:rPr>
          <w:rFonts w:eastAsia="MS Mincho"/>
          <w:lang w:eastAsia="ja-JP"/>
        </w:rPr>
      </w:pPr>
      <w:r w:rsidRPr="00EF0670">
        <w:rPr>
          <w:rFonts w:eastAsia="MS Mincho"/>
          <w:lang w:eastAsia="ja-JP"/>
        </w:rPr>
        <w:lastRenderedPageBreak/>
        <w:t>1</w:t>
      </w:r>
      <w:r w:rsidRPr="00EF0670">
        <w:rPr>
          <w:rFonts w:eastAsia="MS Mincho"/>
          <w:lang w:eastAsia="ja-JP"/>
        </w:rPr>
        <w:tab/>
        <w:t xml:space="preserve">Picture </w:t>
      </w:r>
      <w:r w:rsidRPr="00EF0670">
        <w:rPr>
          <w:rFonts w:eastAsia="MS Mincho"/>
        </w:rPr>
        <w:t>characteristics</w:t>
      </w:r>
      <w:r w:rsidRPr="00EF0670">
        <w:rPr>
          <w:rFonts w:eastAsia="MS Mincho"/>
          <w:lang w:eastAsia="ja-JP"/>
        </w:rPr>
        <w:t xml:space="preserve"> for 360</w:t>
      </w:r>
      <w:r w:rsidRPr="00EF0670">
        <w:rPr>
          <w:rFonts w:asciiTheme="majorBidi" w:eastAsia="MS Mincho" w:hAnsiTheme="majorBidi" w:cstheme="majorBidi"/>
          <w:vertAlign w:val="superscript"/>
          <w:lang w:eastAsia="zh-CN"/>
        </w:rPr>
        <w:t>o</w:t>
      </w:r>
      <w:r w:rsidRPr="00EF0670">
        <w:rPr>
          <w:rFonts w:eastAsia="MS Mincho"/>
          <w:lang w:eastAsia="ja-JP"/>
        </w:rPr>
        <w:t>images in three degrees of freedom (3DoF) applications</w:t>
      </w:r>
      <w:r w:rsidRPr="00EF0670">
        <w:rPr>
          <w:rStyle w:val="FootnoteReference"/>
          <w:rFonts w:eastAsia="MS Mincho"/>
          <w:lang w:eastAsia="ja-JP"/>
        </w:rPr>
        <w:footnoteReference w:id="2"/>
      </w:r>
    </w:p>
    <w:p w14:paraId="282354FB" w14:textId="77777777" w:rsidR="00707C3E" w:rsidRPr="00EF0670" w:rsidRDefault="00707C3E" w:rsidP="00707C3E">
      <w:pPr>
        <w:rPr>
          <w:rFonts w:eastAsia="MS Mincho"/>
          <w:lang w:eastAsia="ja-JP"/>
        </w:rPr>
      </w:pPr>
      <w:r w:rsidRPr="00EF0670">
        <w:rPr>
          <w:lang w:eastAsia="ja-JP"/>
        </w:rPr>
        <w:t xml:space="preserve">Picture characteristics are shown in Tables 1 through 3 </w:t>
      </w:r>
      <w:r w:rsidRPr="00EF0670">
        <w:rPr>
          <w:lang w:eastAsia="ko-KR"/>
        </w:rPr>
        <w:t>for 360</w:t>
      </w:r>
      <w:r w:rsidRPr="00EF0670">
        <w:rPr>
          <w:rFonts w:asciiTheme="majorBidi" w:hAnsiTheme="majorBidi" w:cstheme="majorBidi"/>
          <w:vertAlign w:val="superscript"/>
          <w:lang w:eastAsia="zh-CN"/>
        </w:rPr>
        <w:t xml:space="preserve">o </w:t>
      </w:r>
      <w:r w:rsidRPr="00EF0670">
        <w:rPr>
          <w:lang w:eastAsia="ko-KR"/>
        </w:rPr>
        <w:t>images in 3DoF applications</w:t>
      </w:r>
      <w:r w:rsidRPr="00EF0670">
        <w:rPr>
          <w:lang w:eastAsia="ja-JP"/>
        </w:rPr>
        <w:t>.</w:t>
      </w:r>
    </w:p>
    <w:p w14:paraId="6E7FDABA" w14:textId="77777777" w:rsidR="00707C3E" w:rsidRPr="00EF0670" w:rsidRDefault="00707C3E" w:rsidP="00707C3E">
      <w:pPr>
        <w:pStyle w:val="TableNo"/>
        <w:keepNext w:val="0"/>
        <w:rPr>
          <w:lang w:eastAsia="ko-KR"/>
        </w:rPr>
      </w:pPr>
      <w:r w:rsidRPr="00EF0670">
        <w:rPr>
          <w:lang w:eastAsia="ko-KR"/>
        </w:rPr>
        <w:t>TABLE 1</w:t>
      </w:r>
    </w:p>
    <w:p w14:paraId="39F6FE97" w14:textId="77777777" w:rsidR="00707C3E" w:rsidRPr="00EF0670" w:rsidRDefault="00707C3E" w:rsidP="00707C3E">
      <w:pPr>
        <w:pStyle w:val="Tabletitle"/>
        <w:keepNext w:val="0"/>
        <w:rPr>
          <w:lang w:eastAsia="ko-KR"/>
        </w:rPr>
      </w:pPr>
      <w:r w:rsidRPr="00EF0670">
        <w:rPr>
          <w:lang w:eastAsia="ko-KR"/>
        </w:rPr>
        <w:t>Image spatial and temporal characteristics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682"/>
      </w:tblGrid>
      <w:tr w:rsidR="00707C3E" w:rsidRPr="00EF0670" w14:paraId="0E0B7A74" w14:textId="77777777" w:rsidTr="00FB58F9">
        <w:trPr>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5391CBC8" w14:textId="77777777" w:rsidR="00707C3E" w:rsidRPr="00EF0670" w:rsidRDefault="00707C3E" w:rsidP="00FB58F9">
            <w:pPr>
              <w:pStyle w:val="Tablehead"/>
              <w:keepNext w:val="0"/>
              <w:rPr>
                <w:lang w:eastAsia="ko-KR"/>
              </w:rPr>
            </w:pPr>
            <w:r w:rsidRPr="00EF0670">
              <w:rPr>
                <w:lang w:eastAsia="ko-KR"/>
              </w:rPr>
              <w:t>Parameter</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1B43AB33" w14:textId="77777777" w:rsidR="00707C3E" w:rsidRPr="00EF0670" w:rsidRDefault="00707C3E" w:rsidP="00FB58F9">
            <w:pPr>
              <w:pStyle w:val="Tablehead"/>
              <w:keepNext w:val="0"/>
              <w:rPr>
                <w:lang w:eastAsia="ko-KR"/>
              </w:rPr>
            </w:pPr>
            <w:r w:rsidRPr="00EF0670">
              <w:rPr>
                <w:lang w:eastAsia="ko-KR"/>
              </w:rPr>
              <w:t>Values</w:t>
            </w:r>
          </w:p>
        </w:tc>
      </w:tr>
      <w:tr w:rsidR="00707C3E" w:rsidRPr="00EF0670" w14:paraId="4AE8BFF2" w14:textId="77777777" w:rsidTr="00FB58F9">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69656D15" w14:textId="77777777" w:rsidR="00707C3E" w:rsidRPr="00EF0670" w:rsidRDefault="00707C3E" w:rsidP="00FB58F9">
            <w:pPr>
              <w:pStyle w:val="Tabletext"/>
              <w:rPr>
                <w:lang w:eastAsia="ko-KR"/>
              </w:rPr>
            </w:pPr>
            <w:r w:rsidRPr="00EF0670">
              <w:rPr>
                <w:lang w:eastAsia="ko-KR"/>
              </w:rPr>
              <w:t>Projection method of a sphere to a rectangular image</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7316C0A0" w14:textId="77777777" w:rsidR="00707C3E" w:rsidRPr="00EF0670" w:rsidRDefault="00707C3E" w:rsidP="00FB58F9">
            <w:pPr>
              <w:pStyle w:val="Tabletext"/>
              <w:jc w:val="center"/>
              <w:rPr>
                <w:lang w:eastAsia="ko-KR"/>
              </w:rPr>
            </w:pPr>
            <w:r w:rsidRPr="00EF0670">
              <w:t>Equirectangular</w:t>
            </w:r>
            <w:r w:rsidRPr="00EF0670">
              <w:rPr>
                <w:lang w:eastAsia="ko-KR"/>
              </w:rPr>
              <w:t xml:space="preserve"> projection</w:t>
            </w:r>
            <w:r w:rsidRPr="00EF0670">
              <w:rPr>
                <w:lang w:eastAsia="ko-KR"/>
              </w:rPr>
              <w:br/>
              <w:t>(see details in Annex 1)</w:t>
            </w:r>
          </w:p>
        </w:tc>
      </w:tr>
      <w:tr w:rsidR="00707C3E" w:rsidRPr="00EF0670" w14:paraId="5BF84D6F" w14:textId="77777777" w:rsidTr="00FB58F9">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5E1890A3" w14:textId="77777777" w:rsidR="00707C3E" w:rsidRPr="00EF0670" w:rsidRDefault="00707C3E" w:rsidP="00FB58F9">
            <w:pPr>
              <w:pStyle w:val="Tabletext"/>
              <w:rPr>
                <w:lang w:eastAsia="ko-KR"/>
              </w:rPr>
            </w:pPr>
            <w:r w:rsidRPr="00EF0670">
              <w:rPr>
                <w:lang w:eastAsia="ko-KR"/>
              </w:rPr>
              <w:t>Pixel count of mapped images</w:t>
            </w:r>
          </w:p>
          <w:p w14:paraId="6F71A25E" w14:textId="77777777" w:rsidR="00707C3E" w:rsidRPr="00EF0670" w:rsidRDefault="00707C3E" w:rsidP="00FB58F9">
            <w:pPr>
              <w:pStyle w:val="Tabletext"/>
              <w:rPr>
                <w:lang w:eastAsia="ko-KR"/>
              </w:rPr>
            </w:pPr>
            <w:r w:rsidRPr="00EF0670">
              <w:rPr>
                <w:lang w:eastAsia="ko-KR"/>
              </w:rPr>
              <w:t>Horizontal × vertical</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756ED23A" w14:textId="77777777" w:rsidR="00707C3E" w:rsidRPr="00EF0670" w:rsidRDefault="00707C3E" w:rsidP="00FB58F9">
            <w:pPr>
              <w:pStyle w:val="Tabletext"/>
              <w:jc w:val="center"/>
              <w:rPr>
                <w:lang w:eastAsia="ko-KR"/>
              </w:rPr>
            </w:pPr>
            <w:r w:rsidRPr="00EF0670">
              <w:rPr>
                <w:lang w:eastAsia="ko-KR"/>
              </w:rPr>
              <w:t xml:space="preserve">30 720 </w:t>
            </w:r>
            <w:r w:rsidRPr="00EF0670">
              <w:rPr>
                <w:lang w:eastAsia="ja-JP"/>
              </w:rPr>
              <w:t>×</w:t>
            </w:r>
            <w:r w:rsidRPr="00EF0670">
              <w:rPr>
                <w:lang w:eastAsia="ko-KR"/>
              </w:rPr>
              <w:t xml:space="preserve"> 15 360 </w:t>
            </w:r>
            <w:r w:rsidRPr="00EF0670">
              <w:rPr>
                <w:vertAlign w:val="superscript"/>
                <w:lang w:eastAsia="ko-KR"/>
              </w:rPr>
              <w:t>(1), (2)</w:t>
            </w:r>
          </w:p>
          <w:p w14:paraId="3783F26F" w14:textId="77777777" w:rsidR="00707C3E" w:rsidRPr="00EF0670" w:rsidRDefault="00707C3E" w:rsidP="00FB58F9">
            <w:pPr>
              <w:pStyle w:val="Tabletext"/>
              <w:jc w:val="center"/>
              <w:rPr>
                <w:lang w:eastAsia="ko-KR"/>
              </w:rPr>
            </w:pPr>
            <w:r w:rsidRPr="00EF0670">
              <w:rPr>
                <w:lang w:eastAsia="ko-KR"/>
              </w:rPr>
              <w:t xml:space="preserve">(30K </w:t>
            </w:r>
            <w:r w:rsidRPr="00EF0670">
              <w:rPr>
                <w:lang w:eastAsia="zh-CN"/>
              </w:rPr>
              <w:t>× 15K</w:t>
            </w:r>
            <w:r w:rsidRPr="00EF0670">
              <w:rPr>
                <w:lang w:eastAsia="ko-KR"/>
              </w:rPr>
              <w:t>)</w:t>
            </w:r>
          </w:p>
        </w:tc>
      </w:tr>
      <w:tr w:rsidR="00707C3E" w:rsidRPr="00EF0670" w14:paraId="1E16A783" w14:textId="77777777" w:rsidTr="000066C0">
        <w:trPr>
          <w:trHeight w:val="446"/>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5FBF959B" w14:textId="77777777" w:rsidR="00707C3E" w:rsidRPr="00EF0670" w:rsidRDefault="00707C3E" w:rsidP="00FB58F9">
            <w:pPr>
              <w:pStyle w:val="Tabletext"/>
              <w:rPr>
                <w:lang w:eastAsia="ko-KR"/>
              </w:rPr>
            </w:pPr>
            <w:r w:rsidRPr="00EF0670">
              <w:rPr>
                <w:lang w:eastAsia="ko-KR"/>
              </w:rPr>
              <w:t>Pixel aspect ratio</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53DB45EE" w14:textId="77777777" w:rsidR="00707C3E" w:rsidRPr="00EF0670" w:rsidRDefault="00707C3E" w:rsidP="00FB58F9">
            <w:pPr>
              <w:pStyle w:val="Tabletext"/>
              <w:jc w:val="center"/>
              <w:rPr>
                <w:lang w:eastAsia="ko-KR"/>
              </w:rPr>
            </w:pPr>
            <w:r w:rsidRPr="00EF0670">
              <w:rPr>
                <w:lang w:eastAsia="ko-KR"/>
              </w:rPr>
              <w:t>1:1 (square pixels)</w:t>
            </w:r>
          </w:p>
        </w:tc>
      </w:tr>
      <w:tr w:rsidR="00707C3E" w:rsidRPr="00EF0670" w14:paraId="5D296F60" w14:textId="77777777" w:rsidTr="000066C0">
        <w:trPr>
          <w:trHeight w:val="41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6624FD37" w14:textId="77777777" w:rsidR="00707C3E" w:rsidRPr="00EF0670" w:rsidRDefault="00707C3E" w:rsidP="00FB58F9">
            <w:pPr>
              <w:pStyle w:val="Tabletext"/>
              <w:rPr>
                <w:lang w:eastAsia="ja-JP"/>
              </w:rPr>
            </w:pPr>
            <w:r w:rsidRPr="00EF0670">
              <w:rPr>
                <w:lang w:eastAsia="ko-KR"/>
              </w:rPr>
              <w:t xml:space="preserve">Frame frequency </w:t>
            </w:r>
            <w:r w:rsidRPr="00EF0670">
              <w:rPr>
                <w:lang w:eastAsia="ja-JP"/>
              </w:rPr>
              <w:t>(</w:t>
            </w:r>
            <w:r w:rsidRPr="00EF0670">
              <w:rPr>
                <w:lang w:eastAsia="ko-KR"/>
              </w:rPr>
              <w:t>Hz</w:t>
            </w:r>
            <w:r w:rsidRPr="00EF0670">
              <w:rPr>
                <w:lang w:eastAsia="ja-JP"/>
              </w:rPr>
              <w:t>)</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341322C3" w14:textId="77777777" w:rsidR="00707C3E" w:rsidRPr="00EF0670" w:rsidRDefault="00707C3E" w:rsidP="00FB58F9">
            <w:pPr>
              <w:pStyle w:val="Tabletext"/>
              <w:jc w:val="center"/>
              <w:rPr>
                <w:lang w:eastAsia="ko-KR"/>
              </w:rPr>
            </w:pPr>
            <w:r w:rsidRPr="00EF0670">
              <w:rPr>
                <w:lang w:eastAsia="ko-KR"/>
              </w:rPr>
              <w:t xml:space="preserve">120, </w:t>
            </w:r>
            <w:r w:rsidRPr="00EF0670">
              <w:rPr>
                <w:lang w:eastAsia="ja-JP"/>
              </w:rPr>
              <w:t xml:space="preserve">120/1.001, </w:t>
            </w:r>
            <w:r w:rsidRPr="00EF0670">
              <w:rPr>
                <w:lang w:eastAsia="ko-KR"/>
              </w:rPr>
              <w:t>100, 60, 60/1.001, 50</w:t>
            </w:r>
          </w:p>
        </w:tc>
      </w:tr>
      <w:tr w:rsidR="00707C3E" w:rsidRPr="00EF0670" w14:paraId="3709924D" w14:textId="77777777" w:rsidTr="000066C0">
        <w:trPr>
          <w:trHeight w:val="431"/>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14:paraId="19A29C3B" w14:textId="77777777" w:rsidR="00707C3E" w:rsidRPr="00EF0670" w:rsidRDefault="00707C3E" w:rsidP="00FB58F9">
            <w:pPr>
              <w:pStyle w:val="Tabletext"/>
              <w:rPr>
                <w:lang w:eastAsia="ja-JP"/>
              </w:rPr>
            </w:pPr>
            <w:r w:rsidRPr="00EF0670">
              <w:rPr>
                <w:lang w:eastAsia="ja-JP"/>
              </w:rPr>
              <w:t xml:space="preserve">Image format </w:t>
            </w:r>
          </w:p>
        </w:tc>
        <w:tc>
          <w:tcPr>
            <w:tcW w:w="4682" w:type="dxa"/>
            <w:tcBorders>
              <w:top w:val="single" w:sz="4" w:space="0" w:color="000000"/>
              <w:left w:val="single" w:sz="4" w:space="0" w:color="000000"/>
              <w:bottom w:val="single" w:sz="4" w:space="0" w:color="auto"/>
              <w:right w:val="single" w:sz="4" w:space="0" w:color="000000"/>
            </w:tcBorders>
            <w:vAlign w:val="center"/>
            <w:hideMark/>
          </w:tcPr>
          <w:p w14:paraId="0E503B8F" w14:textId="77777777" w:rsidR="00707C3E" w:rsidRPr="00EF0670" w:rsidRDefault="00707C3E" w:rsidP="00FB58F9">
            <w:pPr>
              <w:pStyle w:val="Tabletext"/>
              <w:jc w:val="center"/>
              <w:rPr>
                <w:lang w:eastAsia="ja-JP"/>
              </w:rPr>
            </w:pPr>
            <w:r w:rsidRPr="00EF0670">
              <w:rPr>
                <w:lang w:eastAsia="ja-JP"/>
              </w:rPr>
              <w:t>Progressive</w:t>
            </w:r>
          </w:p>
        </w:tc>
      </w:tr>
      <w:tr w:rsidR="00707C3E" w:rsidRPr="00EF0670" w14:paraId="5A7D0ACC" w14:textId="77777777" w:rsidTr="00FB58F9">
        <w:trPr>
          <w:trHeight w:val="558"/>
          <w:jc w:val="center"/>
        </w:trPr>
        <w:tc>
          <w:tcPr>
            <w:tcW w:w="9639" w:type="dxa"/>
            <w:gridSpan w:val="2"/>
            <w:tcBorders>
              <w:top w:val="single" w:sz="4" w:space="0" w:color="auto"/>
              <w:left w:val="nil"/>
              <w:bottom w:val="nil"/>
              <w:right w:val="nil"/>
            </w:tcBorders>
            <w:vAlign w:val="center"/>
            <w:hideMark/>
          </w:tcPr>
          <w:p w14:paraId="053E540A" w14:textId="77777777" w:rsidR="00707C3E" w:rsidRPr="00EF0670" w:rsidRDefault="00707C3E" w:rsidP="00FB58F9">
            <w:pPr>
              <w:pStyle w:val="Tabletext"/>
              <w:ind w:left="284" w:hanging="284"/>
            </w:pPr>
            <w:r w:rsidRPr="00EF0670">
              <w:rPr>
                <w:vertAlign w:val="superscript"/>
              </w:rPr>
              <w:t>(1)</w:t>
            </w:r>
            <w:r w:rsidRPr="00EF0670">
              <w:tab/>
              <w:t xml:space="preserve">These values are based on typical human spatial angular acuity for viewers not to perceive a pixel structure when viewing part of a 360° image. A pixel count of 30K × 15K is required </w:t>
            </w:r>
            <w:r w:rsidRPr="00EF0670">
              <w:rPr>
                <w:lang w:eastAsia="ja-JP"/>
              </w:rPr>
              <w:t xml:space="preserve">for a full </w:t>
            </w:r>
            <w:r w:rsidRPr="00EF0670">
              <w:t>360° image. Other pixel counts may be used when actual system design is undertaken.</w:t>
            </w:r>
          </w:p>
          <w:p w14:paraId="432AC2B9" w14:textId="77777777" w:rsidR="00707C3E" w:rsidRPr="00EF0670" w:rsidRDefault="00707C3E" w:rsidP="00FB58F9">
            <w:pPr>
              <w:pStyle w:val="Tabletext"/>
              <w:ind w:left="284" w:hanging="284"/>
            </w:pPr>
            <w:r w:rsidRPr="00EF0670">
              <w:rPr>
                <w:vertAlign w:val="superscript"/>
              </w:rPr>
              <w:t>(2)</w:t>
            </w:r>
            <w:r w:rsidRPr="00EF0670">
              <w:tab/>
              <w:t>A hemisphere or a part of a 360° image may be represented by taking a part of 30K × 15K pixels.</w:t>
            </w:r>
          </w:p>
        </w:tc>
      </w:tr>
    </w:tbl>
    <w:p w14:paraId="0A141AEA" w14:textId="77777777" w:rsidR="00707C3E" w:rsidRPr="00EF0670" w:rsidRDefault="00707C3E" w:rsidP="00707C3E">
      <w:pPr>
        <w:pStyle w:val="Tablefin"/>
        <w:rPr>
          <w:lang w:eastAsia="ko-KR"/>
        </w:rPr>
      </w:pPr>
    </w:p>
    <w:p w14:paraId="40593E93" w14:textId="77777777" w:rsidR="00707C3E" w:rsidRPr="00EF0670" w:rsidRDefault="00707C3E" w:rsidP="00707C3E">
      <w:pPr>
        <w:pStyle w:val="TableNo"/>
        <w:rPr>
          <w:lang w:eastAsia="ko-KR"/>
        </w:rPr>
      </w:pPr>
      <w:r w:rsidRPr="00EF0670">
        <w:rPr>
          <w:lang w:eastAsia="ko-KR"/>
        </w:rPr>
        <w:t>TABLE 2</w:t>
      </w:r>
    </w:p>
    <w:p w14:paraId="3AC276C1" w14:textId="77777777" w:rsidR="00707C3E" w:rsidRPr="00EF0670" w:rsidRDefault="00707C3E" w:rsidP="00707C3E">
      <w:pPr>
        <w:pStyle w:val="Tabletitle"/>
        <w:rPr>
          <w:lang w:eastAsia="ko-KR"/>
        </w:rPr>
      </w:pPr>
      <w:r w:rsidRPr="00EF0670">
        <w:t>System</w:t>
      </w:r>
      <w:r w:rsidRPr="00EF0670">
        <w:rPr>
          <w:lang w:eastAsia="ko-KR"/>
        </w:rPr>
        <w:t xml:space="preserve"> colorimetry</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1983"/>
        <w:gridCol w:w="2983"/>
        <w:gridCol w:w="2413"/>
        <w:gridCol w:w="1271"/>
      </w:tblGrid>
      <w:tr w:rsidR="00707C3E" w:rsidRPr="00EF0670" w14:paraId="077089CA" w14:textId="77777777" w:rsidTr="00FB58F9">
        <w:trPr>
          <w:trHeight w:val="274"/>
          <w:jc w:val="center"/>
        </w:trPr>
        <w:tc>
          <w:tcPr>
            <w:tcW w:w="297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1528C6D" w14:textId="77777777" w:rsidR="00707C3E" w:rsidRPr="00EF0670" w:rsidRDefault="00707C3E" w:rsidP="00FB58F9">
            <w:pPr>
              <w:pStyle w:val="Tablehead"/>
              <w:keepLines/>
              <w:rPr>
                <w:lang w:eastAsia="ko-KR"/>
              </w:rPr>
            </w:pPr>
            <w:r w:rsidRPr="00EF0670">
              <w:rPr>
                <w:lang w:eastAsia="ko-KR"/>
              </w:rPr>
              <w:t>Parameter</w:t>
            </w:r>
          </w:p>
        </w:tc>
        <w:tc>
          <w:tcPr>
            <w:tcW w:w="6667" w:type="dxa"/>
            <w:gridSpan w:val="3"/>
            <w:tcBorders>
              <w:top w:val="single" w:sz="4" w:space="0" w:color="auto"/>
              <w:left w:val="single" w:sz="4" w:space="0" w:color="000000"/>
              <w:bottom w:val="single" w:sz="4" w:space="0" w:color="000000"/>
              <w:right w:val="single" w:sz="4" w:space="0" w:color="000000"/>
            </w:tcBorders>
            <w:vAlign w:val="center"/>
            <w:hideMark/>
          </w:tcPr>
          <w:p w14:paraId="66E201EB" w14:textId="77777777" w:rsidR="00707C3E" w:rsidRPr="00EF0670" w:rsidRDefault="00707C3E" w:rsidP="00FB58F9">
            <w:pPr>
              <w:pStyle w:val="Tablehead"/>
              <w:keepLines/>
              <w:rPr>
                <w:color w:val="000000"/>
                <w:lang w:eastAsia="ko-KR"/>
              </w:rPr>
            </w:pPr>
            <w:r w:rsidRPr="00EF0670">
              <w:rPr>
                <w:lang w:eastAsia="ko-KR"/>
              </w:rPr>
              <w:t>Values</w:t>
            </w:r>
          </w:p>
        </w:tc>
      </w:tr>
      <w:tr w:rsidR="00707C3E" w:rsidRPr="00EF0670" w14:paraId="686B9A92" w14:textId="77777777" w:rsidTr="00FB58F9">
        <w:trPr>
          <w:trHeight w:val="274"/>
          <w:jc w:val="center"/>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0362AFB3" w14:textId="77777777" w:rsidR="00707C3E" w:rsidRPr="00EF0670" w:rsidRDefault="00707C3E" w:rsidP="00FB58F9">
            <w:pPr>
              <w:overflowPunct/>
              <w:autoSpaceDE/>
              <w:autoSpaceDN/>
              <w:adjustRightInd/>
              <w:spacing w:before="0"/>
              <w:rPr>
                <w:rFonts w:ascii="Times New Roman Bold" w:hAnsi="Times New Roman Bold" w:cs="Times New Roman Bold"/>
                <w:b/>
                <w:sz w:val="20"/>
                <w:lang w:eastAsia="ko-KR"/>
              </w:rPr>
            </w:pPr>
          </w:p>
        </w:tc>
        <w:tc>
          <w:tcPr>
            <w:tcW w:w="2983" w:type="dxa"/>
            <w:vMerge w:val="restart"/>
            <w:tcBorders>
              <w:top w:val="single" w:sz="4" w:space="0" w:color="auto"/>
              <w:left w:val="single" w:sz="4" w:space="0" w:color="000000"/>
              <w:bottom w:val="single" w:sz="4" w:space="0" w:color="000000"/>
              <w:right w:val="single" w:sz="4" w:space="0" w:color="000000"/>
            </w:tcBorders>
            <w:vAlign w:val="center"/>
            <w:hideMark/>
          </w:tcPr>
          <w:p w14:paraId="7BFB2B08" w14:textId="77777777" w:rsidR="00707C3E" w:rsidRPr="00EF0670" w:rsidRDefault="00707C3E" w:rsidP="00FB58F9">
            <w:pPr>
              <w:pStyle w:val="Tablehead"/>
              <w:keepLines/>
              <w:rPr>
                <w:rFonts w:eastAsia="GulimChe"/>
                <w:lang w:eastAsia="ko-KR"/>
              </w:rPr>
            </w:pPr>
            <w:r w:rsidRPr="00EF0670">
              <w:rPr>
                <w:rFonts w:eastAsia="GulimChe"/>
                <w:lang w:eastAsia="ko-KR"/>
              </w:rPr>
              <w:t>Optical spectrum (informative)</w:t>
            </w:r>
          </w:p>
        </w:tc>
        <w:tc>
          <w:tcPr>
            <w:tcW w:w="3684" w:type="dxa"/>
            <w:gridSpan w:val="2"/>
            <w:tcBorders>
              <w:top w:val="single" w:sz="4" w:space="0" w:color="000000"/>
              <w:left w:val="single" w:sz="4" w:space="0" w:color="000000"/>
              <w:bottom w:val="single" w:sz="4" w:space="0" w:color="000000"/>
              <w:right w:val="single" w:sz="4" w:space="0" w:color="000000"/>
            </w:tcBorders>
            <w:vAlign w:val="center"/>
            <w:hideMark/>
          </w:tcPr>
          <w:p w14:paraId="6DAEDD45" w14:textId="77777777" w:rsidR="00707C3E" w:rsidRPr="00EF0670" w:rsidRDefault="00707C3E" w:rsidP="00FB58F9">
            <w:pPr>
              <w:pStyle w:val="Tablehead"/>
              <w:keepLines/>
              <w:rPr>
                <w:rFonts w:eastAsia="GulimChe"/>
                <w:lang w:eastAsia="ko-KR"/>
              </w:rPr>
            </w:pPr>
            <w:r w:rsidRPr="00EF0670">
              <w:rPr>
                <w:color w:val="000000"/>
                <w:lang w:eastAsia="ko-KR"/>
              </w:rPr>
              <w:t xml:space="preserve">Chromaticity coordinates </w:t>
            </w:r>
            <w:r w:rsidRPr="00EF0670">
              <w:rPr>
                <w:color w:val="000000"/>
                <w:lang w:eastAsia="ko-KR"/>
              </w:rPr>
              <w:br/>
              <w:t>(CIE, 1931)</w:t>
            </w:r>
          </w:p>
        </w:tc>
      </w:tr>
      <w:tr w:rsidR="00707C3E" w:rsidRPr="00EF0670" w14:paraId="124F73AA" w14:textId="77777777" w:rsidTr="00FB58F9">
        <w:trPr>
          <w:trHeight w:val="273"/>
          <w:jc w:val="center"/>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0315D2A5" w14:textId="77777777" w:rsidR="00707C3E" w:rsidRPr="00EF0670" w:rsidRDefault="00707C3E" w:rsidP="00FB58F9">
            <w:pPr>
              <w:overflowPunct/>
              <w:autoSpaceDE/>
              <w:autoSpaceDN/>
              <w:adjustRightInd/>
              <w:spacing w:before="0"/>
              <w:rPr>
                <w:rFonts w:ascii="Times New Roman Bold" w:hAnsi="Times New Roman Bold" w:cs="Times New Roman Bold"/>
                <w:b/>
                <w:sz w:val="20"/>
                <w:lang w:eastAsia="ko-KR"/>
              </w:rPr>
            </w:pPr>
          </w:p>
        </w:tc>
        <w:tc>
          <w:tcPr>
            <w:tcW w:w="2983" w:type="dxa"/>
            <w:vMerge/>
            <w:tcBorders>
              <w:top w:val="single" w:sz="4" w:space="0" w:color="auto"/>
              <w:left w:val="single" w:sz="4" w:space="0" w:color="000000"/>
              <w:bottom w:val="single" w:sz="4" w:space="0" w:color="000000"/>
              <w:right w:val="single" w:sz="4" w:space="0" w:color="000000"/>
            </w:tcBorders>
            <w:vAlign w:val="center"/>
            <w:hideMark/>
          </w:tcPr>
          <w:p w14:paraId="773EC43A" w14:textId="77777777" w:rsidR="00707C3E" w:rsidRPr="00EF0670" w:rsidRDefault="00707C3E" w:rsidP="00FB58F9">
            <w:pPr>
              <w:overflowPunct/>
              <w:autoSpaceDE/>
              <w:autoSpaceDN/>
              <w:adjustRightInd/>
              <w:spacing w:before="0"/>
              <w:rPr>
                <w:rFonts w:ascii="Times New Roman Bold" w:eastAsia="GulimChe" w:hAnsi="Times New Roman Bold" w:cs="Times New Roman Bold"/>
                <w:b/>
                <w:sz w:val="20"/>
                <w:lang w:eastAsia="ko-KR"/>
              </w:rPr>
            </w:pP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3DFADF6E" w14:textId="77777777" w:rsidR="00707C3E" w:rsidRPr="00EF0670" w:rsidRDefault="00707C3E" w:rsidP="00FB58F9">
            <w:pPr>
              <w:pStyle w:val="Tablehead"/>
              <w:keepLines/>
              <w:rPr>
                <w:rFonts w:eastAsia="GulimChe"/>
                <w:i/>
                <w:iCs/>
                <w:lang w:eastAsia="ko-KR"/>
              </w:rPr>
            </w:pPr>
            <w:r w:rsidRPr="00EF0670">
              <w:rPr>
                <w:rFonts w:eastAsia="GulimChe"/>
                <w:i/>
                <w:iCs/>
                <w:lang w:eastAsia="ko-KR"/>
              </w:rPr>
              <w:t>x</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C5A6131" w14:textId="77777777" w:rsidR="00707C3E" w:rsidRPr="00EF0670" w:rsidRDefault="00707C3E" w:rsidP="00FB58F9">
            <w:pPr>
              <w:pStyle w:val="Tablehead"/>
              <w:keepLines/>
              <w:rPr>
                <w:rFonts w:eastAsia="GulimChe"/>
                <w:i/>
                <w:iCs/>
                <w:lang w:eastAsia="ko-KR"/>
              </w:rPr>
            </w:pPr>
            <w:r w:rsidRPr="00EF0670">
              <w:rPr>
                <w:rFonts w:eastAsia="GulimChe"/>
                <w:i/>
                <w:iCs/>
                <w:lang w:eastAsia="ko-KR"/>
              </w:rPr>
              <w:t>y</w:t>
            </w:r>
          </w:p>
        </w:tc>
      </w:tr>
      <w:tr w:rsidR="00707C3E" w:rsidRPr="00EF0670" w14:paraId="4F65AA5F" w14:textId="77777777" w:rsidTr="00FB58F9">
        <w:trPr>
          <w:trHeight w:val="76"/>
          <w:jc w:val="center"/>
        </w:trPr>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0D14F297" w14:textId="77777777" w:rsidR="00707C3E" w:rsidRPr="00EF0670" w:rsidRDefault="00707C3E" w:rsidP="00FB58F9">
            <w:pPr>
              <w:pStyle w:val="Tabletext"/>
              <w:jc w:val="center"/>
              <w:rPr>
                <w:rFonts w:eastAsia="MS Mincho"/>
                <w:lang w:eastAsia="ko-KR"/>
              </w:rPr>
            </w:pPr>
            <w:r w:rsidRPr="00EF0670">
              <w:rPr>
                <w:lang w:eastAsia="ko-KR"/>
              </w:rPr>
              <w:t>Primary colours</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77AB3650" w14:textId="77777777" w:rsidR="00707C3E" w:rsidRPr="00EF0670" w:rsidRDefault="00707C3E" w:rsidP="00FB58F9">
            <w:pPr>
              <w:pStyle w:val="Tabletext"/>
              <w:jc w:val="center"/>
              <w:rPr>
                <w:lang w:eastAsia="ko-KR"/>
              </w:rPr>
            </w:pPr>
            <w:r w:rsidRPr="00EF0670">
              <w:rPr>
                <w:rFonts w:eastAsia="GulimChe"/>
              </w:rPr>
              <w:t>Red</w:t>
            </w:r>
            <w:r w:rsidRPr="00EF0670">
              <w:rPr>
                <w:rFonts w:eastAsia="GulimChe"/>
                <w:lang w:eastAsia="ko-KR"/>
              </w:rPr>
              <w:t xml:space="preserve"> primary (R)</w:t>
            </w:r>
          </w:p>
        </w:tc>
        <w:tc>
          <w:tcPr>
            <w:tcW w:w="2983" w:type="dxa"/>
            <w:tcBorders>
              <w:top w:val="single" w:sz="4" w:space="0" w:color="000000"/>
              <w:left w:val="single" w:sz="4" w:space="0" w:color="000000"/>
              <w:bottom w:val="single" w:sz="4" w:space="0" w:color="000000"/>
              <w:right w:val="single" w:sz="4" w:space="0" w:color="000000"/>
            </w:tcBorders>
            <w:vAlign w:val="center"/>
            <w:hideMark/>
          </w:tcPr>
          <w:p w14:paraId="7E4F8263" w14:textId="77777777" w:rsidR="00707C3E" w:rsidRPr="00EF0670" w:rsidRDefault="00707C3E" w:rsidP="00FB58F9">
            <w:pPr>
              <w:pStyle w:val="Tabletext"/>
              <w:jc w:val="center"/>
              <w:rPr>
                <w:rFonts w:eastAsia="GulimChe"/>
                <w:lang w:eastAsia="ko-KR"/>
              </w:rPr>
            </w:pPr>
            <w:r w:rsidRPr="00EF0670">
              <w:rPr>
                <w:rFonts w:eastAsia="GulimChe"/>
                <w:lang w:eastAsia="ko-KR"/>
              </w:rPr>
              <w:t>monochromatic 630 nm</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4B49FC63" w14:textId="77777777" w:rsidR="00707C3E" w:rsidRPr="00EF0670" w:rsidRDefault="00707C3E" w:rsidP="00FB58F9">
            <w:pPr>
              <w:pStyle w:val="Tabletext"/>
              <w:jc w:val="center"/>
              <w:rPr>
                <w:rFonts w:eastAsia="GulimChe"/>
                <w:lang w:eastAsia="ko-KR"/>
              </w:rPr>
            </w:pPr>
            <w:r w:rsidRPr="00EF0670">
              <w:rPr>
                <w:rFonts w:eastAsia="GulimChe"/>
              </w:rPr>
              <w:t>0.70</w:t>
            </w:r>
            <w:r w:rsidRPr="00EF0670">
              <w:t>8</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0643582" w14:textId="77777777" w:rsidR="00707C3E" w:rsidRPr="00EF0670" w:rsidRDefault="00707C3E" w:rsidP="00FB58F9">
            <w:pPr>
              <w:pStyle w:val="Tabletext"/>
              <w:jc w:val="center"/>
              <w:rPr>
                <w:rFonts w:eastAsia="GulimChe"/>
                <w:lang w:eastAsia="ko-KR"/>
              </w:rPr>
            </w:pPr>
            <w:r w:rsidRPr="00EF0670">
              <w:rPr>
                <w:rFonts w:eastAsia="GulimChe"/>
              </w:rPr>
              <w:t>0.292</w:t>
            </w:r>
          </w:p>
        </w:tc>
      </w:tr>
      <w:tr w:rsidR="00707C3E" w:rsidRPr="00EF0670" w14:paraId="55456F93" w14:textId="77777777" w:rsidTr="00FB58F9">
        <w:trPr>
          <w:trHeight w:val="73"/>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0A45D8F4" w14:textId="77777777" w:rsidR="00707C3E" w:rsidRPr="00EF0670" w:rsidRDefault="00707C3E" w:rsidP="00FB58F9">
            <w:pPr>
              <w:overflowPunct/>
              <w:autoSpaceDE/>
              <w:autoSpaceDN/>
              <w:adjustRightInd/>
              <w:spacing w:before="0"/>
              <w:rPr>
                <w:sz w:val="20"/>
                <w:lang w:eastAsia="ko-KR"/>
              </w:rPr>
            </w:pP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34A0C555" w14:textId="77777777" w:rsidR="00707C3E" w:rsidRPr="00EF0670" w:rsidRDefault="00707C3E" w:rsidP="00FB58F9">
            <w:pPr>
              <w:pStyle w:val="Tabletext"/>
              <w:jc w:val="center"/>
              <w:rPr>
                <w:rFonts w:eastAsia="MS Mincho"/>
                <w:lang w:eastAsia="ko-KR"/>
              </w:rPr>
            </w:pPr>
            <w:r w:rsidRPr="00EF0670">
              <w:rPr>
                <w:rFonts w:eastAsia="GulimChe"/>
              </w:rPr>
              <w:t>Green</w:t>
            </w:r>
            <w:r w:rsidRPr="00EF0670">
              <w:rPr>
                <w:rFonts w:eastAsia="GulimChe"/>
                <w:lang w:eastAsia="ko-KR"/>
              </w:rPr>
              <w:t xml:space="preserve"> primary (G)</w:t>
            </w:r>
          </w:p>
        </w:tc>
        <w:tc>
          <w:tcPr>
            <w:tcW w:w="2983" w:type="dxa"/>
            <w:tcBorders>
              <w:top w:val="single" w:sz="4" w:space="0" w:color="000000"/>
              <w:left w:val="single" w:sz="4" w:space="0" w:color="000000"/>
              <w:bottom w:val="single" w:sz="4" w:space="0" w:color="000000"/>
              <w:right w:val="single" w:sz="4" w:space="0" w:color="000000"/>
            </w:tcBorders>
            <w:vAlign w:val="center"/>
            <w:hideMark/>
          </w:tcPr>
          <w:p w14:paraId="16BF2CAB" w14:textId="77777777" w:rsidR="00707C3E" w:rsidRPr="00EF0670" w:rsidRDefault="00707C3E" w:rsidP="00FB58F9">
            <w:pPr>
              <w:pStyle w:val="Tabletext"/>
              <w:jc w:val="center"/>
              <w:rPr>
                <w:rFonts w:eastAsia="GulimChe"/>
                <w:lang w:eastAsia="ko-KR"/>
              </w:rPr>
            </w:pPr>
            <w:r w:rsidRPr="00EF0670">
              <w:rPr>
                <w:rFonts w:eastAsia="GulimChe"/>
                <w:lang w:eastAsia="ko-KR"/>
              </w:rPr>
              <w:t>monochromatic 532 nm</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3F2146FB" w14:textId="77777777" w:rsidR="00707C3E" w:rsidRPr="00EF0670" w:rsidRDefault="00707C3E" w:rsidP="00FB58F9">
            <w:pPr>
              <w:pStyle w:val="Tabletext"/>
              <w:jc w:val="center"/>
              <w:rPr>
                <w:rFonts w:eastAsia="GulimChe"/>
                <w:lang w:eastAsia="ko-KR"/>
              </w:rPr>
            </w:pPr>
            <w:r w:rsidRPr="00EF0670">
              <w:rPr>
                <w:rFonts w:eastAsia="GulimChe"/>
              </w:rPr>
              <w:t>0.170</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AACE120" w14:textId="77777777" w:rsidR="00707C3E" w:rsidRPr="00EF0670" w:rsidRDefault="00707C3E" w:rsidP="00FB58F9">
            <w:pPr>
              <w:pStyle w:val="Tabletext"/>
              <w:jc w:val="center"/>
              <w:rPr>
                <w:rFonts w:eastAsia="GulimChe"/>
                <w:lang w:eastAsia="ko-KR"/>
              </w:rPr>
            </w:pPr>
            <w:r w:rsidRPr="00EF0670">
              <w:rPr>
                <w:rFonts w:eastAsia="GulimChe"/>
              </w:rPr>
              <w:t>0.79</w:t>
            </w:r>
            <w:r w:rsidRPr="00EF0670">
              <w:t>7</w:t>
            </w:r>
          </w:p>
        </w:tc>
      </w:tr>
      <w:tr w:rsidR="00707C3E" w:rsidRPr="00EF0670" w14:paraId="0F6936B6" w14:textId="77777777" w:rsidTr="00FB58F9">
        <w:trPr>
          <w:trHeight w:val="73"/>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63D64A6B" w14:textId="77777777" w:rsidR="00707C3E" w:rsidRPr="00EF0670" w:rsidRDefault="00707C3E" w:rsidP="00FB58F9">
            <w:pPr>
              <w:overflowPunct/>
              <w:autoSpaceDE/>
              <w:autoSpaceDN/>
              <w:adjustRightInd/>
              <w:spacing w:before="0"/>
              <w:rPr>
                <w:sz w:val="20"/>
                <w:lang w:eastAsia="ko-KR"/>
              </w:rPr>
            </w:pP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2EF1D9EB" w14:textId="77777777" w:rsidR="00707C3E" w:rsidRPr="00EF0670" w:rsidRDefault="00707C3E" w:rsidP="00FB58F9">
            <w:pPr>
              <w:pStyle w:val="Tabletext"/>
              <w:jc w:val="center"/>
              <w:rPr>
                <w:rFonts w:eastAsia="MS Mincho"/>
                <w:lang w:eastAsia="ko-KR"/>
              </w:rPr>
            </w:pPr>
            <w:r w:rsidRPr="00EF0670">
              <w:rPr>
                <w:rFonts w:eastAsia="GulimChe"/>
              </w:rPr>
              <w:t>Blue</w:t>
            </w:r>
            <w:r w:rsidRPr="00EF0670">
              <w:rPr>
                <w:rFonts w:eastAsia="GulimChe"/>
                <w:lang w:eastAsia="ko-KR"/>
              </w:rPr>
              <w:t xml:space="preserve"> primary (B)</w:t>
            </w:r>
          </w:p>
        </w:tc>
        <w:tc>
          <w:tcPr>
            <w:tcW w:w="2983" w:type="dxa"/>
            <w:tcBorders>
              <w:top w:val="single" w:sz="4" w:space="0" w:color="000000"/>
              <w:left w:val="single" w:sz="4" w:space="0" w:color="000000"/>
              <w:bottom w:val="single" w:sz="4" w:space="0" w:color="000000"/>
              <w:right w:val="single" w:sz="4" w:space="0" w:color="000000"/>
            </w:tcBorders>
            <w:vAlign w:val="center"/>
            <w:hideMark/>
          </w:tcPr>
          <w:p w14:paraId="0F41C731" w14:textId="77777777" w:rsidR="00707C3E" w:rsidRPr="00EF0670" w:rsidRDefault="00707C3E" w:rsidP="00FB58F9">
            <w:pPr>
              <w:pStyle w:val="Tabletext"/>
              <w:jc w:val="center"/>
              <w:rPr>
                <w:rFonts w:eastAsia="GulimChe"/>
                <w:lang w:eastAsia="ko-KR"/>
              </w:rPr>
            </w:pPr>
            <w:r w:rsidRPr="00EF0670">
              <w:rPr>
                <w:rFonts w:eastAsia="GulimChe"/>
                <w:lang w:eastAsia="ko-KR"/>
              </w:rPr>
              <w:t>monochromatic 467 nm</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69836CD4" w14:textId="77777777" w:rsidR="00707C3E" w:rsidRPr="00EF0670" w:rsidRDefault="00707C3E" w:rsidP="00FB58F9">
            <w:pPr>
              <w:pStyle w:val="Tabletext"/>
              <w:jc w:val="center"/>
              <w:rPr>
                <w:rFonts w:eastAsia="GulimChe"/>
                <w:lang w:eastAsia="ko-KR"/>
              </w:rPr>
            </w:pPr>
            <w:r w:rsidRPr="00EF0670">
              <w:rPr>
                <w:rFonts w:eastAsia="GulimChe"/>
              </w:rPr>
              <w:t>0.131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1F2EC89" w14:textId="77777777" w:rsidR="00707C3E" w:rsidRPr="00EF0670" w:rsidRDefault="00707C3E" w:rsidP="00FB58F9">
            <w:pPr>
              <w:pStyle w:val="Tabletext"/>
              <w:jc w:val="center"/>
              <w:rPr>
                <w:rFonts w:eastAsia="GulimChe"/>
                <w:lang w:eastAsia="ko-KR"/>
              </w:rPr>
            </w:pPr>
            <w:r w:rsidRPr="00EF0670">
              <w:rPr>
                <w:rFonts w:eastAsia="GulimChe"/>
              </w:rPr>
              <w:t>0.04</w:t>
            </w:r>
            <w:r w:rsidRPr="00EF0670">
              <w:t>6</w:t>
            </w:r>
          </w:p>
        </w:tc>
      </w:tr>
      <w:tr w:rsidR="00707C3E" w:rsidRPr="00EF0670" w14:paraId="566C0FED" w14:textId="77777777" w:rsidTr="00FB58F9">
        <w:trPr>
          <w:trHeight w:val="73"/>
          <w:jc w:val="center"/>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5264B02B" w14:textId="77777777" w:rsidR="00707C3E" w:rsidRPr="00EF0670" w:rsidRDefault="00707C3E" w:rsidP="00FB58F9">
            <w:pPr>
              <w:pStyle w:val="Tabletext"/>
              <w:jc w:val="center"/>
              <w:rPr>
                <w:rFonts w:eastAsia="MS Mincho"/>
                <w:lang w:eastAsia="ko-KR"/>
              </w:rPr>
            </w:pPr>
            <w:r w:rsidRPr="00EF0670">
              <w:rPr>
                <w:lang w:eastAsia="ko-KR"/>
              </w:rPr>
              <w:t>Reference white</w:t>
            </w:r>
          </w:p>
        </w:tc>
        <w:tc>
          <w:tcPr>
            <w:tcW w:w="2983" w:type="dxa"/>
            <w:tcBorders>
              <w:top w:val="single" w:sz="4" w:space="0" w:color="000000"/>
              <w:left w:val="single" w:sz="4" w:space="0" w:color="000000"/>
              <w:bottom w:val="single" w:sz="4" w:space="0" w:color="000000"/>
              <w:right w:val="single" w:sz="4" w:space="0" w:color="000000"/>
            </w:tcBorders>
            <w:vAlign w:val="center"/>
            <w:hideMark/>
          </w:tcPr>
          <w:p w14:paraId="7BC74978" w14:textId="77777777" w:rsidR="00707C3E" w:rsidRPr="00EF0670" w:rsidRDefault="00707C3E" w:rsidP="00FB58F9">
            <w:pPr>
              <w:pStyle w:val="Tabletext"/>
              <w:jc w:val="center"/>
              <w:rPr>
                <w:rFonts w:eastAsia="GulimChe"/>
              </w:rPr>
            </w:pPr>
            <w:r w:rsidRPr="00EF0670">
              <w:rPr>
                <w:rFonts w:eastAsia="GulimChe"/>
              </w:rPr>
              <w:t>D65 per</w:t>
            </w:r>
          </w:p>
          <w:p w14:paraId="275A775B" w14:textId="77777777" w:rsidR="00707C3E" w:rsidRPr="00EF0670" w:rsidRDefault="00707C3E" w:rsidP="00FB58F9">
            <w:pPr>
              <w:pStyle w:val="Tabletext"/>
              <w:jc w:val="center"/>
              <w:rPr>
                <w:rFonts w:eastAsia="GulimChe"/>
              </w:rPr>
            </w:pPr>
            <w:r w:rsidRPr="00EF0670">
              <w:rPr>
                <w:rFonts w:eastAsia="GulimChe"/>
              </w:rPr>
              <w:t>ISO 11664-2:2007</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54A1B426" w14:textId="77777777" w:rsidR="00707C3E" w:rsidRPr="00EF0670" w:rsidRDefault="00707C3E" w:rsidP="00FB58F9">
            <w:pPr>
              <w:pStyle w:val="Tabletext"/>
              <w:jc w:val="center"/>
              <w:rPr>
                <w:rFonts w:eastAsia="GulimChe"/>
                <w:lang w:eastAsia="ko-KR"/>
              </w:rPr>
            </w:pPr>
            <w:r w:rsidRPr="00EF0670">
              <w:rPr>
                <w:rFonts w:eastAsia="GulimChe"/>
              </w:rPr>
              <w:t>0.3127</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A890AB1" w14:textId="77777777" w:rsidR="00707C3E" w:rsidRPr="00EF0670" w:rsidRDefault="00707C3E" w:rsidP="00FB58F9">
            <w:pPr>
              <w:pStyle w:val="Tabletext"/>
              <w:jc w:val="center"/>
              <w:rPr>
                <w:rFonts w:eastAsia="GulimChe"/>
                <w:lang w:eastAsia="ko-KR"/>
              </w:rPr>
            </w:pPr>
            <w:r w:rsidRPr="00EF0670">
              <w:rPr>
                <w:rFonts w:eastAsia="GulimChe"/>
              </w:rPr>
              <w:t>0.3290</w:t>
            </w:r>
          </w:p>
        </w:tc>
      </w:tr>
      <w:tr w:rsidR="00707C3E" w:rsidRPr="00EF0670" w14:paraId="3A7B0B9D" w14:textId="77777777" w:rsidTr="00FB58F9">
        <w:trPr>
          <w:trHeight w:val="73"/>
          <w:jc w:val="center"/>
        </w:trPr>
        <w:tc>
          <w:tcPr>
            <w:tcW w:w="2972" w:type="dxa"/>
            <w:gridSpan w:val="2"/>
            <w:tcBorders>
              <w:top w:val="single" w:sz="4" w:space="0" w:color="000000"/>
              <w:left w:val="single" w:sz="4" w:space="0" w:color="000000"/>
              <w:bottom w:val="single" w:sz="4" w:space="0" w:color="000000"/>
              <w:right w:val="single" w:sz="4" w:space="0" w:color="000000"/>
            </w:tcBorders>
            <w:hideMark/>
          </w:tcPr>
          <w:p w14:paraId="0AABD8F5" w14:textId="77777777" w:rsidR="00707C3E" w:rsidRPr="00EF0670" w:rsidRDefault="00707C3E" w:rsidP="00FB58F9">
            <w:pPr>
              <w:pStyle w:val="Tabletext"/>
              <w:jc w:val="center"/>
              <w:rPr>
                <w:rFonts w:eastAsia="MS Mincho"/>
              </w:rPr>
            </w:pPr>
            <w:r w:rsidRPr="00EF0670">
              <w:t>Colour Matching Functions</w:t>
            </w:r>
          </w:p>
        </w:tc>
        <w:tc>
          <w:tcPr>
            <w:tcW w:w="6667" w:type="dxa"/>
            <w:gridSpan w:val="3"/>
            <w:tcBorders>
              <w:top w:val="single" w:sz="4" w:space="0" w:color="000000"/>
              <w:left w:val="single" w:sz="4" w:space="0" w:color="000000"/>
              <w:bottom w:val="single" w:sz="4" w:space="0" w:color="000000"/>
              <w:right w:val="single" w:sz="4" w:space="0" w:color="000000"/>
            </w:tcBorders>
            <w:hideMark/>
          </w:tcPr>
          <w:p w14:paraId="7DAEEB05" w14:textId="77777777" w:rsidR="00707C3E" w:rsidRPr="00EF0670" w:rsidRDefault="00707C3E" w:rsidP="00FB58F9">
            <w:pPr>
              <w:pStyle w:val="Tabletext"/>
              <w:jc w:val="center"/>
            </w:pPr>
            <w:r w:rsidRPr="00EF0670">
              <w:t>CIE 1931</w:t>
            </w:r>
          </w:p>
        </w:tc>
      </w:tr>
    </w:tbl>
    <w:p w14:paraId="1D7955FC" w14:textId="77777777" w:rsidR="00707C3E" w:rsidRPr="00EF0670" w:rsidRDefault="00707C3E" w:rsidP="00707C3E">
      <w:pPr>
        <w:pStyle w:val="TableNo"/>
      </w:pPr>
      <w:r w:rsidRPr="00EF0670">
        <w:rPr>
          <w:lang w:eastAsia="ko-KR"/>
        </w:rPr>
        <w:lastRenderedPageBreak/>
        <w:t>TABLE 3</w:t>
      </w:r>
    </w:p>
    <w:p w14:paraId="52E4771E" w14:textId="77777777" w:rsidR="00707C3E" w:rsidRPr="00EF0670" w:rsidRDefault="00707C3E" w:rsidP="00707C3E">
      <w:pPr>
        <w:pStyle w:val="Tabletitle"/>
        <w:rPr>
          <w:lang w:eastAsia="ko-KR"/>
        </w:rPr>
      </w:pPr>
      <w:r w:rsidRPr="00EF0670">
        <w:rPr>
          <w:lang w:eastAsia="ko-KR"/>
        </w:rPr>
        <w:t xml:space="preserve">Signal </w:t>
      </w:r>
      <w:r w:rsidRPr="00EF0670">
        <w:t>format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525"/>
      </w:tblGrid>
      <w:tr w:rsidR="00707C3E" w:rsidRPr="00EF0670" w14:paraId="070FA7DF"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1BA9A2F" w14:textId="77777777" w:rsidR="00707C3E" w:rsidRPr="00EF0670" w:rsidRDefault="00707C3E" w:rsidP="00FB58F9">
            <w:pPr>
              <w:pStyle w:val="Tablehead"/>
              <w:rPr>
                <w:lang w:eastAsia="ko-KR"/>
              </w:rPr>
            </w:pPr>
            <w:r w:rsidRPr="00EF0670">
              <w:rPr>
                <w:lang w:eastAsia="ko-KR"/>
              </w:rPr>
              <w:t>Parameter</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0EB9C037" w14:textId="77777777" w:rsidR="00707C3E" w:rsidRPr="00EF0670" w:rsidRDefault="00707C3E" w:rsidP="00FB58F9">
            <w:pPr>
              <w:pStyle w:val="Tablehead"/>
              <w:rPr>
                <w:lang w:eastAsia="ko-KR"/>
              </w:rPr>
            </w:pPr>
            <w:r w:rsidRPr="00EF0670">
              <w:rPr>
                <w:lang w:eastAsia="ko-KR"/>
              </w:rPr>
              <w:t>Values</w:t>
            </w:r>
          </w:p>
        </w:tc>
      </w:tr>
      <w:tr w:rsidR="00707C3E" w:rsidRPr="00B97974" w14:paraId="55660101"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EA7B7BA" w14:textId="77777777" w:rsidR="00707C3E" w:rsidRPr="00EF0670" w:rsidRDefault="00707C3E" w:rsidP="000066C0">
            <w:pPr>
              <w:pStyle w:val="Tabletext"/>
              <w:keepNext/>
              <w:keepLines/>
              <w:rPr>
                <w:lang w:eastAsia="ko-KR"/>
              </w:rPr>
            </w:pPr>
            <w:r w:rsidRPr="00EF0670">
              <w:rPr>
                <w:lang w:eastAsia="ko-KR"/>
              </w:rPr>
              <w:t xml:space="preserve">Signal </w:t>
            </w:r>
            <w:r w:rsidRPr="00EF0670">
              <w:t>format</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034050BC" w14:textId="77777777" w:rsidR="00707C3E" w:rsidRPr="000066C0" w:rsidRDefault="00707C3E" w:rsidP="000066C0">
            <w:pPr>
              <w:pStyle w:val="Tabletext"/>
              <w:keepNext/>
              <w:keepLines/>
              <w:jc w:val="center"/>
              <w:rPr>
                <w:caps/>
                <w:highlight w:val="yellow"/>
                <w:vertAlign w:val="superscript"/>
                <w:lang w:val="fr-FR" w:eastAsia="ko-KR"/>
              </w:rPr>
            </w:pPr>
            <w:r w:rsidRPr="000066C0">
              <w:rPr>
                <w:i/>
                <w:iCs/>
                <w:lang w:val="fr-FR" w:eastAsia="ko-KR"/>
              </w:rPr>
              <w:t>R</w:t>
            </w:r>
            <w:r w:rsidRPr="000066C0">
              <w:rPr>
                <w:i/>
                <w:lang w:val="fr-FR" w:eastAsia="ko-KR"/>
              </w:rPr>
              <w:t>’</w:t>
            </w:r>
            <w:r w:rsidRPr="000066C0">
              <w:rPr>
                <w:i/>
                <w:iCs/>
                <w:lang w:val="fr-FR" w:eastAsia="ko-KR"/>
              </w:rPr>
              <w:t>G</w:t>
            </w:r>
            <w:r w:rsidRPr="000066C0">
              <w:rPr>
                <w:i/>
                <w:lang w:val="fr-FR" w:eastAsia="ko-KR"/>
              </w:rPr>
              <w:t>’</w:t>
            </w:r>
            <w:r w:rsidRPr="000066C0">
              <w:rPr>
                <w:i/>
                <w:iCs/>
                <w:lang w:val="fr-FR" w:eastAsia="ko-KR"/>
              </w:rPr>
              <w:t>B</w:t>
            </w:r>
            <w:r w:rsidRPr="000066C0">
              <w:rPr>
                <w:i/>
                <w:lang w:val="fr-FR" w:eastAsia="ko-KR"/>
              </w:rPr>
              <w:t>’</w:t>
            </w:r>
            <w:r w:rsidRPr="000066C0">
              <w:rPr>
                <w:lang w:val="fr-FR" w:eastAsia="ko-KR"/>
              </w:rPr>
              <w:t xml:space="preserve">, </w:t>
            </w:r>
            <w:r w:rsidRPr="000066C0">
              <w:rPr>
                <w:i/>
                <w:lang w:val="fr-FR" w:eastAsia="ko-KR"/>
              </w:rPr>
              <w:t>Y'C'</w:t>
            </w:r>
            <w:r w:rsidRPr="000066C0">
              <w:rPr>
                <w:i/>
                <w:vertAlign w:val="subscript"/>
                <w:lang w:val="fr-FR" w:eastAsia="ko-KR"/>
              </w:rPr>
              <w:t>B</w:t>
            </w:r>
            <w:r w:rsidRPr="000066C0">
              <w:rPr>
                <w:i/>
                <w:lang w:val="fr-FR" w:eastAsia="ko-KR"/>
              </w:rPr>
              <w:t>C'</w:t>
            </w:r>
            <w:r w:rsidRPr="000066C0">
              <w:rPr>
                <w:i/>
                <w:vertAlign w:val="subscript"/>
                <w:lang w:val="fr-FR" w:eastAsia="ko-KR"/>
              </w:rPr>
              <w:t xml:space="preserve">R </w:t>
            </w:r>
            <w:r w:rsidRPr="000066C0">
              <w:rPr>
                <w:lang w:val="fr-FR" w:eastAsia="ko-KR"/>
              </w:rPr>
              <w:t xml:space="preserve">(non-constant luminance), </w:t>
            </w:r>
            <w:r w:rsidRPr="000066C0">
              <w:rPr>
                <w:i/>
                <w:lang w:val="fr-FR" w:eastAsia="ko-KR"/>
              </w:rPr>
              <w:t>IC</w:t>
            </w:r>
            <w:r w:rsidRPr="000066C0">
              <w:rPr>
                <w:i/>
                <w:vertAlign w:val="subscript"/>
                <w:lang w:val="fr-FR" w:eastAsia="ko-KR"/>
              </w:rPr>
              <w:t>T</w:t>
            </w:r>
            <w:r w:rsidRPr="000066C0">
              <w:rPr>
                <w:i/>
                <w:lang w:val="fr-FR" w:eastAsia="ko-KR"/>
              </w:rPr>
              <w:t>C</w:t>
            </w:r>
            <w:r w:rsidRPr="000066C0">
              <w:rPr>
                <w:i/>
                <w:vertAlign w:val="subscript"/>
                <w:lang w:val="fr-FR" w:eastAsia="ko-KR"/>
              </w:rPr>
              <w:t>P</w:t>
            </w:r>
          </w:p>
        </w:tc>
      </w:tr>
      <w:tr w:rsidR="00707C3E" w:rsidRPr="00EF0670" w14:paraId="7AB834B8"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54172DC" w14:textId="77777777" w:rsidR="00707C3E" w:rsidRPr="00EF0670" w:rsidRDefault="00707C3E" w:rsidP="00FB58F9">
            <w:pPr>
              <w:pStyle w:val="Tabletext"/>
              <w:rPr>
                <w:lang w:eastAsia="ja-JP"/>
              </w:rPr>
            </w:pPr>
            <w:r w:rsidRPr="00EF0670">
              <w:rPr>
                <w:lang w:eastAsia="ja-JP"/>
              </w:rPr>
              <w:t xml:space="preserve">Derivation of </w:t>
            </w:r>
            <w:r w:rsidRPr="00EF0670">
              <w:rPr>
                <w:i/>
                <w:lang w:eastAsia="ja-JP"/>
              </w:rPr>
              <w:t>R'G'B'</w:t>
            </w:r>
            <w:r w:rsidRPr="00EF0670">
              <w:rPr>
                <w:lang w:eastAsia="ja-JP"/>
              </w:rPr>
              <w:t xml:space="preserve">, </w:t>
            </w:r>
            <w:r w:rsidRPr="00EF0670">
              <w:rPr>
                <w:i/>
                <w:lang w:eastAsia="ko-KR"/>
              </w:rPr>
              <w:t>Y'C'</w:t>
            </w:r>
            <w:r w:rsidRPr="00EF0670">
              <w:rPr>
                <w:i/>
                <w:vertAlign w:val="subscript"/>
                <w:lang w:eastAsia="ko-KR"/>
              </w:rPr>
              <w:t>B</w:t>
            </w:r>
            <w:r w:rsidRPr="00EF0670">
              <w:rPr>
                <w:i/>
                <w:lang w:eastAsia="ko-KR"/>
              </w:rPr>
              <w:t>C'</w:t>
            </w:r>
            <w:r w:rsidRPr="00EF0670">
              <w:rPr>
                <w:i/>
                <w:vertAlign w:val="subscript"/>
                <w:lang w:eastAsia="ko-KR"/>
              </w:rPr>
              <w:t>R</w:t>
            </w:r>
            <w:r w:rsidRPr="00EF0670">
              <w:rPr>
                <w:i/>
                <w:lang w:eastAsia="ko-KR"/>
              </w:rPr>
              <w:t xml:space="preserve">, </w:t>
            </w:r>
            <w:r w:rsidRPr="00EF0670">
              <w:rPr>
                <w:lang w:eastAsia="ko-KR"/>
              </w:rPr>
              <w:t>and</w:t>
            </w:r>
            <w:r w:rsidRPr="00EF0670">
              <w:rPr>
                <w:i/>
                <w:lang w:eastAsia="ko-KR"/>
              </w:rPr>
              <w:t xml:space="preserve"> IC</w:t>
            </w:r>
            <w:r w:rsidRPr="00EF0670">
              <w:rPr>
                <w:i/>
                <w:vertAlign w:val="subscript"/>
                <w:lang w:eastAsia="ko-KR"/>
              </w:rPr>
              <w:t>T</w:t>
            </w:r>
            <w:r w:rsidRPr="00EF0670">
              <w:rPr>
                <w:i/>
                <w:lang w:eastAsia="ko-KR"/>
              </w:rPr>
              <w:t>C</w:t>
            </w:r>
            <w:r w:rsidRPr="00EF0670">
              <w:rPr>
                <w:i/>
                <w:vertAlign w:val="subscript"/>
                <w:lang w:eastAsia="ko-KR"/>
              </w:rPr>
              <w:t xml:space="preserve">P </w:t>
            </w:r>
            <w:r w:rsidRPr="00EF0670">
              <w:rPr>
                <w:i/>
                <w:lang w:eastAsia="ko-KR"/>
              </w:rPr>
              <w:t xml:space="preserve">(HDR only) </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7AE03730" w14:textId="77777777" w:rsidR="00707C3E" w:rsidRPr="00EF0670" w:rsidRDefault="00707C3E" w:rsidP="00FB58F9">
            <w:pPr>
              <w:pStyle w:val="Tabletext"/>
              <w:jc w:val="center"/>
              <w:rPr>
                <w:iCs/>
                <w:lang w:eastAsia="ja-JP"/>
              </w:rPr>
            </w:pPr>
            <w:r w:rsidRPr="00EF0670">
              <w:rPr>
                <w:iCs/>
                <w:lang w:eastAsia="ja-JP"/>
              </w:rPr>
              <w:t>Standard dynamic range (SDR): As per Rec. ITU-R BT.2020</w:t>
            </w:r>
          </w:p>
          <w:p w14:paraId="06B22168" w14:textId="77777777" w:rsidR="00707C3E" w:rsidRPr="00EF0670" w:rsidRDefault="00707C3E" w:rsidP="00FB58F9">
            <w:pPr>
              <w:pStyle w:val="Tabletext"/>
              <w:jc w:val="center"/>
              <w:rPr>
                <w:i/>
                <w:iCs/>
                <w:lang w:eastAsia="ja-JP"/>
              </w:rPr>
            </w:pPr>
            <w:r w:rsidRPr="00EF0670">
              <w:rPr>
                <w:iCs/>
                <w:lang w:eastAsia="ja-JP"/>
              </w:rPr>
              <w:t>High dynamic range (HDR): As per Rec. ITU-R BT.2100</w:t>
            </w:r>
          </w:p>
        </w:tc>
      </w:tr>
      <w:tr w:rsidR="00707C3E" w:rsidRPr="00EF0670" w14:paraId="2F4EDB71"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7CB81EA" w14:textId="77777777" w:rsidR="00707C3E" w:rsidRPr="00EF0670" w:rsidRDefault="00707C3E" w:rsidP="00FB58F9">
            <w:pPr>
              <w:pStyle w:val="Tabletext"/>
              <w:rPr>
                <w:lang w:eastAsia="ja-JP"/>
              </w:rPr>
            </w:pPr>
            <w:r w:rsidRPr="00EF0670">
              <w:rPr>
                <w:lang w:eastAsia="ja-JP"/>
              </w:rPr>
              <w:t>Bit depths</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2543A648" w14:textId="77777777" w:rsidR="00707C3E" w:rsidRPr="00EF0670" w:rsidRDefault="00707C3E" w:rsidP="00FB58F9">
            <w:pPr>
              <w:pStyle w:val="Tabletext"/>
              <w:jc w:val="center"/>
              <w:rPr>
                <w:iCs/>
                <w:lang w:eastAsia="ja-JP"/>
              </w:rPr>
            </w:pPr>
            <w:r w:rsidRPr="00EF0670">
              <w:rPr>
                <w:iCs/>
                <w:lang w:eastAsia="ja-JP"/>
              </w:rPr>
              <w:t>10 or 12 bits per component</w:t>
            </w:r>
          </w:p>
        </w:tc>
      </w:tr>
      <w:tr w:rsidR="00707C3E" w:rsidRPr="00EF0670" w14:paraId="7839E08B"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F455C3B" w14:textId="77777777" w:rsidR="00707C3E" w:rsidRPr="00EF0670" w:rsidRDefault="00707C3E" w:rsidP="00FB58F9">
            <w:pPr>
              <w:pStyle w:val="Tabletext"/>
              <w:rPr>
                <w:lang w:eastAsia="ja-JP"/>
              </w:rPr>
            </w:pPr>
            <w:r w:rsidRPr="00EF0670">
              <w:rPr>
                <w:lang w:eastAsia="ja-JP"/>
              </w:rPr>
              <w:t>Colour sub-sampling</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22F05000" w14:textId="77777777" w:rsidR="00707C3E" w:rsidRPr="00EF0670" w:rsidRDefault="00707C3E" w:rsidP="00FB58F9">
            <w:pPr>
              <w:pStyle w:val="Tabletext"/>
              <w:jc w:val="center"/>
              <w:rPr>
                <w:iCs/>
                <w:lang w:eastAsia="ja-JP"/>
              </w:rPr>
            </w:pPr>
            <w:r w:rsidRPr="00EF0670">
              <w:rPr>
                <w:iCs/>
                <w:lang w:eastAsia="ja-JP"/>
              </w:rPr>
              <w:t>As per Table 8 of Rec. ITU-R BT.2100</w:t>
            </w:r>
          </w:p>
        </w:tc>
      </w:tr>
      <w:tr w:rsidR="00707C3E" w:rsidRPr="00EF0670" w14:paraId="09B63A41" w14:textId="77777777" w:rsidTr="00FB58F9">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683ED0" w14:textId="77777777" w:rsidR="00707C3E" w:rsidRPr="00EF0670" w:rsidRDefault="00707C3E" w:rsidP="00FB58F9">
            <w:pPr>
              <w:pStyle w:val="Tabletext"/>
              <w:rPr>
                <w:lang w:eastAsia="ja-JP"/>
              </w:rPr>
            </w:pPr>
            <w:r w:rsidRPr="00EF0670">
              <w:rPr>
                <w:lang w:eastAsia="ja-JP"/>
              </w:rPr>
              <w:t>Digital integer representation</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3D3E9764" w14:textId="77777777" w:rsidR="00707C3E" w:rsidRPr="00EF0670" w:rsidRDefault="00707C3E" w:rsidP="00FB58F9">
            <w:pPr>
              <w:pStyle w:val="Tabletext"/>
              <w:jc w:val="center"/>
              <w:rPr>
                <w:iCs/>
                <w:lang w:eastAsia="ja-JP"/>
              </w:rPr>
            </w:pPr>
            <w:r w:rsidRPr="00EF0670">
              <w:rPr>
                <w:iCs/>
                <w:lang w:eastAsia="ja-JP"/>
              </w:rPr>
              <w:t>As per Table 9 of Rec. ITU-R BT.2100</w:t>
            </w:r>
          </w:p>
          <w:p w14:paraId="2542AB66" w14:textId="77777777" w:rsidR="00707C3E" w:rsidRPr="00EF0670" w:rsidRDefault="00707C3E" w:rsidP="00FB58F9">
            <w:pPr>
              <w:pStyle w:val="Tabletext"/>
              <w:jc w:val="center"/>
              <w:rPr>
                <w:iCs/>
                <w:lang w:eastAsia="ja-JP"/>
              </w:rPr>
            </w:pPr>
            <w:r w:rsidRPr="00EF0670">
              <w:rPr>
                <w:iCs/>
                <w:lang w:eastAsia="ja-JP"/>
              </w:rPr>
              <w:t>(SDR: narrow range, HDR: narrow or full range)</w:t>
            </w:r>
          </w:p>
        </w:tc>
      </w:tr>
      <w:tr w:rsidR="00707C3E" w:rsidRPr="00EF0670" w14:paraId="376129D4" w14:textId="77777777" w:rsidTr="00FB58F9">
        <w:trPr>
          <w:jc w:val="center"/>
        </w:trPr>
        <w:tc>
          <w:tcPr>
            <w:tcW w:w="9639" w:type="dxa"/>
            <w:gridSpan w:val="2"/>
            <w:tcBorders>
              <w:top w:val="single" w:sz="4" w:space="0" w:color="000000"/>
              <w:left w:val="nil"/>
              <w:bottom w:val="nil"/>
              <w:right w:val="nil"/>
            </w:tcBorders>
            <w:vAlign w:val="center"/>
          </w:tcPr>
          <w:p w14:paraId="2EE58D0E" w14:textId="71866E8A" w:rsidR="00707C3E" w:rsidRPr="00EF0670" w:rsidRDefault="00691D3C" w:rsidP="00FB58F9">
            <w:pPr>
              <w:pStyle w:val="Tabletext"/>
              <w:rPr>
                <w:iCs/>
                <w:lang w:eastAsia="ja-JP"/>
              </w:rPr>
            </w:pPr>
            <w:r w:rsidRPr="00EF0670">
              <w:rPr>
                <w:i/>
                <w:iCs/>
              </w:rPr>
              <w:t>Note to Table 3:</w:t>
            </w:r>
            <w:r w:rsidR="00707C3E" w:rsidRPr="00EF0670">
              <w:t xml:space="preserve"> Constant Intensity </w:t>
            </w:r>
            <w:r w:rsidR="00707C3E" w:rsidRPr="00EF0670">
              <w:rPr>
                <w:i/>
                <w:lang w:eastAsia="ko-KR"/>
              </w:rPr>
              <w:t>IC</w:t>
            </w:r>
            <w:r w:rsidR="00707C3E" w:rsidRPr="00EF0670">
              <w:rPr>
                <w:i/>
                <w:vertAlign w:val="subscript"/>
                <w:lang w:eastAsia="ko-KR"/>
              </w:rPr>
              <w:t>T</w:t>
            </w:r>
            <w:r w:rsidR="00707C3E" w:rsidRPr="00EF0670">
              <w:rPr>
                <w:i/>
                <w:lang w:eastAsia="ko-KR"/>
              </w:rPr>
              <w:t>C</w:t>
            </w:r>
            <w:r w:rsidR="00707C3E" w:rsidRPr="00EF0670">
              <w:rPr>
                <w:i/>
                <w:vertAlign w:val="subscript"/>
                <w:lang w:eastAsia="ko-KR"/>
              </w:rPr>
              <w:t>P</w:t>
            </w:r>
            <w:r w:rsidR="00707C3E" w:rsidRPr="00EF0670">
              <w:rPr>
                <w:i/>
                <w:lang w:eastAsia="ko-KR"/>
              </w:rPr>
              <w:t xml:space="preserve"> signal </w:t>
            </w:r>
            <w:r w:rsidR="00707C3E" w:rsidRPr="00EF0670">
              <w:rPr>
                <w:lang w:eastAsia="ko-KR"/>
              </w:rPr>
              <w:t>format was initially introduced in 2016 in Recommendation ITU</w:t>
            </w:r>
            <w:r w:rsidR="00707C3E" w:rsidRPr="00EF0670">
              <w:rPr>
                <w:lang w:eastAsia="ko-KR"/>
              </w:rPr>
              <w:noBreakHyphen/>
              <w:t>R BT.2100. This signal format should not be used for programme exchange unless all parties agree.</w:t>
            </w:r>
          </w:p>
        </w:tc>
      </w:tr>
    </w:tbl>
    <w:p w14:paraId="258E7864" w14:textId="77777777" w:rsidR="00707C3E" w:rsidRPr="00EF0670" w:rsidRDefault="00707C3E" w:rsidP="00707C3E">
      <w:pPr>
        <w:pStyle w:val="Tablefin"/>
        <w:rPr>
          <w:rFonts w:eastAsia="Malgun Gothic"/>
          <w:lang w:eastAsia="ko-KR"/>
        </w:rPr>
      </w:pPr>
    </w:p>
    <w:p w14:paraId="65AD6E04" w14:textId="77777777" w:rsidR="00707C3E" w:rsidRPr="00EF0670" w:rsidRDefault="00707C3E" w:rsidP="00707C3E">
      <w:pPr>
        <w:pStyle w:val="Heading1"/>
        <w:rPr>
          <w:rFonts w:eastAsia="MS Mincho"/>
          <w:lang w:eastAsia="ja-JP"/>
        </w:rPr>
      </w:pPr>
      <w:r w:rsidRPr="00EF0670">
        <w:rPr>
          <w:rFonts w:eastAsia="MS Mincho"/>
          <w:lang w:eastAsia="ja-JP"/>
        </w:rPr>
        <w:t>2</w:t>
      </w:r>
      <w:r w:rsidRPr="00EF0670">
        <w:rPr>
          <w:rFonts w:eastAsia="MS Mincho"/>
          <w:lang w:eastAsia="ja-JP"/>
        </w:rPr>
        <w:tab/>
      </w:r>
      <w:r w:rsidRPr="00EF0670">
        <w:rPr>
          <w:rFonts w:eastAsia="MS Mincho"/>
        </w:rPr>
        <w:t>Presentation</w:t>
      </w:r>
      <w:r w:rsidRPr="00EF0670">
        <w:rPr>
          <w:rFonts w:eastAsia="MS Mincho"/>
          <w:lang w:eastAsia="ja-JP"/>
        </w:rPr>
        <w:t xml:space="preserve"> characteristics for 360</w:t>
      </w:r>
      <w:r w:rsidRPr="00EF0670">
        <w:rPr>
          <w:rFonts w:asciiTheme="majorBidi" w:eastAsia="MS Mincho" w:hAnsiTheme="majorBidi" w:cstheme="majorBidi"/>
          <w:vertAlign w:val="superscript"/>
          <w:lang w:eastAsia="zh-CN"/>
        </w:rPr>
        <w:t>o</w:t>
      </w:r>
      <w:r w:rsidRPr="00EF0670">
        <w:rPr>
          <w:rFonts w:eastAsia="MS Mincho"/>
          <w:lang w:eastAsia="ja-JP"/>
        </w:rPr>
        <w:t xml:space="preserve"> images</w:t>
      </w:r>
    </w:p>
    <w:p w14:paraId="4962798D" w14:textId="77777777" w:rsidR="00707C3E" w:rsidRPr="00EF0670" w:rsidRDefault="00707C3E" w:rsidP="00707C3E">
      <w:pPr>
        <w:rPr>
          <w:rFonts w:eastAsia="MS Mincho"/>
          <w:lang w:eastAsia="ko-KR"/>
        </w:rPr>
      </w:pPr>
      <w:r w:rsidRPr="00EF0670">
        <w:rPr>
          <w:lang w:eastAsia="ko-KR"/>
        </w:rPr>
        <w:t>Informative presentation characteristics for 360</w:t>
      </w:r>
      <w:r w:rsidRPr="00EF0670">
        <w:rPr>
          <w:vertAlign w:val="superscript"/>
          <w:lang w:eastAsia="ko-KR"/>
        </w:rPr>
        <w:t>o</w:t>
      </w:r>
      <w:r w:rsidRPr="00EF0670">
        <w:rPr>
          <w:lang w:eastAsia="ko-KR"/>
        </w:rPr>
        <w:t xml:space="preserve"> images are shown in Annex 2.</w:t>
      </w:r>
    </w:p>
    <w:p w14:paraId="61DDF7DA" w14:textId="77777777" w:rsidR="00707C3E" w:rsidRPr="00EF0670" w:rsidRDefault="00707C3E" w:rsidP="00707C3E">
      <w:pPr>
        <w:rPr>
          <w:lang w:eastAsia="ko-KR"/>
        </w:rPr>
      </w:pPr>
    </w:p>
    <w:p w14:paraId="1B7A5A09" w14:textId="77777777" w:rsidR="00707C3E" w:rsidRPr="00EF0670" w:rsidRDefault="00707C3E" w:rsidP="00707C3E">
      <w:pPr>
        <w:rPr>
          <w:lang w:eastAsia="ko-KR"/>
        </w:rPr>
      </w:pPr>
    </w:p>
    <w:p w14:paraId="3FDCDE11" w14:textId="77777777" w:rsidR="00707C3E" w:rsidRPr="00EF0670" w:rsidRDefault="00707C3E" w:rsidP="00707C3E">
      <w:pPr>
        <w:pStyle w:val="AnnexNoTitle"/>
      </w:pPr>
      <w:bookmarkStart w:id="5" w:name="_Ref480901738"/>
      <w:bookmarkStart w:id="6" w:name="_Ref480975486"/>
      <w:bookmarkStart w:id="7" w:name="_Ref480997946"/>
      <w:bookmarkStart w:id="8" w:name="_Ref480998296"/>
      <w:bookmarkStart w:id="9" w:name="_Toc485386542"/>
      <w:bookmarkStart w:id="10" w:name="_Ref480997283"/>
      <w:r w:rsidRPr="00EF0670">
        <w:rPr>
          <w:lang w:eastAsia="ko-KR"/>
        </w:rPr>
        <w:t xml:space="preserve">Annex 1 </w:t>
      </w:r>
      <w:r w:rsidRPr="00EF0670">
        <w:rPr>
          <w:lang w:eastAsia="ko-KR"/>
        </w:rPr>
        <w:br/>
      </w:r>
      <w:r w:rsidRPr="00EF0670">
        <w:t>(normative)</w:t>
      </w:r>
      <w:bookmarkStart w:id="11" w:name="_Toc485386541"/>
      <w:r w:rsidRPr="00EF0670">
        <w:rPr>
          <w:lang w:eastAsia="ko-KR"/>
        </w:rPr>
        <w:br/>
      </w:r>
      <w:r w:rsidRPr="00EF0670">
        <w:rPr>
          <w:lang w:eastAsia="ko-KR"/>
        </w:rPr>
        <w:br/>
      </w:r>
      <w:r w:rsidRPr="00EF0670">
        <w:t>Omnidirectional video projection</w:t>
      </w:r>
      <w:bookmarkEnd w:id="11"/>
      <w:r w:rsidRPr="00EF0670">
        <w:rPr>
          <w:rStyle w:val="FootnoteReference"/>
        </w:rPr>
        <w:footnoteReference w:id="3"/>
      </w:r>
    </w:p>
    <w:p w14:paraId="17400101" w14:textId="77777777" w:rsidR="00707C3E" w:rsidRPr="00EF0670" w:rsidRDefault="00707C3E" w:rsidP="00707C3E">
      <w:pPr>
        <w:pStyle w:val="Heading1"/>
        <w:rPr>
          <w:rFonts w:eastAsia="MS Mincho"/>
        </w:rPr>
      </w:pPr>
      <w:r w:rsidRPr="00EF0670">
        <w:rPr>
          <w:rFonts w:eastAsia="MS Mincho"/>
        </w:rPr>
        <w:t>1</w:t>
      </w:r>
      <w:r w:rsidRPr="00EF0670">
        <w:rPr>
          <w:rFonts w:eastAsia="MS Mincho"/>
        </w:rPr>
        <w:tab/>
        <w:t>Projection structure and c</w:t>
      </w:r>
      <w:r w:rsidRPr="00EF0670">
        <w:rPr>
          <w:rFonts w:eastAsiaTheme="minorEastAsia"/>
        </w:rPr>
        <w:t>oordinate system</w:t>
      </w:r>
      <w:bookmarkEnd w:id="5"/>
      <w:bookmarkEnd w:id="6"/>
      <w:bookmarkEnd w:id="7"/>
      <w:bookmarkEnd w:id="8"/>
      <w:bookmarkEnd w:id="9"/>
    </w:p>
    <w:p w14:paraId="0D733A24" w14:textId="77777777" w:rsidR="00707C3E" w:rsidRPr="00EF0670" w:rsidRDefault="00707C3E" w:rsidP="00707C3E">
      <w:pPr>
        <w:rPr>
          <w:rFonts w:eastAsia="Malgun Gothic"/>
          <w:lang w:eastAsia="ko-KR"/>
        </w:rPr>
      </w:pPr>
      <w:bookmarkStart w:id="12" w:name="_Toc480808588"/>
      <w:bookmarkStart w:id="13" w:name="_Toc481048339"/>
      <w:bookmarkStart w:id="14" w:name="_Toc481048639"/>
      <w:bookmarkStart w:id="15" w:name="_Toc481048939"/>
      <w:bookmarkStart w:id="16" w:name="_Toc481049239"/>
      <w:bookmarkStart w:id="17" w:name="_Toc481049545"/>
      <w:bookmarkStart w:id="18" w:name="_Toc481050547"/>
      <w:bookmarkStart w:id="19" w:name="_Toc480812593"/>
      <w:bookmarkStart w:id="20" w:name="_Toc480808589"/>
      <w:bookmarkStart w:id="21" w:name="_Toc481048340"/>
      <w:bookmarkStart w:id="22" w:name="_Toc481048640"/>
      <w:bookmarkStart w:id="23" w:name="_Toc481048940"/>
      <w:bookmarkStart w:id="24" w:name="_Toc481049240"/>
      <w:bookmarkStart w:id="25" w:name="_Toc481049546"/>
      <w:bookmarkStart w:id="26" w:name="_Toc481050548"/>
      <w:bookmarkStart w:id="27" w:name="_Ref480968425"/>
      <w:bookmarkStart w:id="28" w:name="_Toc48538654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F0670">
        <w:rPr>
          <w:rFonts w:eastAsia="Malgun Gothic"/>
          <w:lang w:eastAsia="ko-KR"/>
        </w:rPr>
        <w:t>The projection structure is a unit sphere.</w:t>
      </w:r>
    </w:p>
    <w:p w14:paraId="188A2217" w14:textId="77777777" w:rsidR="00707C3E" w:rsidRPr="00EF0670" w:rsidRDefault="00707C3E" w:rsidP="00707C3E">
      <w:pPr>
        <w:rPr>
          <w:rFonts w:eastAsia="Malgun Gothic"/>
          <w:lang w:eastAsia="ko-KR"/>
        </w:rPr>
      </w:pPr>
      <w:r w:rsidRPr="00EF0670">
        <w:rPr>
          <w:rFonts w:eastAsia="Malgun Gothic"/>
          <w:lang w:eastAsia="ko-KR"/>
        </w:rPr>
        <w:t>The coordinate system specified in this section should be used to indicate the orientation of the projection structure or the spherical location of a point. In the latter case, the roll angle may be absent or ignored.</w:t>
      </w:r>
    </w:p>
    <w:p w14:paraId="064A89E0" w14:textId="77777777" w:rsidR="00707C3E" w:rsidRPr="00EF0670" w:rsidRDefault="00707C3E" w:rsidP="00707C3E">
      <w:pPr>
        <w:pStyle w:val="Note"/>
        <w:rPr>
          <w:rFonts w:eastAsia="Malgun Gothic"/>
          <w:lang w:eastAsia="ko-KR"/>
        </w:rPr>
      </w:pPr>
      <w:r w:rsidRPr="00EF0670">
        <w:rPr>
          <w:lang w:eastAsia="ko-KR"/>
        </w:rPr>
        <w:t>NOTE 1 – It is assumed that the coordinate systems for different media types were aligned during content production.</w:t>
      </w:r>
    </w:p>
    <w:p w14:paraId="74980EB8" w14:textId="77777777" w:rsidR="00707C3E" w:rsidRPr="00EF0670" w:rsidRDefault="00707C3E" w:rsidP="00707C3E">
      <w:pPr>
        <w:pStyle w:val="Note"/>
        <w:rPr>
          <w:rFonts w:eastAsia="MS Mincho"/>
          <w:lang w:eastAsia="ko-KR"/>
        </w:rPr>
      </w:pPr>
      <w:r w:rsidRPr="00EF0670">
        <w:rPr>
          <w:lang w:eastAsia="ko-KR"/>
        </w:rPr>
        <w:t>NOTE 2 – The specified coordinate system is the same as the reference coordinate system for actuators specified in ISO/IEC 23005-5.</w:t>
      </w:r>
    </w:p>
    <w:p w14:paraId="08799977" w14:textId="77777777" w:rsidR="00707C3E" w:rsidRPr="00EF0670" w:rsidRDefault="00707C3E" w:rsidP="00707C3E">
      <w:pPr>
        <w:rPr>
          <w:rFonts w:eastAsia="Malgun Gothic"/>
          <w:lang w:eastAsia="ko-KR"/>
        </w:rPr>
      </w:pPr>
      <w:r w:rsidRPr="00EF0670">
        <w:rPr>
          <w:lang w:eastAsia="ko-KR"/>
        </w:rPr>
        <w:t xml:space="preserve">Figure 1 </w:t>
      </w:r>
      <w:r w:rsidRPr="00EF0670">
        <w:rPr>
          <w:rFonts w:eastAsia="Malgun Gothic"/>
          <w:lang w:eastAsia="ko-KR"/>
        </w:rPr>
        <w:t>specifies the coordinate axes used for defining yaw (</w:t>
      </w:r>
      <w:r w:rsidRPr="00EF0670">
        <w:rPr>
          <w:lang w:eastAsia="ko-KR"/>
        </w:rPr>
        <w:sym w:font="Symbol" w:char="F066"/>
      </w:r>
      <w:r w:rsidRPr="00EF0670">
        <w:rPr>
          <w:rFonts w:eastAsia="Malgun Gothic"/>
          <w:lang w:eastAsia="ko-KR"/>
        </w:rPr>
        <w:t>), pitch (</w:t>
      </w:r>
      <w:r w:rsidRPr="00EF0670">
        <w:rPr>
          <w:lang w:eastAsia="ko-KR"/>
        </w:rPr>
        <w:sym w:font="Symbol" w:char="F071"/>
      </w:r>
      <w:r w:rsidRPr="00EF0670">
        <w:rPr>
          <w:rFonts w:eastAsia="Malgun Gothic"/>
          <w:lang w:eastAsia="ko-KR"/>
        </w:rPr>
        <w:t>), and roll angles. Yaw rotates around the Y (vertical, up) axis, pitch around the X (lateral, side-to-side) axis, and roll around the Z (back-to-front) axis. Rotations are extrinsic, i.e. around the X, Y, and Z fixed reference axes. The angles increase clockwise when looking from the origin towards the positive end of an axis.</w:t>
      </w:r>
    </w:p>
    <w:p w14:paraId="3C011E02" w14:textId="77777777" w:rsidR="00707C3E" w:rsidRPr="00EF0670" w:rsidRDefault="00707C3E" w:rsidP="00707C3E">
      <w:pPr>
        <w:pStyle w:val="FigureNo"/>
        <w:rPr>
          <w:rFonts w:eastAsia="MS Mincho"/>
        </w:rPr>
      </w:pPr>
      <w:r w:rsidRPr="00EF0670">
        <w:lastRenderedPageBreak/>
        <w:t>Figure 1</w:t>
      </w:r>
    </w:p>
    <w:p w14:paraId="11E8F9E9" w14:textId="77777777" w:rsidR="00707C3E" w:rsidRPr="00EF0670" w:rsidRDefault="00707C3E" w:rsidP="00707C3E">
      <w:pPr>
        <w:pStyle w:val="Figuretitle"/>
      </w:pPr>
      <w:r w:rsidRPr="00EF0670">
        <w:t>Principal axes for yaw, pitch, roll angles</w:t>
      </w:r>
      <w:r w:rsidRPr="00EF0670">
        <w:br/>
        <w:t>Yaw rotates around Y (vertical, up) axis, pitch around X (lateral, side-to-side) axis, roll around Z (back-to-front)</w:t>
      </w:r>
    </w:p>
    <w:p w14:paraId="31C8288D" w14:textId="77777777" w:rsidR="00707C3E" w:rsidRPr="00EF0670" w:rsidRDefault="00707C3E" w:rsidP="00707C3E">
      <w:pPr>
        <w:pStyle w:val="Figure"/>
      </w:pPr>
      <w:r w:rsidRPr="00EF0670">
        <w:rPr>
          <w:noProof/>
          <w:lang w:eastAsia="en-GB"/>
        </w:rPr>
        <w:drawing>
          <wp:inline distT="0" distB="0" distL="0" distR="0" wp14:anchorId="26F12575" wp14:editId="7D7BE49B">
            <wp:extent cx="2615189" cy="2045212"/>
            <wp:effectExtent l="0" t="0" r="0" b="0"/>
            <wp:docPr id="3" name="Picture 3" descr="A diagram of a face with arrow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face with arrows and line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5189" cy="2045212"/>
                    </a:xfrm>
                    <a:prstGeom prst="rect">
                      <a:avLst/>
                    </a:prstGeom>
                  </pic:spPr>
                </pic:pic>
              </a:graphicData>
            </a:graphic>
          </wp:inline>
        </w:drawing>
      </w:r>
    </w:p>
    <w:p w14:paraId="66C878F2" w14:textId="77777777" w:rsidR="00707C3E" w:rsidRPr="00EF0670" w:rsidRDefault="00707C3E" w:rsidP="00707C3E">
      <w:pPr>
        <w:pStyle w:val="enumlev1"/>
        <w:rPr>
          <w:b/>
          <w:lang w:eastAsia="ko-KR"/>
        </w:rPr>
      </w:pPr>
      <w:r w:rsidRPr="00EF0670">
        <w:rPr>
          <w:b/>
          <w:lang w:eastAsia="ko-KR"/>
        </w:rPr>
        <w:t xml:space="preserve">Yaw angle </w:t>
      </w:r>
      <w:r w:rsidRPr="00EF0670">
        <w:rPr>
          <w:rFonts w:eastAsia="Malgun Gothic"/>
          <w:lang w:eastAsia="ko-KR"/>
        </w:rPr>
        <w:t>(</w:t>
      </w:r>
      <w:r w:rsidRPr="00EF0670">
        <w:rPr>
          <w:lang w:eastAsia="ko-KR"/>
        </w:rPr>
        <w:sym w:font="Symbol" w:char="F066"/>
      </w:r>
      <w:r w:rsidRPr="00EF0670">
        <w:rPr>
          <w:rFonts w:eastAsia="Malgun Gothic"/>
          <w:lang w:eastAsia="ko-KR"/>
        </w:rPr>
        <w:t xml:space="preserve">) </w:t>
      </w:r>
      <w:r w:rsidRPr="00EF0670">
        <w:rPr>
          <w:lang w:eastAsia="ko-KR"/>
        </w:rPr>
        <w:t>indicates the rotation angle around the Y axis in degrees.</w:t>
      </w:r>
    </w:p>
    <w:p w14:paraId="33D4BFF2" w14:textId="77777777" w:rsidR="00707C3E" w:rsidRPr="00EF0670" w:rsidRDefault="00707C3E" w:rsidP="00707C3E">
      <w:pPr>
        <w:pStyle w:val="enumlev2"/>
        <w:rPr>
          <w:lang w:eastAsia="ko-KR"/>
        </w:rPr>
      </w:pPr>
      <w:r w:rsidRPr="00EF0670">
        <w:t>Type: floating point decimal values</w:t>
      </w:r>
    </w:p>
    <w:p w14:paraId="03D46D33" w14:textId="77777777" w:rsidR="00707C3E" w:rsidRPr="00EF0670" w:rsidRDefault="00707C3E" w:rsidP="00707C3E">
      <w:pPr>
        <w:pStyle w:val="enumlev2"/>
        <w:rPr>
          <w:lang w:eastAsia="ko-KR"/>
        </w:rPr>
      </w:pPr>
      <w:r w:rsidRPr="00EF0670">
        <w:t>Range: in the range of −180, inclusive, to 180, exclusive</w:t>
      </w:r>
    </w:p>
    <w:p w14:paraId="076DFF8B" w14:textId="77777777" w:rsidR="00707C3E" w:rsidRPr="00EF0670" w:rsidRDefault="00707C3E" w:rsidP="00707C3E">
      <w:pPr>
        <w:pStyle w:val="enumlev1"/>
        <w:rPr>
          <w:b/>
          <w:szCs w:val="24"/>
          <w:lang w:eastAsia="ko-KR"/>
        </w:rPr>
      </w:pPr>
      <w:r w:rsidRPr="00EF0670">
        <w:rPr>
          <w:b/>
          <w:szCs w:val="24"/>
          <w:lang w:eastAsia="ko-KR"/>
        </w:rPr>
        <w:t xml:space="preserve">Pitch angle </w:t>
      </w:r>
      <w:r w:rsidRPr="00EF0670">
        <w:rPr>
          <w:rFonts w:eastAsia="Malgun Gothic"/>
          <w:szCs w:val="24"/>
          <w:lang w:eastAsia="ko-KR"/>
        </w:rPr>
        <w:t>(</w:t>
      </w:r>
      <w:r w:rsidRPr="00EF0670">
        <w:rPr>
          <w:szCs w:val="24"/>
          <w:lang w:eastAsia="ko-KR"/>
        </w:rPr>
        <w:sym w:font="Symbol" w:char="F071"/>
      </w:r>
      <w:r w:rsidRPr="00EF0670">
        <w:rPr>
          <w:rFonts w:eastAsia="Malgun Gothic"/>
          <w:szCs w:val="24"/>
          <w:lang w:eastAsia="ko-KR"/>
        </w:rPr>
        <w:t>)</w:t>
      </w:r>
      <w:r w:rsidRPr="00EF0670">
        <w:rPr>
          <w:b/>
          <w:szCs w:val="24"/>
          <w:lang w:eastAsia="ko-KR"/>
        </w:rPr>
        <w:t xml:space="preserve"> </w:t>
      </w:r>
      <w:r w:rsidRPr="00EF0670">
        <w:rPr>
          <w:szCs w:val="24"/>
          <w:lang w:eastAsia="ko-KR"/>
        </w:rPr>
        <w:t xml:space="preserve">indicates the </w:t>
      </w:r>
      <w:r w:rsidRPr="00EF0670">
        <w:rPr>
          <w:lang w:eastAsia="ko-KR"/>
        </w:rPr>
        <w:t>rotation</w:t>
      </w:r>
      <w:r w:rsidRPr="00EF0670">
        <w:rPr>
          <w:szCs w:val="24"/>
          <w:lang w:eastAsia="ko-KR"/>
        </w:rPr>
        <w:t xml:space="preserve"> angle around the X axis in degrees.</w:t>
      </w:r>
    </w:p>
    <w:p w14:paraId="21F12BF3" w14:textId="77777777" w:rsidR="00707C3E" w:rsidRPr="00EF0670" w:rsidRDefault="00707C3E" w:rsidP="00707C3E">
      <w:pPr>
        <w:pStyle w:val="enumlev2"/>
        <w:rPr>
          <w:lang w:eastAsia="ko-KR"/>
        </w:rPr>
      </w:pPr>
      <w:r w:rsidRPr="00EF0670">
        <w:t>Type: floating point decimal values</w:t>
      </w:r>
    </w:p>
    <w:p w14:paraId="3C2FC273" w14:textId="77777777" w:rsidR="00707C3E" w:rsidRPr="00EF0670" w:rsidRDefault="00707C3E" w:rsidP="00707C3E">
      <w:pPr>
        <w:pStyle w:val="enumlev2"/>
        <w:rPr>
          <w:lang w:eastAsia="ko-KR"/>
        </w:rPr>
      </w:pPr>
      <w:r w:rsidRPr="00EF0670">
        <w:rPr>
          <w:lang w:eastAsia="ko-KR"/>
        </w:rPr>
        <w:t xml:space="preserve">Range: </w:t>
      </w:r>
      <w:r w:rsidRPr="00EF0670">
        <w:t>in the range of −90, inclusive, to 90, inclusiv</w:t>
      </w:r>
      <w:r w:rsidRPr="00EF0670">
        <w:rPr>
          <w:lang w:eastAsia="ko-KR"/>
        </w:rPr>
        <w:t>e</w:t>
      </w:r>
    </w:p>
    <w:p w14:paraId="0F437FF6" w14:textId="77777777" w:rsidR="00707C3E" w:rsidRPr="00EF0670" w:rsidRDefault="00707C3E" w:rsidP="00707C3E">
      <w:pPr>
        <w:pStyle w:val="enumlev1"/>
        <w:rPr>
          <w:b/>
          <w:szCs w:val="24"/>
          <w:lang w:eastAsia="ko-KR"/>
        </w:rPr>
      </w:pPr>
      <w:r w:rsidRPr="00EF0670">
        <w:rPr>
          <w:b/>
          <w:szCs w:val="24"/>
          <w:lang w:eastAsia="ko-KR"/>
        </w:rPr>
        <w:t xml:space="preserve">Roll angle </w:t>
      </w:r>
      <w:r w:rsidRPr="00EF0670">
        <w:rPr>
          <w:szCs w:val="24"/>
          <w:lang w:eastAsia="ko-KR"/>
        </w:rPr>
        <w:t xml:space="preserve">indicates the rotation </w:t>
      </w:r>
      <w:r w:rsidRPr="00EF0670">
        <w:rPr>
          <w:lang w:eastAsia="ko-KR"/>
        </w:rPr>
        <w:t>angle</w:t>
      </w:r>
      <w:r w:rsidRPr="00EF0670">
        <w:rPr>
          <w:szCs w:val="24"/>
          <w:lang w:eastAsia="ko-KR"/>
        </w:rPr>
        <w:t xml:space="preserve"> around the Z axis in degrees.</w:t>
      </w:r>
    </w:p>
    <w:p w14:paraId="2B90AD1A" w14:textId="77777777" w:rsidR="00707C3E" w:rsidRPr="00EF0670" w:rsidRDefault="00707C3E" w:rsidP="00707C3E">
      <w:pPr>
        <w:pStyle w:val="enumlev2"/>
        <w:rPr>
          <w:lang w:eastAsia="ko-KR"/>
        </w:rPr>
      </w:pPr>
      <w:r w:rsidRPr="00EF0670">
        <w:t>Type: floating point decimal values</w:t>
      </w:r>
    </w:p>
    <w:p w14:paraId="684D82C7" w14:textId="77777777" w:rsidR="00707C3E" w:rsidRPr="00EF0670" w:rsidRDefault="00707C3E" w:rsidP="00707C3E">
      <w:pPr>
        <w:pStyle w:val="enumlev2"/>
        <w:rPr>
          <w:rFonts w:eastAsia="Malgun Gothic"/>
          <w:lang w:eastAsia="ko-KR"/>
        </w:rPr>
      </w:pPr>
      <w:r w:rsidRPr="00EF0670">
        <w:rPr>
          <w:lang w:eastAsia="ko-KR"/>
        </w:rPr>
        <w:t xml:space="preserve">Range: </w:t>
      </w:r>
      <w:r w:rsidRPr="00EF0670">
        <w:t>in the range of −180, inclusive, to 180, exclusive</w:t>
      </w:r>
    </w:p>
    <w:p w14:paraId="009EFF50" w14:textId="77777777" w:rsidR="00707C3E" w:rsidRPr="00EF0670" w:rsidRDefault="00707C3E" w:rsidP="00707C3E">
      <w:pPr>
        <w:pStyle w:val="Heading1"/>
        <w:rPr>
          <w:rFonts w:eastAsia="MS Mincho"/>
        </w:rPr>
      </w:pPr>
      <w:r w:rsidRPr="00EF0670">
        <w:rPr>
          <w:rFonts w:eastAsia="MS Mincho"/>
        </w:rPr>
        <w:t>2</w:t>
      </w:r>
      <w:r w:rsidRPr="00EF0670">
        <w:rPr>
          <w:rFonts w:eastAsia="MS Mincho"/>
        </w:rPr>
        <w:tab/>
        <w:t>Omnidirectional projection formats</w:t>
      </w:r>
      <w:bookmarkEnd w:id="27"/>
      <w:bookmarkEnd w:id="28"/>
    </w:p>
    <w:bookmarkEnd w:id="10"/>
    <w:p w14:paraId="6EB54C91" w14:textId="77777777" w:rsidR="00707C3E" w:rsidRPr="00EF0670" w:rsidRDefault="00707C3E" w:rsidP="00707C3E">
      <w:pPr>
        <w:rPr>
          <w:rFonts w:eastAsia="Malgun Gothic"/>
          <w:lang w:eastAsia="ko-KR"/>
        </w:rPr>
      </w:pPr>
      <w:r w:rsidRPr="00EF0670">
        <w:rPr>
          <w:rFonts w:eastAsia="Malgun Gothic"/>
          <w:lang w:eastAsia="ko-KR"/>
        </w:rPr>
        <w:t>Inputs to this clause are:</w:t>
      </w:r>
    </w:p>
    <w:p w14:paraId="3C4752D5" w14:textId="77777777" w:rsidR="00707C3E" w:rsidRPr="00EF0670" w:rsidRDefault="00707C3E" w:rsidP="00707C3E">
      <w:pPr>
        <w:pStyle w:val="enumlev1"/>
        <w:rPr>
          <w:rFonts w:eastAsia="Malgun Gothic"/>
          <w:lang w:eastAsia="ko-KR"/>
        </w:rPr>
      </w:pPr>
      <w:r w:rsidRPr="00EF0670">
        <w:rPr>
          <w:rFonts w:eastAsia="Malgun Gothic"/>
          <w:b/>
          <w:lang w:eastAsia="ko-KR"/>
        </w:rPr>
        <w:t>–</w:t>
      </w:r>
      <w:r w:rsidRPr="00EF0670">
        <w:rPr>
          <w:rFonts w:eastAsia="Malgun Gothic"/>
          <w:b/>
          <w:lang w:eastAsia="ko-KR"/>
        </w:rPr>
        <w:tab/>
        <w:t>Picture width</w:t>
      </w:r>
      <w:r w:rsidRPr="00EF0670">
        <w:rPr>
          <w:rFonts w:eastAsia="Malgun Gothic"/>
          <w:lang w:eastAsia="ko-KR"/>
        </w:rPr>
        <w:t xml:space="preserve"> (</w:t>
      </w:r>
      <w:r w:rsidRPr="00EF0670">
        <w:rPr>
          <w:rFonts w:eastAsia="Malgun Gothic"/>
          <w:i/>
          <w:iCs/>
          <w:lang w:eastAsia="ko-KR"/>
        </w:rPr>
        <w:t>w</w:t>
      </w:r>
      <w:r w:rsidRPr="00EF0670">
        <w:rPr>
          <w:rFonts w:eastAsia="Malgun Gothic"/>
          <w:lang w:eastAsia="ko-KR"/>
        </w:rPr>
        <w:t xml:space="preserve">) and </w:t>
      </w:r>
      <w:r w:rsidRPr="00EF0670">
        <w:rPr>
          <w:rFonts w:eastAsia="Malgun Gothic"/>
          <w:b/>
          <w:lang w:eastAsia="ko-KR"/>
        </w:rPr>
        <w:t>Picture height</w:t>
      </w:r>
      <w:r w:rsidRPr="00EF0670">
        <w:rPr>
          <w:rFonts w:eastAsia="Malgun Gothic"/>
          <w:lang w:eastAsia="ko-KR"/>
        </w:rPr>
        <w:t xml:space="preserve"> (</w:t>
      </w:r>
      <w:r w:rsidRPr="00EF0670">
        <w:rPr>
          <w:rFonts w:eastAsia="Malgun Gothic"/>
          <w:i/>
          <w:iCs/>
          <w:lang w:eastAsia="ko-KR"/>
        </w:rPr>
        <w:t>h</w:t>
      </w:r>
      <w:r w:rsidRPr="00EF0670">
        <w:rPr>
          <w:rFonts w:eastAsia="Malgun Gothic"/>
          <w:lang w:eastAsia="ko-KR"/>
        </w:rPr>
        <w:t>), which are the width and height, respectively, of the equirectangular panorama picture in samples, and</w:t>
      </w:r>
    </w:p>
    <w:p w14:paraId="17419A03" w14:textId="77777777" w:rsidR="00707C3E" w:rsidRPr="00EF0670" w:rsidRDefault="00707C3E" w:rsidP="00707C3E">
      <w:pPr>
        <w:pStyle w:val="enumlev1"/>
        <w:rPr>
          <w:rFonts w:eastAsia="Malgun Gothic"/>
          <w:lang w:eastAsia="ko-KR"/>
        </w:rPr>
      </w:pPr>
      <w:r w:rsidRPr="00EF0670">
        <w:rPr>
          <w:rFonts w:eastAsia="Malgun Gothic"/>
          <w:lang w:eastAsia="ko-KR"/>
        </w:rPr>
        <w:t>–</w:t>
      </w:r>
      <w:r w:rsidRPr="00EF0670">
        <w:rPr>
          <w:rFonts w:eastAsia="Malgun Gothic"/>
          <w:lang w:eastAsia="ko-KR"/>
        </w:rPr>
        <w:tab/>
        <w:t>the centre point of a sample location (</w:t>
      </w:r>
      <w:r w:rsidRPr="00EF0670">
        <w:rPr>
          <w:rFonts w:eastAsia="Malgun Gothic"/>
          <w:i/>
          <w:iCs/>
          <w:lang w:eastAsia="ko-KR"/>
        </w:rPr>
        <w:t>i</w:t>
      </w:r>
      <w:r w:rsidRPr="00EF0670">
        <w:rPr>
          <w:rFonts w:eastAsia="Malgun Gothic"/>
          <w:lang w:eastAsia="ko-KR"/>
        </w:rPr>
        <w:t xml:space="preserve">, </w:t>
      </w:r>
      <w:r w:rsidRPr="00EF0670">
        <w:rPr>
          <w:rFonts w:eastAsia="Malgun Gothic"/>
          <w:i/>
          <w:iCs/>
          <w:lang w:eastAsia="ko-KR"/>
        </w:rPr>
        <w:t>j</w:t>
      </w:r>
      <w:r w:rsidRPr="00EF0670">
        <w:rPr>
          <w:rFonts w:eastAsia="Malgun Gothic"/>
          <w:lang w:eastAsia="ko-KR"/>
        </w:rPr>
        <w:t>) along horizontal and vertical axes, respectively.</w:t>
      </w:r>
    </w:p>
    <w:p w14:paraId="4ABE1664" w14:textId="77777777" w:rsidR="00707C3E" w:rsidRPr="00EF0670" w:rsidRDefault="00707C3E" w:rsidP="00707C3E">
      <w:pPr>
        <w:rPr>
          <w:rFonts w:eastAsia="Malgun Gothic"/>
          <w:szCs w:val="24"/>
          <w:lang w:eastAsia="ko-KR"/>
        </w:rPr>
      </w:pPr>
      <w:r w:rsidRPr="00EF0670">
        <w:rPr>
          <w:rFonts w:eastAsia="Malgun Gothic"/>
          <w:szCs w:val="24"/>
          <w:lang w:eastAsia="ko-KR"/>
        </w:rPr>
        <w:t>Outputs of this clause are:</w:t>
      </w:r>
    </w:p>
    <w:p w14:paraId="796DE818" w14:textId="77777777" w:rsidR="00707C3E" w:rsidRPr="00EF0670" w:rsidRDefault="00707C3E" w:rsidP="00707C3E">
      <w:pPr>
        <w:pStyle w:val="enumlev1"/>
        <w:rPr>
          <w:rFonts w:eastAsia="Malgun Gothic"/>
          <w:lang w:eastAsia="ko-KR"/>
        </w:rPr>
      </w:pPr>
      <w:r w:rsidRPr="00EF0670">
        <w:rPr>
          <w:rFonts w:eastAsia="Malgun Gothic"/>
          <w:lang w:eastAsia="ko-KR"/>
        </w:rPr>
        <w:t>–</w:t>
      </w:r>
      <w:r w:rsidRPr="00EF0670">
        <w:rPr>
          <w:rFonts w:eastAsia="Malgun Gothic"/>
          <w:lang w:eastAsia="ko-KR"/>
        </w:rPr>
        <w:tab/>
        <w:t>angular coordinates (</w:t>
      </w:r>
      <w:r w:rsidRPr="00EF0670">
        <w:rPr>
          <w:rFonts w:eastAsia="Malgun Gothic"/>
          <w:lang w:eastAsia="ko-KR"/>
        </w:rPr>
        <w:sym w:font="Symbol" w:char="F066"/>
      </w:r>
      <w:r w:rsidRPr="00EF0670">
        <w:rPr>
          <w:rFonts w:eastAsia="Malgun Gothic"/>
          <w:lang w:eastAsia="ko-KR"/>
        </w:rPr>
        <w:t xml:space="preserve">, </w:t>
      </w:r>
      <w:r w:rsidRPr="00EF0670">
        <w:rPr>
          <w:rFonts w:eastAsia="Malgun Gothic"/>
          <w:lang w:eastAsia="ko-KR"/>
        </w:rPr>
        <w:sym w:font="Symbol" w:char="F071"/>
      </w:r>
      <w:r w:rsidRPr="00EF0670">
        <w:rPr>
          <w:rFonts w:eastAsia="Malgun Gothic"/>
          <w:lang w:eastAsia="ko-KR"/>
        </w:rPr>
        <w:t>) for the sample in degrees relative to the coordinate axes specified in § 1.</w:t>
      </w:r>
    </w:p>
    <w:p w14:paraId="086DE4E5" w14:textId="77777777" w:rsidR="00707C3E" w:rsidRPr="00EF0670" w:rsidRDefault="00707C3E" w:rsidP="00707C3E">
      <w:pPr>
        <w:rPr>
          <w:rFonts w:eastAsia="Malgun Gothic"/>
          <w:lang w:eastAsia="ko-KR"/>
        </w:rPr>
      </w:pPr>
      <w:r w:rsidRPr="00EF0670">
        <w:rPr>
          <w:rFonts w:eastAsia="Malgun Gothic"/>
          <w:lang w:eastAsia="ko-KR"/>
        </w:rPr>
        <w:t>The angular coordinates (</w:t>
      </w:r>
      <w:r w:rsidRPr="00EF0670">
        <w:rPr>
          <w:rFonts w:eastAsia="Malgun Gothic"/>
          <w:lang w:eastAsia="ko-KR"/>
        </w:rPr>
        <w:sym w:font="Symbol" w:char="F066"/>
      </w:r>
      <w:r w:rsidRPr="00EF0670">
        <w:rPr>
          <w:rFonts w:eastAsia="Malgun Gothic"/>
          <w:lang w:eastAsia="ko-KR"/>
        </w:rPr>
        <w:t xml:space="preserve">, </w:t>
      </w:r>
      <w:r w:rsidRPr="00EF0670">
        <w:rPr>
          <w:rFonts w:eastAsia="Malgun Gothic"/>
          <w:lang w:eastAsia="ko-KR"/>
        </w:rPr>
        <w:sym w:font="Symbol" w:char="F071"/>
      </w:r>
      <w:r w:rsidRPr="00EF0670">
        <w:rPr>
          <w:rFonts w:eastAsia="Malgun Gothic"/>
          <w:lang w:eastAsia="ko-KR"/>
        </w:rPr>
        <w:t>) for the luma sample location, in degrees, are given by the following equirectangular mapping equations, as shown in Fig. 2.</w:t>
      </w:r>
    </w:p>
    <w:p w14:paraId="7AF2E88C" w14:textId="77777777" w:rsidR="00707C3E" w:rsidRPr="00EF0670" w:rsidRDefault="00707C3E" w:rsidP="00707C3E">
      <w:pPr>
        <w:pStyle w:val="Equation"/>
        <w:rPr>
          <w:rFonts w:eastAsia="Malgun Gothic"/>
          <w:lang w:eastAsia="ko-KR"/>
        </w:rPr>
      </w:pPr>
      <w:r w:rsidRPr="00EF0670">
        <w:rPr>
          <w:rFonts w:eastAsia="Malgun Gothic"/>
          <w:lang w:eastAsia="ko-KR"/>
        </w:rPr>
        <w:tab/>
      </w:r>
      <w:r w:rsidRPr="00EF0670">
        <w:rPr>
          <w:rFonts w:eastAsia="Malgun Gothic"/>
          <w:lang w:eastAsia="ko-KR"/>
        </w:rPr>
        <w:tab/>
      </w:r>
      <w:r w:rsidRPr="00EF0670">
        <w:rPr>
          <w:rFonts w:eastAsia="Malgun Gothic"/>
          <w:lang w:eastAsia="ko-KR"/>
        </w:rPr>
        <w:sym w:font="Symbol" w:char="F066"/>
      </w:r>
      <w:r w:rsidRPr="00EF0670">
        <w:rPr>
          <w:rFonts w:eastAsia="Malgun Gothic"/>
          <w:lang w:eastAsia="ko-KR"/>
        </w:rPr>
        <w:t xml:space="preserve"> = ( </w:t>
      </w:r>
      <w:r w:rsidRPr="00EF0670">
        <w:rPr>
          <w:rFonts w:eastAsia="Malgun Gothic"/>
          <w:i/>
          <w:iCs/>
          <w:lang w:eastAsia="ko-KR"/>
        </w:rPr>
        <w:t>i</w:t>
      </w:r>
      <w:r w:rsidRPr="00EF0670">
        <w:rPr>
          <w:rFonts w:eastAsia="Malgun Gothic"/>
          <w:lang w:eastAsia="ko-KR"/>
        </w:rPr>
        <w:t xml:space="preserve"> ÷ </w:t>
      </w:r>
      <w:r w:rsidRPr="00EF0670">
        <w:rPr>
          <w:rFonts w:eastAsia="Malgun Gothic"/>
          <w:i/>
          <w:iCs/>
          <w:lang w:eastAsia="ko-KR"/>
        </w:rPr>
        <w:t>w</w:t>
      </w:r>
      <w:r w:rsidRPr="00EF0670">
        <w:rPr>
          <w:rFonts w:eastAsia="Malgun Gothic"/>
          <w:lang w:eastAsia="ko-KR"/>
        </w:rPr>
        <w:t xml:space="preserve"> − 0.5 ) * 360</w:t>
      </w:r>
    </w:p>
    <w:p w14:paraId="53D04E60" w14:textId="77777777" w:rsidR="00707C3E" w:rsidRPr="00EF0670" w:rsidRDefault="00707C3E" w:rsidP="00707C3E">
      <w:pPr>
        <w:pStyle w:val="Equation"/>
        <w:rPr>
          <w:rFonts w:eastAsia="Malgun Gothic"/>
          <w:lang w:eastAsia="ko-KR"/>
        </w:rPr>
      </w:pPr>
      <w:r w:rsidRPr="00EF0670">
        <w:rPr>
          <w:rFonts w:eastAsia="Candara"/>
        </w:rPr>
        <w:tab/>
      </w:r>
      <w:r w:rsidRPr="00EF0670">
        <w:rPr>
          <w:rFonts w:eastAsia="Candara"/>
        </w:rPr>
        <w:tab/>
      </w:r>
      <w:r w:rsidRPr="00EF0670">
        <w:rPr>
          <w:rFonts w:eastAsia="Candara"/>
        </w:rPr>
        <w:sym w:font="Symbol" w:char="F071"/>
      </w:r>
      <w:r w:rsidRPr="00EF0670">
        <w:rPr>
          <w:rFonts w:eastAsia="Candara"/>
          <w:color w:val="000000"/>
        </w:rPr>
        <w:t xml:space="preserve"> = </w:t>
      </w:r>
      <w:r w:rsidRPr="00EF0670">
        <w:rPr>
          <w:rFonts w:eastAsia="Malgun Gothic"/>
          <w:lang w:eastAsia="ko-KR"/>
        </w:rPr>
        <w:t xml:space="preserve">( 0.5 − </w:t>
      </w:r>
      <w:r w:rsidRPr="00EF0670">
        <w:rPr>
          <w:rFonts w:eastAsia="Malgun Gothic"/>
          <w:i/>
          <w:iCs/>
          <w:lang w:eastAsia="ko-KR"/>
        </w:rPr>
        <w:t xml:space="preserve">j </w:t>
      </w:r>
      <w:r w:rsidRPr="00EF0670">
        <w:rPr>
          <w:rFonts w:eastAsia="Malgun Gothic"/>
          <w:lang w:eastAsia="ko-KR"/>
        </w:rPr>
        <w:t xml:space="preserve">÷ </w:t>
      </w:r>
      <w:r w:rsidRPr="00EF0670">
        <w:rPr>
          <w:rFonts w:eastAsia="Malgun Gothic"/>
          <w:i/>
          <w:iCs/>
          <w:lang w:eastAsia="ko-KR"/>
        </w:rPr>
        <w:t>h</w:t>
      </w:r>
      <w:r w:rsidRPr="00EF0670">
        <w:rPr>
          <w:rFonts w:eastAsia="Malgun Gothic"/>
          <w:lang w:eastAsia="ko-KR"/>
        </w:rPr>
        <w:t xml:space="preserve"> ) * 180</w:t>
      </w:r>
    </w:p>
    <w:p w14:paraId="795B9B1A" w14:textId="77777777" w:rsidR="00707C3E" w:rsidRPr="00EF0670" w:rsidRDefault="00707C3E" w:rsidP="00707C3E">
      <w:pPr>
        <w:pStyle w:val="FigureNo"/>
        <w:rPr>
          <w:rFonts w:eastAsia="MS Mincho"/>
        </w:rPr>
      </w:pPr>
      <w:r w:rsidRPr="00EF0670">
        <w:lastRenderedPageBreak/>
        <w:t>Figure 2</w:t>
      </w:r>
    </w:p>
    <w:p w14:paraId="4A5A39AB" w14:textId="77777777" w:rsidR="00707C3E" w:rsidRPr="00EF0670" w:rsidRDefault="00707C3E" w:rsidP="00707C3E">
      <w:pPr>
        <w:pStyle w:val="Figuretitle"/>
      </w:pPr>
      <w:r w:rsidRPr="00EF0670">
        <w:t>Sampling coordinate definition</w:t>
      </w:r>
    </w:p>
    <w:p w14:paraId="02632D77" w14:textId="77777777" w:rsidR="00707C3E" w:rsidRPr="00EF0670" w:rsidRDefault="00707C3E" w:rsidP="00707C3E">
      <w:pPr>
        <w:pStyle w:val="Figure"/>
        <w:rPr>
          <w:rFonts w:eastAsia="Malgun Gothic"/>
          <w:szCs w:val="24"/>
          <w:lang w:eastAsia="ko-KR"/>
        </w:rPr>
      </w:pPr>
      <w:r w:rsidRPr="00EF0670">
        <w:rPr>
          <w:rFonts w:eastAsia="Malgun Gothic"/>
          <w:noProof/>
          <w:szCs w:val="24"/>
          <w:lang w:eastAsia="en-GB"/>
        </w:rPr>
        <w:drawing>
          <wp:inline distT="0" distB="0" distL="0" distR="0" wp14:anchorId="2CBE7B02" wp14:editId="184E7D49">
            <wp:extent cx="3541783" cy="2145796"/>
            <wp:effectExtent l="0" t="0" r="1905" b="6985"/>
            <wp:docPr id="935571706" name="Picture 935571706"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71706" name="Picture 935571706" descr="A white rectangular box with black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1783" cy="2145796"/>
                    </a:xfrm>
                    <a:prstGeom prst="rect">
                      <a:avLst/>
                    </a:prstGeom>
                  </pic:spPr>
                </pic:pic>
              </a:graphicData>
            </a:graphic>
          </wp:inline>
        </w:drawing>
      </w:r>
    </w:p>
    <w:p w14:paraId="31D3E7A0" w14:textId="77777777" w:rsidR="00707C3E" w:rsidRPr="00EF0670" w:rsidRDefault="00707C3E" w:rsidP="00707C3E">
      <w:pPr>
        <w:rPr>
          <w:rFonts w:eastAsia="MS Mincho"/>
          <w:lang w:eastAsia="ko-KR"/>
        </w:rPr>
      </w:pPr>
    </w:p>
    <w:p w14:paraId="2969C437" w14:textId="77777777" w:rsidR="00707C3E" w:rsidRPr="00EF0670" w:rsidRDefault="00707C3E" w:rsidP="00707C3E">
      <w:pPr>
        <w:rPr>
          <w:lang w:eastAsia="ko-KR"/>
        </w:rPr>
      </w:pPr>
    </w:p>
    <w:p w14:paraId="5999295A" w14:textId="77777777" w:rsidR="00707C3E" w:rsidRPr="00EF0670" w:rsidRDefault="00707C3E" w:rsidP="00707C3E">
      <w:pPr>
        <w:pStyle w:val="AnnexNoTitle"/>
        <w:rPr>
          <w:lang w:eastAsia="ko-KR"/>
        </w:rPr>
      </w:pPr>
      <w:r w:rsidRPr="00EF0670">
        <w:rPr>
          <w:lang w:eastAsia="ko-KR"/>
        </w:rPr>
        <w:t xml:space="preserve">Annex 2 </w:t>
      </w:r>
      <w:r w:rsidRPr="00EF0670">
        <w:rPr>
          <w:lang w:eastAsia="ko-KR"/>
        </w:rPr>
        <w:br/>
      </w:r>
      <w:r w:rsidRPr="00EF0670">
        <w:t>(informative)</w:t>
      </w:r>
    </w:p>
    <w:p w14:paraId="63D44473" w14:textId="77777777" w:rsidR="00707C3E" w:rsidRPr="00EF0670" w:rsidRDefault="00707C3E" w:rsidP="00707C3E">
      <w:pPr>
        <w:pStyle w:val="Annextitle"/>
      </w:pPr>
      <w:r w:rsidRPr="00EF0670">
        <w:br/>
        <w:t>Presentation</w:t>
      </w:r>
      <w:r w:rsidRPr="00EF0670">
        <w:rPr>
          <w:lang w:eastAsia="ja-JP"/>
        </w:rPr>
        <w:t xml:space="preserve"> characteristics for 360</w:t>
      </w:r>
      <w:r w:rsidRPr="00EF0670">
        <w:rPr>
          <w:rFonts w:asciiTheme="majorBidi" w:hAnsiTheme="majorBidi" w:cstheme="majorBidi"/>
          <w:vertAlign w:val="superscript"/>
          <w:lang w:eastAsia="zh-CN"/>
        </w:rPr>
        <w:t>o</w:t>
      </w:r>
      <w:r w:rsidRPr="00EF0670">
        <w:rPr>
          <w:lang w:eastAsia="ja-JP"/>
        </w:rPr>
        <w:t xml:space="preserve"> images</w:t>
      </w:r>
    </w:p>
    <w:p w14:paraId="010834AA" w14:textId="77777777" w:rsidR="00433A89" w:rsidRPr="00EF0670" w:rsidRDefault="00433A89" w:rsidP="000066C0">
      <w:pPr>
        <w:pStyle w:val="Normalaftertitle"/>
        <w:rPr>
          <w:lang w:eastAsia="ko-KR"/>
        </w:rPr>
      </w:pPr>
      <w:r w:rsidRPr="00EF0670">
        <w:rPr>
          <w:lang w:eastAsia="ko-KR"/>
        </w:rPr>
        <w:t>Presentation of 360</w:t>
      </w:r>
      <w:r w:rsidRPr="00EF0670">
        <w:rPr>
          <w:rFonts w:asciiTheme="majorBidi" w:hAnsiTheme="majorBidi" w:cstheme="majorBidi"/>
          <w:vertAlign w:val="superscript"/>
          <w:lang w:eastAsia="zh-CN"/>
        </w:rPr>
        <w:t xml:space="preserve">o </w:t>
      </w:r>
      <w:r w:rsidRPr="00EF0670">
        <w:rPr>
          <w:lang w:eastAsia="ko-KR"/>
        </w:rPr>
        <w:t>images on a head-mounted display (HMD) requires the spatial characteristics as shown in Table 4.</w:t>
      </w:r>
    </w:p>
    <w:p w14:paraId="32D91641" w14:textId="77777777" w:rsidR="00433A89" w:rsidRPr="00EF0670" w:rsidRDefault="00433A89" w:rsidP="00433A89">
      <w:pPr>
        <w:pStyle w:val="TableNo"/>
        <w:rPr>
          <w:lang w:eastAsia="ja-JP"/>
        </w:rPr>
      </w:pPr>
      <w:r w:rsidRPr="00EF0670">
        <w:rPr>
          <w:lang w:eastAsia="ja-JP"/>
        </w:rPr>
        <w:t>TABLE 4</w:t>
      </w:r>
    </w:p>
    <w:p w14:paraId="4D3793CE" w14:textId="77777777" w:rsidR="00433A89" w:rsidRPr="00EF0670" w:rsidRDefault="00433A89" w:rsidP="00433A89">
      <w:pPr>
        <w:pStyle w:val="Tabletitle"/>
      </w:pPr>
      <w:r w:rsidRPr="00EF0670">
        <w:t>Spatial characteristics requirements for an HMD when presenting 360</w:t>
      </w:r>
      <w:r w:rsidRPr="00EF0670">
        <w:rPr>
          <w:vertAlign w:val="superscript"/>
        </w:rPr>
        <w:t>o</w:t>
      </w:r>
      <w:r w:rsidRPr="00EF0670">
        <w:t xml:space="preserve"> images</w:t>
      </w:r>
    </w:p>
    <w:tbl>
      <w:tblPr>
        <w:tblStyle w:val="TableGrid"/>
        <w:tblW w:w="0" w:type="auto"/>
        <w:tblLook w:val="04A0" w:firstRow="1" w:lastRow="0" w:firstColumn="1" w:lastColumn="0" w:noHBand="0" w:noVBand="1"/>
      </w:tblPr>
      <w:tblGrid>
        <w:gridCol w:w="2263"/>
        <w:gridCol w:w="4678"/>
        <w:gridCol w:w="2688"/>
      </w:tblGrid>
      <w:tr w:rsidR="00433A89" w:rsidRPr="00EF0670" w14:paraId="3A49F0B0" w14:textId="77777777" w:rsidTr="00FB58F9">
        <w:tc>
          <w:tcPr>
            <w:tcW w:w="6941" w:type="dxa"/>
            <w:gridSpan w:val="2"/>
          </w:tcPr>
          <w:p w14:paraId="682E2328" w14:textId="77777777" w:rsidR="00433A89" w:rsidRPr="00EF0670" w:rsidRDefault="00433A89" w:rsidP="00FB58F9">
            <w:pPr>
              <w:pStyle w:val="Tablehead"/>
              <w:rPr>
                <w:rFonts w:asciiTheme="majorBidi" w:hAnsiTheme="majorBidi" w:cstheme="majorBidi"/>
              </w:rPr>
            </w:pPr>
            <w:r w:rsidRPr="00EF0670">
              <w:rPr>
                <w:rFonts w:asciiTheme="majorBidi" w:hAnsiTheme="majorBidi" w:cstheme="majorBidi"/>
              </w:rPr>
              <w:t>Spatial characteristics</w:t>
            </w:r>
          </w:p>
        </w:tc>
        <w:tc>
          <w:tcPr>
            <w:tcW w:w="2688" w:type="dxa"/>
          </w:tcPr>
          <w:p w14:paraId="4D07AB78" w14:textId="77777777" w:rsidR="00433A89" w:rsidRPr="00EF0670" w:rsidRDefault="00433A89" w:rsidP="00FB58F9">
            <w:pPr>
              <w:pStyle w:val="Tablehead"/>
              <w:rPr>
                <w:rFonts w:asciiTheme="majorBidi" w:hAnsiTheme="majorBidi" w:cstheme="majorBidi"/>
              </w:rPr>
            </w:pPr>
            <w:r w:rsidRPr="00EF0670">
              <w:rPr>
                <w:rFonts w:asciiTheme="majorBidi" w:hAnsiTheme="majorBidi" w:cstheme="majorBidi"/>
              </w:rPr>
              <w:t>Requirements</w:t>
            </w:r>
          </w:p>
        </w:tc>
      </w:tr>
      <w:tr w:rsidR="00433A89" w:rsidRPr="00EF0670" w14:paraId="5A0375DE" w14:textId="77777777" w:rsidTr="00253E2D">
        <w:tc>
          <w:tcPr>
            <w:tcW w:w="2263" w:type="dxa"/>
            <w:vMerge w:val="restart"/>
            <w:vAlign w:val="center"/>
          </w:tcPr>
          <w:p w14:paraId="41A35E76" w14:textId="4E04161A"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Field of view</w:t>
            </w:r>
            <w:r w:rsidR="00253E2D" w:rsidRPr="00EF0670">
              <w:rPr>
                <w:rFonts w:asciiTheme="majorBidi" w:hAnsiTheme="majorBidi" w:cstheme="majorBidi"/>
                <w:lang w:eastAsia="ja-JP"/>
              </w:rPr>
              <w:t xml:space="preserve"> </w:t>
            </w:r>
            <w:r w:rsidRPr="00EF0670">
              <w:rPr>
                <w:rFonts w:asciiTheme="majorBidi" w:hAnsiTheme="majorBidi" w:cstheme="majorBidi"/>
                <w:lang w:eastAsia="ja-JP"/>
              </w:rPr>
              <w:t>(FV)</w:t>
            </w:r>
          </w:p>
        </w:tc>
        <w:tc>
          <w:tcPr>
            <w:tcW w:w="4678" w:type="dxa"/>
          </w:tcPr>
          <w:p w14:paraId="336BBC7E"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Horizontal (FV</w:t>
            </w:r>
            <w:r w:rsidRPr="00EF0670">
              <w:rPr>
                <w:rFonts w:asciiTheme="majorBidi" w:hAnsiTheme="majorBidi" w:cstheme="majorBidi"/>
                <w:vertAlign w:val="subscript"/>
                <w:lang w:eastAsia="ja-JP"/>
              </w:rPr>
              <w:t>H</w:t>
            </w:r>
            <w:r w:rsidRPr="00EF0670">
              <w:rPr>
                <w:rFonts w:asciiTheme="majorBidi" w:hAnsiTheme="majorBidi" w:cstheme="majorBidi"/>
                <w:lang w:eastAsia="ja-JP"/>
              </w:rPr>
              <w:t>)</w:t>
            </w:r>
          </w:p>
        </w:tc>
        <w:tc>
          <w:tcPr>
            <w:tcW w:w="2688" w:type="dxa"/>
          </w:tcPr>
          <w:p w14:paraId="472B0FA1"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FV</w:t>
            </w:r>
            <w:r w:rsidRPr="00EF0670">
              <w:rPr>
                <w:rFonts w:asciiTheme="majorBidi" w:hAnsiTheme="majorBidi" w:cstheme="majorBidi"/>
                <w:vertAlign w:val="subscript"/>
                <w:lang w:eastAsia="ja-JP"/>
              </w:rPr>
              <w:t>H</w:t>
            </w:r>
            <w:r w:rsidRPr="00EF0670">
              <w:rPr>
                <w:rFonts w:asciiTheme="majorBidi" w:hAnsiTheme="majorBidi" w:cstheme="majorBidi"/>
                <w:lang w:eastAsia="ja-JP"/>
              </w:rPr>
              <w:t xml:space="preserve"> ≥ 240</w:t>
            </w:r>
            <w:r w:rsidRPr="00EF0670">
              <w:rPr>
                <w:rFonts w:asciiTheme="majorBidi" w:hAnsiTheme="majorBidi" w:cstheme="majorBidi"/>
                <w:vertAlign w:val="superscript"/>
                <w:lang w:eastAsia="ja-JP"/>
              </w:rPr>
              <w:t>o</w:t>
            </w:r>
          </w:p>
        </w:tc>
      </w:tr>
      <w:tr w:rsidR="00433A89" w:rsidRPr="00EF0670" w14:paraId="263D4458" w14:textId="77777777" w:rsidTr="00253E2D">
        <w:tc>
          <w:tcPr>
            <w:tcW w:w="2263" w:type="dxa"/>
            <w:vMerge/>
            <w:vAlign w:val="center"/>
          </w:tcPr>
          <w:p w14:paraId="51CDB272" w14:textId="77777777" w:rsidR="00433A89" w:rsidRPr="00EF0670" w:rsidRDefault="00433A89" w:rsidP="00FB58F9">
            <w:pPr>
              <w:pStyle w:val="Tabletext"/>
              <w:jc w:val="center"/>
              <w:rPr>
                <w:rFonts w:asciiTheme="majorBidi" w:hAnsiTheme="majorBidi" w:cstheme="majorBidi"/>
                <w:b/>
                <w:lang w:eastAsia="ja-JP"/>
              </w:rPr>
            </w:pPr>
          </w:p>
        </w:tc>
        <w:tc>
          <w:tcPr>
            <w:tcW w:w="4678" w:type="dxa"/>
          </w:tcPr>
          <w:p w14:paraId="5B438F5C"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Vertical (FV</w:t>
            </w:r>
            <w:r w:rsidRPr="00EF0670">
              <w:rPr>
                <w:rFonts w:asciiTheme="majorBidi" w:hAnsiTheme="majorBidi" w:cstheme="majorBidi"/>
                <w:vertAlign w:val="subscript"/>
                <w:lang w:eastAsia="ja-JP"/>
              </w:rPr>
              <w:t>V</w:t>
            </w:r>
            <w:r w:rsidRPr="00EF0670">
              <w:rPr>
                <w:rFonts w:asciiTheme="majorBidi" w:hAnsiTheme="majorBidi" w:cstheme="majorBidi"/>
                <w:lang w:eastAsia="ja-JP"/>
              </w:rPr>
              <w:t>)</w:t>
            </w:r>
          </w:p>
        </w:tc>
        <w:tc>
          <w:tcPr>
            <w:tcW w:w="2688" w:type="dxa"/>
          </w:tcPr>
          <w:p w14:paraId="49DFB55B"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FV</w:t>
            </w:r>
            <w:r w:rsidRPr="00EF0670">
              <w:rPr>
                <w:rFonts w:asciiTheme="majorBidi" w:hAnsiTheme="majorBidi" w:cstheme="majorBidi"/>
                <w:vertAlign w:val="subscript"/>
                <w:lang w:eastAsia="ja-JP"/>
              </w:rPr>
              <w:t>V</w:t>
            </w:r>
            <w:r w:rsidRPr="00EF0670">
              <w:rPr>
                <w:rFonts w:asciiTheme="majorBidi" w:hAnsiTheme="majorBidi" w:cstheme="majorBidi"/>
                <w:lang w:eastAsia="ja-JP"/>
              </w:rPr>
              <w:t xml:space="preserve"> ≥ 160</w:t>
            </w:r>
            <w:r w:rsidRPr="00EF0670">
              <w:rPr>
                <w:rFonts w:asciiTheme="majorBidi" w:hAnsiTheme="majorBidi" w:cstheme="majorBidi"/>
                <w:vertAlign w:val="superscript"/>
                <w:lang w:eastAsia="ja-JP"/>
              </w:rPr>
              <w:t xml:space="preserve"> o</w:t>
            </w:r>
          </w:p>
        </w:tc>
      </w:tr>
      <w:tr w:rsidR="00433A89" w:rsidRPr="00EF0670" w14:paraId="7603BB34" w14:textId="77777777" w:rsidTr="00253E2D">
        <w:tc>
          <w:tcPr>
            <w:tcW w:w="2263" w:type="dxa"/>
            <w:vMerge w:val="restart"/>
            <w:vAlign w:val="center"/>
          </w:tcPr>
          <w:p w14:paraId="1773A71B"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Spatial resolution (SR)</w:t>
            </w:r>
          </w:p>
        </w:tc>
        <w:tc>
          <w:tcPr>
            <w:tcW w:w="4678" w:type="dxa"/>
          </w:tcPr>
          <w:p w14:paraId="4ADE870E"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FV</w:t>
            </w:r>
            <w:r w:rsidRPr="00EF0670">
              <w:rPr>
                <w:rFonts w:asciiTheme="majorBidi" w:hAnsiTheme="majorBidi" w:cstheme="majorBidi"/>
                <w:vertAlign w:val="subscript"/>
                <w:lang w:eastAsia="ja-JP"/>
              </w:rPr>
              <w:t>H</w:t>
            </w:r>
            <w:r w:rsidRPr="00EF0670">
              <w:rPr>
                <w:rFonts w:asciiTheme="majorBidi" w:hAnsiTheme="majorBidi" w:cstheme="majorBidi"/>
                <w:lang w:eastAsia="ja-JP"/>
              </w:rPr>
              <w:t xml:space="preserve"> ≤ 100</w:t>
            </w:r>
            <w:r w:rsidRPr="00EF0670">
              <w:rPr>
                <w:rFonts w:asciiTheme="majorBidi" w:hAnsiTheme="majorBidi" w:cstheme="majorBidi"/>
                <w:vertAlign w:val="superscript"/>
                <w:lang w:eastAsia="ja-JP"/>
              </w:rPr>
              <w:t>o</w:t>
            </w:r>
            <w:r w:rsidRPr="00EF0670">
              <w:rPr>
                <w:rFonts w:asciiTheme="majorBidi" w:hAnsiTheme="majorBidi" w:cstheme="majorBidi"/>
                <w:lang w:eastAsia="ja-JP"/>
              </w:rPr>
              <w:t>, FV</w:t>
            </w:r>
            <w:r w:rsidRPr="00EF0670">
              <w:rPr>
                <w:rFonts w:asciiTheme="majorBidi" w:hAnsiTheme="majorBidi" w:cstheme="majorBidi"/>
                <w:vertAlign w:val="subscript"/>
                <w:lang w:eastAsia="ja-JP"/>
              </w:rPr>
              <w:t>V</w:t>
            </w:r>
            <w:r w:rsidRPr="00EF0670">
              <w:rPr>
                <w:rFonts w:asciiTheme="majorBidi" w:hAnsiTheme="majorBidi" w:cstheme="majorBidi"/>
                <w:lang w:eastAsia="ja-JP"/>
              </w:rPr>
              <w:t xml:space="preserve"> ≤ 90</w:t>
            </w:r>
            <w:r w:rsidRPr="00EF0670">
              <w:rPr>
                <w:rFonts w:asciiTheme="majorBidi" w:hAnsiTheme="majorBidi" w:cstheme="majorBidi"/>
                <w:vertAlign w:val="superscript"/>
                <w:lang w:eastAsia="ja-JP"/>
              </w:rPr>
              <w:t>o</w:t>
            </w:r>
          </w:p>
        </w:tc>
        <w:tc>
          <w:tcPr>
            <w:tcW w:w="2688" w:type="dxa"/>
          </w:tcPr>
          <w:p w14:paraId="55F01287"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SR ≥ 30 cpd</w:t>
            </w:r>
          </w:p>
        </w:tc>
      </w:tr>
      <w:tr w:rsidR="00433A89" w:rsidRPr="00EF0670" w14:paraId="34F3F4D6" w14:textId="77777777" w:rsidTr="00253E2D">
        <w:tc>
          <w:tcPr>
            <w:tcW w:w="2263" w:type="dxa"/>
            <w:vMerge/>
          </w:tcPr>
          <w:p w14:paraId="0831A4E4" w14:textId="77777777" w:rsidR="00433A89" w:rsidRPr="00EF0670" w:rsidRDefault="00433A89" w:rsidP="00FB58F9">
            <w:pPr>
              <w:pStyle w:val="Tabletext"/>
              <w:jc w:val="center"/>
              <w:rPr>
                <w:rFonts w:asciiTheme="majorBidi" w:hAnsiTheme="majorBidi" w:cstheme="majorBidi"/>
                <w:b/>
                <w:sz w:val="21"/>
                <w:szCs w:val="21"/>
                <w:lang w:eastAsia="ja-JP"/>
              </w:rPr>
            </w:pPr>
          </w:p>
        </w:tc>
        <w:tc>
          <w:tcPr>
            <w:tcW w:w="4678" w:type="dxa"/>
          </w:tcPr>
          <w:p w14:paraId="738F80FD" w14:textId="7ADB00C8" w:rsidR="00433A89" w:rsidRPr="000066C0" w:rsidRDefault="00433A89" w:rsidP="00FB58F9">
            <w:pPr>
              <w:pStyle w:val="Tabletext"/>
              <w:jc w:val="center"/>
              <w:rPr>
                <w:rFonts w:asciiTheme="majorBidi" w:hAnsiTheme="majorBidi" w:cstheme="majorBidi"/>
                <w:b/>
                <w:lang w:val="es-ES" w:eastAsia="ja-JP"/>
              </w:rPr>
            </w:pPr>
            <w:r w:rsidRPr="000066C0">
              <w:rPr>
                <w:rFonts w:asciiTheme="majorBidi" w:hAnsiTheme="majorBidi" w:cstheme="majorBidi"/>
                <w:lang w:val="es-ES" w:eastAsia="ja-JP"/>
              </w:rPr>
              <w:t>100</w:t>
            </w:r>
            <w:r w:rsidRPr="000066C0">
              <w:rPr>
                <w:rFonts w:asciiTheme="majorBidi" w:hAnsiTheme="majorBidi" w:cstheme="majorBidi"/>
                <w:vertAlign w:val="superscript"/>
                <w:lang w:val="es-ES" w:eastAsia="ja-JP"/>
              </w:rPr>
              <w:t>o</w:t>
            </w:r>
            <w:r w:rsidRPr="000066C0">
              <w:rPr>
                <w:rFonts w:asciiTheme="majorBidi" w:hAnsiTheme="majorBidi" w:cstheme="majorBidi"/>
                <w:lang w:val="es-ES" w:eastAsia="ja-JP"/>
              </w:rPr>
              <w:t xml:space="preserve"> &lt; FV</w:t>
            </w:r>
            <w:r w:rsidRPr="000066C0">
              <w:rPr>
                <w:rFonts w:asciiTheme="majorBidi" w:hAnsiTheme="majorBidi" w:cstheme="majorBidi"/>
                <w:vertAlign w:val="subscript"/>
                <w:lang w:val="es-ES" w:eastAsia="ja-JP"/>
              </w:rPr>
              <w:t>H</w:t>
            </w:r>
            <w:r w:rsidRPr="000066C0">
              <w:rPr>
                <w:rFonts w:asciiTheme="majorBidi" w:hAnsiTheme="majorBidi" w:cstheme="majorBidi"/>
                <w:lang w:val="es-ES" w:eastAsia="ja-JP"/>
              </w:rPr>
              <w:t xml:space="preserve"> ≤ 160</w:t>
            </w:r>
            <w:r w:rsidRPr="000066C0">
              <w:rPr>
                <w:rFonts w:asciiTheme="majorBidi" w:hAnsiTheme="majorBidi" w:cstheme="majorBidi"/>
                <w:vertAlign w:val="superscript"/>
                <w:lang w:val="es-ES" w:eastAsia="ja-JP"/>
              </w:rPr>
              <w:t>o</w:t>
            </w:r>
            <w:r w:rsidRPr="000066C0">
              <w:rPr>
                <w:rFonts w:asciiTheme="majorBidi" w:hAnsiTheme="majorBidi" w:cstheme="majorBidi"/>
                <w:lang w:val="es-ES" w:eastAsia="ja-JP"/>
              </w:rPr>
              <w:t>, 90</w:t>
            </w:r>
            <w:r w:rsidRPr="000066C0">
              <w:rPr>
                <w:rFonts w:asciiTheme="majorBidi" w:hAnsiTheme="majorBidi" w:cstheme="majorBidi"/>
                <w:vertAlign w:val="superscript"/>
                <w:lang w:val="es-ES" w:eastAsia="ja-JP"/>
              </w:rPr>
              <w:t>o</w:t>
            </w:r>
            <w:r w:rsidRPr="000066C0">
              <w:rPr>
                <w:rFonts w:asciiTheme="majorBidi" w:hAnsiTheme="majorBidi" w:cstheme="majorBidi"/>
                <w:lang w:val="es-ES" w:eastAsia="ja-JP"/>
              </w:rPr>
              <w:t xml:space="preserve"> &lt; FV</w:t>
            </w:r>
            <w:r w:rsidRPr="000066C0">
              <w:rPr>
                <w:rFonts w:asciiTheme="majorBidi" w:hAnsiTheme="majorBidi" w:cstheme="majorBidi"/>
                <w:vertAlign w:val="subscript"/>
                <w:lang w:val="es-ES" w:eastAsia="ja-JP"/>
              </w:rPr>
              <w:t>V</w:t>
            </w:r>
            <w:r w:rsidRPr="000066C0">
              <w:rPr>
                <w:rFonts w:asciiTheme="majorBidi" w:hAnsiTheme="majorBidi" w:cstheme="majorBidi"/>
                <w:lang w:val="es-ES" w:eastAsia="ja-JP"/>
              </w:rPr>
              <w:t xml:space="preserve"> ≤ 110</w:t>
            </w:r>
            <w:r w:rsidRPr="000066C0">
              <w:rPr>
                <w:rFonts w:asciiTheme="majorBidi" w:hAnsiTheme="majorBidi" w:cstheme="majorBidi"/>
                <w:vertAlign w:val="superscript"/>
                <w:lang w:val="es-ES" w:eastAsia="ja-JP"/>
              </w:rPr>
              <w:t>o</w:t>
            </w:r>
          </w:p>
        </w:tc>
        <w:tc>
          <w:tcPr>
            <w:tcW w:w="2688" w:type="dxa"/>
          </w:tcPr>
          <w:p w14:paraId="635452A8"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SR ≥ 8 cpd</w:t>
            </w:r>
          </w:p>
        </w:tc>
      </w:tr>
      <w:tr w:rsidR="00433A89" w:rsidRPr="00EF0670" w14:paraId="555F5EE0" w14:textId="77777777" w:rsidTr="00253E2D">
        <w:tc>
          <w:tcPr>
            <w:tcW w:w="2263" w:type="dxa"/>
            <w:vMerge/>
            <w:tcBorders>
              <w:bottom w:val="single" w:sz="4" w:space="0" w:color="auto"/>
            </w:tcBorders>
          </w:tcPr>
          <w:p w14:paraId="0E048E9C" w14:textId="77777777" w:rsidR="00433A89" w:rsidRPr="00EF0670" w:rsidRDefault="00433A89" w:rsidP="00FB58F9">
            <w:pPr>
              <w:pStyle w:val="Tabletext"/>
              <w:jc w:val="center"/>
              <w:rPr>
                <w:rFonts w:asciiTheme="majorBidi" w:hAnsiTheme="majorBidi" w:cstheme="majorBidi"/>
                <w:b/>
                <w:sz w:val="21"/>
                <w:szCs w:val="21"/>
                <w:lang w:eastAsia="ja-JP"/>
              </w:rPr>
            </w:pPr>
          </w:p>
        </w:tc>
        <w:tc>
          <w:tcPr>
            <w:tcW w:w="4678" w:type="dxa"/>
            <w:tcBorders>
              <w:bottom w:val="single" w:sz="4" w:space="0" w:color="auto"/>
            </w:tcBorders>
          </w:tcPr>
          <w:p w14:paraId="5FDFBA7B"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160</w:t>
            </w:r>
            <w:r w:rsidRPr="00EF0670">
              <w:rPr>
                <w:rFonts w:asciiTheme="majorBidi" w:hAnsiTheme="majorBidi" w:cstheme="majorBidi"/>
                <w:vertAlign w:val="superscript"/>
                <w:lang w:eastAsia="ja-JP"/>
              </w:rPr>
              <w:t>o</w:t>
            </w:r>
            <w:r w:rsidRPr="00EF0670">
              <w:rPr>
                <w:rFonts w:asciiTheme="majorBidi" w:hAnsiTheme="majorBidi" w:cstheme="majorBidi"/>
                <w:lang w:eastAsia="ja-JP"/>
              </w:rPr>
              <w:t xml:space="preserve"> &lt; FV</w:t>
            </w:r>
            <w:r w:rsidRPr="00EF0670">
              <w:rPr>
                <w:rFonts w:asciiTheme="majorBidi" w:hAnsiTheme="majorBidi" w:cstheme="majorBidi"/>
                <w:vertAlign w:val="subscript"/>
                <w:lang w:eastAsia="ja-JP"/>
              </w:rPr>
              <w:t>H</w:t>
            </w:r>
            <w:r w:rsidRPr="00EF0670">
              <w:rPr>
                <w:rFonts w:asciiTheme="majorBidi" w:hAnsiTheme="majorBidi" w:cstheme="majorBidi"/>
                <w:lang w:eastAsia="ja-JP"/>
              </w:rPr>
              <w:t>, 110</w:t>
            </w:r>
            <w:r w:rsidRPr="00EF0670">
              <w:rPr>
                <w:rFonts w:asciiTheme="majorBidi" w:hAnsiTheme="majorBidi" w:cstheme="majorBidi"/>
                <w:vertAlign w:val="superscript"/>
                <w:lang w:eastAsia="ja-JP"/>
              </w:rPr>
              <w:t>o</w:t>
            </w:r>
            <w:r w:rsidRPr="00EF0670">
              <w:rPr>
                <w:rFonts w:asciiTheme="majorBidi" w:hAnsiTheme="majorBidi" w:cstheme="majorBidi"/>
                <w:lang w:eastAsia="ja-JP"/>
              </w:rPr>
              <w:t xml:space="preserve"> &lt; FV</w:t>
            </w:r>
            <w:r w:rsidRPr="00EF0670">
              <w:rPr>
                <w:rFonts w:asciiTheme="majorBidi" w:hAnsiTheme="majorBidi" w:cstheme="majorBidi"/>
                <w:vertAlign w:val="subscript"/>
                <w:lang w:eastAsia="ja-JP"/>
              </w:rPr>
              <w:t>V</w:t>
            </w:r>
          </w:p>
        </w:tc>
        <w:tc>
          <w:tcPr>
            <w:tcW w:w="2688" w:type="dxa"/>
            <w:tcBorders>
              <w:bottom w:val="single" w:sz="4" w:space="0" w:color="auto"/>
            </w:tcBorders>
          </w:tcPr>
          <w:p w14:paraId="2501E949" w14:textId="77777777" w:rsidR="00433A89" w:rsidRPr="00EF0670" w:rsidRDefault="00433A89" w:rsidP="00FB58F9">
            <w:pPr>
              <w:pStyle w:val="Tabletext"/>
              <w:jc w:val="center"/>
              <w:rPr>
                <w:rFonts w:asciiTheme="majorBidi" w:hAnsiTheme="majorBidi" w:cstheme="majorBidi"/>
                <w:b/>
                <w:lang w:eastAsia="ja-JP"/>
              </w:rPr>
            </w:pPr>
            <w:r w:rsidRPr="00EF0670">
              <w:rPr>
                <w:rFonts w:asciiTheme="majorBidi" w:hAnsiTheme="majorBidi" w:cstheme="majorBidi"/>
                <w:lang w:eastAsia="ja-JP"/>
              </w:rPr>
              <w:t>SR ≥ 1 cpd</w:t>
            </w:r>
          </w:p>
        </w:tc>
      </w:tr>
      <w:tr w:rsidR="00433A89" w:rsidRPr="00EF0670" w14:paraId="701AE829" w14:textId="77777777" w:rsidTr="00FB58F9">
        <w:tc>
          <w:tcPr>
            <w:tcW w:w="9629" w:type="dxa"/>
            <w:gridSpan w:val="3"/>
            <w:tcBorders>
              <w:left w:val="nil"/>
              <w:bottom w:val="nil"/>
              <w:right w:val="nil"/>
            </w:tcBorders>
          </w:tcPr>
          <w:p w14:paraId="46C78A8C" w14:textId="5E5070D1" w:rsidR="00433A89" w:rsidRPr="00EF0670" w:rsidRDefault="00433A89" w:rsidP="00FB58F9">
            <w:pPr>
              <w:pStyle w:val="Tablelegend"/>
              <w:rPr>
                <w:rFonts w:cs="Times New Roman"/>
                <w:szCs w:val="20"/>
                <w:lang w:eastAsia="ja-JP"/>
              </w:rPr>
            </w:pPr>
            <w:r w:rsidRPr="00EF0670">
              <w:rPr>
                <w:rFonts w:ascii="Times New Roman" w:hAnsi="Times New Roman" w:cs="Times New Roman"/>
                <w:i/>
                <w:iCs/>
                <w:szCs w:val="28"/>
                <w:lang w:eastAsia="ja-JP"/>
              </w:rPr>
              <w:t>Note</w:t>
            </w:r>
            <w:r w:rsidR="00691D3C" w:rsidRPr="00EF0670">
              <w:rPr>
                <w:rFonts w:ascii="Times New Roman" w:hAnsi="Times New Roman" w:cs="Times New Roman"/>
                <w:i/>
                <w:iCs/>
                <w:szCs w:val="28"/>
                <w:lang w:eastAsia="ja-JP"/>
              </w:rPr>
              <w:t xml:space="preserve"> to Table 4</w:t>
            </w:r>
            <w:r w:rsidR="00AE79D2" w:rsidRPr="00EF0670">
              <w:rPr>
                <w:rFonts w:ascii="Times New Roman" w:hAnsi="Times New Roman" w:cs="Times New Roman"/>
                <w:i/>
                <w:iCs/>
                <w:szCs w:val="28"/>
                <w:lang w:eastAsia="ja-JP"/>
              </w:rPr>
              <w:t>:</w:t>
            </w:r>
            <w:r w:rsidRPr="00EF0670">
              <w:rPr>
                <w:rFonts w:ascii="Times New Roman" w:hAnsi="Times New Roman" w:cs="Times New Roman"/>
                <w:szCs w:val="28"/>
                <w:lang w:eastAsia="ja-JP"/>
              </w:rPr>
              <w:t xml:space="preserve"> The requirements are based on Report ITU-R BT.2506-1.</w:t>
            </w:r>
          </w:p>
        </w:tc>
      </w:tr>
    </w:tbl>
    <w:p w14:paraId="53495BCA" w14:textId="77777777" w:rsidR="00433A89" w:rsidRPr="00EF0670" w:rsidRDefault="00433A89" w:rsidP="000066C0">
      <w:pPr>
        <w:pStyle w:val="Tablefin"/>
        <w:rPr>
          <w:lang w:eastAsia="ja-JP"/>
        </w:rPr>
      </w:pPr>
    </w:p>
    <w:p w14:paraId="425DA96E" w14:textId="77777777" w:rsidR="00707C3E" w:rsidRPr="00EF0670" w:rsidRDefault="00707C3E" w:rsidP="00707C3E">
      <w:pPr>
        <w:rPr>
          <w:lang w:eastAsia="ja-JP"/>
        </w:rPr>
      </w:pPr>
    </w:p>
    <w:p w14:paraId="1E39B568" w14:textId="77777777" w:rsidR="00707C3E" w:rsidRPr="00EF0670" w:rsidRDefault="00707C3E" w:rsidP="00707C3E">
      <w:pPr>
        <w:pStyle w:val="Line"/>
        <w:rPr>
          <w:lang w:eastAsia="ja-JP"/>
        </w:rPr>
      </w:pPr>
    </w:p>
    <w:sectPr w:rsidR="00707C3E" w:rsidRPr="00EF0670" w:rsidSect="00DA7A49">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FE21A" w14:textId="77777777" w:rsidR="00756CB2" w:rsidRDefault="00756CB2">
      <w:r>
        <w:separator/>
      </w:r>
    </w:p>
  </w:endnote>
  <w:endnote w:type="continuationSeparator" w:id="0">
    <w:p w14:paraId="29CA814C" w14:textId="77777777" w:rsidR="00756CB2" w:rsidRDefault="00756CB2">
      <w:r>
        <w:continuationSeparator/>
      </w:r>
    </w:p>
  </w:endnote>
  <w:endnote w:type="continuationNotice" w:id="1">
    <w:p w14:paraId="1992FDD8" w14:textId="77777777" w:rsidR="00756CB2" w:rsidRDefault="00756C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F1C4" w14:textId="77777777" w:rsidR="00756CB2" w:rsidRDefault="00756CB2">
      <w:r>
        <w:separator/>
      </w:r>
    </w:p>
  </w:footnote>
  <w:footnote w:type="continuationSeparator" w:id="0">
    <w:p w14:paraId="7E315940" w14:textId="77777777" w:rsidR="00756CB2" w:rsidRDefault="00756CB2">
      <w:r>
        <w:continuationSeparator/>
      </w:r>
    </w:p>
  </w:footnote>
  <w:footnote w:type="continuationNotice" w:id="1">
    <w:p w14:paraId="3553C55B" w14:textId="77777777" w:rsidR="00756CB2" w:rsidRDefault="00756CB2">
      <w:pPr>
        <w:spacing w:before="0"/>
      </w:pPr>
    </w:p>
  </w:footnote>
  <w:footnote w:id="2">
    <w:p w14:paraId="658F9F86" w14:textId="77777777" w:rsidR="00707C3E" w:rsidRPr="00621E25" w:rsidRDefault="00707C3E" w:rsidP="00707C3E">
      <w:pPr>
        <w:pStyle w:val="FootnoteText"/>
        <w:rPr>
          <w:lang w:eastAsia="ja-JP"/>
        </w:rPr>
      </w:pPr>
      <w:r>
        <w:rPr>
          <w:rStyle w:val="FootnoteReference"/>
        </w:rPr>
        <w:footnoteRef/>
      </w:r>
      <w:r w:rsidRPr="00621E25">
        <w:tab/>
      </w:r>
      <w:r w:rsidRPr="00621E25">
        <w:rPr>
          <w:lang w:eastAsia="ja-JP"/>
        </w:rPr>
        <w:t xml:space="preserve">Programme material in which a user can freely look around in any direction having three degrees of freedom (3DoF) (yaw, pitch, and roll). A typical use case is a user sitting in a chair looking at 3D </w:t>
      </w:r>
      <w:r>
        <w:rPr>
          <w:lang w:val="en-US" w:eastAsia="ja-JP"/>
        </w:rPr>
        <w:t>VR/360°</w:t>
      </w:r>
      <w:r w:rsidRPr="00621E25">
        <w:rPr>
          <w:lang w:eastAsia="ja-JP"/>
        </w:rPr>
        <w:t xml:space="preserve"> content presented on a head-mounted display (HMD). Figure 1 provides further detail.</w:t>
      </w:r>
    </w:p>
  </w:footnote>
  <w:footnote w:id="3">
    <w:p w14:paraId="51E7CB25" w14:textId="77777777" w:rsidR="00707C3E" w:rsidRPr="00621E25" w:rsidRDefault="00707C3E" w:rsidP="00707C3E">
      <w:pPr>
        <w:pStyle w:val="FootnoteText"/>
        <w:rPr>
          <w:lang w:eastAsia="ja-JP"/>
        </w:rPr>
      </w:pPr>
      <w:r>
        <w:rPr>
          <w:rStyle w:val="FootnoteReference"/>
        </w:rPr>
        <w:footnoteRef/>
      </w:r>
      <w:r w:rsidRPr="00621E25">
        <w:tab/>
        <w:t>This Annex is based on the specifications in ISO/IEC 23090-2 Omnidirectional Media Format.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0A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B8088"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209466EA"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95604">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B97974">
      <w:rPr>
        <w:b/>
        <w:bCs/>
        <w:noProof/>
        <w:lang w:val="en-US"/>
      </w:rPr>
      <w:t>ITU-R  BT.2123-1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3E7B8E3B"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A9560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2306C">
      <w:rPr>
        <w:b/>
        <w:bCs/>
        <w:noProof/>
      </w:rPr>
      <w:t>ITU-R  BT.2163-0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535F636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A95604" w:rsidRPr="00A95604">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B97974">
      <w:rPr>
        <w:b/>
        <w:bCs/>
        <w:noProof/>
        <w:lang w:val="en-US"/>
      </w:rPr>
      <w:t>ITU-R  BT.2123-1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0F47404A" w:rsidR="00607D68" w:rsidRDefault="00607D68">
    <w:pPr>
      <w:pStyle w:val="Header"/>
    </w:pPr>
    <w:r>
      <w:tab/>
    </w:r>
    <w:fldSimple w:instr=" DOCPROPERTY &quot;Header&quot; \* MERGEFORMAT ">
      <w:r w:rsidR="00A95604" w:rsidRPr="00A95604">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B97974">
      <w:rPr>
        <w:b/>
        <w:bCs/>
        <w:noProof/>
      </w:rPr>
      <w:t>ITU-R  BT.2123-1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066C0"/>
    <w:rsid w:val="00011746"/>
    <w:rsid w:val="00022BF1"/>
    <w:rsid w:val="00044732"/>
    <w:rsid w:val="000923E3"/>
    <w:rsid w:val="001B368D"/>
    <w:rsid w:val="001C6894"/>
    <w:rsid w:val="001D5E91"/>
    <w:rsid w:val="001D73BE"/>
    <w:rsid w:val="0021295D"/>
    <w:rsid w:val="00217EBF"/>
    <w:rsid w:val="00220FFA"/>
    <w:rsid w:val="00231A98"/>
    <w:rsid w:val="00232810"/>
    <w:rsid w:val="002374D5"/>
    <w:rsid w:val="00242AEE"/>
    <w:rsid w:val="00253E2D"/>
    <w:rsid w:val="002D76C4"/>
    <w:rsid w:val="002E1796"/>
    <w:rsid w:val="002F286C"/>
    <w:rsid w:val="002F35D5"/>
    <w:rsid w:val="003C2990"/>
    <w:rsid w:val="003C670C"/>
    <w:rsid w:val="00433A89"/>
    <w:rsid w:val="004500D0"/>
    <w:rsid w:val="004657BD"/>
    <w:rsid w:val="004B128E"/>
    <w:rsid w:val="004B3256"/>
    <w:rsid w:val="004E31EA"/>
    <w:rsid w:val="005243E6"/>
    <w:rsid w:val="0052529D"/>
    <w:rsid w:val="005279BB"/>
    <w:rsid w:val="00570495"/>
    <w:rsid w:val="00587A38"/>
    <w:rsid w:val="005C0A8E"/>
    <w:rsid w:val="005C76D7"/>
    <w:rsid w:val="005E6E33"/>
    <w:rsid w:val="00607D68"/>
    <w:rsid w:val="00622A04"/>
    <w:rsid w:val="0063016C"/>
    <w:rsid w:val="0065530E"/>
    <w:rsid w:val="00667612"/>
    <w:rsid w:val="00667EDB"/>
    <w:rsid w:val="00684BCD"/>
    <w:rsid w:val="00691D3C"/>
    <w:rsid w:val="00707C3E"/>
    <w:rsid w:val="00712B52"/>
    <w:rsid w:val="00745387"/>
    <w:rsid w:val="007468DA"/>
    <w:rsid w:val="00756CB2"/>
    <w:rsid w:val="00765501"/>
    <w:rsid w:val="00772C46"/>
    <w:rsid w:val="007A4FE9"/>
    <w:rsid w:val="007C7D30"/>
    <w:rsid w:val="007E4410"/>
    <w:rsid w:val="007F6B7E"/>
    <w:rsid w:val="008030EF"/>
    <w:rsid w:val="00841BB7"/>
    <w:rsid w:val="008440C2"/>
    <w:rsid w:val="00876A91"/>
    <w:rsid w:val="008B597A"/>
    <w:rsid w:val="008B5D30"/>
    <w:rsid w:val="008E261A"/>
    <w:rsid w:val="0091261D"/>
    <w:rsid w:val="00913943"/>
    <w:rsid w:val="009A6AF1"/>
    <w:rsid w:val="009E00A8"/>
    <w:rsid w:val="00A6617B"/>
    <w:rsid w:val="00A7601F"/>
    <w:rsid w:val="00A95604"/>
    <w:rsid w:val="00AA0199"/>
    <w:rsid w:val="00AB0DC8"/>
    <w:rsid w:val="00AB0FF2"/>
    <w:rsid w:val="00AE37B4"/>
    <w:rsid w:val="00AE79D2"/>
    <w:rsid w:val="00AF1B48"/>
    <w:rsid w:val="00B03CAD"/>
    <w:rsid w:val="00B0719B"/>
    <w:rsid w:val="00B44E24"/>
    <w:rsid w:val="00B573ED"/>
    <w:rsid w:val="00B71BA8"/>
    <w:rsid w:val="00B97974"/>
    <w:rsid w:val="00BC0133"/>
    <w:rsid w:val="00BE4E65"/>
    <w:rsid w:val="00BF31F5"/>
    <w:rsid w:val="00C04C22"/>
    <w:rsid w:val="00C740B8"/>
    <w:rsid w:val="00C74CA4"/>
    <w:rsid w:val="00CD28B8"/>
    <w:rsid w:val="00D30CA6"/>
    <w:rsid w:val="00D45E17"/>
    <w:rsid w:val="00D971D7"/>
    <w:rsid w:val="00DA7A49"/>
    <w:rsid w:val="00DC2B47"/>
    <w:rsid w:val="00DE1988"/>
    <w:rsid w:val="00DE2FCC"/>
    <w:rsid w:val="00DF4176"/>
    <w:rsid w:val="00E4513C"/>
    <w:rsid w:val="00E45438"/>
    <w:rsid w:val="00E73F74"/>
    <w:rsid w:val="00EB30B5"/>
    <w:rsid w:val="00ED175C"/>
    <w:rsid w:val="00EF0670"/>
    <w:rsid w:val="00F2306C"/>
    <w:rsid w:val="00F335DC"/>
    <w:rsid w:val="00F50786"/>
    <w:rsid w:val="00F92570"/>
    <w:rsid w:val="00FA3A49"/>
    <w:rsid w:val="00FE7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uiPriority w:val="9"/>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uiPriority w:val="99"/>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uiPriority w:val="59"/>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semiHidden/>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semiHidden/>
    <w:unhideWhenUsed/>
    <w:rsid w:val="008030EF"/>
    <w:rPr>
      <w:b/>
      <w:bCs/>
    </w:rPr>
  </w:style>
  <w:style w:type="character" w:customStyle="1" w:styleId="CommentSubjectChar">
    <w:name w:val="Comment Subject Char"/>
    <w:basedOn w:val="CommentTextChar"/>
    <w:link w:val="CommentSubject"/>
    <w:semiHidden/>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character" w:customStyle="1" w:styleId="CallChar">
    <w:name w:val="Call Char"/>
    <w:link w:val="Call"/>
    <w:locked/>
    <w:rsid w:val="00707C3E"/>
    <w:rPr>
      <w:i/>
      <w:sz w:val="24"/>
      <w:lang w:val="en-GB" w:eastAsia="en-US"/>
    </w:rPr>
  </w:style>
  <w:style w:type="character" w:customStyle="1" w:styleId="TabletextChar">
    <w:name w:val="Table_text Char"/>
    <w:basedOn w:val="DefaultParagraphFont"/>
    <w:link w:val="Tabletext"/>
    <w:locked/>
    <w:rsid w:val="00707C3E"/>
    <w:rPr>
      <w:sz w:val="22"/>
      <w:lang w:val="en-GB" w:eastAsia="en-US"/>
    </w:rPr>
  </w:style>
  <w:style w:type="character" w:customStyle="1" w:styleId="NoteChar">
    <w:name w:val="Note Char"/>
    <w:link w:val="Note"/>
    <w:locked/>
    <w:rsid w:val="00707C3E"/>
    <w:rPr>
      <w:sz w:val="22"/>
      <w:lang w:val="en-GB" w:eastAsia="en-US"/>
    </w:rPr>
  </w:style>
  <w:style w:type="character" w:customStyle="1" w:styleId="TableNoChar">
    <w:name w:val="Table_No Char"/>
    <w:link w:val="TableNo"/>
    <w:locked/>
    <w:rsid w:val="00707C3E"/>
    <w:rPr>
      <w:sz w:val="24"/>
      <w:lang w:val="en-GB" w:eastAsia="en-US"/>
    </w:rPr>
  </w:style>
  <w:style w:type="character" w:customStyle="1" w:styleId="TabletitleChar">
    <w:name w:val="Table_title Char"/>
    <w:link w:val="Tabletitle"/>
    <w:locked/>
    <w:rsid w:val="00707C3E"/>
    <w:rPr>
      <w:b/>
      <w:sz w:val="24"/>
      <w:lang w:val="en-GB" w:eastAsia="en-US"/>
    </w:rPr>
  </w:style>
  <w:style w:type="character" w:customStyle="1" w:styleId="FigureNo0">
    <w:name w:val="Figure_No (文字)"/>
    <w:basedOn w:val="DefaultParagraphFont"/>
    <w:link w:val="FigureNo"/>
    <w:locked/>
    <w:rsid w:val="00707C3E"/>
    <w:rPr>
      <w:caps/>
      <w:sz w:val="18"/>
      <w:lang w:val="en-GB" w:eastAsia="en-US"/>
    </w:rPr>
  </w:style>
  <w:style w:type="character" w:customStyle="1" w:styleId="TableheadChar">
    <w:name w:val="Table_head Char"/>
    <w:link w:val="Tablehead"/>
    <w:locked/>
    <w:rsid w:val="00433A89"/>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R/go/patents/en"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OK - AQ</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42CDF-5493-48E3-B693-B2DD2F957573}">
  <ds:schemaRefs>
    <ds:schemaRef ds:uri="http://purl.org/dc/elements/1.1/"/>
    <ds:schemaRef ds:uri="4c6a61cb-1973-4fc6-92ae-f4d7a4471404"/>
    <ds:schemaRef ds:uri="http://purl.org/dc/dcmitype/"/>
    <ds:schemaRef ds:uri="http://purl.org/dc/terms/"/>
    <ds:schemaRef ds:uri="http://schemas.microsoft.com/office/2006/documentManagement/types"/>
    <ds:schemaRef ds:uri="fcb6b58c-b914-4d07-b93f-e162996dcb8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F6472-349D-4DFF-A600-AE65A3796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BR_Rec_2005.dotm</Template>
  <TotalTime>17</TotalTime>
  <Pages>7</Pages>
  <Words>1417</Words>
  <Characters>8228</Characters>
  <Application>Microsoft Office Word</Application>
  <DocSecurity>0</DocSecurity>
  <Lines>235</Lines>
  <Paragraphs>169</Paragraphs>
  <ScaleCrop>false</ScaleCrop>
  <HeadingPairs>
    <vt:vector size="2" baseType="variant">
      <vt:variant>
        <vt:lpstr>Title</vt:lpstr>
      </vt:variant>
      <vt:variant>
        <vt:i4>1</vt:i4>
      </vt:variant>
    </vt:vector>
  </HeadingPairs>
  <TitlesOfParts>
    <vt:vector size="1" baseType="lpstr">
      <vt:lpstr>Recommendation ITU-R BT.2123-1 (02/2025) -  Video parameter values for advanced immersive audio-visual systems for production and international programme exchange in broadcasting</vt:lpstr>
    </vt:vector>
  </TitlesOfParts>
  <Manager/>
  <Company>ITU</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BT.2123-1 (02/2025) -  Video parameter values for advanced immersive audio-visual systems for production and international programme exchange in broadcasting</dc:title>
  <dc:subject/>
  <dc:creator>Gachet, Christelle</dc:creator>
  <cp:keywords/>
  <dc:description/>
  <cp:lastModifiedBy>Gachet, Christelle</cp:lastModifiedBy>
  <cp:revision>8</cp:revision>
  <cp:lastPrinted>2005-02-10T15:54:00Z</cp:lastPrinted>
  <dcterms:created xsi:type="dcterms:W3CDTF">2025-01-20T12:02:00Z</dcterms:created>
  <dcterms:modified xsi:type="dcterms:W3CDTF">2025-01-20T12:23:00Z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