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F504" w14:textId="77777777" w:rsidR="00F335DC" w:rsidRPr="00EF0670" w:rsidRDefault="00F335DC" w:rsidP="00F335DC"/>
    <w:p w14:paraId="42EE66A8" w14:textId="77777777" w:rsidR="00F335DC" w:rsidRPr="00EF0670" w:rsidRDefault="00F335DC" w:rsidP="00F335DC">
      <w:pPr>
        <w:tabs>
          <w:tab w:val="clear" w:pos="794"/>
          <w:tab w:val="clear" w:pos="1191"/>
          <w:tab w:val="clear" w:pos="1588"/>
          <w:tab w:val="clear" w:pos="1985"/>
        </w:tabs>
      </w:pPr>
    </w:p>
    <w:p w14:paraId="4EE52175" w14:textId="394F4173" w:rsidR="00F335DC" w:rsidRPr="00EF0670" w:rsidRDefault="00F335DC" w:rsidP="00F335DC">
      <w:pPr>
        <w:pStyle w:val="CoverNumber"/>
        <w:rPr>
          <w:lang w:val="en-GB"/>
        </w:rPr>
      </w:pPr>
      <w:r w:rsidRPr="00EF0670">
        <w:rPr>
          <w:lang w:val="en-GB"/>
        </w:rPr>
        <w:t>Recommendation ITU-R BT.21</w:t>
      </w:r>
      <w:r w:rsidR="008E326A">
        <w:rPr>
          <w:lang w:val="en-GB"/>
        </w:rPr>
        <w:t>00</w:t>
      </w:r>
      <w:r w:rsidRPr="00EF0670">
        <w:rPr>
          <w:lang w:val="en-GB"/>
        </w:rPr>
        <w:t>-</w:t>
      </w:r>
      <w:r w:rsidR="007740D0">
        <w:rPr>
          <w:lang w:val="en-GB"/>
        </w:rPr>
        <w:t>3</w:t>
      </w:r>
    </w:p>
    <w:p w14:paraId="47416AF5" w14:textId="7F9129DA" w:rsidR="00F335DC" w:rsidRPr="00EF0670" w:rsidRDefault="00F335DC" w:rsidP="00F335DC">
      <w:pPr>
        <w:pStyle w:val="DateCover"/>
        <w:rPr>
          <w:lang w:val="en-GB"/>
        </w:rPr>
      </w:pPr>
      <w:r w:rsidRPr="00EF0670">
        <w:rPr>
          <w:lang w:val="en-GB"/>
        </w:rPr>
        <w:t>(</w:t>
      </w:r>
      <w:r w:rsidR="005C0A8E" w:rsidRPr="00EF0670">
        <w:rPr>
          <w:lang w:val="en-GB"/>
        </w:rPr>
        <w:t>02</w:t>
      </w:r>
      <w:r w:rsidRPr="00EF0670">
        <w:rPr>
          <w:lang w:val="en-GB"/>
        </w:rPr>
        <w:t>/</w:t>
      </w:r>
      <w:r w:rsidR="008030EF" w:rsidRPr="00EF0670">
        <w:rPr>
          <w:lang w:val="en-GB"/>
        </w:rPr>
        <w:t>202</w:t>
      </w:r>
      <w:r w:rsidR="005C0A8E" w:rsidRPr="00EF0670">
        <w:rPr>
          <w:lang w:val="en-GB"/>
        </w:rPr>
        <w:t>5</w:t>
      </w:r>
      <w:r w:rsidRPr="00EF0670">
        <w:rPr>
          <w:lang w:val="en-GB"/>
        </w:rPr>
        <w:t>)</w:t>
      </w:r>
    </w:p>
    <w:p w14:paraId="33B11099" w14:textId="77777777" w:rsidR="00F335DC" w:rsidRPr="00EF0670" w:rsidRDefault="00F335DC" w:rsidP="00F335DC">
      <w:pPr>
        <w:pStyle w:val="CoverSeries"/>
        <w:rPr>
          <w:lang w:val="en-GB"/>
        </w:rPr>
      </w:pPr>
      <w:r w:rsidRPr="00EF0670">
        <w:rPr>
          <w:lang w:val="en-GB"/>
        </w:rPr>
        <w:t xml:space="preserve">BT Series: </w:t>
      </w:r>
      <w:r w:rsidRPr="00EF0670">
        <w:rPr>
          <w:bCs w:val="0"/>
          <w:lang w:val="en-GB"/>
        </w:rPr>
        <w:t>Broadcasting service (television)</w:t>
      </w:r>
    </w:p>
    <w:p w14:paraId="2AD67E06" w14:textId="44F89FAC" w:rsidR="00F335DC" w:rsidRPr="00EF0670" w:rsidRDefault="009D2172" w:rsidP="00F335DC">
      <w:pPr>
        <w:pStyle w:val="TitleCover"/>
        <w:rPr>
          <w:lang w:val="en-GB"/>
        </w:rPr>
      </w:pPr>
      <w:r w:rsidRPr="00773436">
        <w:rPr>
          <w:lang w:eastAsia="zh-CN"/>
        </w:rPr>
        <w:t>Image parameter values for high dynamic range television for use in production</w:t>
      </w:r>
      <w:r>
        <w:rPr>
          <w:lang w:eastAsia="zh-CN"/>
        </w:rPr>
        <w:t xml:space="preserve"> </w:t>
      </w:r>
      <w:r w:rsidRPr="00773436">
        <w:rPr>
          <w:lang w:eastAsia="zh-CN"/>
        </w:rPr>
        <w:t>and international programme exchange</w:t>
      </w:r>
    </w:p>
    <w:p w14:paraId="01AD67C0" w14:textId="77777777" w:rsidR="00F335DC" w:rsidRPr="00EF0670" w:rsidRDefault="00F335DC" w:rsidP="00F335DC"/>
    <w:p w14:paraId="7471F3BC" w14:textId="77777777" w:rsidR="00F335DC" w:rsidRPr="00EF0670" w:rsidRDefault="00F335DC" w:rsidP="00F335DC"/>
    <w:p w14:paraId="52A05BF9" w14:textId="77777777" w:rsidR="00F335DC" w:rsidRPr="00EF0670" w:rsidRDefault="00F335DC" w:rsidP="00F335DC">
      <w:pPr>
        <w:sectPr w:rsidR="00F335DC" w:rsidRPr="00EF067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EF0670"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0" w:name="c2tope"/>
      <w:bookmarkEnd w:id="0"/>
      <w:r w:rsidRPr="00EF0670">
        <w:rPr>
          <w:bCs/>
          <w:sz w:val="24"/>
          <w:szCs w:val="24"/>
        </w:rPr>
        <w:lastRenderedPageBreak/>
        <w:t>Foreword</w:t>
      </w:r>
    </w:p>
    <w:p w14:paraId="18A95301" w14:textId="77777777" w:rsidR="00F335DC" w:rsidRPr="00EF0670" w:rsidRDefault="00F335DC" w:rsidP="00F335DC">
      <w:pPr>
        <w:spacing w:before="240"/>
        <w:rPr>
          <w:sz w:val="20"/>
        </w:rPr>
      </w:pPr>
      <w:r w:rsidRPr="00EF0670">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32E21A04" w14:textId="77777777" w:rsidR="00F335DC" w:rsidRPr="00EF0670" w:rsidRDefault="00F335DC" w:rsidP="00F335DC">
      <w:pPr>
        <w:rPr>
          <w:sz w:val="20"/>
        </w:rPr>
      </w:pPr>
      <w:r w:rsidRPr="00EF0670">
        <w:rPr>
          <w:sz w:val="20"/>
        </w:rPr>
        <w:t>The regulatory and policy functions of the Radiocommunication Sector are performed by World and Regional Radiocommunication Conferences and Radiocommunication Assemblies supported by Study Groups.</w:t>
      </w:r>
    </w:p>
    <w:p w14:paraId="270CDE53" w14:textId="77777777" w:rsidR="00F335DC" w:rsidRPr="00EF0670" w:rsidRDefault="00F335DC" w:rsidP="00F335DC">
      <w:pPr>
        <w:pStyle w:val="Heading1"/>
        <w:spacing w:before="680"/>
        <w:jc w:val="center"/>
        <w:rPr>
          <w:szCs w:val="24"/>
        </w:rPr>
      </w:pPr>
      <w:r w:rsidRPr="00EF0670">
        <w:rPr>
          <w:szCs w:val="24"/>
        </w:rPr>
        <w:t>Policy on Intellectual Property Right (IPR)</w:t>
      </w:r>
    </w:p>
    <w:p w14:paraId="33B9EBF2" w14:textId="34A76ADD" w:rsidR="00F335DC" w:rsidRPr="00EF0670" w:rsidRDefault="00F335DC" w:rsidP="00F335DC">
      <w:pPr>
        <w:tabs>
          <w:tab w:val="clear" w:pos="794"/>
          <w:tab w:val="clear" w:pos="1191"/>
          <w:tab w:val="clear" w:pos="1588"/>
          <w:tab w:val="clear" w:pos="1985"/>
        </w:tabs>
        <w:spacing w:before="240"/>
        <w:rPr>
          <w:sz w:val="20"/>
        </w:rPr>
      </w:pPr>
      <w:r w:rsidRPr="00EF0670">
        <w:rPr>
          <w:sz w:val="20"/>
        </w:rPr>
        <w:t>ITU-R policy on IPR is described in the Common Patent Policy for ITU-T/ITU-R/ISO/IEC referenced in Resolution ITU</w:t>
      </w:r>
      <w:r w:rsidRPr="00EF0670">
        <w:rPr>
          <w:sz w:val="20"/>
        </w:rPr>
        <w:noBreakHyphen/>
        <w:t xml:space="preserve">R 1. Forms to be used for the submission of patent statements and licensing declarations by patent holders are available from </w:t>
      </w:r>
      <w:hyperlink r:id="rId13" w:history="1">
        <w:r w:rsidR="004C7D5F" w:rsidRPr="000354F6">
          <w:rPr>
            <w:rStyle w:val="Hyperlink"/>
            <w:sz w:val="20"/>
          </w:rPr>
          <w:t>https://www.itu.int/ITU-R/go/patents/en</w:t>
        </w:r>
      </w:hyperlink>
      <w:r w:rsidRPr="00EF0670">
        <w:rPr>
          <w:sz w:val="20"/>
        </w:rPr>
        <w:t xml:space="preserve"> where the Guidelines for Implementation of the Common Patent Policy for ITU</w:t>
      </w:r>
      <w:r w:rsidRPr="00EF0670">
        <w:rPr>
          <w:sz w:val="20"/>
        </w:rPr>
        <w:noBreakHyphen/>
        <w:t>T/ITU</w:t>
      </w:r>
      <w:r w:rsidRPr="00EF0670">
        <w:rPr>
          <w:sz w:val="20"/>
        </w:rPr>
        <w:noBreakHyphen/>
        <w:t>R/ISO/IEC and the ITU-R patent information database can also be found.</w:t>
      </w:r>
    </w:p>
    <w:p w14:paraId="7E9D7BED" w14:textId="77777777" w:rsidR="00F335DC" w:rsidRPr="00EF0670" w:rsidRDefault="00F335DC" w:rsidP="00F335DC">
      <w:pPr>
        <w:jc w:val="center"/>
        <w:rPr>
          <w:sz w:val="22"/>
        </w:rPr>
      </w:pPr>
    </w:p>
    <w:p w14:paraId="7AA82B34" w14:textId="77777777" w:rsidR="00F335DC" w:rsidRPr="00EF0670" w:rsidRDefault="00F335DC" w:rsidP="00F335DC">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EF0670" w14:paraId="1218D7F8" w14:textId="77777777" w:rsidTr="00773F61">
        <w:tc>
          <w:tcPr>
            <w:tcW w:w="9360" w:type="dxa"/>
            <w:gridSpan w:val="2"/>
          </w:tcPr>
          <w:p w14:paraId="208E70B0" w14:textId="77777777" w:rsidR="00F335DC" w:rsidRPr="00EF0670" w:rsidRDefault="00F335DC" w:rsidP="00773F61">
            <w:pPr>
              <w:pStyle w:val="Chaptitle"/>
              <w:keepLines w:val="0"/>
              <w:tabs>
                <w:tab w:val="clear" w:pos="794"/>
                <w:tab w:val="clear" w:pos="1191"/>
                <w:tab w:val="clear" w:pos="1588"/>
                <w:tab w:val="clear" w:pos="1985"/>
              </w:tabs>
              <w:overflowPunct/>
              <w:spacing w:before="180"/>
              <w:textAlignment w:val="auto"/>
              <w:rPr>
                <w:sz w:val="22"/>
                <w:szCs w:val="22"/>
              </w:rPr>
            </w:pPr>
            <w:r w:rsidRPr="00EF0670">
              <w:rPr>
                <w:sz w:val="22"/>
                <w:szCs w:val="22"/>
              </w:rPr>
              <w:t xml:space="preserve">Series of ITU-R Recommendations </w:t>
            </w:r>
          </w:p>
          <w:p w14:paraId="1385E116"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EF0670">
              <w:rPr>
                <w:b w:val="0"/>
                <w:sz w:val="18"/>
                <w:szCs w:val="18"/>
              </w:rPr>
              <w:t xml:space="preserve">(Also available online at </w:t>
            </w:r>
            <w:hyperlink r:id="rId14" w:history="1">
              <w:r w:rsidRPr="00EF0670">
                <w:rPr>
                  <w:rStyle w:val="Hyperlink"/>
                  <w:b w:val="0"/>
                  <w:sz w:val="18"/>
                  <w:szCs w:val="18"/>
                </w:rPr>
                <w:t>https://www.itu.int/publ/R-REC/en</w:t>
              </w:r>
            </w:hyperlink>
            <w:r w:rsidRPr="00EF0670">
              <w:rPr>
                <w:b w:val="0"/>
                <w:sz w:val="18"/>
                <w:szCs w:val="18"/>
              </w:rPr>
              <w:t>)</w:t>
            </w:r>
          </w:p>
        </w:tc>
      </w:tr>
      <w:tr w:rsidR="00F335DC" w:rsidRPr="00EF0670" w14:paraId="3535A45C" w14:textId="77777777" w:rsidTr="00773F61">
        <w:tc>
          <w:tcPr>
            <w:tcW w:w="1140" w:type="dxa"/>
            <w:tcBorders>
              <w:bottom w:val="nil"/>
            </w:tcBorders>
            <w:vAlign w:val="bottom"/>
          </w:tcPr>
          <w:p w14:paraId="5E2209CD" w14:textId="77777777" w:rsidR="00F335DC" w:rsidRPr="00EF0670" w:rsidRDefault="00F335DC" w:rsidP="00773F61">
            <w:pPr>
              <w:spacing w:before="200" w:after="100"/>
              <w:ind w:left="57"/>
              <w:jc w:val="left"/>
              <w:rPr>
                <w:b/>
                <w:bCs/>
                <w:sz w:val="20"/>
              </w:rPr>
            </w:pPr>
            <w:r w:rsidRPr="00EF0670">
              <w:rPr>
                <w:b/>
                <w:bCs/>
                <w:sz w:val="20"/>
              </w:rPr>
              <w:t>Series</w:t>
            </w:r>
          </w:p>
        </w:tc>
        <w:tc>
          <w:tcPr>
            <w:tcW w:w="8220" w:type="dxa"/>
            <w:tcBorders>
              <w:bottom w:val="nil"/>
            </w:tcBorders>
            <w:vAlign w:val="bottom"/>
          </w:tcPr>
          <w:p w14:paraId="5ADEECF7"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EF0670">
              <w:rPr>
                <w:bCs/>
                <w:sz w:val="20"/>
              </w:rPr>
              <w:t>Title</w:t>
            </w:r>
          </w:p>
        </w:tc>
      </w:tr>
      <w:tr w:rsidR="00F335DC" w:rsidRPr="00EF0670" w14:paraId="067668A7" w14:textId="77777777" w:rsidTr="00773F61">
        <w:tc>
          <w:tcPr>
            <w:tcW w:w="1140" w:type="dxa"/>
            <w:tcBorders>
              <w:top w:val="nil"/>
              <w:bottom w:val="nil"/>
            </w:tcBorders>
            <w:shd w:val="clear" w:color="auto" w:fill="auto"/>
          </w:tcPr>
          <w:p w14:paraId="65EF3516" w14:textId="77777777" w:rsidR="00F335DC" w:rsidRPr="00EF0670" w:rsidRDefault="00F335DC" w:rsidP="00773F61">
            <w:pPr>
              <w:spacing w:before="30" w:after="30"/>
              <w:ind w:left="57"/>
              <w:jc w:val="left"/>
              <w:rPr>
                <w:b/>
                <w:sz w:val="20"/>
              </w:rPr>
            </w:pPr>
            <w:r w:rsidRPr="00EF0670">
              <w:rPr>
                <w:b/>
                <w:sz w:val="20"/>
              </w:rPr>
              <w:t>BO</w:t>
            </w:r>
          </w:p>
        </w:tc>
        <w:tc>
          <w:tcPr>
            <w:tcW w:w="8220" w:type="dxa"/>
            <w:tcBorders>
              <w:top w:val="nil"/>
              <w:bottom w:val="nil"/>
            </w:tcBorders>
            <w:shd w:val="clear" w:color="auto" w:fill="auto"/>
          </w:tcPr>
          <w:p w14:paraId="24D47AC4"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EF0670">
              <w:rPr>
                <w:b w:val="0"/>
                <w:bCs/>
                <w:sz w:val="20"/>
              </w:rPr>
              <w:t>Satellite delivery</w:t>
            </w:r>
          </w:p>
        </w:tc>
      </w:tr>
      <w:tr w:rsidR="00F335DC" w:rsidRPr="00EF0670" w14:paraId="475BBDBF" w14:textId="77777777" w:rsidTr="00773F61">
        <w:tc>
          <w:tcPr>
            <w:tcW w:w="1140" w:type="dxa"/>
            <w:tcBorders>
              <w:top w:val="nil"/>
            </w:tcBorders>
          </w:tcPr>
          <w:p w14:paraId="07999208" w14:textId="77777777" w:rsidR="00F335DC" w:rsidRPr="00EF0670" w:rsidRDefault="00F335DC" w:rsidP="00773F61">
            <w:pPr>
              <w:spacing w:before="30" w:after="30"/>
              <w:ind w:left="57"/>
              <w:jc w:val="left"/>
              <w:rPr>
                <w:b/>
                <w:bCs/>
                <w:sz w:val="20"/>
              </w:rPr>
            </w:pPr>
            <w:r w:rsidRPr="00EF0670">
              <w:rPr>
                <w:b/>
                <w:bCs/>
                <w:sz w:val="20"/>
              </w:rPr>
              <w:t>BR</w:t>
            </w:r>
          </w:p>
        </w:tc>
        <w:tc>
          <w:tcPr>
            <w:tcW w:w="8220" w:type="dxa"/>
            <w:tcBorders>
              <w:top w:val="nil"/>
            </w:tcBorders>
          </w:tcPr>
          <w:p w14:paraId="2983FBB3"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F0670">
              <w:rPr>
                <w:b w:val="0"/>
                <w:sz w:val="20"/>
              </w:rPr>
              <w:t>Recording for production, archival and play-out; film for television</w:t>
            </w:r>
          </w:p>
        </w:tc>
      </w:tr>
      <w:tr w:rsidR="00F335DC" w:rsidRPr="00EF0670" w14:paraId="70E2056C" w14:textId="77777777" w:rsidTr="00773F61">
        <w:tc>
          <w:tcPr>
            <w:tcW w:w="1140" w:type="dxa"/>
            <w:shd w:val="clear" w:color="auto" w:fill="FFFFFF" w:themeFill="background1"/>
          </w:tcPr>
          <w:p w14:paraId="258B1950" w14:textId="77777777" w:rsidR="00F335DC" w:rsidRPr="00EF0670" w:rsidRDefault="00F335DC" w:rsidP="00773F61">
            <w:pPr>
              <w:spacing w:before="30" w:after="30"/>
              <w:ind w:left="57"/>
              <w:jc w:val="left"/>
              <w:rPr>
                <w:b/>
                <w:bCs/>
                <w:sz w:val="20"/>
              </w:rPr>
            </w:pPr>
            <w:r w:rsidRPr="00EF0670">
              <w:rPr>
                <w:b/>
                <w:bCs/>
                <w:sz w:val="20"/>
              </w:rPr>
              <w:t>BS</w:t>
            </w:r>
          </w:p>
        </w:tc>
        <w:tc>
          <w:tcPr>
            <w:tcW w:w="8220" w:type="dxa"/>
            <w:shd w:val="clear" w:color="auto" w:fill="FFFFFF" w:themeFill="background1"/>
          </w:tcPr>
          <w:p w14:paraId="6456CC21"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Broadcasting service (sound)</w:t>
            </w:r>
          </w:p>
        </w:tc>
      </w:tr>
      <w:tr w:rsidR="00F335DC" w:rsidRPr="00EF0670" w14:paraId="223302B5" w14:textId="77777777" w:rsidTr="00773F61">
        <w:tc>
          <w:tcPr>
            <w:tcW w:w="1140" w:type="dxa"/>
            <w:shd w:val="clear" w:color="auto" w:fill="F2F2F2" w:themeFill="background1" w:themeFillShade="F2"/>
          </w:tcPr>
          <w:p w14:paraId="29F6EE9B" w14:textId="77777777" w:rsidR="00F335DC" w:rsidRPr="00EF0670" w:rsidRDefault="00F335DC" w:rsidP="00773F61">
            <w:pPr>
              <w:spacing w:before="30" w:after="30"/>
              <w:ind w:left="57"/>
              <w:jc w:val="left"/>
              <w:rPr>
                <w:b/>
                <w:bCs/>
                <w:color w:val="000080"/>
                <w:sz w:val="20"/>
              </w:rPr>
            </w:pPr>
            <w:r w:rsidRPr="00EF0670">
              <w:rPr>
                <w:b/>
                <w:bCs/>
                <w:color w:val="000080"/>
                <w:sz w:val="20"/>
              </w:rPr>
              <w:t>BT</w:t>
            </w:r>
          </w:p>
        </w:tc>
        <w:tc>
          <w:tcPr>
            <w:tcW w:w="8220" w:type="dxa"/>
            <w:shd w:val="clear" w:color="auto" w:fill="F2F2F2" w:themeFill="background1" w:themeFillShade="F2"/>
          </w:tcPr>
          <w:p w14:paraId="012C7938"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EF0670">
              <w:rPr>
                <w:bCs/>
                <w:color w:val="000080"/>
                <w:sz w:val="20"/>
              </w:rPr>
              <w:t>Broadcasting service (television)</w:t>
            </w:r>
          </w:p>
        </w:tc>
      </w:tr>
      <w:tr w:rsidR="00F335DC" w:rsidRPr="00EF0670" w14:paraId="10C17C7B" w14:textId="77777777" w:rsidTr="00773F61">
        <w:tc>
          <w:tcPr>
            <w:tcW w:w="1140" w:type="dxa"/>
            <w:shd w:val="clear" w:color="auto" w:fill="auto"/>
          </w:tcPr>
          <w:p w14:paraId="19FB976C" w14:textId="77777777" w:rsidR="00F335DC" w:rsidRPr="00EF0670" w:rsidRDefault="00F335DC" w:rsidP="00773F61">
            <w:pPr>
              <w:spacing w:before="30" w:after="30"/>
              <w:ind w:left="57"/>
              <w:jc w:val="left"/>
              <w:rPr>
                <w:b/>
                <w:bCs/>
                <w:sz w:val="20"/>
              </w:rPr>
            </w:pPr>
            <w:r w:rsidRPr="00EF0670">
              <w:rPr>
                <w:b/>
                <w:bCs/>
                <w:sz w:val="20"/>
              </w:rPr>
              <w:t>F</w:t>
            </w:r>
          </w:p>
        </w:tc>
        <w:tc>
          <w:tcPr>
            <w:tcW w:w="8220" w:type="dxa"/>
            <w:shd w:val="clear" w:color="auto" w:fill="auto"/>
          </w:tcPr>
          <w:p w14:paraId="63ECDC04"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Fixed service</w:t>
            </w:r>
          </w:p>
        </w:tc>
      </w:tr>
      <w:tr w:rsidR="00F335DC" w:rsidRPr="00EF0670" w14:paraId="46F6EBFD" w14:textId="77777777" w:rsidTr="00773F61">
        <w:tc>
          <w:tcPr>
            <w:tcW w:w="1140" w:type="dxa"/>
            <w:shd w:val="clear" w:color="auto" w:fill="auto"/>
          </w:tcPr>
          <w:p w14:paraId="69D12F95" w14:textId="77777777" w:rsidR="00F335DC" w:rsidRPr="00EF0670" w:rsidRDefault="00F335DC" w:rsidP="00773F61">
            <w:pPr>
              <w:spacing w:before="30" w:after="30"/>
              <w:ind w:left="57"/>
              <w:jc w:val="left"/>
              <w:rPr>
                <w:b/>
                <w:bCs/>
                <w:sz w:val="20"/>
              </w:rPr>
            </w:pPr>
            <w:r w:rsidRPr="00EF0670">
              <w:rPr>
                <w:b/>
                <w:bCs/>
                <w:sz w:val="20"/>
              </w:rPr>
              <w:t>M</w:t>
            </w:r>
          </w:p>
        </w:tc>
        <w:tc>
          <w:tcPr>
            <w:tcW w:w="8220" w:type="dxa"/>
            <w:shd w:val="clear" w:color="auto" w:fill="auto"/>
          </w:tcPr>
          <w:p w14:paraId="191B4A1D" w14:textId="77777777" w:rsidR="00F335DC" w:rsidRPr="00EF0670"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F0670">
              <w:rPr>
                <w:b w:val="0"/>
                <w:sz w:val="20"/>
              </w:rPr>
              <w:t>Mobile, radiodetermination, amateur and related satellite services</w:t>
            </w:r>
          </w:p>
        </w:tc>
      </w:tr>
      <w:tr w:rsidR="00F335DC" w:rsidRPr="00EF0670" w14:paraId="1A5EC430" w14:textId="77777777" w:rsidTr="00773F61">
        <w:tc>
          <w:tcPr>
            <w:tcW w:w="1140" w:type="dxa"/>
          </w:tcPr>
          <w:p w14:paraId="09C81E42" w14:textId="77777777" w:rsidR="00F335DC" w:rsidRPr="00EF0670" w:rsidRDefault="00F335DC" w:rsidP="00773F61">
            <w:pPr>
              <w:spacing w:before="30" w:after="30"/>
              <w:ind w:left="57"/>
              <w:jc w:val="left"/>
              <w:rPr>
                <w:b/>
                <w:bCs/>
                <w:sz w:val="20"/>
              </w:rPr>
            </w:pPr>
            <w:r w:rsidRPr="00EF0670">
              <w:rPr>
                <w:b/>
                <w:bCs/>
                <w:sz w:val="20"/>
              </w:rPr>
              <w:t>P</w:t>
            </w:r>
          </w:p>
        </w:tc>
        <w:tc>
          <w:tcPr>
            <w:tcW w:w="8220" w:type="dxa"/>
          </w:tcPr>
          <w:p w14:paraId="5D3D792E" w14:textId="77777777" w:rsidR="00F335DC" w:rsidRPr="00EF0670" w:rsidRDefault="00F335DC" w:rsidP="00773F61">
            <w:pPr>
              <w:spacing w:before="30" w:after="30"/>
              <w:jc w:val="left"/>
              <w:rPr>
                <w:sz w:val="20"/>
              </w:rPr>
            </w:pPr>
            <w:r w:rsidRPr="00EF0670">
              <w:rPr>
                <w:sz w:val="20"/>
              </w:rPr>
              <w:t>Radiowave propagation</w:t>
            </w:r>
          </w:p>
        </w:tc>
      </w:tr>
      <w:tr w:rsidR="00F335DC" w:rsidRPr="00EF0670" w14:paraId="4BB1725E" w14:textId="77777777" w:rsidTr="00773F61">
        <w:tc>
          <w:tcPr>
            <w:tcW w:w="1140" w:type="dxa"/>
          </w:tcPr>
          <w:p w14:paraId="40991D2F" w14:textId="77777777" w:rsidR="00F335DC" w:rsidRPr="00EF0670" w:rsidRDefault="00F335DC" w:rsidP="00773F61">
            <w:pPr>
              <w:spacing w:before="30" w:after="30"/>
              <w:ind w:left="57"/>
              <w:jc w:val="left"/>
              <w:rPr>
                <w:b/>
                <w:bCs/>
                <w:sz w:val="20"/>
              </w:rPr>
            </w:pPr>
            <w:r w:rsidRPr="00EF0670">
              <w:rPr>
                <w:b/>
                <w:bCs/>
                <w:sz w:val="20"/>
              </w:rPr>
              <w:t>RA</w:t>
            </w:r>
          </w:p>
        </w:tc>
        <w:tc>
          <w:tcPr>
            <w:tcW w:w="8220" w:type="dxa"/>
          </w:tcPr>
          <w:p w14:paraId="4D01734F"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Radio astronomy</w:t>
            </w:r>
          </w:p>
        </w:tc>
      </w:tr>
      <w:tr w:rsidR="00F335DC" w:rsidRPr="00EF0670" w14:paraId="1134C34F" w14:textId="77777777" w:rsidTr="00773F61">
        <w:tc>
          <w:tcPr>
            <w:tcW w:w="1140" w:type="dxa"/>
          </w:tcPr>
          <w:p w14:paraId="717D63BA" w14:textId="77777777" w:rsidR="00F335DC" w:rsidRPr="00EF0670" w:rsidRDefault="00F335DC" w:rsidP="00773F61">
            <w:pPr>
              <w:spacing w:before="30" w:after="30"/>
              <w:ind w:left="57"/>
              <w:jc w:val="left"/>
              <w:rPr>
                <w:b/>
                <w:bCs/>
                <w:sz w:val="20"/>
              </w:rPr>
            </w:pPr>
            <w:r w:rsidRPr="00EF0670">
              <w:rPr>
                <w:b/>
                <w:bCs/>
                <w:sz w:val="20"/>
              </w:rPr>
              <w:t>RS</w:t>
            </w:r>
          </w:p>
        </w:tc>
        <w:tc>
          <w:tcPr>
            <w:tcW w:w="8220" w:type="dxa"/>
          </w:tcPr>
          <w:p w14:paraId="7267BFC4" w14:textId="77777777" w:rsidR="00F335DC" w:rsidRPr="00EF0670"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EF0670">
              <w:rPr>
                <w:sz w:val="20"/>
              </w:rPr>
              <w:t>Remote sensing systems</w:t>
            </w:r>
          </w:p>
        </w:tc>
      </w:tr>
      <w:tr w:rsidR="00F335DC" w:rsidRPr="00EF0670" w14:paraId="15A873F5" w14:textId="77777777" w:rsidTr="00773F61">
        <w:tc>
          <w:tcPr>
            <w:tcW w:w="1140" w:type="dxa"/>
            <w:tcBorders>
              <w:bottom w:val="nil"/>
            </w:tcBorders>
          </w:tcPr>
          <w:p w14:paraId="30355FFA" w14:textId="77777777" w:rsidR="00F335DC" w:rsidRPr="00EF0670" w:rsidRDefault="00F335DC" w:rsidP="00773F61">
            <w:pPr>
              <w:spacing w:before="30" w:after="30"/>
              <w:ind w:left="57"/>
              <w:jc w:val="left"/>
              <w:rPr>
                <w:b/>
                <w:bCs/>
                <w:sz w:val="20"/>
              </w:rPr>
            </w:pPr>
            <w:r w:rsidRPr="00EF0670">
              <w:rPr>
                <w:b/>
                <w:bCs/>
                <w:sz w:val="20"/>
              </w:rPr>
              <w:t>S</w:t>
            </w:r>
          </w:p>
        </w:tc>
        <w:tc>
          <w:tcPr>
            <w:tcW w:w="8220" w:type="dxa"/>
            <w:tcBorders>
              <w:bottom w:val="nil"/>
            </w:tcBorders>
          </w:tcPr>
          <w:p w14:paraId="0AAFCF18" w14:textId="77777777" w:rsidR="00F335DC" w:rsidRPr="00EF0670" w:rsidRDefault="00F335DC" w:rsidP="00773F61">
            <w:pPr>
              <w:spacing w:before="30" w:after="30"/>
              <w:jc w:val="left"/>
              <w:rPr>
                <w:sz w:val="20"/>
              </w:rPr>
            </w:pPr>
            <w:r w:rsidRPr="00EF0670">
              <w:rPr>
                <w:sz w:val="20"/>
              </w:rPr>
              <w:t>Fixed-satellite service</w:t>
            </w:r>
          </w:p>
        </w:tc>
      </w:tr>
      <w:tr w:rsidR="00F335DC" w:rsidRPr="00EF0670" w14:paraId="2555C93D" w14:textId="77777777" w:rsidTr="00773F61">
        <w:tc>
          <w:tcPr>
            <w:tcW w:w="1140" w:type="dxa"/>
            <w:tcBorders>
              <w:top w:val="nil"/>
              <w:bottom w:val="nil"/>
            </w:tcBorders>
            <w:shd w:val="clear" w:color="auto" w:fill="FFFFFF" w:themeFill="background1"/>
          </w:tcPr>
          <w:p w14:paraId="7A75463B" w14:textId="77777777" w:rsidR="00F335DC" w:rsidRPr="00EF0670" w:rsidRDefault="00F335DC" w:rsidP="00773F61">
            <w:pPr>
              <w:spacing w:before="30" w:after="30"/>
              <w:ind w:left="57"/>
              <w:jc w:val="left"/>
              <w:rPr>
                <w:b/>
                <w:bCs/>
                <w:sz w:val="20"/>
              </w:rPr>
            </w:pPr>
            <w:r w:rsidRPr="00EF0670">
              <w:rPr>
                <w:b/>
                <w:bCs/>
                <w:sz w:val="20"/>
              </w:rPr>
              <w:t>SA</w:t>
            </w:r>
          </w:p>
        </w:tc>
        <w:tc>
          <w:tcPr>
            <w:tcW w:w="8220" w:type="dxa"/>
            <w:tcBorders>
              <w:top w:val="nil"/>
              <w:bottom w:val="nil"/>
            </w:tcBorders>
            <w:shd w:val="clear" w:color="auto" w:fill="FFFFFF" w:themeFill="background1"/>
          </w:tcPr>
          <w:p w14:paraId="00144989" w14:textId="77777777" w:rsidR="00F335DC" w:rsidRPr="00EF0670" w:rsidRDefault="00F335DC" w:rsidP="00773F61">
            <w:pPr>
              <w:spacing w:before="30" w:after="30"/>
              <w:jc w:val="left"/>
              <w:rPr>
                <w:sz w:val="20"/>
              </w:rPr>
            </w:pPr>
            <w:r w:rsidRPr="00EF0670">
              <w:rPr>
                <w:sz w:val="20"/>
              </w:rPr>
              <w:t>Space applications and meteorology</w:t>
            </w:r>
          </w:p>
        </w:tc>
      </w:tr>
      <w:tr w:rsidR="00F335DC" w:rsidRPr="00EF0670" w14:paraId="04C8F5A1" w14:textId="77777777" w:rsidTr="00773F61">
        <w:tc>
          <w:tcPr>
            <w:tcW w:w="1140" w:type="dxa"/>
            <w:tcBorders>
              <w:top w:val="nil"/>
              <w:bottom w:val="nil"/>
            </w:tcBorders>
          </w:tcPr>
          <w:p w14:paraId="6715F30A" w14:textId="77777777" w:rsidR="00F335DC" w:rsidRPr="00EF0670" w:rsidRDefault="00F335DC" w:rsidP="00773F61">
            <w:pPr>
              <w:spacing w:before="30" w:after="30"/>
              <w:ind w:left="57"/>
              <w:jc w:val="left"/>
              <w:rPr>
                <w:b/>
                <w:bCs/>
                <w:sz w:val="20"/>
              </w:rPr>
            </w:pPr>
            <w:r w:rsidRPr="00EF0670">
              <w:rPr>
                <w:b/>
                <w:bCs/>
                <w:sz w:val="20"/>
              </w:rPr>
              <w:t>SF</w:t>
            </w:r>
          </w:p>
        </w:tc>
        <w:tc>
          <w:tcPr>
            <w:tcW w:w="8220" w:type="dxa"/>
            <w:tcBorders>
              <w:top w:val="nil"/>
              <w:bottom w:val="nil"/>
            </w:tcBorders>
          </w:tcPr>
          <w:p w14:paraId="5019B1DB" w14:textId="77777777" w:rsidR="00F335DC" w:rsidRPr="00EF0670" w:rsidRDefault="00F335DC" w:rsidP="00773F61">
            <w:pPr>
              <w:spacing w:before="30" w:after="30"/>
              <w:jc w:val="left"/>
              <w:rPr>
                <w:sz w:val="20"/>
              </w:rPr>
            </w:pPr>
            <w:r w:rsidRPr="00EF0670">
              <w:rPr>
                <w:sz w:val="20"/>
              </w:rPr>
              <w:t>Frequency sharing and coordination between fixed-satellite and fixed service systems</w:t>
            </w:r>
          </w:p>
        </w:tc>
      </w:tr>
      <w:tr w:rsidR="00F335DC" w:rsidRPr="00EF0670" w14:paraId="7A342E16" w14:textId="77777777" w:rsidTr="00773F61">
        <w:tc>
          <w:tcPr>
            <w:tcW w:w="1140" w:type="dxa"/>
            <w:tcBorders>
              <w:top w:val="nil"/>
              <w:bottom w:val="nil"/>
            </w:tcBorders>
            <w:shd w:val="clear" w:color="auto" w:fill="auto"/>
          </w:tcPr>
          <w:p w14:paraId="2C83D783" w14:textId="77777777" w:rsidR="00F335DC" w:rsidRPr="00EF0670" w:rsidRDefault="00F335DC" w:rsidP="00773F61">
            <w:pPr>
              <w:spacing w:before="30" w:after="30"/>
              <w:ind w:left="57"/>
              <w:jc w:val="left"/>
              <w:rPr>
                <w:rFonts w:ascii="Times New Roman Bold" w:hAnsi="Times New Roman Bold" w:cs="Times New Roman Bold"/>
                <w:b/>
                <w:bCs/>
                <w:sz w:val="20"/>
              </w:rPr>
            </w:pPr>
            <w:r w:rsidRPr="00EF0670">
              <w:rPr>
                <w:rFonts w:ascii="Times New Roman Bold" w:hAnsi="Times New Roman Bold" w:cs="Times New Roman Bold"/>
                <w:b/>
                <w:bCs/>
                <w:sz w:val="20"/>
              </w:rPr>
              <w:t>SM</w:t>
            </w:r>
          </w:p>
        </w:tc>
        <w:tc>
          <w:tcPr>
            <w:tcW w:w="8220" w:type="dxa"/>
            <w:tcBorders>
              <w:top w:val="nil"/>
              <w:bottom w:val="nil"/>
            </w:tcBorders>
            <w:shd w:val="clear" w:color="auto" w:fill="auto"/>
          </w:tcPr>
          <w:p w14:paraId="58EF9501" w14:textId="77777777" w:rsidR="00F335DC" w:rsidRPr="00EF0670" w:rsidRDefault="00F335DC" w:rsidP="00773F61">
            <w:pPr>
              <w:spacing w:before="30" w:after="30"/>
              <w:jc w:val="left"/>
              <w:rPr>
                <w:rFonts w:hAnsi="Times New Roman Bold"/>
                <w:sz w:val="20"/>
              </w:rPr>
            </w:pPr>
            <w:r w:rsidRPr="00EF0670">
              <w:rPr>
                <w:rFonts w:hAnsi="Times New Roman Bold"/>
                <w:sz w:val="20"/>
              </w:rPr>
              <w:t>Spectrum management</w:t>
            </w:r>
          </w:p>
        </w:tc>
      </w:tr>
      <w:tr w:rsidR="00F335DC" w:rsidRPr="00EF0670" w14:paraId="784A243B" w14:textId="77777777" w:rsidTr="00773F61">
        <w:tc>
          <w:tcPr>
            <w:tcW w:w="1140" w:type="dxa"/>
            <w:tcBorders>
              <w:top w:val="nil"/>
            </w:tcBorders>
          </w:tcPr>
          <w:p w14:paraId="3ED90352" w14:textId="77777777" w:rsidR="00F335DC" w:rsidRPr="00EF0670" w:rsidRDefault="00F335DC" w:rsidP="00773F61">
            <w:pPr>
              <w:spacing w:before="30" w:after="30"/>
              <w:ind w:left="57"/>
              <w:jc w:val="left"/>
              <w:rPr>
                <w:b/>
                <w:bCs/>
                <w:sz w:val="20"/>
              </w:rPr>
            </w:pPr>
            <w:r w:rsidRPr="00EF0670">
              <w:rPr>
                <w:b/>
                <w:bCs/>
                <w:sz w:val="20"/>
              </w:rPr>
              <w:t>SNG</w:t>
            </w:r>
          </w:p>
        </w:tc>
        <w:tc>
          <w:tcPr>
            <w:tcW w:w="8220" w:type="dxa"/>
            <w:tcBorders>
              <w:top w:val="nil"/>
            </w:tcBorders>
          </w:tcPr>
          <w:p w14:paraId="2661280C" w14:textId="77777777" w:rsidR="00F335DC" w:rsidRPr="00EF0670" w:rsidRDefault="00F335DC" w:rsidP="00773F61">
            <w:pPr>
              <w:spacing w:before="30" w:after="30"/>
              <w:jc w:val="left"/>
              <w:rPr>
                <w:sz w:val="20"/>
              </w:rPr>
            </w:pPr>
            <w:r w:rsidRPr="00EF0670">
              <w:rPr>
                <w:sz w:val="20"/>
              </w:rPr>
              <w:t>Satellite news gathering</w:t>
            </w:r>
          </w:p>
        </w:tc>
      </w:tr>
      <w:tr w:rsidR="00F335DC" w:rsidRPr="00EF0670" w14:paraId="651E2F7F" w14:textId="77777777" w:rsidTr="00773F61">
        <w:tc>
          <w:tcPr>
            <w:tcW w:w="1140" w:type="dxa"/>
          </w:tcPr>
          <w:p w14:paraId="4F5CDD66" w14:textId="77777777" w:rsidR="00F335DC" w:rsidRPr="00EF0670" w:rsidRDefault="00F335DC" w:rsidP="00773F61">
            <w:pPr>
              <w:spacing w:before="30" w:after="30"/>
              <w:ind w:left="57"/>
              <w:jc w:val="left"/>
              <w:rPr>
                <w:b/>
                <w:bCs/>
                <w:sz w:val="20"/>
              </w:rPr>
            </w:pPr>
            <w:r w:rsidRPr="00EF0670">
              <w:rPr>
                <w:b/>
                <w:bCs/>
                <w:sz w:val="20"/>
              </w:rPr>
              <w:t>TF</w:t>
            </w:r>
          </w:p>
        </w:tc>
        <w:tc>
          <w:tcPr>
            <w:tcW w:w="8220" w:type="dxa"/>
          </w:tcPr>
          <w:p w14:paraId="38A67689" w14:textId="77777777" w:rsidR="00F335DC" w:rsidRPr="00EF0670" w:rsidRDefault="00F335DC" w:rsidP="00773F61">
            <w:pPr>
              <w:spacing w:before="30" w:after="30"/>
              <w:jc w:val="left"/>
              <w:rPr>
                <w:sz w:val="20"/>
              </w:rPr>
            </w:pPr>
            <w:r w:rsidRPr="00EF0670">
              <w:rPr>
                <w:sz w:val="20"/>
              </w:rPr>
              <w:t>Time signals and frequency standards emissions</w:t>
            </w:r>
          </w:p>
        </w:tc>
      </w:tr>
      <w:tr w:rsidR="00F335DC" w:rsidRPr="00EF0670" w14:paraId="69F2FE0D" w14:textId="77777777" w:rsidTr="00773F61">
        <w:tc>
          <w:tcPr>
            <w:tcW w:w="1140" w:type="dxa"/>
          </w:tcPr>
          <w:p w14:paraId="52111126" w14:textId="77777777" w:rsidR="00F335DC" w:rsidRPr="00EF0670" w:rsidRDefault="00F335DC" w:rsidP="00773F61">
            <w:pPr>
              <w:spacing w:before="30" w:after="30"/>
              <w:ind w:left="57"/>
              <w:jc w:val="left"/>
              <w:rPr>
                <w:b/>
                <w:bCs/>
                <w:sz w:val="20"/>
              </w:rPr>
            </w:pPr>
            <w:r w:rsidRPr="00EF0670">
              <w:rPr>
                <w:b/>
                <w:bCs/>
                <w:sz w:val="20"/>
              </w:rPr>
              <w:t>V</w:t>
            </w:r>
          </w:p>
        </w:tc>
        <w:tc>
          <w:tcPr>
            <w:tcW w:w="8220" w:type="dxa"/>
          </w:tcPr>
          <w:p w14:paraId="73CBBBDD" w14:textId="77777777" w:rsidR="00F335DC" w:rsidRPr="00EF0670" w:rsidRDefault="00F335DC" w:rsidP="00773F61">
            <w:pPr>
              <w:spacing w:before="30" w:after="180"/>
              <w:jc w:val="left"/>
              <w:rPr>
                <w:sz w:val="20"/>
              </w:rPr>
            </w:pPr>
            <w:r w:rsidRPr="00EF0670">
              <w:rPr>
                <w:sz w:val="20"/>
              </w:rPr>
              <w:t>Vocabulary and related subjects</w:t>
            </w:r>
          </w:p>
        </w:tc>
      </w:tr>
    </w:tbl>
    <w:p w14:paraId="2A0920CD" w14:textId="77777777" w:rsidR="00F335DC" w:rsidRPr="00EF0670" w:rsidRDefault="00F335DC" w:rsidP="00F335DC">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F335DC" w:rsidRPr="00EF0670" w14:paraId="0B5B072A" w14:textId="77777777" w:rsidTr="00773F61">
        <w:tc>
          <w:tcPr>
            <w:tcW w:w="720" w:type="dxa"/>
          </w:tcPr>
          <w:p w14:paraId="3B3C176A" w14:textId="77777777" w:rsidR="00F335DC" w:rsidRPr="00EF0670" w:rsidRDefault="00F335DC" w:rsidP="00773F61">
            <w:pPr>
              <w:jc w:val="center"/>
              <w:rPr>
                <w:sz w:val="22"/>
              </w:rPr>
            </w:pPr>
          </w:p>
        </w:tc>
      </w:tr>
    </w:tbl>
    <w:p w14:paraId="3E2E9EF0" w14:textId="77777777" w:rsidR="00F335DC" w:rsidRPr="00EF0670" w:rsidRDefault="00F335DC" w:rsidP="00F335DC">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EF0670" w14:paraId="5B298C8A" w14:textId="77777777" w:rsidTr="00773F61">
        <w:tc>
          <w:tcPr>
            <w:tcW w:w="9360" w:type="dxa"/>
          </w:tcPr>
          <w:p w14:paraId="1D943E5F" w14:textId="77777777" w:rsidR="00F335DC" w:rsidRPr="00EF0670" w:rsidRDefault="00F335DC" w:rsidP="00773F61">
            <w:pPr>
              <w:spacing w:after="120"/>
              <w:jc w:val="left"/>
              <w:rPr>
                <w:sz w:val="20"/>
              </w:rPr>
            </w:pPr>
            <w:r w:rsidRPr="00EF0670">
              <w:rPr>
                <w:b/>
                <w:bCs/>
                <w:i/>
                <w:iCs/>
                <w:sz w:val="20"/>
              </w:rPr>
              <w:t>Note</w:t>
            </w:r>
            <w:r w:rsidRPr="00EF0670">
              <w:rPr>
                <w:sz w:val="20"/>
              </w:rPr>
              <w:t xml:space="preserve">: </w:t>
            </w:r>
            <w:r w:rsidRPr="00EF0670">
              <w:rPr>
                <w:i/>
                <w:iCs/>
                <w:sz w:val="20"/>
              </w:rPr>
              <w:t>This ITU-R Recommendation was approved in English under the procedure detailed in Resolution ITU-R 1.</w:t>
            </w:r>
          </w:p>
        </w:tc>
      </w:tr>
    </w:tbl>
    <w:p w14:paraId="640175A7" w14:textId="77777777" w:rsidR="00F335DC" w:rsidRPr="00EF0670" w:rsidRDefault="00F335DC" w:rsidP="00F335DC">
      <w:pPr>
        <w:spacing w:before="0"/>
        <w:jc w:val="center"/>
        <w:rPr>
          <w:sz w:val="22"/>
        </w:rPr>
      </w:pPr>
    </w:p>
    <w:p w14:paraId="270B7A9C" w14:textId="77777777" w:rsidR="00F335DC" w:rsidRPr="00EF0670" w:rsidRDefault="00F335DC" w:rsidP="00F335DC">
      <w:pPr>
        <w:spacing w:before="0"/>
        <w:jc w:val="center"/>
        <w:rPr>
          <w:sz w:val="22"/>
        </w:rPr>
      </w:pPr>
    </w:p>
    <w:p w14:paraId="7E6B7E92" w14:textId="77777777" w:rsidR="00F335DC" w:rsidRPr="00EF0670" w:rsidRDefault="00F335DC" w:rsidP="00F335DC">
      <w:pPr>
        <w:spacing w:before="0"/>
        <w:jc w:val="right"/>
        <w:rPr>
          <w:i/>
          <w:iCs/>
          <w:sz w:val="20"/>
        </w:rPr>
      </w:pPr>
      <w:r w:rsidRPr="00EF0670">
        <w:rPr>
          <w:i/>
          <w:iCs/>
          <w:sz w:val="20"/>
        </w:rPr>
        <w:t>Electronic Publication</w:t>
      </w:r>
    </w:p>
    <w:p w14:paraId="7CE3A750" w14:textId="217A8621" w:rsidR="00F335DC" w:rsidRPr="00EF0670" w:rsidRDefault="00F335DC" w:rsidP="00F335DC">
      <w:pPr>
        <w:spacing w:before="0"/>
        <w:jc w:val="right"/>
        <w:rPr>
          <w:sz w:val="20"/>
        </w:rPr>
      </w:pPr>
      <w:r w:rsidRPr="00EF0670">
        <w:rPr>
          <w:sz w:val="20"/>
        </w:rPr>
        <w:t>Geneva, 202</w:t>
      </w:r>
      <w:r w:rsidR="00EB30B5" w:rsidRPr="00EF0670">
        <w:rPr>
          <w:sz w:val="20"/>
        </w:rPr>
        <w:t>5</w:t>
      </w:r>
    </w:p>
    <w:p w14:paraId="4496A711" w14:textId="77777777" w:rsidR="00F335DC" w:rsidRPr="00EF0670" w:rsidRDefault="00F335DC" w:rsidP="00F335DC">
      <w:pPr>
        <w:jc w:val="center"/>
        <w:rPr>
          <w:sz w:val="22"/>
        </w:rPr>
      </w:pPr>
    </w:p>
    <w:p w14:paraId="62940C84" w14:textId="569D90C8" w:rsidR="00F335DC" w:rsidRPr="00EF0670" w:rsidRDefault="00F335DC" w:rsidP="00F335DC">
      <w:pPr>
        <w:jc w:val="center"/>
        <w:rPr>
          <w:sz w:val="20"/>
        </w:rPr>
      </w:pPr>
      <w:r w:rsidRPr="00EF0670">
        <w:rPr>
          <w:sz w:val="20"/>
        </w:rPr>
        <w:sym w:font="Symbol" w:char="F0E3"/>
      </w:r>
      <w:r w:rsidRPr="00EF0670">
        <w:rPr>
          <w:sz w:val="20"/>
        </w:rPr>
        <w:t xml:space="preserve"> ITU </w:t>
      </w:r>
      <w:bookmarkStart w:id="1" w:name="iiannee"/>
      <w:bookmarkEnd w:id="1"/>
      <w:r w:rsidRPr="00EF0670">
        <w:rPr>
          <w:sz w:val="20"/>
        </w:rPr>
        <w:t>202</w:t>
      </w:r>
      <w:r w:rsidR="00EB30B5" w:rsidRPr="00EF0670">
        <w:rPr>
          <w:sz w:val="20"/>
        </w:rPr>
        <w:t>5</w:t>
      </w:r>
    </w:p>
    <w:p w14:paraId="64B11FE2" w14:textId="77777777" w:rsidR="00F335DC" w:rsidRPr="00EF0670" w:rsidRDefault="00F335DC" w:rsidP="00F335DC">
      <w:pPr>
        <w:rPr>
          <w:sz w:val="18"/>
          <w:szCs w:val="18"/>
        </w:rPr>
      </w:pPr>
      <w:r w:rsidRPr="00EF0670">
        <w:rPr>
          <w:sz w:val="18"/>
          <w:szCs w:val="18"/>
        </w:rPr>
        <w:t>All rights reserved. No part of this publication may be reproduced, by any means whatsoever, without written permission of ITU.</w:t>
      </w:r>
    </w:p>
    <w:p w14:paraId="7A210B92" w14:textId="77777777" w:rsidR="00F335DC" w:rsidRPr="00EF0670" w:rsidRDefault="00F335DC" w:rsidP="00F335DC">
      <w:pPr>
        <w:spacing w:before="160"/>
        <w:rPr>
          <w:i/>
          <w:sz w:val="20"/>
        </w:rPr>
        <w:sectPr w:rsidR="00F335DC" w:rsidRPr="00EF0670"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11FF9422" w:rsidR="00F335DC" w:rsidRPr="00EF0670" w:rsidRDefault="00F335DC" w:rsidP="00F335DC">
      <w:pPr>
        <w:pStyle w:val="RecNo"/>
        <w:spacing w:before="0"/>
      </w:pPr>
      <w:bookmarkStart w:id="2" w:name="irecnoe"/>
      <w:bookmarkEnd w:id="2"/>
      <w:r w:rsidRPr="00EF0670">
        <w:lastRenderedPageBreak/>
        <w:t xml:space="preserve">RECOMMENDATION  </w:t>
      </w:r>
      <w:r w:rsidRPr="00EF0670">
        <w:rPr>
          <w:rStyle w:val="href"/>
        </w:rPr>
        <w:t>ITU-R  BT.</w:t>
      </w:r>
      <w:r w:rsidR="008030EF" w:rsidRPr="00EF0670">
        <w:rPr>
          <w:rStyle w:val="href"/>
        </w:rPr>
        <w:t>21</w:t>
      </w:r>
      <w:r w:rsidR="009D2172">
        <w:rPr>
          <w:rStyle w:val="href"/>
        </w:rPr>
        <w:t>00</w:t>
      </w:r>
      <w:r w:rsidR="008030EF" w:rsidRPr="00EF0670">
        <w:rPr>
          <w:rStyle w:val="href"/>
        </w:rPr>
        <w:t>-</w:t>
      </w:r>
      <w:r w:rsidR="00CD2147">
        <w:rPr>
          <w:rStyle w:val="href"/>
        </w:rPr>
        <w:t>3</w:t>
      </w:r>
    </w:p>
    <w:p w14:paraId="590F476B" w14:textId="645E4C6D" w:rsidR="008030EF" w:rsidRPr="00EF0670" w:rsidRDefault="00CD2147" w:rsidP="008030EF">
      <w:pPr>
        <w:pStyle w:val="Rectitle"/>
      </w:pPr>
      <w:r w:rsidRPr="00773436">
        <w:rPr>
          <w:lang w:eastAsia="zh-CN"/>
        </w:rPr>
        <w:t>Image parameter values for high dynamic range television for use in production and international programme exchange</w:t>
      </w:r>
    </w:p>
    <w:p w14:paraId="0DD09E0F" w14:textId="5EB507EE" w:rsidR="00355834" w:rsidRPr="009E0A61" w:rsidRDefault="002F4802" w:rsidP="00355834">
      <w:pPr>
        <w:pStyle w:val="Questionref"/>
        <w:rPr>
          <w:rFonts w:asciiTheme="majorBidi" w:hAnsiTheme="majorBidi" w:cstheme="majorBidi"/>
          <w:szCs w:val="24"/>
        </w:rPr>
      </w:pPr>
      <w:hyperlink r:id="rId17" w:history="1">
        <w:r w:rsidR="00355834" w:rsidRPr="009E0A61">
          <w:rPr>
            <w:rStyle w:val="Hyperlink"/>
            <w:rFonts w:asciiTheme="majorBidi" w:hAnsiTheme="majorBidi" w:cstheme="majorBidi"/>
            <w:color w:val="auto"/>
            <w:szCs w:val="24"/>
            <w:u w:val="none"/>
          </w:rPr>
          <w:t>Question ITU-R 142-</w:t>
        </w:r>
        <w:r w:rsidR="009F4B41" w:rsidRPr="009E0A61">
          <w:rPr>
            <w:rStyle w:val="Hyperlink"/>
            <w:rFonts w:asciiTheme="majorBidi" w:hAnsiTheme="majorBidi" w:cstheme="majorBidi"/>
            <w:color w:val="auto"/>
            <w:szCs w:val="24"/>
            <w:u w:val="none"/>
          </w:rPr>
          <w:t>3</w:t>
        </w:r>
        <w:r w:rsidR="00355834" w:rsidRPr="009E0A61">
          <w:rPr>
            <w:rStyle w:val="Hyperlink"/>
            <w:rFonts w:asciiTheme="majorBidi" w:hAnsiTheme="majorBidi" w:cstheme="majorBidi"/>
            <w:color w:val="auto"/>
            <w:szCs w:val="24"/>
            <w:u w:val="none"/>
          </w:rPr>
          <w:t>/6</w:t>
        </w:r>
      </w:hyperlink>
    </w:p>
    <w:p w14:paraId="6E2B534D" w14:textId="587DC53D" w:rsidR="008030EF" w:rsidRPr="00EF0670" w:rsidRDefault="008030EF" w:rsidP="008030EF">
      <w:pPr>
        <w:pStyle w:val="Recdate"/>
      </w:pPr>
      <w:r w:rsidRPr="00EF0670">
        <w:t>(</w:t>
      </w:r>
      <w:r w:rsidR="00667612" w:rsidRPr="00EF0670">
        <w:t>201</w:t>
      </w:r>
      <w:r w:rsidR="00CD2147">
        <w:t>6-2017-2018</w:t>
      </w:r>
      <w:r w:rsidR="00AA0199" w:rsidRPr="00EF0670">
        <w:t>-</w:t>
      </w:r>
      <w:r w:rsidRPr="00EF0670">
        <w:t>202</w:t>
      </w:r>
      <w:r w:rsidR="00BC0133" w:rsidRPr="00EF0670">
        <w:t>5</w:t>
      </w:r>
      <w:r w:rsidRPr="00EF0670">
        <w:t>)</w:t>
      </w:r>
    </w:p>
    <w:p w14:paraId="157B2CD9" w14:textId="77777777" w:rsidR="003A24A6" w:rsidRPr="00F624E1" w:rsidRDefault="003A24A6" w:rsidP="003A24A6">
      <w:pPr>
        <w:jc w:val="center"/>
      </w:pPr>
      <w:r w:rsidRPr="00F624E1">
        <w:t>TABLE OF CONTENTS</w:t>
      </w:r>
    </w:p>
    <w:p w14:paraId="31742D91" w14:textId="77777777" w:rsidR="003A24A6" w:rsidRPr="00F624E1" w:rsidRDefault="003A24A6" w:rsidP="003A24A6">
      <w:pPr>
        <w:pStyle w:val="toc0"/>
        <w:ind w:right="992"/>
        <w:rPr>
          <w:noProof/>
        </w:rPr>
      </w:pPr>
      <w:r w:rsidRPr="00F624E1">
        <w:tab/>
        <w:t>Page</w:t>
      </w:r>
    </w:p>
    <w:p w14:paraId="5104D802" w14:textId="19BBBAFC" w:rsidR="003A24A6" w:rsidRPr="00F624E1" w:rsidRDefault="003A24A6" w:rsidP="003A24A6">
      <w:pPr>
        <w:pStyle w:val="TOC1"/>
        <w:ind w:right="992"/>
        <w:rPr>
          <w:rFonts w:asciiTheme="minorHAnsi" w:eastAsiaTheme="minorEastAsia" w:hAnsiTheme="minorHAnsi" w:cstheme="minorBidi"/>
          <w:noProof/>
          <w:sz w:val="22"/>
          <w:szCs w:val="22"/>
          <w:lang w:val="en-GB" w:eastAsia="en-GB"/>
        </w:rPr>
      </w:pPr>
      <w:r w:rsidRPr="00F624E1">
        <w:rPr>
          <w:noProof/>
          <w:lang w:val="en-GB"/>
        </w:rPr>
        <w:t>Annex 1 (informative) – The relationship between the OETF, the EOTF and the OOTF</w:t>
      </w:r>
      <w:r w:rsidRPr="00F624E1">
        <w:rPr>
          <w:noProof/>
          <w:lang w:val="en-GB"/>
        </w:rPr>
        <w:tab/>
      </w:r>
      <w:r w:rsidRPr="00F624E1">
        <w:rPr>
          <w:noProof/>
          <w:lang w:val="en-GB"/>
        </w:rPr>
        <w:tab/>
        <w:t>1</w:t>
      </w:r>
      <w:r w:rsidR="00DD1986">
        <w:rPr>
          <w:noProof/>
          <w:lang w:val="en-GB"/>
        </w:rPr>
        <w:t>0</w:t>
      </w:r>
    </w:p>
    <w:p w14:paraId="41DFB7BE" w14:textId="77777777" w:rsidR="003A24A6" w:rsidRPr="00F624E1" w:rsidRDefault="003A24A6" w:rsidP="00EE10C8">
      <w:pPr>
        <w:pStyle w:val="TOC1"/>
        <w:ind w:right="992"/>
        <w:jc w:val="left"/>
        <w:rPr>
          <w:rFonts w:asciiTheme="minorHAnsi" w:eastAsiaTheme="minorEastAsia" w:hAnsiTheme="minorHAnsi" w:cstheme="minorBidi"/>
          <w:noProof/>
          <w:sz w:val="22"/>
          <w:szCs w:val="22"/>
          <w:lang w:val="en-GB" w:eastAsia="en-GB"/>
        </w:rPr>
      </w:pPr>
      <w:r w:rsidRPr="00F624E1">
        <w:rPr>
          <w:noProof/>
          <w:lang w:val="en-GB"/>
        </w:rPr>
        <w:t>Annex 2 (informative) – Parametric representation of electro-optical and opto</w:t>
      </w:r>
      <w:r w:rsidRPr="00F624E1">
        <w:rPr>
          <w:noProof/>
          <w:lang w:val="en-GB"/>
        </w:rPr>
        <w:noBreakHyphen/>
        <w:t>electronic transfer functions</w:t>
      </w:r>
      <w:r w:rsidRPr="00F624E1">
        <w:rPr>
          <w:noProof/>
          <w:lang w:val="en-GB"/>
        </w:rPr>
        <w:tab/>
      </w:r>
      <w:r w:rsidRPr="00F624E1">
        <w:rPr>
          <w:noProof/>
          <w:lang w:val="en-GB"/>
        </w:rPr>
        <w:tab/>
        <w:t>13</w:t>
      </w:r>
    </w:p>
    <w:p w14:paraId="3E98C6E5" w14:textId="77777777" w:rsidR="003A24A6" w:rsidRPr="00F624E1" w:rsidRDefault="003A24A6" w:rsidP="003A24A6"/>
    <w:p w14:paraId="061314FD" w14:textId="77777777" w:rsidR="003A24A6" w:rsidRPr="00F624E1" w:rsidRDefault="003A24A6" w:rsidP="003A24A6"/>
    <w:p w14:paraId="2518E090" w14:textId="77777777" w:rsidR="003A24A6" w:rsidRPr="00F624E1" w:rsidRDefault="003A24A6" w:rsidP="003A24A6"/>
    <w:p w14:paraId="466BC60F" w14:textId="77777777" w:rsidR="003A24A6" w:rsidRPr="003A24A6" w:rsidRDefault="003A24A6" w:rsidP="003A24A6">
      <w:pPr>
        <w:pStyle w:val="HeadingSum"/>
        <w:rPr>
          <w:lang w:val="en-GB"/>
        </w:rPr>
      </w:pPr>
      <w:r w:rsidRPr="003A24A6">
        <w:rPr>
          <w:lang w:val="en-GB"/>
        </w:rPr>
        <w:t>Scope</w:t>
      </w:r>
    </w:p>
    <w:p w14:paraId="2F9A0DCF" w14:textId="77777777" w:rsidR="003A24A6" w:rsidRPr="00F624E1" w:rsidRDefault="003A24A6" w:rsidP="003A24A6">
      <w:pPr>
        <w:pStyle w:val="Summary"/>
        <w:rPr>
          <w:lang w:val="en-GB"/>
        </w:rPr>
      </w:pPr>
      <w:r w:rsidRPr="00F624E1">
        <w:rPr>
          <w:lang w:val="en-GB"/>
        </w:rPr>
        <w:t>High Dynamic Range Television (HDR-TV) provides viewers with an enhanced visual experience by providing images that have been produced to look correct on brighter displays, that provide much brighter highlights, and that provide improved detail in dark areas. This Recommendation specifies HDR-TV image parameters for use in production and international programme exchange using the Perceptual Quantization (PQ) and Hybrid Log-Gamma (HLG) methods.</w:t>
      </w:r>
    </w:p>
    <w:p w14:paraId="4410884E" w14:textId="77777777" w:rsidR="003A24A6" w:rsidRPr="00F624E1" w:rsidRDefault="003A24A6" w:rsidP="003A24A6">
      <w:pPr>
        <w:pStyle w:val="Headingb"/>
      </w:pPr>
      <w:r w:rsidRPr="00F624E1">
        <w:t>Keywords</w:t>
      </w:r>
    </w:p>
    <w:p w14:paraId="4949E476" w14:textId="77777777" w:rsidR="003A24A6" w:rsidRPr="00F624E1" w:rsidRDefault="003A24A6" w:rsidP="003A24A6">
      <w:r w:rsidRPr="00F624E1">
        <w:t>High dynamic range, HDR, television, HDR-TV, image system parameters, television production, international programme exchange, wide colour gamut, perceptual quantization, PQ, hybrid log</w:t>
      </w:r>
      <w:r w:rsidRPr="00F624E1">
        <w:noBreakHyphen/>
        <w:t>gamma, HLG</w:t>
      </w:r>
    </w:p>
    <w:p w14:paraId="32CE71B0" w14:textId="77777777" w:rsidR="003A24A6" w:rsidRPr="00F624E1" w:rsidRDefault="003A24A6" w:rsidP="003A24A6">
      <w:pPr>
        <w:pStyle w:val="Normalaftertitle"/>
      </w:pPr>
      <w:r w:rsidRPr="00F624E1">
        <w:t>The ITU Radiocommunication Assembly,</w:t>
      </w:r>
    </w:p>
    <w:p w14:paraId="34EC3937" w14:textId="77777777" w:rsidR="003A24A6" w:rsidRPr="00F624E1" w:rsidRDefault="003A24A6" w:rsidP="003A24A6">
      <w:pPr>
        <w:pStyle w:val="Call"/>
      </w:pPr>
      <w:r w:rsidRPr="00F624E1">
        <w:t>considering</w:t>
      </w:r>
    </w:p>
    <w:p w14:paraId="655BC95F" w14:textId="77777777" w:rsidR="003A24A6" w:rsidRPr="00F624E1" w:rsidRDefault="003A24A6" w:rsidP="003A24A6">
      <w:r w:rsidRPr="00F624E1">
        <w:rPr>
          <w:i/>
          <w:iCs/>
        </w:rPr>
        <w:t>a)</w:t>
      </w:r>
      <w:r w:rsidRPr="00F624E1">
        <w:tab/>
        <w:t>that digital television image formats for HDTV and UHDTV have been specified by the ITU</w:t>
      </w:r>
      <w:r w:rsidRPr="00F624E1">
        <w:noBreakHyphen/>
        <w:t>R in Recommendations ITU-R BT.709 and ITU-R BT.2020;</w:t>
      </w:r>
    </w:p>
    <w:p w14:paraId="0D492BEA" w14:textId="77777777" w:rsidR="003A24A6" w:rsidRPr="00F624E1" w:rsidRDefault="003A24A6" w:rsidP="003A24A6">
      <w:r w:rsidRPr="00F624E1">
        <w:rPr>
          <w:i/>
          <w:iCs/>
        </w:rPr>
        <w:t>b)</w:t>
      </w:r>
      <w:r w:rsidRPr="00F624E1">
        <w:tab/>
        <w:t>that these television image formats have been limited in the image dynamic range they can provide due to their reliance on legacy cathode ray tube (CRT) characteristics that limit image brightness and detail in dark areas;</w:t>
      </w:r>
    </w:p>
    <w:p w14:paraId="4B2660C9" w14:textId="77777777" w:rsidR="003A24A6" w:rsidRPr="00F624E1" w:rsidRDefault="003A24A6" w:rsidP="003A24A6">
      <w:r w:rsidRPr="00F624E1">
        <w:rPr>
          <w:i/>
          <w:iCs/>
        </w:rPr>
        <w:t>c)</w:t>
      </w:r>
      <w:r w:rsidRPr="00F624E1">
        <w:tab/>
        <w:t>that modern displays are capable of reproducing images at a higher luminance, greater contrast ratio and wider colour gamut than is conventionally employed in programme production;</w:t>
      </w:r>
    </w:p>
    <w:p w14:paraId="1A5BE261" w14:textId="53907A43" w:rsidR="003A24A6" w:rsidRPr="00F624E1" w:rsidRDefault="003A24A6" w:rsidP="003A24A6">
      <w:r w:rsidRPr="00F624E1">
        <w:rPr>
          <w:i/>
          <w:iCs/>
        </w:rPr>
        <w:t>d)</w:t>
      </w:r>
      <w:r w:rsidRPr="00F624E1">
        <w:tab/>
        <w:t>that viewers expect future television viewing to provide improved characteristics compared with the current HDTV and UHDTV in terms of a more realistic sensation, greater transparency to the real world and more accurate visual information;</w:t>
      </w:r>
    </w:p>
    <w:p w14:paraId="5208512B" w14:textId="77777777" w:rsidR="003A24A6" w:rsidRPr="00F624E1" w:rsidRDefault="003A24A6" w:rsidP="003A24A6">
      <w:r w:rsidRPr="00F624E1">
        <w:rPr>
          <w:i/>
          <w:iCs/>
        </w:rPr>
        <w:t>e)</w:t>
      </w:r>
      <w:r w:rsidRPr="00F624E1">
        <w:tab/>
        <w:t xml:space="preserve">that </w:t>
      </w:r>
      <w:r w:rsidRPr="00F624E1">
        <w:rPr>
          <w:lang w:eastAsia="ko-KR"/>
        </w:rPr>
        <w:t>high dynamic range television</w:t>
      </w:r>
      <w:r w:rsidRPr="00F624E1">
        <w:t xml:space="preserve"> (HDR-TV) has been shown to increase viewer enjoyment of television pictures;</w:t>
      </w:r>
    </w:p>
    <w:p w14:paraId="241EC5B9" w14:textId="77777777" w:rsidR="003A24A6" w:rsidRPr="00F624E1" w:rsidRDefault="003A24A6" w:rsidP="003A24A6">
      <w:r w:rsidRPr="00F624E1">
        <w:rPr>
          <w:i/>
          <w:iCs/>
        </w:rPr>
        <w:lastRenderedPageBreak/>
        <w:t>f)</w:t>
      </w:r>
      <w:r w:rsidRPr="00F624E1">
        <w:tab/>
        <w:t>that HDR-TV provides a “step-change” improvement in viewer experience by means of substantially increased brightness and detail in highlights and diffuse reflecting objects, while providing greater detail in dark areas;</w:t>
      </w:r>
    </w:p>
    <w:p w14:paraId="4B9421A6" w14:textId="77777777" w:rsidR="003A24A6" w:rsidRPr="00F624E1" w:rsidRDefault="003A24A6" w:rsidP="003A24A6">
      <w:r w:rsidRPr="00F624E1">
        <w:rPr>
          <w:i/>
          <w:iCs/>
        </w:rPr>
        <w:t>g)</w:t>
      </w:r>
      <w:r w:rsidRPr="00F624E1">
        <w:tab/>
        <w:t>that the combination of extended dynamic range and extended colour gamut give HDR</w:t>
      </w:r>
      <w:r w:rsidRPr="00F624E1">
        <w:noBreakHyphen/>
        <w:t>TV a substantially larger colour volume;</w:t>
      </w:r>
    </w:p>
    <w:p w14:paraId="0CDBB62C" w14:textId="77777777" w:rsidR="003A24A6" w:rsidRPr="00F624E1" w:rsidRDefault="003A24A6" w:rsidP="003A24A6">
      <w:r w:rsidRPr="00F624E1">
        <w:rPr>
          <w:i/>
          <w:iCs/>
        </w:rPr>
        <w:t>h)</w:t>
      </w:r>
      <w:r w:rsidRPr="00F624E1">
        <w:tab/>
        <w:t>that the HDR-TV image formats should have, where appropriate, a degree of compatibility with existing workflows and infrastructure;</w:t>
      </w:r>
    </w:p>
    <w:p w14:paraId="63E879CB" w14:textId="77777777" w:rsidR="003A24A6" w:rsidRPr="00F624E1" w:rsidRDefault="003A24A6" w:rsidP="003A24A6">
      <w:r w:rsidRPr="00F624E1">
        <w:rPr>
          <w:i/>
          <w:iCs/>
        </w:rPr>
        <w:t>i)</w:t>
      </w:r>
      <w:r w:rsidRPr="00F624E1">
        <w:tab/>
        <w:t>that a reference viewing environment including display parameters should be defined for HDR-TV image formats,</w:t>
      </w:r>
    </w:p>
    <w:p w14:paraId="68954958" w14:textId="77777777" w:rsidR="003A24A6" w:rsidRPr="00F624E1" w:rsidRDefault="003A24A6" w:rsidP="003A24A6">
      <w:pPr>
        <w:pStyle w:val="Call"/>
      </w:pPr>
      <w:r w:rsidRPr="00F624E1">
        <w:t>further considering</w:t>
      </w:r>
    </w:p>
    <w:p w14:paraId="422BA4B0" w14:textId="77777777" w:rsidR="003A24A6" w:rsidRPr="00F624E1" w:rsidRDefault="003A24A6" w:rsidP="003A24A6">
      <w:r w:rsidRPr="00F624E1">
        <w:t>that due to rapid developments in HDR technology the ITU may wish to consider early updates and improvements to this Recommendation,</w:t>
      </w:r>
    </w:p>
    <w:p w14:paraId="1F59C71C" w14:textId="77777777" w:rsidR="003A24A6" w:rsidRPr="00F624E1" w:rsidRDefault="003A24A6" w:rsidP="003A24A6">
      <w:pPr>
        <w:pStyle w:val="Call"/>
      </w:pPr>
      <w:r w:rsidRPr="00F624E1">
        <w:t xml:space="preserve">recognizing </w:t>
      </w:r>
    </w:p>
    <w:p w14:paraId="52384879" w14:textId="77777777" w:rsidR="003A24A6" w:rsidRPr="00F624E1" w:rsidRDefault="003A24A6" w:rsidP="003A24A6">
      <w:r w:rsidRPr="00F624E1">
        <w:t>that Report ITU-R BT.2390 contains much information on two methods to achieve HDR-TV,</w:t>
      </w:r>
    </w:p>
    <w:p w14:paraId="544138DA" w14:textId="77777777" w:rsidR="003A24A6" w:rsidRPr="00F624E1" w:rsidRDefault="003A24A6" w:rsidP="003A24A6">
      <w:pPr>
        <w:pStyle w:val="Call"/>
      </w:pPr>
      <w:r w:rsidRPr="00F624E1">
        <w:t>recommends</w:t>
      </w:r>
    </w:p>
    <w:p w14:paraId="652ED670" w14:textId="06600FC4" w:rsidR="003A24A6" w:rsidRPr="00F624E1" w:rsidRDefault="003A24A6" w:rsidP="003A24A6">
      <w:pPr>
        <w:rPr>
          <w:lang w:eastAsia="ko-KR"/>
        </w:rPr>
      </w:pPr>
      <w:r w:rsidRPr="00F624E1">
        <w:rPr>
          <w:lang w:eastAsia="ko-KR"/>
        </w:rPr>
        <w:t xml:space="preserve">that for programme production and international exchange of HDR-TV, the </w:t>
      </w:r>
      <w:r w:rsidR="006E36BC">
        <w:t>P</w:t>
      </w:r>
      <w:r w:rsidRPr="00F624E1">
        <w:t xml:space="preserve">erceptual </w:t>
      </w:r>
      <w:r w:rsidR="006E36BC">
        <w:t>Q</w:t>
      </w:r>
      <w:r w:rsidRPr="00F624E1">
        <w:t>uantization</w:t>
      </w:r>
      <w:r w:rsidRPr="00F624E1">
        <w:rPr>
          <w:lang w:eastAsia="ko-KR"/>
        </w:rPr>
        <w:t xml:space="preserve"> (PQ) or </w:t>
      </w:r>
      <w:r w:rsidRPr="00F624E1">
        <w:t xml:space="preserve">Hybrid Log-Gamma </w:t>
      </w:r>
      <w:r w:rsidRPr="00F624E1">
        <w:rPr>
          <w:lang w:eastAsia="ko-KR"/>
        </w:rPr>
        <w:t>(HLG) specifications described in this Recommendation should be used.</w:t>
      </w:r>
    </w:p>
    <w:p w14:paraId="50E57F52" w14:textId="77777777" w:rsidR="003A24A6" w:rsidRPr="00F624E1" w:rsidRDefault="003A24A6" w:rsidP="00692DDD">
      <w:pPr>
        <w:rPr>
          <w:lang w:eastAsia="ko-KR"/>
        </w:rPr>
      </w:pPr>
      <w:r w:rsidRPr="00F624E1">
        <w:rPr>
          <w:lang w:eastAsia="ko-KR"/>
        </w:rPr>
        <w:t xml:space="preserve">NOTE – </w:t>
      </w:r>
      <w:r w:rsidRPr="00F624E1">
        <w:t>The PQ specification achieves a very wide range of brightness levels for a given bit depth using a non-linear transfer function that is finely tuned to match the human visual system. The HLG specification offers a degree of compatibility with legacy displays by more closely matching the previously established television transfer curves. Report ITU-R BT.2390 provides additional information on PQ and HLG, conversion between them, and compatibility with previous systems.</w:t>
      </w:r>
    </w:p>
    <w:p w14:paraId="0F525791" w14:textId="77777777" w:rsidR="003A24A6" w:rsidRPr="00F624E1" w:rsidRDefault="003A24A6" w:rsidP="003A24A6">
      <w:pPr>
        <w:pStyle w:val="TableNo"/>
      </w:pPr>
      <w:r w:rsidRPr="00F624E1">
        <w:t>TABLE 1</w:t>
      </w:r>
    </w:p>
    <w:p w14:paraId="64F602EE" w14:textId="77777777" w:rsidR="003A24A6" w:rsidRPr="00F624E1" w:rsidRDefault="003A24A6" w:rsidP="003A24A6">
      <w:pPr>
        <w:pStyle w:val="Tabletitle"/>
      </w:pPr>
      <w:r w:rsidRPr="00F624E1">
        <w:t>Image spatial and temporal characteristics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3A24A6" w:rsidRPr="00F624E1" w14:paraId="5388E088" w14:textId="77777777" w:rsidTr="00FB58F9">
        <w:trPr>
          <w:jc w:val="center"/>
        </w:trPr>
        <w:tc>
          <w:tcPr>
            <w:tcW w:w="2835" w:type="dxa"/>
            <w:vAlign w:val="center"/>
          </w:tcPr>
          <w:p w14:paraId="4CDB5993" w14:textId="77777777" w:rsidR="003A24A6" w:rsidRPr="00F624E1" w:rsidRDefault="003A24A6" w:rsidP="00FB58F9">
            <w:pPr>
              <w:pStyle w:val="Tablehead"/>
              <w:keepLines/>
              <w:rPr>
                <w:lang w:eastAsia="ko-KR"/>
              </w:rPr>
            </w:pPr>
            <w:r w:rsidRPr="00F624E1">
              <w:rPr>
                <w:lang w:eastAsia="ko-KR"/>
              </w:rPr>
              <w:t>Parameter</w:t>
            </w:r>
          </w:p>
        </w:tc>
        <w:tc>
          <w:tcPr>
            <w:tcW w:w="6804" w:type="dxa"/>
            <w:vAlign w:val="center"/>
          </w:tcPr>
          <w:p w14:paraId="16083293" w14:textId="77777777" w:rsidR="003A24A6" w:rsidRPr="00F624E1" w:rsidRDefault="003A24A6" w:rsidP="00FB58F9">
            <w:pPr>
              <w:pStyle w:val="Tablehead"/>
              <w:keepLines/>
              <w:rPr>
                <w:lang w:eastAsia="ko-KR"/>
              </w:rPr>
            </w:pPr>
            <w:r w:rsidRPr="00F624E1">
              <w:rPr>
                <w:lang w:eastAsia="ko-KR"/>
              </w:rPr>
              <w:t>Values</w:t>
            </w:r>
          </w:p>
        </w:tc>
      </w:tr>
      <w:tr w:rsidR="003A24A6" w:rsidRPr="00F624E1" w14:paraId="5CD2503C" w14:textId="77777777" w:rsidTr="00FB58F9">
        <w:trPr>
          <w:trHeight w:val="330"/>
          <w:jc w:val="center"/>
        </w:trPr>
        <w:tc>
          <w:tcPr>
            <w:tcW w:w="2835" w:type="dxa"/>
            <w:vAlign w:val="center"/>
          </w:tcPr>
          <w:p w14:paraId="451AA4E9" w14:textId="77777777" w:rsidR="003A24A6" w:rsidRPr="00F624E1" w:rsidRDefault="003A24A6" w:rsidP="00FB58F9">
            <w:pPr>
              <w:pStyle w:val="Tabletext"/>
              <w:keepNext/>
              <w:keepLines/>
              <w:rPr>
                <w:lang w:eastAsia="ko-KR"/>
              </w:rPr>
            </w:pPr>
            <w:r w:rsidRPr="00F624E1">
              <w:rPr>
                <w:lang w:eastAsia="ko-KR"/>
              </w:rPr>
              <w:t xml:space="preserve">Image Container  </w:t>
            </w:r>
            <w:r w:rsidRPr="00F624E1">
              <w:rPr>
                <w:bCs/>
                <w:vertAlign w:val="superscript"/>
                <w:lang w:eastAsia="ko-KR"/>
              </w:rPr>
              <w:t>1a</w:t>
            </w:r>
            <w:r w:rsidRPr="00F624E1">
              <w:rPr>
                <w:lang w:eastAsia="ko-KR"/>
              </w:rPr>
              <w:t xml:space="preserve"> Shape </w:t>
            </w:r>
          </w:p>
        </w:tc>
        <w:tc>
          <w:tcPr>
            <w:tcW w:w="6804" w:type="dxa"/>
            <w:vAlign w:val="center"/>
          </w:tcPr>
          <w:p w14:paraId="2A3560E1" w14:textId="77777777" w:rsidR="003A24A6" w:rsidRPr="00F624E1" w:rsidRDefault="003A24A6" w:rsidP="00FB58F9">
            <w:pPr>
              <w:pStyle w:val="Tabletext"/>
              <w:keepNext/>
              <w:keepLines/>
              <w:jc w:val="center"/>
              <w:rPr>
                <w:lang w:eastAsia="ko-KR"/>
              </w:rPr>
            </w:pPr>
            <w:r w:rsidRPr="00F624E1">
              <w:rPr>
                <w:lang w:eastAsia="ko-KR"/>
              </w:rPr>
              <w:t>16:9</w:t>
            </w:r>
          </w:p>
        </w:tc>
      </w:tr>
      <w:tr w:rsidR="003A24A6" w:rsidRPr="00F624E1" w14:paraId="377A5AF7" w14:textId="77777777" w:rsidTr="00FB58F9">
        <w:trPr>
          <w:trHeight w:val="690"/>
          <w:jc w:val="center"/>
        </w:trPr>
        <w:tc>
          <w:tcPr>
            <w:tcW w:w="2835" w:type="dxa"/>
            <w:vAlign w:val="center"/>
          </w:tcPr>
          <w:p w14:paraId="0B5CE5FE" w14:textId="77777777" w:rsidR="003A24A6" w:rsidRPr="00F624E1" w:rsidRDefault="003A24A6" w:rsidP="00FB58F9">
            <w:pPr>
              <w:pStyle w:val="Tabletext"/>
              <w:keepNext/>
              <w:keepLines/>
              <w:rPr>
                <w:lang w:eastAsia="ko-KR"/>
              </w:rPr>
            </w:pPr>
            <w:r w:rsidRPr="00F624E1">
              <w:rPr>
                <w:lang w:eastAsia="ko-KR"/>
              </w:rPr>
              <w:t xml:space="preserve">Container Pixel count  </w:t>
            </w:r>
            <w:r w:rsidRPr="00F624E1">
              <w:rPr>
                <w:bCs/>
                <w:vertAlign w:val="superscript"/>
                <w:lang w:eastAsia="ko-KR"/>
              </w:rPr>
              <w:t>1b</w:t>
            </w:r>
            <w:r w:rsidRPr="00F624E1">
              <w:rPr>
                <w:lang w:eastAsia="ko-KR"/>
              </w:rPr>
              <w:t xml:space="preserve"> </w:t>
            </w:r>
          </w:p>
          <w:p w14:paraId="05EFECBC" w14:textId="77777777" w:rsidR="003A24A6" w:rsidRPr="00F624E1" w:rsidRDefault="003A24A6" w:rsidP="00FB58F9">
            <w:pPr>
              <w:pStyle w:val="Tabletext"/>
              <w:keepNext/>
              <w:keepLines/>
              <w:rPr>
                <w:lang w:eastAsia="ko-KR"/>
              </w:rPr>
            </w:pPr>
            <w:r w:rsidRPr="00F624E1">
              <w:rPr>
                <w:lang w:eastAsia="ko-KR"/>
              </w:rPr>
              <w:t>Horizontal × Vertical</w:t>
            </w:r>
          </w:p>
        </w:tc>
        <w:tc>
          <w:tcPr>
            <w:tcW w:w="6804" w:type="dxa"/>
            <w:vAlign w:val="center"/>
          </w:tcPr>
          <w:p w14:paraId="6059A942" w14:textId="77777777" w:rsidR="003A24A6" w:rsidRPr="00F624E1" w:rsidRDefault="003A24A6" w:rsidP="00FB58F9">
            <w:pPr>
              <w:pStyle w:val="Tabletext"/>
              <w:keepNext/>
              <w:keepLines/>
              <w:jc w:val="center"/>
              <w:rPr>
                <w:lang w:eastAsia="ko-KR"/>
              </w:rPr>
            </w:pPr>
            <w:r w:rsidRPr="00F624E1">
              <w:rPr>
                <w:lang w:eastAsia="ko-KR"/>
              </w:rPr>
              <w:t>7 680 × 4 320</w:t>
            </w:r>
          </w:p>
          <w:p w14:paraId="6ABF3552" w14:textId="77777777" w:rsidR="003A24A6" w:rsidRPr="00F624E1" w:rsidRDefault="003A24A6" w:rsidP="00FB58F9">
            <w:pPr>
              <w:pStyle w:val="Tabletext"/>
              <w:keepNext/>
              <w:keepLines/>
              <w:jc w:val="center"/>
              <w:rPr>
                <w:lang w:eastAsia="ko-KR"/>
              </w:rPr>
            </w:pPr>
            <w:r w:rsidRPr="00F624E1">
              <w:rPr>
                <w:lang w:eastAsia="ko-KR"/>
              </w:rPr>
              <w:t>3 840 × 2 160</w:t>
            </w:r>
          </w:p>
          <w:p w14:paraId="446D7DA7" w14:textId="77777777" w:rsidR="003A24A6" w:rsidRPr="00F624E1" w:rsidRDefault="003A24A6" w:rsidP="00FB58F9">
            <w:pPr>
              <w:pStyle w:val="Tabletext"/>
              <w:keepNext/>
              <w:keepLines/>
              <w:jc w:val="center"/>
              <w:rPr>
                <w:lang w:eastAsia="ko-KR"/>
              </w:rPr>
            </w:pPr>
            <w:r w:rsidRPr="00F624E1">
              <w:rPr>
                <w:lang w:eastAsia="ko-KR"/>
              </w:rPr>
              <w:t>1 920 × 1 080</w:t>
            </w:r>
          </w:p>
        </w:tc>
      </w:tr>
      <w:tr w:rsidR="003A24A6" w:rsidRPr="00F624E1" w14:paraId="23993A89" w14:textId="77777777" w:rsidTr="00FB58F9">
        <w:trPr>
          <w:jc w:val="center"/>
        </w:trPr>
        <w:tc>
          <w:tcPr>
            <w:tcW w:w="2835" w:type="dxa"/>
            <w:vAlign w:val="center"/>
          </w:tcPr>
          <w:p w14:paraId="6C0093C3" w14:textId="77777777" w:rsidR="003A24A6" w:rsidRPr="00F624E1" w:rsidRDefault="003A24A6" w:rsidP="00FB58F9">
            <w:pPr>
              <w:pStyle w:val="Tabletext"/>
              <w:keepNext/>
              <w:keepLines/>
              <w:rPr>
                <w:lang w:eastAsia="ko-KR"/>
              </w:rPr>
            </w:pPr>
            <w:r w:rsidRPr="00F624E1">
              <w:rPr>
                <w:lang w:eastAsia="ko-KR"/>
              </w:rPr>
              <w:t>Sampling lattice</w:t>
            </w:r>
          </w:p>
        </w:tc>
        <w:tc>
          <w:tcPr>
            <w:tcW w:w="6804" w:type="dxa"/>
            <w:vAlign w:val="center"/>
          </w:tcPr>
          <w:p w14:paraId="6D319E77" w14:textId="77777777" w:rsidR="003A24A6" w:rsidRPr="00F624E1" w:rsidRDefault="003A24A6" w:rsidP="00FB58F9">
            <w:pPr>
              <w:pStyle w:val="Tabletext"/>
              <w:keepNext/>
              <w:keepLines/>
              <w:jc w:val="center"/>
              <w:rPr>
                <w:lang w:eastAsia="ko-KR"/>
              </w:rPr>
            </w:pPr>
            <w:r w:rsidRPr="00F624E1">
              <w:rPr>
                <w:lang w:eastAsia="ko-KR"/>
              </w:rPr>
              <w:t>Orthogonal</w:t>
            </w:r>
          </w:p>
        </w:tc>
      </w:tr>
      <w:tr w:rsidR="003A24A6" w:rsidRPr="00F624E1" w14:paraId="35C9C43A" w14:textId="77777777" w:rsidTr="00FB58F9">
        <w:trPr>
          <w:jc w:val="center"/>
        </w:trPr>
        <w:tc>
          <w:tcPr>
            <w:tcW w:w="2835" w:type="dxa"/>
            <w:vAlign w:val="center"/>
          </w:tcPr>
          <w:p w14:paraId="4867649F" w14:textId="77777777" w:rsidR="003A24A6" w:rsidRPr="00F624E1" w:rsidRDefault="003A24A6" w:rsidP="00FB58F9">
            <w:pPr>
              <w:pStyle w:val="Tabletext"/>
              <w:keepNext/>
              <w:keepLines/>
              <w:rPr>
                <w:lang w:eastAsia="ko-KR"/>
              </w:rPr>
            </w:pPr>
            <w:r w:rsidRPr="00F624E1">
              <w:rPr>
                <w:lang w:eastAsia="ko-KR"/>
              </w:rPr>
              <w:t>Pixel aspect ratio</w:t>
            </w:r>
          </w:p>
        </w:tc>
        <w:tc>
          <w:tcPr>
            <w:tcW w:w="6804" w:type="dxa"/>
            <w:vAlign w:val="center"/>
          </w:tcPr>
          <w:p w14:paraId="418C1336" w14:textId="77777777" w:rsidR="003A24A6" w:rsidRPr="00F624E1" w:rsidRDefault="003A24A6" w:rsidP="00FB58F9">
            <w:pPr>
              <w:pStyle w:val="Tabletext"/>
              <w:keepNext/>
              <w:keepLines/>
              <w:jc w:val="center"/>
              <w:rPr>
                <w:lang w:eastAsia="ko-KR"/>
              </w:rPr>
            </w:pPr>
            <w:r w:rsidRPr="00F624E1">
              <w:rPr>
                <w:lang w:eastAsia="ko-KR"/>
              </w:rPr>
              <w:t>1:1 (square pixels)</w:t>
            </w:r>
          </w:p>
        </w:tc>
      </w:tr>
      <w:tr w:rsidR="003A24A6" w:rsidRPr="00C06F9E" w14:paraId="7E2C4723" w14:textId="77777777" w:rsidTr="00FB58F9">
        <w:trPr>
          <w:jc w:val="center"/>
        </w:trPr>
        <w:tc>
          <w:tcPr>
            <w:tcW w:w="2835" w:type="dxa"/>
            <w:vAlign w:val="center"/>
          </w:tcPr>
          <w:p w14:paraId="1879B519" w14:textId="77777777" w:rsidR="003A24A6" w:rsidRPr="00F624E1" w:rsidRDefault="003A24A6" w:rsidP="00FB58F9">
            <w:pPr>
              <w:pStyle w:val="Tabletext"/>
              <w:keepNext/>
              <w:keepLines/>
              <w:rPr>
                <w:lang w:eastAsia="ko-KR"/>
              </w:rPr>
            </w:pPr>
            <w:r w:rsidRPr="00F624E1">
              <w:rPr>
                <w:lang w:eastAsia="ko-KR"/>
              </w:rPr>
              <w:t>Pixel addressing</w:t>
            </w:r>
          </w:p>
        </w:tc>
        <w:tc>
          <w:tcPr>
            <w:tcW w:w="6804" w:type="dxa"/>
            <w:vAlign w:val="center"/>
          </w:tcPr>
          <w:p w14:paraId="10253343" w14:textId="77777777" w:rsidR="003A24A6" w:rsidRPr="00F624E1" w:rsidRDefault="003A24A6" w:rsidP="00FB58F9">
            <w:pPr>
              <w:pStyle w:val="Tabletext"/>
              <w:keepNext/>
              <w:keepLines/>
              <w:jc w:val="center"/>
              <w:rPr>
                <w:lang w:eastAsia="ja-JP"/>
              </w:rPr>
            </w:pPr>
            <w:r w:rsidRPr="00F624E1">
              <w:rPr>
                <w:lang w:eastAsia="ko-KR"/>
              </w:rPr>
              <w:t>Pixel ordering in each row is from left to right</w:t>
            </w:r>
            <w:r w:rsidRPr="00F624E1">
              <w:rPr>
                <w:lang w:eastAsia="ja-JP"/>
              </w:rPr>
              <w:t>,</w:t>
            </w:r>
            <w:r w:rsidRPr="00F624E1">
              <w:rPr>
                <w:lang w:eastAsia="ko-KR"/>
              </w:rPr>
              <w:t xml:space="preserve"> and rows </w:t>
            </w:r>
            <w:r w:rsidRPr="00F624E1">
              <w:rPr>
                <w:lang w:eastAsia="ko-KR"/>
              </w:rPr>
              <w:br/>
              <w:t>are ordered from top to bottom</w:t>
            </w:r>
            <w:r w:rsidRPr="00F624E1">
              <w:rPr>
                <w:lang w:eastAsia="ja-JP"/>
              </w:rPr>
              <w:t>.</w:t>
            </w:r>
          </w:p>
        </w:tc>
      </w:tr>
      <w:tr w:rsidR="003A24A6" w:rsidRPr="00F624E1" w14:paraId="4D5171D7" w14:textId="77777777" w:rsidTr="00FB58F9">
        <w:trPr>
          <w:jc w:val="center"/>
        </w:trPr>
        <w:tc>
          <w:tcPr>
            <w:tcW w:w="2835" w:type="dxa"/>
            <w:vAlign w:val="center"/>
          </w:tcPr>
          <w:p w14:paraId="03B1F398" w14:textId="77777777" w:rsidR="003A24A6" w:rsidRPr="00F624E1" w:rsidRDefault="003A24A6" w:rsidP="00FB58F9">
            <w:pPr>
              <w:pStyle w:val="Tabletext"/>
              <w:keepNext/>
              <w:keepLines/>
              <w:rPr>
                <w:lang w:eastAsia="ko-KR"/>
              </w:rPr>
            </w:pPr>
            <w:r w:rsidRPr="00F624E1">
              <w:rPr>
                <w:lang w:eastAsia="ko-KR"/>
              </w:rPr>
              <w:t xml:space="preserve">Frame frequency </w:t>
            </w:r>
            <w:r w:rsidRPr="00F624E1">
              <w:rPr>
                <w:lang w:eastAsia="ja-JP"/>
              </w:rPr>
              <w:t>(</w:t>
            </w:r>
            <w:r w:rsidRPr="00F624E1">
              <w:rPr>
                <w:lang w:eastAsia="ko-KR"/>
              </w:rPr>
              <w:t>Hz</w:t>
            </w:r>
            <w:r w:rsidRPr="00F624E1">
              <w:rPr>
                <w:lang w:eastAsia="ja-JP"/>
              </w:rPr>
              <w:t>)</w:t>
            </w:r>
          </w:p>
        </w:tc>
        <w:tc>
          <w:tcPr>
            <w:tcW w:w="6804" w:type="dxa"/>
            <w:vAlign w:val="center"/>
          </w:tcPr>
          <w:p w14:paraId="5CDAB4A8" w14:textId="77777777" w:rsidR="003A24A6" w:rsidRPr="00F624E1" w:rsidRDefault="003A24A6" w:rsidP="00FB58F9">
            <w:pPr>
              <w:pStyle w:val="Tabletext"/>
              <w:keepNext/>
              <w:keepLines/>
              <w:jc w:val="center"/>
              <w:rPr>
                <w:lang w:eastAsia="ko-KR"/>
              </w:rPr>
            </w:pPr>
            <w:r w:rsidRPr="00F624E1">
              <w:rPr>
                <w:lang w:eastAsia="ko-KR"/>
              </w:rPr>
              <w:t>120, 120/1.001,100, 60, 60/1.001, 50, 30, 30/1.001, 25, 24, 24/1.001</w:t>
            </w:r>
          </w:p>
        </w:tc>
      </w:tr>
      <w:tr w:rsidR="003A24A6" w:rsidRPr="00F624E1" w14:paraId="30C8ACD0" w14:textId="77777777" w:rsidTr="00FB58F9">
        <w:trPr>
          <w:jc w:val="center"/>
        </w:trPr>
        <w:tc>
          <w:tcPr>
            <w:tcW w:w="2835" w:type="dxa"/>
            <w:tcBorders>
              <w:bottom w:val="single" w:sz="4" w:space="0" w:color="auto"/>
            </w:tcBorders>
            <w:vAlign w:val="center"/>
          </w:tcPr>
          <w:p w14:paraId="488912A8" w14:textId="77777777" w:rsidR="003A24A6" w:rsidRPr="00F624E1" w:rsidRDefault="003A24A6" w:rsidP="00FB58F9">
            <w:pPr>
              <w:pStyle w:val="Tabletext"/>
              <w:rPr>
                <w:lang w:eastAsia="ko-KR"/>
              </w:rPr>
            </w:pPr>
            <w:r w:rsidRPr="00F624E1">
              <w:rPr>
                <w:lang w:eastAsia="ko-KR"/>
              </w:rPr>
              <w:t>Image Format</w:t>
            </w:r>
          </w:p>
        </w:tc>
        <w:tc>
          <w:tcPr>
            <w:tcW w:w="6804" w:type="dxa"/>
            <w:tcBorders>
              <w:bottom w:val="single" w:sz="4" w:space="0" w:color="auto"/>
            </w:tcBorders>
            <w:vAlign w:val="center"/>
          </w:tcPr>
          <w:p w14:paraId="4D9D90CB" w14:textId="77777777" w:rsidR="003A24A6" w:rsidRPr="00F624E1" w:rsidRDefault="003A24A6" w:rsidP="00FB58F9">
            <w:pPr>
              <w:pStyle w:val="Tabletext"/>
              <w:jc w:val="center"/>
              <w:rPr>
                <w:lang w:eastAsia="ko-KR"/>
              </w:rPr>
            </w:pPr>
            <w:r w:rsidRPr="00F624E1">
              <w:rPr>
                <w:lang w:eastAsia="ko-KR"/>
              </w:rPr>
              <w:t>Progressive</w:t>
            </w:r>
          </w:p>
        </w:tc>
      </w:tr>
      <w:tr w:rsidR="003A24A6" w:rsidRPr="00C06F9E" w14:paraId="50007663" w14:textId="77777777" w:rsidTr="00FB58F9">
        <w:trPr>
          <w:jc w:val="center"/>
        </w:trPr>
        <w:tc>
          <w:tcPr>
            <w:tcW w:w="9639" w:type="dxa"/>
            <w:gridSpan w:val="2"/>
            <w:tcBorders>
              <w:top w:val="single" w:sz="4" w:space="0" w:color="auto"/>
              <w:left w:val="nil"/>
              <w:bottom w:val="nil"/>
              <w:right w:val="nil"/>
            </w:tcBorders>
            <w:vAlign w:val="center"/>
          </w:tcPr>
          <w:p w14:paraId="1D9A8513" w14:textId="77777777" w:rsidR="003A24A6" w:rsidRPr="00F624E1" w:rsidRDefault="003A24A6" w:rsidP="00FB58F9">
            <w:pPr>
              <w:pStyle w:val="TableLegendNote"/>
              <w:jc w:val="left"/>
              <w:rPr>
                <w:sz w:val="20"/>
                <w:lang w:val="en-GB"/>
              </w:rPr>
            </w:pPr>
            <w:r w:rsidRPr="00F624E1">
              <w:rPr>
                <w:bCs/>
                <w:sz w:val="20"/>
                <w:lang w:val="en-GB"/>
              </w:rPr>
              <w:t>Note 1a</w:t>
            </w:r>
            <w:r w:rsidRPr="00F624E1">
              <w:rPr>
                <w:sz w:val="20"/>
                <w:lang w:val="en-GB"/>
              </w:rPr>
              <w:t xml:space="preserve"> – Container is used to define the horizontal and vertical constraints of the image format.</w:t>
            </w:r>
          </w:p>
          <w:p w14:paraId="4BEFF7C1" w14:textId="77777777" w:rsidR="003A24A6" w:rsidRPr="00F624E1" w:rsidRDefault="003A24A6" w:rsidP="00FB58F9">
            <w:pPr>
              <w:pStyle w:val="TableLegendNote"/>
              <w:rPr>
                <w:sz w:val="20"/>
                <w:lang w:val="en-GB"/>
              </w:rPr>
            </w:pPr>
            <w:r w:rsidRPr="00F624E1">
              <w:rPr>
                <w:bCs/>
                <w:sz w:val="20"/>
                <w:lang w:val="en-GB"/>
              </w:rPr>
              <w:t xml:space="preserve">Note 1b </w:t>
            </w:r>
            <w:r w:rsidRPr="00F624E1">
              <w:rPr>
                <w:sz w:val="20"/>
                <w:lang w:val="en-GB"/>
              </w:rPr>
              <w:t>– Productions should use the highest resolution image format that is practical. It is recognized that in many cases high resolution productions will be down-sampled to lower resolution formats for distribution. It is known that producing in a higher resolution format, and then electronically down-sampling for distribution, yields superior quality than producing at the resolution used for distribution.</w:t>
            </w:r>
          </w:p>
        </w:tc>
      </w:tr>
    </w:tbl>
    <w:p w14:paraId="3CCA948C" w14:textId="77777777" w:rsidR="003A24A6" w:rsidRPr="00F624E1" w:rsidRDefault="003A24A6" w:rsidP="003A24A6">
      <w:pPr>
        <w:pStyle w:val="Tablefin"/>
      </w:pPr>
    </w:p>
    <w:p w14:paraId="42B19DDE" w14:textId="77777777" w:rsidR="003A24A6" w:rsidRPr="00F624E1" w:rsidRDefault="003A24A6" w:rsidP="003A24A6">
      <w:pPr>
        <w:pStyle w:val="TableNo"/>
      </w:pPr>
      <w:r w:rsidRPr="00F624E1">
        <w:lastRenderedPageBreak/>
        <w:t>TABLE 2</w:t>
      </w:r>
    </w:p>
    <w:p w14:paraId="330233C7" w14:textId="77777777" w:rsidR="003A24A6" w:rsidRPr="00F624E1" w:rsidRDefault="003A24A6" w:rsidP="003A24A6">
      <w:pPr>
        <w:pStyle w:val="Tabletitle"/>
      </w:pPr>
      <w:r w:rsidRPr="00F624E1">
        <w:t>System colorimetry</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1844"/>
        <w:gridCol w:w="3122"/>
        <w:gridCol w:w="2413"/>
        <w:gridCol w:w="1271"/>
      </w:tblGrid>
      <w:tr w:rsidR="003A24A6" w:rsidRPr="00F624E1" w14:paraId="08FC0A60" w14:textId="77777777" w:rsidTr="00FB58F9">
        <w:trPr>
          <w:jc w:val="center"/>
        </w:trPr>
        <w:tc>
          <w:tcPr>
            <w:tcW w:w="2830" w:type="dxa"/>
            <w:gridSpan w:val="2"/>
            <w:vMerge w:val="restart"/>
            <w:vAlign w:val="center"/>
          </w:tcPr>
          <w:p w14:paraId="768922DF" w14:textId="77777777" w:rsidR="003A24A6" w:rsidRPr="00F624E1" w:rsidRDefault="003A24A6" w:rsidP="00FB58F9">
            <w:pPr>
              <w:pStyle w:val="Tablehead"/>
              <w:keepLines/>
              <w:rPr>
                <w:lang w:eastAsia="ko-KR"/>
              </w:rPr>
            </w:pPr>
            <w:r w:rsidRPr="00F624E1">
              <w:rPr>
                <w:lang w:eastAsia="ko-KR"/>
              </w:rPr>
              <w:t>Parameter</w:t>
            </w:r>
          </w:p>
        </w:tc>
        <w:tc>
          <w:tcPr>
            <w:tcW w:w="6800" w:type="dxa"/>
            <w:gridSpan w:val="3"/>
            <w:vAlign w:val="center"/>
          </w:tcPr>
          <w:p w14:paraId="060BAD17" w14:textId="77777777" w:rsidR="003A24A6" w:rsidRPr="00F624E1" w:rsidRDefault="003A24A6" w:rsidP="00FB58F9">
            <w:pPr>
              <w:pStyle w:val="Tablehead"/>
              <w:keepLines/>
              <w:rPr>
                <w:lang w:eastAsia="ko-KR"/>
              </w:rPr>
            </w:pPr>
            <w:r w:rsidRPr="00F624E1">
              <w:rPr>
                <w:lang w:eastAsia="ko-KR"/>
              </w:rPr>
              <w:t>Values</w:t>
            </w:r>
          </w:p>
        </w:tc>
      </w:tr>
      <w:tr w:rsidR="003A24A6" w:rsidRPr="00F624E1" w14:paraId="13789C6C" w14:textId="77777777" w:rsidTr="00FB58F9">
        <w:trPr>
          <w:trHeight w:val="274"/>
          <w:jc w:val="center"/>
        </w:trPr>
        <w:tc>
          <w:tcPr>
            <w:tcW w:w="2830" w:type="dxa"/>
            <w:gridSpan w:val="2"/>
            <w:vMerge/>
            <w:vAlign w:val="center"/>
          </w:tcPr>
          <w:p w14:paraId="4826AF22" w14:textId="77777777" w:rsidR="003A24A6" w:rsidRPr="00F624E1" w:rsidRDefault="003A24A6" w:rsidP="00FB58F9">
            <w:pPr>
              <w:pStyle w:val="Tablehead"/>
              <w:keepLines/>
              <w:rPr>
                <w:rFonts w:eastAsia="GulimChe"/>
                <w:lang w:eastAsia="ko-KR"/>
              </w:rPr>
            </w:pPr>
          </w:p>
        </w:tc>
        <w:tc>
          <w:tcPr>
            <w:tcW w:w="3119" w:type="dxa"/>
            <w:vMerge w:val="restart"/>
            <w:tcBorders>
              <w:top w:val="single" w:sz="4" w:space="0" w:color="auto"/>
            </w:tcBorders>
            <w:vAlign w:val="center"/>
          </w:tcPr>
          <w:p w14:paraId="0F199647" w14:textId="77777777" w:rsidR="003A24A6" w:rsidRPr="00F624E1" w:rsidRDefault="003A24A6" w:rsidP="00FB58F9">
            <w:pPr>
              <w:pStyle w:val="Tablehead"/>
              <w:keepLines/>
              <w:rPr>
                <w:rFonts w:eastAsia="GulimChe"/>
                <w:lang w:eastAsia="ko-KR"/>
              </w:rPr>
            </w:pPr>
            <w:r w:rsidRPr="00F624E1">
              <w:rPr>
                <w:rFonts w:eastAsia="GulimChe"/>
                <w:lang w:eastAsia="ko-KR"/>
              </w:rPr>
              <w:t>Optical spectrum (informative)</w:t>
            </w:r>
          </w:p>
        </w:tc>
        <w:tc>
          <w:tcPr>
            <w:tcW w:w="3681" w:type="dxa"/>
            <w:gridSpan w:val="2"/>
            <w:vAlign w:val="center"/>
          </w:tcPr>
          <w:p w14:paraId="63A6DCFC" w14:textId="77777777" w:rsidR="003A24A6" w:rsidRPr="00F624E1" w:rsidRDefault="003A24A6" w:rsidP="00FB58F9">
            <w:pPr>
              <w:pStyle w:val="Tablehead"/>
              <w:keepLines/>
              <w:rPr>
                <w:rFonts w:eastAsia="GulimChe"/>
                <w:lang w:eastAsia="ko-KR"/>
              </w:rPr>
            </w:pPr>
            <w:r w:rsidRPr="00F624E1">
              <w:rPr>
                <w:color w:val="000000"/>
                <w:lang w:eastAsia="ko-KR"/>
              </w:rPr>
              <w:t xml:space="preserve">Chromaticity coordinates </w:t>
            </w:r>
            <w:r w:rsidRPr="00F624E1">
              <w:rPr>
                <w:color w:val="000000"/>
                <w:lang w:eastAsia="ko-KR"/>
              </w:rPr>
              <w:br/>
              <w:t>(CIE, 1931)</w:t>
            </w:r>
          </w:p>
        </w:tc>
      </w:tr>
      <w:tr w:rsidR="003A24A6" w:rsidRPr="00F624E1" w14:paraId="429DFBA2" w14:textId="77777777" w:rsidTr="00FB58F9">
        <w:trPr>
          <w:trHeight w:val="273"/>
          <w:jc w:val="center"/>
        </w:trPr>
        <w:tc>
          <w:tcPr>
            <w:tcW w:w="2830" w:type="dxa"/>
            <w:gridSpan w:val="2"/>
            <w:vMerge/>
            <w:vAlign w:val="center"/>
          </w:tcPr>
          <w:p w14:paraId="15158BCA" w14:textId="77777777" w:rsidR="003A24A6" w:rsidRPr="00F624E1" w:rsidRDefault="003A24A6" w:rsidP="00FB58F9">
            <w:pPr>
              <w:pStyle w:val="Tablehead"/>
              <w:keepLines/>
              <w:rPr>
                <w:rFonts w:eastAsia="GulimChe"/>
                <w:lang w:eastAsia="ko-KR"/>
              </w:rPr>
            </w:pPr>
          </w:p>
        </w:tc>
        <w:tc>
          <w:tcPr>
            <w:tcW w:w="3119" w:type="dxa"/>
            <w:vMerge/>
            <w:vAlign w:val="center"/>
          </w:tcPr>
          <w:p w14:paraId="76A092D4" w14:textId="77777777" w:rsidR="003A24A6" w:rsidRPr="00F624E1" w:rsidRDefault="003A24A6" w:rsidP="00FB58F9">
            <w:pPr>
              <w:pStyle w:val="Tablehead"/>
              <w:keepLines/>
              <w:rPr>
                <w:rFonts w:eastAsia="GulimChe"/>
                <w:lang w:eastAsia="ko-KR"/>
              </w:rPr>
            </w:pPr>
          </w:p>
        </w:tc>
        <w:tc>
          <w:tcPr>
            <w:tcW w:w="2411" w:type="dxa"/>
            <w:vAlign w:val="center"/>
          </w:tcPr>
          <w:p w14:paraId="092DD60A" w14:textId="77777777" w:rsidR="003A24A6" w:rsidRPr="00F624E1" w:rsidRDefault="003A24A6" w:rsidP="00FB58F9">
            <w:pPr>
              <w:pStyle w:val="Tablehead"/>
              <w:keepLines/>
              <w:rPr>
                <w:rFonts w:eastAsia="GulimChe"/>
                <w:i/>
                <w:iCs/>
                <w:lang w:eastAsia="ko-KR"/>
              </w:rPr>
            </w:pPr>
            <w:r w:rsidRPr="00F624E1">
              <w:rPr>
                <w:rFonts w:eastAsia="GulimChe"/>
                <w:i/>
                <w:iCs/>
                <w:lang w:eastAsia="ko-KR"/>
              </w:rPr>
              <w:t>x</w:t>
            </w:r>
          </w:p>
        </w:tc>
        <w:tc>
          <w:tcPr>
            <w:tcW w:w="1270" w:type="dxa"/>
            <w:vAlign w:val="center"/>
          </w:tcPr>
          <w:p w14:paraId="3E78FD66" w14:textId="77777777" w:rsidR="003A24A6" w:rsidRPr="00F624E1" w:rsidRDefault="003A24A6" w:rsidP="00FB58F9">
            <w:pPr>
              <w:pStyle w:val="Tablehead"/>
              <w:keepLines/>
              <w:rPr>
                <w:rFonts w:eastAsia="GulimChe"/>
                <w:i/>
                <w:iCs/>
                <w:lang w:eastAsia="ko-KR"/>
              </w:rPr>
            </w:pPr>
            <w:r w:rsidRPr="00F624E1">
              <w:rPr>
                <w:rFonts w:eastAsia="GulimChe"/>
                <w:i/>
                <w:iCs/>
                <w:lang w:eastAsia="ko-KR"/>
              </w:rPr>
              <w:t>y</w:t>
            </w:r>
          </w:p>
        </w:tc>
      </w:tr>
      <w:tr w:rsidR="003A24A6" w:rsidRPr="00F624E1" w14:paraId="6C4E6017" w14:textId="77777777" w:rsidTr="00FB58F9">
        <w:trPr>
          <w:trHeight w:val="76"/>
          <w:jc w:val="center"/>
        </w:trPr>
        <w:tc>
          <w:tcPr>
            <w:tcW w:w="988" w:type="dxa"/>
            <w:vMerge w:val="restart"/>
            <w:vAlign w:val="center"/>
          </w:tcPr>
          <w:p w14:paraId="41CB5DED" w14:textId="77777777" w:rsidR="003A24A6" w:rsidRPr="00F624E1" w:rsidRDefault="003A24A6" w:rsidP="00FB58F9">
            <w:pPr>
              <w:pStyle w:val="Tabletext"/>
              <w:jc w:val="center"/>
              <w:rPr>
                <w:lang w:eastAsia="ko-KR"/>
              </w:rPr>
            </w:pPr>
            <w:r w:rsidRPr="00F624E1">
              <w:rPr>
                <w:lang w:eastAsia="ko-KR"/>
              </w:rPr>
              <w:t>Primary colours</w:t>
            </w:r>
          </w:p>
        </w:tc>
        <w:tc>
          <w:tcPr>
            <w:tcW w:w="1842" w:type="dxa"/>
            <w:vAlign w:val="center"/>
          </w:tcPr>
          <w:p w14:paraId="31DF3267" w14:textId="77777777" w:rsidR="003A24A6" w:rsidRPr="00F624E1" w:rsidRDefault="003A24A6" w:rsidP="00FB58F9">
            <w:pPr>
              <w:pStyle w:val="Tabletext"/>
              <w:jc w:val="center"/>
              <w:rPr>
                <w:lang w:eastAsia="ko-KR"/>
              </w:rPr>
            </w:pPr>
            <w:r w:rsidRPr="00F624E1">
              <w:rPr>
                <w:rFonts w:eastAsia="GulimChe"/>
              </w:rPr>
              <w:t>Red</w:t>
            </w:r>
            <w:r w:rsidRPr="00F624E1">
              <w:rPr>
                <w:rFonts w:eastAsia="GulimChe"/>
                <w:lang w:eastAsia="ko-KR"/>
              </w:rPr>
              <w:t xml:space="preserve"> primary (R)</w:t>
            </w:r>
          </w:p>
        </w:tc>
        <w:tc>
          <w:tcPr>
            <w:tcW w:w="3119" w:type="dxa"/>
            <w:vAlign w:val="center"/>
          </w:tcPr>
          <w:p w14:paraId="5A9D6312" w14:textId="77777777" w:rsidR="003A24A6" w:rsidRPr="00F624E1" w:rsidRDefault="003A24A6" w:rsidP="00FB58F9">
            <w:pPr>
              <w:pStyle w:val="Tabletext"/>
              <w:jc w:val="center"/>
              <w:rPr>
                <w:rFonts w:eastAsia="GulimChe"/>
                <w:lang w:eastAsia="ko-KR"/>
              </w:rPr>
            </w:pPr>
            <w:r w:rsidRPr="00F624E1">
              <w:rPr>
                <w:rFonts w:eastAsia="GulimChe"/>
                <w:lang w:eastAsia="ko-KR"/>
              </w:rPr>
              <w:t>monochromatic 630 nm</w:t>
            </w:r>
          </w:p>
        </w:tc>
        <w:tc>
          <w:tcPr>
            <w:tcW w:w="2411" w:type="dxa"/>
            <w:vAlign w:val="center"/>
          </w:tcPr>
          <w:p w14:paraId="62EE9895" w14:textId="77777777" w:rsidR="003A24A6" w:rsidRPr="00F624E1" w:rsidRDefault="003A24A6" w:rsidP="00FB58F9">
            <w:pPr>
              <w:pStyle w:val="Tabletext"/>
              <w:jc w:val="center"/>
              <w:rPr>
                <w:rFonts w:eastAsia="GulimChe"/>
                <w:lang w:eastAsia="ko-KR"/>
              </w:rPr>
            </w:pPr>
            <w:r w:rsidRPr="00F624E1">
              <w:rPr>
                <w:rFonts w:eastAsia="GulimChe"/>
              </w:rPr>
              <w:t>0.70</w:t>
            </w:r>
            <w:r w:rsidRPr="00F624E1">
              <w:t>8</w:t>
            </w:r>
          </w:p>
        </w:tc>
        <w:tc>
          <w:tcPr>
            <w:tcW w:w="1270" w:type="dxa"/>
            <w:vAlign w:val="center"/>
          </w:tcPr>
          <w:p w14:paraId="76606D4F" w14:textId="77777777" w:rsidR="003A24A6" w:rsidRPr="00F624E1" w:rsidRDefault="003A24A6" w:rsidP="00FB58F9">
            <w:pPr>
              <w:pStyle w:val="Tabletext"/>
              <w:jc w:val="center"/>
              <w:rPr>
                <w:rFonts w:eastAsia="GulimChe"/>
                <w:lang w:eastAsia="ko-KR"/>
              </w:rPr>
            </w:pPr>
            <w:r w:rsidRPr="00F624E1">
              <w:rPr>
                <w:rFonts w:eastAsia="GulimChe"/>
              </w:rPr>
              <w:t>0.292</w:t>
            </w:r>
          </w:p>
        </w:tc>
      </w:tr>
      <w:tr w:rsidR="003A24A6" w:rsidRPr="00F624E1" w14:paraId="45F11C95" w14:textId="77777777" w:rsidTr="00FB58F9">
        <w:trPr>
          <w:trHeight w:val="73"/>
          <w:jc w:val="center"/>
        </w:trPr>
        <w:tc>
          <w:tcPr>
            <w:tcW w:w="988" w:type="dxa"/>
            <w:vMerge/>
            <w:vAlign w:val="center"/>
          </w:tcPr>
          <w:p w14:paraId="15C93DE1" w14:textId="77777777" w:rsidR="003A24A6" w:rsidRPr="00F624E1" w:rsidRDefault="003A24A6" w:rsidP="00FB58F9">
            <w:pPr>
              <w:pStyle w:val="Tabletext"/>
              <w:jc w:val="center"/>
              <w:rPr>
                <w:lang w:eastAsia="ko-KR"/>
              </w:rPr>
            </w:pPr>
          </w:p>
        </w:tc>
        <w:tc>
          <w:tcPr>
            <w:tcW w:w="1842" w:type="dxa"/>
            <w:vAlign w:val="center"/>
          </w:tcPr>
          <w:p w14:paraId="6457AD63" w14:textId="77777777" w:rsidR="003A24A6" w:rsidRPr="00F624E1" w:rsidRDefault="003A24A6" w:rsidP="00FB58F9">
            <w:pPr>
              <w:pStyle w:val="Tabletext"/>
              <w:jc w:val="center"/>
              <w:rPr>
                <w:lang w:eastAsia="ko-KR"/>
              </w:rPr>
            </w:pPr>
            <w:r w:rsidRPr="00F624E1">
              <w:rPr>
                <w:rFonts w:eastAsia="GulimChe"/>
              </w:rPr>
              <w:t>Green</w:t>
            </w:r>
            <w:r w:rsidRPr="00F624E1">
              <w:rPr>
                <w:rFonts w:eastAsia="GulimChe"/>
                <w:lang w:eastAsia="ko-KR"/>
              </w:rPr>
              <w:t xml:space="preserve"> primary (G)</w:t>
            </w:r>
          </w:p>
        </w:tc>
        <w:tc>
          <w:tcPr>
            <w:tcW w:w="3119" w:type="dxa"/>
            <w:vAlign w:val="center"/>
          </w:tcPr>
          <w:p w14:paraId="12A3A834" w14:textId="77777777" w:rsidR="003A24A6" w:rsidRPr="00F624E1" w:rsidRDefault="003A24A6" w:rsidP="00FB58F9">
            <w:pPr>
              <w:pStyle w:val="Tabletext"/>
              <w:jc w:val="center"/>
              <w:rPr>
                <w:rFonts w:eastAsia="GulimChe"/>
                <w:lang w:eastAsia="ko-KR"/>
              </w:rPr>
            </w:pPr>
            <w:r w:rsidRPr="00F624E1">
              <w:rPr>
                <w:rFonts w:eastAsia="GulimChe"/>
                <w:lang w:eastAsia="ko-KR"/>
              </w:rPr>
              <w:t>monochromatic 532 nm</w:t>
            </w:r>
          </w:p>
        </w:tc>
        <w:tc>
          <w:tcPr>
            <w:tcW w:w="2411" w:type="dxa"/>
            <w:vAlign w:val="center"/>
          </w:tcPr>
          <w:p w14:paraId="2B788252" w14:textId="77777777" w:rsidR="003A24A6" w:rsidRPr="00F624E1" w:rsidRDefault="003A24A6" w:rsidP="00FB58F9">
            <w:pPr>
              <w:pStyle w:val="Tabletext"/>
              <w:jc w:val="center"/>
              <w:rPr>
                <w:rFonts w:eastAsia="GulimChe"/>
                <w:lang w:eastAsia="ko-KR"/>
              </w:rPr>
            </w:pPr>
            <w:r w:rsidRPr="00F624E1">
              <w:rPr>
                <w:rFonts w:eastAsia="GulimChe"/>
              </w:rPr>
              <w:t>0.170</w:t>
            </w:r>
          </w:p>
        </w:tc>
        <w:tc>
          <w:tcPr>
            <w:tcW w:w="1270" w:type="dxa"/>
            <w:vAlign w:val="center"/>
          </w:tcPr>
          <w:p w14:paraId="492C5CCE" w14:textId="77777777" w:rsidR="003A24A6" w:rsidRPr="00F624E1" w:rsidRDefault="003A24A6" w:rsidP="00FB58F9">
            <w:pPr>
              <w:pStyle w:val="Tabletext"/>
              <w:jc w:val="center"/>
              <w:rPr>
                <w:rFonts w:eastAsia="GulimChe"/>
                <w:lang w:eastAsia="ko-KR"/>
              </w:rPr>
            </w:pPr>
            <w:r w:rsidRPr="00F624E1">
              <w:rPr>
                <w:rFonts w:eastAsia="GulimChe"/>
              </w:rPr>
              <w:t>0.79</w:t>
            </w:r>
            <w:r w:rsidRPr="00F624E1">
              <w:t>7</w:t>
            </w:r>
          </w:p>
        </w:tc>
      </w:tr>
      <w:tr w:rsidR="003A24A6" w:rsidRPr="00F624E1" w14:paraId="6D05589B" w14:textId="77777777" w:rsidTr="00FB58F9">
        <w:trPr>
          <w:trHeight w:val="73"/>
          <w:jc w:val="center"/>
        </w:trPr>
        <w:tc>
          <w:tcPr>
            <w:tcW w:w="988" w:type="dxa"/>
            <w:vMerge/>
            <w:vAlign w:val="center"/>
          </w:tcPr>
          <w:p w14:paraId="4DE2607C" w14:textId="77777777" w:rsidR="003A24A6" w:rsidRPr="00F624E1" w:rsidRDefault="003A24A6" w:rsidP="00FB58F9">
            <w:pPr>
              <w:pStyle w:val="Tabletext"/>
              <w:jc w:val="center"/>
              <w:rPr>
                <w:lang w:eastAsia="ko-KR"/>
              </w:rPr>
            </w:pPr>
          </w:p>
        </w:tc>
        <w:tc>
          <w:tcPr>
            <w:tcW w:w="1842" w:type="dxa"/>
            <w:vAlign w:val="center"/>
          </w:tcPr>
          <w:p w14:paraId="009C6585" w14:textId="77777777" w:rsidR="003A24A6" w:rsidRPr="00F624E1" w:rsidRDefault="003A24A6" w:rsidP="00FB58F9">
            <w:pPr>
              <w:pStyle w:val="Tabletext"/>
              <w:jc w:val="center"/>
              <w:rPr>
                <w:lang w:eastAsia="ko-KR"/>
              </w:rPr>
            </w:pPr>
            <w:r w:rsidRPr="00F624E1">
              <w:rPr>
                <w:rFonts w:eastAsia="GulimChe"/>
              </w:rPr>
              <w:t>Blue</w:t>
            </w:r>
            <w:r w:rsidRPr="00F624E1">
              <w:rPr>
                <w:rFonts w:eastAsia="GulimChe"/>
                <w:lang w:eastAsia="ko-KR"/>
              </w:rPr>
              <w:t xml:space="preserve"> primary (B)</w:t>
            </w:r>
          </w:p>
        </w:tc>
        <w:tc>
          <w:tcPr>
            <w:tcW w:w="3119" w:type="dxa"/>
            <w:vAlign w:val="center"/>
          </w:tcPr>
          <w:p w14:paraId="0AEF4515" w14:textId="77777777" w:rsidR="003A24A6" w:rsidRPr="00F624E1" w:rsidRDefault="003A24A6" w:rsidP="00FB58F9">
            <w:pPr>
              <w:pStyle w:val="Tabletext"/>
              <w:jc w:val="center"/>
              <w:rPr>
                <w:rFonts w:eastAsia="GulimChe"/>
                <w:lang w:eastAsia="ko-KR"/>
              </w:rPr>
            </w:pPr>
            <w:r w:rsidRPr="00F624E1">
              <w:rPr>
                <w:rFonts w:eastAsia="GulimChe"/>
                <w:lang w:eastAsia="ko-KR"/>
              </w:rPr>
              <w:t>monochromatic 467 nm</w:t>
            </w:r>
          </w:p>
        </w:tc>
        <w:tc>
          <w:tcPr>
            <w:tcW w:w="2411" w:type="dxa"/>
            <w:vAlign w:val="center"/>
          </w:tcPr>
          <w:p w14:paraId="1839FF17" w14:textId="77777777" w:rsidR="003A24A6" w:rsidRPr="00F624E1" w:rsidRDefault="003A24A6" w:rsidP="00FB58F9">
            <w:pPr>
              <w:pStyle w:val="Tabletext"/>
              <w:jc w:val="center"/>
              <w:rPr>
                <w:rFonts w:eastAsia="GulimChe"/>
                <w:lang w:eastAsia="ko-KR"/>
              </w:rPr>
            </w:pPr>
            <w:r w:rsidRPr="00F624E1">
              <w:rPr>
                <w:rFonts w:eastAsia="GulimChe"/>
              </w:rPr>
              <w:t>0.131</w:t>
            </w:r>
          </w:p>
        </w:tc>
        <w:tc>
          <w:tcPr>
            <w:tcW w:w="1270" w:type="dxa"/>
            <w:vAlign w:val="center"/>
          </w:tcPr>
          <w:p w14:paraId="03FBC6C6" w14:textId="77777777" w:rsidR="003A24A6" w:rsidRPr="00F624E1" w:rsidRDefault="003A24A6" w:rsidP="00FB58F9">
            <w:pPr>
              <w:pStyle w:val="Tabletext"/>
              <w:jc w:val="center"/>
              <w:rPr>
                <w:rFonts w:eastAsia="GulimChe"/>
                <w:lang w:eastAsia="ko-KR"/>
              </w:rPr>
            </w:pPr>
            <w:r w:rsidRPr="00F624E1">
              <w:rPr>
                <w:rFonts w:eastAsia="GulimChe"/>
              </w:rPr>
              <w:t>0.04</w:t>
            </w:r>
            <w:r w:rsidRPr="00F624E1">
              <w:t>6</w:t>
            </w:r>
          </w:p>
        </w:tc>
      </w:tr>
      <w:tr w:rsidR="003A24A6" w:rsidRPr="00F624E1" w14:paraId="3A6F8847" w14:textId="77777777" w:rsidTr="00FB58F9">
        <w:trPr>
          <w:trHeight w:val="73"/>
          <w:jc w:val="center"/>
        </w:trPr>
        <w:tc>
          <w:tcPr>
            <w:tcW w:w="2830" w:type="dxa"/>
            <w:gridSpan w:val="2"/>
            <w:vAlign w:val="center"/>
          </w:tcPr>
          <w:p w14:paraId="01251D1F" w14:textId="77777777" w:rsidR="003A24A6" w:rsidRPr="00F624E1" w:rsidRDefault="003A24A6" w:rsidP="00FB58F9">
            <w:pPr>
              <w:pStyle w:val="Tabletext"/>
              <w:jc w:val="center"/>
              <w:rPr>
                <w:lang w:eastAsia="ko-KR"/>
              </w:rPr>
            </w:pPr>
            <w:r w:rsidRPr="00F624E1">
              <w:rPr>
                <w:lang w:eastAsia="ko-KR"/>
              </w:rPr>
              <w:t>Reference white</w:t>
            </w:r>
          </w:p>
        </w:tc>
        <w:tc>
          <w:tcPr>
            <w:tcW w:w="3119" w:type="dxa"/>
            <w:vAlign w:val="center"/>
          </w:tcPr>
          <w:p w14:paraId="07DAF23A" w14:textId="77777777" w:rsidR="003A24A6" w:rsidRPr="00F624E1" w:rsidRDefault="003A24A6" w:rsidP="00FB58F9">
            <w:pPr>
              <w:pStyle w:val="Tabletext"/>
              <w:jc w:val="center"/>
              <w:rPr>
                <w:rFonts w:eastAsia="GulimChe"/>
              </w:rPr>
            </w:pPr>
            <w:r w:rsidRPr="00F624E1">
              <w:rPr>
                <w:rFonts w:eastAsia="GulimChe"/>
              </w:rPr>
              <w:t>D65 per</w:t>
            </w:r>
          </w:p>
          <w:p w14:paraId="758B44E1" w14:textId="77777777" w:rsidR="003A24A6" w:rsidRPr="00F624E1" w:rsidRDefault="003A24A6" w:rsidP="00FB58F9">
            <w:pPr>
              <w:pStyle w:val="Tabletext"/>
              <w:jc w:val="center"/>
              <w:rPr>
                <w:rFonts w:eastAsia="GulimChe"/>
              </w:rPr>
            </w:pPr>
            <w:r w:rsidRPr="00F624E1">
              <w:rPr>
                <w:rFonts w:eastAsia="GulimChe"/>
              </w:rPr>
              <w:t>ISO 11664-2:2007</w:t>
            </w:r>
          </w:p>
        </w:tc>
        <w:tc>
          <w:tcPr>
            <w:tcW w:w="2411" w:type="dxa"/>
            <w:vAlign w:val="center"/>
          </w:tcPr>
          <w:p w14:paraId="7ADE5EB6" w14:textId="77777777" w:rsidR="003A24A6" w:rsidRPr="00F624E1" w:rsidRDefault="003A24A6" w:rsidP="00FB58F9">
            <w:pPr>
              <w:pStyle w:val="Tabletext"/>
              <w:jc w:val="center"/>
              <w:rPr>
                <w:rFonts w:eastAsia="GulimChe"/>
                <w:lang w:eastAsia="ko-KR"/>
              </w:rPr>
            </w:pPr>
            <w:r w:rsidRPr="00F624E1">
              <w:rPr>
                <w:rFonts w:eastAsia="GulimChe"/>
              </w:rPr>
              <w:t>0.3127</w:t>
            </w:r>
          </w:p>
        </w:tc>
        <w:tc>
          <w:tcPr>
            <w:tcW w:w="1270" w:type="dxa"/>
            <w:vAlign w:val="center"/>
          </w:tcPr>
          <w:p w14:paraId="3FE47529" w14:textId="77777777" w:rsidR="003A24A6" w:rsidRPr="00F624E1" w:rsidRDefault="003A24A6" w:rsidP="00FB58F9">
            <w:pPr>
              <w:pStyle w:val="Tabletext"/>
              <w:jc w:val="center"/>
              <w:rPr>
                <w:rFonts w:eastAsia="GulimChe"/>
                <w:lang w:eastAsia="ko-KR"/>
              </w:rPr>
            </w:pPr>
            <w:r w:rsidRPr="00F624E1">
              <w:rPr>
                <w:rFonts w:eastAsia="GulimChe"/>
              </w:rPr>
              <w:t>0.3290</w:t>
            </w:r>
          </w:p>
        </w:tc>
      </w:tr>
      <w:tr w:rsidR="003A24A6" w:rsidRPr="00F624E1" w14:paraId="26155164" w14:textId="77777777" w:rsidTr="00FB58F9">
        <w:trPr>
          <w:trHeight w:val="73"/>
          <w:jc w:val="center"/>
        </w:trPr>
        <w:tc>
          <w:tcPr>
            <w:tcW w:w="2830" w:type="dxa"/>
            <w:gridSpan w:val="2"/>
          </w:tcPr>
          <w:p w14:paraId="63CBD239" w14:textId="77777777" w:rsidR="003A24A6" w:rsidRPr="00F624E1" w:rsidRDefault="003A24A6" w:rsidP="00FB58F9">
            <w:pPr>
              <w:pStyle w:val="Tabletext"/>
              <w:jc w:val="center"/>
            </w:pPr>
            <w:r w:rsidRPr="00F624E1">
              <w:t>Colour Matching Functions</w:t>
            </w:r>
          </w:p>
        </w:tc>
        <w:tc>
          <w:tcPr>
            <w:tcW w:w="6800" w:type="dxa"/>
            <w:gridSpan w:val="3"/>
          </w:tcPr>
          <w:p w14:paraId="1D4CCB05" w14:textId="77777777" w:rsidR="003A24A6" w:rsidRPr="00F624E1" w:rsidRDefault="003A24A6" w:rsidP="00FB58F9">
            <w:pPr>
              <w:pStyle w:val="Tabletext"/>
              <w:jc w:val="center"/>
            </w:pPr>
            <w:r w:rsidRPr="00F624E1">
              <w:t>CIE 1931</w:t>
            </w:r>
          </w:p>
        </w:tc>
      </w:tr>
    </w:tbl>
    <w:p w14:paraId="1AE02340" w14:textId="77777777" w:rsidR="003A24A6" w:rsidRPr="00F624E1" w:rsidRDefault="003A24A6" w:rsidP="003A24A6">
      <w:pPr>
        <w:pStyle w:val="Tablefin"/>
      </w:pPr>
    </w:p>
    <w:p w14:paraId="23B51163" w14:textId="2E4B91C7" w:rsidR="003A24A6" w:rsidRPr="00F624E1" w:rsidRDefault="003A24A6" w:rsidP="003A24A6">
      <w:r w:rsidRPr="00F624E1">
        <w:t>Table 3 specifies parameters to establish a reference viewing environment for critical viewing of HDR programme material or completed programmes that can provide repeatable results from one facility to another when viewing the same material. Viewing facilities can and will continue to be established in many ways by entities involved in editing, colour correction, screening and the like, and the specifications in this Table are not intended to suggest a need for absolute uniformity in such facilities.</w:t>
      </w:r>
    </w:p>
    <w:p w14:paraId="7468D336" w14:textId="77777777" w:rsidR="003A24A6" w:rsidRPr="00F624E1" w:rsidRDefault="003A24A6" w:rsidP="003A24A6">
      <w:pPr>
        <w:pStyle w:val="TableNo"/>
      </w:pPr>
      <w:r w:rsidRPr="00F624E1">
        <w:t>TABLE 3</w:t>
      </w:r>
    </w:p>
    <w:p w14:paraId="747BAD0F" w14:textId="77777777" w:rsidR="003A24A6" w:rsidRPr="00F624E1" w:rsidRDefault="003A24A6" w:rsidP="003A24A6">
      <w:pPr>
        <w:pStyle w:val="Tabletitle"/>
      </w:pPr>
      <w:r w:rsidRPr="00F624E1">
        <w:t>Reference viewing environment for critical viewing of HDR programme material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804"/>
      </w:tblGrid>
      <w:tr w:rsidR="003A24A6" w:rsidRPr="00F624E1" w14:paraId="37AB794D" w14:textId="77777777" w:rsidTr="00FB58F9">
        <w:trPr>
          <w:cantSplit/>
          <w:tblHeader/>
          <w:jc w:val="center"/>
        </w:trPr>
        <w:tc>
          <w:tcPr>
            <w:tcW w:w="2835" w:type="dxa"/>
          </w:tcPr>
          <w:p w14:paraId="47AB0EC3" w14:textId="77777777" w:rsidR="003A24A6" w:rsidRPr="00F624E1" w:rsidRDefault="003A24A6" w:rsidP="00FB58F9">
            <w:pPr>
              <w:pStyle w:val="Tablehead"/>
              <w:rPr>
                <w:lang w:eastAsia="ja-JP"/>
              </w:rPr>
            </w:pPr>
            <w:r w:rsidRPr="00F624E1">
              <w:rPr>
                <w:lang w:eastAsia="ja-JP"/>
              </w:rPr>
              <w:t>Parameter</w:t>
            </w:r>
          </w:p>
        </w:tc>
        <w:tc>
          <w:tcPr>
            <w:tcW w:w="6804" w:type="dxa"/>
          </w:tcPr>
          <w:p w14:paraId="0862217D" w14:textId="77777777" w:rsidR="003A24A6" w:rsidRPr="00F624E1" w:rsidRDefault="003A24A6" w:rsidP="00FB58F9">
            <w:pPr>
              <w:pStyle w:val="Tablehead"/>
              <w:rPr>
                <w:lang w:eastAsia="ja-JP"/>
              </w:rPr>
            </w:pPr>
            <w:r w:rsidRPr="00F624E1">
              <w:rPr>
                <w:lang w:eastAsia="ja-JP"/>
              </w:rPr>
              <w:t>Values</w:t>
            </w:r>
          </w:p>
        </w:tc>
      </w:tr>
      <w:tr w:rsidR="003A24A6" w:rsidRPr="00F624E1" w14:paraId="3744C354" w14:textId="77777777" w:rsidTr="00FB58F9">
        <w:trPr>
          <w:cantSplit/>
          <w:tblHeader/>
          <w:jc w:val="center"/>
        </w:trPr>
        <w:tc>
          <w:tcPr>
            <w:tcW w:w="2835" w:type="dxa"/>
          </w:tcPr>
          <w:p w14:paraId="48593DFD" w14:textId="77777777" w:rsidR="003A24A6" w:rsidRPr="00F624E1" w:rsidRDefault="003A24A6" w:rsidP="00FB58F9">
            <w:pPr>
              <w:pStyle w:val="Tabletext"/>
              <w:rPr>
                <w:lang w:eastAsia="ja-JP"/>
              </w:rPr>
            </w:pPr>
            <w:r w:rsidRPr="00F624E1">
              <w:rPr>
                <w:lang w:eastAsia="ja-JP"/>
              </w:rPr>
              <w:t xml:space="preserve">Surround and periphery  </w:t>
            </w:r>
            <w:r w:rsidRPr="00F624E1">
              <w:rPr>
                <w:bCs/>
                <w:vertAlign w:val="superscript"/>
                <w:lang w:eastAsia="ja-JP"/>
              </w:rPr>
              <w:t>3a</w:t>
            </w:r>
          </w:p>
        </w:tc>
        <w:tc>
          <w:tcPr>
            <w:tcW w:w="6804" w:type="dxa"/>
          </w:tcPr>
          <w:p w14:paraId="22ABE389" w14:textId="77777777" w:rsidR="003A24A6" w:rsidRPr="00F624E1" w:rsidRDefault="003A24A6" w:rsidP="00FB58F9">
            <w:pPr>
              <w:pStyle w:val="Tabletext"/>
              <w:jc w:val="center"/>
              <w:rPr>
                <w:lang w:eastAsia="ja-JP"/>
              </w:rPr>
            </w:pPr>
            <w:r w:rsidRPr="00F624E1">
              <w:rPr>
                <w:lang w:eastAsia="ja-JP"/>
              </w:rPr>
              <w:t>Neutral grey at D65</w:t>
            </w:r>
          </w:p>
        </w:tc>
      </w:tr>
      <w:tr w:rsidR="003A24A6" w:rsidRPr="00F624E1" w14:paraId="63AA5D0F" w14:textId="77777777" w:rsidTr="00FB58F9">
        <w:trPr>
          <w:cantSplit/>
          <w:tblHeader/>
          <w:jc w:val="center"/>
        </w:trPr>
        <w:tc>
          <w:tcPr>
            <w:tcW w:w="2835" w:type="dxa"/>
          </w:tcPr>
          <w:p w14:paraId="64064F12" w14:textId="77777777" w:rsidR="003A24A6" w:rsidRPr="00F624E1" w:rsidRDefault="003A24A6" w:rsidP="00FB58F9">
            <w:pPr>
              <w:pStyle w:val="Tabletext"/>
              <w:rPr>
                <w:lang w:eastAsia="ja-JP"/>
              </w:rPr>
            </w:pPr>
            <w:r w:rsidRPr="00F624E1">
              <w:rPr>
                <w:lang w:eastAsia="ja-JP"/>
              </w:rPr>
              <w:t xml:space="preserve">Luminance of surround </w:t>
            </w:r>
          </w:p>
        </w:tc>
        <w:tc>
          <w:tcPr>
            <w:tcW w:w="6804" w:type="dxa"/>
          </w:tcPr>
          <w:p w14:paraId="61145268" w14:textId="77777777" w:rsidR="003A24A6" w:rsidRPr="00F624E1" w:rsidRDefault="003A24A6" w:rsidP="00FB58F9">
            <w:pPr>
              <w:pStyle w:val="Tabletext"/>
              <w:jc w:val="center"/>
              <w:rPr>
                <w:lang w:eastAsia="ja-JP"/>
              </w:rPr>
            </w:pPr>
            <w:r w:rsidRPr="00F624E1">
              <w:rPr>
                <w:lang w:eastAsia="ja-JP"/>
              </w:rPr>
              <w:t>5 cd/m</w:t>
            </w:r>
            <w:r w:rsidRPr="00F624E1">
              <w:rPr>
                <w:vertAlign w:val="superscript"/>
                <w:lang w:eastAsia="ja-JP"/>
              </w:rPr>
              <w:t>2</w:t>
            </w:r>
          </w:p>
        </w:tc>
      </w:tr>
      <w:tr w:rsidR="003A24A6" w:rsidRPr="00F624E1" w14:paraId="4F91C39D" w14:textId="77777777" w:rsidTr="00FB58F9">
        <w:trPr>
          <w:cantSplit/>
          <w:tblHeader/>
          <w:jc w:val="center"/>
        </w:trPr>
        <w:tc>
          <w:tcPr>
            <w:tcW w:w="2835" w:type="dxa"/>
          </w:tcPr>
          <w:p w14:paraId="19C0FD44" w14:textId="77777777" w:rsidR="003A24A6" w:rsidRPr="00F624E1" w:rsidRDefault="003A24A6" w:rsidP="00FB58F9">
            <w:pPr>
              <w:pStyle w:val="Tabletext"/>
              <w:rPr>
                <w:lang w:eastAsia="ja-JP"/>
              </w:rPr>
            </w:pPr>
            <w:r w:rsidRPr="00F624E1">
              <w:rPr>
                <w:lang w:eastAsia="ja-JP"/>
              </w:rPr>
              <w:t>Luminance of periphery</w:t>
            </w:r>
          </w:p>
        </w:tc>
        <w:tc>
          <w:tcPr>
            <w:tcW w:w="6804" w:type="dxa"/>
          </w:tcPr>
          <w:p w14:paraId="1BC0D400" w14:textId="77777777" w:rsidR="003A24A6" w:rsidRPr="00F624E1" w:rsidRDefault="003A24A6" w:rsidP="00FB58F9">
            <w:pPr>
              <w:pStyle w:val="Tabletext"/>
              <w:jc w:val="center"/>
              <w:rPr>
                <w:lang w:eastAsia="ja-JP"/>
              </w:rPr>
            </w:pPr>
            <w:r w:rsidRPr="00F624E1">
              <w:rPr>
                <w:lang w:eastAsia="ja-JP"/>
              </w:rPr>
              <w:t>≤ 5 cd/m</w:t>
            </w:r>
            <w:r w:rsidRPr="00F624E1">
              <w:rPr>
                <w:vertAlign w:val="superscript"/>
                <w:lang w:eastAsia="ja-JP"/>
              </w:rPr>
              <w:t>2</w:t>
            </w:r>
          </w:p>
        </w:tc>
      </w:tr>
      <w:tr w:rsidR="003A24A6" w:rsidRPr="00C06F9E" w14:paraId="4335E1D5" w14:textId="77777777" w:rsidTr="00FB58F9">
        <w:trPr>
          <w:cantSplit/>
          <w:tblHeader/>
          <w:jc w:val="center"/>
        </w:trPr>
        <w:tc>
          <w:tcPr>
            <w:tcW w:w="2835" w:type="dxa"/>
          </w:tcPr>
          <w:p w14:paraId="260A400B" w14:textId="77777777" w:rsidR="003A24A6" w:rsidRPr="00F624E1" w:rsidRDefault="003A24A6" w:rsidP="00FB58F9">
            <w:pPr>
              <w:pStyle w:val="Tabletext"/>
              <w:rPr>
                <w:lang w:eastAsia="ja-JP"/>
              </w:rPr>
            </w:pPr>
            <w:r w:rsidRPr="00F624E1">
              <w:rPr>
                <w:lang w:eastAsia="ja-JP"/>
              </w:rPr>
              <w:t>Ambient lighting</w:t>
            </w:r>
          </w:p>
        </w:tc>
        <w:tc>
          <w:tcPr>
            <w:tcW w:w="6804" w:type="dxa"/>
          </w:tcPr>
          <w:p w14:paraId="7247AFF3" w14:textId="77777777" w:rsidR="003A24A6" w:rsidRPr="00F624E1" w:rsidRDefault="003A24A6" w:rsidP="00FB58F9">
            <w:pPr>
              <w:pStyle w:val="Tabletext"/>
              <w:jc w:val="center"/>
              <w:rPr>
                <w:lang w:eastAsia="ja-JP"/>
              </w:rPr>
            </w:pPr>
            <w:r w:rsidRPr="00F624E1">
              <w:rPr>
                <w:lang w:eastAsia="ja-JP"/>
              </w:rPr>
              <w:t>Avoid light falling on the screen</w:t>
            </w:r>
          </w:p>
        </w:tc>
      </w:tr>
      <w:tr w:rsidR="003A24A6" w:rsidRPr="00C06F9E" w14:paraId="72F33222" w14:textId="77777777" w:rsidTr="00FB58F9">
        <w:trPr>
          <w:cantSplit/>
          <w:tblHeader/>
          <w:jc w:val="center"/>
        </w:trPr>
        <w:tc>
          <w:tcPr>
            <w:tcW w:w="2835" w:type="dxa"/>
          </w:tcPr>
          <w:p w14:paraId="0525793B" w14:textId="77777777" w:rsidR="003A24A6" w:rsidRPr="00F624E1" w:rsidRDefault="003A24A6" w:rsidP="00FB58F9">
            <w:pPr>
              <w:pStyle w:val="Tabletext"/>
              <w:rPr>
                <w:lang w:eastAsia="ja-JP"/>
              </w:rPr>
            </w:pPr>
            <w:r w:rsidRPr="00F624E1">
              <w:rPr>
                <w:lang w:eastAsia="ja-JP"/>
              </w:rPr>
              <w:t xml:space="preserve">Viewing distance  </w:t>
            </w:r>
            <w:r w:rsidRPr="00F624E1">
              <w:rPr>
                <w:bCs/>
                <w:vertAlign w:val="superscript"/>
                <w:lang w:eastAsia="ja-JP"/>
              </w:rPr>
              <w:t>3b</w:t>
            </w:r>
            <w:r w:rsidRPr="00F624E1">
              <w:rPr>
                <w:bCs/>
                <w:lang w:eastAsia="ja-JP"/>
              </w:rPr>
              <w:t xml:space="preserve"> </w:t>
            </w:r>
          </w:p>
        </w:tc>
        <w:tc>
          <w:tcPr>
            <w:tcW w:w="6804" w:type="dxa"/>
          </w:tcPr>
          <w:p w14:paraId="09A87F8A" w14:textId="77777777" w:rsidR="003A24A6" w:rsidRPr="00F624E1" w:rsidRDefault="003A24A6" w:rsidP="00FB58F9">
            <w:pPr>
              <w:pStyle w:val="Tabletext"/>
              <w:jc w:val="center"/>
              <w:rPr>
                <w:lang w:eastAsia="ja-JP"/>
              </w:rPr>
            </w:pPr>
            <w:r w:rsidRPr="00F624E1">
              <w:rPr>
                <w:lang w:eastAsia="ja-JP"/>
              </w:rPr>
              <w:t>For 1 920 </w:t>
            </w:r>
            <w:r w:rsidRPr="00F624E1">
              <w:rPr>
                <w:lang w:eastAsia="ko-KR"/>
              </w:rPr>
              <w:t>×</w:t>
            </w:r>
            <w:r w:rsidRPr="00F624E1">
              <w:rPr>
                <w:lang w:eastAsia="ja-JP"/>
              </w:rPr>
              <w:t> 1 080 format: 3.2 picture heights</w:t>
            </w:r>
          </w:p>
          <w:p w14:paraId="20317FF7" w14:textId="77777777" w:rsidR="003A24A6" w:rsidRPr="00F624E1" w:rsidRDefault="003A24A6" w:rsidP="00FB58F9">
            <w:pPr>
              <w:pStyle w:val="Tabletext"/>
              <w:jc w:val="center"/>
              <w:rPr>
                <w:lang w:eastAsia="ja-JP"/>
              </w:rPr>
            </w:pPr>
            <w:r w:rsidRPr="00F624E1">
              <w:rPr>
                <w:lang w:eastAsia="ja-JP"/>
              </w:rPr>
              <w:t>For 3 840 </w:t>
            </w:r>
            <w:r w:rsidRPr="00F624E1">
              <w:rPr>
                <w:lang w:eastAsia="ko-KR"/>
              </w:rPr>
              <w:t>×</w:t>
            </w:r>
            <w:r w:rsidRPr="00F624E1">
              <w:rPr>
                <w:lang w:eastAsia="ja-JP"/>
              </w:rPr>
              <w:t> 2 160 format: 1.6 to 3.2 picture heights</w:t>
            </w:r>
          </w:p>
          <w:p w14:paraId="2606EE5D" w14:textId="77777777" w:rsidR="003A24A6" w:rsidRPr="00F624E1" w:rsidRDefault="003A24A6" w:rsidP="00FB58F9">
            <w:pPr>
              <w:pStyle w:val="Tabletext"/>
              <w:jc w:val="center"/>
              <w:rPr>
                <w:lang w:eastAsia="ja-JP"/>
              </w:rPr>
            </w:pPr>
            <w:r w:rsidRPr="00F624E1">
              <w:rPr>
                <w:lang w:eastAsia="ja-JP"/>
              </w:rPr>
              <w:t>For 7 680 </w:t>
            </w:r>
            <w:r w:rsidRPr="00F624E1">
              <w:rPr>
                <w:lang w:eastAsia="ko-KR"/>
              </w:rPr>
              <w:t>×</w:t>
            </w:r>
            <w:r w:rsidRPr="00F624E1">
              <w:rPr>
                <w:lang w:eastAsia="ja-JP"/>
              </w:rPr>
              <w:t> 4 320 format: 0.8 to 3.2 picture heights</w:t>
            </w:r>
          </w:p>
        </w:tc>
      </w:tr>
      <w:tr w:rsidR="003A24A6" w:rsidRPr="00F624E1" w14:paraId="3DDFD50B" w14:textId="77777777" w:rsidTr="00FB58F9">
        <w:trPr>
          <w:cantSplit/>
          <w:tblHeader/>
          <w:jc w:val="center"/>
        </w:trPr>
        <w:tc>
          <w:tcPr>
            <w:tcW w:w="2835" w:type="dxa"/>
          </w:tcPr>
          <w:p w14:paraId="76D74613" w14:textId="77777777" w:rsidR="003A24A6" w:rsidRPr="00F624E1" w:rsidRDefault="003A24A6" w:rsidP="00FB58F9">
            <w:pPr>
              <w:pStyle w:val="Tabletext"/>
              <w:rPr>
                <w:lang w:eastAsia="ja-JP"/>
              </w:rPr>
            </w:pPr>
            <w:r w:rsidRPr="00F624E1">
              <w:rPr>
                <w:lang w:eastAsia="ja-JP"/>
              </w:rPr>
              <w:t xml:space="preserve">Peak luminance of display  </w:t>
            </w:r>
            <w:r w:rsidRPr="00F624E1">
              <w:rPr>
                <w:bCs/>
                <w:vertAlign w:val="superscript"/>
                <w:lang w:eastAsia="ja-JP"/>
              </w:rPr>
              <w:t>3c</w:t>
            </w:r>
          </w:p>
        </w:tc>
        <w:tc>
          <w:tcPr>
            <w:tcW w:w="6804" w:type="dxa"/>
          </w:tcPr>
          <w:p w14:paraId="3BA82D54" w14:textId="77777777" w:rsidR="003A24A6" w:rsidRPr="00F624E1" w:rsidRDefault="003A24A6" w:rsidP="00FB58F9">
            <w:pPr>
              <w:pStyle w:val="Tabletext"/>
              <w:jc w:val="center"/>
              <w:rPr>
                <w:lang w:eastAsia="ja-JP"/>
              </w:rPr>
            </w:pPr>
            <w:r w:rsidRPr="00F624E1">
              <w:rPr>
                <w:lang w:eastAsia="ja-JP"/>
              </w:rPr>
              <w:t>≥ 1 000 cd/m</w:t>
            </w:r>
            <w:r w:rsidRPr="00F624E1">
              <w:rPr>
                <w:vertAlign w:val="superscript"/>
                <w:lang w:eastAsia="ja-JP"/>
              </w:rPr>
              <w:t>2</w:t>
            </w:r>
          </w:p>
        </w:tc>
      </w:tr>
      <w:tr w:rsidR="003A24A6" w:rsidRPr="00F624E1" w14:paraId="1D5D2203" w14:textId="77777777" w:rsidTr="00FB58F9">
        <w:trPr>
          <w:cantSplit/>
          <w:tblHeader/>
          <w:jc w:val="center"/>
        </w:trPr>
        <w:tc>
          <w:tcPr>
            <w:tcW w:w="2835" w:type="dxa"/>
            <w:tcBorders>
              <w:bottom w:val="single" w:sz="4" w:space="0" w:color="auto"/>
            </w:tcBorders>
          </w:tcPr>
          <w:p w14:paraId="4EFCE58E" w14:textId="77777777" w:rsidR="003A24A6" w:rsidRPr="00F624E1" w:rsidRDefault="003A24A6" w:rsidP="00FB58F9">
            <w:pPr>
              <w:pStyle w:val="Tabletext"/>
              <w:jc w:val="left"/>
              <w:rPr>
                <w:lang w:eastAsia="ja-JP"/>
              </w:rPr>
            </w:pPr>
            <w:r w:rsidRPr="00F624E1">
              <w:rPr>
                <w:lang w:eastAsia="ja-JP"/>
              </w:rPr>
              <w:t xml:space="preserve">Minimum luminance of display (black level)  </w:t>
            </w:r>
            <w:r w:rsidRPr="00F624E1">
              <w:rPr>
                <w:bCs/>
                <w:vertAlign w:val="superscript"/>
                <w:lang w:eastAsia="ja-JP"/>
              </w:rPr>
              <w:t>3d</w:t>
            </w:r>
          </w:p>
        </w:tc>
        <w:tc>
          <w:tcPr>
            <w:tcW w:w="6804" w:type="dxa"/>
            <w:tcBorders>
              <w:bottom w:val="single" w:sz="4" w:space="0" w:color="auto"/>
            </w:tcBorders>
          </w:tcPr>
          <w:p w14:paraId="56FF5B44" w14:textId="77777777" w:rsidR="003A24A6" w:rsidRPr="00F624E1" w:rsidRDefault="003A24A6" w:rsidP="00FB58F9">
            <w:pPr>
              <w:pStyle w:val="Tabletext"/>
              <w:jc w:val="center"/>
              <w:rPr>
                <w:lang w:eastAsia="ja-JP"/>
              </w:rPr>
            </w:pPr>
            <w:r w:rsidRPr="00F624E1">
              <w:rPr>
                <w:lang w:eastAsia="ja-JP"/>
              </w:rPr>
              <w:t>≤ 0.005 cd/m</w:t>
            </w:r>
            <w:r w:rsidRPr="00F624E1">
              <w:rPr>
                <w:vertAlign w:val="superscript"/>
                <w:lang w:eastAsia="ja-JP"/>
              </w:rPr>
              <w:t>2</w:t>
            </w:r>
          </w:p>
        </w:tc>
      </w:tr>
      <w:tr w:rsidR="003A24A6" w:rsidRPr="00C06F9E" w14:paraId="07EC371F" w14:textId="77777777" w:rsidTr="00FB58F9">
        <w:trPr>
          <w:cantSplit/>
          <w:tblHeader/>
          <w:jc w:val="center"/>
        </w:trPr>
        <w:tc>
          <w:tcPr>
            <w:tcW w:w="9639" w:type="dxa"/>
            <w:gridSpan w:val="2"/>
            <w:tcBorders>
              <w:top w:val="single" w:sz="4" w:space="0" w:color="auto"/>
              <w:left w:val="nil"/>
              <w:bottom w:val="nil"/>
              <w:right w:val="nil"/>
            </w:tcBorders>
          </w:tcPr>
          <w:p w14:paraId="18EE8C8F" w14:textId="77777777" w:rsidR="003A24A6" w:rsidRPr="00F624E1" w:rsidRDefault="003A24A6" w:rsidP="00FB58F9">
            <w:pPr>
              <w:pStyle w:val="TableLegendNote"/>
              <w:rPr>
                <w:sz w:val="20"/>
                <w:lang w:val="en-GB"/>
              </w:rPr>
            </w:pPr>
            <w:bookmarkStart w:id="3" w:name="_Ref440805705"/>
            <w:r w:rsidRPr="00F624E1">
              <w:rPr>
                <w:bCs/>
                <w:sz w:val="20"/>
                <w:lang w:val="en-GB"/>
              </w:rPr>
              <w:t>Note 3a</w:t>
            </w:r>
            <w:r w:rsidRPr="00F624E1">
              <w:rPr>
                <w:sz w:val="20"/>
                <w:lang w:val="en-GB"/>
              </w:rPr>
              <w:t xml:space="preserve"> – “Surround” is the area surrounding a display that can affect the adaptation of the eye, typically the wall or curtain behind the display; “periphery” is the remaining environment outside of the surround.</w:t>
            </w:r>
          </w:p>
          <w:bookmarkEnd w:id="3"/>
          <w:p w14:paraId="1292F7A9" w14:textId="77777777" w:rsidR="003A24A6" w:rsidRPr="00F624E1" w:rsidRDefault="003A24A6" w:rsidP="00FB58F9">
            <w:pPr>
              <w:pStyle w:val="TableLegendNote"/>
              <w:jc w:val="left"/>
              <w:rPr>
                <w:sz w:val="20"/>
                <w:lang w:val="en-GB"/>
              </w:rPr>
            </w:pPr>
            <w:r w:rsidRPr="00F624E1">
              <w:rPr>
                <w:bCs/>
                <w:sz w:val="20"/>
                <w:lang w:val="en-GB"/>
              </w:rPr>
              <w:t>Note 3b</w:t>
            </w:r>
            <w:r w:rsidRPr="00F624E1">
              <w:rPr>
                <w:sz w:val="20"/>
                <w:lang w:val="en-GB"/>
              </w:rPr>
              <w:t xml:space="preserve"> – When picture evaluation involves resolution, the lower value of viewing distance should be used. When resolution is not being evaluated, any viewing distance in the indicated range may be used.</w:t>
            </w:r>
          </w:p>
          <w:p w14:paraId="2B33BA3B" w14:textId="77777777" w:rsidR="003A24A6" w:rsidRPr="00F624E1" w:rsidRDefault="003A24A6" w:rsidP="00FB58F9">
            <w:pPr>
              <w:pStyle w:val="TableLegendNote"/>
              <w:rPr>
                <w:sz w:val="20"/>
                <w:lang w:val="en-GB"/>
              </w:rPr>
            </w:pPr>
            <w:r w:rsidRPr="00F624E1">
              <w:rPr>
                <w:bCs/>
                <w:sz w:val="20"/>
                <w:lang w:val="en-GB"/>
              </w:rPr>
              <w:t>Note 3c</w:t>
            </w:r>
            <w:r w:rsidRPr="00F624E1">
              <w:rPr>
                <w:sz w:val="20"/>
                <w:lang w:val="en-GB"/>
              </w:rPr>
              <w:t xml:space="preserve"> – This is not to imply this level of luminance must be achieved for full screen white, rather for small area highlights. </w:t>
            </w:r>
          </w:p>
          <w:p w14:paraId="7A7C26DF" w14:textId="77777777" w:rsidR="003A24A6" w:rsidRPr="00F624E1" w:rsidRDefault="003A24A6" w:rsidP="00FB58F9">
            <w:pPr>
              <w:pStyle w:val="TableLegendNote"/>
              <w:rPr>
                <w:lang w:val="en-GB"/>
              </w:rPr>
            </w:pPr>
            <w:r w:rsidRPr="00F624E1">
              <w:rPr>
                <w:sz w:val="20"/>
                <w:lang w:val="en-GB"/>
              </w:rPr>
              <w:t>Note 3d – For PQ in a non-reference viewing environment, or for HLG (in any viewing environment), the black level should be adjusted using the PLUGE test signal and procedure specified in Recommendation ITU</w:t>
            </w:r>
            <w:r w:rsidRPr="00F624E1">
              <w:rPr>
                <w:sz w:val="20"/>
                <w:lang w:val="en-GB"/>
              </w:rPr>
              <w:noBreakHyphen/>
              <w:t>R BT.814.</w:t>
            </w:r>
          </w:p>
        </w:tc>
      </w:tr>
    </w:tbl>
    <w:p w14:paraId="6346F4DF" w14:textId="77777777" w:rsidR="007740D0" w:rsidRPr="00F624E1" w:rsidRDefault="007740D0" w:rsidP="007740D0">
      <w:pPr>
        <w:pStyle w:val="Tablefin"/>
      </w:pPr>
    </w:p>
    <w:p w14:paraId="0C0B485A" w14:textId="77777777" w:rsidR="003A24A6" w:rsidRPr="00F624E1" w:rsidRDefault="003A24A6" w:rsidP="007740D0">
      <w:pPr>
        <w:keepNext/>
        <w:keepLines/>
      </w:pPr>
      <w:r w:rsidRPr="00F624E1">
        <w:lastRenderedPageBreak/>
        <w:t>Tables 4 and 5 describe transfer functions for the PQ and HLG formats, respectively. High dynamic range television production and display should make consistent use of the transfer functions of one system or the other and not intermix them. Informative Annex 1 illustrates the meaning of the various transfer functions and where they are used in the signal chain. Informative Annex 2 provides information on alternate equations that could facilitate implementation of these transfer functions.</w:t>
      </w:r>
    </w:p>
    <w:p w14:paraId="27E35EFE" w14:textId="77777777" w:rsidR="003A24A6" w:rsidRPr="00F624E1" w:rsidRDefault="003A24A6" w:rsidP="003A24A6">
      <w:pPr>
        <w:pStyle w:val="TableNo"/>
      </w:pPr>
      <w:r w:rsidRPr="00F624E1">
        <w:t>TABLE 4</w:t>
      </w:r>
    </w:p>
    <w:p w14:paraId="58BFF5E3" w14:textId="77777777" w:rsidR="003A24A6" w:rsidRPr="00F624E1" w:rsidRDefault="003A24A6" w:rsidP="003A24A6">
      <w:pPr>
        <w:pStyle w:val="Tabletitle"/>
      </w:pPr>
      <w:r w:rsidRPr="00F624E1">
        <w:t>PQ system reference non-linear transfer functions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6954"/>
      </w:tblGrid>
      <w:tr w:rsidR="003A24A6" w:rsidRPr="00F624E1" w14:paraId="40158D33" w14:textId="77777777" w:rsidTr="00FB58F9">
        <w:trPr>
          <w:cantSplit/>
          <w:tblHeader/>
          <w:jc w:val="center"/>
        </w:trPr>
        <w:tc>
          <w:tcPr>
            <w:tcW w:w="2685" w:type="dxa"/>
            <w:vAlign w:val="center"/>
          </w:tcPr>
          <w:p w14:paraId="5748E778" w14:textId="77777777" w:rsidR="003A24A6" w:rsidRPr="00F624E1" w:rsidRDefault="003A24A6" w:rsidP="00FB58F9">
            <w:pPr>
              <w:pStyle w:val="Tablehead"/>
            </w:pPr>
            <w:r w:rsidRPr="00F624E1">
              <w:t>Parameter</w:t>
            </w:r>
          </w:p>
        </w:tc>
        <w:tc>
          <w:tcPr>
            <w:tcW w:w="6954" w:type="dxa"/>
            <w:vAlign w:val="center"/>
          </w:tcPr>
          <w:p w14:paraId="22E4D6EA" w14:textId="77777777" w:rsidR="003A24A6" w:rsidRPr="00F624E1" w:rsidRDefault="003A24A6" w:rsidP="00FB58F9">
            <w:pPr>
              <w:pStyle w:val="Tablehead"/>
            </w:pPr>
            <w:r w:rsidRPr="00F624E1">
              <w:t>Values</w:t>
            </w:r>
          </w:p>
        </w:tc>
      </w:tr>
      <w:tr w:rsidR="003A24A6" w:rsidRPr="00C06F9E" w14:paraId="7ABC07B2" w14:textId="77777777" w:rsidTr="00FB58F9">
        <w:trPr>
          <w:cantSplit/>
          <w:jc w:val="center"/>
        </w:trPr>
        <w:tc>
          <w:tcPr>
            <w:tcW w:w="2685" w:type="dxa"/>
            <w:vAlign w:val="center"/>
          </w:tcPr>
          <w:p w14:paraId="15D6AE3A" w14:textId="77777777" w:rsidR="003A24A6" w:rsidRPr="00F624E1" w:rsidRDefault="003A24A6" w:rsidP="00FB58F9">
            <w:pPr>
              <w:pStyle w:val="Tabletext"/>
              <w:keepNext/>
              <w:keepLines/>
              <w:jc w:val="left"/>
            </w:pPr>
            <w:r w:rsidRPr="00F624E1">
              <w:t>Input signal to PQ electro-optical transfer function (EOTF)</w:t>
            </w:r>
          </w:p>
        </w:tc>
        <w:tc>
          <w:tcPr>
            <w:tcW w:w="6954" w:type="dxa"/>
            <w:vAlign w:val="center"/>
          </w:tcPr>
          <w:p w14:paraId="67E6B299" w14:textId="77777777" w:rsidR="003A24A6" w:rsidRPr="00F624E1" w:rsidRDefault="003A24A6" w:rsidP="00FB58F9">
            <w:pPr>
              <w:pStyle w:val="Tabletext"/>
              <w:keepNext/>
              <w:keepLines/>
              <w:rPr>
                <w:lang w:eastAsia="ko-KR"/>
              </w:rPr>
            </w:pPr>
            <w:r w:rsidRPr="00F624E1">
              <w:rPr>
                <w:lang w:eastAsia="ko-KR"/>
              </w:rPr>
              <w:t>Non-linear PQ encoded value.</w:t>
            </w:r>
          </w:p>
          <w:p w14:paraId="185E7505" w14:textId="77777777" w:rsidR="003A24A6" w:rsidRPr="00F624E1" w:rsidRDefault="003A24A6" w:rsidP="00FB58F9">
            <w:pPr>
              <w:pStyle w:val="Tabletext"/>
              <w:keepNext/>
              <w:keepLines/>
              <w:rPr>
                <w:lang w:eastAsia="ko-KR"/>
              </w:rPr>
            </w:pPr>
            <w:r w:rsidRPr="00F624E1">
              <w:rPr>
                <w:lang w:eastAsia="ko-KR"/>
              </w:rPr>
              <w:t>The EOTF maps the non-linear PQ signal into display light.</w:t>
            </w:r>
          </w:p>
        </w:tc>
      </w:tr>
      <w:tr w:rsidR="003A24A6" w:rsidRPr="00F624E1" w14:paraId="15CB0829" w14:textId="77777777" w:rsidTr="00FB58F9">
        <w:trPr>
          <w:cantSplit/>
          <w:jc w:val="center"/>
        </w:trPr>
        <w:tc>
          <w:tcPr>
            <w:tcW w:w="2685" w:type="dxa"/>
          </w:tcPr>
          <w:p w14:paraId="1A80316D" w14:textId="77777777" w:rsidR="003A24A6" w:rsidRPr="00F624E1" w:rsidRDefault="003A24A6" w:rsidP="00FB58F9">
            <w:pPr>
              <w:pStyle w:val="Tabletext"/>
              <w:rPr>
                <w:lang w:eastAsia="ko-KR"/>
              </w:rPr>
            </w:pPr>
            <w:r w:rsidRPr="00F624E1">
              <w:rPr>
                <w:lang w:eastAsia="ko-KR"/>
              </w:rPr>
              <w:t xml:space="preserve">Reference PQ EOTF  </w:t>
            </w:r>
            <w:r w:rsidRPr="00F624E1">
              <w:rPr>
                <w:bCs/>
                <w:vertAlign w:val="superscript"/>
                <w:lang w:eastAsia="ko-KR"/>
              </w:rPr>
              <w:t>4a</w:t>
            </w:r>
          </w:p>
        </w:tc>
        <w:tc>
          <w:tcPr>
            <w:tcW w:w="6954" w:type="dxa"/>
            <w:vAlign w:val="center"/>
          </w:tcPr>
          <w:p w14:paraId="42F4DC84" w14:textId="77777777" w:rsidR="003A24A6" w:rsidRPr="00F624E1" w:rsidRDefault="003A24A6" w:rsidP="00FB58F9">
            <w:pPr>
              <w:pStyle w:val="Tabletext"/>
              <w:jc w:val="center"/>
            </w:pPr>
            <w:r w:rsidRPr="00F624E1">
              <w:object w:dxaOrig="2720" w:dyaOrig="1160" w14:anchorId="67138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54.7pt" o:ole="">
                  <v:imagedata r:id="rId18" o:title=""/>
                </v:shape>
                <o:OLEObject Type="Embed" ProgID="Equation.3" ShapeID="_x0000_i1025" DrawAspect="Content" ObjectID="_1806133230" r:id="rId19"/>
              </w:object>
            </w:r>
          </w:p>
          <w:p w14:paraId="46BC9D74" w14:textId="77777777" w:rsidR="003A24A6" w:rsidRPr="00F624E1" w:rsidRDefault="003A24A6" w:rsidP="00FB58F9">
            <w:pPr>
              <w:pStyle w:val="Tabletext"/>
              <w:rPr>
                <w:szCs w:val="22"/>
              </w:rPr>
            </w:pPr>
            <w:r w:rsidRPr="00F624E1">
              <w:rPr>
                <w:szCs w:val="22"/>
              </w:rPr>
              <w:t>where:</w:t>
            </w:r>
          </w:p>
          <w:p w14:paraId="4CF13B63" w14:textId="77777777" w:rsidR="003A24A6" w:rsidRPr="00F624E1" w:rsidRDefault="003A24A6" w:rsidP="00FB58F9">
            <w:pPr>
              <w:pStyle w:val="Tabletext"/>
              <w:rPr>
                <w:szCs w:val="22"/>
              </w:rPr>
            </w:pPr>
            <w:r w:rsidRPr="00F624E1">
              <w:rPr>
                <w:i/>
                <w:szCs w:val="22"/>
              </w:rPr>
              <w:t>E'</w:t>
            </w:r>
            <w:r w:rsidRPr="00F624E1">
              <w:rPr>
                <w:szCs w:val="22"/>
              </w:rPr>
              <w:t xml:space="preserve"> denotes a non-linear colour value </w:t>
            </w:r>
            <w:r w:rsidRPr="00F624E1">
              <w:rPr>
                <w:i/>
                <w:szCs w:val="22"/>
              </w:rPr>
              <w:t>{R', G', B'}</w:t>
            </w:r>
            <w:r w:rsidRPr="00F624E1">
              <w:rPr>
                <w:szCs w:val="22"/>
              </w:rPr>
              <w:t xml:space="preserve"> or </w:t>
            </w:r>
            <w:r w:rsidRPr="00F624E1">
              <w:rPr>
                <w:i/>
                <w:szCs w:val="22"/>
              </w:rPr>
              <w:t>{ L', M', S'}</w:t>
            </w:r>
            <w:r w:rsidRPr="00F624E1">
              <w:rPr>
                <w:szCs w:val="22"/>
              </w:rPr>
              <w:t xml:space="preserve"> in PQ space in the range [0:1]</w:t>
            </w:r>
          </w:p>
          <w:p w14:paraId="5D803368" w14:textId="77777777" w:rsidR="003A24A6" w:rsidRPr="00F624E1" w:rsidRDefault="003A24A6" w:rsidP="00FB58F9">
            <w:pPr>
              <w:pStyle w:val="Tabletext"/>
              <w:rPr>
                <w:szCs w:val="22"/>
              </w:rPr>
            </w:pPr>
            <w:r w:rsidRPr="00F624E1">
              <w:rPr>
                <w:i/>
                <w:szCs w:val="22"/>
              </w:rPr>
              <w:t>F</w:t>
            </w:r>
            <w:r w:rsidRPr="00F624E1">
              <w:rPr>
                <w:i/>
                <w:color w:val="000000"/>
                <w:szCs w:val="22"/>
                <w:vertAlign w:val="subscript"/>
              </w:rPr>
              <w:t>D</w:t>
            </w:r>
            <w:r w:rsidRPr="00F624E1">
              <w:rPr>
                <w:szCs w:val="22"/>
              </w:rPr>
              <w:t> </w:t>
            </w:r>
            <w:r w:rsidRPr="00F624E1">
              <w:rPr>
                <w:color w:val="000000"/>
                <w:szCs w:val="22"/>
              </w:rPr>
              <w:t>is the luminance of a displayed linear component {</w:t>
            </w:r>
            <w:r w:rsidRPr="00F624E1">
              <w:rPr>
                <w:i/>
                <w:color w:val="000000"/>
                <w:szCs w:val="22"/>
              </w:rPr>
              <w:t>R</w:t>
            </w:r>
            <w:r w:rsidRPr="00F624E1">
              <w:rPr>
                <w:i/>
                <w:color w:val="000000"/>
                <w:szCs w:val="22"/>
                <w:vertAlign w:val="subscript"/>
              </w:rPr>
              <w:t>D</w:t>
            </w:r>
            <w:r w:rsidRPr="00F624E1">
              <w:rPr>
                <w:i/>
                <w:color w:val="000000"/>
                <w:szCs w:val="22"/>
              </w:rPr>
              <w:t>, G</w:t>
            </w:r>
            <w:r w:rsidRPr="00F624E1">
              <w:rPr>
                <w:i/>
                <w:color w:val="000000"/>
                <w:szCs w:val="22"/>
                <w:vertAlign w:val="subscript"/>
              </w:rPr>
              <w:t>D</w:t>
            </w:r>
            <w:r w:rsidRPr="00F624E1">
              <w:rPr>
                <w:i/>
                <w:color w:val="000000"/>
                <w:szCs w:val="22"/>
              </w:rPr>
              <w:t>, B</w:t>
            </w:r>
            <w:r w:rsidRPr="00F624E1">
              <w:rPr>
                <w:i/>
                <w:color w:val="000000"/>
                <w:szCs w:val="22"/>
                <w:vertAlign w:val="subscript"/>
              </w:rPr>
              <w:t>D</w:t>
            </w:r>
            <w:r w:rsidRPr="00F624E1">
              <w:rPr>
                <w:color w:val="000000"/>
                <w:szCs w:val="22"/>
              </w:rPr>
              <w:t xml:space="preserve">} or </w:t>
            </w:r>
            <w:r w:rsidRPr="00F624E1">
              <w:rPr>
                <w:i/>
                <w:color w:val="000000"/>
                <w:szCs w:val="22"/>
              </w:rPr>
              <w:t>Y</w:t>
            </w:r>
            <w:r w:rsidRPr="00F624E1">
              <w:rPr>
                <w:i/>
                <w:color w:val="000000"/>
                <w:szCs w:val="22"/>
                <w:vertAlign w:val="subscript"/>
              </w:rPr>
              <w:t>D</w:t>
            </w:r>
            <w:r w:rsidRPr="00F624E1">
              <w:rPr>
                <w:color w:val="000000"/>
                <w:szCs w:val="22"/>
              </w:rPr>
              <w:t xml:space="preserve"> or </w:t>
            </w:r>
            <w:r w:rsidRPr="00F624E1">
              <w:rPr>
                <w:i/>
                <w:color w:val="000000"/>
                <w:szCs w:val="22"/>
              </w:rPr>
              <w:t>I</w:t>
            </w:r>
            <w:r w:rsidRPr="00F624E1">
              <w:rPr>
                <w:i/>
                <w:color w:val="000000"/>
                <w:szCs w:val="22"/>
                <w:vertAlign w:val="subscript"/>
              </w:rPr>
              <w:t>D</w:t>
            </w:r>
            <w:r w:rsidRPr="00F624E1">
              <w:rPr>
                <w:color w:val="000000"/>
                <w:szCs w:val="22"/>
              </w:rPr>
              <w:t>, in cd/m</w:t>
            </w:r>
            <w:r w:rsidRPr="00F624E1">
              <w:rPr>
                <w:color w:val="000000"/>
                <w:szCs w:val="22"/>
                <w:vertAlign w:val="superscript"/>
              </w:rPr>
              <w:t>2</w:t>
            </w:r>
            <w:r w:rsidRPr="00F624E1">
              <w:rPr>
                <w:color w:val="000000"/>
                <w:szCs w:val="22"/>
              </w:rPr>
              <w:t xml:space="preserve">.  </w:t>
            </w:r>
            <w:r w:rsidRPr="00F624E1">
              <w:rPr>
                <w:bCs/>
                <w:color w:val="000000"/>
                <w:szCs w:val="22"/>
                <w:vertAlign w:val="superscript"/>
              </w:rPr>
              <w:t>4b</w:t>
            </w:r>
          </w:p>
          <w:p w14:paraId="1A4112F2" w14:textId="77777777" w:rsidR="003A24A6" w:rsidRPr="00F624E1" w:rsidRDefault="003A24A6" w:rsidP="00FB58F9">
            <w:pPr>
              <w:pStyle w:val="Tabletext"/>
              <w:rPr>
                <w:szCs w:val="22"/>
              </w:rPr>
            </w:pPr>
            <w:r w:rsidRPr="00F624E1">
              <w:rPr>
                <w:i/>
                <w:szCs w:val="22"/>
              </w:rPr>
              <w:t>Y</w:t>
            </w:r>
            <w:r w:rsidRPr="00F624E1">
              <w:rPr>
                <w:szCs w:val="22"/>
              </w:rPr>
              <w:t xml:space="preserve"> denotes the normalized linear colour value, in the range [0:1]</w:t>
            </w:r>
            <w:r w:rsidRPr="00F624E1" w:rsidDel="00C9616C">
              <w:rPr>
                <w:szCs w:val="22"/>
              </w:rPr>
              <w:t xml:space="preserve"> </w:t>
            </w:r>
          </w:p>
          <w:p w14:paraId="4D80928C" w14:textId="77777777" w:rsidR="003A24A6" w:rsidRPr="00F624E1" w:rsidRDefault="003A24A6" w:rsidP="00FB58F9">
            <w:pPr>
              <w:pStyle w:val="Tabletext"/>
              <w:rPr>
                <w:szCs w:val="22"/>
              </w:rPr>
            </w:pPr>
            <w:r w:rsidRPr="00F624E1">
              <w:rPr>
                <w:i/>
                <w:szCs w:val="22"/>
              </w:rPr>
              <w:t>m</w:t>
            </w:r>
            <w:r w:rsidRPr="00F624E1">
              <w:rPr>
                <w:iCs/>
                <w:szCs w:val="22"/>
                <w:vertAlign w:val="subscript"/>
              </w:rPr>
              <w:t>1</w:t>
            </w:r>
            <w:r w:rsidRPr="00F624E1">
              <w:rPr>
                <w:i/>
                <w:szCs w:val="22"/>
              </w:rPr>
              <w:t xml:space="preserve"> </w:t>
            </w:r>
            <w:r w:rsidRPr="00F624E1">
              <w:rPr>
                <w:szCs w:val="22"/>
              </w:rPr>
              <w:t xml:space="preserve">= 2610/16384 = 0.1593017578125 </w:t>
            </w:r>
          </w:p>
          <w:p w14:paraId="5882ED62" w14:textId="77777777" w:rsidR="003A24A6" w:rsidRPr="00F624E1" w:rsidRDefault="003A24A6" w:rsidP="00FB58F9">
            <w:pPr>
              <w:pStyle w:val="Tabletext"/>
              <w:rPr>
                <w:szCs w:val="22"/>
              </w:rPr>
            </w:pPr>
            <w:r w:rsidRPr="00F624E1">
              <w:rPr>
                <w:i/>
                <w:szCs w:val="22"/>
              </w:rPr>
              <w:t>m</w:t>
            </w:r>
            <w:r w:rsidRPr="00F624E1">
              <w:rPr>
                <w:iCs/>
                <w:szCs w:val="22"/>
                <w:vertAlign w:val="subscript"/>
              </w:rPr>
              <w:t>2</w:t>
            </w:r>
            <w:r w:rsidRPr="00F624E1">
              <w:rPr>
                <w:i/>
                <w:szCs w:val="22"/>
              </w:rPr>
              <w:t xml:space="preserve"> </w:t>
            </w:r>
            <w:r w:rsidRPr="00F624E1">
              <w:rPr>
                <w:szCs w:val="22"/>
              </w:rPr>
              <w:t xml:space="preserve">= 2523/4096 </w:t>
            </w:r>
            <w:r w:rsidRPr="00F624E1">
              <w:rPr>
                <w:szCs w:val="22"/>
              </w:rPr>
              <w:sym w:font="Symbol" w:char="F0B4"/>
            </w:r>
            <w:r w:rsidRPr="00F624E1">
              <w:rPr>
                <w:szCs w:val="22"/>
              </w:rPr>
              <w:t xml:space="preserve"> 128 = 78.84375 </w:t>
            </w:r>
          </w:p>
          <w:p w14:paraId="31D9B15A" w14:textId="77777777" w:rsidR="003A24A6" w:rsidRPr="00F624E1" w:rsidRDefault="003A24A6" w:rsidP="00FB58F9">
            <w:pPr>
              <w:pStyle w:val="Tabletext"/>
              <w:rPr>
                <w:szCs w:val="22"/>
              </w:rPr>
            </w:pPr>
            <w:r w:rsidRPr="00F624E1">
              <w:rPr>
                <w:i/>
                <w:szCs w:val="22"/>
              </w:rPr>
              <w:t>c</w:t>
            </w:r>
            <w:r w:rsidRPr="00F624E1">
              <w:rPr>
                <w:iCs/>
                <w:szCs w:val="22"/>
                <w:vertAlign w:val="subscript"/>
              </w:rPr>
              <w:t>1</w:t>
            </w:r>
            <w:r w:rsidRPr="00F624E1">
              <w:rPr>
                <w:szCs w:val="22"/>
              </w:rPr>
              <w:t xml:space="preserve"> = 3424/4096 =0.8359375 = </w:t>
            </w:r>
            <w:r w:rsidRPr="00F624E1">
              <w:rPr>
                <w:i/>
                <w:iCs/>
                <w:szCs w:val="22"/>
              </w:rPr>
              <w:t>c</w:t>
            </w:r>
            <w:r w:rsidRPr="00F624E1">
              <w:rPr>
                <w:szCs w:val="22"/>
                <w:vertAlign w:val="subscript"/>
              </w:rPr>
              <w:t>3</w:t>
            </w:r>
            <w:r w:rsidRPr="00F624E1">
              <w:rPr>
                <w:szCs w:val="22"/>
              </w:rPr>
              <w:t xml:space="preserve"> − </w:t>
            </w:r>
            <w:r w:rsidRPr="00F624E1">
              <w:rPr>
                <w:i/>
                <w:iCs/>
                <w:szCs w:val="22"/>
              </w:rPr>
              <w:t>c</w:t>
            </w:r>
            <w:r w:rsidRPr="00F624E1">
              <w:rPr>
                <w:szCs w:val="22"/>
                <w:vertAlign w:val="subscript"/>
              </w:rPr>
              <w:t>2</w:t>
            </w:r>
            <w:r w:rsidRPr="00F624E1">
              <w:rPr>
                <w:szCs w:val="22"/>
              </w:rPr>
              <w:t xml:space="preserve"> + 1</w:t>
            </w:r>
          </w:p>
          <w:p w14:paraId="0775A0FE" w14:textId="77777777" w:rsidR="003A24A6" w:rsidRPr="00F624E1" w:rsidRDefault="003A24A6" w:rsidP="00FB58F9">
            <w:pPr>
              <w:pStyle w:val="Tabletext"/>
              <w:rPr>
                <w:szCs w:val="22"/>
              </w:rPr>
            </w:pPr>
            <w:r w:rsidRPr="00F624E1">
              <w:rPr>
                <w:i/>
                <w:szCs w:val="22"/>
              </w:rPr>
              <w:t>c</w:t>
            </w:r>
            <w:r w:rsidRPr="00F624E1">
              <w:rPr>
                <w:iCs/>
                <w:szCs w:val="22"/>
                <w:vertAlign w:val="subscript"/>
              </w:rPr>
              <w:t>2</w:t>
            </w:r>
            <w:r w:rsidRPr="00F624E1">
              <w:rPr>
                <w:szCs w:val="22"/>
              </w:rPr>
              <w:t xml:space="preserve"> = 2413/4096 </w:t>
            </w:r>
            <w:r w:rsidRPr="00F624E1">
              <w:rPr>
                <w:szCs w:val="22"/>
              </w:rPr>
              <w:sym w:font="Symbol" w:char="F0B4"/>
            </w:r>
            <w:r w:rsidRPr="00F624E1">
              <w:rPr>
                <w:szCs w:val="22"/>
              </w:rPr>
              <w:t xml:space="preserve"> 32 = 18.8515625</w:t>
            </w:r>
          </w:p>
          <w:p w14:paraId="46ADD4D7" w14:textId="77777777" w:rsidR="003A24A6" w:rsidRPr="00F624E1" w:rsidRDefault="003A24A6" w:rsidP="00FB58F9">
            <w:pPr>
              <w:pStyle w:val="Tabletext"/>
            </w:pPr>
            <w:r w:rsidRPr="00F624E1">
              <w:rPr>
                <w:i/>
                <w:szCs w:val="22"/>
              </w:rPr>
              <w:t>c</w:t>
            </w:r>
            <w:r w:rsidRPr="00F624E1">
              <w:rPr>
                <w:iCs/>
                <w:szCs w:val="22"/>
                <w:vertAlign w:val="subscript"/>
              </w:rPr>
              <w:t>3</w:t>
            </w:r>
            <w:r w:rsidRPr="00F624E1">
              <w:rPr>
                <w:szCs w:val="22"/>
              </w:rPr>
              <w:t xml:space="preserve"> = 2392/4096 </w:t>
            </w:r>
            <w:r w:rsidRPr="00F624E1">
              <w:rPr>
                <w:szCs w:val="22"/>
              </w:rPr>
              <w:sym w:font="Symbol" w:char="F0B4"/>
            </w:r>
            <w:r w:rsidRPr="00F624E1">
              <w:rPr>
                <w:szCs w:val="22"/>
              </w:rPr>
              <w:t xml:space="preserve"> 32 = 18.6875 </w:t>
            </w:r>
          </w:p>
        </w:tc>
      </w:tr>
      <w:tr w:rsidR="003A24A6" w:rsidRPr="00C06F9E" w14:paraId="449ACB5F" w14:textId="77777777" w:rsidTr="00FB58F9">
        <w:trPr>
          <w:cantSplit/>
          <w:jc w:val="center"/>
        </w:trPr>
        <w:tc>
          <w:tcPr>
            <w:tcW w:w="2685" w:type="dxa"/>
            <w:vAlign w:val="center"/>
          </w:tcPr>
          <w:p w14:paraId="2904CE62" w14:textId="77777777" w:rsidR="003A24A6" w:rsidRPr="00F624E1" w:rsidRDefault="003A24A6" w:rsidP="00FB58F9">
            <w:pPr>
              <w:pStyle w:val="Tabletext"/>
              <w:jc w:val="left"/>
              <w:rPr>
                <w:lang w:eastAsia="ko-KR"/>
              </w:rPr>
            </w:pPr>
            <w:r w:rsidRPr="00F624E1">
              <w:rPr>
                <w:lang w:eastAsia="ko-KR"/>
              </w:rPr>
              <w:t>Input signal to PQ opto-optical transfer function (OOTF)</w:t>
            </w:r>
          </w:p>
        </w:tc>
        <w:tc>
          <w:tcPr>
            <w:tcW w:w="6954" w:type="dxa"/>
            <w:vAlign w:val="center"/>
          </w:tcPr>
          <w:p w14:paraId="386E5600" w14:textId="77777777" w:rsidR="003A24A6" w:rsidRPr="00F624E1" w:rsidRDefault="003A24A6" w:rsidP="00FB58F9">
            <w:pPr>
              <w:pStyle w:val="Tabletext"/>
              <w:rPr>
                <w:lang w:eastAsia="ko-KR"/>
              </w:rPr>
            </w:pPr>
            <w:r w:rsidRPr="00F624E1">
              <w:rPr>
                <w:lang w:eastAsia="ko-KR"/>
              </w:rPr>
              <w:t>Scene linear light.</w:t>
            </w:r>
          </w:p>
          <w:p w14:paraId="7BE61404" w14:textId="77777777" w:rsidR="003A24A6" w:rsidRPr="00F624E1" w:rsidRDefault="003A24A6" w:rsidP="00FB58F9">
            <w:pPr>
              <w:pStyle w:val="Tabletext"/>
              <w:rPr>
                <w:lang w:eastAsia="ko-KR"/>
              </w:rPr>
            </w:pPr>
            <w:r w:rsidRPr="00F624E1">
              <w:rPr>
                <w:lang w:eastAsia="ko-KR"/>
              </w:rPr>
              <w:t>The OOTF maps relative scene linear light to display linear light.</w:t>
            </w:r>
          </w:p>
        </w:tc>
      </w:tr>
      <w:tr w:rsidR="003A24A6" w:rsidRPr="009F4B41" w14:paraId="0177209D" w14:textId="77777777" w:rsidTr="00FB58F9">
        <w:trPr>
          <w:cantSplit/>
          <w:jc w:val="center"/>
        </w:trPr>
        <w:tc>
          <w:tcPr>
            <w:tcW w:w="2685" w:type="dxa"/>
          </w:tcPr>
          <w:p w14:paraId="0178E756" w14:textId="77777777" w:rsidR="003A24A6" w:rsidRPr="00F624E1" w:rsidRDefault="003A24A6" w:rsidP="00FB58F9">
            <w:pPr>
              <w:pStyle w:val="Tabletext"/>
              <w:rPr>
                <w:lang w:eastAsia="ko-KR"/>
              </w:rPr>
            </w:pPr>
            <w:r w:rsidRPr="00F624E1">
              <w:rPr>
                <w:lang w:eastAsia="ko-KR"/>
              </w:rPr>
              <w:t>Reference PQ OOTF</w:t>
            </w:r>
          </w:p>
        </w:tc>
        <w:tc>
          <w:tcPr>
            <w:tcW w:w="6954" w:type="dxa"/>
          </w:tcPr>
          <w:p w14:paraId="164F9055" w14:textId="77777777" w:rsidR="003A24A6" w:rsidRPr="006E36BC" w:rsidRDefault="003A24A6" w:rsidP="00FB58F9">
            <w:pPr>
              <w:pStyle w:val="Tabletext"/>
              <w:rPr>
                <w:color w:val="000000"/>
                <w:lang w:val="pt-BR"/>
              </w:rPr>
            </w:pPr>
            <w:r w:rsidRPr="006E36BC">
              <w:rPr>
                <w:i/>
                <w:color w:val="000000"/>
                <w:lang w:val="pt-BR"/>
              </w:rPr>
              <w:t>F</w:t>
            </w:r>
            <w:r w:rsidRPr="006E36BC">
              <w:rPr>
                <w:i/>
                <w:color w:val="000000"/>
                <w:vertAlign w:val="subscript"/>
                <w:lang w:val="pt-BR"/>
              </w:rPr>
              <w:t>D</w:t>
            </w:r>
            <w:r w:rsidRPr="006E36BC">
              <w:rPr>
                <w:color w:val="000000"/>
                <w:lang w:val="pt-BR"/>
              </w:rPr>
              <w:t xml:space="preserve"> = OOTF[</w:t>
            </w:r>
            <w:r w:rsidRPr="006E36BC">
              <w:rPr>
                <w:i/>
                <w:color w:val="000000"/>
                <w:lang w:val="pt-BR"/>
              </w:rPr>
              <w:t>E</w:t>
            </w:r>
            <w:r w:rsidRPr="006E36BC">
              <w:rPr>
                <w:color w:val="000000"/>
                <w:lang w:val="pt-BR"/>
              </w:rPr>
              <w:t>] = G</w:t>
            </w:r>
            <w:r w:rsidRPr="006E36BC">
              <w:rPr>
                <w:color w:val="000000"/>
                <w:vertAlign w:val="subscript"/>
                <w:lang w:val="pt-BR"/>
              </w:rPr>
              <w:t>1886</w:t>
            </w:r>
            <w:r w:rsidRPr="006E36BC">
              <w:rPr>
                <w:color w:val="000000"/>
                <w:lang w:val="pt-BR"/>
              </w:rPr>
              <w:t xml:space="preserve"> [G</w:t>
            </w:r>
            <w:r w:rsidRPr="006E36BC">
              <w:rPr>
                <w:color w:val="000000"/>
                <w:vertAlign w:val="subscript"/>
                <w:lang w:val="pt-BR"/>
              </w:rPr>
              <w:t>709</w:t>
            </w:r>
            <w:r w:rsidRPr="006E36BC">
              <w:rPr>
                <w:color w:val="000000"/>
                <w:lang w:val="pt-BR"/>
              </w:rPr>
              <w:t>[</w:t>
            </w:r>
            <w:r w:rsidRPr="006E36BC">
              <w:rPr>
                <w:i/>
                <w:color w:val="000000"/>
                <w:lang w:val="pt-BR"/>
              </w:rPr>
              <w:t>E</w:t>
            </w:r>
            <w:r w:rsidRPr="006E36BC">
              <w:rPr>
                <w:color w:val="000000"/>
                <w:lang w:val="pt-BR"/>
              </w:rPr>
              <w:t>]]</w:t>
            </w:r>
          </w:p>
          <w:p w14:paraId="0560C84D" w14:textId="77777777" w:rsidR="003A24A6" w:rsidRPr="00F624E1" w:rsidRDefault="003A24A6" w:rsidP="00FB58F9">
            <w:pPr>
              <w:pStyle w:val="Tabletext"/>
              <w:rPr>
                <w:color w:val="000000"/>
              </w:rPr>
            </w:pPr>
            <w:r w:rsidRPr="00F624E1">
              <w:rPr>
                <w:color w:val="000000"/>
              </w:rPr>
              <w:t>where:</w:t>
            </w:r>
          </w:p>
          <w:p w14:paraId="6CF0F285" w14:textId="77777777" w:rsidR="003A24A6" w:rsidRPr="00F624E1" w:rsidRDefault="003A24A6" w:rsidP="00FB58F9">
            <w:pPr>
              <w:pStyle w:val="Tabletext"/>
              <w:rPr>
                <w:color w:val="000000"/>
              </w:rPr>
            </w:pPr>
            <w:r w:rsidRPr="00F624E1">
              <w:rPr>
                <w:i/>
                <w:color w:val="000000"/>
              </w:rPr>
              <w:t>E</w:t>
            </w:r>
            <w:r w:rsidRPr="00F624E1">
              <w:rPr>
                <w:color w:val="000000"/>
              </w:rPr>
              <w:t xml:space="preserve"> = {</w:t>
            </w:r>
            <w:r w:rsidRPr="00F624E1">
              <w:rPr>
                <w:i/>
                <w:color w:val="000000"/>
              </w:rPr>
              <w:t>R</w:t>
            </w:r>
            <w:r w:rsidRPr="00F624E1">
              <w:rPr>
                <w:i/>
                <w:color w:val="000000"/>
                <w:vertAlign w:val="subscript"/>
              </w:rPr>
              <w:t>S</w:t>
            </w:r>
            <w:r w:rsidRPr="00F624E1">
              <w:rPr>
                <w:color w:val="000000"/>
              </w:rPr>
              <w:t xml:space="preserve">, </w:t>
            </w:r>
            <w:r w:rsidRPr="00F624E1">
              <w:rPr>
                <w:i/>
                <w:color w:val="000000"/>
              </w:rPr>
              <w:t>G</w:t>
            </w:r>
            <w:r w:rsidRPr="00F624E1">
              <w:rPr>
                <w:i/>
                <w:color w:val="000000"/>
                <w:vertAlign w:val="subscript"/>
              </w:rPr>
              <w:t>S</w:t>
            </w:r>
            <w:r w:rsidRPr="00F624E1">
              <w:rPr>
                <w:color w:val="000000"/>
              </w:rPr>
              <w:t xml:space="preserve">, </w:t>
            </w:r>
            <w:r w:rsidRPr="00F624E1">
              <w:rPr>
                <w:i/>
                <w:color w:val="000000"/>
              </w:rPr>
              <w:t>B</w:t>
            </w:r>
            <w:r w:rsidRPr="00F624E1">
              <w:rPr>
                <w:i/>
                <w:color w:val="000000"/>
                <w:vertAlign w:val="subscript"/>
              </w:rPr>
              <w:t>S</w:t>
            </w:r>
            <w:r w:rsidRPr="00F624E1">
              <w:rPr>
                <w:color w:val="000000"/>
              </w:rPr>
              <w:t xml:space="preserve">; </w:t>
            </w:r>
            <w:r w:rsidRPr="00F624E1">
              <w:rPr>
                <w:i/>
                <w:color w:val="000000"/>
              </w:rPr>
              <w:t>Y</w:t>
            </w:r>
            <w:r w:rsidRPr="00F624E1">
              <w:rPr>
                <w:i/>
                <w:color w:val="000000"/>
                <w:vertAlign w:val="subscript"/>
              </w:rPr>
              <w:t>S</w:t>
            </w:r>
            <w:r w:rsidRPr="00F624E1">
              <w:rPr>
                <w:color w:val="000000"/>
              </w:rPr>
              <w:t xml:space="preserve">; or </w:t>
            </w:r>
            <w:r w:rsidRPr="00F624E1">
              <w:rPr>
                <w:i/>
                <w:color w:val="000000"/>
              </w:rPr>
              <w:t>I</w:t>
            </w:r>
            <w:r w:rsidRPr="00F624E1">
              <w:rPr>
                <w:i/>
                <w:color w:val="000000"/>
                <w:vertAlign w:val="subscript"/>
              </w:rPr>
              <w:t>S</w:t>
            </w:r>
            <w:r w:rsidRPr="00F624E1">
              <w:rPr>
                <w:color w:val="000000"/>
              </w:rPr>
              <w:t>} is the signal determined by scene light and scaled by camera exposure</w:t>
            </w:r>
          </w:p>
          <w:p w14:paraId="7294D7E1" w14:textId="77777777" w:rsidR="003A24A6" w:rsidRPr="00F624E1" w:rsidRDefault="003A24A6" w:rsidP="00FB58F9">
            <w:pPr>
              <w:pStyle w:val="Tabletext"/>
              <w:rPr>
                <w:color w:val="000000"/>
              </w:rPr>
            </w:pPr>
            <w:r w:rsidRPr="00F624E1">
              <w:rPr>
                <w:color w:val="000000"/>
              </w:rPr>
              <w:t xml:space="preserve">The values </w:t>
            </w:r>
            <w:r w:rsidRPr="00F624E1">
              <w:rPr>
                <w:i/>
                <w:color w:val="000000"/>
              </w:rPr>
              <w:t>E</w:t>
            </w:r>
            <w:r w:rsidRPr="00F624E1">
              <w:rPr>
                <w:color w:val="000000"/>
              </w:rPr>
              <w:t xml:space="preserve">, </w:t>
            </w:r>
            <w:r w:rsidRPr="00F624E1">
              <w:rPr>
                <w:i/>
                <w:color w:val="000000"/>
              </w:rPr>
              <w:t>R</w:t>
            </w:r>
            <w:r w:rsidRPr="00F624E1">
              <w:rPr>
                <w:i/>
                <w:color w:val="000000"/>
                <w:vertAlign w:val="subscript"/>
              </w:rPr>
              <w:t>S</w:t>
            </w:r>
            <w:r w:rsidRPr="00F624E1">
              <w:rPr>
                <w:color w:val="000000"/>
              </w:rPr>
              <w:t xml:space="preserve">, </w:t>
            </w:r>
            <w:r w:rsidRPr="00F624E1">
              <w:rPr>
                <w:i/>
                <w:color w:val="000000"/>
              </w:rPr>
              <w:t>G</w:t>
            </w:r>
            <w:r w:rsidRPr="00F624E1">
              <w:rPr>
                <w:i/>
                <w:color w:val="000000"/>
                <w:vertAlign w:val="subscript"/>
              </w:rPr>
              <w:t>S</w:t>
            </w:r>
            <w:r w:rsidRPr="00F624E1">
              <w:rPr>
                <w:color w:val="000000"/>
              </w:rPr>
              <w:t xml:space="preserve">, </w:t>
            </w:r>
            <w:r w:rsidRPr="00F624E1">
              <w:rPr>
                <w:i/>
                <w:color w:val="000000"/>
              </w:rPr>
              <w:t>B</w:t>
            </w:r>
            <w:r w:rsidRPr="00F624E1">
              <w:rPr>
                <w:i/>
                <w:color w:val="000000"/>
                <w:vertAlign w:val="subscript"/>
              </w:rPr>
              <w:t>S</w:t>
            </w:r>
            <w:r w:rsidRPr="00F624E1">
              <w:rPr>
                <w:color w:val="000000"/>
              </w:rPr>
              <w:t xml:space="preserve">, </w:t>
            </w:r>
            <w:r w:rsidRPr="00F624E1">
              <w:rPr>
                <w:i/>
                <w:color w:val="000000"/>
              </w:rPr>
              <w:t>Y</w:t>
            </w:r>
            <w:r w:rsidRPr="00F624E1">
              <w:rPr>
                <w:i/>
                <w:color w:val="000000"/>
                <w:vertAlign w:val="subscript"/>
              </w:rPr>
              <w:t>S</w:t>
            </w:r>
            <w:r w:rsidRPr="00F624E1">
              <w:rPr>
                <w:color w:val="000000"/>
              </w:rPr>
              <w:t xml:space="preserve">, </w:t>
            </w:r>
            <w:r w:rsidRPr="00F624E1">
              <w:rPr>
                <w:i/>
                <w:color w:val="000000"/>
              </w:rPr>
              <w:t>I</w:t>
            </w:r>
            <w:r w:rsidRPr="00F624E1">
              <w:rPr>
                <w:i/>
                <w:color w:val="000000"/>
                <w:vertAlign w:val="subscript"/>
              </w:rPr>
              <w:t>S</w:t>
            </w:r>
            <w:r w:rsidRPr="00F624E1">
              <w:rPr>
                <w:color w:val="000000"/>
              </w:rPr>
              <w:t xml:space="preserve"> are in the range [0:1]  </w:t>
            </w:r>
            <w:r w:rsidRPr="00F624E1">
              <w:rPr>
                <w:color w:val="000000"/>
                <w:vertAlign w:val="superscript"/>
              </w:rPr>
              <w:t>4c</w:t>
            </w:r>
          </w:p>
          <w:p w14:paraId="532AC933" w14:textId="77777777" w:rsidR="003A24A6" w:rsidRPr="00F624E1" w:rsidRDefault="003A24A6" w:rsidP="00FB58F9">
            <w:pPr>
              <w:pStyle w:val="Tabletext"/>
              <w:rPr>
                <w:color w:val="000000"/>
              </w:rPr>
            </w:pPr>
            <w:r w:rsidRPr="00F624E1">
              <w:rPr>
                <w:i/>
              </w:rPr>
              <w:t>E′</w:t>
            </w:r>
            <w:r w:rsidRPr="00F624E1">
              <w:rPr>
                <w:color w:val="000000"/>
              </w:rPr>
              <w:t xml:space="preserve"> is a non-linear representation of </w:t>
            </w:r>
            <w:r w:rsidRPr="00F624E1">
              <w:rPr>
                <w:i/>
                <w:color w:val="000000"/>
              </w:rPr>
              <w:t>E</w:t>
            </w:r>
          </w:p>
          <w:p w14:paraId="2B758A1D" w14:textId="77777777" w:rsidR="003A24A6" w:rsidRPr="00F624E1" w:rsidRDefault="003A24A6" w:rsidP="00FB58F9">
            <w:pPr>
              <w:pStyle w:val="Tabletext"/>
              <w:rPr>
                <w:color w:val="000000"/>
              </w:rPr>
            </w:pPr>
            <w:r w:rsidRPr="00F624E1">
              <w:rPr>
                <w:i/>
                <w:color w:val="000000"/>
              </w:rPr>
              <w:t>F</w:t>
            </w:r>
            <w:r w:rsidRPr="00F624E1">
              <w:rPr>
                <w:i/>
                <w:color w:val="000000"/>
                <w:vertAlign w:val="subscript"/>
              </w:rPr>
              <w:t>D</w:t>
            </w:r>
            <w:r w:rsidRPr="00F624E1">
              <w:t> </w:t>
            </w:r>
            <w:r w:rsidRPr="00F624E1">
              <w:rPr>
                <w:color w:val="000000"/>
              </w:rPr>
              <w:t>is the luminance of a displayed linear component (</w:t>
            </w:r>
            <w:r w:rsidRPr="00F624E1">
              <w:rPr>
                <w:i/>
                <w:color w:val="000000"/>
              </w:rPr>
              <w:t>R</w:t>
            </w:r>
            <w:r w:rsidRPr="00F624E1">
              <w:rPr>
                <w:i/>
                <w:color w:val="000000"/>
                <w:vertAlign w:val="subscript"/>
              </w:rPr>
              <w:t>D</w:t>
            </w:r>
            <w:r w:rsidRPr="00F624E1">
              <w:rPr>
                <w:color w:val="000000"/>
              </w:rPr>
              <w:t xml:space="preserve">, </w:t>
            </w:r>
            <w:r w:rsidRPr="00F624E1">
              <w:rPr>
                <w:i/>
                <w:color w:val="000000"/>
              </w:rPr>
              <w:t>G</w:t>
            </w:r>
            <w:r w:rsidRPr="00F624E1">
              <w:rPr>
                <w:i/>
                <w:color w:val="000000"/>
                <w:vertAlign w:val="subscript"/>
              </w:rPr>
              <w:t>D</w:t>
            </w:r>
            <w:r w:rsidRPr="00F624E1">
              <w:rPr>
                <w:color w:val="000000"/>
              </w:rPr>
              <w:t xml:space="preserve">, </w:t>
            </w:r>
            <w:r w:rsidRPr="00F624E1">
              <w:rPr>
                <w:i/>
                <w:color w:val="000000"/>
              </w:rPr>
              <w:t>B</w:t>
            </w:r>
            <w:r w:rsidRPr="00F624E1">
              <w:rPr>
                <w:i/>
                <w:color w:val="000000"/>
                <w:vertAlign w:val="subscript"/>
              </w:rPr>
              <w:t>D</w:t>
            </w:r>
            <w:r w:rsidRPr="00F624E1">
              <w:rPr>
                <w:color w:val="000000"/>
              </w:rPr>
              <w:t xml:space="preserve">; </w:t>
            </w:r>
            <w:r w:rsidRPr="00F624E1">
              <w:rPr>
                <w:i/>
                <w:color w:val="000000"/>
              </w:rPr>
              <w:t>Y</w:t>
            </w:r>
            <w:r w:rsidRPr="00F624E1">
              <w:rPr>
                <w:i/>
                <w:color w:val="000000"/>
                <w:vertAlign w:val="subscript"/>
              </w:rPr>
              <w:t>D</w:t>
            </w:r>
            <w:r w:rsidRPr="00F624E1">
              <w:rPr>
                <w:color w:val="000000"/>
              </w:rPr>
              <w:t xml:space="preserve">; or </w:t>
            </w:r>
            <w:r w:rsidRPr="00F624E1">
              <w:rPr>
                <w:i/>
                <w:color w:val="000000"/>
              </w:rPr>
              <w:t>I</w:t>
            </w:r>
            <w:r w:rsidRPr="00F624E1">
              <w:rPr>
                <w:i/>
                <w:color w:val="000000"/>
                <w:vertAlign w:val="subscript"/>
              </w:rPr>
              <w:t>D</w:t>
            </w:r>
            <w:r w:rsidRPr="00F624E1">
              <w:rPr>
                <w:color w:val="000000"/>
              </w:rPr>
              <w:t>)</w:t>
            </w:r>
          </w:p>
          <w:p w14:paraId="5740332E" w14:textId="77777777" w:rsidR="003A24A6" w:rsidRPr="006E36BC" w:rsidRDefault="003A24A6" w:rsidP="00FB58F9">
            <w:pPr>
              <w:pStyle w:val="Tabletext"/>
              <w:rPr>
                <w:color w:val="000000"/>
                <w:lang w:val="pt-BR"/>
              </w:rPr>
            </w:pPr>
            <w:r w:rsidRPr="006E36BC">
              <w:rPr>
                <w:i/>
                <w:color w:val="000000"/>
                <w:lang w:val="pt-BR"/>
              </w:rPr>
              <w:t>F</w:t>
            </w:r>
            <w:r w:rsidRPr="006E36BC">
              <w:rPr>
                <w:i/>
                <w:color w:val="000000"/>
                <w:vertAlign w:val="subscript"/>
                <w:lang w:val="pt-BR"/>
              </w:rPr>
              <w:t>D</w:t>
            </w:r>
            <w:r w:rsidRPr="006E36BC">
              <w:rPr>
                <w:color w:val="000000"/>
                <w:lang w:val="pt-BR"/>
              </w:rPr>
              <w:t xml:space="preserve"> = G</w:t>
            </w:r>
            <w:r w:rsidRPr="006E36BC">
              <w:rPr>
                <w:color w:val="000000"/>
                <w:vertAlign w:val="subscript"/>
                <w:lang w:val="pt-BR"/>
              </w:rPr>
              <w:t>1886</w:t>
            </w:r>
            <w:r w:rsidRPr="006E36BC">
              <w:rPr>
                <w:color w:val="000000"/>
                <w:lang w:val="pt-BR"/>
              </w:rPr>
              <w:t xml:space="preserve"> [G</w:t>
            </w:r>
            <w:r w:rsidRPr="006E36BC">
              <w:rPr>
                <w:color w:val="000000"/>
                <w:vertAlign w:val="subscript"/>
                <w:lang w:val="pt-BR"/>
              </w:rPr>
              <w:t>709</w:t>
            </w:r>
            <w:r w:rsidRPr="006E36BC">
              <w:rPr>
                <w:color w:val="000000"/>
                <w:lang w:val="pt-BR"/>
              </w:rPr>
              <w:t>[</w:t>
            </w:r>
            <w:r w:rsidRPr="006E36BC">
              <w:rPr>
                <w:i/>
                <w:color w:val="000000"/>
                <w:lang w:val="pt-BR"/>
              </w:rPr>
              <w:t>E</w:t>
            </w:r>
            <w:r w:rsidRPr="006E36BC">
              <w:rPr>
                <w:color w:val="000000"/>
                <w:lang w:val="pt-BR"/>
              </w:rPr>
              <w:t>]]  = G</w:t>
            </w:r>
            <w:r w:rsidRPr="006E36BC">
              <w:rPr>
                <w:color w:val="000000"/>
                <w:vertAlign w:val="subscript"/>
                <w:lang w:val="pt-BR"/>
              </w:rPr>
              <w:t>1886</w:t>
            </w:r>
            <w:r w:rsidRPr="006E36BC">
              <w:rPr>
                <w:color w:val="000000"/>
                <w:lang w:val="pt-BR"/>
              </w:rPr>
              <w:t xml:space="preserve"> </w:t>
            </w:r>
            <w:r w:rsidRPr="006E36BC">
              <w:rPr>
                <w:i/>
                <w:lang w:val="pt-BR"/>
              </w:rPr>
              <w:t>E′</w:t>
            </w:r>
            <w:r w:rsidRPr="006E36BC">
              <w:rPr>
                <w:color w:val="000000"/>
                <w:lang w:val="pt-BR"/>
              </w:rPr>
              <w:t xml:space="preserve"> </w:t>
            </w:r>
          </w:p>
          <w:p w14:paraId="54F851D6" w14:textId="77777777" w:rsidR="003A24A6" w:rsidRPr="006E36BC" w:rsidRDefault="003A24A6" w:rsidP="00FB58F9">
            <w:pPr>
              <w:pStyle w:val="Tabletext"/>
              <w:rPr>
                <w:color w:val="000000"/>
                <w:lang w:val="pt-BR"/>
              </w:rPr>
            </w:pPr>
            <w:r w:rsidRPr="006E36BC">
              <w:rPr>
                <w:i/>
                <w:lang w:val="pt-BR"/>
              </w:rPr>
              <w:t>E′</w:t>
            </w:r>
            <w:r w:rsidRPr="006E36BC">
              <w:rPr>
                <w:color w:val="000000"/>
                <w:lang w:val="pt-BR"/>
              </w:rPr>
              <w:t xml:space="preserve"> = G</w:t>
            </w:r>
            <w:r w:rsidRPr="006E36BC">
              <w:rPr>
                <w:color w:val="000000"/>
                <w:vertAlign w:val="subscript"/>
                <w:lang w:val="pt-BR"/>
              </w:rPr>
              <w:t>709</w:t>
            </w:r>
            <w:r w:rsidRPr="006E36BC">
              <w:rPr>
                <w:color w:val="000000"/>
                <w:lang w:val="pt-BR"/>
              </w:rPr>
              <w:t>[</w:t>
            </w:r>
            <w:r w:rsidRPr="006E36BC">
              <w:rPr>
                <w:i/>
                <w:color w:val="000000"/>
                <w:lang w:val="pt-BR"/>
              </w:rPr>
              <w:t>E</w:t>
            </w:r>
            <w:r w:rsidRPr="006E36BC">
              <w:rPr>
                <w:color w:val="000000"/>
                <w:lang w:val="pt-BR"/>
              </w:rPr>
              <w:t xml:space="preserve">] = 1.099 (59.5208 </w:t>
            </w:r>
            <w:r w:rsidRPr="006E36BC">
              <w:rPr>
                <w:i/>
                <w:color w:val="000000"/>
                <w:lang w:val="pt-BR"/>
              </w:rPr>
              <w:t>E</w:t>
            </w:r>
            <w:r w:rsidRPr="006E36BC">
              <w:rPr>
                <w:color w:val="000000"/>
                <w:lang w:val="pt-BR"/>
              </w:rPr>
              <w:t>)</w:t>
            </w:r>
            <w:r w:rsidRPr="006E36BC">
              <w:rPr>
                <w:color w:val="000000"/>
                <w:vertAlign w:val="superscript"/>
                <w:lang w:val="pt-BR"/>
              </w:rPr>
              <w:t>0.45</w:t>
            </w:r>
            <w:r w:rsidRPr="006E36BC">
              <w:rPr>
                <w:color w:val="000000"/>
                <w:lang w:val="pt-BR"/>
              </w:rPr>
              <w:t xml:space="preserve"> – 0.099 for 1 ≥ </w:t>
            </w:r>
            <w:r w:rsidRPr="006E36BC">
              <w:rPr>
                <w:i/>
                <w:color w:val="000000"/>
                <w:lang w:val="pt-BR"/>
              </w:rPr>
              <w:t>E</w:t>
            </w:r>
            <w:r w:rsidRPr="006E36BC">
              <w:rPr>
                <w:color w:val="000000"/>
                <w:lang w:val="pt-BR"/>
              </w:rPr>
              <w:t xml:space="preserve"> &gt; 0.0003024</w:t>
            </w:r>
          </w:p>
          <w:p w14:paraId="55686EAF" w14:textId="77777777" w:rsidR="003A24A6" w:rsidRPr="006E36BC" w:rsidRDefault="003A24A6" w:rsidP="00FB58F9">
            <w:pPr>
              <w:pStyle w:val="Tabletext"/>
              <w:rPr>
                <w:color w:val="000000"/>
                <w:lang w:val="pt-BR"/>
              </w:rPr>
            </w:pPr>
            <w:r w:rsidRPr="006E36BC">
              <w:rPr>
                <w:color w:val="000000"/>
                <w:lang w:val="pt-BR"/>
              </w:rPr>
              <w:tab/>
            </w:r>
            <w:r w:rsidRPr="006E36BC">
              <w:rPr>
                <w:color w:val="000000"/>
                <w:lang w:val="pt-BR"/>
              </w:rPr>
              <w:tab/>
            </w:r>
            <w:r w:rsidRPr="006E36BC">
              <w:rPr>
                <w:color w:val="000000"/>
                <w:lang w:val="pt-BR"/>
              </w:rPr>
              <w:tab/>
            </w:r>
            <w:r w:rsidRPr="006E36BC">
              <w:rPr>
                <w:color w:val="000000"/>
                <w:lang w:val="pt-BR"/>
              </w:rPr>
              <w:tab/>
              <w:t xml:space="preserve"> = 267.84 </w:t>
            </w:r>
            <w:r w:rsidRPr="006E36BC">
              <w:rPr>
                <w:i/>
                <w:color w:val="000000"/>
                <w:lang w:val="pt-BR"/>
              </w:rPr>
              <w:t>E</w:t>
            </w:r>
            <w:r w:rsidRPr="006E36BC">
              <w:rPr>
                <w:color w:val="000000"/>
                <w:lang w:val="pt-BR"/>
              </w:rPr>
              <w:tab/>
            </w:r>
            <w:r w:rsidRPr="006E36BC">
              <w:rPr>
                <w:color w:val="000000"/>
                <w:lang w:val="pt-BR"/>
              </w:rPr>
              <w:tab/>
            </w:r>
            <w:r w:rsidRPr="006E36BC">
              <w:rPr>
                <w:color w:val="000000"/>
                <w:lang w:val="pt-BR"/>
              </w:rPr>
              <w:tab/>
            </w:r>
            <w:r w:rsidRPr="006E36BC">
              <w:rPr>
                <w:color w:val="000000"/>
                <w:lang w:val="pt-BR"/>
              </w:rPr>
              <w:tab/>
            </w:r>
            <w:r w:rsidRPr="006E36BC">
              <w:rPr>
                <w:color w:val="000000"/>
                <w:lang w:val="pt-BR"/>
              </w:rPr>
              <w:tab/>
            </w:r>
            <w:r w:rsidRPr="006E36BC">
              <w:rPr>
                <w:color w:val="000000"/>
                <w:lang w:val="pt-BR"/>
              </w:rPr>
              <w:tab/>
            </w:r>
            <w:r w:rsidRPr="006E36BC">
              <w:rPr>
                <w:color w:val="000000"/>
                <w:lang w:val="pt-BR"/>
              </w:rPr>
              <w:tab/>
              <w:t xml:space="preserve">for 0.0003024 ≥ </w:t>
            </w:r>
            <w:r w:rsidRPr="006E36BC">
              <w:rPr>
                <w:i/>
                <w:color w:val="000000"/>
                <w:lang w:val="pt-BR"/>
              </w:rPr>
              <w:t>E</w:t>
            </w:r>
            <w:r w:rsidRPr="006E36BC">
              <w:rPr>
                <w:color w:val="000000"/>
                <w:lang w:val="pt-BR"/>
              </w:rPr>
              <w:t xml:space="preserve"> ≥ 0</w:t>
            </w:r>
          </w:p>
          <w:p w14:paraId="226B17A7" w14:textId="77777777" w:rsidR="003A24A6" w:rsidRPr="006E36BC" w:rsidRDefault="003A24A6" w:rsidP="00FB58F9">
            <w:pPr>
              <w:pStyle w:val="Tabletext"/>
              <w:rPr>
                <w:color w:val="000000"/>
                <w:lang w:val="pt-BR"/>
              </w:rPr>
            </w:pPr>
            <w:r w:rsidRPr="006E36BC">
              <w:rPr>
                <w:i/>
                <w:color w:val="000000"/>
                <w:lang w:val="pt-BR"/>
              </w:rPr>
              <w:t>F</w:t>
            </w:r>
            <w:r w:rsidRPr="006E36BC">
              <w:rPr>
                <w:i/>
                <w:color w:val="000000"/>
                <w:vertAlign w:val="subscript"/>
                <w:lang w:val="pt-BR"/>
              </w:rPr>
              <w:t>D</w:t>
            </w:r>
            <w:r w:rsidRPr="006E36BC">
              <w:rPr>
                <w:color w:val="000000"/>
                <w:lang w:val="pt-BR"/>
              </w:rPr>
              <w:t xml:space="preserve"> = G</w:t>
            </w:r>
            <w:r w:rsidRPr="006E36BC">
              <w:rPr>
                <w:color w:val="000000"/>
                <w:vertAlign w:val="subscript"/>
                <w:lang w:val="pt-BR"/>
              </w:rPr>
              <w:t>1886</w:t>
            </w:r>
            <w:r w:rsidRPr="006E36BC">
              <w:rPr>
                <w:color w:val="000000"/>
                <w:lang w:val="pt-BR"/>
              </w:rPr>
              <w:t>[</w:t>
            </w:r>
            <w:r w:rsidRPr="006E36BC">
              <w:rPr>
                <w:i/>
                <w:color w:val="000000"/>
                <w:lang w:val="pt-BR"/>
              </w:rPr>
              <w:t>E'</w:t>
            </w:r>
            <w:r w:rsidRPr="006E36BC">
              <w:rPr>
                <w:color w:val="000000"/>
                <w:lang w:val="pt-BR"/>
              </w:rPr>
              <w:t>] = 100</w:t>
            </w:r>
            <w:r w:rsidRPr="006E36BC">
              <w:rPr>
                <w:i/>
                <w:color w:val="000000"/>
                <w:lang w:val="pt-BR"/>
              </w:rPr>
              <w:t xml:space="preserve"> </w:t>
            </w:r>
            <w:r w:rsidRPr="006E36BC">
              <w:rPr>
                <w:i/>
                <w:lang w:val="pt-BR"/>
              </w:rPr>
              <w:t>E′</w:t>
            </w:r>
            <w:r w:rsidRPr="006E36BC">
              <w:rPr>
                <w:i/>
                <w:sz w:val="12"/>
                <w:szCs w:val="12"/>
                <w:lang w:val="pt-BR"/>
              </w:rPr>
              <w:t xml:space="preserve"> </w:t>
            </w:r>
            <w:r w:rsidRPr="006E36BC">
              <w:rPr>
                <w:color w:val="000000"/>
                <w:vertAlign w:val="superscript"/>
                <w:lang w:val="pt-BR"/>
              </w:rPr>
              <w:t>2.4</w:t>
            </w:r>
          </w:p>
        </w:tc>
      </w:tr>
      <w:tr w:rsidR="003A24A6" w:rsidRPr="00C06F9E" w14:paraId="6306F893" w14:textId="77777777" w:rsidTr="00FB58F9">
        <w:trPr>
          <w:cantSplit/>
          <w:jc w:val="center"/>
        </w:trPr>
        <w:tc>
          <w:tcPr>
            <w:tcW w:w="2685" w:type="dxa"/>
            <w:vAlign w:val="center"/>
          </w:tcPr>
          <w:p w14:paraId="522ACA53" w14:textId="77777777" w:rsidR="003A24A6" w:rsidRPr="00F624E1" w:rsidRDefault="003A24A6" w:rsidP="00FB58F9">
            <w:pPr>
              <w:pStyle w:val="Tabletext"/>
              <w:jc w:val="left"/>
              <w:rPr>
                <w:lang w:eastAsia="ko-KR"/>
              </w:rPr>
            </w:pPr>
            <w:r w:rsidRPr="00F624E1">
              <w:rPr>
                <w:lang w:eastAsia="ko-KR"/>
              </w:rPr>
              <w:t>Input signal to PQ opto-electronic transfer function (OETF)</w:t>
            </w:r>
          </w:p>
        </w:tc>
        <w:tc>
          <w:tcPr>
            <w:tcW w:w="6954" w:type="dxa"/>
            <w:vAlign w:val="center"/>
          </w:tcPr>
          <w:p w14:paraId="4EA0C132" w14:textId="77777777" w:rsidR="003A24A6" w:rsidRPr="00F624E1" w:rsidRDefault="003A24A6" w:rsidP="00FB58F9">
            <w:pPr>
              <w:pStyle w:val="Tabletext"/>
              <w:rPr>
                <w:lang w:eastAsia="ko-KR"/>
              </w:rPr>
            </w:pPr>
            <w:r w:rsidRPr="00F624E1">
              <w:rPr>
                <w:lang w:eastAsia="ko-KR"/>
              </w:rPr>
              <w:t>Scene linear light.</w:t>
            </w:r>
          </w:p>
          <w:p w14:paraId="082087D0" w14:textId="77777777" w:rsidR="003A24A6" w:rsidRPr="00F624E1" w:rsidRDefault="003A24A6" w:rsidP="00FB58F9">
            <w:pPr>
              <w:pStyle w:val="Tabletext"/>
              <w:rPr>
                <w:lang w:eastAsia="ko-KR"/>
              </w:rPr>
            </w:pPr>
            <w:r w:rsidRPr="00F624E1">
              <w:rPr>
                <w:lang w:eastAsia="ko-KR"/>
              </w:rPr>
              <w:t>The OETF maps relative scene linear light into the non-linear PQ signal value.</w:t>
            </w:r>
          </w:p>
        </w:tc>
      </w:tr>
    </w:tbl>
    <w:p w14:paraId="1D7AFA38" w14:textId="77777777" w:rsidR="003A24A6" w:rsidRPr="00F624E1" w:rsidRDefault="003A24A6" w:rsidP="007740D0">
      <w:r w:rsidRPr="00F624E1">
        <w:br w:type="page"/>
      </w:r>
    </w:p>
    <w:p w14:paraId="11DDEF84" w14:textId="77777777" w:rsidR="003A24A6" w:rsidRPr="00F624E1" w:rsidRDefault="003A24A6" w:rsidP="003A24A6">
      <w:pPr>
        <w:pStyle w:val="TableNo"/>
      </w:pPr>
      <w:r w:rsidRPr="00F624E1">
        <w:lastRenderedPageBreak/>
        <w:t>TABLE 4 (</w:t>
      </w:r>
      <w:r w:rsidRPr="00F624E1">
        <w:rPr>
          <w:i/>
          <w:iCs/>
        </w:rPr>
        <w:t>end</w:t>
      </w:r>
      <w:r w:rsidRPr="00F624E1">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6954"/>
      </w:tblGrid>
      <w:tr w:rsidR="003A24A6" w:rsidRPr="00F624E1" w14:paraId="18ECAC1D" w14:textId="77777777" w:rsidTr="00FB58F9">
        <w:trPr>
          <w:cantSplit/>
          <w:jc w:val="center"/>
        </w:trPr>
        <w:tc>
          <w:tcPr>
            <w:tcW w:w="2685" w:type="dxa"/>
            <w:tcBorders>
              <w:bottom w:val="single" w:sz="4" w:space="0" w:color="auto"/>
            </w:tcBorders>
            <w:vAlign w:val="center"/>
          </w:tcPr>
          <w:p w14:paraId="0A3A6523" w14:textId="77777777" w:rsidR="003A24A6" w:rsidRPr="00F624E1" w:rsidRDefault="003A24A6" w:rsidP="00FB58F9">
            <w:pPr>
              <w:pStyle w:val="Tablehead"/>
            </w:pPr>
            <w:r w:rsidRPr="00F624E1">
              <w:t>Parameter</w:t>
            </w:r>
          </w:p>
        </w:tc>
        <w:tc>
          <w:tcPr>
            <w:tcW w:w="6954" w:type="dxa"/>
            <w:tcBorders>
              <w:bottom w:val="single" w:sz="4" w:space="0" w:color="auto"/>
            </w:tcBorders>
            <w:vAlign w:val="center"/>
          </w:tcPr>
          <w:p w14:paraId="7D469C72" w14:textId="77777777" w:rsidR="003A24A6" w:rsidRPr="00F624E1" w:rsidRDefault="003A24A6" w:rsidP="00FB58F9">
            <w:pPr>
              <w:pStyle w:val="Tablehead"/>
            </w:pPr>
            <w:r w:rsidRPr="00F624E1">
              <w:t>Values</w:t>
            </w:r>
          </w:p>
        </w:tc>
      </w:tr>
      <w:tr w:rsidR="003A24A6" w:rsidRPr="00C06F9E" w14:paraId="6F915253" w14:textId="77777777" w:rsidTr="00FB58F9">
        <w:trPr>
          <w:cantSplit/>
          <w:jc w:val="center"/>
        </w:trPr>
        <w:tc>
          <w:tcPr>
            <w:tcW w:w="2685" w:type="dxa"/>
            <w:tcBorders>
              <w:bottom w:val="single" w:sz="4" w:space="0" w:color="auto"/>
            </w:tcBorders>
          </w:tcPr>
          <w:p w14:paraId="4A93A130" w14:textId="77777777" w:rsidR="003A24A6" w:rsidRPr="00F624E1" w:rsidRDefault="003A24A6" w:rsidP="00FB58F9">
            <w:pPr>
              <w:pStyle w:val="Tabletext"/>
              <w:rPr>
                <w:lang w:eastAsia="ko-KR"/>
              </w:rPr>
            </w:pPr>
            <w:r w:rsidRPr="00F624E1">
              <w:rPr>
                <w:lang w:eastAsia="ko-KR"/>
              </w:rPr>
              <w:t>Reference PQ OETF</w:t>
            </w:r>
          </w:p>
          <w:p w14:paraId="1C9B8150" w14:textId="77777777" w:rsidR="003A24A6" w:rsidRPr="00F624E1" w:rsidRDefault="003A24A6" w:rsidP="00A7775E">
            <w:pPr>
              <w:pStyle w:val="Tabletext"/>
              <w:jc w:val="left"/>
              <w:rPr>
                <w:lang w:eastAsia="ko-KR"/>
              </w:rPr>
            </w:pPr>
            <w:r w:rsidRPr="00F624E1">
              <w:rPr>
                <w:lang w:eastAsia="ko-KR"/>
              </w:rPr>
              <w:t>Use of this OETF will yield the reference OOTF when displayed on a reference monitor employing the reference EOTF.</w:t>
            </w:r>
          </w:p>
        </w:tc>
        <w:tc>
          <w:tcPr>
            <w:tcW w:w="6954" w:type="dxa"/>
            <w:tcBorders>
              <w:bottom w:val="single" w:sz="4" w:space="0" w:color="auto"/>
            </w:tcBorders>
            <w:vAlign w:val="center"/>
          </w:tcPr>
          <w:p w14:paraId="14BC897F" w14:textId="77777777" w:rsidR="003A24A6" w:rsidRPr="00F624E1" w:rsidRDefault="003A24A6" w:rsidP="00FB58F9">
            <w:pPr>
              <w:pStyle w:val="Tabletext"/>
              <w:jc w:val="center"/>
              <w:rPr>
                <w:lang w:eastAsia="ja-JP"/>
              </w:rPr>
            </w:pPr>
            <w:r w:rsidRPr="00F624E1">
              <w:rPr>
                <w:position w:val="-10"/>
                <w:lang w:eastAsia="ja-JP"/>
              </w:rPr>
              <w:object w:dxaOrig="4840" w:dyaOrig="360" w14:anchorId="72AF12E8">
                <v:shape id="_x0000_i1026" type="#_x0000_t75" style="width:240.75pt;height:18.45pt" o:ole="">
                  <v:imagedata r:id="rId20" o:title=""/>
                </v:shape>
                <o:OLEObject Type="Embed" ProgID="Equation.3" ShapeID="_x0000_i1026" DrawAspect="Content" ObjectID="_1806133231" r:id="rId21"/>
              </w:object>
            </w:r>
          </w:p>
          <w:p w14:paraId="1FF37FCA" w14:textId="237BCE2C" w:rsidR="003A24A6" w:rsidRPr="00F624E1" w:rsidRDefault="003A24A6" w:rsidP="00FB58F9">
            <w:pPr>
              <w:pStyle w:val="Tabletext"/>
              <w:rPr>
                <w:lang w:eastAsia="ja-JP"/>
              </w:rPr>
            </w:pPr>
            <w:r w:rsidRPr="00F624E1">
              <w:rPr>
                <w:lang w:eastAsia="ja-JP"/>
              </w:rPr>
              <w:t>where</w:t>
            </w:r>
            <w:r w:rsidR="00FF30DA">
              <w:rPr>
                <w:lang w:eastAsia="ja-JP"/>
              </w:rPr>
              <w:t>:</w:t>
            </w:r>
          </w:p>
          <w:p w14:paraId="5B7A3A21" w14:textId="77777777" w:rsidR="003A24A6" w:rsidRPr="00F624E1" w:rsidRDefault="003A24A6" w:rsidP="00FB58F9">
            <w:pPr>
              <w:pStyle w:val="Tabletext"/>
              <w:jc w:val="center"/>
              <w:rPr>
                <w:lang w:eastAsia="ja-JP"/>
              </w:rPr>
            </w:pPr>
            <w:r w:rsidRPr="00F624E1">
              <w:rPr>
                <w:position w:val="-52"/>
                <w:lang w:eastAsia="ja-JP"/>
              </w:rPr>
              <w:object w:dxaOrig="2820" w:dyaOrig="1160" w14:anchorId="41753BAD">
                <v:shape id="_x0000_i1027" type="#_x0000_t75" style="width:109.45pt;height:43.2pt" o:ole="">
                  <v:imagedata r:id="rId22" o:title=""/>
                </v:shape>
                <o:OLEObject Type="Embed" ProgID="Equation.3" ShapeID="_x0000_i1027" DrawAspect="Content" ObjectID="_1806133232" r:id="rId23"/>
              </w:object>
            </w:r>
          </w:p>
          <w:p w14:paraId="7B14E458" w14:textId="77777777" w:rsidR="003A24A6" w:rsidRPr="00F624E1" w:rsidRDefault="003A24A6" w:rsidP="00FB58F9">
            <w:pPr>
              <w:pStyle w:val="Tabletext"/>
              <w:rPr>
                <w:lang w:eastAsia="ja-JP"/>
              </w:rPr>
            </w:pPr>
            <w:r w:rsidRPr="00F624E1">
              <w:rPr>
                <w:i/>
              </w:rPr>
              <w:t>E′</w:t>
            </w:r>
            <w:r w:rsidRPr="00F624E1">
              <w:rPr>
                <w:lang w:eastAsia="ja-JP"/>
              </w:rPr>
              <w:t xml:space="preserve"> is the resulting non-linear signal (</w:t>
            </w:r>
            <w:r w:rsidRPr="00F624E1">
              <w:rPr>
                <w:i/>
                <w:lang w:eastAsia="ja-JP"/>
              </w:rPr>
              <w:t>R'</w:t>
            </w:r>
            <w:r w:rsidRPr="00F624E1">
              <w:rPr>
                <w:lang w:eastAsia="ja-JP"/>
              </w:rPr>
              <w:t xml:space="preserve">, </w:t>
            </w:r>
            <w:r w:rsidRPr="00F624E1">
              <w:rPr>
                <w:i/>
                <w:lang w:eastAsia="ja-JP"/>
              </w:rPr>
              <w:t>G'</w:t>
            </w:r>
            <w:r w:rsidRPr="00F624E1">
              <w:rPr>
                <w:lang w:eastAsia="ja-JP"/>
              </w:rPr>
              <w:t xml:space="preserve">, </w:t>
            </w:r>
            <w:r w:rsidRPr="00F624E1">
              <w:rPr>
                <w:i/>
                <w:lang w:eastAsia="ja-JP"/>
              </w:rPr>
              <w:t>B'</w:t>
            </w:r>
            <w:r w:rsidRPr="00F624E1">
              <w:rPr>
                <w:lang w:eastAsia="ja-JP"/>
              </w:rPr>
              <w:t>) in the range [0:1]</w:t>
            </w:r>
          </w:p>
          <w:p w14:paraId="6B88F46F" w14:textId="77777777" w:rsidR="003A24A6" w:rsidRPr="00F624E1" w:rsidRDefault="003A24A6" w:rsidP="00FB58F9">
            <w:pPr>
              <w:pStyle w:val="Tabletext"/>
              <w:rPr>
                <w:lang w:eastAsia="ja-JP"/>
              </w:rPr>
            </w:pPr>
            <w:r w:rsidRPr="00F624E1">
              <w:rPr>
                <w:i/>
                <w:lang w:eastAsia="ja-JP"/>
              </w:rPr>
              <w:t>F</w:t>
            </w:r>
            <w:r w:rsidRPr="00F624E1">
              <w:rPr>
                <w:i/>
                <w:vertAlign w:val="subscript"/>
                <w:lang w:eastAsia="ja-JP"/>
              </w:rPr>
              <w:t>D</w:t>
            </w:r>
            <w:r w:rsidRPr="00F624E1">
              <w:rPr>
                <w:lang w:eastAsia="ja-JP"/>
              </w:rPr>
              <w:t xml:space="preserve">, </w:t>
            </w:r>
            <w:r w:rsidRPr="00F624E1">
              <w:rPr>
                <w:i/>
                <w:lang w:eastAsia="ja-JP"/>
              </w:rPr>
              <w:t>E</w:t>
            </w:r>
            <w:r w:rsidRPr="00F624E1">
              <w:rPr>
                <w:lang w:eastAsia="ja-JP"/>
              </w:rPr>
              <w:t xml:space="preserve">, are as specified in the opto-optical transfer function </w:t>
            </w:r>
          </w:p>
          <w:p w14:paraId="001638E5" w14:textId="77777777" w:rsidR="003A24A6" w:rsidRPr="00F624E1" w:rsidRDefault="003A24A6" w:rsidP="00FB58F9">
            <w:pPr>
              <w:pStyle w:val="Tabletext"/>
              <w:rPr>
                <w:position w:val="-52"/>
              </w:rPr>
            </w:pPr>
            <w:r w:rsidRPr="00F624E1">
              <w:rPr>
                <w:i/>
                <w:lang w:eastAsia="ja-JP"/>
              </w:rPr>
              <w:t>m</w:t>
            </w:r>
            <w:r w:rsidRPr="00F624E1">
              <w:rPr>
                <w:iCs/>
                <w:vertAlign w:val="subscript"/>
                <w:lang w:eastAsia="ja-JP"/>
              </w:rPr>
              <w:t>1</w:t>
            </w:r>
            <w:r w:rsidRPr="00F624E1">
              <w:rPr>
                <w:lang w:eastAsia="ja-JP"/>
              </w:rPr>
              <w:t xml:space="preserve">, </w:t>
            </w:r>
            <w:r w:rsidRPr="00F624E1">
              <w:rPr>
                <w:i/>
                <w:lang w:eastAsia="ja-JP"/>
              </w:rPr>
              <w:t>m</w:t>
            </w:r>
            <w:r w:rsidRPr="00F624E1">
              <w:rPr>
                <w:iCs/>
                <w:vertAlign w:val="subscript"/>
                <w:lang w:eastAsia="ja-JP"/>
              </w:rPr>
              <w:t>2</w:t>
            </w:r>
            <w:r w:rsidRPr="00F624E1">
              <w:rPr>
                <w:lang w:eastAsia="ja-JP"/>
              </w:rPr>
              <w:t xml:space="preserve">, </w:t>
            </w:r>
            <w:r w:rsidRPr="00F624E1">
              <w:rPr>
                <w:i/>
                <w:lang w:eastAsia="ja-JP"/>
              </w:rPr>
              <w:t>c</w:t>
            </w:r>
            <w:r w:rsidRPr="00F624E1">
              <w:rPr>
                <w:iCs/>
                <w:vertAlign w:val="subscript"/>
                <w:lang w:eastAsia="ja-JP"/>
              </w:rPr>
              <w:t>1</w:t>
            </w:r>
            <w:r w:rsidRPr="00F624E1">
              <w:rPr>
                <w:lang w:eastAsia="ja-JP"/>
              </w:rPr>
              <w:t xml:space="preserve">, </w:t>
            </w:r>
            <w:r w:rsidRPr="00F624E1">
              <w:rPr>
                <w:i/>
                <w:lang w:eastAsia="ja-JP"/>
              </w:rPr>
              <w:t>c</w:t>
            </w:r>
            <w:r w:rsidRPr="00F624E1">
              <w:rPr>
                <w:iCs/>
                <w:vertAlign w:val="subscript"/>
                <w:lang w:eastAsia="ja-JP"/>
              </w:rPr>
              <w:t>2</w:t>
            </w:r>
            <w:r w:rsidRPr="00F624E1">
              <w:rPr>
                <w:lang w:eastAsia="ja-JP"/>
              </w:rPr>
              <w:t xml:space="preserve">, </w:t>
            </w:r>
            <w:r w:rsidRPr="00F624E1">
              <w:rPr>
                <w:i/>
                <w:lang w:eastAsia="ja-JP"/>
              </w:rPr>
              <w:t>c</w:t>
            </w:r>
            <w:r w:rsidRPr="00F624E1">
              <w:rPr>
                <w:iCs/>
                <w:vertAlign w:val="subscript"/>
                <w:lang w:eastAsia="ja-JP"/>
              </w:rPr>
              <w:t>3</w:t>
            </w:r>
            <w:r w:rsidRPr="00F624E1">
              <w:rPr>
                <w:lang w:eastAsia="ja-JP"/>
              </w:rPr>
              <w:t xml:space="preserve"> are as specified in the electro-optical transfer function.</w:t>
            </w:r>
          </w:p>
        </w:tc>
      </w:tr>
      <w:tr w:rsidR="003A24A6" w:rsidRPr="00C06F9E" w14:paraId="5511C643" w14:textId="77777777" w:rsidTr="00FB58F9">
        <w:trPr>
          <w:cantSplit/>
          <w:jc w:val="center"/>
        </w:trPr>
        <w:tc>
          <w:tcPr>
            <w:tcW w:w="9639" w:type="dxa"/>
            <w:gridSpan w:val="2"/>
            <w:tcBorders>
              <w:top w:val="single" w:sz="4" w:space="0" w:color="auto"/>
              <w:left w:val="nil"/>
              <w:bottom w:val="nil"/>
              <w:right w:val="nil"/>
            </w:tcBorders>
            <w:vAlign w:val="center"/>
          </w:tcPr>
          <w:p w14:paraId="35102FA4" w14:textId="77777777" w:rsidR="003A24A6" w:rsidRPr="00F624E1" w:rsidRDefault="003A24A6" w:rsidP="00FB58F9">
            <w:pPr>
              <w:pStyle w:val="TableLegendNote"/>
              <w:jc w:val="left"/>
              <w:rPr>
                <w:lang w:val="en-GB"/>
              </w:rPr>
            </w:pPr>
            <w:r w:rsidRPr="00F624E1">
              <w:rPr>
                <w:bCs/>
                <w:lang w:val="en-GB"/>
              </w:rPr>
              <w:t>Note 4a</w:t>
            </w:r>
            <w:r w:rsidRPr="00F624E1">
              <w:rPr>
                <w:lang w:val="en-GB"/>
              </w:rPr>
              <w:t xml:space="preserve"> – This same non-linearity (and its inverse) should be used when it is necessary to convert between the non-linear representation and the linear representations.</w:t>
            </w:r>
          </w:p>
          <w:p w14:paraId="49008703" w14:textId="77777777" w:rsidR="003A24A6" w:rsidRPr="00F624E1" w:rsidRDefault="003A24A6" w:rsidP="00FB58F9">
            <w:pPr>
              <w:pStyle w:val="TableLegendNote"/>
              <w:jc w:val="left"/>
              <w:rPr>
                <w:lang w:val="en-GB"/>
              </w:rPr>
            </w:pPr>
            <w:r w:rsidRPr="00F624E1">
              <w:rPr>
                <w:bCs/>
                <w:lang w:val="en-GB"/>
              </w:rPr>
              <w:t>Note 4b</w:t>
            </w:r>
            <w:r w:rsidRPr="00F624E1">
              <w:rPr>
                <w:b/>
                <w:lang w:val="en-GB"/>
              </w:rPr>
              <w:t xml:space="preserve"> – </w:t>
            </w:r>
            <w:r w:rsidRPr="00F624E1">
              <w:rPr>
                <w:lang w:val="en-GB"/>
              </w:rPr>
              <w:t>In this Recommendation, when referring to the luminance of a single colour component (</w:t>
            </w:r>
            <w:r w:rsidRPr="00F624E1">
              <w:rPr>
                <w:i/>
                <w:lang w:val="en-GB"/>
              </w:rPr>
              <w:t>R</w:t>
            </w:r>
            <w:r w:rsidRPr="00F624E1">
              <w:rPr>
                <w:i/>
                <w:vertAlign w:val="subscript"/>
                <w:lang w:val="en-GB"/>
              </w:rPr>
              <w:t>D</w:t>
            </w:r>
            <w:r w:rsidRPr="00F624E1">
              <w:rPr>
                <w:lang w:val="en-GB"/>
              </w:rPr>
              <w:t xml:space="preserve">, </w:t>
            </w:r>
            <w:r w:rsidRPr="00F624E1">
              <w:rPr>
                <w:i/>
                <w:lang w:val="en-GB"/>
              </w:rPr>
              <w:t>G</w:t>
            </w:r>
            <w:r w:rsidRPr="00F624E1">
              <w:rPr>
                <w:i/>
                <w:vertAlign w:val="subscript"/>
                <w:lang w:val="en-GB"/>
              </w:rPr>
              <w:t>D</w:t>
            </w:r>
            <w:r w:rsidRPr="00F624E1">
              <w:rPr>
                <w:lang w:val="en-GB"/>
              </w:rPr>
              <w:t xml:space="preserve">, </w:t>
            </w:r>
            <w:r w:rsidRPr="00F624E1">
              <w:rPr>
                <w:i/>
                <w:lang w:val="en-GB"/>
              </w:rPr>
              <w:t>B</w:t>
            </w:r>
            <w:r w:rsidRPr="00F624E1">
              <w:rPr>
                <w:i/>
                <w:vertAlign w:val="subscript"/>
                <w:lang w:val="en-GB"/>
              </w:rPr>
              <w:t>D</w:t>
            </w:r>
            <w:r w:rsidRPr="00F624E1">
              <w:rPr>
                <w:lang w:val="en-GB"/>
              </w:rPr>
              <w:t>), it means the luminance of an equivalent achromatic signal with all three colour components having that same value.</w:t>
            </w:r>
          </w:p>
          <w:p w14:paraId="34484F2A" w14:textId="77777777" w:rsidR="003A24A6" w:rsidRPr="00F624E1" w:rsidRDefault="003A24A6" w:rsidP="00FB58F9">
            <w:pPr>
              <w:pStyle w:val="TableLegendNote"/>
              <w:jc w:val="left"/>
              <w:rPr>
                <w:lang w:val="en-GB"/>
              </w:rPr>
            </w:pPr>
            <w:r w:rsidRPr="00F624E1">
              <w:rPr>
                <w:lang w:val="en-GB"/>
              </w:rPr>
              <w:t xml:space="preserve">Note 4c – The mapping of the camera sensor signal output to </w:t>
            </w:r>
            <w:r w:rsidRPr="00F624E1">
              <w:rPr>
                <w:i/>
                <w:lang w:val="en-GB"/>
              </w:rPr>
              <w:t>E</w:t>
            </w:r>
            <w:r w:rsidRPr="00F624E1">
              <w:rPr>
                <w:lang w:val="en-GB"/>
              </w:rPr>
              <w:t xml:space="preserve"> may be chosen to achieve the desired brightness of the scene. </w:t>
            </w:r>
          </w:p>
        </w:tc>
      </w:tr>
    </w:tbl>
    <w:p w14:paraId="6C20B90D" w14:textId="77777777" w:rsidR="007740D0" w:rsidRPr="00F624E1" w:rsidRDefault="007740D0" w:rsidP="007740D0">
      <w:pPr>
        <w:pStyle w:val="Tablefin"/>
      </w:pPr>
    </w:p>
    <w:p w14:paraId="25EFE789" w14:textId="77777777" w:rsidR="003A24A6" w:rsidRPr="00F624E1" w:rsidRDefault="003A24A6" w:rsidP="003A24A6">
      <w:pPr>
        <w:pStyle w:val="TableNo"/>
        <w:rPr>
          <w:rFonts w:ascii="Times New Roman Bold" w:hAnsi="Times New Roman Bold"/>
          <w:b/>
        </w:rPr>
      </w:pPr>
      <w:r w:rsidRPr="00F624E1">
        <w:t>TABLE 5</w:t>
      </w:r>
    </w:p>
    <w:p w14:paraId="7F923B85" w14:textId="77777777" w:rsidR="003A24A6" w:rsidRPr="00F624E1" w:rsidRDefault="003A24A6" w:rsidP="003A24A6">
      <w:pPr>
        <w:pStyle w:val="Tabletitle"/>
      </w:pPr>
      <w:r w:rsidRPr="00F624E1">
        <w:rPr>
          <w:lang w:eastAsia="ja-JP"/>
        </w:rPr>
        <w:t xml:space="preserve">Hybrid Log-Gamma (HLG) system </w:t>
      </w:r>
      <w:r w:rsidRPr="00F624E1">
        <w:t>reference non-linear transfer functions</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946"/>
      </w:tblGrid>
      <w:tr w:rsidR="003A24A6" w:rsidRPr="00F624E1" w14:paraId="2484EC29" w14:textId="77777777" w:rsidTr="00FB58F9">
        <w:trPr>
          <w:cantSplit/>
          <w:tblHeader/>
          <w:jc w:val="center"/>
        </w:trPr>
        <w:tc>
          <w:tcPr>
            <w:tcW w:w="2835" w:type="dxa"/>
            <w:vAlign w:val="center"/>
          </w:tcPr>
          <w:p w14:paraId="28026BD5" w14:textId="77777777" w:rsidR="003A24A6" w:rsidRPr="00F624E1" w:rsidRDefault="003A24A6" w:rsidP="00FB58F9">
            <w:pPr>
              <w:pStyle w:val="Tablehead"/>
              <w:rPr>
                <w:lang w:eastAsia="ko-KR"/>
              </w:rPr>
            </w:pPr>
            <w:r w:rsidRPr="00F624E1">
              <w:rPr>
                <w:lang w:eastAsia="ko-KR"/>
              </w:rPr>
              <w:t>Parameter</w:t>
            </w:r>
          </w:p>
        </w:tc>
        <w:tc>
          <w:tcPr>
            <w:tcW w:w="6946" w:type="dxa"/>
            <w:vAlign w:val="center"/>
          </w:tcPr>
          <w:p w14:paraId="7FEF906F" w14:textId="77777777" w:rsidR="003A24A6" w:rsidRPr="00F624E1" w:rsidRDefault="003A24A6" w:rsidP="00FB58F9">
            <w:pPr>
              <w:pStyle w:val="Tablehead"/>
              <w:rPr>
                <w:lang w:eastAsia="ko-KR"/>
              </w:rPr>
            </w:pPr>
            <w:r w:rsidRPr="00F624E1">
              <w:rPr>
                <w:lang w:eastAsia="ko-KR"/>
              </w:rPr>
              <w:t>Values</w:t>
            </w:r>
          </w:p>
        </w:tc>
      </w:tr>
      <w:tr w:rsidR="003A24A6" w:rsidRPr="00C06F9E" w14:paraId="7E03BDF3" w14:textId="77777777" w:rsidTr="00FB58F9">
        <w:trPr>
          <w:cantSplit/>
          <w:jc w:val="center"/>
        </w:trPr>
        <w:tc>
          <w:tcPr>
            <w:tcW w:w="2835" w:type="dxa"/>
          </w:tcPr>
          <w:p w14:paraId="1A64A1DC" w14:textId="77777777" w:rsidR="003A24A6" w:rsidRPr="00F624E1" w:rsidRDefault="003A24A6" w:rsidP="00FB58F9">
            <w:pPr>
              <w:pStyle w:val="Tabletext"/>
              <w:rPr>
                <w:lang w:eastAsia="ko-KR"/>
              </w:rPr>
            </w:pPr>
            <w:r w:rsidRPr="00F624E1">
              <w:rPr>
                <w:lang w:eastAsia="ko-KR"/>
              </w:rPr>
              <w:t>Input signal to HLG OETF</w:t>
            </w:r>
          </w:p>
        </w:tc>
        <w:tc>
          <w:tcPr>
            <w:tcW w:w="6946" w:type="dxa"/>
            <w:vAlign w:val="center"/>
          </w:tcPr>
          <w:p w14:paraId="21A23AE8" w14:textId="77777777" w:rsidR="003A24A6" w:rsidRPr="00F624E1" w:rsidRDefault="003A24A6" w:rsidP="00FB58F9">
            <w:pPr>
              <w:pStyle w:val="Tabletext"/>
              <w:rPr>
                <w:lang w:eastAsia="ko-KR"/>
              </w:rPr>
            </w:pPr>
            <w:r w:rsidRPr="00F624E1">
              <w:rPr>
                <w:lang w:eastAsia="ko-KR"/>
              </w:rPr>
              <w:t>Scene linear light.</w:t>
            </w:r>
          </w:p>
          <w:p w14:paraId="67BAA2C8" w14:textId="77777777" w:rsidR="003A24A6" w:rsidRPr="00F624E1" w:rsidRDefault="003A24A6" w:rsidP="00FB58F9">
            <w:pPr>
              <w:pStyle w:val="Tabletext"/>
              <w:rPr>
                <w:position w:val="-34"/>
                <w:lang w:eastAsia="ja-JP"/>
              </w:rPr>
            </w:pPr>
            <w:r w:rsidRPr="00F624E1">
              <w:rPr>
                <w:lang w:eastAsia="ko-KR"/>
              </w:rPr>
              <w:t>The OETF maps relative scene linear light into the non-linear signal value.</w:t>
            </w:r>
          </w:p>
        </w:tc>
      </w:tr>
      <w:tr w:rsidR="003A24A6" w:rsidRPr="00F624E1" w14:paraId="11149241" w14:textId="77777777" w:rsidTr="00FB58F9">
        <w:trPr>
          <w:cantSplit/>
          <w:jc w:val="center"/>
        </w:trPr>
        <w:tc>
          <w:tcPr>
            <w:tcW w:w="2835" w:type="dxa"/>
          </w:tcPr>
          <w:p w14:paraId="709B17AC" w14:textId="77777777" w:rsidR="003A24A6" w:rsidRPr="00F624E1" w:rsidRDefault="003A24A6" w:rsidP="00FB58F9">
            <w:pPr>
              <w:pStyle w:val="Tabletext"/>
              <w:rPr>
                <w:lang w:eastAsia="ko-KR"/>
              </w:rPr>
            </w:pPr>
            <w:r w:rsidRPr="00F624E1">
              <w:rPr>
                <w:lang w:eastAsia="ko-KR"/>
              </w:rPr>
              <w:t xml:space="preserve">HLG Reference OETF  </w:t>
            </w:r>
            <w:r w:rsidRPr="00F624E1">
              <w:rPr>
                <w:bCs/>
                <w:vertAlign w:val="superscript"/>
                <w:lang w:eastAsia="ko-KR"/>
              </w:rPr>
              <w:t>5a</w:t>
            </w:r>
          </w:p>
        </w:tc>
        <w:tc>
          <w:tcPr>
            <w:tcW w:w="6946" w:type="dxa"/>
            <w:vAlign w:val="center"/>
          </w:tcPr>
          <w:p w14:paraId="08E82031" w14:textId="77777777" w:rsidR="003A24A6" w:rsidRPr="00F624E1" w:rsidRDefault="003A24A6" w:rsidP="00FB58F9">
            <w:pPr>
              <w:pStyle w:val="Tabletext"/>
              <w:jc w:val="center"/>
              <w:rPr>
                <w:lang w:eastAsia="ja-JP"/>
              </w:rPr>
            </w:pPr>
          </w:p>
          <w:p w14:paraId="4C27B145" w14:textId="77777777" w:rsidR="003A24A6" w:rsidRPr="00F624E1" w:rsidRDefault="003A24A6" w:rsidP="00FB58F9">
            <w:pPr>
              <w:pStyle w:val="Tabletext"/>
              <w:jc w:val="center"/>
              <w:rPr>
                <w:lang w:eastAsia="ja-JP"/>
              </w:rPr>
            </w:pPr>
            <w:r w:rsidRPr="00F624E1">
              <w:rPr>
                <w:position w:val="-32"/>
                <w:lang w:eastAsia="ja-JP"/>
              </w:rPr>
              <w:object w:dxaOrig="4300" w:dyaOrig="740" w14:anchorId="497F3D2E">
                <v:shape id="_x0000_i1028" type="#_x0000_t75" style="width:198.7pt;height:36.3pt" o:ole="">
                  <v:imagedata r:id="rId24" o:title=""/>
                </v:shape>
                <o:OLEObject Type="Embed" ProgID="Equation.3" ShapeID="_x0000_i1028" DrawAspect="Content" ObjectID="_1806133233" r:id="rId25"/>
              </w:object>
            </w:r>
          </w:p>
          <w:p w14:paraId="29C88A1F" w14:textId="77777777" w:rsidR="003A24A6" w:rsidRPr="00F624E1" w:rsidRDefault="003A24A6" w:rsidP="00FB58F9">
            <w:pPr>
              <w:pStyle w:val="Tabletext"/>
              <w:rPr>
                <w:lang w:eastAsia="ko-KR"/>
              </w:rPr>
            </w:pPr>
            <w:r w:rsidRPr="00F624E1">
              <w:rPr>
                <w:lang w:eastAsia="ko-KR"/>
              </w:rPr>
              <w:t>where:</w:t>
            </w:r>
          </w:p>
          <w:p w14:paraId="0D6789E0" w14:textId="77777777" w:rsidR="003A24A6" w:rsidRPr="00F624E1" w:rsidRDefault="003A24A6" w:rsidP="00FB58F9">
            <w:pPr>
              <w:pStyle w:val="Tabletext"/>
              <w:rPr>
                <w:i/>
                <w:position w:val="-10"/>
                <w:lang w:eastAsia="ja-JP"/>
              </w:rPr>
            </w:pPr>
            <w:r w:rsidRPr="00F624E1">
              <w:rPr>
                <w:i/>
                <w:iCs/>
                <w:position w:val="-10"/>
                <w:lang w:eastAsia="ja-JP"/>
              </w:rPr>
              <w:t>E</w:t>
            </w:r>
            <w:r w:rsidRPr="00F624E1">
              <w:rPr>
                <w:position w:val="-10"/>
                <w:lang w:eastAsia="ja-JP"/>
              </w:rPr>
              <w:t xml:space="preserve"> is a signal for each colour component {</w:t>
            </w:r>
            <w:r w:rsidRPr="00F624E1">
              <w:rPr>
                <w:i/>
                <w:iCs/>
                <w:position w:val="-10"/>
                <w:lang w:eastAsia="ja-JP"/>
              </w:rPr>
              <w:t>R</w:t>
            </w:r>
            <w:r w:rsidRPr="00F624E1">
              <w:rPr>
                <w:i/>
                <w:iCs/>
                <w:position w:val="-10"/>
                <w:vertAlign w:val="subscript"/>
                <w:lang w:eastAsia="ja-JP"/>
              </w:rPr>
              <w:t>S</w:t>
            </w:r>
            <w:r w:rsidRPr="00F624E1">
              <w:rPr>
                <w:i/>
                <w:iCs/>
                <w:position w:val="-10"/>
                <w:lang w:eastAsia="ja-JP"/>
              </w:rPr>
              <w:t>, G</w:t>
            </w:r>
            <w:r w:rsidRPr="00F624E1">
              <w:rPr>
                <w:i/>
                <w:iCs/>
                <w:position w:val="-10"/>
                <w:vertAlign w:val="subscript"/>
                <w:lang w:eastAsia="ja-JP"/>
              </w:rPr>
              <w:t>S</w:t>
            </w:r>
            <w:r w:rsidRPr="00F624E1">
              <w:rPr>
                <w:i/>
                <w:iCs/>
                <w:position w:val="-10"/>
                <w:lang w:eastAsia="ja-JP"/>
              </w:rPr>
              <w:t>, B</w:t>
            </w:r>
            <w:r w:rsidRPr="00F624E1">
              <w:rPr>
                <w:i/>
                <w:iCs/>
                <w:position w:val="-10"/>
                <w:vertAlign w:val="subscript"/>
                <w:lang w:eastAsia="ja-JP"/>
              </w:rPr>
              <w:t>S</w:t>
            </w:r>
            <w:r w:rsidRPr="00F624E1">
              <w:rPr>
                <w:position w:val="-10"/>
                <w:lang w:eastAsia="ja-JP"/>
              </w:rPr>
              <w:t xml:space="preserve">} proportional to scene linear light normalized to the range [0:1]. </w:t>
            </w:r>
            <w:r w:rsidRPr="00F624E1">
              <w:rPr>
                <w:position w:val="-10"/>
                <w:vertAlign w:val="superscript"/>
                <w:lang w:eastAsia="ja-JP"/>
              </w:rPr>
              <w:t>5b</w:t>
            </w:r>
            <w:r w:rsidRPr="00F624E1">
              <w:rPr>
                <w:position w:val="-10"/>
                <w:lang w:eastAsia="ja-JP"/>
              </w:rPr>
              <w:t xml:space="preserve"> </w:t>
            </w:r>
          </w:p>
          <w:p w14:paraId="58211C35" w14:textId="77777777" w:rsidR="003A24A6" w:rsidRPr="00F624E1" w:rsidRDefault="003A24A6" w:rsidP="00FB58F9">
            <w:pPr>
              <w:pStyle w:val="Tabletext"/>
              <w:rPr>
                <w:lang w:eastAsia="ko-KR"/>
              </w:rPr>
            </w:pPr>
            <w:r w:rsidRPr="00F624E1">
              <w:rPr>
                <w:i/>
              </w:rPr>
              <w:t>E′</w:t>
            </w:r>
            <w:r w:rsidRPr="00F624E1">
              <w:rPr>
                <w:lang w:eastAsia="ko-KR"/>
              </w:rPr>
              <w:t xml:space="preserve"> is the resulting non-linear signal {</w:t>
            </w:r>
            <w:r w:rsidRPr="00F624E1">
              <w:rPr>
                <w:i/>
                <w:iCs/>
                <w:lang w:eastAsia="ko-KR"/>
              </w:rPr>
              <w:t>R', G', B'</w:t>
            </w:r>
            <w:r w:rsidRPr="00F624E1">
              <w:rPr>
                <w:lang w:eastAsia="ko-KR"/>
              </w:rPr>
              <w:t>} in the range [0:1]</w:t>
            </w:r>
            <w:r w:rsidRPr="00F624E1">
              <w:rPr>
                <w:vertAlign w:val="subscript"/>
                <w:lang w:eastAsia="ja-JP"/>
              </w:rPr>
              <w:t xml:space="preserve">.  </w:t>
            </w:r>
          </w:p>
          <w:p w14:paraId="09440230" w14:textId="77777777" w:rsidR="003A24A6" w:rsidRPr="00F624E1" w:rsidRDefault="003A24A6" w:rsidP="00FB58F9">
            <w:pPr>
              <w:pStyle w:val="Tabletext"/>
              <w:rPr>
                <w:lang w:eastAsia="ja-JP"/>
              </w:rPr>
            </w:pPr>
            <w:r w:rsidRPr="00F624E1">
              <w:rPr>
                <w:i/>
                <w:iCs/>
                <w:lang w:eastAsia="ko-KR"/>
              </w:rPr>
              <w:t>a </w:t>
            </w:r>
            <w:r w:rsidRPr="00F624E1">
              <w:rPr>
                <w:lang w:eastAsia="ko-KR"/>
              </w:rPr>
              <w:t xml:space="preserve">= 0.17883277, </w:t>
            </w:r>
            <w:r w:rsidRPr="00F624E1">
              <w:rPr>
                <w:position w:val="-6"/>
                <w:lang w:eastAsia="ja-JP"/>
              </w:rPr>
              <w:object w:dxaOrig="980" w:dyaOrig="279" w14:anchorId="315AE5AE">
                <v:shape id="_x0000_i1029" type="#_x0000_t75" style="width:47.8pt;height:12.65pt" o:ole="">
                  <v:imagedata r:id="rId26" o:title=""/>
                </v:shape>
                <o:OLEObject Type="Embed" ProgID="Equation.3" ShapeID="_x0000_i1029" DrawAspect="Content" ObjectID="_1806133234" r:id="rId27"/>
              </w:object>
            </w:r>
            <w:r w:rsidRPr="00F624E1">
              <w:rPr>
                <w:lang w:eastAsia="ko-KR"/>
              </w:rPr>
              <w:t>,</w:t>
            </w:r>
            <w:r w:rsidRPr="00F624E1">
              <w:rPr>
                <w:i/>
                <w:iCs/>
                <w:lang w:eastAsia="ko-KR"/>
              </w:rPr>
              <w:t xml:space="preserve"> </w:t>
            </w:r>
            <w:r w:rsidRPr="00F624E1">
              <w:rPr>
                <w:position w:val="-10"/>
                <w:lang w:eastAsia="ja-JP"/>
              </w:rPr>
              <w:object w:dxaOrig="1780" w:dyaOrig="340" w14:anchorId="072A0122">
                <v:shape id="_x0000_i1030" type="#_x0000_t75" style="width:89.3pt;height:18.45pt" o:ole="">
                  <v:imagedata r:id="rId28" o:title=""/>
                </v:shape>
                <o:OLEObject Type="Embed" ProgID="Equation.3" ShapeID="_x0000_i1030" DrawAspect="Content" ObjectID="_1806133235" r:id="rId29"/>
              </w:object>
            </w:r>
            <w:r w:rsidRPr="00F624E1">
              <w:rPr>
                <w:lang w:eastAsia="ja-JP"/>
              </w:rPr>
              <w:t xml:space="preserve">  </w:t>
            </w:r>
            <w:r w:rsidRPr="00F624E1">
              <w:rPr>
                <w:vertAlign w:val="superscript"/>
                <w:lang w:eastAsia="ja-JP"/>
              </w:rPr>
              <w:t>5c</w:t>
            </w:r>
          </w:p>
        </w:tc>
      </w:tr>
      <w:tr w:rsidR="003A24A6" w:rsidRPr="00C06F9E" w14:paraId="402C0460" w14:textId="77777777" w:rsidTr="00FB58F9">
        <w:trPr>
          <w:cantSplit/>
          <w:jc w:val="center"/>
        </w:trPr>
        <w:tc>
          <w:tcPr>
            <w:tcW w:w="2835" w:type="dxa"/>
          </w:tcPr>
          <w:p w14:paraId="5D3B7E89" w14:textId="77777777" w:rsidR="003A24A6" w:rsidRPr="00F624E1" w:rsidRDefault="003A24A6" w:rsidP="00FB58F9">
            <w:pPr>
              <w:pStyle w:val="Tabletext"/>
              <w:rPr>
                <w:lang w:eastAsia="ko-KR"/>
              </w:rPr>
            </w:pPr>
            <w:r w:rsidRPr="00F624E1">
              <w:rPr>
                <w:lang w:eastAsia="ko-KR"/>
              </w:rPr>
              <w:t>HLG Input signal to OOTF</w:t>
            </w:r>
          </w:p>
        </w:tc>
        <w:tc>
          <w:tcPr>
            <w:tcW w:w="6946" w:type="dxa"/>
          </w:tcPr>
          <w:p w14:paraId="4E722D14" w14:textId="77777777" w:rsidR="003A24A6" w:rsidRPr="00F624E1" w:rsidRDefault="003A24A6" w:rsidP="00FB58F9">
            <w:pPr>
              <w:pStyle w:val="Tabletext"/>
              <w:rPr>
                <w:lang w:eastAsia="ko-KR"/>
              </w:rPr>
            </w:pPr>
            <w:r w:rsidRPr="00F624E1">
              <w:rPr>
                <w:lang w:eastAsia="ko-KR"/>
              </w:rPr>
              <w:t>Scene linear light.</w:t>
            </w:r>
          </w:p>
          <w:p w14:paraId="0D3833E8" w14:textId="77777777" w:rsidR="003A24A6" w:rsidRPr="00F624E1" w:rsidRDefault="003A24A6" w:rsidP="00FB58F9">
            <w:pPr>
              <w:pStyle w:val="Tabletext"/>
              <w:rPr>
                <w:lang w:eastAsia="ko-KR"/>
              </w:rPr>
            </w:pPr>
            <w:r w:rsidRPr="00F624E1">
              <w:rPr>
                <w:lang w:eastAsia="ko-KR"/>
              </w:rPr>
              <w:t>The OOTF maps relative scene linear light to display linear light.</w:t>
            </w:r>
          </w:p>
        </w:tc>
      </w:tr>
    </w:tbl>
    <w:p w14:paraId="73B0C072" w14:textId="77777777" w:rsidR="003A24A6" w:rsidRPr="00F624E1" w:rsidRDefault="003A24A6" w:rsidP="003A24A6">
      <w:pPr>
        <w:pStyle w:val="TableNo"/>
      </w:pPr>
      <w:r w:rsidRPr="00F624E1">
        <w:br w:type="page"/>
      </w:r>
    </w:p>
    <w:p w14:paraId="5ED3D2FE" w14:textId="77777777" w:rsidR="003A24A6" w:rsidRPr="00F624E1" w:rsidRDefault="003A24A6" w:rsidP="003A24A6">
      <w:pPr>
        <w:pStyle w:val="TableNo"/>
      </w:pPr>
      <w:r w:rsidRPr="00F624E1">
        <w:lastRenderedPageBreak/>
        <w:t>TABLE 5 (</w:t>
      </w:r>
      <w:r w:rsidRPr="00F624E1">
        <w:rPr>
          <w:i/>
          <w:iCs/>
        </w:rPr>
        <w:t>end</w:t>
      </w:r>
      <w:r w:rsidRPr="00F624E1">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0"/>
        <w:gridCol w:w="6839"/>
      </w:tblGrid>
      <w:tr w:rsidR="003A24A6" w:rsidRPr="00F624E1" w14:paraId="34FEE0BD" w14:textId="77777777" w:rsidTr="004B3FF0">
        <w:trPr>
          <w:cantSplit/>
          <w:jc w:val="center"/>
        </w:trPr>
        <w:tc>
          <w:tcPr>
            <w:tcW w:w="1449" w:type="pct"/>
            <w:vAlign w:val="center"/>
          </w:tcPr>
          <w:p w14:paraId="7F524498" w14:textId="77777777" w:rsidR="003A24A6" w:rsidRPr="00F624E1" w:rsidRDefault="003A24A6" w:rsidP="00FB58F9">
            <w:pPr>
              <w:pStyle w:val="Tablehead"/>
              <w:rPr>
                <w:lang w:eastAsia="ko-KR"/>
              </w:rPr>
            </w:pPr>
            <w:r w:rsidRPr="00F624E1">
              <w:rPr>
                <w:lang w:eastAsia="ko-KR"/>
              </w:rPr>
              <w:t>Parameter</w:t>
            </w:r>
          </w:p>
        </w:tc>
        <w:tc>
          <w:tcPr>
            <w:tcW w:w="3551" w:type="pct"/>
            <w:vAlign w:val="center"/>
          </w:tcPr>
          <w:p w14:paraId="121E71C2" w14:textId="77777777" w:rsidR="003A24A6" w:rsidRPr="00F624E1" w:rsidRDefault="003A24A6" w:rsidP="00FB58F9">
            <w:pPr>
              <w:pStyle w:val="Tablehead"/>
              <w:rPr>
                <w:lang w:eastAsia="ko-KR"/>
              </w:rPr>
            </w:pPr>
            <w:r w:rsidRPr="00F624E1">
              <w:rPr>
                <w:lang w:eastAsia="ko-KR"/>
              </w:rPr>
              <w:t>Values</w:t>
            </w:r>
          </w:p>
        </w:tc>
      </w:tr>
      <w:tr w:rsidR="003A24A6" w:rsidRPr="00F624E1" w14:paraId="2B89972F" w14:textId="77777777" w:rsidTr="004B3FF0">
        <w:trPr>
          <w:cantSplit/>
          <w:trHeight w:val="340"/>
          <w:jc w:val="center"/>
        </w:trPr>
        <w:tc>
          <w:tcPr>
            <w:tcW w:w="1449" w:type="pct"/>
            <w:vAlign w:val="center"/>
          </w:tcPr>
          <w:p w14:paraId="31009485" w14:textId="77777777" w:rsidR="003A24A6" w:rsidRPr="00F624E1" w:rsidDel="003B1AC4" w:rsidRDefault="003A24A6" w:rsidP="00FB58F9">
            <w:pPr>
              <w:pStyle w:val="Tabletext"/>
              <w:rPr>
                <w:lang w:eastAsia="ko-KR"/>
              </w:rPr>
            </w:pPr>
            <w:r w:rsidRPr="00F624E1">
              <w:rPr>
                <w:lang w:eastAsia="ko-KR"/>
              </w:rPr>
              <w:t xml:space="preserve">HLG Reference OOTF  </w:t>
            </w:r>
            <w:r w:rsidRPr="00F624E1">
              <w:rPr>
                <w:vertAlign w:val="superscript"/>
                <w:lang w:eastAsia="ja-JP"/>
              </w:rPr>
              <w:t>5i</w:t>
            </w:r>
          </w:p>
        </w:tc>
        <w:tc>
          <w:tcPr>
            <w:tcW w:w="3551" w:type="pct"/>
            <w:vAlign w:val="center"/>
          </w:tcPr>
          <w:p w14:paraId="7E4E6E55" w14:textId="77777777" w:rsidR="003A24A6" w:rsidRPr="00F624E1" w:rsidRDefault="003A24A6" w:rsidP="00FB58F9">
            <w:pPr>
              <w:pStyle w:val="Tabletext"/>
              <w:jc w:val="center"/>
              <w:rPr>
                <w:position w:val="-10"/>
                <w:lang w:eastAsia="ja-JP"/>
              </w:rPr>
            </w:pPr>
            <w:r w:rsidRPr="00F624E1">
              <w:rPr>
                <w:position w:val="-84"/>
                <w:lang w:eastAsia="ja-JP"/>
              </w:rPr>
              <w:object w:dxaOrig="3800" w:dyaOrig="1860" w14:anchorId="717A1C50">
                <v:shape id="_x0000_i1031" type="#_x0000_t75" style="width:162.45pt;height:80.05pt" o:ole="">
                  <v:imagedata r:id="rId30" o:title=""/>
                </v:shape>
                <o:OLEObject Type="Embed" ProgID="Equation.3" ShapeID="_x0000_i1031" DrawAspect="Content" ObjectID="_1806133236" r:id="rId31"/>
              </w:object>
            </w:r>
          </w:p>
          <w:p w14:paraId="21EB9FAD" w14:textId="77777777" w:rsidR="003A24A6" w:rsidRPr="00F624E1" w:rsidRDefault="003A24A6" w:rsidP="00FB58F9">
            <w:pPr>
              <w:pStyle w:val="Tabletext"/>
              <w:rPr>
                <w:position w:val="-10"/>
                <w:lang w:eastAsia="ja-JP"/>
              </w:rPr>
            </w:pPr>
            <w:r w:rsidRPr="00F624E1">
              <w:rPr>
                <w:position w:val="-10"/>
                <w:lang w:eastAsia="ja-JP"/>
              </w:rPr>
              <w:t>where:</w:t>
            </w:r>
          </w:p>
          <w:p w14:paraId="67597FCB" w14:textId="77777777" w:rsidR="003A24A6" w:rsidRPr="00F624E1" w:rsidRDefault="003A24A6" w:rsidP="00FB58F9">
            <w:pPr>
              <w:pStyle w:val="Tabletext"/>
              <w:rPr>
                <w:position w:val="-10"/>
                <w:lang w:eastAsia="ja-JP"/>
              </w:rPr>
            </w:pPr>
            <w:r w:rsidRPr="00F624E1">
              <w:rPr>
                <w:i/>
                <w:iCs/>
                <w:position w:val="-10"/>
                <w:lang w:eastAsia="ja-JP"/>
              </w:rPr>
              <w:t>F</w:t>
            </w:r>
            <w:r w:rsidRPr="00F624E1">
              <w:rPr>
                <w:i/>
                <w:iCs/>
                <w:position w:val="-10"/>
                <w:vertAlign w:val="subscript"/>
                <w:lang w:eastAsia="ja-JP"/>
              </w:rPr>
              <w:t>D</w:t>
            </w:r>
            <w:r w:rsidRPr="00F624E1">
              <w:rPr>
                <w:position w:val="-10"/>
                <w:lang w:eastAsia="ja-JP"/>
              </w:rPr>
              <w:t xml:space="preserve"> is the luminance of a displayed linear component {</w:t>
            </w:r>
            <w:r w:rsidRPr="00F624E1">
              <w:rPr>
                <w:i/>
                <w:iCs/>
                <w:position w:val="-10"/>
                <w:lang w:eastAsia="ja-JP"/>
              </w:rPr>
              <w:t>R</w:t>
            </w:r>
            <w:r w:rsidRPr="00F624E1">
              <w:rPr>
                <w:i/>
                <w:iCs/>
                <w:position w:val="-10"/>
                <w:vertAlign w:val="subscript"/>
                <w:lang w:eastAsia="ja-JP"/>
              </w:rPr>
              <w:t>D</w:t>
            </w:r>
            <w:r w:rsidRPr="00F624E1">
              <w:rPr>
                <w:position w:val="-10"/>
                <w:lang w:eastAsia="ja-JP"/>
              </w:rPr>
              <w:t xml:space="preserve">, </w:t>
            </w:r>
            <w:r w:rsidRPr="00F624E1">
              <w:rPr>
                <w:i/>
                <w:iCs/>
                <w:position w:val="-10"/>
                <w:lang w:eastAsia="ja-JP"/>
              </w:rPr>
              <w:t>G</w:t>
            </w:r>
            <w:r w:rsidRPr="00F624E1">
              <w:rPr>
                <w:i/>
                <w:iCs/>
                <w:position w:val="-10"/>
                <w:vertAlign w:val="subscript"/>
                <w:lang w:eastAsia="ja-JP"/>
              </w:rPr>
              <w:t>D</w:t>
            </w:r>
            <w:r w:rsidRPr="00F624E1">
              <w:rPr>
                <w:position w:val="-10"/>
                <w:lang w:eastAsia="ja-JP"/>
              </w:rPr>
              <w:t xml:space="preserve">, or </w:t>
            </w:r>
            <w:r w:rsidRPr="00F624E1">
              <w:rPr>
                <w:i/>
                <w:iCs/>
                <w:position w:val="-10"/>
                <w:lang w:eastAsia="ja-JP"/>
              </w:rPr>
              <w:t>B</w:t>
            </w:r>
            <w:r w:rsidRPr="00F624E1">
              <w:rPr>
                <w:i/>
                <w:iCs/>
                <w:position w:val="-10"/>
                <w:vertAlign w:val="subscript"/>
                <w:lang w:eastAsia="ja-JP"/>
              </w:rPr>
              <w:t>D</w:t>
            </w:r>
            <w:r w:rsidRPr="00F624E1">
              <w:rPr>
                <w:position w:val="-10"/>
                <w:lang w:eastAsia="ja-JP"/>
              </w:rPr>
              <w:t>}, in cd/m</w:t>
            </w:r>
            <w:r w:rsidRPr="00F624E1">
              <w:rPr>
                <w:position w:val="-10"/>
                <w:vertAlign w:val="superscript"/>
                <w:lang w:eastAsia="ja-JP"/>
              </w:rPr>
              <w:t>2</w:t>
            </w:r>
            <w:r w:rsidRPr="00F624E1">
              <w:rPr>
                <w:position w:val="-10"/>
                <w:lang w:eastAsia="ja-JP"/>
              </w:rPr>
              <w:t xml:space="preserve">. </w:t>
            </w:r>
            <w:r w:rsidRPr="00F624E1">
              <w:rPr>
                <w:position w:val="-10"/>
                <w:vertAlign w:val="superscript"/>
                <w:lang w:eastAsia="ja-JP"/>
              </w:rPr>
              <w:t>5d</w:t>
            </w:r>
          </w:p>
          <w:p w14:paraId="6F8887AE" w14:textId="77777777" w:rsidR="003A24A6" w:rsidRPr="00F624E1" w:rsidRDefault="003A24A6" w:rsidP="00FB58F9">
            <w:pPr>
              <w:pStyle w:val="Tabletext"/>
              <w:rPr>
                <w:position w:val="-10"/>
                <w:lang w:eastAsia="ja-JP"/>
              </w:rPr>
            </w:pPr>
            <w:r w:rsidRPr="00F624E1">
              <w:rPr>
                <w:i/>
                <w:iCs/>
                <w:position w:val="-10"/>
                <w:lang w:eastAsia="ja-JP"/>
              </w:rPr>
              <w:t>E</w:t>
            </w:r>
            <w:r w:rsidRPr="00F624E1">
              <w:rPr>
                <w:position w:val="-10"/>
                <w:lang w:eastAsia="ja-JP"/>
              </w:rPr>
              <w:t xml:space="preserve"> is a signal for each colour component {</w:t>
            </w:r>
            <w:r w:rsidRPr="00F624E1">
              <w:rPr>
                <w:i/>
                <w:iCs/>
                <w:position w:val="-10"/>
                <w:lang w:eastAsia="ja-JP"/>
              </w:rPr>
              <w:t>R</w:t>
            </w:r>
            <w:r w:rsidRPr="00F624E1">
              <w:rPr>
                <w:i/>
                <w:iCs/>
                <w:position w:val="-10"/>
                <w:vertAlign w:val="subscript"/>
                <w:lang w:eastAsia="ja-JP"/>
              </w:rPr>
              <w:t>s</w:t>
            </w:r>
            <w:r w:rsidRPr="00F624E1">
              <w:rPr>
                <w:i/>
                <w:iCs/>
                <w:position w:val="-10"/>
                <w:lang w:eastAsia="ja-JP"/>
              </w:rPr>
              <w:t>, G</w:t>
            </w:r>
            <w:r w:rsidRPr="00F624E1">
              <w:rPr>
                <w:i/>
                <w:iCs/>
                <w:position w:val="-10"/>
                <w:vertAlign w:val="subscript"/>
                <w:lang w:eastAsia="ja-JP"/>
              </w:rPr>
              <w:t>s</w:t>
            </w:r>
            <w:r w:rsidRPr="00F624E1">
              <w:rPr>
                <w:i/>
                <w:iCs/>
                <w:position w:val="-10"/>
                <w:lang w:eastAsia="ja-JP"/>
              </w:rPr>
              <w:t>, B</w:t>
            </w:r>
            <w:r w:rsidRPr="00F624E1">
              <w:rPr>
                <w:i/>
                <w:iCs/>
                <w:position w:val="-10"/>
                <w:vertAlign w:val="subscript"/>
                <w:lang w:eastAsia="ja-JP"/>
              </w:rPr>
              <w:t>s</w:t>
            </w:r>
            <w:r w:rsidRPr="00F624E1">
              <w:rPr>
                <w:position w:val="-10"/>
                <w:lang w:eastAsia="ja-JP"/>
              </w:rPr>
              <w:t>} proportional to scene linear light normalized to the range [0:1].</w:t>
            </w:r>
          </w:p>
          <w:p w14:paraId="63C9FE7E" w14:textId="77777777" w:rsidR="003A24A6" w:rsidRPr="00F624E1" w:rsidRDefault="003A24A6" w:rsidP="00FB58F9">
            <w:pPr>
              <w:pStyle w:val="Tabletext"/>
              <w:rPr>
                <w:position w:val="-10"/>
                <w:lang w:eastAsia="ja-JP"/>
              </w:rPr>
            </w:pPr>
            <w:r w:rsidRPr="00F624E1">
              <w:rPr>
                <w:i/>
                <w:iCs/>
                <w:position w:val="-10"/>
                <w:lang w:eastAsia="ja-JP"/>
              </w:rPr>
              <w:t>Y</w:t>
            </w:r>
            <w:r w:rsidRPr="00F624E1">
              <w:rPr>
                <w:i/>
                <w:iCs/>
                <w:position w:val="-10"/>
                <w:vertAlign w:val="subscript"/>
                <w:lang w:eastAsia="ja-JP"/>
              </w:rPr>
              <w:t>S</w:t>
            </w:r>
            <w:r w:rsidRPr="00F624E1">
              <w:rPr>
                <w:position w:val="-10"/>
                <w:lang w:eastAsia="ja-JP"/>
              </w:rPr>
              <w:t xml:space="preserve"> is the normalized linear scene luminance.</w:t>
            </w:r>
          </w:p>
          <w:p w14:paraId="57351159" w14:textId="77777777" w:rsidR="003A24A6" w:rsidRPr="00F624E1" w:rsidRDefault="003A24A6" w:rsidP="00FB58F9">
            <w:pPr>
              <w:pStyle w:val="Tabletext"/>
              <w:rPr>
                <w:position w:val="-10"/>
                <w:lang w:eastAsia="ja-JP"/>
              </w:rPr>
            </w:pPr>
            <w:r w:rsidRPr="00F624E1">
              <w:rPr>
                <w:iCs/>
                <w:position w:val="-10"/>
                <w:lang w:eastAsia="ja-JP"/>
              </w:rPr>
              <w:t>α is the variable for user gain in c</w:t>
            </w:r>
            <w:r w:rsidRPr="00F624E1">
              <w:rPr>
                <w:position w:val="-10"/>
                <w:lang w:eastAsia="ja-JP"/>
              </w:rPr>
              <w:t>d/m</w:t>
            </w:r>
            <w:r w:rsidRPr="00F624E1">
              <w:rPr>
                <w:position w:val="-10"/>
                <w:vertAlign w:val="superscript"/>
                <w:lang w:eastAsia="ja-JP"/>
              </w:rPr>
              <w:t>2</w:t>
            </w:r>
            <w:r w:rsidRPr="00F624E1">
              <w:rPr>
                <w:position w:val="-10"/>
                <w:lang w:eastAsia="ja-JP"/>
              </w:rPr>
              <w:t xml:space="preserve">. It represents </w:t>
            </w:r>
            <w:r w:rsidRPr="00F624E1">
              <w:rPr>
                <w:i/>
                <w:position w:val="-10"/>
                <w:lang w:eastAsia="ja-JP"/>
              </w:rPr>
              <w:t>L</w:t>
            </w:r>
            <w:r w:rsidRPr="00F624E1">
              <w:rPr>
                <w:i/>
                <w:position w:val="-10"/>
                <w:vertAlign w:val="subscript"/>
                <w:lang w:eastAsia="ja-JP"/>
              </w:rPr>
              <w:t>W</w:t>
            </w:r>
            <w:r w:rsidRPr="00F624E1">
              <w:rPr>
                <w:position w:val="-10"/>
                <w:lang w:eastAsia="ja-JP"/>
              </w:rPr>
              <w:t>, the nominal peak luminance of a display for achromatic pixels.</w:t>
            </w:r>
          </w:p>
          <w:p w14:paraId="29E75A8D" w14:textId="756F892C" w:rsidR="003A24A6" w:rsidRPr="00F624E1" w:rsidRDefault="003A24A6" w:rsidP="00FB58F9">
            <w:pPr>
              <w:pStyle w:val="Tabletext"/>
              <w:rPr>
                <w:position w:val="-10"/>
                <w:vertAlign w:val="superscript"/>
                <w:lang w:eastAsia="ja-JP"/>
              </w:rPr>
            </w:pPr>
            <w:r w:rsidRPr="00F624E1">
              <w:rPr>
                <w:iCs/>
                <w:position w:val="-10"/>
                <w:lang w:eastAsia="ja-JP"/>
              </w:rPr>
              <w:t>γ</w:t>
            </w:r>
            <w:r w:rsidRPr="00F624E1">
              <w:rPr>
                <w:position w:val="-10"/>
                <w:lang w:eastAsia="ja-JP"/>
              </w:rPr>
              <w:t xml:space="preserve"> is the system gamma. </w:t>
            </w:r>
            <w:r w:rsidRPr="00F624E1">
              <w:rPr>
                <w:position w:val="-10"/>
                <w:lang w:eastAsia="ja-JP"/>
              </w:rPr>
              <w:sym w:font="Symbol" w:char="F067"/>
            </w:r>
            <w:r w:rsidRPr="00F624E1">
              <w:rPr>
                <w:position w:val="-10"/>
                <w:lang w:eastAsia="ja-JP"/>
              </w:rPr>
              <w:t xml:space="preserve"> = 1.2 at the nominal display peak luminance of 1 000</w:t>
            </w:r>
            <w:r w:rsidR="0078200A">
              <w:rPr>
                <w:position w:val="-10"/>
                <w:lang w:eastAsia="ja-JP"/>
              </w:rPr>
              <w:t> </w:t>
            </w:r>
            <w:r w:rsidRPr="00F624E1">
              <w:rPr>
                <w:position w:val="-10"/>
                <w:lang w:eastAsia="ja-JP"/>
              </w:rPr>
              <w:t>cd/m</w:t>
            </w:r>
            <w:r w:rsidRPr="00F624E1">
              <w:rPr>
                <w:position w:val="-10"/>
                <w:vertAlign w:val="superscript"/>
                <w:lang w:eastAsia="ja-JP"/>
              </w:rPr>
              <w:t>2</w:t>
            </w:r>
            <w:r w:rsidRPr="00F624E1">
              <w:rPr>
                <w:position w:val="-10"/>
                <w:lang w:eastAsia="ja-JP"/>
              </w:rPr>
              <w:t xml:space="preserve">. </w:t>
            </w:r>
            <w:r w:rsidR="00987A80" w:rsidRPr="00987A80">
              <w:rPr>
                <w:position w:val="-10"/>
                <w:lang w:eastAsia="ja-JP"/>
              </w:rPr>
              <w:t>For displays of nominal peak luminance other than 1</w:t>
            </w:r>
            <w:r w:rsidR="0078200A">
              <w:rPr>
                <w:position w:val="-10"/>
                <w:lang w:eastAsia="ja-JP"/>
              </w:rPr>
              <w:t> </w:t>
            </w:r>
            <w:r w:rsidR="00987A80" w:rsidRPr="00987A80">
              <w:rPr>
                <w:position w:val="-10"/>
                <w:lang w:eastAsia="ja-JP"/>
              </w:rPr>
              <w:t>000</w:t>
            </w:r>
            <w:r w:rsidR="0078200A">
              <w:rPr>
                <w:position w:val="-10"/>
                <w:lang w:eastAsia="ja-JP"/>
              </w:rPr>
              <w:t> </w:t>
            </w:r>
            <w:r w:rsidR="00987A80" w:rsidRPr="00987A80">
              <w:rPr>
                <w:position w:val="-10"/>
                <w:lang w:eastAsia="ja-JP"/>
              </w:rPr>
              <w:t>cd/m</w:t>
            </w:r>
            <w:r w:rsidR="00987A80" w:rsidRPr="00987A80">
              <w:rPr>
                <w:position w:val="-10"/>
                <w:vertAlign w:val="superscript"/>
                <w:lang w:eastAsia="ja-JP"/>
              </w:rPr>
              <w:t>2</w:t>
            </w:r>
            <w:r w:rsidR="00987A80" w:rsidRPr="00987A80">
              <w:rPr>
                <w:position w:val="-10"/>
                <w:lang w:eastAsia="ja-JP"/>
              </w:rPr>
              <w:t>, the system gamma should be adjusted according to the gamma formulae in Note 5f.</w:t>
            </w:r>
            <w:r w:rsidRPr="00F624E1">
              <w:rPr>
                <w:position w:val="-10"/>
                <w:lang w:eastAsia="ja-JP"/>
              </w:rPr>
              <w:t xml:space="preserve"> </w:t>
            </w:r>
            <w:r w:rsidRPr="00F624E1">
              <w:rPr>
                <w:position w:val="-10"/>
                <w:vertAlign w:val="superscript"/>
                <w:lang w:eastAsia="ja-JP"/>
              </w:rPr>
              <w:t xml:space="preserve">5e, </w:t>
            </w:r>
            <w:r w:rsidRPr="00F624E1">
              <w:rPr>
                <w:bCs/>
                <w:position w:val="-10"/>
                <w:vertAlign w:val="superscript"/>
                <w:lang w:eastAsia="ja-JP"/>
              </w:rPr>
              <w:t>5f, 5g</w:t>
            </w:r>
          </w:p>
        </w:tc>
      </w:tr>
      <w:tr w:rsidR="003A24A6" w:rsidRPr="00C06F9E" w14:paraId="2AE66104" w14:textId="77777777" w:rsidTr="004B3FF0">
        <w:trPr>
          <w:cantSplit/>
          <w:trHeight w:val="340"/>
          <w:jc w:val="center"/>
        </w:trPr>
        <w:tc>
          <w:tcPr>
            <w:tcW w:w="1449" w:type="pct"/>
          </w:tcPr>
          <w:p w14:paraId="5879B63F" w14:textId="77777777" w:rsidR="003A24A6" w:rsidRPr="00F624E1" w:rsidRDefault="003A24A6" w:rsidP="00FB58F9">
            <w:pPr>
              <w:pStyle w:val="Tabletext"/>
              <w:rPr>
                <w:lang w:eastAsia="ko-KR"/>
              </w:rPr>
            </w:pPr>
            <w:r w:rsidRPr="00F624E1">
              <w:rPr>
                <w:lang w:eastAsia="ko-KR"/>
              </w:rPr>
              <w:t>Input signal to HLG EOTF</w:t>
            </w:r>
          </w:p>
        </w:tc>
        <w:tc>
          <w:tcPr>
            <w:tcW w:w="3551" w:type="pct"/>
            <w:vAlign w:val="center"/>
          </w:tcPr>
          <w:p w14:paraId="5051765D" w14:textId="77777777" w:rsidR="003A24A6" w:rsidRPr="00F624E1" w:rsidRDefault="003A24A6" w:rsidP="00FB58F9">
            <w:pPr>
              <w:pStyle w:val="Tabletext"/>
              <w:rPr>
                <w:lang w:eastAsia="ko-KR"/>
              </w:rPr>
            </w:pPr>
            <w:r w:rsidRPr="00F624E1">
              <w:rPr>
                <w:lang w:eastAsia="ko-KR"/>
              </w:rPr>
              <w:t>Non-linear HLG encoded value.</w:t>
            </w:r>
          </w:p>
          <w:p w14:paraId="6036A1B4" w14:textId="77777777" w:rsidR="003A24A6" w:rsidRPr="00F624E1" w:rsidRDefault="003A24A6" w:rsidP="00FB58F9">
            <w:pPr>
              <w:pStyle w:val="Tabletext"/>
              <w:jc w:val="left"/>
              <w:rPr>
                <w:lang w:eastAsia="ja-JP"/>
              </w:rPr>
            </w:pPr>
            <w:r w:rsidRPr="00F624E1">
              <w:rPr>
                <w:lang w:eastAsia="ko-KR"/>
              </w:rPr>
              <w:t>The EOTF maps the non-linear HLG signal into display light.</w:t>
            </w:r>
          </w:p>
        </w:tc>
      </w:tr>
      <w:tr w:rsidR="003A24A6" w:rsidRPr="00C06F9E" w14:paraId="28E21DC7" w14:textId="77777777" w:rsidTr="004B3FF0">
        <w:trPr>
          <w:cantSplit/>
          <w:trHeight w:val="340"/>
          <w:jc w:val="center"/>
        </w:trPr>
        <w:tc>
          <w:tcPr>
            <w:tcW w:w="1449" w:type="pct"/>
            <w:vAlign w:val="center"/>
          </w:tcPr>
          <w:p w14:paraId="63249C22" w14:textId="77777777" w:rsidR="003A24A6" w:rsidRPr="00F624E1" w:rsidRDefault="003A24A6" w:rsidP="00FB58F9">
            <w:pPr>
              <w:pStyle w:val="Tabletext"/>
              <w:rPr>
                <w:lang w:eastAsia="ko-KR"/>
              </w:rPr>
            </w:pPr>
            <w:r w:rsidRPr="00F624E1">
              <w:rPr>
                <w:lang w:eastAsia="ko-KR"/>
              </w:rPr>
              <w:t>HLG Reference EOTF</w:t>
            </w:r>
          </w:p>
        </w:tc>
        <w:tc>
          <w:tcPr>
            <w:tcW w:w="3551" w:type="pct"/>
            <w:vAlign w:val="center"/>
          </w:tcPr>
          <w:p w14:paraId="0E86C1B6" w14:textId="77777777" w:rsidR="003A24A6" w:rsidRPr="00F624E1" w:rsidRDefault="003A24A6" w:rsidP="00FB58F9">
            <w:pPr>
              <w:pStyle w:val="Tabletext"/>
              <w:jc w:val="center"/>
              <w:rPr>
                <w:lang w:eastAsia="ja-JP"/>
              </w:rPr>
            </w:pPr>
            <w:r w:rsidRPr="00F624E1">
              <w:rPr>
                <w:position w:val="-38"/>
                <w:lang w:eastAsia="ja-JP"/>
              </w:rPr>
              <w:object w:dxaOrig="4099" w:dyaOrig="880" w14:anchorId="749D1448">
                <v:shape id="_x0000_i1032" type="#_x0000_t75" style="width:172.8pt;height:49.55pt" o:ole="">
                  <v:imagedata r:id="rId32" o:title="" croptop="-13107f" cropbottom="-9362f"/>
                </v:shape>
                <o:OLEObject Type="Embed" ProgID="Equation.DSMT4" ShapeID="_x0000_i1032" DrawAspect="Content" ObjectID="_1806133237" r:id="rId33"/>
              </w:object>
            </w:r>
          </w:p>
          <w:p w14:paraId="62C2122C" w14:textId="77777777" w:rsidR="003A24A6" w:rsidRPr="00F624E1" w:rsidRDefault="003A24A6" w:rsidP="00FB58F9">
            <w:pPr>
              <w:pStyle w:val="Tabletext"/>
              <w:rPr>
                <w:lang w:eastAsia="ja-JP"/>
              </w:rPr>
            </w:pPr>
            <w:r w:rsidRPr="00F624E1">
              <w:rPr>
                <w:lang w:eastAsia="ja-JP"/>
              </w:rPr>
              <w:t>where:</w:t>
            </w:r>
          </w:p>
          <w:p w14:paraId="4A3FFE85" w14:textId="77777777" w:rsidR="003A24A6" w:rsidRPr="00F624E1" w:rsidRDefault="003A24A6" w:rsidP="00FB58F9">
            <w:pPr>
              <w:pStyle w:val="Tabletext"/>
              <w:rPr>
                <w:position w:val="-10"/>
                <w:lang w:eastAsia="ja-JP"/>
              </w:rPr>
            </w:pPr>
            <w:r w:rsidRPr="00F624E1">
              <w:rPr>
                <w:i/>
                <w:iCs/>
                <w:position w:val="-10"/>
                <w:lang w:eastAsia="ja-JP"/>
              </w:rPr>
              <w:t>F</w:t>
            </w:r>
            <w:r w:rsidRPr="00F624E1">
              <w:rPr>
                <w:i/>
                <w:iCs/>
                <w:position w:val="-10"/>
                <w:vertAlign w:val="subscript"/>
                <w:lang w:eastAsia="ja-JP"/>
              </w:rPr>
              <w:t>D</w:t>
            </w:r>
            <w:r w:rsidRPr="00F624E1">
              <w:rPr>
                <w:i/>
                <w:iCs/>
                <w:position w:val="-10"/>
                <w:lang w:eastAsia="ja-JP"/>
              </w:rPr>
              <w:t xml:space="preserve"> </w:t>
            </w:r>
            <w:r w:rsidRPr="00F624E1">
              <w:rPr>
                <w:position w:val="-10"/>
                <w:lang w:eastAsia="ja-JP"/>
              </w:rPr>
              <w:t>is the luminance of a displayed linear component {</w:t>
            </w:r>
            <w:r w:rsidRPr="00F624E1">
              <w:rPr>
                <w:i/>
                <w:iCs/>
                <w:position w:val="-10"/>
                <w:lang w:eastAsia="ja-JP"/>
              </w:rPr>
              <w:t>R</w:t>
            </w:r>
            <w:r w:rsidRPr="00F624E1">
              <w:rPr>
                <w:i/>
                <w:iCs/>
                <w:position w:val="-10"/>
                <w:vertAlign w:val="subscript"/>
                <w:lang w:eastAsia="ja-JP"/>
              </w:rPr>
              <w:t>D</w:t>
            </w:r>
            <w:r w:rsidRPr="00F624E1">
              <w:rPr>
                <w:i/>
                <w:iCs/>
                <w:position w:val="-10"/>
                <w:lang w:eastAsia="ja-JP"/>
              </w:rPr>
              <w:t>, G</w:t>
            </w:r>
            <w:r w:rsidRPr="00F624E1">
              <w:rPr>
                <w:i/>
                <w:iCs/>
                <w:position w:val="-10"/>
                <w:vertAlign w:val="subscript"/>
                <w:lang w:eastAsia="ja-JP"/>
              </w:rPr>
              <w:t>D</w:t>
            </w:r>
            <w:r w:rsidRPr="00F624E1">
              <w:rPr>
                <w:i/>
                <w:iCs/>
                <w:position w:val="-10"/>
                <w:lang w:eastAsia="ja-JP"/>
              </w:rPr>
              <w:t>, or B</w:t>
            </w:r>
            <w:r w:rsidRPr="00F624E1">
              <w:rPr>
                <w:i/>
                <w:iCs/>
                <w:position w:val="-10"/>
                <w:vertAlign w:val="subscript"/>
                <w:lang w:eastAsia="ja-JP"/>
              </w:rPr>
              <w:t>D</w:t>
            </w:r>
            <w:r w:rsidRPr="00F624E1">
              <w:rPr>
                <w:position w:val="-10"/>
                <w:lang w:eastAsia="ja-JP"/>
              </w:rPr>
              <w:t>}, in cd/m</w:t>
            </w:r>
            <w:r w:rsidRPr="00F624E1">
              <w:rPr>
                <w:position w:val="-10"/>
                <w:vertAlign w:val="superscript"/>
                <w:lang w:eastAsia="ja-JP"/>
              </w:rPr>
              <w:t>2</w:t>
            </w:r>
            <w:r w:rsidRPr="00F624E1">
              <w:rPr>
                <w:position w:val="-10"/>
                <w:lang w:eastAsia="ja-JP"/>
              </w:rPr>
              <w:t xml:space="preserve">. </w:t>
            </w:r>
          </w:p>
          <w:p w14:paraId="14141AAC" w14:textId="77777777" w:rsidR="003A24A6" w:rsidRPr="00F624E1" w:rsidRDefault="003A24A6" w:rsidP="00FB58F9">
            <w:pPr>
              <w:pStyle w:val="Tabletext"/>
              <w:rPr>
                <w:i/>
                <w:iCs/>
                <w:lang w:eastAsia="ko-KR"/>
              </w:rPr>
            </w:pPr>
            <w:r w:rsidRPr="00F624E1">
              <w:rPr>
                <w:i/>
              </w:rPr>
              <w:t>E′</w:t>
            </w:r>
            <w:r w:rsidRPr="00F624E1">
              <w:rPr>
                <w:lang w:eastAsia="ko-KR"/>
              </w:rPr>
              <w:t xml:space="preserve"> is the non-linear signal {</w:t>
            </w:r>
            <w:r w:rsidRPr="00F624E1">
              <w:rPr>
                <w:i/>
                <w:iCs/>
                <w:lang w:eastAsia="ko-KR"/>
              </w:rPr>
              <w:t>R', G', B'</w:t>
            </w:r>
            <w:r w:rsidRPr="00F624E1">
              <w:rPr>
                <w:lang w:eastAsia="ko-KR"/>
              </w:rPr>
              <w:t>}</w:t>
            </w:r>
            <w:r w:rsidRPr="00F624E1">
              <w:rPr>
                <w:lang w:eastAsia="ja-JP"/>
              </w:rPr>
              <w:t xml:space="preserve"> as defined for the HLG Reference OETF.  </w:t>
            </w:r>
            <w:r w:rsidRPr="00F624E1">
              <w:rPr>
                <w:vertAlign w:val="superscript"/>
                <w:lang w:eastAsia="ja-JP"/>
              </w:rPr>
              <w:t>5h</w:t>
            </w:r>
          </w:p>
          <w:p w14:paraId="624FF09B" w14:textId="77777777" w:rsidR="003A24A6" w:rsidRPr="00F624E1" w:rsidRDefault="003A24A6" w:rsidP="00FB58F9">
            <w:pPr>
              <w:pStyle w:val="Tabletext"/>
              <w:rPr>
                <w:lang w:eastAsia="ja-JP"/>
              </w:rPr>
            </w:pPr>
            <w:r w:rsidRPr="00F624E1">
              <w:rPr>
                <w:lang w:eastAsia="ja-JP"/>
              </w:rPr>
              <w:t>β is the variable for user black level lift.</w:t>
            </w:r>
          </w:p>
          <w:p w14:paraId="2FCE4606" w14:textId="77777777" w:rsidR="003A24A6" w:rsidRPr="00F624E1" w:rsidRDefault="003A24A6" w:rsidP="00FB58F9">
            <w:pPr>
              <w:pStyle w:val="Tabletext"/>
              <w:rPr>
                <w:i/>
                <w:lang w:eastAsia="ja-JP"/>
              </w:rPr>
            </w:pPr>
            <w:r w:rsidRPr="00F624E1">
              <w:rPr>
                <w:lang w:eastAsia="ja-JP"/>
              </w:rPr>
              <w:t>OOTF[ ] is as defined for the HLG Reference OOTF.</w:t>
            </w:r>
          </w:p>
          <w:p w14:paraId="1761143F" w14:textId="77777777" w:rsidR="003A24A6" w:rsidRPr="00F624E1" w:rsidRDefault="003A24A6" w:rsidP="00FB58F9">
            <w:pPr>
              <w:pStyle w:val="Tabletext"/>
              <w:rPr>
                <w:lang w:eastAsia="ja-JP"/>
              </w:rPr>
            </w:pPr>
            <w:r w:rsidRPr="00F624E1">
              <w:rPr>
                <w:position w:val="-32"/>
                <w:lang w:eastAsia="ja-JP"/>
              </w:rPr>
              <w:object w:dxaOrig="4800" w:dyaOrig="760" w14:anchorId="49200BA9">
                <v:shape id="_x0000_i1033" type="#_x0000_t75" style="width:240.75pt;height:35.7pt" o:ole="">
                  <v:imagedata r:id="rId34" o:title=""/>
                </v:shape>
                <o:OLEObject Type="Embed" ProgID="Equation.3" ShapeID="_x0000_i1033" DrawAspect="Content" ObjectID="_1806133238" r:id="rId35"/>
              </w:object>
            </w:r>
          </w:p>
          <w:p w14:paraId="025273FB" w14:textId="77777777" w:rsidR="003A24A6" w:rsidRPr="00F624E1" w:rsidRDefault="003A24A6" w:rsidP="00FB58F9">
            <w:pPr>
              <w:pStyle w:val="Tabletext"/>
              <w:rPr>
                <w:lang w:eastAsia="ko-KR"/>
              </w:rPr>
            </w:pPr>
            <w:r w:rsidRPr="00F624E1">
              <w:rPr>
                <w:lang w:eastAsia="ko-KR"/>
              </w:rPr>
              <w:t xml:space="preserve">The values of parameters </w:t>
            </w:r>
            <w:r w:rsidRPr="00F624E1">
              <w:rPr>
                <w:i/>
                <w:iCs/>
                <w:lang w:eastAsia="ko-KR"/>
              </w:rPr>
              <w:t>a</w:t>
            </w:r>
            <w:r w:rsidRPr="00F624E1">
              <w:rPr>
                <w:lang w:eastAsia="ko-KR"/>
              </w:rPr>
              <w:t xml:space="preserve">, </w:t>
            </w:r>
            <w:r w:rsidRPr="00F624E1">
              <w:rPr>
                <w:i/>
                <w:iCs/>
                <w:lang w:eastAsia="ko-KR"/>
              </w:rPr>
              <w:t>b</w:t>
            </w:r>
            <w:r w:rsidRPr="00F624E1">
              <w:rPr>
                <w:lang w:eastAsia="ko-KR"/>
              </w:rPr>
              <w:t xml:space="preserve">, and </w:t>
            </w:r>
            <w:r w:rsidRPr="00F624E1">
              <w:rPr>
                <w:i/>
                <w:iCs/>
                <w:lang w:eastAsia="ko-KR"/>
              </w:rPr>
              <w:t>c</w:t>
            </w:r>
            <w:r w:rsidRPr="00F624E1">
              <w:rPr>
                <w:lang w:eastAsia="ko-KR"/>
              </w:rPr>
              <w:t xml:space="preserve"> are as defined for the HLG Reference OETF.</w:t>
            </w:r>
          </w:p>
          <w:p w14:paraId="3038156A" w14:textId="77777777" w:rsidR="003A24A6" w:rsidRPr="00F624E1" w:rsidRDefault="003A24A6" w:rsidP="00FB58F9">
            <w:pPr>
              <w:pStyle w:val="Tabletext"/>
              <w:rPr>
                <w:lang w:eastAsia="ko-KR"/>
              </w:rPr>
            </w:pPr>
            <w:r w:rsidRPr="00F624E1">
              <w:rPr>
                <w:lang w:eastAsia="ko-KR"/>
              </w:rPr>
              <w:t>and:</w:t>
            </w:r>
          </w:p>
          <w:p w14:paraId="729A43F2" w14:textId="77777777" w:rsidR="003A24A6" w:rsidRPr="00F624E1" w:rsidRDefault="003A24A6" w:rsidP="00FB58F9">
            <w:pPr>
              <w:pStyle w:val="Tabletext"/>
              <w:jc w:val="center"/>
              <w:rPr>
                <w:iCs/>
                <w:lang w:eastAsia="ja-JP"/>
              </w:rPr>
            </w:pPr>
            <m:oMathPara>
              <m:oMath>
                <m:r>
                  <m:rPr>
                    <m:sty m:val="p"/>
                  </m:rPr>
                  <w:rPr>
                    <w:rFonts w:ascii="Cambria Math" w:hAnsi="Cambria Math"/>
                    <w:lang w:eastAsia="ja-JP"/>
                  </w:rPr>
                  <m:t>β=</m:t>
                </m:r>
                <m:rad>
                  <m:radPr>
                    <m:degHide m:val="1"/>
                    <m:ctrlPr>
                      <w:rPr>
                        <w:rFonts w:ascii="Cambria Math" w:hAnsi="Cambria Math"/>
                        <w:iCs/>
                        <w:lang w:eastAsia="ja-JP"/>
                      </w:rPr>
                    </m:ctrlPr>
                  </m:radPr>
                  <m:deg/>
                  <m:e>
                    <m:r>
                      <w:rPr>
                        <w:rFonts w:ascii="Cambria Math" w:hAnsi="Cambria Math"/>
                        <w:lang w:eastAsia="ja-JP"/>
                      </w:rPr>
                      <m:t>3</m:t>
                    </m:r>
                    <m:sSup>
                      <m:sSupPr>
                        <m:ctrlPr>
                          <w:rPr>
                            <w:rFonts w:ascii="Cambria Math" w:hAnsi="Cambria Math"/>
                            <w:i/>
                            <w:iCs/>
                            <w:lang w:eastAsia="ja-JP"/>
                          </w:rPr>
                        </m:ctrlPr>
                      </m:sSupPr>
                      <m:e>
                        <m:d>
                          <m:dPr>
                            <m:ctrlPr>
                              <w:rPr>
                                <w:rFonts w:ascii="Cambria Math" w:hAnsi="Cambria Math"/>
                                <w:i/>
                                <w:iCs/>
                                <w:lang w:eastAsia="ja-JP"/>
                              </w:rPr>
                            </m:ctrlPr>
                          </m:dPr>
                          <m:e>
                            <m:f>
                              <m:fPr>
                                <m:type m:val="lin"/>
                                <m:ctrlPr>
                                  <w:rPr>
                                    <w:rFonts w:ascii="Cambria Math" w:hAnsi="Cambria Math"/>
                                    <w:i/>
                                    <w:iCs/>
                                    <w:lang w:eastAsia="ja-JP"/>
                                  </w:rPr>
                                </m:ctrlPr>
                              </m:fPr>
                              <m:num>
                                <m:sSub>
                                  <m:sSubPr>
                                    <m:ctrlPr>
                                      <w:rPr>
                                        <w:rFonts w:ascii="Cambria Math" w:hAnsi="Cambria Math"/>
                                        <w:i/>
                                        <w:iCs/>
                                        <w:lang w:eastAsia="ja-JP"/>
                                      </w:rPr>
                                    </m:ctrlPr>
                                  </m:sSubPr>
                                  <m:e>
                                    <m:r>
                                      <w:rPr>
                                        <w:rFonts w:ascii="Cambria Math" w:hAnsi="Cambria Math"/>
                                        <w:lang w:eastAsia="ja-JP"/>
                                      </w:rPr>
                                      <m:t>L</m:t>
                                    </m:r>
                                  </m:e>
                                  <m:sub>
                                    <m:r>
                                      <w:rPr>
                                        <w:rFonts w:ascii="Cambria Math" w:hAnsi="Cambria Math"/>
                                        <w:lang w:eastAsia="ja-JP"/>
                                      </w:rPr>
                                      <m:t>B</m:t>
                                    </m:r>
                                  </m:sub>
                                </m:sSub>
                              </m:num>
                              <m:den>
                                <m:sSub>
                                  <m:sSubPr>
                                    <m:ctrlPr>
                                      <w:rPr>
                                        <w:rFonts w:ascii="Cambria Math" w:hAnsi="Cambria Math"/>
                                        <w:i/>
                                        <w:iCs/>
                                        <w:lang w:eastAsia="ja-JP"/>
                                      </w:rPr>
                                    </m:ctrlPr>
                                  </m:sSubPr>
                                  <m:e>
                                    <m:r>
                                      <w:rPr>
                                        <w:rFonts w:ascii="Cambria Math" w:hAnsi="Cambria Math"/>
                                        <w:lang w:eastAsia="ja-JP"/>
                                      </w:rPr>
                                      <m:t>L</m:t>
                                    </m:r>
                                  </m:e>
                                  <m:sub>
                                    <m:r>
                                      <w:rPr>
                                        <w:rFonts w:ascii="Cambria Math" w:hAnsi="Cambria Math"/>
                                        <w:lang w:eastAsia="ja-JP"/>
                                      </w:rPr>
                                      <m:t>W</m:t>
                                    </m:r>
                                  </m:sub>
                                </m:sSub>
                              </m:den>
                            </m:f>
                          </m:e>
                        </m:d>
                      </m:e>
                      <m:sup>
                        <m:f>
                          <m:fPr>
                            <m:type m:val="lin"/>
                            <m:ctrlPr>
                              <w:rPr>
                                <w:rFonts w:ascii="Cambria Math" w:hAnsi="Cambria Math"/>
                                <w:i/>
                                <w:iCs/>
                                <w:lang w:eastAsia="ja-JP"/>
                              </w:rPr>
                            </m:ctrlPr>
                          </m:fPr>
                          <m:num>
                            <m:r>
                              <w:rPr>
                                <w:rFonts w:ascii="Cambria Math" w:hAnsi="Cambria Math"/>
                                <w:lang w:eastAsia="ja-JP"/>
                              </w:rPr>
                              <m:t>1</m:t>
                            </m:r>
                          </m:num>
                          <m:den>
                            <m:r>
                              <m:rPr>
                                <m:sty m:val="p"/>
                              </m:rPr>
                              <w:rPr>
                                <w:rFonts w:ascii="Cambria Math" w:hAnsi="Cambria Math"/>
                                <w:lang w:eastAsia="ja-JP"/>
                              </w:rPr>
                              <m:t>γ</m:t>
                            </m:r>
                          </m:den>
                        </m:f>
                      </m:sup>
                    </m:sSup>
                  </m:e>
                </m:rad>
              </m:oMath>
            </m:oMathPara>
          </w:p>
          <w:p w14:paraId="232D93DA" w14:textId="77777777" w:rsidR="003A24A6" w:rsidRPr="00F624E1" w:rsidRDefault="003A24A6" w:rsidP="00FB58F9">
            <w:pPr>
              <w:pStyle w:val="Tabletext"/>
              <w:rPr>
                <w:position w:val="-10"/>
                <w:lang w:eastAsia="ja-JP"/>
              </w:rPr>
            </w:pPr>
            <w:r w:rsidRPr="00F624E1">
              <w:rPr>
                <w:i/>
                <w:iCs/>
                <w:position w:val="-10"/>
                <w:lang w:eastAsia="ja-JP"/>
              </w:rPr>
              <w:t>L</w:t>
            </w:r>
            <w:r w:rsidRPr="00F624E1">
              <w:rPr>
                <w:i/>
                <w:iCs/>
                <w:position w:val="-10"/>
                <w:vertAlign w:val="subscript"/>
                <w:lang w:eastAsia="ja-JP"/>
              </w:rPr>
              <w:t>W</w:t>
            </w:r>
            <w:r w:rsidRPr="00F624E1">
              <w:rPr>
                <w:position w:val="-10"/>
                <w:lang w:eastAsia="ja-JP"/>
              </w:rPr>
              <w:t xml:space="preserve"> is nominal peak luminance of the display in cd/m</w:t>
            </w:r>
            <w:r w:rsidRPr="00F624E1">
              <w:rPr>
                <w:position w:val="-10"/>
                <w:vertAlign w:val="superscript"/>
                <w:lang w:eastAsia="ja-JP"/>
              </w:rPr>
              <w:t>2</w:t>
            </w:r>
            <w:r w:rsidRPr="00F624E1">
              <w:rPr>
                <w:position w:val="-10"/>
                <w:lang w:eastAsia="ja-JP"/>
              </w:rPr>
              <w:t xml:space="preserve"> for achromatic pixels.</w:t>
            </w:r>
            <w:r w:rsidRPr="00F624E1">
              <w:rPr>
                <w:highlight w:val="yellow"/>
                <w:lang w:eastAsia="ja-JP"/>
              </w:rPr>
              <w:fldChar w:fldCharType="begin"/>
            </w:r>
            <w:r w:rsidRPr="00F624E1">
              <w:rPr>
                <w:highlight w:val="yellow"/>
                <w:lang w:eastAsia="ja-JP"/>
              </w:rPr>
              <w:fldChar w:fldCharType="end"/>
            </w:r>
          </w:p>
          <w:p w14:paraId="268DCC44" w14:textId="77777777" w:rsidR="003A24A6" w:rsidRPr="00F624E1" w:rsidRDefault="003A24A6" w:rsidP="00FB58F9">
            <w:pPr>
              <w:pStyle w:val="Tabletext"/>
              <w:rPr>
                <w:lang w:eastAsia="ko-KR"/>
              </w:rPr>
            </w:pPr>
            <w:r w:rsidRPr="00F624E1">
              <w:rPr>
                <w:i/>
                <w:iCs/>
                <w:position w:val="-10"/>
                <w:lang w:eastAsia="ja-JP"/>
              </w:rPr>
              <w:t>L</w:t>
            </w:r>
            <w:r w:rsidRPr="00F624E1">
              <w:rPr>
                <w:i/>
                <w:iCs/>
                <w:position w:val="-10"/>
                <w:vertAlign w:val="subscript"/>
                <w:lang w:eastAsia="ja-JP"/>
              </w:rPr>
              <w:t>B</w:t>
            </w:r>
            <w:r w:rsidRPr="00F624E1">
              <w:rPr>
                <w:position w:val="-10"/>
                <w:lang w:eastAsia="ja-JP"/>
              </w:rPr>
              <w:t xml:space="preserve"> is the display luminance for black in cd/m</w:t>
            </w:r>
            <w:r w:rsidRPr="00F624E1">
              <w:rPr>
                <w:position w:val="-10"/>
                <w:vertAlign w:val="superscript"/>
                <w:lang w:eastAsia="ja-JP"/>
              </w:rPr>
              <w:t>2</w:t>
            </w:r>
            <w:r w:rsidRPr="00F624E1">
              <w:rPr>
                <w:position w:val="-10"/>
                <w:lang w:eastAsia="ja-JP"/>
              </w:rPr>
              <w:t>.</w:t>
            </w:r>
            <w:r w:rsidRPr="00F624E1">
              <w:rPr>
                <w:lang w:eastAsia="ko-KR"/>
              </w:rPr>
              <w:t xml:space="preserve"> </w:t>
            </w:r>
          </w:p>
        </w:tc>
      </w:tr>
      <w:tr w:rsidR="003A24A6" w:rsidRPr="00C06F9E" w14:paraId="52347106" w14:textId="77777777" w:rsidTr="004B3FF0">
        <w:trPr>
          <w:jc w:val="center"/>
        </w:trPr>
        <w:tc>
          <w:tcPr>
            <w:tcW w:w="5000" w:type="pct"/>
            <w:gridSpan w:val="2"/>
            <w:tcBorders>
              <w:top w:val="nil"/>
              <w:left w:val="nil"/>
              <w:bottom w:val="nil"/>
              <w:right w:val="nil"/>
            </w:tcBorders>
            <w:vAlign w:val="center"/>
          </w:tcPr>
          <w:p w14:paraId="059D234E" w14:textId="77777777" w:rsidR="003A24A6" w:rsidRPr="00F624E1" w:rsidRDefault="003A24A6" w:rsidP="00FB58F9">
            <w:pPr>
              <w:pStyle w:val="TableLegendNote"/>
              <w:rPr>
                <w:bCs/>
                <w:i/>
                <w:lang w:val="en-GB"/>
              </w:rPr>
            </w:pPr>
            <w:r w:rsidRPr="00F624E1">
              <w:rPr>
                <w:bCs/>
                <w:i/>
                <w:lang w:val="en-GB"/>
              </w:rPr>
              <w:t>Notes to Table 5</w:t>
            </w:r>
          </w:p>
          <w:p w14:paraId="786009CD" w14:textId="77777777" w:rsidR="003A24A6" w:rsidRPr="00F624E1" w:rsidRDefault="003A24A6" w:rsidP="00FB58F9">
            <w:pPr>
              <w:pStyle w:val="TableLegendNote"/>
              <w:rPr>
                <w:lang w:val="en-GB"/>
              </w:rPr>
            </w:pPr>
            <w:r w:rsidRPr="00F624E1">
              <w:rPr>
                <w:bCs/>
                <w:lang w:val="en-GB"/>
              </w:rPr>
              <w:t>Note 5a</w:t>
            </w:r>
            <w:r w:rsidRPr="00F624E1">
              <w:rPr>
                <w:b/>
                <w:lang w:val="en-GB"/>
              </w:rPr>
              <w:t xml:space="preserve"> –</w:t>
            </w:r>
            <w:r w:rsidRPr="00F624E1">
              <w:rPr>
                <w:lang w:val="en-GB"/>
              </w:rPr>
              <w:t xml:space="preserve"> The inverse of this non-linearity should be used when it is necessary to convert between the non-linear representation and the linear representation of scene light.</w:t>
            </w:r>
          </w:p>
          <w:p w14:paraId="1764EC98" w14:textId="77777777" w:rsidR="003A24A6" w:rsidRPr="00F624E1" w:rsidRDefault="003A24A6" w:rsidP="00FB58F9">
            <w:pPr>
              <w:pStyle w:val="TableLegendNote"/>
              <w:rPr>
                <w:bCs/>
                <w:szCs w:val="22"/>
                <w:lang w:val="en-GB"/>
              </w:rPr>
            </w:pPr>
            <w:r w:rsidRPr="00F624E1">
              <w:rPr>
                <w:bCs/>
                <w:szCs w:val="22"/>
                <w:lang w:val="en-GB"/>
              </w:rPr>
              <w:t xml:space="preserve">Note 5b </w:t>
            </w:r>
            <w:r w:rsidRPr="00F624E1">
              <w:rPr>
                <w:b/>
                <w:lang w:val="en-GB"/>
              </w:rPr>
              <w:t xml:space="preserve">– </w:t>
            </w:r>
            <w:r w:rsidRPr="00F624E1">
              <w:rPr>
                <w:lang w:val="en-GB"/>
              </w:rPr>
              <w:t xml:space="preserve">The mapping of the camera sensor signal output to </w:t>
            </w:r>
            <w:r w:rsidRPr="00F624E1">
              <w:rPr>
                <w:i/>
                <w:lang w:val="en-GB"/>
              </w:rPr>
              <w:t>E</w:t>
            </w:r>
            <w:r w:rsidRPr="00F624E1">
              <w:rPr>
                <w:lang w:val="en-GB"/>
              </w:rPr>
              <w:t xml:space="preserve"> may be chosen to achieve the desired brightness of the scene</w:t>
            </w:r>
            <w:r w:rsidRPr="00F624E1">
              <w:rPr>
                <w:lang w:val="en-GB" w:eastAsia="ja-JP"/>
              </w:rPr>
              <w:t>.</w:t>
            </w:r>
          </w:p>
          <w:p w14:paraId="15D54515" w14:textId="77777777" w:rsidR="003A24A6" w:rsidRPr="00F624E1" w:rsidRDefault="003A24A6" w:rsidP="00FB58F9">
            <w:pPr>
              <w:pStyle w:val="TableLegendNote"/>
              <w:rPr>
                <w:lang w:val="en-GB" w:eastAsia="ko-KR"/>
              </w:rPr>
            </w:pPr>
            <w:r w:rsidRPr="00F624E1">
              <w:rPr>
                <w:bCs/>
                <w:szCs w:val="22"/>
                <w:lang w:val="en-GB"/>
              </w:rPr>
              <w:t xml:space="preserve">Note 5c </w:t>
            </w:r>
            <w:r w:rsidRPr="00F624E1">
              <w:rPr>
                <w:b/>
                <w:szCs w:val="22"/>
                <w:lang w:val="en-GB"/>
              </w:rPr>
              <w:t>–</w:t>
            </w:r>
            <w:r w:rsidRPr="00F624E1">
              <w:rPr>
                <w:szCs w:val="22"/>
                <w:lang w:val="en-GB"/>
              </w:rPr>
              <w:t xml:space="preserve"> </w:t>
            </w:r>
            <w:r w:rsidRPr="00F624E1">
              <w:rPr>
                <w:szCs w:val="22"/>
                <w:lang w:val="en-GB" w:eastAsia="ja-JP"/>
              </w:rPr>
              <w:t xml:space="preserve">The values of </w:t>
            </w:r>
            <w:r w:rsidRPr="00F624E1">
              <w:rPr>
                <w:rFonts w:eastAsiaTheme="minorEastAsia"/>
                <w:i/>
                <w:szCs w:val="22"/>
                <w:lang w:val="en-GB" w:eastAsia="ja-JP"/>
              </w:rPr>
              <w:t>b</w:t>
            </w:r>
            <w:r w:rsidRPr="00F624E1">
              <w:rPr>
                <w:szCs w:val="22"/>
                <w:lang w:val="en-GB" w:eastAsia="ja-JP"/>
              </w:rPr>
              <w:t xml:space="preserve"> and </w:t>
            </w:r>
            <w:r w:rsidRPr="00F624E1">
              <w:rPr>
                <w:rFonts w:eastAsiaTheme="minorEastAsia"/>
                <w:i/>
                <w:szCs w:val="22"/>
                <w:lang w:val="en-GB" w:eastAsia="ja-JP"/>
              </w:rPr>
              <w:t>c</w:t>
            </w:r>
            <w:r w:rsidRPr="00F624E1">
              <w:rPr>
                <w:szCs w:val="22"/>
                <w:lang w:val="en-GB" w:eastAsia="ja-JP"/>
              </w:rPr>
              <w:t xml:space="preserve"> are calculated to </w:t>
            </w:r>
            <w:r w:rsidRPr="00F624E1">
              <w:rPr>
                <w:i/>
                <w:iCs/>
                <w:lang w:val="en-GB" w:eastAsia="ko-KR"/>
              </w:rPr>
              <w:t>b </w:t>
            </w:r>
            <w:r w:rsidRPr="00F624E1">
              <w:rPr>
                <w:lang w:val="en-GB" w:eastAsia="ko-KR"/>
              </w:rPr>
              <w:t>= 0.28466892</w:t>
            </w:r>
            <w:r w:rsidRPr="00F624E1">
              <w:rPr>
                <w:lang w:val="en-GB" w:eastAsia="ja-JP"/>
              </w:rPr>
              <w:t xml:space="preserve">, </w:t>
            </w:r>
            <w:r w:rsidRPr="00F624E1">
              <w:rPr>
                <w:i/>
                <w:iCs/>
                <w:lang w:val="en-GB" w:eastAsia="ko-KR"/>
              </w:rPr>
              <w:t>c </w:t>
            </w:r>
            <w:r w:rsidRPr="00F624E1">
              <w:rPr>
                <w:lang w:val="en-GB" w:eastAsia="ko-KR"/>
              </w:rPr>
              <w:t>= 0.55991073.</w:t>
            </w:r>
          </w:p>
          <w:p w14:paraId="31C80382" w14:textId="77777777" w:rsidR="003A24A6" w:rsidRPr="00F624E1" w:rsidRDefault="003A24A6" w:rsidP="00FB58F9">
            <w:pPr>
              <w:pStyle w:val="TableLegendNote"/>
              <w:rPr>
                <w:lang w:val="en-GB"/>
              </w:rPr>
            </w:pPr>
            <w:r w:rsidRPr="00F624E1">
              <w:rPr>
                <w:bCs/>
                <w:szCs w:val="22"/>
                <w:lang w:val="en-GB"/>
              </w:rPr>
              <w:lastRenderedPageBreak/>
              <w:t xml:space="preserve">Note 5d </w:t>
            </w:r>
            <w:r w:rsidRPr="00F624E1">
              <w:rPr>
                <w:szCs w:val="22"/>
                <w:lang w:val="en-GB"/>
              </w:rPr>
              <w:t xml:space="preserve">– </w:t>
            </w:r>
            <w:r w:rsidRPr="00F624E1">
              <w:rPr>
                <w:lang w:val="en-GB"/>
              </w:rPr>
              <w:t>In this Recommendation, when referring to the luminance of a single colour component (</w:t>
            </w:r>
            <w:r w:rsidRPr="00F624E1">
              <w:rPr>
                <w:i/>
                <w:lang w:val="en-GB"/>
              </w:rPr>
              <w:t>R</w:t>
            </w:r>
            <w:r w:rsidRPr="00F624E1">
              <w:rPr>
                <w:i/>
                <w:vertAlign w:val="subscript"/>
                <w:lang w:val="en-GB"/>
              </w:rPr>
              <w:t>D</w:t>
            </w:r>
            <w:r w:rsidRPr="00F624E1">
              <w:rPr>
                <w:lang w:val="en-GB"/>
              </w:rPr>
              <w:t xml:space="preserve">, </w:t>
            </w:r>
            <w:r w:rsidRPr="00F624E1">
              <w:rPr>
                <w:i/>
                <w:lang w:val="en-GB"/>
              </w:rPr>
              <w:t>G</w:t>
            </w:r>
            <w:r w:rsidRPr="00F624E1">
              <w:rPr>
                <w:i/>
                <w:vertAlign w:val="subscript"/>
                <w:lang w:val="en-GB"/>
              </w:rPr>
              <w:t>D</w:t>
            </w:r>
            <w:r w:rsidRPr="00F624E1">
              <w:rPr>
                <w:lang w:val="en-GB"/>
              </w:rPr>
              <w:t xml:space="preserve">, </w:t>
            </w:r>
            <w:r w:rsidRPr="00F624E1">
              <w:rPr>
                <w:i/>
                <w:lang w:val="en-GB"/>
              </w:rPr>
              <w:t>B</w:t>
            </w:r>
            <w:r w:rsidRPr="00F624E1">
              <w:rPr>
                <w:i/>
                <w:vertAlign w:val="subscript"/>
                <w:lang w:val="en-GB"/>
              </w:rPr>
              <w:t>D</w:t>
            </w:r>
            <w:r w:rsidRPr="00F624E1">
              <w:rPr>
                <w:lang w:val="en-GB"/>
              </w:rPr>
              <w:t>), it means the luminance of an equivalent achromatic signal with all three colour components having that same value.</w:t>
            </w:r>
          </w:p>
          <w:p w14:paraId="613B53A3" w14:textId="77777777" w:rsidR="003A24A6" w:rsidRPr="00F624E1" w:rsidRDefault="003A24A6" w:rsidP="00FB58F9">
            <w:pPr>
              <w:pStyle w:val="TableLegendNote"/>
              <w:rPr>
                <w:szCs w:val="22"/>
                <w:lang w:val="en-GB"/>
              </w:rPr>
            </w:pPr>
            <w:r w:rsidRPr="00F624E1">
              <w:rPr>
                <w:bCs/>
                <w:szCs w:val="22"/>
                <w:lang w:val="en-GB"/>
              </w:rPr>
              <w:t>Note 5e</w:t>
            </w:r>
            <w:r w:rsidRPr="00F624E1">
              <w:rPr>
                <w:szCs w:val="22"/>
                <w:lang w:val="en-GB"/>
              </w:rPr>
              <w:t xml:space="preserve"> </w:t>
            </w:r>
            <w:r w:rsidRPr="00F624E1">
              <w:rPr>
                <w:b/>
                <w:szCs w:val="22"/>
                <w:lang w:val="en-GB"/>
              </w:rPr>
              <w:t xml:space="preserve">– </w:t>
            </w:r>
            <w:r w:rsidRPr="00F624E1">
              <w:rPr>
                <w:szCs w:val="22"/>
                <w:lang w:val="en-GB"/>
              </w:rPr>
              <w:t>This EOTF applies gamma to the luminance component of the signal, whereas some legacy displays may apply gamma separately to colour components. Such legacy displays approximate this reference OOTF.</w:t>
            </w:r>
          </w:p>
          <w:p w14:paraId="08250B30" w14:textId="77777777" w:rsidR="00F70180" w:rsidRPr="00F70180" w:rsidRDefault="00F70180" w:rsidP="00F70180">
            <w:pPr>
              <w:pStyle w:val="TableLegendNote"/>
              <w:rPr>
                <w:szCs w:val="22"/>
                <w:lang w:val="en-GB"/>
              </w:rPr>
            </w:pPr>
            <w:r w:rsidRPr="00F70180">
              <w:rPr>
                <w:bCs/>
                <w:szCs w:val="22"/>
                <w:lang w:val="en-GB"/>
              </w:rPr>
              <w:t>Note</w:t>
            </w:r>
            <w:r w:rsidRPr="00F70180">
              <w:rPr>
                <w:bCs/>
                <w:szCs w:val="22"/>
                <w:lang w:val="en-GB" w:eastAsia="ja-JP"/>
              </w:rPr>
              <w:t xml:space="preserve"> 5f</w:t>
            </w:r>
            <w:r w:rsidRPr="00F70180">
              <w:rPr>
                <w:b/>
                <w:szCs w:val="22"/>
                <w:lang w:val="en-GB" w:eastAsia="ja-JP"/>
              </w:rPr>
              <w:t xml:space="preserve"> </w:t>
            </w:r>
            <w:r w:rsidRPr="00F70180">
              <w:rPr>
                <w:b/>
                <w:szCs w:val="22"/>
                <w:lang w:val="en-GB"/>
              </w:rPr>
              <w:t xml:space="preserve">– </w:t>
            </w:r>
            <w:r w:rsidRPr="00F70180">
              <w:rPr>
                <w:szCs w:val="22"/>
                <w:lang w:val="en-GB"/>
              </w:rPr>
              <w:t>For displays with nominal peak luminance (</w:t>
            </w:r>
            <w:r w:rsidRPr="00F70180">
              <w:rPr>
                <w:i/>
                <w:szCs w:val="22"/>
                <w:lang w:val="en-GB"/>
              </w:rPr>
              <w:t>L</w:t>
            </w:r>
            <w:r w:rsidRPr="00F70180">
              <w:rPr>
                <w:i/>
                <w:szCs w:val="22"/>
                <w:vertAlign w:val="subscript"/>
                <w:lang w:val="en-GB"/>
              </w:rPr>
              <w:t>W</w:t>
            </w:r>
            <w:r w:rsidRPr="00F70180">
              <w:rPr>
                <w:szCs w:val="22"/>
                <w:lang w:val="en-GB"/>
              </w:rPr>
              <w:t>) other than 1 000 cd/m</w:t>
            </w:r>
            <w:r w:rsidRPr="00F70180">
              <w:rPr>
                <w:szCs w:val="22"/>
                <w:vertAlign w:val="superscript"/>
                <w:lang w:val="en-GB"/>
              </w:rPr>
              <w:t>2</w:t>
            </w:r>
            <w:r w:rsidRPr="00F70180">
              <w:rPr>
                <w:szCs w:val="22"/>
                <w:lang w:val="en-GB"/>
              </w:rPr>
              <w:t>, or where the effective nominal peak luminance is adjusted through the use of a contrast control, the system gamma value should be adjusted according to the formula below and may be rounded to three significant digits:</w:t>
            </w:r>
          </w:p>
          <w:p w14:paraId="102AE591" w14:textId="77777777" w:rsidR="00F70180" w:rsidRPr="00F70180" w:rsidRDefault="00F70180" w:rsidP="00F70180">
            <w:pPr>
              <w:pStyle w:val="Equation"/>
              <w:rPr>
                <w:sz w:val="22"/>
                <w:szCs w:val="22"/>
              </w:rPr>
            </w:pPr>
            <m:oMathPara>
              <m:oMath>
                <m:r>
                  <m:rPr>
                    <m:sty m:val="p"/>
                  </m:rPr>
                  <w:rPr>
                    <w:rFonts w:ascii="Cambria Math" w:hAnsi="Cambria Math"/>
                    <w:sz w:val="22"/>
                    <w:szCs w:val="22"/>
                  </w:rPr>
                  <m:t>γ=1.2+0.42</m:t>
                </m:r>
                <m:func>
                  <m:funcPr>
                    <m:ctrlPr>
                      <w:rPr>
                        <w:rFonts w:ascii="Cambria Math" w:hAnsi="Cambria Math"/>
                        <w:sz w:val="22"/>
                        <w:szCs w:val="22"/>
                      </w:rPr>
                    </m:ctrlPr>
                  </m:funcPr>
                  <m:fName>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fName>
                  <m:e>
                    <m:d>
                      <m:dPr>
                        <m:ctrlPr>
                          <w:rPr>
                            <w:rFonts w:ascii="Cambria Math" w:hAnsi="Cambria Math"/>
                            <w:i/>
                            <w:sz w:val="22"/>
                            <w:szCs w:val="22"/>
                          </w:rPr>
                        </m:ctrlPr>
                      </m:dPr>
                      <m:e>
                        <m:f>
                          <m:fPr>
                            <m:type m:val="lin"/>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W</m:t>
                                </m:r>
                              </m:sub>
                            </m:sSub>
                          </m:num>
                          <m:den>
                            <m:r>
                              <w:rPr>
                                <w:rFonts w:ascii="Cambria Math" w:hAnsi="Cambria Math"/>
                                <w:sz w:val="22"/>
                                <w:szCs w:val="22"/>
                              </w:rPr>
                              <m:t>1 000</m:t>
                            </m:r>
                          </m:den>
                        </m:f>
                      </m:e>
                    </m:d>
                  </m:e>
                </m:func>
              </m:oMath>
            </m:oMathPara>
          </w:p>
          <w:p w14:paraId="58B596D5" w14:textId="2812F688" w:rsidR="00F70180" w:rsidRPr="00F70180" w:rsidRDefault="00F70180" w:rsidP="00F70180">
            <w:pPr>
              <w:pStyle w:val="TableLegendNote"/>
              <w:rPr>
                <w:bCs/>
                <w:szCs w:val="22"/>
                <w:lang w:val="en-GB"/>
              </w:rPr>
            </w:pPr>
            <w:r w:rsidRPr="00F70180">
              <w:rPr>
                <w:bCs/>
                <w:szCs w:val="22"/>
                <w:lang w:val="en-GB"/>
              </w:rPr>
              <w:t xml:space="preserve">For applications outside of the usual production monitoring range of </w:t>
            </w:r>
            <w:r w:rsidRPr="00F70180">
              <w:rPr>
                <w:bCs/>
                <w:i/>
                <w:iCs/>
                <w:szCs w:val="22"/>
                <w:lang w:val="en-GB"/>
              </w:rPr>
              <w:t>L</w:t>
            </w:r>
            <w:r w:rsidRPr="00F70180">
              <w:rPr>
                <w:bCs/>
                <w:i/>
                <w:iCs/>
                <w:szCs w:val="22"/>
                <w:vertAlign w:val="subscript"/>
                <w:lang w:val="en-GB"/>
              </w:rPr>
              <w:t>W</w:t>
            </w:r>
            <w:r w:rsidRPr="00F70180">
              <w:rPr>
                <w:bCs/>
                <w:szCs w:val="22"/>
                <w:lang w:val="en-GB"/>
              </w:rPr>
              <w:t xml:space="preserve"> equal to 400 cd/m</w:t>
            </w:r>
            <w:r w:rsidRPr="00F70180">
              <w:rPr>
                <w:bCs/>
                <w:szCs w:val="22"/>
                <w:vertAlign w:val="superscript"/>
                <w:lang w:val="en-GB"/>
              </w:rPr>
              <w:t>2</w:t>
            </w:r>
            <w:r w:rsidRPr="00F70180">
              <w:rPr>
                <w:bCs/>
                <w:szCs w:val="22"/>
                <w:lang w:val="en-GB"/>
              </w:rPr>
              <w:t xml:space="preserve"> to 2</w:t>
            </w:r>
            <w:r w:rsidR="0078200A">
              <w:rPr>
                <w:bCs/>
                <w:szCs w:val="22"/>
                <w:lang w:val="en-GB"/>
              </w:rPr>
              <w:t> </w:t>
            </w:r>
            <w:r w:rsidRPr="00F70180">
              <w:rPr>
                <w:bCs/>
                <w:szCs w:val="22"/>
                <w:lang w:val="en-GB"/>
              </w:rPr>
              <w:t>000 cd/m</w:t>
            </w:r>
            <w:r w:rsidRPr="00F70180">
              <w:rPr>
                <w:bCs/>
                <w:szCs w:val="22"/>
                <w:vertAlign w:val="superscript"/>
                <w:lang w:val="en-GB"/>
              </w:rPr>
              <w:t>2</w:t>
            </w:r>
            <w:r w:rsidRPr="00F70180">
              <w:rPr>
                <w:bCs/>
                <w:szCs w:val="22"/>
                <w:lang w:val="en-GB"/>
              </w:rPr>
              <w:t>, the following extended range formula should be used:</w:t>
            </w:r>
          </w:p>
          <w:p w14:paraId="49685B32" w14:textId="096E26DC" w:rsidR="00F70180" w:rsidRPr="00F70180" w:rsidRDefault="00F70180" w:rsidP="00F70180">
            <w:pPr>
              <w:jc w:val="center"/>
              <w:rPr>
                <w:rFonts w:eastAsia="Calibri"/>
                <w:color w:val="000000"/>
                <w:sz w:val="22"/>
                <w:szCs w:val="22"/>
              </w:rPr>
            </w:pPr>
            <m:oMath>
              <m:r>
                <m:rPr>
                  <m:sty m:val="p"/>
                </m:rPr>
                <w:rPr>
                  <w:rFonts w:ascii="Cambria Math" w:hAnsi="Cambria Math"/>
                  <w:color w:val="000000"/>
                  <w:sz w:val="22"/>
                  <w:szCs w:val="22"/>
                </w:rPr>
                <m:t>γ</m:t>
              </m:r>
              <m:r>
                <w:rPr>
                  <w:rFonts w:ascii="Cambria Math" w:eastAsia="Calibri" w:hAnsi="Cambria Math"/>
                  <w:color w:val="000000"/>
                  <w:sz w:val="22"/>
                  <w:szCs w:val="22"/>
                </w:rPr>
                <m:t xml:space="preserve">=1.2 </m:t>
              </m:r>
              <m:r>
                <m:rPr>
                  <m:sty m:val="p"/>
                </m:rPr>
                <w:rPr>
                  <w:rFonts w:ascii="Cambria Math" w:hAnsi="Cambria Math"/>
                  <w:sz w:val="28"/>
                  <w:szCs w:val="22"/>
                  <w:lang w:eastAsia="ja-JP"/>
                </w:rPr>
                <w:sym w:font="Symbol" w:char="F0B4"/>
              </m:r>
              <m:r>
                <m:rPr>
                  <m:sty m:val="p"/>
                </m:rPr>
                <w:rPr>
                  <w:rFonts w:ascii="Cambria Math" w:hAnsi="Cambria Math"/>
                  <w:sz w:val="28"/>
                  <w:szCs w:val="22"/>
                  <w:lang w:eastAsia="ja-JP"/>
                </w:rPr>
                <m:t xml:space="preserve"> </m:t>
              </m:r>
              <m:sSup>
                <m:sSupPr>
                  <m:ctrlPr>
                    <w:rPr>
                      <w:rFonts w:ascii="Cambria Math" w:eastAsia="Calibri" w:hAnsi="Cambria Math"/>
                      <w:i/>
                      <w:iCs/>
                      <w:color w:val="000000"/>
                      <w:sz w:val="22"/>
                      <w:szCs w:val="22"/>
                    </w:rPr>
                  </m:ctrlPr>
                </m:sSupPr>
                <m:e>
                  <m:r>
                    <w:rPr>
                      <w:rFonts w:ascii="Cambria Math" w:hAnsi="Cambria Math"/>
                      <w:color w:val="000000"/>
                      <w:sz w:val="22"/>
                      <w:szCs w:val="22"/>
                    </w:rPr>
                    <m:t>κ</m:t>
                  </m:r>
                </m:e>
                <m:sup>
                  <m:r>
                    <m:rPr>
                      <m:sty m:val="p"/>
                    </m:rPr>
                    <w:rPr>
                      <w:rFonts w:ascii="Cambria Math" w:eastAsia="Calibri" w:hAnsi="Cambria Math"/>
                      <w:color w:val="000000"/>
                      <w:sz w:val="22"/>
                      <w:szCs w:val="22"/>
                    </w:rPr>
                    <m:t>log</m:t>
                  </m:r>
                  <m:r>
                    <w:rPr>
                      <w:rFonts w:ascii="Cambria Math" w:eastAsia="Calibri" w:hAnsi="Cambria Math"/>
                      <w:color w:val="000000"/>
                      <w:position w:val="-6"/>
                      <w:sz w:val="22"/>
                      <w:szCs w:val="22"/>
                    </w:rPr>
                    <m:t>2</m:t>
                  </m:r>
                  <m:r>
                    <w:rPr>
                      <w:rFonts w:ascii="Cambria Math" w:eastAsia="Calibri" w:hAnsi="Cambria Math"/>
                      <w:color w:val="000000"/>
                      <w:sz w:val="22"/>
                      <w:szCs w:val="22"/>
                    </w:rPr>
                    <m:t>(L</m:t>
                  </m:r>
                  <m:r>
                    <w:rPr>
                      <w:rFonts w:ascii="Cambria Math" w:eastAsia="Calibri" w:hAnsi="Cambria Math"/>
                      <w:color w:val="000000"/>
                      <w:position w:val="-6"/>
                      <w:sz w:val="22"/>
                      <w:szCs w:val="22"/>
                    </w:rPr>
                    <m:t>w</m:t>
                  </m:r>
                  <m:r>
                    <w:rPr>
                      <w:rFonts w:ascii="Cambria Math" w:eastAsia="Calibri" w:hAnsi="Cambria Math"/>
                      <w:color w:val="000000"/>
                      <w:sz w:val="22"/>
                      <w:szCs w:val="22"/>
                    </w:rPr>
                    <m:t>/1 000)</m:t>
                  </m:r>
                </m:sup>
              </m:sSup>
            </m:oMath>
            <w:r w:rsidRPr="00F70180">
              <w:rPr>
                <w:rFonts w:eastAsia="Calibri"/>
                <w:color w:val="000000"/>
                <w:sz w:val="22"/>
                <w:szCs w:val="22"/>
              </w:rPr>
              <w:t xml:space="preserve"> where</w:t>
            </w:r>
            <m:oMath>
              <m:r>
                <w:rPr>
                  <w:rFonts w:ascii="Cambria Math" w:eastAsia="Calibri" w:hAnsi="Cambria Math"/>
                  <w:color w:val="000000"/>
                  <w:sz w:val="22"/>
                  <w:szCs w:val="22"/>
                </w:rPr>
                <m:t xml:space="preserve"> </m:t>
              </m:r>
              <m:r>
                <w:rPr>
                  <w:rFonts w:ascii="Cambria Math" w:hAnsi="Cambria Math"/>
                  <w:color w:val="000000"/>
                  <w:sz w:val="22"/>
                  <w:szCs w:val="22"/>
                </w:rPr>
                <m:t>κ</m:t>
              </m:r>
            </m:oMath>
            <w:r w:rsidRPr="00F70180">
              <w:rPr>
                <w:rFonts w:eastAsia="Calibri"/>
                <w:color w:val="000000"/>
                <w:sz w:val="22"/>
                <w:szCs w:val="22"/>
              </w:rPr>
              <w:t xml:space="preserve"> = 1.111</w:t>
            </w:r>
          </w:p>
          <w:p w14:paraId="53987DD4" w14:textId="77777777" w:rsidR="003A24A6" w:rsidRPr="00F624E1" w:rsidRDefault="003A24A6" w:rsidP="00FB58F9">
            <w:pPr>
              <w:pStyle w:val="TableLegendNote"/>
              <w:rPr>
                <w:szCs w:val="22"/>
                <w:lang w:val="en-GB"/>
              </w:rPr>
            </w:pPr>
            <w:r w:rsidRPr="00F624E1">
              <w:rPr>
                <w:bCs/>
                <w:szCs w:val="22"/>
                <w:lang w:val="en-GB"/>
              </w:rPr>
              <w:t>Note 5g</w:t>
            </w:r>
            <w:r w:rsidRPr="00F624E1">
              <w:rPr>
                <w:szCs w:val="22"/>
                <w:lang w:val="en-GB"/>
              </w:rPr>
              <w:t xml:space="preserve"> </w:t>
            </w:r>
            <w:r w:rsidRPr="00F624E1">
              <w:rPr>
                <w:b/>
                <w:szCs w:val="22"/>
                <w:lang w:val="en-GB"/>
              </w:rPr>
              <w:t xml:space="preserve">– </w:t>
            </w:r>
            <w:r w:rsidRPr="00F624E1">
              <w:rPr>
                <w:szCs w:val="22"/>
                <w:lang w:val="en-GB"/>
              </w:rPr>
              <w:t>The system gamma value may be decreased for brighter background and surround conditions.</w:t>
            </w:r>
          </w:p>
          <w:p w14:paraId="1C201D49" w14:textId="77777777" w:rsidR="003A24A6" w:rsidRPr="00F624E1" w:rsidRDefault="003A24A6" w:rsidP="00FB58F9">
            <w:pPr>
              <w:pStyle w:val="TableLegendNote"/>
              <w:rPr>
                <w:lang w:val="en-GB" w:eastAsia="ja-JP"/>
              </w:rPr>
            </w:pPr>
            <w:r w:rsidRPr="00F624E1">
              <w:rPr>
                <w:bCs/>
                <w:szCs w:val="22"/>
                <w:lang w:val="en-GB"/>
              </w:rPr>
              <w:t>Note 5h</w:t>
            </w:r>
            <w:r w:rsidRPr="00F624E1">
              <w:rPr>
                <w:szCs w:val="22"/>
                <w:lang w:val="en-GB"/>
              </w:rPr>
              <w:t xml:space="preserve"> </w:t>
            </w:r>
            <w:r w:rsidRPr="00F624E1">
              <w:rPr>
                <w:b/>
                <w:szCs w:val="22"/>
                <w:lang w:val="en-GB"/>
              </w:rPr>
              <w:t xml:space="preserve">– </w:t>
            </w:r>
            <w:r w:rsidRPr="00F624E1">
              <w:rPr>
                <w:szCs w:val="22"/>
                <w:lang w:val="en-GB"/>
              </w:rPr>
              <w:t xml:space="preserve">During production, signal values are expected to exceed the range </w:t>
            </w:r>
            <w:r w:rsidRPr="00F624E1">
              <w:rPr>
                <w:i/>
                <w:lang w:val="en-GB"/>
              </w:rPr>
              <w:t>E′</w:t>
            </w:r>
            <w:r w:rsidRPr="00F624E1">
              <w:rPr>
                <w:szCs w:val="22"/>
                <w:lang w:val="en-GB"/>
              </w:rPr>
              <w:t xml:space="preserve"> = [0.0 : 1.0]. This provides processing headroom and avoids signal degradation during cascaded processing. Such values of </w:t>
            </w:r>
            <w:r w:rsidRPr="00F624E1">
              <w:rPr>
                <w:i/>
                <w:lang w:val="en-GB"/>
              </w:rPr>
              <w:t>E′</w:t>
            </w:r>
            <w:r w:rsidRPr="00F624E1">
              <w:rPr>
                <w:szCs w:val="22"/>
                <w:lang w:val="en-GB"/>
              </w:rPr>
              <w:t>, below 0.0 or exceeding 1.0, should not be clipped during production and exchange. Values below 0.0 should not be clipped in reference displays (even though they represent “negative” light) to allow the black level of the signal (</w:t>
            </w:r>
            <w:r w:rsidRPr="00F624E1">
              <w:rPr>
                <w:i/>
                <w:iCs/>
                <w:szCs w:val="22"/>
                <w:lang w:val="en-GB"/>
              </w:rPr>
              <w:t>L</w:t>
            </w:r>
            <w:r w:rsidRPr="00F624E1">
              <w:rPr>
                <w:i/>
                <w:iCs/>
                <w:szCs w:val="22"/>
                <w:vertAlign w:val="subscript"/>
                <w:lang w:val="en-GB"/>
              </w:rPr>
              <w:t>B</w:t>
            </w:r>
            <w:r w:rsidRPr="00F624E1">
              <w:rPr>
                <w:szCs w:val="22"/>
                <w:lang w:val="en-GB"/>
              </w:rPr>
              <w:t>) to be properly set using test signals known as “PLUGE”</w:t>
            </w:r>
            <w:r w:rsidRPr="00F624E1">
              <w:rPr>
                <w:lang w:val="en-GB"/>
              </w:rPr>
              <w:t xml:space="preserve">. </w:t>
            </w:r>
          </w:p>
          <w:p w14:paraId="1710493F" w14:textId="77777777" w:rsidR="003A24A6" w:rsidRPr="00F624E1" w:rsidRDefault="003A24A6" w:rsidP="00FB58F9">
            <w:pPr>
              <w:pStyle w:val="TableLegendNote"/>
              <w:rPr>
                <w:szCs w:val="22"/>
                <w:lang w:val="en-GB"/>
              </w:rPr>
            </w:pPr>
            <w:r w:rsidRPr="00F624E1">
              <w:rPr>
                <w:bCs/>
                <w:szCs w:val="22"/>
                <w:lang w:val="en-GB"/>
              </w:rPr>
              <w:t>Note 5i</w:t>
            </w:r>
            <w:r w:rsidRPr="00F624E1">
              <w:rPr>
                <w:szCs w:val="22"/>
                <w:lang w:val="en-GB"/>
              </w:rPr>
              <w:t xml:space="preserve"> </w:t>
            </w:r>
            <w:r w:rsidRPr="00F624E1">
              <w:rPr>
                <w:b/>
                <w:szCs w:val="22"/>
                <w:lang w:val="en-GB"/>
              </w:rPr>
              <w:t xml:space="preserve">– </w:t>
            </w:r>
            <w:r w:rsidRPr="00F624E1">
              <w:rPr>
                <w:szCs w:val="22"/>
                <w:lang w:val="en-GB"/>
              </w:rPr>
              <w:t xml:space="preserve">The </w:t>
            </w:r>
            <w:r w:rsidRPr="00F624E1">
              <w:rPr>
                <w:szCs w:val="22"/>
                <w:lang w:val="en-GB" w:eastAsia="ja-JP"/>
              </w:rPr>
              <w:t>inverse of HLG OOTF is derived as follows:</w:t>
            </w:r>
          </w:p>
          <w:p w14:paraId="66D6B38D" w14:textId="77777777" w:rsidR="003A24A6" w:rsidRPr="00F624E1" w:rsidRDefault="003A24A6" w:rsidP="00FB58F9">
            <w:pPr>
              <w:pStyle w:val="Tablelegend"/>
              <w:jc w:val="center"/>
              <w:rPr>
                <w:position w:val="-66"/>
                <w:lang w:eastAsia="ja-JP"/>
              </w:rPr>
            </w:pPr>
            <w:r w:rsidRPr="00F624E1">
              <w:rPr>
                <w:position w:val="-126"/>
                <w:lang w:eastAsia="ja-JP"/>
              </w:rPr>
              <w:object w:dxaOrig="3800" w:dyaOrig="2640" w14:anchorId="6D6C35D2">
                <v:shape id="_x0000_i1034" type="#_x0000_t75" style="width:172.2pt;height:123.25pt" o:ole="">
                  <v:imagedata r:id="rId36" o:title=""/>
                </v:shape>
                <o:OLEObject Type="Embed" ProgID="Equation.DSMT4" ShapeID="_x0000_i1034" DrawAspect="Content" ObjectID="_1806133239" r:id="rId37"/>
              </w:object>
            </w:r>
          </w:p>
          <w:p w14:paraId="55B314DE" w14:textId="77777777" w:rsidR="003A24A6" w:rsidRPr="00F624E1" w:rsidRDefault="003A24A6" w:rsidP="00FB58F9">
            <w:pPr>
              <w:pStyle w:val="TableLegendNote"/>
              <w:rPr>
                <w:lang w:val="en-GB"/>
              </w:rPr>
            </w:pPr>
            <w:r w:rsidRPr="00F624E1">
              <w:rPr>
                <w:lang w:val="en-GB"/>
              </w:rPr>
              <w:t>For processing purposes, when the actual display is not known, α may be set to 1.0 cd/m</w:t>
            </w:r>
            <w:r w:rsidRPr="00F624E1">
              <w:rPr>
                <w:vertAlign w:val="superscript"/>
                <w:lang w:val="en-GB"/>
              </w:rPr>
              <w:t>2</w:t>
            </w:r>
            <w:r w:rsidRPr="00F624E1">
              <w:rPr>
                <w:lang w:val="en-GB"/>
              </w:rPr>
              <w:t>.</w:t>
            </w:r>
          </w:p>
        </w:tc>
      </w:tr>
    </w:tbl>
    <w:p w14:paraId="40E0CDFE" w14:textId="77777777" w:rsidR="003A24A6" w:rsidRPr="00F624E1" w:rsidRDefault="003A24A6" w:rsidP="003A24A6">
      <w:r w:rsidRPr="00F624E1">
        <w:lastRenderedPageBreak/>
        <w:t xml:space="preserve">Tables 6 and 7 describe different luminance and colour difference signal representations, suitable for colour sub-sampling, and/or source coding. The Non-Constant Luminance (NCL) format is in widespread use and is considered the default. The Constant Intensity (CI) format is newly introduced in this Recommendation and should not be used for programme exchange unless all parties agree. </w:t>
      </w:r>
    </w:p>
    <w:p w14:paraId="55D43AC2" w14:textId="77777777" w:rsidR="007740D0" w:rsidRPr="00F624E1" w:rsidRDefault="007740D0" w:rsidP="007740D0">
      <w:pPr>
        <w:pStyle w:val="Tablefin"/>
      </w:pPr>
    </w:p>
    <w:p w14:paraId="0B4B68D0" w14:textId="77777777" w:rsidR="003A24A6" w:rsidRPr="00212860" w:rsidRDefault="003A24A6" w:rsidP="003A24A6">
      <w:pPr>
        <w:pStyle w:val="TableNo"/>
        <w:spacing w:before="240" w:after="40"/>
        <w:rPr>
          <w:lang w:val="fr-FR"/>
        </w:rPr>
      </w:pPr>
      <w:r w:rsidRPr="00212860">
        <w:rPr>
          <w:lang w:val="fr-FR"/>
        </w:rPr>
        <w:t>TABLE 6</w:t>
      </w:r>
    </w:p>
    <w:p w14:paraId="67009760" w14:textId="77777777" w:rsidR="003A24A6" w:rsidRPr="00F76593" w:rsidRDefault="003A24A6" w:rsidP="003A24A6">
      <w:pPr>
        <w:pStyle w:val="Tabletitle"/>
        <w:rPr>
          <w:vertAlign w:val="superscript"/>
          <w:lang w:val="fr-CH"/>
        </w:rPr>
      </w:pPr>
      <w:r w:rsidRPr="00F76593">
        <w:rPr>
          <w:lang w:val="fr-CH"/>
        </w:rPr>
        <w:t xml:space="preserve">Non-Constant Luminance </w:t>
      </w:r>
      <w:r w:rsidRPr="00F76593">
        <w:rPr>
          <w:i/>
          <w:lang w:val="fr-CH"/>
        </w:rPr>
        <w:t>Y'C'</w:t>
      </w:r>
      <w:r w:rsidRPr="00F76593">
        <w:rPr>
          <w:i/>
          <w:vertAlign w:val="subscript"/>
          <w:lang w:val="fr-CH"/>
        </w:rPr>
        <w:t>B</w:t>
      </w:r>
      <w:r w:rsidRPr="00F76593">
        <w:rPr>
          <w:i/>
          <w:lang w:val="fr-CH"/>
        </w:rPr>
        <w:t>C'</w:t>
      </w:r>
      <w:r w:rsidRPr="00F76593">
        <w:rPr>
          <w:i/>
          <w:vertAlign w:val="subscript"/>
          <w:lang w:val="fr-CH"/>
        </w:rPr>
        <w:t>R</w:t>
      </w:r>
      <w:r w:rsidRPr="00F76593">
        <w:rPr>
          <w:lang w:val="fr-CH"/>
        </w:rPr>
        <w:t xml:space="preserve"> signal format  </w:t>
      </w:r>
      <w:r w:rsidRPr="00F76593">
        <w:rPr>
          <w:vertAlign w:val="superscript"/>
          <w:lang w:val="fr-CH"/>
        </w:rPr>
        <w:t>6a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3202"/>
        <w:gridCol w:w="3219"/>
      </w:tblGrid>
      <w:tr w:rsidR="003A24A6" w:rsidRPr="00F624E1" w14:paraId="6801DFD1" w14:textId="77777777" w:rsidTr="00FB58F9">
        <w:tc>
          <w:tcPr>
            <w:tcW w:w="3218" w:type="dxa"/>
          </w:tcPr>
          <w:p w14:paraId="1CBC3756" w14:textId="77777777" w:rsidR="003A24A6" w:rsidRPr="00F624E1" w:rsidRDefault="003A24A6" w:rsidP="00FB58F9">
            <w:pPr>
              <w:pStyle w:val="Tablehead"/>
            </w:pPr>
            <w:r w:rsidRPr="00F624E1">
              <w:t>Parameter</w:t>
            </w:r>
          </w:p>
        </w:tc>
        <w:tc>
          <w:tcPr>
            <w:tcW w:w="3202" w:type="dxa"/>
          </w:tcPr>
          <w:p w14:paraId="7BA3A293" w14:textId="77777777" w:rsidR="003A24A6" w:rsidRPr="00F624E1" w:rsidRDefault="003A24A6" w:rsidP="00FB58F9">
            <w:pPr>
              <w:pStyle w:val="Tablehead"/>
            </w:pPr>
            <w:r w:rsidRPr="00F624E1">
              <w:t>Values PQ</w:t>
            </w:r>
          </w:p>
        </w:tc>
        <w:tc>
          <w:tcPr>
            <w:tcW w:w="3219" w:type="dxa"/>
          </w:tcPr>
          <w:p w14:paraId="4FA0D46B" w14:textId="77777777" w:rsidR="003A24A6" w:rsidRPr="00F624E1" w:rsidRDefault="003A24A6" w:rsidP="00FB58F9">
            <w:pPr>
              <w:pStyle w:val="Tablehead"/>
            </w:pPr>
            <w:r w:rsidRPr="00F624E1">
              <w:t>Values HLG</w:t>
            </w:r>
          </w:p>
        </w:tc>
      </w:tr>
      <w:tr w:rsidR="003A24A6" w:rsidRPr="00C06F9E" w14:paraId="088F61D0" w14:textId="77777777" w:rsidTr="00FB58F9">
        <w:tc>
          <w:tcPr>
            <w:tcW w:w="3218" w:type="dxa"/>
          </w:tcPr>
          <w:p w14:paraId="2AF431B0" w14:textId="77777777" w:rsidR="003A24A6" w:rsidRPr="00F624E1" w:rsidRDefault="003A24A6" w:rsidP="00FB58F9">
            <w:pPr>
              <w:pStyle w:val="Tabletext"/>
              <w:spacing w:before="20" w:after="20"/>
            </w:pPr>
            <w:r w:rsidRPr="00F624E1">
              <w:t xml:space="preserve">Derivation of </w:t>
            </w:r>
            <w:r w:rsidRPr="00F624E1">
              <w:rPr>
                <w:i/>
              </w:rPr>
              <w:t>R</w:t>
            </w:r>
            <w:r w:rsidRPr="00F624E1">
              <w:rPr>
                <w:i/>
                <w:iCs/>
              </w:rPr>
              <w:t>'</w:t>
            </w:r>
            <w:r w:rsidRPr="00F624E1">
              <w:t xml:space="preserve">, </w:t>
            </w:r>
            <w:r w:rsidRPr="00F624E1">
              <w:rPr>
                <w:i/>
              </w:rPr>
              <w:t>G</w:t>
            </w:r>
            <w:r w:rsidRPr="00F624E1">
              <w:rPr>
                <w:i/>
                <w:iCs/>
              </w:rPr>
              <w:t>'</w:t>
            </w:r>
            <w:r w:rsidRPr="00F624E1">
              <w:t xml:space="preserve">, </w:t>
            </w:r>
            <w:r w:rsidRPr="00F624E1">
              <w:rPr>
                <w:i/>
              </w:rPr>
              <w:t>B</w:t>
            </w:r>
            <w:r w:rsidRPr="00F624E1">
              <w:rPr>
                <w:i/>
                <w:iCs/>
              </w:rPr>
              <w:t>'</w:t>
            </w:r>
          </w:p>
        </w:tc>
        <w:tc>
          <w:tcPr>
            <w:tcW w:w="3202" w:type="dxa"/>
          </w:tcPr>
          <w:p w14:paraId="752301D4" w14:textId="77777777" w:rsidR="003A24A6" w:rsidRPr="00F624E1" w:rsidRDefault="003A24A6" w:rsidP="00FB58F9">
            <w:pPr>
              <w:pStyle w:val="Tabletext"/>
              <w:spacing w:before="20" w:after="20"/>
              <w:jc w:val="center"/>
              <w:rPr>
                <w:iCs/>
              </w:rPr>
            </w:pPr>
            <w:r w:rsidRPr="00F624E1">
              <w:rPr>
                <w:iCs/>
              </w:rPr>
              <w:t>{</w:t>
            </w:r>
            <w:r w:rsidRPr="00F624E1">
              <w:rPr>
                <w:i/>
                <w:iCs/>
              </w:rPr>
              <w:t>R'</w:t>
            </w:r>
            <w:r w:rsidRPr="00F624E1">
              <w:rPr>
                <w:iCs/>
              </w:rPr>
              <w:t xml:space="preserve">, </w:t>
            </w:r>
            <w:r w:rsidRPr="00F624E1">
              <w:rPr>
                <w:i/>
                <w:iCs/>
              </w:rPr>
              <w:t>G'</w:t>
            </w:r>
            <w:r w:rsidRPr="00F624E1">
              <w:rPr>
                <w:iCs/>
              </w:rPr>
              <w:t xml:space="preserve">, </w:t>
            </w:r>
            <w:r w:rsidRPr="00F624E1">
              <w:rPr>
                <w:i/>
                <w:iCs/>
              </w:rPr>
              <w:t>B'</w:t>
            </w:r>
            <w:r w:rsidRPr="00F624E1">
              <w:rPr>
                <w:iCs/>
              </w:rPr>
              <w:t>}=EOTF</w:t>
            </w:r>
            <w:r w:rsidRPr="00F624E1">
              <w:rPr>
                <w:iCs/>
                <w:vertAlign w:val="superscript"/>
              </w:rPr>
              <w:t>−1</w:t>
            </w:r>
            <w:r w:rsidRPr="00F624E1">
              <w:rPr>
                <w:iCs/>
              </w:rPr>
              <w:t>(</w:t>
            </w:r>
            <w:r w:rsidRPr="00F624E1">
              <w:rPr>
                <w:i/>
                <w:iCs/>
              </w:rPr>
              <w:t>F</w:t>
            </w:r>
            <w:r w:rsidRPr="00F624E1">
              <w:rPr>
                <w:i/>
                <w:iCs/>
                <w:vertAlign w:val="subscript"/>
              </w:rPr>
              <w:t>D</w:t>
            </w:r>
            <w:r w:rsidRPr="00F624E1">
              <w:rPr>
                <w:iCs/>
              </w:rPr>
              <w:t>)</w:t>
            </w:r>
          </w:p>
          <w:p w14:paraId="5B0A1A80" w14:textId="77777777" w:rsidR="003A24A6" w:rsidRPr="00F624E1" w:rsidRDefault="003A24A6" w:rsidP="00FB58F9">
            <w:pPr>
              <w:pStyle w:val="Tabletext"/>
              <w:spacing w:before="20" w:after="20"/>
              <w:rPr>
                <w:iCs/>
              </w:rPr>
            </w:pPr>
            <w:r w:rsidRPr="00F624E1">
              <w:rPr>
                <w:iCs/>
              </w:rPr>
              <w:t xml:space="preserve">where </w:t>
            </w:r>
            <w:r w:rsidRPr="00F624E1">
              <w:rPr>
                <w:i/>
                <w:iCs/>
              </w:rPr>
              <w:t>F</w:t>
            </w:r>
            <w:r w:rsidRPr="00F624E1">
              <w:rPr>
                <w:i/>
                <w:iCs/>
                <w:vertAlign w:val="subscript"/>
              </w:rPr>
              <w:t>D</w:t>
            </w:r>
            <w:r w:rsidRPr="00F624E1">
              <w:rPr>
                <w:iCs/>
              </w:rPr>
              <w:t xml:space="preserve"> = {</w:t>
            </w:r>
            <w:r w:rsidRPr="00F624E1">
              <w:rPr>
                <w:i/>
                <w:iCs/>
              </w:rPr>
              <w:t>R</w:t>
            </w:r>
            <w:r w:rsidRPr="00F624E1">
              <w:rPr>
                <w:i/>
                <w:iCs/>
                <w:vertAlign w:val="subscript"/>
              </w:rPr>
              <w:t>D</w:t>
            </w:r>
            <w:r w:rsidRPr="00F624E1">
              <w:rPr>
                <w:iCs/>
              </w:rPr>
              <w:t xml:space="preserve">, </w:t>
            </w:r>
            <w:r w:rsidRPr="00F624E1">
              <w:rPr>
                <w:i/>
                <w:iCs/>
              </w:rPr>
              <w:t>G</w:t>
            </w:r>
            <w:r w:rsidRPr="00F624E1">
              <w:rPr>
                <w:i/>
                <w:iCs/>
                <w:vertAlign w:val="subscript"/>
              </w:rPr>
              <w:t>D</w:t>
            </w:r>
            <w:r w:rsidRPr="00F624E1">
              <w:rPr>
                <w:iCs/>
              </w:rPr>
              <w:t xml:space="preserve">, </w:t>
            </w:r>
            <w:r w:rsidRPr="00F624E1">
              <w:rPr>
                <w:i/>
                <w:iCs/>
              </w:rPr>
              <w:t>B</w:t>
            </w:r>
            <w:r w:rsidRPr="00F624E1">
              <w:rPr>
                <w:i/>
                <w:iCs/>
                <w:vertAlign w:val="subscript"/>
              </w:rPr>
              <w:t>D</w:t>
            </w:r>
            <w:r w:rsidRPr="00F624E1">
              <w:rPr>
                <w:iCs/>
              </w:rPr>
              <w:t>}</w:t>
            </w:r>
          </w:p>
        </w:tc>
        <w:tc>
          <w:tcPr>
            <w:tcW w:w="3219" w:type="dxa"/>
          </w:tcPr>
          <w:p w14:paraId="2DA77D56" w14:textId="77777777" w:rsidR="003A24A6" w:rsidRPr="00692DDD" w:rsidRDefault="003A24A6" w:rsidP="00FB58F9">
            <w:pPr>
              <w:pStyle w:val="Tabletext"/>
              <w:spacing w:before="20" w:after="20"/>
              <w:jc w:val="center"/>
              <w:rPr>
                <w:iCs/>
                <w:lang w:val="it-IT"/>
              </w:rPr>
            </w:pPr>
            <w:r w:rsidRPr="00692DDD">
              <w:rPr>
                <w:iCs/>
                <w:lang w:val="it-IT"/>
              </w:rPr>
              <w:t>{</w:t>
            </w:r>
            <w:r w:rsidRPr="00692DDD">
              <w:rPr>
                <w:i/>
                <w:iCs/>
                <w:lang w:val="it-IT"/>
              </w:rPr>
              <w:t>R'</w:t>
            </w:r>
            <w:r w:rsidRPr="00692DDD">
              <w:rPr>
                <w:iCs/>
                <w:lang w:val="it-IT"/>
              </w:rPr>
              <w:t xml:space="preserve">, </w:t>
            </w:r>
            <w:r w:rsidRPr="00692DDD">
              <w:rPr>
                <w:i/>
                <w:iCs/>
                <w:lang w:val="it-IT"/>
              </w:rPr>
              <w:t>G'</w:t>
            </w:r>
            <w:r w:rsidRPr="00692DDD">
              <w:rPr>
                <w:iCs/>
                <w:lang w:val="it-IT"/>
              </w:rPr>
              <w:t xml:space="preserve">, </w:t>
            </w:r>
            <w:r w:rsidRPr="00692DDD">
              <w:rPr>
                <w:i/>
                <w:iCs/>
                <w:lang w:val="it-IT"/>
              </w:rPr>
              <w:t>B'</w:t>
            </w:r>
            <w:r w:rsidRPr="00692DDD">
              <w:rPr>
                <w:iCs/>
                <w:lang w:val="it-IT"/>
              </w:rPr>
              <w:t>}=OETF(</w:t>
            </w:r>
            <w:r w:rsidRPr="00692DDD">
              <w:rPr>
                <w:i/>
                <w:iCs/>
                <w:lang w:val="it-IT"/>
              </w:rPr>
              <w:t>E</w:t>
            </w:r>
            <w:r w:rsidRPr="00692DDD">
              <w:rPr>
                <w:iCs/>
                <w:lang w:val="it-IT"/>
              </w:rPr>
              <w:t>)</w:t>
            </w:r>
          </w:p>
          <w:p w14:paraId="0D80281C" w14:textId="77777777" w:rsidR="003A24A6" w:rsidRPr="00F624E1" w:rsidRDefault="003A24A6" w:rsidP="00FB58F9">
            <w:pPr>
              <w:pStyle w:val="Tabletext"/>
              <w:spacing w:before="20" w:after="20"/>
              <w:rPr>
                <w:iCs/>
              </w:rPr>
            </w:pPr>
            <w:r w:rsidRPr="00F624E1">
              <w:rPr>
                <w:iCs/>
              </w:rPr>
              <w:t xml:space="preserve">where </w:t>
            </w:r>
            <w:r w:rsidRPr="00F624E1">
              <w:rPr>
                <w:i/>
                <w:iCs/>
              </w:rPr>
              <w:t>E</w:t>
            </w:r>
            <w:r w:rsidRPr="00F624E1">
              <w:rPr>
                <w:iCs/>
              </w:rPr>
              <w:t xml:space="preserve"> = {</w:t>
            </w:r>
            <w:r w:rsidRPr="00F624E1">
              <w:rPr>
                <w:i/>
                <w:iCs/>
              </w:rPr>
              <w:t>R</w:t>
            </w:r>
            <w:r w:rsidRPr="00F624E1">
              <w:rPr>
                <w:i/>
                <w:iCs/>
                <w:vertAlign w:val="subscript"/>
              </w:rPr>
              <w:t>S</w:t>
            </w:r>
            <w:r w:rsidRPr="00F624E1">
              <w:rPr>
                <w:iCs/>
              </w:rPr>
              <w:t xml:space="preserve">, </w:t>
            </w:r>
            <w:r w:rsidRPr="00F624E1">
              <w:rPr>
                <w:i/>
                <w:iCs/>
              </w:rPr>
              <w:t>G</w:t>
            </w:r>
            <w:r w:rsidRPr="00F624E1">
              <w:rPr>
                <w:i/>
                <w:iCs/>
                <w:vertAlign w:val="subscript"/>
              </w:rPr>
              <w:t>S</w:t>
            </w:r>
            <w:r w:rsidRPr="00F624E1">
              <w:rPr>
                <w:iCs/>
              </w:rPr>
              <w:t xml:space="preserve">, </w:t>
            </w:r>
            <w:r w:rsidRPr="00F624E1">
              <w:rPr>
                <w:i/>
                <w:iCs/>
              </w:rPr>
              <w:t>B</w:t>
            </w:r>
            <w:r w:rsidRPr="00F624E1">
              <w:rPr>
                <w:i/>
                <w:iCs/>
                <w:vertAlign w:val="subscript"/>
              </w:rPr>
              <w:t>S</w:t>
            </w:r>
            <w:r w:rsidRPr="00F624E1">
              <w:rPr>
                <w:iCs/>
              </w:rPr>
              <w:t>}</w:t>
            </w:r>
          </w:p>
        </w:tc>
      </w:tr>
      <w:tr w:rsidR="003A24A6" w:rsidRPr="00F624E1" w14:paraId="2D5C8FE2" w14:textId="77777777" w:rsidTr="00FB58F9">
        <w:tc>
          <w:tcPr>
            <w:tcW w:w="3218" w:type="dxa"/>
          </w:tcPr>
          <w:p w14:paraId="7FA81F68" w14:textId="77777777" w:rsidR="003A24A6" w:rsidRPr="00F624E1" w:rsidRDefault="003A24A6" w:rsidP="00FB58F9">
            <w:pPr>
              <w:pStyle w:val="Tabletext"/>
              <w:spacing w:before="20" w:after="20"/>
            </w:pPr>
            <w:r w:rsidRPr="00F624E1">
              <w:t xml:space="preserve">Derivation of </w:t>
            </w:r>
            <w:r w:rsidRPr="00F624E1">
              <w:rPr>
                <w:i/>
                <w:iCs/>
              </w:rPr>
              <w:t>Y'</w:t>
            </w:r>
          </w:p>
        </w:tc>
        <w:tc>
          <w:tcPr>
            <w:tcW w:w="6421" w:type="dxa"/>
            <w:gridSpan w:val="2"/>
          </w:tcPr>
          <w:p w14:paraId="6FC9D77B" w14:textId="77777777" w:rsidR="003A24A6" w:rsidRPr="00F624E1" w:rsidRDefault="003A24A6" w:rsidP="00FB58F9">
            <w:pPr>
              <w:pStyle w:val="Tabletext"/>
              <w:spacing w:before="20" w:after="20"/>
              <w:jc w:val="center"/>
              <w:rPr>
                <w:i/>
                <w:iCs/>
              </w:rPr>
            </w:pPr>
            <w:r w:rsidRPr="00F624E1">
              <w:rPr>
                <w:i/>
                <w:iCs/>
              </w:rPr>
              <w:t>Y'</w:t>
            </w:r>
            <w:r w:rsidRPr="00F624E1">
              <w:t xml:space="preserve"> = 0.2627</w:t>
            </w:r>
            <w:r w:rsidRPr="00F624E1">
              <w:rPr>
                <w:i/>
                <w:iCs/>
              </w:rPr>
              <w:t>R'</w:t>
            </w:r>
            <w:r w:rsidRPr="00F624E1">
              <w:t xml:space="preserve"> + 0.6780</w:t>
            </w:r>
            <w:r w:rsidRPr="00F624E1">
              <w:rPr>
                <w:i/>
                <w:iCs/>
              </w:rPr>
              <w:t>G'</w:t>
            </w:r>
            <w:r w:rsidRPr="00F624E1">
              <w:t xml:space="preserve"> + 0.0593</w:t>
            </w:r>
            <w:r w:rsidRPr="00F624E1">
              <w:rPr>
                <w:i/>
                <w:iCs/>
              </w:rPr>
              <w:t>B'</w:t>
            </w:r>
          </w:p>
        </w:tc>
      </w:tr>
      <w:tr w:rsidR="003A24A6" w:rsidRPr="00F624E1" w14:paraId="44EDBF25" w14:textId="77777777" w:rsidTr="00FB58F9">
        <w:tc>
          <w:tcPr>
            <w:tcW w:w="3218" w:type="dxa"/>
            <w:tcBorders>
              <w:bottom w:val="single" w:sz="4" w:space="0" w:color="auto"/>
            </w:tcBorders>
            <w:vAlign w:val="center"/>
          </w:tcPr>
          <w:p w14:paraId="530890DD" w14:textId="77777777" w:rsidR="003A24A6" w:rsidRPr="00F624E1" w:rsidRDefault="003A24A6" w:rsidP="00FB58F9">
            <w:pPr>
              <w:pStyle w:val="Tabletext"/>
              <w:spacing w:before="20" w:after="20"/>
              <w:jc w:val="left"/>
              <w:rPr>
                <w:lang w:eastAsia="ko-KR"/>
              </w:rPr>
            </w:pPr>
            <w:r w:rsidRPr="00F624E1">
              <w:rPr>
                <w:lang w:eastAsia="ko-KR"/>
              </w:rPr>
              <w:t xml:space="preserve">Derivation of colour difference signals </w:t>
            </w:r>
          </w:p>
        </w:tc>
        <w:tc>
          <w:tcPr>
            <w:tcW w:w="6421" w:type="dxa"/>
            <w:gridSpan w:val="2"/>
            <w:tcBorders>
              <w:bottom w:val="single" w:sz="4" w:space="0" w:color="auto"/>
            </w:tcBorders>
            <w:vAlign w:val="center"/>
          </w:tcPr>
          <w:p w14:paraId="0AAA5E3B" w14:textId="77777777" w:rsidR="003A24A6" w:rsidRPr="00F624E1" w:rsidRDefault="003A24A6" w:rsidP="00FB58F9">
            <w:pPr>
              <w:pStyle w:val="Tabletext"/>
              <w:spacing w:before="20" w:after="20"/>
              <w:jc w:val="center"/>
              <w:rPr>
                <w:noProof/>
                <w:position w:val="-58"/>
                <w:lang w:eastAsia="en-GB"/>
              </w:rPr>
            </w:pPr>
            <w:r w:rsidRPr="00F624E1">
              <w:rPr>
                <w:noProof/>
                <w:position w:val="-58"/>
                <w:lang w:eastAsia="en-GB"/>
              </w:rPr>
              <w:drawing>
                <wp:inline distT="0" distB="0" distL="0" distR="0" wp14:anchorId="3D3F1BAE" wp14:editId="3915CA36">
                  <wp:extent cx="906449" cy="656598"/>
                  <wp:effectExtent l="0" t="0" r="0" b="0"/>
                  <wp:docPr id="4633941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srcRect/>
                          <a:stretch>
                            <a:fillRect/>
                          </a:stretch>
                        </pic:blipFill>
                        <pic:spPr bwMode="auto">
                          <a:xfrm>
                            <a:off x="0" y="0"/>
                            <a:ext cx="907315" cy="657225"/>
                          </a:xfrm>
                          <a:prstGeom prst="rect">
                            <a:avLst/>
                          </a:prstGeom>
                          <a:noFill/>
                          <a:ln w="9525">
                            <a:noFill/>
                            <a:miter lim="800000"/>
                            <a:headEnd/>
                            <a:tailEnd/>
                          </a:ln>
                        </pic:spPr>
                      </pic:pic>
                    </a:graphicData>
                  </a:graphic>
                </wp:inline>
              </w:drawing>
            </w:r>
          </w:p>
        </w:tc>
      </w:tr>
      <w:tr w:rsidR="003A24A6" w:rsidRPr="00C06F9E" w14:paraId="532A100A" w14:textId="77777777" w:rsidTr="00FB58F9">
        <w:tc>
          <w:tcPr>
            <w:tcW w:w="9639" w:type="dxa"/>
            <w:gridSpan w:val="3"/>
            <w:tcBorders>
              <w:top w:val="single" w:sz="4" w:space="0" w:color="auto"/>
              <w:left w:val="nil"/>
              <w:bottom w:val="nil"/>
              <w:right w:val="nil"/>
            </w:tcBorders>
            <w:vAlign w:val="center"/>
          </w:tcPr>
          <w:p w14:paraId="6FCAD3BE" w14:textId="77777777" w:rsidR="003A24A6" w:rsidRPr="00F624E1" w:rsidRDefault="003A24A6" w:rsidP="00FB58F9">
            <w:pPr>
              <w:pStyle w:val="TableLegendNote"/>
              <w:rPr>
                <w:position w:val="-58"/>
                <w:lang w:val="en-GB" w:eastAsia="zh-CN"/>
              </w:rPr>
            </w:pPr>
            <w:r w:rsidRPr="00F624E1">
              <w:rPr>
                <w:bCs/>
                <w:lang w:val="en-GB"/>
              </w:rPr>
              <w:t>Note 6a</w:t>
            </w:r>
            <w:r w:rsidRPr="00F624E1">
              <w:rPr>
                <w:b/>
                <w:lang w:val="en-GB"/>
              </w:rPr>
              <w:t xml:space="preserve"> – </w:t>
            </w:r>
            <w:r w:rsidRPr="00F624E1">
              <w:rPr>
                <w:lang w:val="en-GB"/>
              </w:rPr>
              <w:t xml:space="preserve">For consistency with prior use of terms, </w:t>
            </w:r>
            <w:r w:rsidRPr="00F624E1">
              <w:rPr>
                <w:i/>
                <w:lang w:val="en-GB" w:eastAsia="ko-KR"/>
              </w:rPr>
              <w:t>Y',</w:t>
            </w:r>
            <w:r w:rsidRPr="00F624E1">
              <w:rPr>
                <w:lang w:val="en-GB"/>
              </w:rPr>
              <w:t xml:space="preserve"> </w:t>
            </w:r>
            <w:r w:rsidRPr="00F624E1">
              <w:rPr>
                <w:i/>
                <w:lang w:val="en-GB" w:eastAsia="ko-KR"/>
              </w:rPr>
              <w:t>C'</w:t>
            </w:r>
            <w:r w:rsidRPr="00F624E1">
              <w:rPr>
                <w:i/>
                <w:vertAlign w:val="subscript"/>
                <w:lang w:val="en-GB" w:eastAsia="ko-KR"/>
              </w:rPr>
              <w:t>B</w:t>
            </w:r>
            <w:r w:rsidRPr="00F624E1">
              <w:rPr>
                <w:i/>
                <w:lang w:val="en-GB" w:eastAsia="ko-KR"/>
              </w:rPr>
              <w:t xml:space="preserve"> </w:t>
            </w:r>
            <w:r w:rsidRPr="00F624E1">
              <w:rPr>
                <w:lang w:val="en-GB" w:eastAsia="ko-KR"/>
              </w:rPr>
              <w:t>and</w:t>
            </w:r>
            <w:r w:rsidRPr="00F624E1">
              <w:rPr>
                <w:i/>
                <w:lang w:val="en-GB" w:eastAsia="ko-KR"/>
              </w:rPr>
              <w:t xml:space="preserve"> C'</w:t>
            </w:r>
            <w:r w:rsidRPr="00F624E1">
              <w:rPr>
                <w:i/>
                <w:vertAlign w:val="subscript"/>
                <w:lang w:val="en-GB" w:eastAsia="ko-KR"/>
              </w:rPr>
              <w:t>R</w:t>
            </w:r>
            <w:r w:rsidRPr="00F624E1">
              <w:rPr>
                <w:lang w:val="en-GB"/>
              </w:rPr>
              <w:t xml:space="preserve"> employ prime symbols indicating they have come from non-linear </w:t>
            </w:r>
            <w:r w:rsidRPr="00F624E1">
              <w:rPr>
                <w:i/>
                <w:iCs/>
                <w:lang w:val="en-GB"/>
              </w:rPr>
              <w:t>Y</w:t>
            </w:r>
            <w:r w:rsidRPr="00F624E1">
              <w:rPr>
                <w:lang w:val="en-GB"/>
              </w:rPr>
              <w:t xml:space="preserve">, </w:t>
            </w:r>
            <w:r w:rsidRPr="00F624E1">
              <w:rPr>
                <w:i/>
                <w:iCs/>
                <w:lang w:val="en-GB"/>
              </w:rPr>
              <w:t>B</w:t>
            </w:r>
            <w:r w:rsidRPr="00F624E1">
              <w:rPr>
                <w:lang w:val="en-GB"/>
              </w:rPr>
              <w:t xml:space="preserve"> and </w:t>
            </w:r>
            <w:r w:rsidRPr="00F624E1">
              <w:rPr>
                <w:i/>
                <w:iCs/>
                <w:lang w:val="en-GB"/>
              </w:rPr>
              <w:t>R</w:t>
            </w:r>
            <w:r w:rsidRPr="00F624E1">
              <w:rPr>
                <w:lang w:val="en-GB"/>
              </w:rPr>
              <w:t>.</w:t>
            </w:r>
          </w:p>
        </w:tc>
      </w:tr>
    </w:tbl>
    <w:p w14:paraId="0FB63EC1" w14:textId="77777777" w:rsidR="003A24A6" w:rsidRPr="00F624E1" w:rsidRDefault="003A24A6" w:rsidP="003A24A6">
      <w:pPr>
        <w:pStyle w:val="Tablefin"/>
      </w:pPr>
    </w:p>
    <w:p w14:paraId="5D9233E6" w14:textId="77777777" w:rsidR="003A24A6" w:rsidRPr="00F624E1" w:rsidRDefault="003A24A6" w:rsidP="003A24A6">
      <w:pPr>
        <w:pStyle w:val="TableNo"/>
      </w:pPr>
      <w:r w:rsidRPr="00F624E1">
        <w:lastRenderedPageBreak/>
        <w:t>TABLE 7</w:t>
      </w:r>
    </w:p>
    <w:p w14:paraId="4CDDEAD3" w14:textId="77777777" w:rsidR="003A24A6" w:rsidRPr="00F624E1" w:rsidRDefault="003A24A6" w:rsidP="003A24A6">
      <w:pPr>
        <w:pStyle w:val="Tabletitle"/>
      </w:pPr>
      <w:r w:rsidRPr="00F624E1">
        <w:t xml:space="preserve">Constant Intensity </w:t>
      </w:r>
      <w:r w:rsidRPr="00F624E1">
        <w:rPr>
          <w:i/>
        </w:rPr>
        <w:t>IC</w:t>
      </w:r>
      <w:r w:rsidRPr="00F624E1">
        <w:rPr>
          <w:i/>
          <w:vertAlign w:val="subscript"/>
        </w:rPr>
        <w:t>T</w:t>
      </w:r>
      <w:r w:rsidRPr="00F624E1">
        <w:rPr>
          <w:i/>
        </w:rPr>
        <w:t>C</w:t>
      </w:r>
      <w:r w:rsidRPr="00F624E1">
        <w:rPr>
          <w:i/>
          <w:vertAlign w:val="subscript"/>
        </w:rPr>
        <w:t>P</w:t>
      </w:r>
      <w:r w:rsidRPr="00F624E1">
        <w:t xml:space="preserve"> signal format </w:t>
      </w:r>
      <w:r w:rsidRPr="00F624E1">
        <w:rPr>
          <w:vertAlign w:val="superscript"/>
        </w:rPr>
        <w:t>7a, 7b</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3544"/>
        <w:gridCol w:w="3690"/>
      </w:tblGrid>
      <w:tr w:rsidR="003A24A6" w:rsidRPr="00F624E1" w14:paraId="393470CD" w14:textId="77777777" w:rsidTr="00FB58F9">
        <w:tc>
          <w:tcPr>
            <w:tcW w:w="2405" w:type="dxa"/>
            <w:tcBorders>
              <w:top w:val="single" w:sz="4" w:space="0" w:color="auto"/>
              <w:left w:val="single" w:sz="4" w:space="0" w:color="auto"/>
              <w:bottom w:val="single" w:sz="4" w:space="0" w:color="auto"/>
              <w:right w:val="single" w:sz="4" w:space="0" w:color="auto"/>
            </w:tcBorders>
            <w:hideMark/>
          </w:tcPr>
          <w:p w14:paraId="78868C8C" w14:textId="77777777" w:rsidR="003A24A6" w:rsidRPr="00F624E1" w:rsidRDefault="003A24A6" w:rsidP="00FB58F9">
            <w:pPr>
              <w:pStyle w:val="Tablehead"/>
            </w:pPr>
            <w:r w:rsidRPr="00F624E1">
              <w:t>Parameter</w:t>
            </w:r>
          </w:p>
        </w:tc>
        <w:tc>
          <w:tcPr>
            <w:tcW w:w="3544" w:type="dxa"/>
            <w:tcBorders>
              <w:top w:val="single" w:sz="4" w:space="0" w:color="auto"/>
              <w:left w:val="single" w:sz="4" w:space="0" w:color="auto"/>
              <w:bottom w:val="single" w:sz="4" w:space="0" w:color="auto"/>
              <w:right w:val="single" w:sz="4" w:space="0" w:color="auto"/>
            </w:tcBorders>
            <w:hideMark/>
          </w:tcPr>
          <w:p w14:paraId="5CCAC647" w14:textId="77777777" w:rsidR="003A24A6" w:rsidRPr="00F624E1" w:rsidRDefault="003A24A6" w:rsidP="00FB58F9">
            <w:pPr>
              <w:pStyle w:val="Tablehead"/>
            </w:pPr>
            <w:r w:rsidRPr="00F624E1">
              <w:t>Values PQ</w:t>
            </w:r>
          </w:p>
        </w:tc>
        <w:tc>
          <w:tcPr>
            <w:tcW w:w="3690" w:type="dxa"/>
            <w:tcBorders>
              <w:top w:val="single" w:sz="4" w:space="0" w:color="auto"/>
              <w:left w:val="single" w:sz="4" w:space="0" w:color="auto"/>
              <w:bottom w:val="single" w:sz="4" w:space="0" w:color="auto"/>
              <w:right w:val="single" w:sz="4" w:space="0" w:color="auto"/>
            </w:tcBorders>
          </w:tcPr>
          <w:p w14:paraId="6A256F87" w14:textId="77777777" w:rsidR="003A24A6" w:rsidRPr="00F624E1" w:rsidRDefault="003A24A6" w:rsidP="00FB58F9">
            <w:pPr>
              <w:pStyle w:val="Tablehead"/>
            </w:pPr>
            <w:r w:rsidRPr="00F624E1">
              <w:t>Values HLG</w:t>
            </w:r>
          </w:p>
        </w:tc>
      </w:tr>
      <w:tr w:rsidR="003A24A6" w:rsidRPr="006E36BC" w14:paraId="744F3318" w14:textId="77777777" w:rsidTr="00FB58F9">
        <w:tc>
          <w:tcPr>
            <w:tcW w:w="2405" w:type="dxa"/>
            <w:tcBorders>
              <w:top w:val="single" w:sz="4" w:space="0" w:color="auto"/>
              <w:left w:val="single" w:sz="4" w:space="0" w:color="auto"/>
              <w:bottom w:val="single" w:sz="4" w:space="0" w:color="auto"/>
              <w:right w:val="single" w:sz="4" w:space="0" w:color="auto"/>
            </w:tcBorders>
          </w:tcPr>
          <w:p w14:paraId="2BD82B63" w14:textId="77777777" w:rsidR="003A24A6" w:rsidRPr="00F624E1" w:rsidRDefault="003A24A6" w:rsidP="00FB58F9">
            <w:pPr>
              <w:pStyle w:val="Tabletext"/>
            </w:pPr>
            <w:r w:rsidRPr="00F624E1">
              <w:rPr>
                <w:i/>
                <w:iCs/>
              </w:rPr>
              <w:t>L</w:t>
            </w:r>
            <w:r w:rsidRPr="00F624E1">
              <w:t xml:space="preserve">, </w:t>
            </w:r>
            <w:r w:rsidRPr="00F624E1">
              <w:rPr>
                <w:i/>
                <w:iCs/>
              </w:rPr>
              <w:t>M</w:t>
            </w:r>
            <w:r w:rsidRPr="00F624E1">
              <w:t xml:space="preserve">, </w:t>
            </w:r>
            <w:r w:rsidRPr="00F624E1">
              <w:rPr>
                <w:i/>
                <w:iCs/>
              </w:rPr>
              <w:t>S</w:t>
            </w:r>
            <w:r w:rsidRPr="00F624E1">
              <w:t xml:space="preserve"> Colour Space</w:t>
            </w:r>
          </w:p>
        </w:tc>
        <w:tc>
          <w:tcPr>
            <w:tcW w:w="7234" w:type="dxa"/>
            <w:gridSpan w:val="2"/>
            <w:tcBorders>
              <w:top w:val="single" w:sz="4" w:space="0" w:color="auto"/>
              <w:left w:val="single" w:sz="4" w:space="0" w:color="auto"/>
              <w:bottom w:val="single" w:sz="4" w:space="0" w:color="auto"/>
              <w:right w:val="single" w:sz="4" w:space="0" w:color="auto"/>
            </w:tcBorders>
          </w:tcPr>
          <w:p w14:paraId="1F05304F" w14:textId="77777777" w:rsidR="003A24A6" w:rsidRPr="006E36BC" w:rsidRDefault="003A24A6" w:rsidP="00FB58F9">
            <w:pPr>
              <w:pStyle w:val="Tabletext"/>
              <w:spacing w:before="80" w:after="80"/>
              <w:jc w:val="center"/>
              <w:rPr>
                <w:sz w:val="20"/>
                <w:lang w:val="pt-BR"/>
              </w:rPr>
            </w:pPr>
            <w:r w:rsidRPr="006E36BC">
              <w:rPr>
                <w:i/>
                <w:iCs/>
                <w:sz w:val="20"/>
                <w:lang w:val="pt-BR"/>
              </w:rPr>
              <w:t>L</w:t>
            </w:r>
            <w:r w:rsidRPr="006E36BC">
              <w:rPr>
                <w:sz w:val="20"/>
                <w:lang w:val="pt-BR"/>
              </w:rPr>
              <w:t xml:space="preserve"> = (1688</w:t>
            </w:r>
            <w:r w:rsidRPr="006E36BC">
              <w:rPr>
                <w:i/>
                <w:iCs/>
                <w:sz w:val="20"/>
                <w:lang w:val="pt-BR"/>
              </w:rPr>
              <w:t>R</w:t>
            </w:r>
            <w:r w:rsidRPr="006E36BC">
              <w:rPr>
                <w:sz w:val="20"/>
                <w:lang w:val="pt-BR"/>
              </w:rPr>
              <w:t xml:space="preserve"> + 2146</w:t>
            </w:r>
            <w:r w:rsidRPr="006E36BC">
              <w:rPr>
                <w:i/>
                <w:iCs/>
                <w:sz w:val="20"/>
                <w:lang w:val="pt-BR"/>
              </w:rPr>
              <w:t>G</w:t>
            </w:r>
            <w:r w:rsidRPr="006E36BC">
              <w:rPr>
                <w:sz w:val="20"/>
                <w:lang w:val="pt-BR"/>
              </w:rPr>
              <w:t xml:space="preserve"> + 262</w:t>
            </w:r>
            <w:r w:rsidRPr="006E36BC">
              <w:rPr>
                <w:i/>
                <w:iCs/>
                <w:sz w:val="20"/>
                <w:lang w:val="pt-BR"/>
              </w:rPr>
              <w:t>B</w:t>
            </w:r>
            <w:r w:rsidRPr="006E36BC">
              <w:rPr>
                <w:sz w:val="20"/>
                <w:lang w:val="pt-BR"/>
              </w:rPr>
              <w:t>)/4096</w:t>
            </w:r>
          </w:p>
          <w:p w14:paraId="251B1B25" w14:textId="77777777" w:rsidR="003A24A6" w:rsidRPr="006E36BC" w:rsidRDefault="003A24A6" w:rsidP="00FB58F9">
            <w:pPr>
              <w:pStyle w:val="Tabletext"/>
              <w:spacing w:before="80" w:after="80"/>
              <w:jc w:val="center"/>
              <w:rPr>
                <w:sz w:val="20"/>
                <w:lang w:val="pt-BR"/>
              </w:rPr>
            </w:pPr>
            <w:r w:rsidRPr="006E36BC">
              <w:rPr>
                <w:i/>
                <w:iCs/>
                <w:sz w:val="20"/>
                <w:lang w:val="pt-BR"/>
              </w:rPr>
              <w:t>M</w:t>
            </w:r>
            <w:r w:rsidRPr="006E36BC">
              <w:rPr>
                <w:sz w:val="20"/>
                <w:lang w:val="pt-BR"/>
              </w:rPr>
              <w:t xml:space="preserve"> = (683</w:t>
            </w:r>
            <w:r w:rsidRPr="006E36BC">
              <w:rPr>
                <w:i/>
                <w:iCs/>
                <w:sz w:val="20"/>
                <w:lang w:val="pt-BR"/>
              </w:rPr>
              <w:t>R</w:t>
            </w:r>
            <w:r w:rsidRPr="006E36BC">
              <w:rPr>
                <w:sz w:val="20"/>
                <w:lang w:val="pt-BR"/>
              </w:rPr>
              <w:t xml:space="preserve"> + 2951</w:t>
            </w:r>
            <w:r w:rsidRPr="006E36BC">
              <w:rPr>
                <w:i/>
                <w:iCs/>
                <w:sz w:val="20"/>
                <w:lang w:val="pt-BR"/>
              </w:rPr>
              <w:t>G</w:t>
            </w:r>
            <w:r w:rsidRPr="006E36BC">
              <w:rPr>
                <w:sz w:val="20"/>
                <w:lang w:val="pt-BR"/>
              </w:rPr>
              <w:t xml:space="preserve"> + 462</w:t>
            </w:r>
            <w:r w:rsidRPr="006E36BC">
              <w:rPr>
                <w:i/>
                <w:iCs/>
                <w:sz w:val="20"/>
                <w:lang w:val="pt-BR"/>
              </w:rPr>
              <w:t>B</w:t>
            </w:r>
            <w:r w:rsidRPr="006E36BC">
              <w:rPr>
                <w:sz w:val="20"/>
                <w:lang w:val="pt-BR"/>
              </w:rPr>
              <w:t>)/4096</w:t>
            </w:r>
          </w:p>
          <w:p w14:paraId="1BED291E" w14:textId="77777777" w:rsidR="003A24A6" w:rsidRPr="006E36BC" w:rsidRDefault="003A24A6" w:rsidP="00FB58F9">
            <w:pPr>
              <w:pStyle w:val="Tabletext"/>
              <w:jc w:val="center"/>
              <w:rPr>
                <w:lang w:val="pt-BR"/>
              </w:rPr>
            </w:pPr>
            <w:r w:rsidRPr="006E36BC">
              <w:rPr>
                <w:i/>
                <w:iCs/>
                <w:sz w:val="20"/>
                <w:lang w:val="pt-BR"/>
              </w:rPr>
              <w:t>S</w:t>
            </w:r>
            <w:r w:rsidRPr="006E36BC">
              <w:rPr>
                <w:sz w:val="20"/>
                <w:lang w:val="pt-BR"/>
              </w:rPr>
              <w:t xml:space="preserve"> = (99</w:t>
            </w:r>
            <w:r w:rsidRPr="006E36BC">
              <w:rPr>
                <w:i/>
                <w:iCs/>
                <w:sz w:val="20"/>
                <w:lang w:val="pt-BR"/>
              </w:rPr>
              <w:t>R</w:t>
            </w:r>
            <w:r w:rsidRPr="006E36BC">
              <w:rPr>
                <w:sz w:val="20"/>
                <w:lang w:val="pt-BR"/>
              </w:rPr>
              <w:t xml:space="preserve"> + 309</w:t>
            </w:r>
            <w:r w:rsidRPr="006E36BC">
              <w:rPr>
                <w:i/>
                <w:iCs/>
                <w:sz w:val="20"/>
                <w:lang w:val="pt-BR"/>
              </w:rPr>
              <w:t>G</w:t>
            </w:r>
            <w:r w:rsidRPr="006E36BC">
              <w:rPr>
                <w:sz w:val="20"/>
                <w:lang w:val="pt-BR"/>
              </w:rPr>
              <w:t xml:space="preserve"> + 3688</w:t>
            </w:r>
            <w:r w:rsidRPr="006E36BC">
              <w:rPr>
                <w:i/>
                <w:iCs/>
                <w:sz w:val="20"/>
                <w:lang w:val="pt-BR"/>
              </w:rPr>
              <w:t>B</w:t>
            </w:r>
            <w:r w:rsidRPr="006E36BC">
              <w:rPr>
                <w:sz w:val="20"/>
                <w:lang w:val="pt-BR"/>
              </w:rPr>
              <w:t>)/4096</w:t>
            </w:r>
          </w:p>
        </w:tc>
      </w:tr>
      <w:tr w:rsidR="003A24A6" w:rsidRPr="00C06F9E" w14:paraId="536AE9A4" w14:textId="77777777" w:rsidTr="00FB58F9">
        <w:trPr>
          <w:trHeight w:val="1145"/>
        </w:trPr>
        <w:tc>
          <w:tcPr>
            <w:tcW w:w="2405" w:type="dxa"/>
            <w:tcBorders>
              <w:top w:val="single" w:sz="4" w:space="0" w:color="auto"/>
              <w:left w:val="single" w:sz="4" w:space="0" w:color="auto"/>
              <w:bottom w:val="single" w:sz="4" w:space="0" w:color="auto"/>
              <w:right w:val="single" w:sz="4" w:space="0" w:color="auto"/>
            </w:tcBorders>
            <w:hideMark/>
          </w:tcPr>
          <w:p w14:paraId="1D681FB3" w14:textId="77777777" w:rsidR="003A24A6" w:rsidRPr="00F624E1" w:rsidRDefault="003A24A6" w:rsidP="00FB58F9">
            <w:pPr>
              <w:pStyle w:val="Tabletext"/>
              <w:rPr>
                <w:b/>
                <w:vertAlign w:val="superscript"/>
              </w:rPr>
            </w:pPr>
            <w:r w:rsidRPr="00F624E1">
              <w:t xml:space="preserve">Derivation of </w:t>
            </w:r>
            <w:r w:rsidRPr="00F624E1">
              <w:rPr>
                <w:i/>
              </w:rPr>
              <w:t>L'</w:t>
            </w:r>
            <w:r w:rsidRPr="00F624E1">
              <w:t xml:space="preserve">, </w:t>
            </w:r>
            <w:r w:rsidRPr="00F624E1">
              <w:rPr>
                <w:i/>
              </w:rPr>
              <w:t>M'</w:t>
            </w:r>
            <w:r w:rsidRPr="00F624E1">
              <w:t xml:space="preserve">, </w:t>
            </w:r>
            <w:r w:rsidRPr="00F624E1">
              <w:rPr>
                <w:i/>
              </w:rPr>
              <w:t xml:space="preserve">S'  </w:t>
            </w:r>
            <w:r w:rsidRPr="00F624E1">
              <w:rPr>
                <w:bCs/>
                <w:vertAlign w:val="superscript"/>
              </w:rPr>
              <w:t>7c</w:t>
            </w:r>
          </w:p>
        </w:tc>
        <w:tc>
          <w:tcPr>
            <w:tcW w:w="3544" w:type="dxa"/>
            <w:tcBorders>
              <w:top w:val="single" w:sz="4" w:space="0" w:color="auto"/>
              <w:left w:val="single" w:sz="4" w:space="0" w:color="auto"/>
              <w:right w:val="single" w:sz="4" w:space="0" w:color="auto"/>
            </w:tcBorders>
          </w:tcPr>
          <w:p w14:paraId="3E94D2CB" w14:textId="77777777" w:rsidR="003A24A6" w:rsidRPr="00F624E1" w:rsidRDefault="003A24A6" w:rsidP="00FB58F9">
            <w:pPr>
              <w:pStyle w:val="Tabletext"/>
              <w:jc w:val="center"/>
              <w:rPr>
                <w:iCs/>
              </w:rPr>
            </w:pPr>
            <w:r w:rsidRPr="00F624E1">
              <w:rPr>
                <w:iCs/>
              </w:rPr>
              <w:t>{</w:t>
            </w:r>
            <w:r w:rsidRPr="00F624E1">
              <w:rPr>
                <w:i/>
                <w:iCs/>
              </w:rPr>
              <w:t>L'</w:t>
            </w:r>
            <w:r w:rsidRPr="00F624E1">
              <w:rPr>
                <w:iCs/>
              </w:rPr>
              <w:t xml:space="preserve">, </w:t>
            </w:r>
            <w:r w:rsidRPr="00F624E1">
              <w:rPr>
                <w:i/>
                <w:iCs/>
              </w:rPr>
              <w:t>M'</w:t>
            </w:r>
            <w:r w:rsidRPr="00F624E1">
              <w:rPr>
                <w:iCs/>
              </w:rPr>
              <w:t xml:space="preserve">, </w:t>
            </w:r>
            <w:r w:rsidRPr="00F624E1">
              <w:rPr>
                <w:i/>
                <w:iCs/>
              </w:rPr>
              <w:t>S'</w:t>
            </w:r>
            <w:r w:rsidRPr="00F624E1">
              <w:rPr>
                <w:iCs/>
              </w:rPr>
              <w:t>}=EOTF</w:t>
            </w:r>
            <w:r w:rsidRPr="00F624E1">
              <w:rPr>
                <w:iCs/>
                <w:vertAlign w:val="superscript"/>
              </w:rPr>
              <w:t>−1</w:t>
            </w:r>
            <w:r w:rsidRPr="00F624E1">
              <w:rPr>
                <w:iCs/>
              </w:rPr>
              <w:t>(</w:t>
            </w:r>
            <w:r w:rsidRPr="00F624E1">
              <w:rPr>
                <w:i/>
                <w:iCs/>
              </w:rPr>
              <w:t>F</w:t>
            </w:r>
            <w:r w:rsidRPr="00F624E1">
              <w:rPr>
                <w:i/>
                <w:iCs/>
                <w:vertAlign w:val="subscript"/>
              </w:rPr>
              <w:t>D</w:t>
            </w:r>
            <w:r w:rsidRPr="00F624E1">
              <w:rPr>
                <w:iCs/>
              </w:rPr>
              <w:t>)</w:t>
            </w:r>
          </w:p>
          <w:p w14:paraId="6E679B7F" w14:textId="77777777" w:rsidR="003A24A6" w:rsidRPr="00F624E1" w:rsidRDefault="003A24A6" w:rsidP="00FB58F9">
            <w:pPr>
              <w:pStyle w:val="Tabletext"/>
              <w:rPr>
                <w:iCs/>
              </w:rPr>
            </w:pPr>
            <w:r w:rsidRPr="00F624E1">
              <w:rPr>
                <w:iCs/>
              </w:rPr>
              <w:t xml:space="preserve">where </w:t>
            </w:r>
            <w:r w:rsidRPr="00F624E1">
              <w:rPr>
                <w:i/>
                <w:iCs/>
              </w:rPr>
              <w:t>F</w:t>
            </w:r>
            <w:r w:rsidRPr="00F624E1">
              <w:rPr>
                <w:i/>
                <w:iCs/>
                <w:vertAlign w:val="subscript"/>
              </w:rPr>
              <w:t>D</w:t>
            </w:r>
            <w:r w:rsidRPr="00F624E1">
              <w:rPr>
                <w:iCs/>
              </w:rPr>
              <w:t xml:space="preserve"> = {</w:t>
            </w:r>
            <w:r w:rsidRPr="00F624E1">
              <w:rPr>
                <w:i/>
                <w:iCs/>
              </w:rPr>
              <w:t>L</w:t>
            </w:r>
            <w:r w:rsidRPr="00F624E1">
              <w:rPr>
                <w:i/>
                <w:iCs/>
                <w:vertAlign w:val="subscript"/>
              </w:rPr>
              <w:t>D</w:t>
            </w:r>
            <w:r w:rsidRPr="00F624E1">
              <w:rPr>
                <w:iCs/>
              </w:rPr>
              <w:t xml:space="preserve">, </w:t>
            </w:r>
            <w:r w:rsidRPr="00F624E1">
              <w:rPr>
                <w:i/>
                <w:iCs/>
              </w:rPr>
              <w:t>M</w:t>
            </w:r>
            <w:r w:rsidRPr="00F624E1">
              <w:rPr>
                <w:i/>
                <w:iCs/>
                <w:vertAlign w:val="subscript"/>
              </w:rPr>
              <w:t>D</w:t>
            </w:r>
            <w:r w:rsidRPr="00F624E1">
              <w:rPr>
                <w:iCs/>
              </w:rPr>
              <w:t xml:space="preserve">, </w:t>
            </w:r>
            <w:r w:rsidRPr="00F624E1">
              <w:rPr>
                <w:i/>
                <w:iCs/>
              </w:rPr>
              <w:t>S</w:t>
            </w:r>
            <w:r w:rsidRPr="00F624E1">
              <w:rPr>
                <w:i/>
                <w:iCs/>
                <w:vertAlign w:val="subscript"/>
              </w:rPr>
              <w:t>D</w:t>
            </w:r>
            <w:r w:rsidRPr="00F624E1">
              <w:rPr>
                <w:iCs/>
              </w:rPr>
              <w:t>}</w:t>
            </w:r>
          </w:p>
        </w:tc>
        <w:tc>
          <w:tcPr>
            <w:tcW w:w="3690" w:type="dxa"/>
            <w:tcBorders>
              <w:top w:val="single" w:sz="4" w:space="0" w:color="auto"/>
              <w:left w:val="single" w:sz="4" w:space="0" w:color="auto"/>
              <w:right w:val="single" w:sz="4" w:space="0" w:color="auto"/>
            </w:tcBorders>
          </w:tcPr>
          <w:p w14:paraId="17C54A9B" w14:textId="77777777" w:rsidR="003A24A6" w:rsidRPr="00692DDD" w:rsidRDefault="003A24A6" w:rsidP="00FB58F9">
            <w:pPr>
              <w:pStyle w:val="Tabletext"/>
              <w:jc w:val="center"/>
              <w:rPr>
                <w:iCs/>
                <w:lang w:val="it-IT"/>
              </w:rPr>
            </w:pPr>
            <w:r w:rsidRPr="00692DDD">
              <w:rPr>
                <w:iCs/>
                <w:lang w:val="it-IT"/>
              </w:rPr>
              <w:t>{</w:t>
            </w:r>
            <w:r w:rsidRPr="00692DDD">
              <w:rPr>
                <w:i/>
                <w:iCs/>
                <w:lang w:val="it-IT"/>
              </w:rPr>
              <w:t>L'</w:t>
            </w:r>
            <w:r w:rsidRPr="00692DDD">
              <w:rPr>
                <w:iCs/>
                <w:lang w:val="it-IT"/>
              </w:rPr>
              <w:t xml:space="preserve">, </w:t>
            </w:r>
            <w:r w:rsidRPr="00692DDD">
              <w:rPr>
                <w:i/>
                <w:iCs/>
                <w:lang w:val="it-IT"/>
              </w:rPr>
              <w:t>M'</w:t>
            </w:r>
            <w:r w:rsidRPr="00692DDD">
              <w:rPr>
                <w:iCs/>
                <w:lang w:val="it-IT"/>
              </w:rPr>
              <w:t xml:space="preserve">, </w:t>
            </w:r>
            <w:r w:rsidRPr="00692DDD">
              <w:rPr>
                <w:i/>
                <w:iCs/>
                <w:lang w:val="it-IT"/>
              </w:rPr>
              <w:t>S'</w:t>
            </w:r>
            <w:r w:rsidRPr="00692DDD">
              <w:rPr>
                <w:iCs/>
                <w:lang w:val="it-IT"/>
              </w:rPr>
              <w:t>}=OETF(</w:t>
            </w:r>
            <w:r w:rsidRPr="00692DDD">
              <w:rPr>
                <w:i/>
                <w:iCs/>
                <w:lang w:val="it-IT"/>
              </w:rPr>
              <w:t>E</w:t>
            </w:r>
            <w:r w:rsidRPr="00692DDD">
              <w:rPr>
                <w:iCs/>
                <w:lang w:val="it-IT"/>
              </w:rPr>
              <w:t>)</w:t>
            </w:r>
          </w:p>
          <w:p w14:paraId="06CBCC57" w14:textId="77777777" w:rsidR="003A24A6" w:rsidRPr="00F624E1" w:rsidRDefault="003A24A6" w:rsidP="00FB58F9">
            <w:pPr>
              <w:pStyle w:val="Tabletext"/>
              <w:rPr>
                <w:iCs/>
              </w:rPr>
            </w:pPr>
            <w:r w:rsidRPr="00F624E1">
              <w:rPr>
                <w:iCs/>
              </w:rPr>
              <w:t xml:space="preserve">where </w:t>
            </w:r>
            <w:r w:rsidRPr="00F624E1">
              <w:rPr>
                <w:i/>
                <w:iCs/>
              </w:rPr>
              <w:t>E</w:t>
            </w:r>
            <w:r w:rsidRPr="00F624E1">
              <w:rPr>
                <w:iCs/>
              </w:rPr>
              <w:t xml:space="preserve"> = {</w:t>
            </w:r>
            <w:r w:rsidRPr="00F624E1">
              <w:rPr>
                <w:i/>
                <w:iCs/>
              </w:rPr>
              <w:t>L</w:t>
            </w:r>
            <w:r w:rsidRPr="00F624E1">
              <w:rPr>
                <w:i/>
                <w:iCs/>
                <w:vertAlign w:val="subscript"/>
              </w:rPr>
              <w:t>S</w:t>
            </w:r>
            <w:r w:rsidRPr="00F624E1">
              <w:rPr>
                <w:iCs/>
              </w:rPr>
              <w:t xml:space="preserve">, </w:t>
            </w:r>
            <w:r w:rsidRPr="00F624E1">
              <w:rPr>
                <w:i/>
                <w:iCs/>
              </w:rPr>
              <w:t>M</w:t>
            </w:r>
            <w:r w:rsidRPr="00F624E1">
              <w:rPr>
                <w:i/>
                <w:iCs/>
                <w:vertAlign w:val="subscript"/>
              </w:rPr>
              <w:t>S</w:t>
            </w:r>
            <w:r w:rsidRPr="00F624E1">
              <w:rPr>
                <w:iCs/>
              </w:rPr>
              <w:t xml:space="preserve">, </w:t>
            </w:r>
            <w:r w:rsidRPr="00F624E1">
              <w:rPr>
                <w:i/>
                <w:iCs/>
              </w:rPr>
              <w:t>S</w:t>
            </w:r>
            <w:r w:rsidRPr="00F624E1">
              <w:rPr>
                <w:i/>
                <w:iCs/>
                <w:vertAlign w:val="subscript"/>
              </w:rPr>
              <w:t>S</w:t>
            </w:r>
            <w:r w:rsidRPr="00F624E1">
              <w:rPr>
                <w:iCs/>
              </w:rPr>
              <w:t>}</w:t>
            </w:r>
          </w:p>
        </w:tc>
      </w:tr>
      <w:tr w:rsidR="003A24A6" w:rsidRPr="00F624E1" w14:paraId="320C1DD3" w14:textId="77777777" w:rsidTr="00FB58F9">
        <w:tc>
          <w:tcPr>
            <w:tcW w:w="2405" w:type="dxa"/>
            <w:tcBorders>
              <w:top w:val="single" w:sz="4" w:space="0" w:color="auto"/>
              <w:left w:val="single" w:sz="4" w:space="0" w:color="auto"/>
              <w:bottom w:val="single" w:sz="4" w:space="0" w:color="auto"/>
              <w:right w:val="single" w:sz="4" w:space="0" w:color="auto"/>
            </w:tcBorders>
            <w:hideMark/>
          </w:tcPr>
          <w:p w14:paraId="47920FB8" w14:textId="77777777" w:rsidR="003A24A6" w:rsidRPr="00F624E1" w:rsidRDefault="003A24A6" w:rsidP="00FB58F9">
            <w:pPr>
              <w:pStyle w:val="Tabletext"/>
              <w:rPr>
                <w:bCs/>
                <w:sz w:val="24"/>
              </w:rPr>
            </w:pPr>
            <w:r w:rsidRPr="00F624E1">
              <w:t xml:space="preserve">Derivation of </w:t>
            </w:r>
            <w:r w:rsidRPr="00F624E1">
              <w:rPr>
                <w:i/>
                <w:iCs/>
              </w:rPr>
              <w:t>I</w:t>
            </w:r>
          </w:p>
        </w:tc>
        <w:tc>
          <w:tcPr>
            <w:tcW w:w="7234" w:type="dxa"/>
            <w:gridSpan w:val="2"/>
            <w:tcBorders>
              <w:top w:val="single" w:sz="4" w:space="0" w:color="auto"/>
              <w:left w:val="single" w:sz="4" w:space="0" w:color="auto"/>
              <w:bottom w:val="single" w:sz="4" w:space="0" w:color="auto"/>
              <w:right w:val="single" w:sz="4" w:space="0" w:color="auto"/>
            </w:tcBorders>
            <w:hideMark/>
          </w:tcPr>
          <w:p w14:paraId="4971E933" w14:textId="77777777" w:rsidR="003A24A6" w:rsidRPr="00F624E1" w:rsidRDefault="003A24A6" w:rsidP="00FB58F9">
            <w:pPr>
              <w:pStyle w:val="Tabletext"/>
              <w:jc w:val="center"/>
            </w:pPr>
            <w:r w:rsidRPr="00F624E1">
              <w:rPr>
                <w:i/>
                <w:iCs/>
              </w:rPr>
              <w:t>I</w:t>
            </w:r>
            <w:r w:rsidRPr="00F624E1">
              <w:t xml:space="preserve"> = 0.5</w:t>
            </w:r>
            <w:r w:rsidRPr="00F624E1">
              <w:rPr>
                <w:i/>
                <w:iCs/>
              </w:rPr>
              <w:t xml:space="preserve">L' </w:t>
            </w:r>
            <w:r w:rsidRPr="00F624E1">
              <w:t>+ 0.5</w:t>
            </w:r>
            <w:r w:rsidRPr="00F624E1">
              <w:rPr>
                <w:i/>
                <w:iCs/>
              </w:rPr>
              <w:t>M'</w:t>
            </w:r>
          </w:p>
        </w:tc>
      </w:tr>
      <w:tr w:rsidR="003A24A6" w:rsidRPr="00F624E1" w14:paraId="5EB9BF48" w14:textId="77777777" w:rsidTr="00FB58F9">
        <w:tc>
          <w:tcPr>
            <w:tcW w:w="2405" w:type="dxa"/>
            <w:tcBorders>
              <w:top w:val="single" w:sz="4" w:space="0" w:color="auto"/>
              <w:left w:val="single" w:sz="4" w:space="0" w:color="auto"/>
              <w:bottom w:val="single" w:sz="4" w:space="0" w:color="auto"/>
              <w:right w:val="single" w:sz="4" w:space="0" w:color="auto"/>
            </w:tcBorders>
            <w:vAlign w:val="center"/>
            <w:hideMark/>
          </w:tcPr>
          <w:p w14:paraId="15E0E865" w14:textId="77777777" w:rsidR="003A24A6" w:rsidRPr="00F624E1" w:rsidRDefault="003A24A6" w:rsidP="00FB58F9">
            <w:pPr>
              <w:pStyle w:val="Tabletext"/>
              <w:jc w:val="left"/>
              <w:rPr>
                <w:bCs/>
                <w:sz w:val="24"/>
              </w:rPr>
            </w:pPr>
            <w:r w:rsidRPr="00F624E1">
              <w:rPr>
                <w:lang w:eastAsia="ko-KR"/>
              </w:rPr>
              <w:t xml:space="preserve">Derivation of colour difference signals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401BC4" w14:textId="77777777" w:rsidR="003A24A6" w:rsidRPr="00F624E1" w:rsidRDefault="003A24A6" w:rsidP="00FB58F9">
            <w:pPr>
              <w:pStyle w:val="Tabletext"/>
              <w:jc w:val="center"/>
              <w:rPr>
                <w:bCs/>
              </w:rPr>
            </w:pPr>
            <w:r w:rsidRPr="00F624E1">
              <w:rPr>
                <w:position w:val="-30"/>
              </w:rPr>
              <w:object w:dxaOrig="3980" w:dyaOrig="720" w14:anchorId="6B59BAEA">
                <v:shape id="_x0000_i1035" type="#_x0000_t75" style="width:163.6pt;height:28.2pt" o:ole="">
                  <v:imagedata r:id="rId39" o:title=""/>
                </v:shape>
                <o:OLEObject Type="Embed" ProgID="Equation.3" ShapeID="_x0000_i1035" DrawAspect="Content" ObjectID="_1806133240" r:id="rId40"/>
              </w:object>
            </w:r>
          </w:p>
        </w:tc>
        <w:tc>
          <w:tcPr>
            <w:tcW w:w="3690" w:type="dxa"/>
            <w:tcBorders>
              <w:top w:val="single" w:sz="4" w:space="0" w:color="auto"/>
              <w:left w:val="single" w:sz="4" w:space="0" w:color="auto"/>
              <w:bottom w:val="single" w:sz="4" w:space="0" w:color="auto"/>
              <w:right w:val="single" w:sz="4" w:space="0" w:color="auto"/>
            </w:tcBorders>
            <w:vAlign w:val="center"/>
          </w:tcPr>
          <w:p w14:paraId="66762D6E" w14:textId="77777777" w:rsidR="003A24A6" w:rsidRPr="00F624E1" w:rsidRDefault="000D358B" w:rsidP="00FB58F9">
            <w:pPr>
              <w:pStyle w:val="Tabletext"/>
              <w:jc w:val="center"/>
              <w:rPr>
                <w:bCs/>
                <w:sz w:val="20"/>
              </w:rPr>
            </w:pPr>
            <m:oMathPara>
              <m:oMath>
                <m:m>
                  <m:mPr>
                    <m:mcs>
                      <m:mc>
                        <m:mcPr>
                          <m:count m:val="1"/>
                          <m:mcJc m:val="center"/>
                        </m:mcPr>
                      </m:mc>
                    </m:mcs>
                    <m:ctrlPr>
                      <w:rPr>
                        <w:rFonts w:ascii="Cambria Math" w:hAnsi="Cambria Math"/>
                        <w:i/>
                        <w:sz w:val="20"/>
                      </w:rPr>
                    </m:ctrlPr>
                  </m:mPr>
                  <m:mr>
                    <m:e>
                      <m:sSub>
                        <m:sSubPr>
                          <m:ctrlPr>
                            <w:rPr>
                              <w:rFonts w:ascii="Cambria Math" w:hAnsi="Cambria Math"/>
                              <w:i/>
                              <w:sz w:val="20"/>
                            </w:rPr>
                          </m:ctrlPr>
                        </m:sSubPr>
                        <m:e>
                          <m:r>
                            <w:rPr>
                              <w:rFonts w:ascii="Cambria Math" w:hAnsi="Cambria Math"/>
                              <w:sz w:val="20"/>
                            </w:rPr>
                            <m:t>C</m:t>
                          </m:r>
                        </m:e>
                        <m:sub>
                          <m:r>
                            <w:rPr>
                              <w:rFonts w:ascii="Cambria Math" w:hAnsi="Cambria Math"/>
                              <w:sz w:val="20"/>
                            </w:rPr>
                            <m:t>T</m:t>
                          </m:r>
                        </m:sub>
                      </m:sSub>
                      <m:r>
                        <w:rPr>
                          <w:rFonts w:ascii="Cambria Math" w:hAnsi="Cambria Math"/>
                          <w:sz w:val="20"/>
                        </w:rPr>
                        <m:t>=(3625</m:t>
                      </m:r>
                      <m:sSup>
                        <m:sSupPr>
                          <m:ctrlPr>
                            <w:rPr>
                              <w:rFonts w:ascii="Cambria Math" w:hAnsi="Cambria Math"/>
                              <w:i/>
                              <w:sz w:val="20"/>
                              <w:lang w:eastAsia="ja-JP"/>
                            </w:rPr>
                          </m:ctrlPr>
                        </m:sSupPr>
                        <m:e>
                          <m:r>
                            <w:rPr>
                              <w:rFonts w:ascii="Cambria Math" w:hAnsi="Cambria Math"/>
                              <w:sz w:val="20"/>
                            </w:rPr>
                            <m:t>L</m:t>
                          </m:r>
                          <m:ctrlPr>
                            <w:rPr>
                              <w:rFonts w:ascii="Cambria Math" w:hAnsi="Cambria Math"/>
                              <w:i/>
                              <w:sz w:val="20"/>
                            </w:rPr>
                          </m:ctrlPr>
                        </m:e>
                        <m:sup>
                          <m:r>
                            <w:rPr>
                              <w:rFonts w:ascii="Cambria Math" w:hAnsi="Cambria Math"/>
                              <w:sz w:val="20"/>
                              <w:lang w:eastAsia="ja-JP"/>
                            </w:rPr>
                            <m:t>'</m:t>
                          </m:r>
                        </m:sup>
                      </m:sSup>
                      <m:r>
                        <w:rPr>
                          <w:rFonts w:ascii="Cambria Math" w:hAnsi="Cambria Math"/>
                          <w:sz w:val="20"/>
                          <w:lang w:eastAsia="ja-JP"/>
                        </w:rPr>
                        <m:t>-7465</m:t>
                      </m:r>
                      <m:sSup>
                        <m:sSupPr>
                          <m:ctrlPr>
                            <w:rPr>
                              <w:rFonts w:ascii="Cambria Math" w:hAnsi="Cambria Math"/>
                              <w:i/>
                              <w:sz w:val="20"/>
                              <w:lang w:eastAsia="ja-JP"/>
                            </w:rPr>
                          </m:ctrlPr>
                        </m:sSupPr>
                        <m:e>
                          <m:r>
                            <w:rPr>
                              <w:rFonts w:ascii="Cambria Math" w:hAnsi="Cambria Math"/>
                              <w:sz w:val="20"/>
                              <w:lang w:eastAsia="ja-JP"/>
                            </w:rPr>
                            <m:t>M</m:t>
                          </m:r>
                        </m:e>
                        <m:sup>
                          <m:r>
                            <w:rPr>
                              <w:rFonts w:ascii="Cambria Math" w:hAnsi="Cambria Math"/>
                              <w:sz w:val="20"/>
                              <w:lang w:eastAsia="ja-JP"/>
                            </w:rPr>
                            <m:t>'</m:t>
                          </m:r>
                        </m:sup>
                      </m:sSup>
                      <m:r>
                        <w:rPr>
                          <w:rFonts w:ascii="Cambria Math" w:hAnsi="Cambria Math"/>
                          <w:sz w:val="20"/>
                          <w:lang w:eastAsia="ja-JP"/>
                        </w:rPr>
                        <m:t>+3840</m:t>
                      </m:r>
                      <m:sSup>
                        <m:sSupPr>
                          <m:ctrlPr>
                            <w:rPr>
                              <w:rFonts w:ascii="Cambria Math" w:hAnsi="Cambria Math"/>
                              <w:i/>
                              <w:sz w:val="20"/>
                              <w:lang w:eastAsia="ja-JP"/>
                            </w:rPr>
                          </m:ctrlPr>
                        </m:sSupPr>
                        <m:e>
                          <m:r>
                            <w:rPr>
                              <w:rFonts w:ascii="Cambria Math" w:hAnsi="Cambria Math"/>
                              <w:sz w:val="20"/>
                              <w:lang w:eastAsia="ja-JP"/>
                            </w:rPr>
                            <m:t>S</m:t>
                          </m:r>
                        </m:e>
                        <m:sup>
                          <m:r>
                            <w:rPr>
                              <w:rFonts w:ascii="Cambria Math" w:hAnsi="Cambria Math"/>
                              <w:sz w:val="20"/>
                              <w:lang w:eastAsia="ja-JP"/>
                            </w:rPr>
                            <m:t>'</m:t>
                          </m:r>
                        </m:sup>
                      </m:sSup>
                      <m:r>
                        <w:rPr>
                          <w:rFonts w:ascii="Cambria Math" w:hAnsi="Cambria Math"/>
                          <w:sz w:val="20"/>
                          <w:lang w:eastAsia="ja-JP"/>
                        </w:rPr>
                        <m:t>)/4096</m:t>
                      </m:r>
                    </m:e>
                  </m:mr>
                  <m:mr>
                    <m:e>
                      <m:sSub>
                        <m:sSubPr>
                          <m:ctrlPr>
                            <w:rPr>
                              <w:rFonts w:ascii="Cambria Math" w:hAnsi="Cambria Math"/>
                              <w:i/>
                              <w:sz w:val="20"/>
                            </w:rPr>
                          </m:ctrlPr>
                        </m:sSubPr>
                        <m:e>
                          <m:r>
                            <w:rPr>
                              <w:rFonts w:ascii="Cambria Math" w:hAnsi="Cambria Math"/>
                              <w:sz w:val="20"/>
                            </w:rPr>
                            <m:t>C</m:t>
                          </m:r>
                        </m:e>
                        <m:sub>
                          <m:r>
                            <w:rPr>
                              <w:rFonts w:ascii="Cambria Math" w:hAnsi="Cambria Math"/>
                              <w:sz w:val="20"/>
                            </w:rPr>
                            <m:t>P</m:t>
                          </m:r>
                        </m:sub>
                      </m:sSub>
                      <m:r>
                        <w:rPr>
                          <w:rFonts w:ascii="Cambria Math" w:hAnsi="Cambria Math"/>
                          <w:sz w:val="20"/>
                        </w:rPr>
                        <m:t>=(9500</m:t>
                      </m:r>
                      <m:sSup>
                        <m:sSupPr>
                          <m:ctrlPr>
                            <w:rPr>
                              <w:rFonts w:ascii="Cambria Math" w:hAnsi="Cambria Math"/>
                              <w:i/>
                              <w:sz w:val="20"/>
                              <w:lang w:eastAsia="ja-JP"/>
                            </w:rPr>
                          </m:ctrlPr>
                        </m:sSupPr>
                        <m:e>
                          <m:r>
                            <w:rPr>
                              <w:rFonts w:ascii="Cambria Math" w:hAnsi="Cambria Math"/>
                              <w:sz w:val="20"/>
                            </w:rPr>
                            <m:t>L</m:t>
                          </m:r>
                          <m:ctrlPr>
                            <w:rPr>
                              <w:rFonts w:ascii="Cambria Math" w:hAnsi="Cambria Math"/>
                              <w:i/>
                              <w:sz w:val="20"/>
                            </w:rPr>
                          </m:ctrlPr>
                        </m:e>
                        <m:sup>
                          <m:r>
                            <w:rPr>
                              <w:rFonts w:ascii="Cambria Math" w:hAnsi="Cambria Math"/>
                              <w:sz w:val="20"/>
                              <w:lang w:eastAsia="ja-JP"/>
                            </w:rPr>
                            <m:t>'</m:t>
                          </m:r>
                        </m:sup>
                      </m:sSup>
                      <m:r>
                        <w:rPr>
                          <w:rFonts w:ascii="Cambria Math" w:hAnsi="Cambria Math"/>
                          <w:sz w:val="20"/>
                          <w:lang w:eastAsia="ja-JP"/>
                        </w:rPr>
                        <m:t>-9212</m:t>
                      </m:r>
                      <m:sSup>
                        <m:sSupPr>
                          <m:ctrlPr>
                            <w:rPr>
                              <w:rFonts w:ascii="Cambria Math" w:hAnsi="Cambria Math"/>
                              <w:i/>
                              <w:sz w:val="20"/>
                              <w:lang w:eastAsia="ja-JP"/>
                            </w:rPr>
                          </m:ctrlPr>
                        </m:sSupPr>
                        <m:e>
                          <m:r>
                            <w:rPr>
                              <w:rFonts w:ascii="Cambria Math" w:hAnsi="Cambria Math"/>
                              <w:sz w:val="20"/>
                              <w:lang w:eastAsia="ja-JP"/>
                            </w:rPr>
                            <m:t>M</m:t>
                          </m:r>
                        </m:e>
                        <m:sup>
                          <m:r>
                            <w:rPr>
                              <w:rFonts w:ascii="Cambria Math" w:hAnsi="Cambria Math"/>
                              <w:sz w:val="20"/>
                              <w:lang w:eastAsia="ja-JP"/>
                            </w:rPr>
                            <m:t>'</m:t>
                          </m:r>
                        </m:sup>
                      </m:sSup>
                      <m:r>
                        <w:rPr>
                          <w:rFonts w:ascii="Cambria Math" w:hAnsi="Cambria Math"/>
                          <w:sz w:val="20"/>
                          <w:lang w:eastAsia="ja-JP"/>
                        </w:rPr>
                        <m:t>-288</m:t>
                      </m:r>
                      <m:sSup>
                        <m:sSupPr>
                          <m:ctrlPr>
                            <w:rPr>
                              <w:rFonts w:ascii="Cambria Math" w:hAnsi="Cambria Math"/>
                              <w:i/>
                              <w:sz w:val="20"/>
                              <w:lang w:eastAsia="ja-JP"/>
                            </w:rPr>
                          </m:ctrlPr>
                        </m:sSupPr>
                        <m:e>
                          <m:r>
                            <w:rPr>
                              <w:rFonts w:ascii="Cambria Math" w:hAnsi="Cambria Math"/>
                              <w:sz w:val="20"/>
                              <w:lang w:eastAsia="ja-JP"/>
                            </w:rPr>
                            <m:t>S</m:t>
                          </m:r>
                        </m:e>
                        <m:sup>
                          <m:r>
                            <w:rPr>
                              <w:rFonts w:ascii="Cambria Math" w:hAnsi="Cambria Math"/>
                              <w:sz w:val="20"/>
                              <w:lang w:eastAsia="ja-JP"/>
                            </w:rPr>
                            <m:t>'</m:t>
                          </m:r>
                        </m:sup>
                      </m:sSup>
                      <m:r>
                        <w:rPr>
                          <w:rFonts w:ascii="Cambria Math" w:hAnsi="Cambria Math"/>
                          <w:sz w:val="20"/>
                          <w:lang w:eastAsia="ja-JP"/>
                        </w:rPr>
                        <m:t>)/4096</m:t>
                      </m:r>
                    </m:e>
                  </m:mr>
                </m:m>
              </m:oMath>
            </m:oMathPara>
          </w:p>
        </w:tc>
      </w:tr>
      <w:tr w:rsidR="003A24A6" w:rsidRPr="00C06F9E" w14:paraId="5599943D" w14:textId="77777777" w:rsidTr="00FB58F9">
        <w:tc>
          <w:tcPr>
            <w:tcW w:w="9639" w:type="dxa"/>
            <w:gridSpan w:val="3"/>
            <w:tcBorders>
              <w:top w:val="single" w:sz="4" w:space="0" w:color="auto"/>
              <w:left w:val="nil"/>
              <w:bottom w:val="nil"/>
              <w:right w:val="nil"/>
            </w:tcBorders>
            <w:vAlign w:val="center"/>
          </w:tcPr>
          <w:p w14:paraId="16EC23B2" w14:textId="77777777" w:rsidR="003A24A6" w:rsidRPr="00F624E1" w:rsidRDefault="003A24A6" w:rsidP="00FB58F9">
            <w:pPr>
              <w:pStyle w:val="TableLegendNote"/>
              <w:rPr>
                <w:b/>
                <w:lang w:val="en-GB"/>
              </w:rPr>
            </w:pPr>
            <w:r w:rsidRPr="00F624E1">
              <w:rPr>
                <w:bCs/>
                <w:lang w:val="en-GB"/>
              </w:rPr>
              <w:t>Note 7a</w:t>
            </w:r>
            <w:r w:rsidRPr="00F624E1">
              <w:rPr>
                <w:b/>
                <w:lang w:val="en-GB"/>
              </w:rPr>
              <w:t xml:space="preserve"> – </w:t>
            </w:r>
            <w:r w:rsidRPr="00F624E1">
              <w:rPr>
                <w:lang w:val="en-GB"/>
              </w:rPr>
              <w:t xml:space="preserve">The newly introduced </w:t>
            </w:r>
            <w:r w:rsidRPr="00F624E1">
              <w:rPr>
                <w:i/>
                <w:lang w:val="en-GB" w:eastAsia="ko-KR"/>
              </w:rPr>
              <w:t>I, C</w:t>
            </w:r>
            <w:r w:rsidRPr="00F624E1">
              <w:rPr>
                <w:i/>
                <w:vertAlign w:val="subscript"/>
                <w:lang w:val="en-GB" w:eastAsia="ko-KR"/>
              </w:rPr>
              <w:t xml:space="preserve">T </w:t>
            </w:r>
            <w:r w:rsidRPr="00F624E1">
              <w:rPr>
                <w:lang w:val="en-GB"/>
              </w:rPr>
              <w:t>and</w:t>
            </w:r>
            <w:r w:rsidRPr="00F624E1">
              <w:rPr>
                <w:i/>
                <w:vertAlign w:val="subscript"/>
                <w:lang w:val="en-GB" w:eastAsia="ko-KR"/>
              </w:rPr>
              <w:t xml:space="preserve"> </w:t>
            </w:r>
            <w:r w:rsidRPr="00F624E1">
              <w:rPr>
                <w:i/>
                <w:lang w:val="en-GB" w:eastAsia="ko-KR"/>
              </w:rPr>
              <w:t>C</w:t>
            </w:r>
            <w:r w:rsidRPr="00F624E1">
              <w:rPr>
                <w:i/>
                <w:vertAlign w:val="subscript"/>
                <w:lang w:val="en-GB" w:eastAsia="ko-KR"/>
              </w:rPr>
              <w:t>P</w:t>
            </w:r>
            <w:r w:rsidRPr="00F624E1">
              <w:rPr>
                <w:lang w:val="en-GB"/>
              </w:rPr>
              <w:t xml:space="preserve"> symbols do not employ the prime symbols to simplify the notation.</w:t>
            </w:r>
          </w:p>
          <w:p w14:paraId="7C2224C6" w14:textId="77777777" w:rsidR="003A24A6" w:rsidRPr="00F624E1" w:rsidRDefault="003A24A6" w:rsidP="00FB58F9">
            <w:pPr>
              <w:pStyle w:val="TableLegendNote"/>
              <w:rPr>
                <w:lang w:val="en-GB"/>
              </w:rPr>
            </w:pPr>
            <w:r w:rsidRPr="00F624E1">
              <w:rPr>
                <w:bCs/>
                <w:lang w:val="en-GB"/>
              </w:rPr>
              <w:t>Note 7b</w:t>
            </w:r>
            <w:r w:rsidRPr="00F624E1">
              <w:rPr>
                <w:lang w:val="en-GB"/>
              </w:rPr>
              <w:t xml:space="preserve"> –Colours should be constrained to be within the triangle defined by the RGB colour primaries in Table 2.</w:t>
            </w:r>
          </w:p>
          <w:p w14:paraId="44E9BA36" w14:textId="77777777" w:rsidR="003A24A6" w:rsidRPr="00F624E1" w:rsidRDefault="003A24A6" w:rsidP="00FB58F9">
            <w:pPr>
              <w:pStyle w:val="TableLegendNote"/>
              <w:rPr>
                <w:sz w:val="20"/>
                <w:lang w:val="en-GB"/>
              </w:rPr>
            </w:pPr>
            <w:r w:rsidRPr="00F624E1">
              <w:rPr>
                <w:bCs/>
                <w:lang w:val="en-GB"/>
              </w:rPr>
              <w:t>Note 7c</w:t>
            </w:r>
            <w:r w:rsidRPr="00F624E1">
              <w:rPr>
                <w:b/>
                <w:lang w:val="en-GB"/>
              </w:rPr>
              <w:t xml:space="preserve"> – </w:t>
            </w:r>
            <w:r w:rsidRPr="00F624E1">
              <w:rPr>
                <w:lang w:val="en-GB"/>
              </w:rPr>
              <w:t xml:space="preserve">The subscripts </w:t>
            </w:r>
            <w:r w:rsidRPr="00F624E1">
              <w:rPr>
                <w:i/>
                <w:iCs/>
                <w:lang w:val="en-GB"/>
              </w:rPr>
              <w:t>D</w:t>
            </w:r>
            <w:r w:rsidRPr="00F624E1">
              <w:rPr>
                <w:lang w:val="en-GB"/>
              </w:rPr>
              <w:t xml:space="preserve"> and </w:t>
            </w:r>
            <w:r w:rsidRPr="00F624E1">
              <w:rPr>
                <w:i/>
                <w:iCs/>
                <w:lang w:val="en-GB"/>
              </w:rPr>
              <w:t>S</w:t>
            </w:r>
            <w:r w:rsidRPr="00F624E1">
              <w:rPr>
                <w:lang w:val="en-GB"/>
              </w:rPr>
              <w:t xml:space="preserve"> refer to display light and scene light, respectively.</w:t>
            </w:r>
            <w:r w:rsidRPr="00F624E1">
              <w:rPr>
                <w:sz w:val="20"/>
                <w:lang w:val="en-GB"/>
              </w:rPr>
              <w:t xml:space="preserve"> </w:t>
            </w:r>
          </w:p>
        </w:tc>
      </w:tr>
    </w:tbl>
    <w:p w14:paraId="7FD8D434" w14:textId="77777777" w:rsidR="003A24A6" w:rsidRPr="00F624E1" w:rsidRDefault="003A24A6" w:rsidP="003A24A6">
      <w:pPr>
        <w:pStyle w:val="Tablefin"/>
      </w:pPr>
    </w:p>
    <w:p w14:paraId="3C51CC3F" w14:textId="77777777" w:rsidR="003A24A6" w:rsidRPr="00F624E1" w:rsidRDefault="003A24A6" w:rsidP="003A24A6">
      <w:pPr>
        <w:pStyle w:val="TableNo"/>
      </w:pPr>
      <w:r w:rsidRPr="00F624E1">
        <w:t>TABLE 8</w:t>
      </w:r>
    </w:p>
    <w:p w14:paraId="29156262" w14:textId="77777777" w:rsidR="003A24A6" w:rsidRPr="00F624E1" w:rsidRDefault="003A24A6" w:rsidP="003A24A6">
      <w:pPr>
        <w:pStyle w:val="Tabletitle"/>
      </w:pPr>
      <w:r w:rsidRPr="00F624E1">
        <w:t>Colour sub-sampling</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2"/>
        <w:gridCol w:w="2208"/>
        <w:gridCol w:w="2366"/>
        <w:gridCol w:w="2153"/>
      </w:tblGrid>
      <w:tr w:rsidR="003A24A6" w:rsidRPr="00F624E1" w14:paraId="7FDD6178" w14:textId="77777777" w:rsidTr="00FB58F9">
        <w:trPr>
          <w:cantSplit/>
          <w:tblHeader/>
          <w:jc w:val="center"/>
        </w:trPr>
        <w:tc>
          <w:tcPr>
            <w:tcW w:w="2912" w:type="dxa"/>
            <w:vAlign w:val="center"/>
          </w:tcPr>
          <w:p w14:paraId="346C06BE" w14:textId="77777777" w:rsidR="003A24A6" w:rsidRPr="00F624E1" w:rsidRDefault="003A24A6" w:rsidP="00FB58F9">
            <w:pPr>
              <w:pStyle w:val="Tablehead"/>
            </w:pPr>
            <w:r w:rsidRPr="00F624E1">
              <w:t>Parameters</w:t>
            </w:r>
          </w:p>
        </w:tc>
        <w:tc>
          <w:tcPr>
            <w:tcW w:w="6727" w:type="dxa"/>
            <w:gridSpan w:val="3"/>
            <w:vAlign w:val="center"/>
          </w:tcPr>
          <w:p w14:paraId="2F4B8941" w14:textId="77777777" w:rsidR="003A24A6" w:rsidRPr="00F624E1" w:rsidRDefault="003A24A6" w:rsidP="00FB58F9">
            <w:pPr>
              <w:pStyle w:val="Tablehead"/>
            </w:pPr>
            <w:r w:rsidRPr="00F624E1">
              <w:t>Values</w:t>
            </w:r>
          </w:p>
        </w:tc>
      </w:tr>
      <w:tr w:rsidR="003A24A6" w:rsidRPr="005246EA" w14:paraId="46528766" w14:textId="77777777" w:rsidTr="00FB58F9">
        <w:trPr>
          <w:cantSplit/>
          <w:jc w:val="center"/>
        </w:trPr>
        <w:tc>
          <w:tcPr>
            <w:tcW w:w="2912" w:type="dxa"/>
            <w:vAlign w:val="center"/>
          </w:tcPr>
          <w:p w14:paraId="6AF13725" w14:textId="77777777" w:rsidR="003A24A6" w:rsidRPr="00F624E1" w:rsidRDefault="003A24A6" w:rsidP="00FB58F9">
            <w:pPr>
              <w:pStyle w:val="Tabletext"/>
              <w:rPr>
                <w:lang w:eastAsia="ko-KR"/>
              </w:rPr>
            </w:pPr>
            <w:r w:rsidRPr="00F624E1">
              <w:rPr>
                <w:lang w:eastAsia="ko-KR"/>
              </w:rPr>
              <w:t>Coded signal</w:t>
            </w:r>
          </w:p>
        </w:tc>
        <w:tc>
          <w:tcPr>
            <w:tcW w:w="6727" w:type="dxa"/>
            <w:gridSpan w:val="3"/>
            <w:vAlign w:val="center"/>
          </w:tcPr>
          <w:p w14:paraId="42DD7EB4" w14:textId="77777777" w:rsidR="003A24A6" w:rsidRPr="00F624E1" w:rsidRDefault="003A24A6" w:rsidP="00FB58F9">
            <w:pPr>
              <w:pStyle w:val="Tabletext"/>
              <w:jc w:val="center"/>
              <w:rPr>
                <w:b/>
                <w:vertAlign w:val="superscript"/>
                <w:lang w:eastAsia="ja-JP"/>
              </w:rPr>
            </w:pPr>
            <w:r w:rsidRPr="00F624E1">
              <w:rPr>
                <w:i/>
                <w:lang w:eastAsia="ko-KR"/>
              </w:rPr>
              <w:t>R',</w:t>
            </w:r>
            <w:r w:rsidRPr="00F624E1">
              <w:rPr>
                <w:i/>
                <w:lang w:eastAsia="ja-JP"/>
              </w:rPr>
              <w:t xml:space="preserve"> </w:t>
            </w:r>
            <w:r w:rsidRPr="00F624E1">
              <w:rPr>
                <w:i/>
                <w:lang w:eastAsia="ko-KR"/>
              </w:rPr>
              <w:t>G', B' or Y', C'</w:t>
            </w:r>
            <w:r w:rsidRPr="00F624E1">
              <w:rPr>
                <w:i/>
                <w:vertAlign w:val="subscript"/>
                <w:lang w:eastAsia="ko-KR"/>
              </w:rPr>
              <w:t>B</w:t>
            </w:r>
            <w:r w:rsidRPr="00F624E1">
              <w:rPr>
                <w:i/>
                <w:lang w:eastAsia="ko-KR"/>
              </w:rPr>
              <w:t>, C'</w:t>
            </w:r>
            <w:r w:rsidRPr="00F624E1">
              <w:rPr>
                <w:i/>
                <w:vertAlign w:val="subscript"/>
                <w:lang w:eastAsia="ko-KR"/>
              </w:rPr>
              <w:t>R,</w:t>
            </w:r>
            <w:r w:rsidRPr="00F624E1">
              <w:rPr>
                <w:i/>
                <w:lang w:eastAsia="ko-KR"/>
              </w:rPr>
              <w:t xml:space="preserve"> , or I, C</w:t>
            </w:r>
            <w:r w:rsidRPr="00F624E1">
              <w:rPr>
                <w:i/>
                <w:vertAlign w:val="subscript"/>
                <w:lang w:eastAsia="ko-KR"/>
              </w:rPr>
              <w:t xml:space="preserve">T, </w:t>
            </w:r>
            <w:r w:rsidRPr="00F624E1">
              <w:rPr>
                <w:i/>
                <w:lang w:eastAsia="ko-KR"/>
              </w:rPr>
              <w:t>C</w:t>
            </w:r>
            <w:r w:rsidRPr="00F624E1">
              <w:rPr>
                <w:i/>
                <w:vertAlign w:val="subscript"/>
                <w:lang w:eastAsia="ko-KR"/>
              </w:rPr>
              <w:t>P</w:t>
            </w:r>
          </w:p>
        </w:tc>
      </w:tr>
      <w:tr w:rsidR="003A24A6" w:rsidRPr="00C06F9E" w14:paraId="68C1EB31" w14:textId="77777777" w:rsidTr="00FB58F9">
        <w:trPr>
          <w:cantSplit/>
          <w:jc w:val="center"/>
        </w:trPr>
        <w:tc>
          <w:tcPr>
            <w:tcW w:w="2912" w:type="dxa"/>
            <w:vAlign w:val="center"/>
          </w:tcPr>
          <w:p w14:paraId="67211CE2" w14:textId="77777777" w:rsidR="003A24A6" w:rsidRPr="00F624E1" w:rsidRDefault="003A24A6" w:rsidP="00FB58F9">
            <w:pPr>
              <w:pStyle w:val="Tabletext"/>
              <w:rPr>
                <w:lang w:eastAsia="ko-KR"/>
              </w:rPr>
            </w:pPr>
            <w:r w:rsidRPr="00F624E1">
              <w:rPr>
                <w:lang w:eastAsia="ko-KR"/>
              </w:rPr>
              <w:t>Sampling lattice</w:t>
            </w:r>
          </w:p>
          <w:p w14:paraId="7C5DF938" w14:textId="77777777" w:rsidR="003A24A6" w:rsidRPr="00F624E1" w:rsidRDefault="003A24A6" w:rsidP="00FB58F9">
            <w:pPr>
              <w:pStyle w:val="Tabletext"/>
              <w:rPr>
                <w:lang w:eastAsia="ja-JP"/>
              </w:rPr>
            </w:pPr>
            <w:r w:rsidRPr="00F624E1">
              <w:rPr>
                <w:lang w:eastAsia="ko-KR"/>
              </w:rPr>
              <w:t>–</w:t>
            </w:r>
            <w:r w:rsidRPr="00F624E1">
              <w:rPr>
                <w:i/>
                <w:lang w:eastAsia="ko-KR"/>
              </w:rPr>
              <w:t xml:space="preserve"> R',</w:t>
            </w:r>
            <w:r w:rsidRPr="00F624E1">
              <w:rPr>
                <w:i/>
                <w:lang w:eastAsia="ja-JP"/>
              </w:rPr>
              <w:t xml:space="preserve"> </w:t>
            </w:r>
            <w:r w:rsidRPr="00F624E1">
              <w:rPr>
                <w:i/>
                <w:lang w:eastAsia="ko-KR"/>
              </w:rPr>
              <w:t>G', B', Y', I</w:t>
            </w:r>
          </w:p>
        </w:tc>
        <w:tc>
          <w:tcPr>
            <w:tcW w:w="6727" w:type="dxa"/>
            <w:gridSpan w:val="3"/>
            <w:vAlign w:val="center"/>
          </w:tcPr>
          <w:p w14:paraId="3C2EC17F" w14:textId="77777777" w:rsidR="003A24A6" w:rsidRPr="00F624E1" w:rsidRDefault="003A24A6" w:rsidP="00FB58F9">
            <w:pPr>
              <w:pStyle w:val="Tabletext"/>
              <w:jc w:val="center"/>
              <w:rPr>
                <w:lang w:eastAsia="ko-KR"/>
              </w:rPr>
            </w:pPr>
            <w:r w:rsidRPr="00F624E1">
              <w:rPr>
                <w:lang w:eastAsia="ko-KR"/>
              </w:rPr>
              <w:t>Orthogonal, line and picture repetitive co-sited</w:t>
            </w:r>
          </w:p>
        </w:tc>
      </w:tr>
      <w:tr w:rsidR="003A24A6" w:rsidRPr="005246EA" w14:paraId="5CF2050A" w14:textId="77777777" w:rsidTr="00FB58F9">
        <w:trPr>
          <w:cantSplit/>
          <w:jc w:val="center"/>
        </w:trPr>
        <w:tc>
          <w:tcPr>
            <w:tcW w:w="2912" w:type="dxa"/>
            <w:vMerge w:val="restart"/>
            <w:vAlign w:val="center"/>
          </w:tcPr>
          <w:p w14:paraId="7268B0A2" w14:textId="77777777" w:rsidR="003A24A6" w:rsidRPr="00F624E1" w:rsidRDefault="003A24A6" w:rsidP="00FB58F9">
            <w:pPr>
              <w:pStyle w:val="Tabletext"/>
              <w:rPr>
                <w:lang w:eastAsia="ko-KR"/>
              </w:rPr>
            </w:pPr>
            <w:r w:rsidRPr="00F624E1">
              <w:rPr>
                <w:lang w:eastAsia="ko-KR"/>
              </w:rPr>
              <w:t>Sampling lattice</w:t>
            </w:r>
          </w:p>
          <w:p w14:paraId="354D1E07" w14:textId="77777777" w:rsidR="003A24A6" w:rsidRPr="00F624E1" w:rsidRDefault="003A24A6" w:rsidP="00FB58F9">
            <w:pPr>
              <w:pStyle w:val="Tabletext"/>
              <w:rPr>
                <w:lang w:eastAsia="ja-JP"/>
              </w:rPr>
            </w:pPr>
            <w:r w:rsidRPr="00F624E1">
              <w:rPr>
                <w:lang w:eastAsia="ko-KR"/>
              </w:rPr>
              <w:t xml:space="preserve">– </w:t>
            </w:r>
            <w:r w:rsidRPr="00F624E1">
              <w:rPr>
                <w:i/>
                <w:lang w:eastAsia="ko-KR"/>
              </w:rPr>
              <w:t>C'</w:t>
            </w:r>
            <w:r w:rsidRPr="00F624E1">
              <w:rPr>
                <w:i/>
                <w:vertAlign w:val="subscript"/>
                <w:lang w:eastAsia="ko-KR"/>
              </w:rPr>
              <w:t>B</w:t>
            </w:r>
            <w:r w:rsidRPr="00F624E1">
              <w:rPr>
                <w:i/>
                <w:lang w:eastAsia="ko-KR"/>
              </w:rPr>
              <w:t>, C'</w:t>
            </w:r>
            <w:r w:rsidRPr="00F624E1">
              <w:rPr>
                <w:i/>
                <w:vertAlign w:val="subscript"/>
                <w:lang w:eastAsia="ko-KR"/>
              </w:rPr>
              <w:t>R</w:t>
            </w:r>
            <w:r w:rsidRPr="00F624E1">
              <w:rPr>
                <w:i/>
                <w:lang w:eastAsia="ko-KR"/>
              </w:rPr>
              <w:t>, C</w:t>
            </w:r>
            <w:r w:rsidRPr="00F624E1">
              <w:rPr>
                <w:i/>
                <w:vertAlign w:val="subscript"/>
                <w:lang w:eastAsia="ko-KR"/>
              </w:rPr>
              <w:t>T</w:t>
            </w:r>
            <w:r w:rsidRPr="00F624E1">
              <w:rPr>
                <w:i/>
                <w:lang w:eastAsia="ko-KR"/>
              </w:rPr>
              <w:t>, C</w:t>
            </w:r>
            <w:r w:rsidRPr="00F624E1">
              <w:rPr>
                <w:i/>
                <w:vertAlign w:val="subscript"/>
                <w:lang w:eastAsia="ko-KR"/>
              </w:rPr>
              <w:t>P</w:t>
            </w:r>
          </w:p>
        </w:tc>
        <w:tc>
          <w:tcPr>
            <w:tcW w:w="6727" w:type="dxa"/>
            <w:gridSpan w:val="3"/>
            <w:vAlign w:val="center"/>
          </w:tcPr>
          <w:p w14:paraId="6A85D106" w14:textId="77777777" w:rsidR="003A24A6" w:rsidRPr="00F624E1" w:rsidRDefault="003A24A6" w:rsidP="00FB58F9">
            <w:pPr>
              <w:pStyle w:val="Tabletext"/>
              <w:jc w:val="center"/>
              <w:rPr>
                <w:lang w:eastAsia="ja-JP"/>
              </w:rPr>
            </w:pPr>
            <w:r w:rsidRPr="00F624E1">
              <w:rPr>
                <w:lang w:eastAsia="ko-KR"/>
              </w:rPr>
              <w:t>Orthogonal, line and picture repetitive co-sited with each other</w:t>
            </w:r>
            <w:r w:rsidRPr="00F624E1">
              <w:rPr>
                <w:lang w:eastAsia="ja-JP"/>
              </w:rPr>
              <w:t>.</w:t>
            </w:r>
          </w:p>
          <w:p w14:paraId="2AB0D542" w14:textId="77777777" w:rsidR="003A24A6" w:rsidRPr="00F624E1" w:rsidRDefault="003A24A6" w:rsidP="00FB58F9">
            <w:pPr>
              <w:pStyle w:val="Tabletext"/>
              <w:jc w:val="center"/>
              <w:rPr>
                <w:lang w:eastAsia="ja-JP"/>
              </w:rPr>
            </w:pPr>
            <w:r w:rsidRPr="00F624E1">
              <w:rPr>
                <w:lang w:eastAsia="ko-KR"/>
              </w:rPr>
              <w:t>The first (top-left) sample is co-sited with the first</w:t>
            </w:r>
            <w:r w:rsidRPr="00F624E1">
              <w:rPr>
                <w:i/>
                <w:lang w:eastAsia="ko-KR"/>
              </w:rPr>
              <w:t xml:space="preserve"> Y'</w:t>
            </w:r>
            <w:r w:rsidRPr="00F624E1">
              <w:rPr>
                <w:lang w:eastAsia="ko-KR"/>
              </w:rPr>
              <w:t xml:space="preserve"> or </w:t>
            </w:r>
            <w:r w:rsidRPr="00F624E1">
              <w:rPr>
                <w:i/>
                <w:lang w:eastAsia="ko-KR"/>
              </w:rPr>
              <w:t>I</w:t>
            </w:r>
            <w:r w:rsidRPr="00F624E1">
              <w:rPr>
                <w:lang w:eastAsia="ko-KR"/>
              </w:rPr>
              <w:t xml:space="preserve"> samples</w:t>
            </w:r>
            <w:r w:rsidRPr="00F624E1">
              <w:rPr>
                <w:lang w:eastAsia="ja-JP"/>
              </w:rPr>
              <w:t>.</w:t>
            </w:r>
          </w:p>
        </w:tc>
      </w:tr>
      <w:tr w:rsidR="003A24A6" w:rsidRPr="00F624E1" w14:paraId="71C810AD" w14:textId="77777777" w:rsidTr="00FB58F9">
        <w:trPr>
          <w:cantSplit/>
          <w:jc w:val="center"/>
        </w:trPr>
        <w:tc>
          <w:tcPr>
            <w:tcW w:w="2912" w:type="dxa"/>
            <w:vMerge/>
            <w:vAlign w:val="center"/>
          </w:tcPr>
          <w:p w14:paraId="4BB83616" w14:textId="77777777" w:rsidR="003A24A6" w:rsidRPr="00F624E1" w:rsidRDefault="003A24A6" w:rsidP="00FB58F9">
            <w:pPr>
              <w:pStyle w:val="Tabletext"/>
              <w:rPr>
                <w:lang w:eastAsia="ko-KR"/>
              </w:rPr>
            </w:pPr>
          </w:p>
        </w:tc>
        <w:tc>
          <w:tcPr>
            <w:tcW w:w="2208" w:type="dxa"/>
            <w:vAlign w:val="center"/>
          </w:tcPr>
          <w:p w14:paraId="74FFC195" w14:textId="77777777" w:rsidR="003A24A6" w:rsidRPr="00F624E1" w:rsidRDefault="003A24A6" w:rsidP="00FB58F9">
            <w:pPr>
              <w:pStyle w:val="Tabletext"/>
              <w:jc w:val="center"/>
              <w:rPr>
                <w:lang w:eastAsia="ko-KR"/>
              </w:rPr>
            </w:pPr>
            <w:r w:rsidRPr="00F624E1">
              <w:rPr>
                <w:lang w:eastAsia="ja-JP"/>
              </w:rPr>
              <w:t>4:4:4 system</w:t>
            </w:r>
          </w:p>
        </w:tc>
        <w:tc>
          <w:tcPr>
            <w:tcW w:w="2366" w:type="dxa"/>
            <w:vAlign w:val="center"/>
          </w:tcPr>
          <w:p w14:paraId="12B257EF" w14:textId="77777777" w:rsidR="003A24A6" w:rsidRPr="00F624E1" w:rsidRDefault="003A24A6" w:rsidP="00FB58F9">
            <w:pPr>
              <w:pStyle w:val="Tabletext"/>
              <w:jc w:val="center"/>
              <w:rPr>
                <w:lang w:eastAsia="ja-JP"/>
              </w:rPr>
            </w:pPr>
            <w:r w:rsidRPr="00F624E1">
              <w:rPr>
                <w:lang w:eastAsia="ja-JP"/>
              </w:rPr>
              <w:t>4:2:2 system</w:t>
            </w:r>
          </w:p>
        </w:tc>
        <w:tc>
          <w:tcPr>
            <w:tcW w:w="2153" w:type="dxa"/>
            <w:vAlign w:val="center"/>
          </w:tcPr>
          <w:p w14:paraId="5EE42764" w14:textId="77777777" w:rsidR="003A24A6" w:rsidRPr="00F624E1" w:rsidRDefault="003A24A6" w:rsidP="00FB58F9">
            <w:pPr>
              <w:pStyle w:val="Tabletext"/>
              <w:jc w:val="center"/>
              <w:rPr>
                <w:lang w:eastAsia="ko-KR"/>
              </w:rPr>
            </w:pPr>
            <w:r w:rsidRPr="00F624E1">
              <w:rPr>
                <w:lang w:eastAsia="ja-JP"/>
              </w:rPr>
              <w:t>4:2:0 system</w:t>
            </w:r>
          </w:p>
        </w:tc>
      </w:tr>
      <w:tr w:rsidR="003A24A6" w:rsidRPr="00C06F9E" w14:paraId="589707B9" w14:textId="77777777" w:rsidTr="00FB58F9">
        <w:trPr>
          <w:cantSplit/>
          <w:jc w:val="center"/>
        </w:trPr>
        <w:tc>
          <w:tcPr>
            <w:tcW w:w="2912" w:type="dxa"/>
            <w:vMerge/>
            <w:vAlign w:val="center"/>
          </w:tcPr>
          <w:p w14:paraId="2334A586" w14:textId="77777777" w:rsidR="003A24A6" w:rsidRPr="00F624E1" w:rsidRDefault="003A24A6" w:rsidP="00FB58F9">
            <w:pPr>
              <w:pStyle w:val="Tabletext"/>
              <w:rPr>
                <w:lang w:eastAsia="ko-KR"/>
              </w:rPr>
            </w:pPr>
          </w:p>
        </w:tc>
        <w:tc>
          <w:tcPr>
            <w:tcW w:w="2208" w:type="dxa"/>
            <w:vAlign w:val="center"/>
          </w:tcPr>
          <w:p w14:paraId="35BED614" w14:textId="77777777" w:rsidR="003A24A6" w:rsidRPr="00F624E1" w:rsidRDefault="003A24A6" w:rsidP="00FB58F9">
            <w:pPr>
              <w:pStyle w:val="Tabletext"/>
              <w:jc w:val="center"/>
              <w:rPr>
                <w:lang w:eastAsia="ko-KR"/>
              </w:rPr>
            </w:pPr>
            <w:r w:rsidRPr="00F624E1">
              <w:rPr>
                <w:lang w:eastAsia="ja-JP"/>
              </w:rPr>
              <w:t xml:space="preserve">Each has the same number of horizontal samples as the </w:t>
            </w:r>
            <w:r w:rsidRPr="00F624E1">
              <w:rPr>
                <w:i/>
                <w:lang w:eastAsia="ko-KR"/>
              </w:rPr>
              <w:t>Y'</w:t>
            </w:r>
            <w:r w:rsidRPr="00F624E1">
              <w:rPr>
                <w:lang w:eastAsia="ja-JP"/>
              </w:rPr>
              <w:t xml:space="preserve"> or </w:t>
            </w:r>
            <w:r w:rsidRPr="00F624E1">
              <w:rPr>
                <w:i/>
                <w:lang w:eastAsia="ja-JP"/>
              </w:rPr>
              <w:t>I</w:t>
            </w:r>
            <w:r w:rsidRPr="00F624E1">
              <w:rPr>
                <w:lang w:eastAsia="ja-JP"/>
              </w:rPr>
              <w:t xml:space="preserve"> component.</w:t>
            </w:r>
          </w:p>
        </w:tc>
        <w:tc>
          <w:tcPr>
            <w:tcW w:w="2366" w:type="dxa"/>
            <w:vAlign w:val="center"/>
          </w:tcPr>
          <w:p w14:paraId="75279348" w14:textId="77777777" w:rsidR="003A24A6" w:rsidRPr="00F624E1" w:rsidRDefault="003A24A6" w:rsidP="00FB58F9">
            <w:pPr>
              <w:pStyle w:val="Tabletext"/>
              <w:jc w:val="center"/>
              <w:rPr>
                <w:lang w:eastAsia="ja-JP"/>
              </w:rPr>
            </w:pPr>
            <w:r w:rsidRPr="00F624E1">
              <w:rPr>
                <w:lang w:eastAsia="ja-JP"/>
              </w:rPr>
              <w:t xml:space="preserve">Horizontally subsampled by a factor of two with respect to the </w:t>
            </w:r>
            <w:r w:rsidRPr="00F624E1">
              <w:rPr>
                <w:i/>
                <w:lang w:eastAsia="ko-KR"/>
              </w:rPr>
              <w:t>Y'</w:t>
            </w:r>
            <w:r w:rsidRPr="00F624E1" w:rsidDel="00A74A34">
              <w:rPr>
                <w:i/>
                <w:lang w:eastAsia="ko-KR"/>
              </w:rPr>
              <w:t xml:space="preserve"> </w:t>
            </w:r>
            <w:r w:rsidRPr="00F624E1">
              <w:rPr>
                <w:iCs/>
                <w:lang w:eastAsia="ko-KR"/>
              </w:rPr>
              <w:t>or</w:t>
            </w:r>
            <w:r w:rsidRPr="00F624E1">
              <w:rPr>
                <w:i/>
                <w:lang w:eastAsia="ko-KR"/>
              </w:rPr>
              <w:t xml:space="preserve"> I </w:t>
            </w:r>
            <w:r w:rsidRPr="00F624E1">
              <w:rPr>
                <w:lang w:eastAsia="ja-JP"/>
              </w:rPr>
              <w:t>component.</w:t>
            </w:r>
          </w:p>
        </w:tc>
        <w:tc>
          <w:tcPr>
            <w:tcW w:w="2153" w:type="dxa"/>
            <w:vAlign w:val="center"/>
          </w:tcPr>
          <w:p w14:paraId="0A4A1F14" w14:textId="77777777" w:rsidR="003A24A6" w:rsidRPr="00F624E1" w:rsidRDefault="003A24A6" w:rsidP="00FB58F9">
            <w:pPr>
              <w:pStyle w:val="Tabletext"/>
              <w:jc w:val="center"/>
              <w:rPr>
                <w:lang w:eastAsia="ko-KR"/>
              </w:rPr>
            </w:pPr>
            <w:r w:rsidRPr="00F624E1">
              <w:rPr>
                <w:lang w:eastAsia="ja-JP"/>
              </w:rPr>
              <w:t>Horizontally and vertically subsampled by a factor of two with respect to the</w:t>
            </w:r>
            <w:r w:rsidRPr="00F624E1">
              <w:rPr>
                <w:lang w:eastAsia="ko-KR"/>
              </w:rPr>
              <w:t xml:space="preserve"> </w:t>
            </w:r>
            <w:r w:rsidRPr="00F624E1">
              <w:rPr>
                <w:i/>
                <w:lang w:eastAsia="ko-KR"/>
              </w:rPr>
              <w:t xml:space="preserve">Y' </w:t>
            </w:r>
            <w:r w:rsidRPr="00F624E1">
              <w:rPr>
                <w:iCs/>
                <w:lang w:eastAsia="ko-KR"/>
              </w:rPr>
              <w:t>or</w:t>
            </w:r>
            <w:r w:rsidRPr="00F624E1">
              <w:rPr>
                <w:i/>
                <w:lang w:eastAsia="ko-KR"/>
              </w:rPr>
              <w:t xml:space="preserve"> I </w:t>
            </w:r>
            <w:r w:rsidRPr="00F624E1">
              <w:rPr>
                <w:lang w:eastAsia="ja-JP"/>
              </w:rPr>
              <w:t>component.</w:t>
            </w:r>
          </w:p>
        </w:tc>
      </w:tr>
    </w:tbl>
    <w:p w14:paraId="35102CA8" w14:textId="77777777" w:rsidR="003A24A6" w:rsidRPr="00F624E1" w:rsidRDefault="003A24A6" w:rsidP="003A24A6">
      <w:pPr>
        <w:pStyle w:val="Tablefin"/>
      </w:pPr>
    </w:p>
    <w:p w14:paraId="488E0AD0" w14:textId="77777777" w:rsidR="003A24A6" w:rsidRPr="00F624E1" w:rsidRDefault="003A24A6" w:rsidP="003A24A6">
      <w:r w:rsidRPr="00F624E1">
        <w:t>Table 9 describes two different signal representations, “narrow” and “full”. The narrow range representation is in widespread use and is considered the default. The full range representation is newly introduced in this Recommendation and should not be used for programme exchange unless all parties agree.</w:t>
      </w:r>
    </w:p>
    <w:p w14:paraId="0C41A8FA" w14:textId="77777777" w:rsidR="003A24A6" w:rsidRPr="00F624E1" w:rsidRDefault="003A24A6" w:rsidP="003A24A6">
      <w:pPr>
        <w:pStyle w:val="TableNo"/>
      </w:pPr>
      <w:r w:rsidRPr="00F624E1">
        <w:lastRenderedPageBreak/>
        <w:t>TABLE 9</w:t>
      </w:r>
    </w:p>
    <w:p w14:paraId="4DFC4960" w14:textId="77777777" w:rsidR="003A24A6" w:rsidRPr="00F624E1" w:rsidRDefault="003A24A6" w:rsidP="003A24A6">
      <w:pPr>
        <w:pStyle w:val="Tabletitle"/>
      </w:pPr>
      <w:r w:rsidRPr="00F624E1">
        <w:t>Digital 10- and 12-bit integer representation</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754"/>
        <w:gridCol w:w="1673"/>
        <w:gridCol w:w="1534"/>
        <w:gridCol w:w="1701"/>
      </w:tblGrid>
      <w:tr w:rsidR="003A24A6" w:rsidRPr="00F624E1" w14:paraId="5FDA1589" w14:textId="77777777" w:rsidTr="00FB58F9">
        <w:trPr>
          <w:cantSplit/>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6297B772" w14:textId="77777777" w:rsidR="003A24A6" w:rsidRPr="00F624E1" w:rsidRDefault="003A24A6" w:rsidP="00FB58F9">
            <w:pPr>
              <w:pStyle w:val="Tablehead"/>
            </w:pPr>
            <w:r w:rsidRPr="00F624E1">
              <w:t>Parameters</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71658CDE" w14:textId="77777777" w:rsidR="003A24A6" w:rsidRPr="00F624E1" w:rsidRDefault="003A24A6" w:rsidP="00FB58F9">
            <w:pPr>
              <w:pStyle w:val="Tablehead"/>
            </w:pPr>
            <w:r w:rsidRPr="00F624E1">
              <w:t>Values</w:t>
            </w:r>
          </w:p>
        </w:tc>
      </w:tr>
      <w:tr w:rsidR="003A24A6" w:rsidRPr="00C06F9E" w14:paraId="78C4E13D" w14:textId="77777777" w:rsidTr="00FB58F9">
        <w:trPr>
          <w:cantSplit/>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4C791065" w14:textId="77777777" w:rsidR="003A24A6" w:rsidRPr="00F624E1" w:rsidRDefault="003A24A6" w:rsidP="00FB58F9">
            <w:pPr>
              <w:pStyle w:val="Tabletext"/>
              <w:rPr>
                <w:lang w:eastAsia="ko-KR"/>
              </w:rPr>
            </w:pPr>
            <w:r w:rsidRPr="00F624E1">
              <w:rPr>
                <w:lang w:eastAsia="ko-KR"/>
              </w:rPr>
              <w:t>Coded signal</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5B76D48C" w14:textId="77777777" w:rsidR="003A24A6" w:rsidRPr="00F624E1" w:rsidRDefault="003A24A6" w:rsidP="00FB58F9">
            <w:pPr>
              <w:pStyle w:val="Tabletext"/>
              <w:jc w:val="center"/>
              <w:rPr>
                <w:i/>
                <w:lang w:eastAsia="ko-KR"/>
              </w:rPr>
            </w:pPr>
            <w:r w:rsidRPr="00F624E1">
              <w:rPr>
                <w:i/>
                <w:lang w:eastAsia="ko-KR"/>
              </w:rPr>
              <w:t>R',</w:t>
            </w:r>
            <w:r w:rsidRPr="00F624E1">
              <w:rPr>
                <w:i/>
                <w:lang w:eastAsia="ja-JP"/>
              </w:rPr>
              <w:t xml:space="preserve"> </w:t>
            </w:r>
            <w:r w:rsidRPr="00F624E1">
              <w:rPr>
                <w:i/>
                <w:lang w:eastAsia="ko-KR"/>
              </w:rPr>
              <w:t>G', B' or Y', C'</w:t>
            </w:r>
            <w:r w:rsidRPr="00F624E1">
              <w:rPr>
                <w:i/>
                <w:vertAlign w:val="subscript"/>
                <w:lang w:eastAsia="ko-KR"/>
              </w:rPr>
              <w:t>B</w:t>
            </w:r>
            <w:r w:rsidRPr="00F624E1">
              <w:rPr>
                <w:i/>
                <w:lang w:eastAsia="ko-KR"/>
              </w:rPr>
              <w:t>, C'</w:t>
            </w:r>
            <w:r w:rsidRPr="00F624E1">
              <w:rPr>
                <w:i/>
                <w:vertAlign w:val="subscript"/>
                <w:lang w:eastAsia="ko-KR"/>
              </w:rPr>
              <w:t>R</w:t>
            </w:r>
            <w:r w:rsidRPr="00F624E1">
              <w:rPr>
                <w:i/>
                <w:lang w:eastAsia="ko-KR"/>
              </w:rPr>
              <w:t>, or I, C</w:t>
            </w:r>
            <w:r w:rsidRPr="00F624E1">
              <w:rPr>
                <w:i/>
                <w:vertAlign w:val="subscript"/>
                <w:lang w:eastAsia="ko-KR"/>
              </w:rPr>
              <w:t xml:space="preserve">T, </w:t>
            </w:r>
            <w:r w:rsidRPr="00F624E1">
              <w:rPr>
                <w:i/>
                <w:lang w:eastAsia="ko-KR"/>
              </w:rPr>
              <w:t>C</w:t>
            </w:r>
            <w:r w:rsidRPr="00F624E1">
              <w:rPr>
                <w:i/>
                <w:vertAlign w:val="subscript"/>
                <w:lang w:eastAsia="ko-KR"/>
              </w:rPr>
              <w:t>P</w:t>
            </w:r>
          </w:p>
        </w:tc>
      </w:tr>
      <w:tr w:rsidR="003A24A6" w:rsidRPr="00F624E1" w14:paraId="72D60635" w14:textId="77777777" w:rsidTr="00FB58F9">
        <w:trPr>
          <w:cantSplit/>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401CDF5" w14:textId="77777777" w:rsidR="003A24A6" w:rsidRPr="00F624E1" w:rsidRDefault="003A24A6" w:rsidP="00FB58F9">
            <w:pPr>
              <w:pStyle w:val="Tabletext"/>
              <w:rPr>
                <w:lang w:eastAsia="ko-KR"/>
              </w:rPr>
            </w:pPr>
            <w:r w:rsidRPr="00F624E1">
              <w:rPr>
                <w:lang w:eastAsia="ko-KR"/>
              </w:rPr>
              <w:t>Coding format</w:t>
            </w:r>
          </w:p>
        </w:tc>
        <w:tc>
          <w:tcPr>
            <w:tcW w:w="6662" w:type="dxa"/>
            <w:gridSpan w:val="4"/>
            <w:tcBorders>
              <w:top w:val="single" w:sz="4" w:space="0" w:color="000000"/>
              <w:left w:val="single" w:sz="4" w:space="0" w:color="000000"/>
              <w:bottom w:val="single" w:sz="4" w:space="0" w:color="000000"/>
              <w:right w:val="single" w:sz="4" w:space="0" w:color="000000"/>
            </w:tcBorders>
            <w:vAlign w:val="center"/>
            <w:hideMark/>
          </w:tcPr>
          <w:p w14:paraId="4446FFF4" w14:textId="77777777" w:rsidR="003A24A6" w:rsidRPr="00F624E1" w:rsidRDefault="003A24A6" w:rsidP="00FB58F9">
            <w:pPr>
              <w:pStyle w:val="Tabletext"/>
              <w:jc w:val="center"/>
              <w:rPr>
                <w:lang w:eastAsia="ko-KR"/>
              </w:rPr>
            </w:pPr>
            <w:r w:rsidRPr="00F624E1">
              <w:rPr>
                <w:i/>
                <w:lang w:eastAsia="ko-KR"/>
              </w:rPr>
              <w:t>n</w:t>
            </w:r>
            <w:r w:rsidRPr="00F624E1">
              <w:rPr>
                <w:lang w:eastAsia="ko-KR"/>
              </w:rPr>
              <w:t xml:space="preserve"> = 10, 12 bits per component</w:t>
            </w:r>
          </w:p>
        </w:tc>
      </w:tr>
      <w:tr w:rsidR="003A24A6" w:rsidRPr="00F624E1" w14:paraId="5893BA3A" w14:textId="77777777" w:rsidTr="00FB58F9">
        <w:trPr>
          <w:cantSplit/>
          <w:trHeight w:val="218"/>
          <w:tblHeader/>
          <w:jc w:val="center"/>
        </w:trPr>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17B925E7" w14:textId="77777777" w:rsidR="003A24A6" w:rsidRPr="00F624E1" w:rsidRDefault="003A24A6" w:rsidP="007740D0">
            <w:pPr>
              <w:pStyle w:val="Tabletext"/>
              <w:jc w:val="left"/>
              <w:rPr>
                <w:i/>
                <w:lang w:eastAsia="ko-KR"/>
              </w:rPr>
            </w:pPr>
            <w:r w:rsidRPr="00F624E1">
              <w:rPr>
                <w:lang w:eastAsia="ko-KR"/>
              </w:rPr>
              <w:t xml:space="preserve">Quantization of </w:t>
            </w:r>
            <w:r w:rsidRPr="00F624E1">
              <w:rPr>
                <w:i/>
                <w:lang w:eastAsia="ko-KR"/>
              </w:rPr>
              <w:t>R',</w:t>
            </w:r>
            <w:r w:rsidRPr="00F624E1">
              <w:rPr>
                <w:i/>
                <w:lang w:eastAsia="ja-JP"/>
              </w:rPr>
              <w:t xml:space="preserve"> </w:t>
            </w:r>
            <w:r w:rsidRPr="00F624E1">
              <w:rPr>
                <w:i/>
                <w:lang w:eastAsia="ko-KR"/>
              </w:rPr>
              <w:t>G', B', Y', I</w:t>
            </w:r>
          </w:p>
          <w:p w14:paraId="34EFD221" w14:textId="77777777" w:rsidR="003A24A6" w:rsidRPr="00F624E1" w:rsidRDefault="003A24A6" w:rsidP="007740D0">
            <w:pPr>
              <w:pStyle w:val="Tabletext"/>
              <w:jc w:val="left"/>
              <w:rPr>
                <w:lang w:eastAsia="ko-KR"/>
              </w:rPr>
            </w:pPr>
            <w:r w:rsidRPr="00F624E1">
              <w:rPr>
                <w:lang w:eastAsia="ko-KR"/>
              </w:rPr>
              <w:t>(resulting values that exceed the video data range should be clipped to the video data range)</w:t>
            </w:r>
          </w:p>
        </w:tc>
        <w:tc>
          <w:tcPr>
            <w:tcW w:w="3427" w:type="dxa"/>
            <w:gridSpan w:val="2"/>
            <w:tcBorders>
              <w:top w:val="single" w:sz="4" w:space="0" w:color="000000"/>
              <w:left w:val="single" w:sz="4" w:space="0" w:color="000000"/>
              <w:bottom w:val="single" w:sz="4" w:space="0" w:color="000000"/>
              <w:right w:val="single" w:sz="4" w:space="0" w:color="000000"/>
            </w:tcBorders>
            <w:vAlign w:val="center"/>
            <w:hideMark/>
          </w:tcPr>
          <w:p w14:paraId="6F5D1334" w14:textId="77777777" w:rsidR="003A24A6" w:rsidRPr="00F624E1" w:rsidRDefault="003A24A6" w:rsidP="00FB58F9">
            <w:pPr>
              <w:pStyle w:val="Tabletext"/>
              <w:jc w:val="center"/>
              <w:rPr>
                <w:lang w:eastAsia="ja-JP"/>
              </w:rPr>
            </w:pPr>
            <w:r w:rsidRPr="00F624E1">
              <w:rPr>
                <w:lang w:eastAsia="ja-JP"/>
              </w:rPr>
              <w:t>Narrow range</w:t>
            </w:r>
          </w:p>
        </w:tc>
        <w:tc>
          <w:tcPr>
            <w:tcW w:w="3235" w:type="dxa"/>
            <w:gridSpan w:val="2"/>
            <w:tcBorders>
              <w:top w:val="single" w:sz="4" w:space="0" w:color="000000"/>
              <w:left w:val="single" w:sz="4" w:space="0" w:color="000000"/>
              <w:bottom w:val="single" w:sz="4" w:space="0" w:color="000000"/>
              <w:right w:val="single" w:sz="4" w:space="0" w:color="000000"/>
            </w:tcBorders>
            <w:vAlign w:val="center"/>
            <w:hideMark/>
          </w:tcPr>
          <w:p w14:paraId="60B69C36" w14:textId="77777777" w:rsidR="003A24A6" w:rsidRPr="00F624E1" w:rsidRDefault="003A24A6" w:rsidP="00FB58F9">
            <w:pPr>
              <w:pStyle w:val="Tabletext"/>
              <w:jc w:val="center"/>
              <w:rPr>
                <w:lang w:eastAsia="ja-JP"/>
              </w:rPr>
            </w:pPr>
            <w:r w:rsidRPr="00F624E1">
              <w:rPr>
                <w:lang w:eastAsia="ja-JP"/>
              </w:rPr>
              <w:t>Full range</w:t>
            </w:r>
          </w:p>
        </w:tc>
      </w:tr>
      <w:tr w:rsidR="003A24A6" w:rsidRPr="00F624E1" w14:paraId="2794FBEA" w14:textId="77777777" w:rsidTr="00FB58F9">
        <w:trPr>
          <w:cantSplit/>
          <w:trHeight w:val="217"/>
          <w:tblHeader/>
          <w:jc w:val="center"/>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65C3184" w14:textId="77777777" w:rsidR="003A24A6" w:rsidRPr="00F624E1" w:rsidRDefault="003A24A6" w:rsidP="007740D0">
            <w:pPr>
              <w:pStyle w:val="Tabletext"/>
              <w:jc w:val="left"/>
              <w:rPr>
                <w:lang w:eastAsia="ko-KR"/>
              </w:rPr>
            </w:pPr>
          </w:p>
        </w:tc>
        <w:tc>
          <w:tcPr>
            <w:tcW w:w="3427" w:type="dxa"/>
            <w:gridSpan w:val="2"/>
            <w:tcBorders>
              <w:top w:val="single" w:sz="4" w:space="0" w:color="000000"/>
              <w:left w:val="single" w:sz="4" w:space="0" w:color="000000"/>
              <w:bottom w:val="single" w:sz="4" w:space="0" w:color="000000"/>
              <w:right w:val="single" w:sz="4" w:space="0" w:color="000000"/>
            </w:tcBorders>
            <w:vAlign w:val="center"/>
            <w:hideMark/>
          </w:tcPr>
          <w:p w14:paraId="09E464C1" w14:textId="77777777" w:rsidR="003A24A6" w:rsidRPr="00F624E1" w:rsidRDefault="003A24A6" w:rsidP="00FB58F9">
            <w:pPr>
              <w:pStyle w:val="Tabletext"/>
              <w:jc w:val="center"/>
              <w:rPr>
                <w:lang w:eastAsia="ja-JP"/>
              </w:rPr>
            </w:pPr>
            <w:r w:rsidRPr="00F624E1">
              <w:rPr>
                <w:i/>
                <w:iCs/>
                <w:lang w:eastAsia="ja-JP"/>
              </w:rPr>
              <w:t>D</w:t>
            </w:r>
            <w:r w:rsidRPr="00F624E1">
              <w:rPr>
                <w:lang w:eastAsia="ja-JP"/>
              </w:rPr>
              <w:t xml:space="preserve"> = </w:t>
            </w:r>
            <w:r w:rsidRPr="00F624E1">
              <w:rPr>
                <w:iCs/>
                <w:lang w:eastAsia="ja-JP"/>
              </w:rPr>
              <w:t>Round</w:t>
            </w:r>
            <w:r w:rsidRPr="00F624E1">
              <w:rPr>
                <w:i/>
                <w:iCs/>
                <w:lang w:eastAsia="ja-JP"/>
              </w:rPr>
              <w:t xml:space="preserve"> </w:t>
            </w:r>
            <w:r w:rsidRPr="00F624E1">
              <w:rPr>
                <w:lang w:eastAsia="ja-JP"/>
              </w:rPr>
              <w:t xml:space="preserve">[(219 </w:t>
            </w:r>
            <w:r w:rsidRPr="00F624E1">
              <w:rPr>
                <w:lang w:eastAsia="ja-JP"/>
              </w:rPr>
              <w:sym w:font="Symbol" w:char="F0B4"/>
            </w:r>
            <w:r w:rsidRPr="00F624E1">
              <w:rPr>
                <w:lang w:eastAsia="ja-JP"/>
              </w:rPr>
              <w:t xml:space="preserve"> </w:t>
            </w:r>
            <w:r w:rsidRPr="00F624E1">
              <w:rPr>
                <w:i/>
                <w:iCs/>
                <w:lang w:eastAsia="ja-JP"/>
              </w:rPr>
              <w:t>E</w:t>
            </w:r>
            <w:r w:rsidRPr="00F624E1">
              <w:rPr>
                <w:lang w:eastAsia="ja-JP"/>
              </w:rPr>
              <w:t xml:space="preserve">′ + 16) </w:t>
            </w:r>
            <w:r w:rsidRPr="00F624E1">
              <w:rPr>
                <w:lang w:eastAsia="ja-JP"/>
              </w:rPr>
              <w:sym w:font="Symbol" w:char="F0B4"/>
            </w:r>
            <w:r w:rsidRPr="00F624E1">
              <w:rPr>
                <w:lang w:eastAsia="ja-JP"/>
              </w:rPr>
              <w:t xml:space="preserve"> 2</w:t>
            </w:r>
            <w:r w:rsidRPr="00F624E1">
              <w:rPr>
                <w:i/>
                <w:iCs/>
                <w:vertAlign w:val="superscript"/>
                <w:lang w:eastAsia="ja-JP"/>
              </w:rPr>
              <w:t>n</w:t>
            </w:r>
            <w:r w:rsidRPr="00F624E1">
              <w:rPr>
                <w:vertAlign w:val="superscript"/>
                <w:lang w:eastAsia="ja-JP"/>
              </w:rPr>
              <w:t>−8</w:t>
            </w:r>
            <w:r w:rsidRPr="00F624E1">
              <w:rPr>
                <w:lang w:eastAsia="ja-JP"/>
              </w:rPr>
              <w:t>]</w:t>
            </w:r>
          </w:p>
        </w:tc>
        <w:tc>
          <w:tcPr>
            <w:tcW w:w="3235" w:type="dxa"/>
            <w:gridSpan w:val="2"/>
            <w:tcBorders>
              <w:top w:val="single" w:sz="4" w:space="0" w:color="000000"/>
              <w:left w:val="single" w:sz="4" w:space="0" w:color="000000"/>
              <w:bottom w:val="single" w:sz="4" w:space="0" w:color="000000"/>
              <w:right w:val="single" w:sz="4" w:space="0" w:color="000000"/>
            </w:tcBorders>
            <w:vAlign w:val="center"/>
            <w:hideMark/>
          </w:tcPr>
          <w:p w14:paraId="19FA04C0" w14:textId="77777777" w:rsidR="003A24A6" w:rsidRPr="00F624E1" w:rsidRDefault="003A24A6" w:rsidP="00FB58F9">
            <w:pPr>
              <w:pStyle w:val="Tabletext"/>
              <w:jc w:val="center"/>
              <w:rPr>
                <w:lang w:eastAsia="ja-JP"/>
              </w:rPr>
            </w:pPr>
            <w:r w:rsidRPr="00F624E1">
              <w:rPr>
                <w:i/>
                <w:iCs/>
                <w:lang w:eastAsia="ja-JP"/>
              </w:rPr>
              <w:t>D</w:t>
            </w:r>
            <w:r w:rsidRPr="00F624E1">
              <w:rPr>
                <w:lang w:eastAsia="ja-JP"/>
              </w:rPr>
              <w:t xml:space="preserve"> = </w:t>
            </w:r>
            <w:r w:rsidRPr="00F624E1">
              <w:rPr>
                <w:iCs/>
                <w:lang w:eastAsia="ja-JP"/>
              </w:rPr>
              <w:t xml:space="preserve">Round </w:t>
            </w:r>
            <w:r w:rsidRPr="00F624E1">
              <w:rPr>
                <w:lang w:eastAsia="ja-JP"/>
              </w:rPr>
              <w:t>[(2</w:t>
            </w:r>
            <w:r w:rsidRPr="00F624E1">
              <w:rPr>
                <w:i/>
                <w:vertAlign w:val="superscript"/>
                <w:lang w:eastAsia="ja-JP"/>
              </w:rPr>
              <w:t>n</w:t>
            </w:r>
            <w:r w:rsidRPr="00F624E1">
              <w:rPr>
                <w:lang w:eastAsia="ja-JP"/>
              </w:rPr>
              <w:t xml:space="preserve">-1) </w:t>
            </w:r>
            <w:r w:rsidRPr="00F624E1">
              <w:rPr>
                <w:lang w:eastAsia="ja-JP"/>
              </w:rPr>
              <w:sym w:font="Symbol" w:char="F0B4"/>
            </w:r>
            <w:r w:rsidRPr="00F624E1">
              <w:rPr>
                <w:lang w:eastAsia="ja-JP"/>
              </w:rPr>
              <w:t xml:space="preserve"> </w:t>
            </w:r>
            <w:r w:rsidRPr="00F624E1">
              <w:rPr>
                <w:i/>
                <w:iCs/>
                <w:lang w:eastAsia="ja-JP"/>
              </w:rPr>
              <w:t>E</w:t>
            </w:r>
            <w:r w:rsidRPr="00F624E1">
              <w:rPr>
                <w:lang w:eastAsia="ja-JP"/>
              </w:rPr>
              <w:t>′]</w:t>
            </w:r>
          </w:p>
        </w:tc>
      </w:tr>
      <w:tr w:rsidR="003A24A6" w:rsidRPr="00F624E1" w14:paraId="4629655D"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19910266" w14:textId="77777777" w:rsidR="003A24A6" w:rsidRPr="00F624E1" w:rsidRDefault="003A24A6" w:rsidP="007740D0">
            <w:pPr>
              <w:pStyle w:val="Tabletext"/>
              <w:jc w:val="left"/>
              <w:rPr>
                <w:i/>
                <w:vertAlign w:val="subscript"/>
                <w:lang w:eastAsia="ko-KR"/>
              </w:rPr>
            </w:pPr>
            <w:r w:rsidRPr="00F624E1">
              <w:rPr>
                <w:lang w:eastAsia="ko-KR"/>
              </w:rPr>
              <w:t xml:space="preserve">Quantization of </w:t>
            </w:r>
            <w:r w:rsidRPr="00F624E1">
              <w:rPr>
                <w:i/>
                <w:lang w:eastAsia="ko-KR"/>
              </w:rPr>
              <w:t>C'</w:t>
            </w:r>
            <w:r w:rsidRPr="00F624E1">
              <w:rPr>
                <w:i/>
                <w:vertAlign w:val="subscript"/>
                <w:lang w:eastAsia="ko-KR"/>
              </w:rPr>
              <w:t>B</w:t>
            </w:r>
            <w:r w:rsidRPr="00F624E1">
              <w:rPr>
                <w:i/>
                <w:lang w:eastAsia="ko-KR"/>
              </w:rPr>
              <w:t>, C'</w:t>
            </w:r>
            <w:r w:rsidRPr="00F624E1">
              <w:rPr>
                <w:i/>
                <w:vertAlign w:val="subscript"/>
                <w:lang w:eastAsia="ko-KR"/>
              </w:rPr>
              <w:t>R,</w:t>
            </w:r>
            <w:r w:rsidRPr="00F624E1">
              <w:rPr>
                <w:i/>
                <w:lang w:eastAsia="ko-KR"/>
              </w:rPr>
              <w:t xml:space="preserve"> C</w:t>
            </w:r>
            <w:r w:rsidRPr="00F624E1">
              <w:rPr>
                <w:i/>
                <w:vertAlign w:val="subscript"/>
                <w:lang w:eastAsia="ko-KR"/>
              </w:rPr>
              <w:t>T</w:t>
            </w:r>
            <w:r w:rsidRPr="00F624E1">
              <w:rPr>
                <w:i/>
                <w:lang w:eastAsia="ko-KR"/>
              </w:rPr>
              <w:t>, C</w:t>
            </w:r>
            <w:r w:rsidRPr="00F624E1">
              <w:rPr>
                <w:i/>
                <w:vertAlign w:val="subscript"/>
                <w:lang w:eastAsia="ko-KR"/>
              </w:rPr>
              <w:t>P</w:t>
            </w:r>
          </w:p>
          <w:p w14:paraId="6B15B3FB" w14:textId="77777777" w:rsidR="003A24A6" w:rsidRPr="00F624E1" w:rsidRDefault="003A24A6" w:rsidP="007740D0">
            <w:pPr>
              <w:pStyle w:val="Tabletext"/>
              <w:jc w:val="left"/>
              <w:rPr>
                <w:lang w:eastAsia="ko-KR"/>
              </w:rPr>
            </w:pPr>
            <w:r w:rsidRPr="00F624E1">
              <w:rPr>
                <w:lang w:eastAsia="ko-KR"/>
              </w:rPr>
              <w:t>(resulting values that exceed the video data range should be clipped to the video data range)</w:t>
            </w:r>
          </w:p>
        </w:tc>
        <w:tc>
          <w:tcPr>
            <w:tcW w:w="3427" w:type="dxa"/>
            <w:gridSpan w:val="2"/>
            <w:tcBorders>
              <w:top w:val="single" w:sz="4" w:space="0" w:color="000000"/>
              <w:left w:val="single" w:sz="4" w:space="0" w:color="000000"/>
              <w:bottom w:val="single" w:sz="4" w:space="0" w:color="000000"/>
              <w:right w:val="single" w:sz="4" w:space="0" w:color="000000"/>
            </w:tcBorders>
            <w:vAlign w:val="center"/>
            <w:hideMark/>
          </w:tcPr>
          <w:p w14:paraId="3AA6957A" w14:textId="77777777" w:rsidR="003A24A6" w:rsidRPr="00F624E1" w:rsidRDefault="003A24A6" w:rsidP="00FB58F9">
            <w:pPr>
              <w:pStyle w:val="Tabletext"/>
              <w:jc w:val="center"/>
              <w:rPr>
                <w:lang w:eastAsia="ja-JP"/>
              </w:rPr>
            </w:pPr>
            <w:r w:rsidRPr="00F624E1">
              <w:rPr>
                <w:i/>
                <w:iCs/>
                <w:lang w:eastAsia="ja-JP"/>
              </w:rPr>
              <w:t>D</w:t>
            </w:r>
            <w:r w:rsidRPr="00F624E1">
              <w:rPr>
                <w:lang w:eastAsia="ja-JP"/>
              </w:rPr>
              <w:t xml:space="preserve"> = </w:t>
            </w:r>
            <w:r w:rsidRPr="00F624E1">
              <w:rPr>
                <w:iCs/>
                <w:lang w:eastAsia="ja-JP"/>
              </w:rPr>
              <w:t>Round</w:t>
            </w:r>
            <w:r w:rsidRPr="00F624E1">
              <w:rPr>
                <w:i/>
                <w:iCs/>
                <w:lang w:eastAsia="ja-JP"/>
              </w:rPr>
              <w:t xml:space="preserve"> </w:t>
            </w:r>
            <w:r w:rsidRPr="00F624E1">
              <w:rPr>
                <w:lang w:eastAsia="ja-JP"/>
              </w:rPr>
              <w:t xml:space="preserve">[(224 </w:t>
            </w:r>
            <w:r w:rsidRPr="00F624E1">
              <w:rPr>
                <w:lang w:eastAsia="ja-JP"/>
              </w:rPr>
              <w:sym w:font="Symbol" w:char="F0B4"/>
            </w:r>
            <w:r w:rsidRPr="00F624E1">
              <w:rPr>
                <w:lang w:eastAsia="ja-JP"/>
              </w:rPr>
              <w:t xml:space="preserve"> </w:t>
            </w:r>
            <w:r w:rsidRPr="00F624E1">
              <w:rPr>
                <w:i/>
                <w:iCs/>
                <w:lang w:eastAsia="ja-JP"/>
              </w:rPr>
              <w:t>E</w:t>
            </w:r>
            <w:r w:rsidRPr="00F624E1">
              <w:rPr>
                <w:lang w:eastAsia="ja-JP"/>
              </w:rPr>
              <w:t xml:space="preserve">′ + 128) </w:t>
            </w:r>
            <w:r w:rsidRPr="00F624E1">
              <w:rPr>
                <w:lang w:eastAsia="ja-JP"/>
              </w:rPr>
              <w:sym w:font="Symbol" w:char="F0B4"/>
            </w:r>
            <w:r w:rsidRPr="00F624E1">
              <w:rPr>
                <w:lang w:eastAsia="ja-JP"/>
              </w:rPr>
              <w:t xml:space="preserve"> 2</w:t>
            </w:r>
            <w:r w:rsidRPr="00F624E1">
              <w:rPr>
                <w:i/>
                <w:iCs/>
                <w:vertAlign w:val="superscript"/>
                <w:lang w:eastAsia="ja-JP"/>
              </w:rPr>
              <w:t>n</w:t>
            </w:r>
            <w:r w:rsidRPr="00F624E1">
              <w:rPr>
                <w:vertAlign w:val="superscript"/>
                <w:lang w:eastAsia="ja-JP"/>
              </w:rPr>
              <w:t>−8</w:t>
            </w:r>
            <w:r w:rsidRPr="00F624E1">
              <w:rPr>
                <w:lang w:eastAsia="ja-JP"/>
              </w:rPr>
              <w:t>]</w:t>
            </w:r>
          </w:p>
        </w:tc>
        <w:tc>
          <w:tcPr>
            <w:tcW w:w="3235" w:type="dxa"/>
            <w:gridSpan w:val="2"/>
            <w:tcBorders>
              <w:top w:val="single" w:sz="4" w:space="0" w:color="000000"/>
              <w:left w:val="single" w:sz="4" w:space="0" w:color="000000"/>
              <w:bottom w:val="single" w:sz="4" w:space="0" w:color="000000"/>
              <w:right w:val="single" w:sz="4" w:space="0" w:color="000000"/>
            </w:tcBorders>
            <w:vAlign w:val="center"/>
            <w:hideMark/>
          </w:tcPr>
          <w:p w14:paraId="23C13560" w14:textId="77777777" w:rsidR="003A24A6" w:rsidRPr="00F624E1" w:rsidRDefault="003A24A6" w:rsidP="00FB58F9">
            <w:pPr>
              <w:pStyle w:val="Tabletext"/>
              <w:jc w:val="center"/>
              <w:rPr>
                <w:lang w:eastAsia="ja-JP"/>
              </w:rPr>
            </w:pPr>
            <w:r w:rsidRPr="00F624E1">
              <w:rPr>
                <w:i/>
                <w:iCs/>
                <w:lang w:eastAsia="ja-JP"/>
              </w:rPr>
              <w:t xml:space="preserve">D = </w:t>
            </w:r>
            <w:r w:rsidRPr="00F624E1">
              <w:rPr>
                <w:iCs/>
                <w:lang w:eastAsia="ja-JP"/>
              </w:rPr>
              <w:t>Round [(2</w:t>
            </w:r>
            <w:r w:rsidRPr="00F624E1">
              <w:rPr>
                <w:i/>
                <w:vertAlign w:val="superscript"/>
                <w:lang w:eastAsia="ja-JP"/>
              </w:rPr>
              <w:t>n</w:t>
            </w:r>
            <w:r w:rsidRPr="00F624E1">
              <w:rPr>
                <w:iCs/>
                <w:lang w:eastAsia="ja-JP"/>
              </w:rPr>
              <w:t xml:space="preserve">-1) </w:t>
            </w:r>
            <w:r w:rsidRPr="00F624E1">
              <w:rPr>
                <w:iCs/>
                <w:lang w:eastAsia="ja-JP"/>
              </w:rPr>
              <w:sym w:font="Symbol" w:char="F0B4"/>
            </w:r>
            <w:r w:rsidRPr="00F624E1">
              <w:rPr>
                <w:iCs/>
                <w:lang w:eastAsia="ja-JP"/>
              </w:rPr>
              <w:t xml:space="preserve"> </w:t>
            </w:r>
            <w:r w:rsidRPr="00F624E1">
              <w:rPr>
                <w:i/>
                <w:iCs/>
                <w:lang w:eastAsia="ja-JP"/>
              </w:rPr>
              <w:t xml:space="preserve">E′ </w:t>
            </w:r>
            <w:r w:rsidRPr="00F624E1">
              <w:rPr>
                <w:iCs/>
                <w:lang w:eastAsia="ja-JP"/>
              </w:rPr>
              <w:t>+ 2</w:t>
            </w:r>
            <w:r w:rsidRPr="00F624E1">
              <w:rPr>
                <w:i/>
                <w:vertAlign w:val="superscript"/>
                <w:lang w:eastAsia="ja-JP"/>
              </w:rPr>
              <w:t>n</w:t>
            </w:r>
            <w:r w:rsidRPr="00F624E1">
              <w:rPr>
                <w:iCs/>
                <w:vertAlign w:val="superscript"/>
                <w:lang w:eastAsia="ja-JP"/>
              </w:rPr>
              <w:t>-1</w:t>
            </w:r>
            <w:r w:rsidRPr="00F624E1">
              <w:rPr>
                <w:iCs/>
                <w:lang w:eastAsia="ja-JP"/>
              </w:rPr>
              <w:t xml:space="preserve">]      </w:t>
            </w:r>
          </w:p>
        </w:tc>
      </w:tr>
      <w:tr w:rsidR="003A24A6" w:rsidRPr="00F624E1" w14:paraId="0D0676D0"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D22712F" w14:textId="77777777" w:rsidR="003A24A6" w:rsidRPr="00F624E1" w:rsidRDefault="003A24A6" w:rsidP="00FB58F9">
            <w:pPr>
              <w:pStyle w:val="Tabletext"/>
              <w:rPr>
                <w:lang w:eastAsia="ko-KR"/>
              </w:rPr>
            </w:pPr>
            <w:r w:rsidRPr="00F624E1">
              <w:rPr>
                <w:lang w:eastAsia="ko-KR"/>
              </w:rPr>
              <w:t>Quantization levels</w:t>
            </w:r>
          </w:p>
        </w:tc>
        <w:tc>
          <w:tcPr>
            <w:tcW w:w="1754" w:type="dxa"/>
            <w:tcBorders>
              <w:top w:val="single" w:sz="4" w:space="0" w:color="000000"/>
              <w:left w:val="single" w:sz="4" w:space="0" w:color="000000"/>
              <w:bottom w:val="single" w:sz="4" w:space="0" w:color="000000"/>
              <w:right w:val="single" w:sz="4" w:space="0" w:color="000000"/>
            </w:tcBorders>
            <w:vAlign w:val="center"/>
            <w:hideMark/>
          </w:tcPr>
          <w:p w14:paraId="6D5CEE17" w14:textId="77777777" w:rsidR="003A24A6" w:rsidRPr="00F624E1" w:rsidRDefault="003A24A6" w:rsidP="00FB58F9">
            <w:pPr>
              <w:pStyle w:val="Tabletext"/>
              <w:jc w:val="center"/>
              <w:rPr>
                <w:position w:val="-10"/>
                <w:lang w:eastAsia="ja-JP"/>
              </w:rPr>
            </w:pPr>
            <w:r w:rsidRPr="00F624E1">
              <w:rPr>
                <w:lang w:eastAsia="ko-KR"/>
              </w:rPr>
              <w:t>10-bit coding</w:t>
            </w:r>
          </w:p>
        </w:tc>
        <w:tc>
          <w:tcPr>
            <w:tcW w:w="1673" w:type="dxa"/>
            <w:tcBorders>
              <w:top w:val="single" w:sz="4" w:space="0" w:color="000000"/>
              <w:left w:val="single" w:sz="4" w:space="0" w:color="000000"/>
              <w:bottom w:val="single" w:sz="4" w:space="0" w:color="000000"/>
              <w:right w:val="single" w:sz="4" w:space="0" w:color="000000"/>
            </w:tcBorders>
            <w:vAlign w:val="center"/>
            <w:hideMark/>
          </w:tcPr>
          <w:p w14:paraId="2126D647" w14:textId="77777777" w:rsidR="003A24A6" w:rsidRPr="00F624E1" w:rsidRDefault="003A24A6" w:rsidP="00FB58F9">
            <w:pPr>
              <w:pStyle w:val="Tabletext"/>
              <w:jc w:val="center"/>
              <w:rPr>
                <w:position w:val="-10"/>
                <w:lang w:eastAsia="ja-JP"/>
              </w:rPr>
            </w:pPr>
            <w:r w:rsidRPr="00F624E1">
              <w:rPr>
                <w:lang w:eastAsia="ko-KR"/>
              </w:rPr>
              <w:t>12-bit coding</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69F72740" w14:textId="77777777" w:rsidR="003A24A6" w:rsidRPr="00F624E1" w:rsidRDefault="003A24A6" w:rsidP="00FB58F9">
            <w:pPr>
              <w:pStyle w:val="Tabletext"/>
              <w:jc w:val="center"/>
              <w:rPr>
                <w:position w:val="-10"/>
                <w:lang w:eastAsia="ja-JP"/>
              </w:rPr>
            </w:pPr>
            <w:r w:rsidRPr="00F624E1">
              <w:rPr>
                <w:lang w:eastAsia="ko-KR"/>
              </w:rPr>
              <w:t>10-bit coding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9A9AAB3" w14:textId="77777777" w:rsidR="003A24A6" w:rsidRPr="00F624E1" w:rsidRDefault="003A24A6" w:rsidP="00FB58F9">
            <w:pPr>
              <w:pStyle w:val="Tabletext"/>
              <w:jc w:val="center"/>
              <w:rPr>
                <w:position w:val="-10"/>
                <w:lang w:eastAsia="ja-JP"/>
              </w:rPr>
            </w:pPr>
            <w:r w:rsidRPr="00F624E1">
              <w:rPr>
                <w:lang w:eastAsia="ko-KR"/>
              </w:rPr>
              <w:t>12-bit coding</w:t>
            </w:r>
          </w:p>
        </w:tc>
      </w:tr>
      <w:tr w:rsidR="003A24A6" w:rsidRPr="00F624E1" w14:paraId="1046F49D"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4C08BE9C" w14:textId="77777777" w:rsidR="003A24A6" w:rsidRPr="00F624E1" w:rsidRDefault="003A24A6" w:rsidP="00FB58F9">
            <w:pPr>
              <w:pStyle w:val="Tabletext"/>
              <w:rPr>
                <w:lang w:eastAsia="ko-KR"/>
              </w:rPr>
            </w:pPr>
            <w:r w:rsidRPr="00F624E1">
              <w:rPr>
                <w:lang w:eastAsia="ko-KR"/>
              </w:rPr>
              <w:t xml:space="preserve">Black </w:t>
            </w:r>
          </w:p>
          <w:p w14:paraId="06855798" w14:textId="77777777" w:rsidR="003A24A6" w:rsidRPr="00F624E1" w:rsidRDefault="003A24A6" w:rsidP="00FB58F9">
            <w:pPr>
              <w:pStyle w:val="Tabletext"/>
              <w:rPr>
                <w:lang w:eastAsia="ko-KR"/>
              </w:rPr>
            </w:pPr>
            <w:r w:rsidRPr="00F624E1">
              <w:rPr>
                <w:lang w:eastAsia="ko-KR"/>
              </w:rPr>
              <w:tab/>
              <w:t>(</w:t>
            </w:r>
            <w:r w:rsidRPr="00F624E1">
              <w:rPr>
                <w:i/>
                <w:lang w:eastAsia="ko-KR"/>
              </w:rPr>
              <w:t xml:space="preserve">R' </w:t>
            </w:r>
            <w:r w:rsidRPr="00F624E1">
              <w:rPr>
                <w:lang w:eastAsia="ko-KR"/>
              </w:rPr>
              <w:t xml:space="preserve">= </w:t>
            </w:r>
            <w:r w:rsidRPr="00F624E1">
              <w:rPr>
                <w:i/>
                <w:lang w:eastAsia="ko-KR"/>
              </w:rPr>
              <w:t xml:space="preserve">G' </w:t>
            </w:r>
            <w:r w:rsidRPr="00F624E1">
              <w:rPr>
                <w:lang w:eastAsia="ko-KR"/>
              </w:rPr>
              <w:t xml:space="preserve">= </w:t>
            </w:r>
            <w:r w:rsidRPr="00F624E1">
              <w:rPr>
                <w:i/>
                <w:lang w:eastAsia="ko-KR"/>
              </w:rPr>
              <w:t xml:space="preserve">B' </w:t>
            </w:r>
            <w:r w:rsidRPr="00F624E1">
              <w:rPr>
                <w:lang w:eastAsia="ko-KR"/>
              </w:rPr>
              <w:t xml:space="preserve">= </w:t>
            </w:r>
            <w:r w:rsidRPr="00F624E1">
              <w:rPr>
                <w:i/>
                <w:lang w:eastAsia="ko-KR"/>
              </w:rPr>
              <w:t xml:space="preserve">Y' </w:t>
            </w:r>
            <w:r w:rsidRPr="00F624E1">
              <w:rPr>
                <w:lang w:eastAsia="ko-KR"/>
              </w:rPr>
              <w:t xml:space="preserve">= </w:t>
            </w:r>
            <w:r w:rsidRPr="00F624E1">
              <w:rPr>
                <w:i/>
                <w:lang w:eastAsia="ko-KR"/>
              </w:rPr>
              <w:t xml:space="preserve">I </w:t>
            </w:r>
            <w:r w:rsidRPr="00F624E1">
              <w:rPr>
                <w:lang w:eastAsia="ko-KR"/>
              </w:rPr>
              <w:t>= 0)</w:t>
            </w:r>
          </w:p>
          <w:p w14:paraId="447E0B6E" w14:textId="77777777" w:rsidR="003A24A6" w:rsidRPr="00692DDD" w:rsidRDefault="003A24A6" w:rsidP="00FB58F9">
            <w:pPr>
              <w:pStyle w:val="Tabletext"/>
              <w:rPr>
                <w:lang w:val="it-IT" w:eastAsia="ko-KR"/>
              </w:rPr>
            </w:pPr>
            <w:r w:rsidRPr="00F624E1">
              <w:rPr>
                <w:lang w:eastAsia="ko-KR"/>
              </w:rPr>
              <w:tab/>
            </w:r>
            <w:r w:rsidRPr="00692DDD">
              <w:rPr>
                <w:i/>
                <w:lang w:val="it-IT" w:eastAsia="ko-KR"/>
              </w:rPr>
              <w:t>DR', DG', DB', DY', DI</w:t>
            </w:r>
          </w:p>
        </w:tc>
        <w:tc>
          <w:tcPr>
            <w:tcW w:w="1754" w:type="dxa"/>
            <w:tcBorders>
              <w:top w:val="single" w:sz="4" w:space="0" w:color="000000"/>
              <w:left w:val="single" w:sz="4" w:space="0" w:color="000000"/>
              <w:bottom w:val="single" w:sz="4" w:space="0" w:color="000000"/>
              <w:right w:val="single" w:sz="4" w:space="0" w:color="000000"/>
            </w:tcBorders>
            <w:vAlign w:val="center"/>
            <w:hideMark/>
          </w:tcPr>
          <w:p w14:paraId="3289510E" w14:textId="77777777" w:rsidR="003A24A6" w:rsidRPr="00F624E1" w:rsidRDefault="003A24A6" w:rsidP="00FB58F9">
            <w:pPr>
              <w:pStyle w:val="Tabletext"/>
              <w:jc w:val="center"/>
              <w:rPr>
                <w:lang w:eastAsia="ja-JP"/>
              </w:rPr>
            </w:pPr>
            <w:r w:rsidRPr="00F624E1">
              <w:rPr>
                <w:lang w:eastAsia="ja-JP"/>
              </w:rPr>
              <w:t>64</w:t>
            </w:r>
          </w:p>
        </w:tc>
        <w:tc>
          <w:tcPr>
            <w:tcW w:w="1673" w:type="dxa"/>
            <w:tcBorders>
              <w:top w:val="single" w:sz="4" w:space="0" w:color="000000"/>
              <w:left w:val="single" w:sz="4" w:space="0" w:color="000000"/>
              <w:bottom w:val="single" w:sz="4" w:space="0" w:color="000000"/>
              <w:right w:val="single" w:sz="4" w:space="0" w:color="000000"/>
            </w:tcBorders>
            <w:vAlign w:val="center"/>
            <w:hideMark/>
          </w:tcPr>
          <w:p w14:paraId="58F7549C" w14:textId="77777777" w:rsidR="003A24A6" w:rsidRPr="00F624E1" w:rsidRDefault="003A24A6" w:rsidP="00FB58F9">
            <w:pPr>
              <w:pStyle w:val="Tabletext"/>
              <w:jc w:val="center"/>
              <w:rPr>
                <w:position w:val="-10"/>
                <w:lang w:eastAsia="ja-JP"/>
              </w:rPr>
            </w:pPr>
            <w:r w:rsidRPr="00F624E1">
              <w:rPr>
                <w:lang w:eastAsia="ja-JP"/>
              </w:rPr>
              <w:t>256</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2375CC4D" w14:textId="77777777" w:rsidR="003A24A6" w:rsidRPr="00F624E1" w:rsidRDefault="003A24A6" w:rsidP="00FB58F9">
            <w:pPr>
              <w:pStyle w:val="Tabletext"/>
              <w:jc w:val="center"/>
              <w:rPr>
                <w:lang w:eastAsia="ja-JP"/>
              </w:rPr>
            </w:pPr>
            <w:r w:rsidRPr="00F624E1">
              <w:rPr>
                <w:lang w:eastAsia="ja-JP"/>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2B6176" w14:textId="77777777" w:rsidR="003A24A6" w:rsidRPr="00F624E1" w:rsidRDefault="003A24A6" w:rsidP="00FB58F9">
            <w:pPr>
              <w:pStyle w:val="Tabletext"/>
              <w:jc w:val="center"/>
              <w:rPr>
                <w:position w:val="-10"/>
                <w:lang w:eastAsia="ja-JP"/>
              </w:rPr>
            </w:pPr>
            <w:r w:rsidRPr="00F624E1">
              <w:rPr>
                <w:position w:val="-10"/>
                <w:lang w:eastAsia="ja-JP"/>
              </w:rPr>
              <w:t>0</w:t>
            </w:r>
          </w:p>
        </w:tc>
      </w:tr>
      <w:tr w:rsidR="003A24A6" w:rsidRPr="00F624E1" w14:paraId="66846DB1"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0D22F18C" w14:textId="77777777" w:rsidR="003A24A6" w:rsidRPr="00F624E1" w:rsidRDefault="003A24A6" w:rsidP="00FB58F9">
            <w:pPr>
              <w:pStyle w:val="Tabletext"/>
              <w:rPr>
                <w:lang w:eastAsia="ko-KR"/>
              </w:rPr>
            </w:pPr>
            <w:r w:rsidRPr="00F624E1">
              <w:rPr>
                <w:lang w:eastAsia="ko-KR"/>
              </w:rPr>
              <w:t xml:space="preserve">Nominal Peak </w:t>
            </w:r>
          </w:p>
          <w:p w14:paraId="1099386B" w14:textId="77777777" w:rsidR="003A24A6" w:rsidRPr="00F624E1" w:rsidRDefault="003A24A6" w:rsidP="00FB58F9">
            <w:pPr>
              <w:pStyle w:val="Tabletext"/>
              <w:rPr>
                <w:lang w:eastAsia="ko-KR"/>
              </w:rPr>
            </w:pPr>
            <w:r w:rsidRPr="00F624E1">
              <w:rPr>
                <w:lang w:eastAsia="ko-KR"/>
              </w:rPr>
              <w:tab/>
              <w:t>(</w:t>
            </w:r>
            <w:r w:rsidRPr="00F624E1">
              <w:rPr>
                <w:i/>
                <w:lang w:eastAsia="ko-KR"/>
              </w:rPr>
              <w:t xml:space="preserve">R' </w:t>
            </w:r>
            <w:r w:rsidRPr="00F624E1">
              <w:rPr>
                <w:lang w:eastAsia="ko-KR"/>
              </w:rPr>
              <w:t xml:space="preserve">= </w:t>
            </w:r>
            <w:r w:rsidRPr="00F624E1">
              <w:rPr>
                <w:i/>
                <w:lang w:eastAsia="ko-KR"/>
              </w:rPr>
              <w:t xml:space="preserve">G' </w:t>
            </w:r>
            <w:r w:rsidRPr="00F624E1">
              <w:rPr>
                <w:lang w:eastAsia="ko-KR"/>
              </w:rPr>
              <w:t xml:space="preserve">= </w:t>
            </w:r>
            <w:r w:rsidRPr="00F624E1">
              <w:rPr>
                <w:i/>
                <w:lang w:eastAsia="ko-KR"/>
              </w:rPr>
              <w:t xml:space="preserve">B' </w:t>
            </w:r>
            <w:r w:rsidRPr="00F624E1">
              <w:rPr>
                <w:lang w:eastAsia="ko-KR"/>
              </w:rPr>
              <w:t xml:space="preserve">= </w:t>
            </w:r>
            <w:r w:rsidRPr="00F624E1">
              <w:rPr>
                <w:i/>
                <w:lang w:eastAsia="ko-KR"/>
              </w:rPr>
              <w:t xml:space="preserve">Y' </w:t>
            </w:r>
            <w:r w:rsidRPr="00F624E1">
              <w:rPr>
                <w:lang w:eastAsia="ko-KR"/>
              </w:rPr>
              <w:t xml:space="preserve">= </w:t>
            </w:r>
            <w:r w:rsidRPr="00F624E1">
              <w:rPr>
                <w:i/>
                <w:lang w:eastAsia="ko-KR"/>
              </w:rPr>
              <w:t xml:space="preserve">I </w:t>
            </w:r>
            <w:r w:rsidRPr="00F624E1">
              <w:rPr>
                <w:lang w:eastAsia="ko-KR"/>
              </w:rPr>
              <w:t>= 1)</w:t>
            </w:r>
          </w:p>
          <w:p w14:paraId="611608F5" w14:textId="77777777" w:rsidR="003A24A6" w:rsidRPr="00692DDD" w:rsidRDefault="003A24A6" w:rsidP="00FB58F9">
            <w:pPr>
              <w:pStyle w:val="Tabletext"/>
              <w:rPr>
                <w:lang w:val="it-IT" w:eastAsia="ko-KR"/>
              </w:rPr>
            </w:pPr>
            <w:r w:rsidRPr="00F624E1">
              <w:rPr>
                <w:i/>
                <w:lang w:eastAsia="ko-KR"/>
              </w:rPr>
              <w:tab/>
            </w:r>
            <w:r w:rsidRPr="00692DDD">
              <w:rPr>
                <w:i/>
                <w:lang w:val="it-IT" w:eastAsia="ko-KR"/>
              </w:rPr>
              <w:t>DR', DG', DB', DY', DI</w:t>
            </w:r>
          </w:p>
        </w:tc>
        <w:tc>
          <w:tcPr>
            <w:tcW w:w="1754" w:type="dxa"/>
            <w:tcBorders>
              <w:top w:val="single" w:sz="4" w:space="0" w:color="000000"/>
              <w:left w:val="single" w:sz="4" w:space="0" w:color="000000"/>
              <w:bottom w:val="single" w:sz="4" w:space="0" w:color="000000"/>
              <w:right w:val="single" w:sz="4" w:space="0" w:color="000000"/>
            </w:tcBorders>
            <w:vAlign w:val="center"/>
            <w:hideMark/>
          </w:tcPr>
          <w:p w14:paraId="25627FAA" w14:textId="77777777" w:rsidR="003A24A6" w:rsidRPr="00F624E1" w:rsidRDefault="003A24A6" w:rsidP="00FB58F9">
            <w:pPr>
              <w:pStyle w:val="Tabletext"/>
              <w:jc w:val="center"/>
              <w:rPr>
                <w:lang w:eastAsia="ja-JP"/>
              </w:rPr>
            </w:pPr>
            <w:r w:rsidRPr="00F624E1">
              <w:rPr>
                <w:lang w:eastAsia="ja-JP"/>
              </w:rPr>
              <w:t>940</w:t>
            </w:r>
          </w:p>
        </w:tc>
        <w:tc>
          <w:tcPr>
            <w:tcW w:w="1673" w:type="dxa"/>
            <w:tcBorders>
              <w:top w:val="single" w:sz="4" w:space="0" w:color="000000"/>
              <w:left w:val="single" w:sz="4" w:space="0" w:color="000000"/>
              <w:bottom w:val="single" w:sz="4" w:space="0" w:color="000000"/>
              <w:right w:val="single" w:sz="4" w:space="0" w:color="000000"/>
            </w:tcBorders>
            <w:vAlign w:val="center"/>
            <w:hideMark/>
          </w:tcPr>
          <w:p w14:paraId="4EC85C5F" w14:textId="77777777" w:rsidR="003A24A6" w:rsidRPr="00F624E1" w:rsidRDefault="003A24A6" w:rsidP="00FB58F9">
            <w:pPr>
              <w:pStyle w:val="Tabletext"/>
              <w:jc w:val="center"/>
              <w:rPr>
                <w:position w:val="-10"/>
                <w:lang w:eastAsia="ja-JP"/>
              </w:rPr>
            </w:pPr>
            <w:r w:rsidRPr="00F624E1">
              <w:rPr>
                <w:lang w:eastAsia="ja-JP"/>
              </w:rPr>
              <w:t>3 760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778C8A84" w14:textId="77777777" w:rsidR="003A24A6" w:rsidRPr="00F624E1" w:rsidRDefault="003A24A6" w:rsidP="00FB58F9">
            <w:pPr>
              <w:pStyle w:val="Tabletext"/>
              <w:jc w:val="center"/>
              <w:rPr>
                <w:lang w:eastAsia="ja-JP"/>
              </w:rPr>
            </w:pPr>
            <w:r w:rsidRPr="00F624E1">
              <w:rPr>
                <w:lang w:eastAsia="ja-JP"/>
              </w:rPr>
              <w:t>1 023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AADA45" w14:textId="77777777" w:rsidR="003A24A6" w:rsidRPr="00F624E1" w:rsidRDefault="003A24A6" w:rsidP="00FB58F9">
            <w:pPr>
              <w:pStyle w:val="Tabletext"/>
              <w:jc w:val="center"/>
              <w:rPr>
                <w:position w:val="-10"/>
                <w:lang w:eastAsia="ja-JP"/>
              </w:rPr>
            </w:pPr>
            <w:r w:rsidRPr="00F624E1">
              <w:rPr>
                <w:position w:val="-10"/>
                <w:lang w:eastAsia="ja-JP"/>
              </w:rPr>
              <w:t>4 095</w:t>
            </w:r>
          </w:p>
        </w:tc>
      </w:tr>
      <w:tr w:rsidR="003A24A6" w:rsidRPr="00F624E1" w14:paraId="466B8A0B"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01711D56" w14:textId="77777777" w:rsidR="003A24A6" w:rsidRPr="00F76593" w:rsidRDefault="003A24A6" w:rsidP="00FB58F9">
            <w:pPr>
              <w:pStyle w:val="Tabletext"/>
              <w:rPr>
                <w:lang w:eastAsia="ko-KR"/>
              </w:rPr>
            </w:pPr>
            <w:r w:rsidRPr="00F76593">
              <w:rPr>
                <w:lang w:eastAsia="ko-KR"/>
              </w:rPr>
              <w:t>Achromatic</w:t>
            </w:r>
          </w:p>
          <w:p w14:paraId="6B7F0D49" w14:textId="77777777" w:rsidR="003A24A6" w:rsidRPr="00F76593" w:rsidRDefault="003A24A6" w:rsidP="00FB58F9">
            <w:pPr>
              <w:pStyle w:val="Tabletext"/>
              <w:rPr>
                <w:lang w:eastAsia="ko-KR"/>
              </w:rPr>
            </w:pPr>
            <w:r w:rsidRPr="00F76593">
              <w:rPr>
                <w:lang w:eastAsia="ko-KR"/>
              </w:rPr>
              <w:tab/>
              <w:t>(</w:t>
            </w:r>
            <w:r w:rsidRPr="00F76593">
              <w:rPr>
                <w:i/>
                <w:lang w:eastAsia="ko-KR"/>
              </w:rPr>
              <w:t>C'</w:t>
            </w:r>
            <w:r w:rsidRPr="00F76593">
              <w:rPr>
                <w:i/>
                <w:vertAlign w:val="subscript"/>
                <w:lang w:eastAsia="ko-KR"/>
              </w:rPr>
              <w:t>B</w:t>
            </w:r>
            <w:r w:rsidRPr="00F76593">
              <w:rPr>
                <w:lang w:eastAsia="ko-KR"/>
              </w:rPr>
              <w:t xml:space="preserve"> = </w:t>
            </w:r>
            <w:r w:rsidRPr="00F76593">
              <w:rPr>
                <w:i/>
                <w:lang w:eastAsia="ko-KR"/>
              </w:rPr>
              <w:t>C'</w:t>
            </w:r>
            <w:r w:rsidRPr="00F76593">
              <w:rPr>
                <w:i/>
                <w:vertAlign w:val="subscript"/>
                <w:lang w:eastAsia="ko-KR"/>
              </w:rPr>
              <w:t>R</w:t>
            </w:r>
            <w:r w:rsidRPr="00F76593">
              <w:rPr>
                <w:lang w:eastAsia="ko-KR"/>
              </w:rPr>
              <w:t xml:space="preserve"> = 0)</w:t>
            </w:r>
          </w:p>
          <w:p w14:paraId="042D8756" w14:textId="77777777" w:rsidR="003A24A6" w:rsidRPr="00F76593" w:rsidRDefault="003A24A6" w:rsidP="00FB58F9">
            <w:pPr>
              <w:pStyle w:val="Tabletext"/>
              <w:rPr>
                <w:lang w:eastAsia="ko-KR"/>
              </w:rPr>
            </w:pPr>
            <w:r w:rsidRPr="00F76593">
              <w:rPr>
                <w:lang w:eastAsia="ko-KR"/>
              </w:rPr>
              <w:tab/>
            </w:r>
            <w:r w:rsidRPr="00F76593">
              <w:rPr>
                <w:i/>
                <w:lang w:eastAsia="ko-KR"/>
              </w:rPr>
              <w:t>DC'</w:t>
            </w:r>
            <w:r w:rsidRPr="00F76593">
              <w:rPr>
                <w:i/>
                <w:vertAlign w:val="subscript"/>
                <w:lang w:eastAsia="ko-KR"/>
              </w:rPr>
              <w:t>B</w:t>
            </w:r>
            <w:r w:rsidRPr="00F76593">
              <w:rPr>
                <w:i/>
                <w:lang w:eastAsia="ko-KR"/>
              </w:rPr>
              <w:t>, DC'</w:t>
            </w:r>
            <w:r w:rsidRPr="00F76593">
              <w:rPr>
                <w:i/>
                <w:vertAlign w:val="subscript"/>
                <w:lang w:eastAsia="ko-KR"/>
              </w:rPr>
              <w:t>R,</w:t>
            </w:r>
            <w:r w:rsidRPr="00F76593">
              <w:rPr>
                <w:i/>
                <w:lang w:eastAsia="ko-KR"/>
              </w:rPr>
              <w:t xml:space="preserve"> DC</w:t>
            </w:r>
            <w:r w:rsidRPr="00F76593">
              <w:rPr>
                <w:i/>
                <w:vertAlign w:val="subscript"/>
                <w:lang w:eastAsia="ko-KR"/>
              </w:rPr>
              <w:t>T</w:t>
            </w:r>
            <w:r w:rsidRPr="00F76593">
              <w:rPr>
                <w:i/>
                <w:lang w:eastAsia="ko-KR"/>
              </w:rPr>
              <w:t>, DC</w:t>
            </w:r>
            <w:r w:rsidRPr="00F76593">
              <w:rPr>
                <w:i/>
                <w:vertAlign w:val="subscript"/>
                <w:lang w:eastAsia="ko-KR"/>
              </w:rPr>
              <w:t>P</w:t>
            </w:r>
          </w:p>
        </w:tc>
        <w:tc>
          <w:tcPr>
            <w:tcW w:w="1754" w:type="dxa"/>
            <w:tcBorders>
              <w:top w:val="single" w:sz="4" w:space="0" w:color="000000"/>
              <w:left w:val="single" w:sz="4" w:space="0" w:color="000000"/>
              <w:bottom w:val="single" w:sz="4" w:space="0" w:color="000000"/>
              <w:right w:val="single" w:sz="4" w:space="0" w:color="000000"/>
            </w:tcBorders>
            <w:vAlign w:val="center"/>
          </w:tcPr>
          <w:p w14:paraId="61AD96C7" w14:textId="77777777" w:rsidR="003A24A6" w:rsidRPr="00F624E1" w:rsidRDefault="003A24A6" w:rsidP="00FB58F9">
            <w:pPr>
              <w:pStyle w:val="Tabletext"/>
              <w:jc w:val="center"/>
              <w:rPr>
                <w:lang w:eastAsia="ja-JP"/>
              </w:rPr>
            </w:pPr>
            <w:r w:rsidRPr="00F624E1">
              <w:rPr>
                <w:lang w:eastAsia="ja-JP"/>
              </w:rPr>
              <w:t>512</w:t>
            </w:r>
          </w:p>
        </w:tc>
        <w:tc>
          <w:tcPr>
            <w:tcW w:w="1673" w:type="dxa"/>
            <w:tcBorders>
              <w:top w:val="single" w:sz="4" w:space="0" w:color="000000"/>
              <w:left w:val="single" w:sz="4" w:space="0" w:color="000000"/>
              <w:bottom w:val="single" w:sz="4" w:space="0" w:color="000000"/>
              <w:right w:val="single" w:sz="4" w:space="0" w:color="000000"/>
            </w:tcBorders>
            <w:vAlign w:val="center"/>
          </w:tcPr>
          <w:p w14:paraId="5B7E3465" w14:textId="77777777" w:rsidR="003A24A6" w:rsidRPr="00F624E1" w:rsidRDefault="003A24A6" w:rsidP="00FB58F9">
            <w:pPr>
              <w:pStyle w:val="Tabletext"/>
              <w:jc w:val="center"/>
              <w:rPr>
                <w:lang w:eastAsia="ja-JP"/>
              </w:rPr>
            </w:pPr>
            <w:r w:rsidRPr="00F624E1">
              <w:rPr>
                <w:position w:val="-10"/>
                <w:lang w:eastAsia="ja-JP"/>
              </w:rPr>
              <w:t>2 048</w:t>
            </w:r>
          </w:p>
        </w:tc>
        <w:tc>
          <w:tcPr>
            <w:tcW w:w="1534" w:type="dxa"/>
            <w:tcBorders>
              <w:top w:val="single" w:sz="4" w:space="0" w:color="000000"/>
              <w:left w:val="single" w:sz="4" w:space="0" w:color="000000"/>
              <w:bottom w:val="single" w:sz="4" w:space="0" w:color="000000"/>
              <w:right w:val="single" w:sz="4" w:space="0" w:color="000000"/>
            </w:tcBorders>
            <w:vAlign w:val="center"/>
          </w:tcPr>
          <w:p w14:paraId="13ACFA4F" w14:textId="77777777" w:rsidR="003A24A6" w:rsidRPr="00F624E1" w:rsidRDefault="003A24A6" w:rsidP="00FB58F9">
            <w:pPr>
              <w:pStyle w:val="Tabletext"/>
              <w:jc w:val="center"/>
              <w:rPr>
                <w:lang w:eastAsia="ja-JP"/>
              </w:rPr>
            </w:pPr>
            <w:r w:rsidRPr="00F624E1">
              <w:rPr>
                <w:position w:val="-10"/>
                <w:lang w:eastAsia="ja-JP"/>
              </w:rPr>
              <w:t>512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B6696" w14:textId="77777777" w:rsidR="003A24A6" w:rsidRPr="00F624E1" w:rsidRDefault="003A24A6" w:rsidP="00FB58F9">
            <w:pPr>
              <w:pStyle w:val="Tabletext"/>
              <w:jc w:val="center"/>
              <w:rPr>
                <w:position w:val="-10"/>
                <w:lang w:eastAsia="ja-JP"/>
              </w:rPr>
            </w:pPr>
            <w:r w:rsidRPr="00F624E1">
              <w:rPr>
                <w:position w:val="-10"/>
                <w:lang w:eastAsia="ja-JP"/>
              </w:rPr>
              <w:t>2 048</w:t>
            </w:r>
          </w:p>
        </w:tc>
      </w:tr>
      <w:tr w:rsidR="003A24A6" w:rsidRPr="00F624E1" w14:paraId="76C22B8B"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269BA416" w14:textId="77777777" w:rsidR="003A24A6" w:rsidRPr="00C06F9E" w:rsidRDefault="003A24A6" w:rsidP="00FB58F9">
            <w:pPr>
              <w:pStyle w:val="Tabletext"/>
              <w:rPr>
                <w:lang w:eastAsia="ko-KR"/>
              </w:rPr>
            </w:pPr>
            <w:r w:rsidRPr="00C06F9E">
              <w:rPr>
                <w:lang w:eastAsia="ko-KR"/>
              </w:rPr>
              <w:t>Nominal Peak</w:t>
            </w:r>
          </w:p>
          <w:p w14:paraId="3BF29C89" w14:textId="77777777" w:rsidR="003A24A6" w:rsidRPr="00C06F9E" w:rsidRDefault="003A24A6" w:rsidP="00FB58F9">
            <w:pPr>
              <w:pStyle w:val="Tabletext"/>
              <w:rPr>
                <w:lang w:eastAsia="ko-KR"/>
              </w:rPr>
            </w:pPr>
            <w:r w:rsidRPr="00C06F9E">
              <w:rPr>
                <w:lang w:eastAsia="ko-KR"/>
              </w:rPr>
              <w:tab/>
              <w:t>(</w:t>
            </w:r>
            <w:r w:rsidRPr="00C06F9E">
              <w:rPr>
                <w:i/>
                <w:lang w:eastAsia="ko-KR"/>
              </w:rPr>
              <w:t>C'</w:t>
            </w:r>
            <w:r w:rsidRPr="00C06F9E">
              <w:rPr>
                <w:i/>
                <w:vertAlign w:val="subscript"/>
                <w:lang w:eastAsia="ko-KR"/>
              </w:rPr>
              <w:t>B</w:t>
            </w:r>
            <w:r w:rsidRPr="00C06F9E">
              <w:rPr>
                <w:lang w:eastAsia="ko-KR"/>
              </w:rPr>
              <w:t xml:space="preserve"> = </w:t>
            </w:r>
            <w:r w:rsidRPr="00C06F9E">
              <w:rPr>
                <w:i/>
                <w:lang w:eastAsia="ko-KR"/>
              </w:rPr>
              <w:t>C'</w:t>
            </w:r>
            <w:r w:rsidRPr="00C06F9E">
              <w:rPr>
                <w:i/>
                <w:vertAlign w:val="subscript"/>
                <w:lang w:eastAsia="ko-KR"/>
              </w:rPr>
              <w:t>R</w:t>
            </w:r>
            <w:r w:rsidRPr="00C06F9E">
              <w:rPr>
                <w:lang w:eastAsia="ko-KR"/>
              </w:rPr>
              <w:t xml:space="preserve"> = +0.5)</w:t>
            </w:r>
          </w:p>
          <w:p w14:paraId="656C049D" w14:textId="77777777" w:rsidR="003A24A6" w:rsidRPr="00C06F9E" w:rsidRDefault="003A24A6" w:rsidP="00FB58F9">
            <w:pPr>
              <w:pStyle w:val="Tabletext"/>
              <w:rPr>
                <w:lang w:eastAsia="ko-KR"/>
              </w:rPr>
            </w:pPr>
            <w:r w:rsidRPr="00C06F9E">
              <w:rPr>
                <w:i/>
                <w:lang w:eastAsia="ja-JP"/>
              </w:rPr>
              <w:tab/>
            </w:r>
            <w:r w:rsidRPr="00C06F9E">
              <w:rPr>
                <w:i/>
                <w:lang w:eastAsia="ko-KR"/>
              </w:rPr>
              <w:t>DC'</w:t>
            </w:r>
            <w:r w:rsidRPr="00C06F9E">
              <w:rPr>
                <w:i/>
                <w:vertAlign w:val="subscript"/>
                <w:lang w:eastAsia="ko-KR"/>
              </w:rPr>
              <w:t>B</w:t>
            </w:r>
            <w:r w:rsidRPr="00C06F9E">
              <w:rPr>
                <w:i/>
                <w:lang w:eastAsia="ko-KR"/>
              </w:rPr>
              <w:t>, DC'</w:t>
            </w:r>
            <w:r w:rsidRPr="00C06F9E">
              <w:rPr>
                <w:i/>
                <w:vertAlign w:val="subscript"/>
                <w:lang w:eastAsia="ko-KR"/>
              </w:rPr>
              <w:t>R</w:t>
            </w:r>
            <w:r w:rsidRPr="00C06F9E">
              <w:rPr>
                <w:i/>
                <w:lang w:eastAsia="ko-KR"/>
              </w:rPr>
              <w:t>, DC</w:t>
            </w:r>
            <w:r w:rsidRPr="00C06F9E">
              <w:rPr>
                <w:i/>
                <w:vertAlign w:val="subscript"/>
                <w:lang w:eastAsia="ko-KR"/>
              </w:rPr>
              <w:t>T</w:t>
            </w:r>
            <w:r w:rsidRPr="00C06F9E">
              <w:rPr>
                <w:i/>
                <w:lang w:eastAsia="ko-KR"/>
              </w:rPr>
              <w:t>, DC</w:t>
            </w:r>
            <w:r w:rsidRPr="00C06F9E">
              <w:rPr>
                <w:i/>
                <w:vertAlign w:val="subscript"/>
                <w:lang w:eastAsia="ko-KR"/>
              </w:rPr>
              <w:t>P</w:t>
            </w:r>
          </w:p>
        </w:tc>
        <w:tc>
          <w:tcPr>
            <w:tcW w:w="1754" w:type="dxa"/>
            <w:tcBorders>
              <w:top w:val="single" w:sz="4" w:space="0" w:color="000000"/>
              <w:left w:val="single" w:sz="4" w:space="0" w:color="000000"/>
              <w:bottom w:val="single" w:sz="4" w:space="0" w:color="000000"/>
              <w:right w:val="single" w:sz="4" w:space="0" w:color="000000"/>
            </w:tcBorders>
            <w:vAlign w:val="center"/>
            <w:hideMark/>
          </w:tcPr>
          <w:p w14:paraId="7BF9FADC" w14:textId="77777777" w:rsidR="003A24A6" w:rsidRPr="00F624E1" w:rsidRDefault="003A24A6" w:rsidP="00FB58F9">
            <w:pPr>
              <w:pStyle w:val="Tabletext"/>
              <w:jc w:val="center"/>
              <w:rPr>
                <w:lang w:eastAsia="ja-JP"/>
              </w:rPr>
            </w:pPr>
            <w:r w:rsidRPr="00F624E1">
              <w:rPr>
                <w:lang w:eastAsia="ja-JP"/>
              </w:rPr>
              <w:t>960</w:t>
            </w:r>
          </w:p>
        </w:tc>
        <w:tc>
          <w:tcPr>
            <w:tcW w:w="1673" w:type="dxa"/>
            <w:tcBorders>
              <w:top w:val="single" w:sz="4" w:space="0" w:color="000000"/>
              <w:left w:val="single" w:sz="4" w:space="0" w:color="000000"/>
              <w:bottom w:val="single" w:sz="4" w:space="0" w:color="000000"/>
              <w:right w:val="single" w:sz="4" w:space="0" w:color="000000"/>
            </w:tcBorders>
            <w:vAlign w:val="center"/>
            <w:hideMark/>
          </w:tcPr>
          <w:p w14:paraId="4019C57B" w14:textId="77777777" w:rsidR="003A24A6" w:rsidRPr="00F624E1" w:rsidRDefault="003A24A6" w:rsidP="00FB58F9">
            <w:pPr>
              <w:pStyle w:val="Tabletext"/>
              <w:jc w:val="center"/>
              <w:rPr>
                <w:position w:val="-10"/>
                <w:lang w:eastAsia="ja-JP"/>
              </w:rPr>
            </w:pPr>
            <w:r w:rsidRPr="00F624E1">
              <w:rPr>
                <w:lang w:eastAsia="ja-JP"/>
              </w:rPr>
              <w:t>3 840</w:t>
            </w:r>
          </w:p>
        </w:tc>
        <w:tc>
          <w:tcPr>
            <w:tcW w:w="1534" w:type="dxa"/>
            <w:tcBorders>
              <w:top w:val="single" w:sz="4" w:space="0" w:color="000000"/>
              <w:left w:val="single" w:sz="4" w:space="0" w:color="000000"/>
              <w:bottom w:val="single" w:sz="4" w:space="0" w:color="000000"/>
              <w:right w:val="single" w:sz="4" w:space="0" w:color="000000"/>
            </w:tcBorders>
            <w:vAlign w:val="center"/>
            <w:hideMark/>
          </w:tcPr>
          <w:p w14:paraId="37B9C764" w14:textId="77777777" w:rsidR="003A24A6" w:rsidRPr="00F624E1" w:rsidRDefault="003A24A6" w:rsidP="00FB58F9">
            <w:pPr>
              <w:pStyle w:val="Tabletext"/>
              <w:jc w:val="center"/>
              <w:rPr>
                <w:lang w:eastAsia="ja-JP"/>
              </w:rPr>
            </w:pPr>
            <w:r w:rsidRPr="00F624E1">
              <w:rPr>
                <w:lang w:eastAsia="ja-JP"/>
              </w:rPr>
              <w:t>1 023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231AA5" w14:textId="77777777" w:rsidR="003A24A6" w:rsidRPr="00F624E1" w:rsidRDefault="003A24A6" w:rsidP="00FB58F9">
            <w:pPr>
              <w:pStyle w:val="Tabletext"/>
              <w:jc w:val="center"/>
              <w:rPr>
                <w:position w:val="-10"/>
                <w:lang w:eastAsia="ja-JP"/>
              </w:rPr>
            </w:pPr>
            <w:r w:rsidRPr="00F624E1">
              <w:rPr>
                <w:position w:val="-10"/>
                <w:lang w:eastAsia="ja-JP"/>
              </w:rPr>
              <w:t>4 095</w:t>
            </w:r>
          </w:p>
        </w:tc>
      </w:tr>
      <w:tr w:rsidR="003A24A6" w:rsidRPr="00F624E1" w14:paraId="4CA92D9C" w14:textId="77777777" w:rsidTr="00FB58F9">
        <w:trPr>
          <w:cantSplit/>
          <w:trHeight w:val="188"/>
          <w:tblHeader/>
          <w:jc w:val="center"/>
        </w:trPr>
        <w:tc>
          <w:tcPr>
            <w:tcW w:w="2977" w:type="dxa"/>
            <w:tcBorders>
              <w:top w:val="single" w:sz="4" w:space="0" w:color="000000"/>
              <w:left w:val="single" w:sz="4" w:space="0" w:color="000000"/>
              <w:bottom w:val="single" w:sz="4" w:space="0" w:color="000000"/>
              <w:right w:val="single" w:sz="4" w:space="0" w:color="000000"/>
            </w:tcBorders>
            <w:vAlign w:val="center"/>
          </w:tcPr>
          <w:p w14:paraId="120D5A3A" w14:textId="77777777" w:rsidR="003A24A6" w:rsidRPr="00C06F9E" w:rsidRDefault="003A24A6" w:rsidP="00FB58F9">
            <w:pPr>
              <w:pStyle w:val="Tabletext"/>
              <w:rPr>
                <w:lang w:eastAsia="ko-KR"/>
              </w:rPr>
            </w:pPr>
            <w:r w:rsidRPr="00C06F9E">
              <w:rPr>
                <w:lang w:eastAsia="ko-KR"/>
              </w:rPr>
              <w:t>Nominal Peak</w:t>
            </w:r>
          </w:p>
          <w:p w14:paraId="254B17BF" w14:textId="77777777" w:rsidR="003A24A6" w:rsidRPr="00C06F9E" w:rsidRDefault="003A24A6" w:rsidP="00FB58F9">
            <w:pPr>
              <w:pStyle w:val="Tabletext"/>
              <w:rPr>
                <w:lang w:eastAsia="ko-KR"/>
              </w:rPr>
            </w:pPr>
            <w:r w:rsidRPr="00C06F9E">
              <w:rPr>
                <w:lang w:eastAsia="ko-KR"/>
              </w:rPr>
              <w:tab/>
              <w:t>(</w:t>
            </w:r>
            <w:r w:rsidRPr="00C06F9E">
              <w:rPr>
                <w:i/>
                <w:lang w:eastAsia="ko-KR"/>
              </w:rPr>
              <w:t>C'</w:t>
            </w:r>
            <w:r w:rsidRPr="00C06F9E">
              <w:rPr>
                <w:i/>
                <w:vertAlign w:val="subscript"/>
                <w:lang w:eastAsia="ko-KR"/>
              </w:rPr>
              <w:t>B</w:t>
            </w:r>
            <w:r w:rsidRPr="00C06F9E">
              <w:rPr>
                <w:lang w:eastAsia="ko-KR"/>
              </w:rPr>
              <w:t xml:space="preserve"> = </w:t>
            </w:r>
            <w:r w:rsidRPr="00C06F9E">
              <w:rPr>
                <w:i/>
                <w:lang w:eastAsia="ko-KR"/>
              </w:rPr>
              <w:t>C'</w:t>
            </w:r>
            <w:r w:rsidRPr="00C06F9E">
              <w:rPr>
                <w:i/>
                <w:vertAlign w:val="subscript"/>
                <w:lang w:eastAsia="ko-KR"/>
              </w:rPr>
              <w:t>R</w:t>
            </w:r>
            <w:r w:rsidRPr="00C06F9E">
              <w:rPr>
                <w:lang w:eastAsia="ko-KR"/>
              </w:rPr>
              <w:t xml:space="preserve"> = -0.5)</w:t>
            </w:r>
          </w:p>
          <w:p w14:paraId="4CDAC876" w14:textId="77777777" w:rsidR="003A24A6" w:rsidRPr="00C06F9E" w:rsidRDefault="003A24A6" w:rsidP="00FB58F9">
            <w:pPr>
              <w:pStyle w:val="Tabletext"/>
              <w:rPr>
                <w:lang w:eastAsia="ko-KR"/>
              </w:rPr>
            </w:pPr>
            <w:r w:rsidRPr="00C06F9E">
              <w:rPr>
                <w:i/>
                <w:lang w:eastAsia="ja-JP"/>
              </w:rPr>
              <w:tab/>
            </w:r>
            <w:r w:rsidRPr="00C06F9E">
              <w:rPr>
                <w:i/>
                <w:lang w:eastAsia="ko-KR"/>
              </w:rPr>
              <w:t>DC'</w:t>
            </w:r>
            <w:r w:rsidRPr="00C06F9E">
              <w:rPr>
                <w:i/>
                <w:vertAlign w:val="subscript"/>
                <w:lang w:eastAsia="ko-KR"/>
              </w:rPr>
              <w:t>B</w:t>
            </w:r>
            <w:r w:rsidRPr="00C06F9E">
              <w:rPr>
                <w:i/>
                <w:lang w:eastAsia="ko-KR"/>
              </w:rPr>
              <w:t>, DC'</w:t>
            </w:r>
            <w:r w:rsidRPr="00C06F9E">
              <w:rPr>
                <w:i/>
                <w:vertAlign w:val="subscript"/>
                <w:lang w:eastAsia="ko-KR"/>
              </w:rPr>
              <w:t>R</w:t>
            </w:r>
            <w:r w:rsidRPr="00C06F9E">
              <w:rPr>
                <w:i/>
                <w:lang w:eastAsia="ko-KR"/>
              </w:rPr>
              <w:t>, DC</w:t>
            </w:r>
            <w:r w:rsidRPr="00C06F9E">
              <w:rPr>
                <w:i/>
                <w:vertAlign w:val="subscript"/>
                <w:lang w:eastAsia="ko-KR"/>
              </w:rPr>
              <w:t>T</w:t>
            </w:r>
            <w:r w:rsidRPr="00C06F9E">
              <w:rPr>
                <w:i/>
                <w:lang w:eastAsia="ko-KR"/>
              </w:rPr>
              <w:t>, DC</w:t>
            </w:r>
            <w:r w:rsidRPr="00C06F9E">
              <w:rPr>
                <w:i/>
                <w:vertAlign w:val="subscript"/>
                <w:lang w:eastAsia="ko-KR"/>
              </w:rPr>
              <w:t>P</w:t>
            </w:r>
          </w:p>
        </w:tc>
        <w:tc>
          <w:tcPr>
            <w:tcW w:w="1754" w:type="dxa"/>
            <w:tcBorders>
              <w:top w:val="single" w:sz="4" w:space="0" w:color="000000"/>
              <w:left w:val="single" w:sz="4" w:space="0" w:color="000000"/>
              <w:bottom w:val="single" w:sz="4" w:space="0" w:color="000000"/>
              <w:right w:val="single" w:sz="4" w:space="0" w:color="000000"/>
            </w:tcBorders>
            <w:vAlign w:val="center"/>
          </w:tcPr>
          <w:p w14:paraId="00493B0D" w14:textId="77777777" w:rsidR="003A24A6" w:rsidRPr="00F624E1" w:rsidRDefault="003A24A6" w:rsidP="00FB58F9">
            <w:pPr>
              <w:pStyle w:val="Tabletext"/>
              <w:jc w:val="center"/>
              <w:rPr>
                <w:lang w:eastAsia="ja-JP"/>
              </w:rPr>
            </w:pPr>
            <w:r w:rsidRPr="00F624E1">
              <w:rPr>
                <w:lang w:eastAsia="ja-JP"/>
              </w:rPr>
              <w:t>64</w:t>
            </w:r>
          </w:p>
        </w:tc>
        <w:tc>
          <w:tcPr>
            <w:tcW w:w="1673" w:type="dxa"/>
            <w:tcBorders>
              <w:top w:val="single" w:sz="4" w:space="0" w:color="000000"/>
              <w:left w:val="single" w:sz="4" w:space="0" w:color="000000"/>
              <w:bottom w:val="single" w:sz="4" w:space="0" w:color="000000"/>
              <w:right w:val="single" w:sz="4" w:space="0" w:color="000000"/>
            </w:tcBorders>
            <w:vAlign w:val="center"/>
          </w:tcPr>
          <w:p w14:paraId="146B0F95" w14:textId="77777777" w:rsidR="003A24A6" w:rsidRPr="00F624E1" w:rsidRDefault="003A24A6" w:rsidP="00FB58F9">
            <w:pPr>
              <w:pStyle w:val="Tabletext"/>
              <w:jc w:val="center"/>
              <w:rPr>
                <w:lang w:eastAsia="ja-JP"/>
              </w:rPr>
            </w:pPr>
            <w:r w:rsidRPr="00F624E1">
              <w:rPr>
                <w:lang w:eastAsia="ja-JP"/>
              </w:rPr>
              <w:t>256</w:t>
            </w:r>
          </w:p>
        </w:tc>
        <w:tc>
          <w:tcPr>
            <w:tcW w:w="1534" w:type="dxa"/>
            <w:tcBorders>
              <w:top w:val="single" w:sz="4" w:space="0" w:color="000000"/>
              <w:left w:val="single" w:sz="4" w:space="0" w:color="000000"/>
              <w:bottom w:val="single" w:sz="4" w:space="0" w:color="000000"/>
              <w:right w:val="single" w:sz="4" w:space="0" w:color="000000"/>
            </w:tcBorders>
            <w:vAlign w:val="center"/>
          </w:tcPr>
          <w:p w14:paraId="6A4180E6" w14:textId="77777777" w:rsidR="003A24A6" w:rsidRPr="00F624E1" w:rsidRDefault="003A24A6" w:rsidP="00FB58F9">
            <w:pPr>
              <w:pStyle w:val="Tabletext"/>
              <w:jc w:val="center"/>
              <w:rPr>
                <w:lang w:eastAsia="ja-JP"/>
              </w:rPr>
            </w:pPr>
            <w:r w:rsidRPr="00F624E1">
              <w:rPr>
                <w:lang w:eastAsia="ja-JP"/>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DFAE17B" w14:textId="77777777" w:rsidR="003A24A6" w:rsidRPr="00F624E1" w:rsidRDefault="003A24A6" w:rsidP="00FB58F9">
            <w:pPr>
              <w:pStyle w:val="Tabletext"/>
              <w:jc w:val="center"/>
              <w:rPr>
                <w:position w:val="-10"/>
                <w:lang w:eastAsia="ja-JP"/>
              </w:rPr>
            </w:pPr>
            <w:r w:rsidRPr="00F624E1">
              <w:rPr>
                <w:position w:val="-10"/>
                <w:lang w:eastAsia="ja-JP"/>
              </w:rPr>
              <w:t>1</w:t>
            </w:r>
          </w:p>
        </w:tc>
      </w:tr>
      <w:tr w:rsidR="003A24A6" w:rsidRPr="00F624E1" w14:paraId="0D1A451D" w14:textId="77777777" w:rsidTr="00FB58F9">
        <w:trPr>
          <w:cantSplit/>
          <w:trHeight w:val="188"/>
          <w:tblHeader/>
          <w:jc w:val="center"/>
        </w:trPr>
        <w:tc>
          <w:tcPr>
            <w:tcW w:w="2977" w:type="dxa"/>
            <w:tcBorders>
              <w:top w:val="single" w:sz="4" w:space="0" w:color="000000"/>
              <w:left w:val="single" w:sz="4" w:space="0" w:color="000000"/>
              <w:bottom w:val="single" w:sz="4" w:space="0" w:color="auto"/>
              <w:right w:val="single" w:sz="4" w:space="0" w:color="000000"/>
            </w:tcBorders>
            <w:vAlign w:val="center"/>
          </w:tcPr>
          <w:p w14:paraId="11479251" w14:textId="77777777" w:rsidR="003A24A6" w:rsidRPr="006E36BC" w:rsidRDefault="003A24A6" w:rsidP="00FB58F9">
            <w:pPr>
              <w:pStyle w:val="Tabletext"/>
              <w:rPr>
                <w:lang w:val="pt-BR" w:eastAsia="ko-KR"/>
              </w:rPr>
            </w:pPr>
            <w:r w:rsidRPr="006E36BC">
              <w:rPr>
                <w:lang w:val="pt-BR" w:eastAsia="ko-KR"/>
              </w:rPr>
              <w:t xml:space="preserve">Video data range </w:t>
            </w:r>
            <w:r w:rsidRPr="006E36BC">
              <w:rPr>
                <w:bCs/>
                <w:vertAlign w:val="superscript"/>
                <w:lang w:val="pt-BR" w:eastAsia="ko-KR"/>
              </w:rPr>
              <w:t>9a</w:t>
            </w:r>
            <w:r w:rsidRPr="006E36BC">
              <w:rPr>
                <w:b/>
                <w:vertAlign w:val="superscript"/>
                <w:lang w:val="pt-BR" w:eastAsia="ko-KR"/>
              </w:rPr>
              <w:t xml:space="preserve">, </w:t>
            </w:r>
            <w:r w:rsidRPr="006E36BC">
              <w:rPr>
                <w:bCs/>
                <w:vertAlign w:val="superscript"/>
                <w:lang w:val="pt-BR" w:eastAsia="ko-KR"/>
              </w:rPr>
              <w:t>9b</w:t>
            </w:r>
            <w:r w:rsidRPr="006E36BC">
              <w:rPr>
                <w:bCs/>
                <w:lang w:val="pt-BR" w:eastAsia="ko-KR"/>
              </w:rPr>
              <w:t xml:space="preserve"> </w:t>
            </w:r>
          </w:p>
        </w:tc>
        <w:tc>
          <w:tcPr>
            <w:tcW w:w="1754" w:type="dxa"/>
            <w:tcBorders>
              <w:top w:val="single" w:sz="4" w:space="0" w:color="000000"/>
              <w:left w:val="single" w:sz="4" w:space="0" w:color="000000"/>
              <w:bottom w:val="single" w:sz="4" w:space="0" w:color="auto"/>
              <w:right w:val="single" w:sz="4" w:space="0" w:color="000000"/>
            </w:tcBorders>
          </w:tcPr>
          <w:p w14:paraId="01C4DC56" w14:textId="77777777" w:rsidR="003A24A6" w:rsidRPr="00F624E1" w:rsidRDefault="003A24A6" w:rsidP="00FB58F9">
            <w:pPr>
              <w:pStyle w:val="Tabletext"/>
              <w:jc w:val="center"/>
            </w:pPr>
            <w:r w:rsidRPr="00F624E1">
              <w:t>4 through</w:t>
            </w:r>
          </w:p>
          <w:p w14:paraId="7845777A" w14:textId="77777777" w:rsidR="003A24A6" w:rsidRPr="00F624E1" w:rsidRDefault="003A24A6" w:rsidP="00FB58F9">
            <w:pPr>
              <w:pStyle w:val="Tabletext"/>
              <w:jc w:val="center"/>
              <w:rPr>
                <w:lang w:eastAsia="ja-JP"/>
              </w:rPr>
            </w:pPr>
            <w:r w:rsidRPr="00F624E1">
              <w:t>1 019</w:t>
            </w:r>
          </w:p>
        </w:tc>
        <w:tc>
          <w:tcPr>
            <w:tcW w:w="1673" w:type="dxa"/>
            <w:tcBorders>
              <w:top w:val="single" w:sz="4" w:space="0" w:color="000000"/>
              <w:left w:val="single" w:sz="4" w:space="0" w:color="000000"/>
              <w:bottom w:val="single" w:sz="4" w:space="0" w:color="auto"/>
              <w:right w:val="single" w:sz="4" w:space="0" w:color="000000"/>
            </w:tcBorders>
          </w:tcPr>
          <w:p w14:paraId="1C0571EB" w14:textId="77777777" w:rsidR="003A24A6" w:rsidRPr="00F624E1" w:rsidRDefault="003A24A6" w:rsidP="00FB58F9">
            <w:pPr>
              <w:pStyle w:val="Tabletext"/>
              <w:jc w:val="center"/>
            </w:pPr>
            <w:r w:rsidRPr="00F624E1">
              <w:t>16 through</w:t>
            </w:r>
          </w:p>
          <w:p w14:paraId="17F012D3" w14:textId="77777777" w:rsidR="003A24A6" w:rsidRPr="00F624E1" w:rsidRDefault="003A24A6" w:rsidP="00FB58F9">
            <w:pPr>
              <w:pStyle w:val="Tabletext"/>
              <w:jc w:val="center"/>
              <w:rPr>
                <w:lang w:eastAsia="ja-JP"/>
              </w:rPr>
            </w:pPr>
            <w:r w:rsidRPr="00F624E1">
              <w:t>4 079</w:t>
            </w:r>
          </w:p>
        </w:tc>
        <w:tc>
          <w:tcPr>
            <w:tcW w:w="1534" w:type="dxa"/>
            <w:tcBorders>
              <w:top w:val="single" w:sz="4" w:space="0" w:color="000000"/>
              <w:left w:val="single" w:sz="4" w:space="0" w:color="000000"/>
              <w:bottom w:val="single" w:sz="4" w:space="0" w:color="auto"/>
              <w:right w:val="single" w:sz="4" w:space="0" w:color="000000"/>
            </w:tcBorders>
          </w:tcPr>
          <w:p w14:paraId="700EE2F2" w14:textId="77777777" w:rsidR="003A24A6" w:rsidRPr="00F624E1" w:rsidRDefault="003A24A6" w:rsidP="00FB58F9">
            <w:pPr>
              <w:pStyle w:val="Tabletext"/>
              <w:jc w:val="center"/>
            </w:pPr>
            <w:r w:rsidRPr="00F624E1">
              <w:t>0 through</w:t>
            </w:r>
          </w:p>
          <w:p w14:paraId="062543E5" w14:textId="77777777" w:rsidR="003A24A6" w:rsidRPr="00F624E1" w:rsidRDefault="003A24A6" w:rsidP="00FB58F9">
            <w:pPr>
              <w:pStyle w:val="Tabletext"/>
              <w:jc w:val="center"/>
              <w:rPr>
                <w:lang w:eastAsia="ja-JP"/>
              </w:rPr>
            </w:pPr>
            <w:r w:rsidRPr="00F624E1">
              <w:t>1 023</w:t>
            </w:r>
          </w:p>
        </w:tc>
        <w:tc>
          <w:tcPr>
            <w:tcW w:w="1701" w:type="dxa"/>
            <w:tcBorders>
              <w:top w:val="single" w:sz="4" w:space="0" w:color="000000"/>
              <w:left w:val="single" w:sz="4" w:space="0" w:color="000000"/>
              <w:bottom w:val="single" w:sz="4" w:space="0" w:color="auto"/>
              <w:right w:val="single" w:sz="4" w:space="0" w:color="000000"/>
            </w:tcBorders>
          </w:tcPr>
          <w:p w14:paraId="5EAA63E8" w14:textId="77777777" w:rsidR="003A24A6" w:rsidRPr="00F624E1" w:rsidRDefault="003A24A6" w:rsidP="00FB58F9">
            <w:pPr>
              <w:pStyle w:val="Tabletext"/>
              <w:jc w:val="center"/>
            </w:pPr>
            <w:r w:rsidRPr="00F624E1">
              <w:t>0 through</w:t>
            </w:r>
          </w:p>
          <w:p w14:paraId="49C7B291" w14:textId="77777777" w:rsidR="003A24A6" w:rsidRPr="00F624E1" w:rsidRDefault="003A24A6" w:rsidP="00FB58F9">
            <w:pPr>
              <w:pStyle w:val="Tabletext"/>
              <w:jc w:val="center"/>
              <w:rPr>
                <w:position w:val="-10"/>
                <w:lang w:eastAsia="ja-JP"/>
              </w:rPr>
            </w:pPr>
            <w:r w:rsidRPr="00F624E1">
              <w:t>4 095</w:t>
            </w:r>
          </w:p>
        </w:tc>
      </w:tr>
      <w:tr w:rsidR="003A24A6" w:rsidRPr="00C06F9E" w14:paraId="280BE55C" w14:textId="77777777" w:rsidTr="00FB58F9">
        <w:trPr>
          <w:cantSplit/>
          <w:trHeight w:val="188"/>
          <w:tblHeader/>
          <w:jc w:val="center"/>
        </w:trPr>
        <w:tc>
          <w:tcPr>
            <w:tcW w:w="9639" w:type="dxa"/>
            <w:gridSpan w:val="5"/>
            <w:tcBorders>
              <w:top w:val="single" w:sz="4" w:space="0" w:color="auto"/>
              <w:left w:val="nil"/>
              <w:bottom w:val="nil"/>
              <w:right w:val="nil"/>
            </w:tcBorders>
            <w:vAlign w:val="center"/>
          </w:tcPr>
          <w:p w14:paraId="43DA143F" w14:textId="77777777" w:rsidR="003A24A6" w:rsidRPr="00F624E1" w:rsidRDefault="003A24A6" w:rsidP="00FB58F9">
            <w:pPr>
              <w:pStyle w:val="Tablelegend"/>
              <w:spacing w:before="40"/>
              <w:rPr>
                <w:bCs/>
              </w:rPr>
            </w:pPr>
            <w:r w:rsidRPr="00F624E1">
              <w:rPr>
                <w:bCs/>
              </w:rPr>
              <w:t xml:space="preserve">Where: </w:t>
            </w:r>
          </w:p>
          <w:p w14:paraId="20477CE5" w14:textId="77777777" w:rsidR="003A24A6" w:rsidRPr="00F624E1" w:rsidRDefault="003A24A6" w:rsidP="00FB58F9">
            <w:pPr>
              <w:pStyle w:val="Tablelegend"/>
            </w:pPr>
            <w:r w:rsidRPr="00F624E1">
              <w:tab/>
              <w:t>Round( x ) = Sign( x ) * Floor( | x | + 0.5 )</w:t>
            </w:r>
          </w:p>
          <w:p w14:paraId="718F2605" w14:textId="77777777" w:rsidR="003A24A6" w:rsidRPr="00F624E1" w:rsidRDefault="003A24A6" w:rsidP="00FB58F9">
            <w:pPr>
              <w:pStyle w:val="Tablelegend"/>
              <w:rPr>
                <w:iCs/>
              </w:rPr>
            </w:pPr>
            <w:r w:rsidRPr="00F624E1">
              <w:tab/>
              <w:t xml:space="preserve">Floor( </w:t>
            </w:r>
            <w:r w:rsidRPr="00F624E1">
              <w:rPr>
                <w:iCs/>
              </w:rPr>
              <w:t>x</w:t>
            </w:r>
            <w:r w:rsidRPr="00F624E1">
              <w:t xml:space="preserve"> )</w:t>
            </w:r>
            <w:r w:rsidRPr="00F624E1">
              <w:tab/>
              <w:t xml:space="preserve">the largest integer less than or equal to </w:t>
            </w:r>
            <w:r w:rsidRPr="00F624E1">
              <w:rPr>
                <w:iCs/>
              </w:rPr>
              <w:t>x</w:t>
            </w:r>
          </w:p>
          <w:p w14:paraId="1BB27CF0" w14:textId="77777777" w:rsidR="003A24A6" w:rsidRPr="00F624E1" w:rsidRDefault="003A24A6" w:rsidP="00FB58F9">
            <w:pPr>
              <w:pStyle w:val="Tablelegend"/>
              <w:spacing w:before="40"/>
              <w:rPr>
                <w:bCs/>
              </w:rPr>
            </w:pPr>
            <w:r w:rsidRPr="00F624E1">
              <w:tab/>
              <w:t xml:space="preserve">Sign( x ) = </w:t>
            </w:r>
            <w:r w:rsidRPr="00F624E1">
              <w:rPr>
                <w:position w:val="-42"/>
              </w:rPr>
              <w:object w:dxaOrig="1200" w:dyaOrig="940" w14:anchorId="6C648623">
                <v:shape id="_x0000_i1036" type="#_x0000_t75" style="width:54.7pt;height:43.2pt" o:ole="">
                  <v:imagedata r:id="rId41" o:title=""/>
                </v:shape>
                <o:OLEObject Type="Embed" ProgID="Equation.3" ShapeID="_x0000_i1036" DrawAspect="Content" ObjectID="_1806133241" r:id="rId42"/>
              </w:object>
            </w:r>
          </w:p>
          <w:p w14:paraId="296FC50D" w14:textId="77777777" w:rsidR="003A24A6" w:rsidRPr="00F624E1" w:rsidRDefault="003A24A6" w:rsidP="00FB58F9">
            <w:pPr>
              <w:pStyle w:val="TableLegendNote"/>
              <w:rPr>
                <w:lang w:val="en-GB"/>
              </w:rPr>
            </w:pPr>
            <w:r w:rsidRPr="00F624E1">
              <w:rPr>
                <w:bCs/>
                <w:lang w:val="en-GB"/>
              </w:rPr>
              <w:t>Note 9a</w:t>
            </w:r>
            <w:r w:rsidRPr="00F624E1">
              <w:rPr>
                <w:lang w:val="en-GB"/>
              </w:rPr>
              <w:t xml:space="preserve"> – Narrow range signals may extend below black (sub-blacks) and exceed the nominal peak values (super</w:t>
            </w:r>
            <w:r w:rsidRPr="00F624E1">
              <w:rPr>
                <w:lang w:val="en-GB"/>
              </w:rPr>
              <w:noBreakHyphen/>
              <w:t>whites), but should not exceed the video data range.</w:t>
            </w:r>
          </w:p>
          <w:p w14:paraId="3FE75099" w14:textId="77777777" w:rsidR="003A24A6" w:rsidRPr="00F624E1" w:rsidRDefault="003A24A6" w:rsidP="00FB58F9">
            <w:pPr>
              <w:pStyle w:val="TableLegendNote"/>
              <w:rPr>
                <w:lang w:val="en-GB"/>
              </w:rPr>
            </w:pPr>
            <w:r w:rsidRPr="00F624E1">
              <w:rPr>
                <w:bCs/>
                <w:lang w:val="en-GB"/>
              </w:rPr>
              <w:t>Note 9b</w:t>
            </w:r>
            <w:r w:rsidRPr="00F624E1">
              <w:rPr>
                <w:lang w:val="en-GB"/>
              </w:rPr>
              <w:t xml:space="preserve"> – Some digital image interfaces reserve digital values, e.g. for timing information, such that the permitted video range of these interfaces is narrower than the video range of the full-range signal. The mapping from full-range images to these interfaces is application-specific.</w:t>
            </w:r>
          </w:p>
        </w:tc>
      </w:tr>
    </w:tbl>
    <w:p w14:paraId="6B6AC3D9" w14:textId="77777777" w:rsidR="003A24A6" w:rsidRPr="00F624E1" w:rsidRDefault="003A24A6" w:rsidP="003A24A6">
      <w:pPr>
        <w:pStyle w:val="Tablefin"/>
      </w:pPr>
    </w:p>
    <w:p w14:paraId="7932F7DD" w14:textId="51119EB7" w:rsidR="000B4396" w:rsidRPr="00773436" w:rsidRDefault="000B4396" w:rsidP="000B4396">
      <w:r w:rsidRPr="00773436">
        <w:lastRenderedPageBreak/>
        <w:t>Table 10 introduces a 16-bit floating-point signal representation for application in HDR international programme exchange.</w:t>
      </w:r>
    </w:p>
    <w:p w14:paraId="335BE39B" w14:textId="77777777" w:rsidR="000B4396" w:rsidRPr="00773436" w:rsidRDefault="000B4396" w:rsidP="000B4396">
      <w:r w:rsidRPr="00773436">
        <w:rPr>
          <w:i/>
          <w:iCs/>
        </w:rPr>
        <w:t>R</w:t>
      </w:r>
      <w:r w:rsidRPr="00773436">
        <w:t xml:space="preserve">, </w:t>
      </w:r>
      <w:r w:rsidRPr="00773436">
        <w:rPr>
          <w:i/>
          <w:iCs/>
        </w:rPr>
        <w:t>G</w:t>
      </w:r>
      <w:r w:rsidRPr="00773436">
        <w:t xml:space="preserve">, </w:t>
      </w:r>
      <w:r w:rsidRPr="00773436">
        <w:rPr>
          <w:i/>
          <w:iCs/>
        </w:rPr>
        <w:t>B</w:t>
      </w:r>
      <w:r w:rsidRPr="00773436">
        <w:t xml:space="preserve"> v</w:t>
      </w:r>
      <w:bookmarkStart w:id="4" w:name="_Hlk141967704"/>
      <w:r w:rsidRPr="00773436">
        <w:t xml:space="preserve">alues that are linearly proportional to scene light (scene referred), or that represent absolute display light on the reference display (display referred), </w:t>
      </w:r>
      <w:bookmarkEnd w:id="4"/>
      <w:r w:rsidRPr="00773436">
        <w:t>may be represented by floating-point values as indicated in the table below. Note that this representation is independent of HDR or SDR, but HDR signals are able to employ more of the dynamic range that is available in the floating-point representation.</w:t>
      </w:r>
    </w:p>
    <w:p w14:paraId="673770C5" w14:textId="77777777" w:rsidR="000B4396" w:rsidRPr="00773436" w:rsidRDefault="000B4396" w:rsidP="000B4396">
      <w:r w:rsidRPr="00773436">
        <w:t>Currently, real-time interfaces do not exist for this format. It is expected that this format would initially see usage in file-based workflows and programme exchange.</w:t>
      </w:r>
    </w:p>
    <w:p w14:paraId="5C773BB0" w14:textId="77777777" w:rsidR="001978C5" w:rsidRPr="00773436" w:rsidRDefault="001978C5" w:rsidP="001978C5">
      <w:pPr>
        <w:pStyle w:val="TableNo"/>
      </w:pPr>
      <w:r w:rsidRPr="00773436">
        <w:t>TABLE 10</w:t>
      </w:r>
    </w:p>
    <w:p w14:paraId="6539BA62" w14:textId="77777777" w:rsidR="001978C5" w:rsidRPr="00773436" w:rsidRDefault="001978C5" w:rsidP="001978C5">
      <w:pPr>
        <w:pStyle w:val="Tabletitle"/>
      </w:pPr>
      <w:bookmarkStart w:id="5" w:name="_Hlk140338840"/>
      <w:r w:rsidRPr="00773436">
        <w:t>Floating-Point (FP) signal representation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92"/>
      </w:tblGrid>
      <w:tr w:rsidR="001978C5" w:rsidRPr="00773436" w14:paraId="533B9F23" w14:textId="77777777" w:rsidTr="00FB58F9">
        <w:trPr>
          <w:cantSplit/>
          <w:tblHeader/>
          <w:jc w:val="center"/>
        </w:trPr>
        <w:tc>
          <w:tcPr>
            <w:tcW w:w="2547" w:type="dxa"/>
            <w:shd w:val="clear" w:color="auto" w:fill="auto"/>
          </w:tcPr>
          <w:p w14:paraId="72B02D92" w14:textId="77777777" w:rsidR="001978C5" w:rsidRPr="00773436" w:rsidRDefault="001978C5" w:rsidP="00FB58F9">
            <w:pPr>
              <w:pStyle w:val="Tablehead"/>
            </w:pPr>
            <w:bookmarkStart w:id="6" w:name="_Hlk140338769"/>
            <w:bookmarkEnd w:id="5"/>
            <w:r w:rsidRPr="00773436">
              <w:t>Parameter</w:t>
            </w:r>
          </w:p>
        </w:tc>
        <w:tc>
          <w:tcPr>
            <w:tcW w:w="7092" w:type="dxa"/>
            <w:shd w:val="clear" w:color="auto" w:fill="auto"/>
          </w:tcPr>
          <w:p w14:paraId="6BD1306C" w14:textId="77777777" w:rsidR="001978C5" w:rsidRPr="00773436" w:rsidRDefault="001978C5" w:rsidP="00FB58F9">
            <w:pPr>
              <w:pStyle w:val="Tablehead"/>
            </w:pPr>
            <w:r w:rsidRPr="00773436">
              <w:t>Values</w:t>
            </w:r>
          </w:p>
        </w:tc>
      </w:tr>
      <w:tr w:rsidR="001978C5" w:rsidRPr="00773436" w14:paraId="154C01DF" w14:textId="77777777" w:rsidTr="00FB58F9">
        <w:trPr>
          <w:cantSplit/>
          <w:tblHeader/>
          <w:jc w:val="center"/>
        </w:trPr>
        <w:tc>
          <w:tcPr>
            <w:tcW w:w="2547" w:type="dxa"/>
            <w:shd w:val="clear" w:color="auto" w:fill="auto"/>
          </w:tcPr>
          <w:p w14:paraId="3154DDF4" w14:textId="77777777" w:rsidR="001978C5" w:rsidRPr="00773436" w:rsidRDefault="001978C5" w:rsidP="00FB58F9">
            <w:pPr>
              <w:pStyle w:val="Tabletext"/>
            </w:pPr>
            <w:r w:rsidRPr="00773436">
              <w:t>Signal representation</w:t>
            </w:r>
          </w:p>
        </w:tc>
        <w:tc>
          <w:tcPr>
            <w:tcW w:w="7092" w:type="dxa"/>
            <w:shd w:val="clear" w:color="auto" w:fill="auto"/>
          </w:tcPr>
          <w:p w14:paraId="1FD3A41F" w14:textId="3569B63B" w:rsidR="001978C5" w:rsidRPr="00773436" w:rsidRDefault="001978C5" w:rsidP="00FB58F9">
            <w:pPr>
              <w:pStyle w:val="Tabletext"/>
              <w:jc w:val="center"/>
            </w:pPr>
            <w:r w:rsidRPr="00773436">
              <w:t xml:space="preserve">Linear </w:t>
            </w:r>
            <w:r w:rsidRPr="00773436">
              <w:rPr>
                <w:i/>
                <w:iCs/>
              </w:rPr>
              <w:t>R</w:t>
            </w:r>
            <w:r w:rsidRPr="00773436">
              <w:t xml:space="preserve">, </w:t>
            </w:r>
            <w:r w:rsidRPr="00773436">
              <w:rPr>
                <w:i/>
                <w:iCs/>
              </w:rPr>
              <w:t>G</w:t>
            </w:r>
            <w:r w:rsidRPr="00773436">
              <w:t xml:space="preserve">, </w:t>
            </w:r>
            <w:r w:rsidRPr="00773436">
              <w:rPr>
                <w:i/>
                <w:iCs/>
              </w:rPr>
              <w:t>B</w:t>
            </w:r>
          </w:p>
        </w:tc>
      </w:tr>
      <w:tr w:rsidR="001978C5" w:rsidRPr="00773436" w14:paraId="2F73DC79" w14:textId="77777777" w:rsidTr="00FB58F9">
        <w:trPr>
          <w:cantSplit/>
          <w:tblHeader/>
          <w:jc w:val="center"/>
        </w:trPr>
        <w:tc>
          <w:tcPr>
            <w:tcW w:w="2547" w:type="dxa"/>
            <w:shd w:val="clear" w:color="auto" w:fill="auto"/>
          </w:tcPr>
          <w:p w14:paraId="1FF07BDD" w14:textId="77777777" w:rsidR="001978C5" w:rsidRPr="00773436" w:rsidRDefault="001978C5" w:rsidP="00FB58F9">
            <w:pPr>
              <w:pStyle w:val="Tabletext"/>
            </w:pPr>
            <w:r w:rsidRPr="00773436">
              <w:t>Signal encoding</w:t>
            </w:r>
          </w:p>
        </w:tc>
        <w:tc>
          <w:tcPr>
            <w:tcW w:w="7092" w:type="dxa"/>
            <w:shd w:val="clear" w:color="auto" w:fill="auto"/>
          </w:tcPr>
          <w:p w14:paraId="67CC9B6F" w14:textId="394D42ED" w:rsidR="001978C5" w:rsidRPr="00773436" w:rsidRDefault="001978C5" w:rsidP="00FB58F9">
            <w:pPr>
              <w:pStyle w:val="Tabletext"/>
              <w:jc w:val="center"/>
            </w:pPr>
            <w:r w:rsidRPr="00773436">
              <w:t>16-bit floating-point binary interchange format per IEEE standard 754-2019</w:t>
            </w:r>
          </w:p>
        </w:tc>
      </w:tr>
      <w:tr w:rsidR="001978C5" w:rsidRPr="00773436" w14:paraId="1FA36243" w14:textId="77777777" w:rsidTr="006612B9">
        <w:trPr>
          <w:cantSplit/>
          <w:tblHeader/>
          <w:jc w:val="center"/>
        </w:trPr>
        <w:tc>
          <w:tcPr>
            <w:tcW w:w="2547" w:type="dxa"/>
            <w:tcBorders>
              <w:bottom w:val="single" w:sz="4" w:space="0" w:color="auto"/>
            </w:tcBorders>
            <w:shd w:val="clear" w:color="auto" w:fill="auto"/>
          </w:tcPr>
          <w:p w14:paraId="0ADDDE0F" w14:textId="77777777" w:rsidR="001978C5" w:rsidRPr="00773436" w:rsidRDefault="001978C5" w:rsidP="00FB58F9">
            <w:pPr>
              <w:pStyle w:val="Tabletext"/>
            </w:pPr>
            <w:r w:rsidRPr="00773436">
              <w:t>Normalization</w:t>
            </w:r>
          </w:p>
        </w:tc>
        <w:tc>
          <w:tcPr>
            <w:tcW w:w="7092" w:type="dxa"/>
            <w:tcBorders>
              <w:bottom w:val="single" w:sz="4" w:space="0" w:color="auto"/>
            </w:tcBorders>
            <w:shd w:val="clear" w:color="auto" w:fill="auto"/>
          </w:tcPr>
          <w:p w14:paraId="7C9C9F97" w14:textId="77777777" w:rsidR="001978C5" w:rsidRPr="00773436" w:rsidRDefault="001978C5" w:rsidP="00FB58F9">
            <w:pPr>
              <w:pStyle w:val="Tabletext"/>
              <w:jc w:val="center"/>
            </w:pPr>
            <w:r w:rsidRPr="00773436">
              <w:rPr>
                <w:i/>
                <w:iCs/>
              </w:rPr>
              <w:t>R</w:t>
            </w:r>
            <w:r w:rsidRPr="00773436">
              <w:t xml:space="preserve"> = </w:t>
            </w:r>
            <w:r w:rsidRPr="00773436">
              <w:rPr>
                <w:i/>
                <w:iCs/>
              </w:rPr>
              <w:t>G</w:t>
            </w:r>
            <w:r w:rsidRPr="00773436">
              <w:t xml:space="preserve"> = </w:t>
            </w:r>
            <w:r w:rsidRPr="00773436">
              <w:rPr>
                <w:i/>
                <w:iCs/>
              </w:rPr>
              <w:t>B</w:t>
            </w:r>
            <w:r w:rsidRPr="00773436">
              <w:t xml:space="preserve"> = 1.0 represents HDR Reference White. </w:t>
            </w:r>
            <w:r w:rsidRPr="00773436">
              <w:rPr>
                <w:vertAlign w:val="superscript"/>
              </w:rPr>
              <w:t>10a, 10b</w:t>
            </w:r>
          </w:p>
        </w:tc>
      </w:tr>
      <w:tr w:rsidR="006612B9" w:rsidRPr="00773436" w14:paraId="382BDB33" w14:textId="77777777" w:rsidTr="006612B9">
        <w:trPr>
          <w:cantSplit/>
          <w:tblHeader/>
          <w:jc w:val="center"/>
        </w:trPr>
        <w:tc>
          <w:tcPr>
            <w:tcW w:w="9639" w:type="dxa"/>
            <w:gridSpan w:val="2"/>
            <w:tcBorders>
              <w:left w:val="nil"/>
              <w:bottom w:val="nil"/>
              <w:right w:val="nil"/>
            </w:tcBorders>
            <w:shd w:val="clear" w:color="auto" w:fill="auto"/>
          </w:tcPr>
          <w:p w14:paraId="25DE63F6" w14:textId="77777777" w:rsidR="006612B9" w:rsidRPr="00773436" w:rsidRDefault="006612B9" w:rsidP="006612B9">
            <w:pPr>
              <w:pStyle w:val="TableLegendNote"/>
              <w:ind w:left="0"/>
              <w:rPr>
                <w:bCs/>
                <w:i/>
                <w:lang w:val="en-GB"/>
              </w:rPr>
            </w:pPr>
            <w:r w:rsidRPr="00773436">
              <w:rPr>
                <w:bCs/>
                <w:i/>
                <w:lang w:val="en-GB"/>
              </w:rPr>
              <w:t>Notes to Table 10</w:t>
            </w:r>
            <w:r>
              <w:rPr>
                <w:bCs/>
                <w:i/>
                <w:lang w:val="en-GB"/>
              </w:rPr>
              <w:t>:</w:t>
            </w:r>
          </w:p>
          <w:p w14:paraId="5FAD9A80" w14:textId="77777777" w:rsidR="006612B9" w:rsidRPr="00773436" w:rsidRDefault="006612B9" w:rsidP="006612B9">
            <w:pPr>
              <w:pStyle w:val="TableLegendNote"/>
              <w:ind w:left="0" w:right="0"/>
              <w:rPr>
                <w:lang w:val="en-GB"/>
              </w:rPr>
            </w:pPr>
            <w:r w:rsidRPr="00773436">
              <w:rPr>
                <w:lang w:val="en-GB"/>
              </w:rPr>
              <w:t>Note 10a – HDR Reference White is the nominal signal level obtained from an HDR camera and a 100% reflectance white card resulting in a nominal luminance of 203 cd/m</w:t>
            </w:r>
            <w:r w:rsidRPr="00773436">
              <w:rPr>
                <w:vertAlign w:val="superscript"/>
                <w:lang w:val="en-GB"/>
              </w:rPr>
              <w:t>2</w:t>
            </w:r>
            <w:r w:rsidRPr="00773436">
              <w:rPr>
                <w:lang w:val="en-GB"/>
              </w:rPr>
              <w:t xml:space="preserve"> on a PQ display or on an HLG display that has a nominal peak luminance capability of 1 000 cd/m</w:t>
            </w:r>
            <w:r w:rsidRPr="00773436">
              <w:rPr>
                <w:vertAlign w:val="superscript"/>
                <w:lang w:val="en-GB"/>
              </w:rPr>
              <w:t>2</w:t>
            </w:r>
            <w:r w:rsidRPr="00773436">
              <w:rPr>
                <w:lang w:val="en-GB"/>
              </w:rPr>
              <w:t>.</w:t>
            </w:r>
          </w:p>
          <w:p w14:paraId="2E20B77C" w14:textId="56B23891" w:rsidR="006612B9" w:rsidRPr="006612B9" w:rsidRDefault="006612B9" w:rsidP="006612B9">
            <w:pPr>
              <w:pStyle w:val="TableLegendNote"/>
              <w:ind w:left="0" w:right="0"/>
              <w:rPr>
                <w:lang w:val="en-GB"/>
              </w:rPr>
            </w:pPr>
            <w:bookmarkStart w:id="7" w:name="_Hlk141796449"/>
            <w:r w:rsidRPr="00773436">
              <w:rPr>
                <w:lang w:val="en-GB"/>
              </w:rPr>
              <w:t>Note 10b – In order to have better precision near black, some productions may employ a normalization such that R = G = B = 1.0 represents white at a luminance of 1.0 cd/m</w:t>
            </w:r>
            <w:r w:rsidRPr="00773436">
              <w:rPr>
                <w:vertAlign w:val="superscript"/>
                <w:lang w:val="en-GB"/>
              </w:rPr>
              <w:t>2</w:t>
            </w:r>
            <w:r w:rsidRPr="00773436">
              <w:rPr>
                <w:lang w:val="en-GB"/>
              </w:rPr>
              <w:t xml:space="preserve"> on the reference display.</w:t>
            </w:r>
            <w:bookmarkEnd w:id="7"/>
          </w:p>
        </w:tc>
      </w:tr>
      <w:bookmarkEnd w:id="6"/>
    </w:tbl>
    <w:p w14:paraId="37340291" w14:textId="77777777" w:rsidR="003A24A6" w:rsidRPr="00F624E1" w:rsidRDefault="003A24A6" w:rsidP="003A24A6">
      <w:pPr>
        <w:pStyle w:val="Tablefin"/>
      </w:pPr>
    </w:p>
    <w:p w14:paraId="61534C57" w14:textId="77777777" w:rsidR="003A24A6" w:rsidRDefault="003A24A6" w:rsidP="003A24A6"/>
    <w:p w14:paraId="3AF733C3" w14:textId="77777777" w:rsidR="00F65ACF" w:rsidRDefault="00F65ACF" w:rsidP="003A24A6"/>
    <w:p w14:paraId="53A49360" w14:textId="77777777" w:rsidR="003A24A6" w:rsidRPr="00F624E1" w:rsidRDefault="003A24A6" w:rsidP="003A24A6">
      <w:pPr>
        <w:pStyle w:val="AnnexNoTitle"/>
      </w:pPr>
      <w:bookmarkStart w:id="8" w:name="_Toc55989637"/>
      <w:r w:rsidRPr="00F624E1">
        <w:t>Annex 1</w:t>
      </w:r>
      <w:r w:rsidRPr="00F624E1">
        <w:br/>
        <w:t>(informative)</w:t>
      </w:r>
      <w:r w:rsidRPr="00F624E1">
        <w:br/>
      </w:r>
      <w:r w:rsidRPr="00F624E1">
        <w:br/>
        <w:t>The relationship between the OETF, the EOTF and the OOTF</w:t>
      </w:r>
      <w:bookmarkEnd w:id="8"/>
    </w:p>
    <w:p w14:paraId="6BB6A7AF" w14:textId="77777777" w:rsidR="003A24A6" w:rsidRPr="00F624E1" w:rsidRDefault="003A24A6" w:rsidP="003A24A6">
      <w:pPr>
        <w:pStyle w:val="Normalaftertitle"/>
      </w:pPr>
      <w:r w:rsidRPr="00F624E1">
        <w:t>This Recommendation makes extensive use of the following terms:</w:t>
      </w:r>
    </w:p>
    <w:p w14:paraId="594BCE4C" w14:textId="77777777" w:rsidR="003A24A6" w:rsidRPr="00F624E1" w:rsidRDefault="003A24A6" w:rsidP="003A24A6">
      <w:pPr>
        <w:pStyle w:val="enumlev1"/>
      </w:pPr>
      <w:r w:rsidRPr="00F624E1">
        <w:t>OETF:</w:t>
      </w:r>
      <w:r w:rsidRPr="00F624E1">
        <w:tab/>
        <w:t>the opto-electronic transfer function, which converts linear scene light into the video signal, typically within a camera.</w:t>
      </w:r>
    </w:p>
    <w:p w14:paraId="4C361ED6" w14:textId="77777777" w:rsidR="003A24A6" w:rsidRPr="00F624E1" w:rsidRDefault="003A24A6" w:rsidP="003A24A6">
      <w:pPr>
        <w:pStyle w:val="enumlev1"/>
      </w:pPr>
      <w:r w:rsidRPr="00F624E1">
        <w:t>EOTF:</w:t>
      </w:r>
      <w:r w:rsidRPr="00F624E1">
        <w:tab/>
        <w:t>electro-optical transfer function, which converts the video signal into the linear light output of the display.</w:t>
      </w:r>
    </w:p>
    <w:p w14:paraId="5349E0CA" w14:textId="77777777" w:rsidR="003A24A6" w:rsidRPr="00F624E1" w:rsidRDefault="003A24A6" w:rsidP="003A24A6">
      <w:pPr>
        <w:pStyle w:val="enumlev1"/>
      </w:pPr>
      <w:r w:rsidRPr="00F624E1">
        <w:t>OOTF:</w:t>
      </w:r>
      <w:r w:rsidRPr="00F624E1">
        <w:tab/>
        <w:t>opto-optical transfer function, which has the role of applying the “rendering intent”.</w:t>
      </w:r>
    </w:p>
    <w:p w14:paraId="5441988C" w14:textId="77777777" w:rsidR="003A24A6" w:rsidRPr="00F624E1" w:rsidRDefault="003A24A6" w:rsidP="003A24A6">
      <w:r w:rsidRPr="00F624E1">
        <w:t>These functions are related, so only two of the three are independent. Given any two of them the third one may be calculated. This section explains how they arise in television systems and how they are related.</w:t>
      </w:r>
    </w:p>
    <w:p w14:paraId="738613AA" w14:textId="77777777" w:rsidR="003A24A6" w:rsidRPr="00F624E1" w:rsidRDefault="003A24A6" w:rsidP="00F65ACF">
      <w:pPr>
        <w:keepNext/>
        <w:keepLines/>
      </w:pPr>
      <w:r w:rsidRPr="00F624E1">
        <w:lastRenderedPageBreak/>
        <w:t>In television systems the displayed light is not linearly related to the light captured by the camera. Instead an overall non-linearity is applied, the OOTF. The “reference” OOTF compensates for difference in tonal perception between the environment of the camera and that of the display. Specification and use of a “reference OOTF” allows consistent end-to-end image reproduction, which is important in TV production.</w:t>
      </w:r>
    </w:p>
    <w:p w14:paraId="79AD54AB" w14:textId="34B3ADD3" w:rsidR="003A24A6" w:rsidRPr="00F624E1" w:rsidRDefault="00D535A2" w:rsidP="003A24A6">
      <w:pPr>
        <w:pStyle w:val="Figure"/>
      </w:pPr>
      <w:r>
        <w:rPr>
          <w:noProof/>
        </w:rPr>
        <w:drawing>
          <wp:inline distT="0" distB="0" distL="0" distR="0" wp14:anchorId="6C20517D" wp14:editId="74EA53DC">
            <wp:extent cx="4319025" cy="2048260"/>
            <wp:effectExtent l="0" t="0" r="5715" b="9525"/>
            <wp:docPr id="213569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94768" name="Picture 2135694768"/>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319025" cy="2048260"/>
                    </a:xfrm>
                    <a:prstGeom prst="rect">
                      <a:avLst/>
                    </a:prstGeom>
                  </pic:spPr>
                </pic:pic>
              </a:graphicData>
            </a:graphic>
          </wp:inline>
        </w:drawing>
      </w:r>
    </w:p>
    <w:p w14:paraId="09962454" w14:textId="77777777" w:rsidR="003A24A6" w:rsidRPr="00F624E1" w:rsidRDefault="003A24A6" w:rsidP="003A24A6">
      <w:pPr>
        <w:pStyle w:val="Normalaftertitle"/>
      </w:pPr>
      <w:r w:rsidRPr="00F624E1">
        <w:t>Artistic adjustment may be made to enhance the picture. These alter the OOTF, which may then be called the “artistic OOTF”. Artistic adjustment may be applied either before or after the reference OOTF.</w:t>
      </w:r>
    </w:p>
    <w:p w14:paraId="5FFC55E6" w14:textId="4B64FFEA" w:rsidR="003A24A6" w:rsidRPr="00F624E1" w:rsidRDefault="00D535A2" w:rsidP="003A24A6">
      <w:pPr>
        <w:pStyle w:val="Figure"/>
      </w:pPr>
      <w:r>
        <w:rPr>
          <w:noProof/>
        </w:rPr>
        <w:drawing>
          <wp:inline distT="0" distB="0" distL="0" distR="0" wp14:anchorId="7CBA80E2" wp14:editId="0C2B51B5">
            <wp:extent cx="5337059" cy="3236983"/>
            <wp:effectExtent l="0" t="0" r="0" b="1905"/>
            <wp:docPr id="1137171133" name="Picture 2" descr="A diagram of an artistic adjus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71133" name="Picture 2" descr="A diagram of an artistic adjustment&#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337059" cy="3236983"/>
                    </a:xfrm>
                    <a:prstGeom prst="rect">
                      <a:avLst/>
                    </a:prstGeom>
                  </pic:spPr>
                </pic:pic>
              </a:graphicData>
            </a:graphic>
          </wp:inline>
        </w:drawing>
      </w:r>
    </w:p>
    <w:p w14:paraId="6E7838E9" w14:textId="77777777" w:rsidR="003A24A6" w:rsidRPr="00F624E1" w:rsidRDefault="003A24A6" w:rsidP="003A24A6">
      <w:pPr>
        <w:pStyle w:val="Normalaftertitle"/>
      </w:pPr>
      <w:r w:rsidRPr="00F624E1">
        <w:t>In general the OOTF is a concatenation of the OETF, artistic adjustments, and the EOTF.</w:t>
      </w:r>
    </w:p>
    <w:p w14:paraId="152C331D" w14:textId="384555DA" w:rsidR="003A24A6" w:rsidRPr="00F624E1" w:rsidRDefault="00D535A2" w:rsidP="003A24A6">
      <w:pPr>
        <w:pStyle w:val="Figure"/>
      </w:pPr>
      <w:r>
        <w:rPr>
          <w:noProof/>
        </w:rPr>
        <w:drawing>
          <wp:inline distT="0" distB="0" distL="0" distR="0" wp14:anchorId="56FB61C3" wp14:editId="05A7A9D7">
            <wp:extent cx="5617475" cy="1408179"/>
            <wp:effectExtent l="0" t="0" r="2540" b="1905"/>
            <wp:docPr id="657110514" name="Picture 3" descr="A green rectangula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10514" name="Picture 3" descr="A green rectangular with black text&#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617475" cy="1408179"/>
                    </a:xfrm>
                    <a:prstGeom prst="rect">
                      <a:avLst/>
                    </a:prstGeom>
                  </pic:spPr>
                </pic:pic>
              </a:graphicData>
            </a:graphic>
          </wp:inline>
        </w:drawing>
      </w:r>
    </w:p>
    <w:p w14:paraId="5BB1ABBC" w14:textId="77777777" w:rsidR="003A24A6" w:rsidRPr="00F624E1" w:rsidRDefault="003A24A6" w:rsidP="00F65ACF">
      <w:pPr>
        <w:pStyle w:val="Normalaftertitle"/>
        <w:keepNext/>
        <w:keepLines/>
      </w:pPr>
      <w:r w:rsidRPr="00F624E1">
        <w:lastRenderedPageBreak/>
        <w:t>The PQ system was designed with the model shown below, where the OOTF is considered to be in the camera (or imposed in the production process).</w:t>
      </w:r>
    </w:p>
    <w:p w14:paraId="4A164115" w14:textId="5C8EEA3F" w:rsidR="003A24A6" w:rsidRPr="00F624E1" w:rsidRDefault="00D535A2" w:rsidP="00F65ACF">
      <w:pPr>
        <w:pStyle w:val="Figure"/>
        <w:keepNext/>
      </w:pPr>
      <w:r>
        <w:rPr>
          <w:noProof/>
        </w:rPr>
        <w:drawing>
          <wp:inline distT="0" distB="0" distL="0" distR="0" wp14:anchorId="71BD67FF" wp14:editId="3027E5CD">
            <wp:extent cx="5946660" cy="1688595"/>
            <wp:effectExtent l="0" t="0" r="0" b="6985"/>
            <wp:docPr id="4663218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1805" name="Picture 46632180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6660" cy="1688595"/>
                    </a:xfrm>
                    <a:prstGeom prst="rect">
                      <a:avLst/>
                    </a:prstGeom>
                  </pic:spPr>
                </pic:pic>
              </a:graphicData>
            </a:graphic>
          </wp:inline>
        </w:drawing>
      </w:r>
    </w:p>
    <w:p w14:paraId="52CBB126" w14:textId="77777777" w:rsidR="003A24A6" w:rsidRPr="00F624E1" w:rsidRDefault="003A24A6" w:rsidP="003A24A6">
      <w:pPr>
        <w:pStyle w:val="Normalaftertitle"/>
      </w:pPr>
      <w:r w:rsidRPr="00F624E1">
        <w:t>The HLG system was designed with the model shown below, where the OOTF is considered to be in the display.</w:t>
      </w:r>
    </w:p>
    <w:p w14:paraId="6B57D592" w14:textId="73226AC4" w:rsidR="003A24A6" w:rsidRPr="00F624E1" w:rsidRDefault="00D535A2" w:rsidP="003A24A6">
      <w:pPr>
        <w:pStyle w:val="Figure"/>
      </w:pPr>
      <w:r>
        <w:rPr>
          <w:noProof/>
        </w:rPr>
        <w:drawing>
          <wp:inline distT="0" distB="0" distL="0" distR="0" wp14:anchorId="0A66E0BC" wp14:editId="736977DA">
            <wp:extent cx="5937516" cy="1685547"/>
            <wp:effectExtent l="0" t="0" r="6350" b="0"/>
            <wp:docPr id="1996837584" name="Picture 5" descr="A diagram of a sign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37584" name="Picture 5" descr="A diagram of a signal&#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37516" cy="1685547"/>
                    </a:xfrm>
                    <a:prstGeom prst="rect">
                      <a:avLst/>
                    </a:prstGeom>
                  </pic:spPr>
                </pic:pic>
              </a:graphicData>
            </a:graphic>
          </wp:inline>
        </w:drawing>
      </w:r>
    </w:p>
    <w:p w14:paraId="23A928EB" w14:textId="77777777" w:rsidR="003A24A6" w:rsidRPr="00F624E1" w:rsidRDefault="003A24A6" w:rsidP="003A24A6">
      <w:pPr>
        <w:pStyle w:val="Normalaftertitle"/>
      </w:pPr>
      <w:r w:rsidRPr="00F624E1">
        <w:t>Only two of three non-linearities, the OETF, the EOTF, and the OOTF, are independent. In functional notation (where subscripts indicate the colour component):</w:t>
      </w:r>
    </w:p>
    <w:p w14:paraId="2B9381FC" w14:textId="77777777" w:rsidR="003A24A6" w:rsidRPr="00F624E1" w:rsidRDefault="003A24A6" w:rsidP="003A24A6">
      <w:pPr>
        <w:pStyle w:val="Equation"/>
        <w:jc w:val="center"/>
      </w:pPr>
      <w:r w:rsidRPr="00F624E1">
        <w:rPr>
          <w:position w:val="-46"/>
          <w:lang w:eastAsia="ja-JP"/>
        </w:rPr>
        <w:object w:dxaOrig="4200" w:dyaOrig="1060" w14:anchorId="79718AA5">
          <v:shape id="_x0000_i1037" type="#_x0000_t75" style="width:184.9pt;height:49.55pt" o:ole="">
            <v:imagedata r:id="rId48" o:title=""/>
          </v:shape>
          <o:OLEObject Type="Embed" ProgID="Equation.3" ShapeID="_x0000_i1037" DrawAspect="Content" ObjectID="_1806133242" r:id="rId49"/>
        </w:object>
      </w:r>
    </w:p>
    <w:p w14:paraId="54EE6661" w14:textId="77777777" w:rsidR="003A24A6" w:rsidRPr="00F624E1" w:rsidRDefault="003A24A6" w:rsidP="003A24A6">
      <w:r w:rsidRPr="00F624E1">
        <w:rPr>
          <w:lang w:eastAsia="ja-JP"/>
        </w:rPr>
        <w:t xml:space="preserve">This is </w:t>
      </w:r>
      <w:r w:rsidRPr="00F624E1">
        <w:t>clearer</w:t>
      </w:r>
      <w:r w:rsidRPr="00F624E1">
        <w:rPr>
          <w:lang w:eastAsia="ja-JP"/>
        </w:rPr>
        <w:t xml:space="preserve"> if the concatenation is represented by the symbol </w:t>
      </w:r>
      <w:r w:rsidRPr="00F624E1">
        <w:rPr>
          <w:szCs w:val="24"/>
          <w:lang w:eastAsia="ja-JP"/>
        </w:rPr>
        <w:sym w:font="Symbol" w:char="F0C4"/>
      </w:r>
      <w:r w:rsidRPr="00F624E1">
        <w:rPr>
          <w:lang w:eastAsia="ja-JP"/>
        </w:rPr>
        <w:t>. With this notation, the following three relationships between these three non-linearities are obtained:</w:t>
      </w:r>
    </w:p>
    <w:p w14:paraId="58DA7C2A" w14:textId="77777777" w:rsidR="003A24A6" w:rsidRPr="00F624E1" w:rsidRDefault="003A24A6" w:rsidP="003A24A6">
      <w:pPr>
        <w:pStyle w:val="Equation"/>
        <w:jc w:val="center"/>
      </w:pPr>
      <w:r w:rsidRPr="00F624E1">
        <w:rPr>
          <w:lang w:eastAsia="ja-JP"/>
        </w:rPr>
        <w:object w:dxaOrig="2860" w:dyaOrig="2240" w14:anchorId="13E0C824">
          <v:shape id="_x0000_i1038" type="#_x0000_t75" style="width:138.8pt;height:107.7pt" o:ole="">
            <v:imagedata r:id="rId50" o:title=""/>
          </v:shape>
          <o:OLEObject Type="Embed" ProgID="Equation.3" ShapeID="_x0000_i1038" DrawAspect="Content" ObjectID="_1806133243" r:id="rId51"/>
        </w:object>
      </w:r>
    </w:p>
    <w:p w14:paraId="50DA4ACC" w14:textId="77777777" w:rsidR="003A24A6" w:rsidRPr="00F624E1" w:rsidRDefault="003A24A6" w:rsidP="003A24A6">
      <w:r w:rsidRPr="00F624E1">
        <w:t>The PQ approach is defined by its EOTF. For PQ, the OETF may be derived from the OOTF using the third line of the equations above. In a complementary fashion the HLG approach is defined by its OETF. For HLG, the EOTF may be derived from the OOTF using the second line of the equations above.</w:t>
      </w:r>
    </w:p>
    <w:p w14:paraId="61745165" w14:textId="77777777" w:rsidR="003A24A6" w:rsidRPr="00F624E1" w:rsidRDefault="003A24A6" w:rsidP="003A24A6"/>
    <w:p w14:paraId="46636F00" w14:textId="77777777" w:rsidR="003A24A6" w:rsidRPr="00F624E1" w:rsidRDefault="003A24A6" w:rsidP="003A24A6"/>
    <w:p w14:paraId="6FA62EA2" w14:textId="77777777" w:rsidR="003A24A6" w:rsidRPr="00F624E1" w:rsidRDefault="003A24A6" w:rsidP="003A24A6">
      <w:pPr>
        <w:pStyle w:val="AnnexNoTitle"/>
      </w:pPr>
      <w:bookmarkStart w:id="9" w:name="_Toc55989638"/>
      <w:r w:rsidRPr="00F624E1">
        <w:lastRenderedPageBreak/>
        <w:t>Annex 2</w:t>
      </w:r>
      <w:r w:rsidRPr="00F624E1">
        <w:br/>
        <w:t>(informative)</w:t>
      </w:r>
      <w:r w:rsidRPr="00F624E1">
        <w:br/>
      </w:r>
      <w:r w:rsidRPr="00F624E1">
        <w:br/>
        <w:t>Parametric representation of electro-optical and opto</w:t>
      </w:r>
      <w:r w:rsidRPr="00F624E1">
        <w:noBreakHyphen/>
        <w:t>electronic transfer functions</w:t>
      </w:r>
      <w:bookmarkEnd w:id="9"/>
    </w:p>
    <w:p w14:paraId="555802AC" w14:textId="47460F8C" w:rsidR="003A24A6" w:rsidRPr="00F624E1" w:rsidRDefault="003A24A6" w:rsidP="00F65ACF">
      <w:pPr>
        <w:pStyle w:val="Normalaftertitle"/>
        <w:spacing w:before="240"/>
      </w:pPr>
      <w:r w:rsidRPr="00F624E1">
        <w:t>This Annex in connection with appropriate parameter sets facilitates the implementation of the reference opto-electronic transfer functions (OETFs), as well as the reference electro-optical transfer functions (EOTFs) of this Recommendation.</w:t>
      </w:r>
    </w:p>
    <w:p w14:paraId="2C6B6A36" w14:textId="77777777" w:rsidR="003A24A6" w:rsidRPr="00F624E1" w:rsidRDefault="003A24A6" w:rsidP="00F65ACF">
      <w:pPr>
        <w:keepNext/>
        <w:spacing w:before="100"/>
      </w:pPr>
      <w:r w:rsidRPr="00F624E1">
        <w:t>An EOTF may be represented by equation (1):</w:t>
      </w:r>
    </w:p>
    <w:p w14:paraId="2FD65869" w14:textId="77777777" w:rsidR="003A24A6" w:rsidRPr="00F624E1" w:rsidRDefault="003A24A6" w:rsidP="00F65ACF">
      <w:pPr>
        <w:pStyle w:val="Equation"/>
        <w:spacing w:before="100"/>
      </w:pPr>
      <w:r w:rsidRPr="00F624E1">
        <w:tab/>
      </w:r>
      <w:r w:rsidRPr="00F624E1">
        <w:tab/>
      </w:r>
      <w:r w:rsidRPr="00F624E1">
        <w:rPr>
          <w:position w:val="-28"/>
        </w:rPr>
        <w:object w:dxaOrig="2480" w:dyaOrig="740" w14:anchorId="316ACBA5">
          <v:shape id="_x0000_i1039" type="#_x0000_t75" style="width:125.55pt;height:36.3pt" o:ole="">
            <v:imagedata r:id="rId52" o:title=""/>
          </v:shape>
          <o:OLEObject Type="Embed" ProgID="Equation.3" ShapeID="_x0000_i1039" DrawAspect="Content" ObjectID="_1806133244" r:id="rId53"/>
        </w:object>
      </w:r>
      <w:r w:rsidRPr="00F624E1">
        <w:tab/>
        <w:t>(1)</w:t>
      </w:r>
    </w:p>
    <w:p w14:paraId="4D0A6FDD" w14:textId="77777777" w:rsidR="003A24A6" w:rsidRPr="00F624E1" w:rsidRDefault="003A24A6" w:rsidP="00F65ACF">
      <w:pPr>
        <w:spacing w:before="40"/>
      </w:pPr>
      <w:r w:rsidRPr="00F624E1">
        <w:t>where:</w:t>
      </w:r>
    </w:p>
    <w:p w14:paraId="24724236" w14:textId="77777777" w:rsidR="003A24A6" w:rsidRPr="00F624E1" w:rsidRDefault="003A24A6" w:rsidP="003A24A6">
      <w:pPr>
        <w:pStyle w:val="Equationlegend"/>
        <w:rPr>
          <w:lang w:val="en-GB"/>
        </w:rPr>
      </w:pPr>
      <w:r w:rsidRPr="00F624E1">
        <w:rPr>
          <w:i/>
          <w:lang w:val="en-GB"/>
        </w:rPr>
        <w:tab/>
        <w:t>V</w:t>
      </w:r>
      <w:r w:rsidRPr="00F624E1">
        <w:rPr>
          <w:lang w:val="en-GB"/>
        </w:rPr>
        <w:t xml:space="preserve"> :</w:t>
      </w:r>
      <w:r w:rsidRPr="00F624E1">
        <w:rPr>
          <w:lang w:val="en-GB"/>
        </w:rPr>
        <w:tab/>
        <w:t>nonlinear colour value</w:t>
      </w:r>
    </w:p>
    <w:p w14:paraId="4E62CBB0" w14:textId="77777777" w:rsidR="003A24A6" w:rsidRPr="00F624E1" w:rsidRDefault="003A24A6" w:rsidP="003A24A6">
      <w:pPr>
        <w:pStyle w:val="Equationlegend"/>
        <w:rPr>
          <w:lang w:val="en-GB"/>
        </w:rPr>
      </w:pPr>
      <w:r w:rsidRPr="00F624E1">
        <w:rPr>
          <w:i/>
          <w:lang w:val="en-GB"/>
        </w:rPr>
        <w:tab/>
        <w:t>L</w:t>
      </w:r>
      <w:r w:rsidRPr="00F624E1">
        <w:rPr>
          <w:lang w:val="en-GB"/>
        </w:rPr>
        <w:t xml:space="preserve"> :</w:t>
      </w:r>
      <w:r w:rsidRPr="00F624E1">
        <w:rPr>
          <w:lang w:val="en-GB"/>
        </w:rPr>
        <w:tab/>
        <w:t>corresponding linear colour value.</w:t>
      </w:r>
    </w:p>
    <w:p w14:paraId="3F2CF003" w14:textId="77777777" w:rsidR="003A24A6" w:rsidRPr="00F624E1" w:rsidRDefault="003A24A6" w:rsidP="00F65ACF">
      <w:pPr>
        <w:spacing w:before="100"/>
      </w:pPr>
      <w:r w:rsidRPr="00F624E1">
        <w:t>The parameter set {</w:t>
      </w:r>
      <w:r w:rsidRPr="00F624E1">
        <w:rPr>
          <w:i/>
        </w:rPr>
        <w:t>s</w:t>
      </w:r>
      <w:r w:rsidRPr="00F624E1">
        <w:t xml:space="preserve">, </w:t>
      </w:r>
      <w:r w:rsidRPr="00F624E1">
        <w:rPr>
          <w:i/>
        </w:rPr>
        <w:t>t</w:t>
      </w:r>
      <w:r w:rsidRPr="00F624E1">
        <w:t xml:space="preserve">, </w:t>
      </w:r>
      <w:r w:rsidRPr="00F624E1">
        <w:rPr>
          <w:i/>
        </w:rPr>
        <w:t>c</w:t>
      </w:r>
      <w:r w:rsidRPr="00F624E1">
        <w:t xml:space="preserve">, </w:t>
      </w:r>
      <w:r w:rsidRPr="00F624E1">
        <w:rPr>
          <w:i/>
        </w:rPr>
        <w:t>n</w:t>
      </w:r>
      <w:r w:rsidRPr="00F624E1">
        <w:t xml:space="preserve">, </w:t>
      </w:r>
      <w:r w:rsidRPr="00F624E1">
        <w:rPr>
          <w:i/>
        </w:rPr>
        <w:t>m</w:t>
      </w:r>
      <w:r w:rsidRPr="00F624E1">
        <w:t>} can be set according to a desired application.</w:t>
      </w:r>
    </w:p>
    <w:p w14:paraId="3A006B19" w14:textId="77777777" w:rsidR="003A24A6" w:rsidRPr="00F624E1" w:rsidRDefault="003A24A6" w:rsidP="00F65ACF">
      <w:pPr>
        <w:spacing w:before="100"/>
      </w:pPr>
      <w:r w:rsidRPr="00F624E1">
        <w:t>An OETF may be represented by equation (2):</w:t>
      </w:r>
    </w:p>
    <w:p w14:paraId="3D1966EA" w14:textId="77777777" w:rsidR="003A24A6" w:rsidRPr="00F624E1" w:rsidRDefault="003A24A6" w:rsidP="00F65ACF">
      <w:pPr>
        <w:pStyle w:val="Equation"/>
        <w:spacing w:before="100"/>
      </w:pPr>
      <w:r w:rsidRPr="00F624E1">
        <w:rPr>
          <w:iCs/>
        </w:rPr>
        <w:tab/>
      </w:r>
      <w:r w:rsidRPr="00F624E1">
        <w:rPr>
          <w:iCs/>
        </w:rPr>
        <w:tab/>
      </w:r>
      <w:r w:rsidRPr="00F624E1">
        <w:rPr>
          <w:position w:val="-24"/>
        </w:rPr>
        <w:object w:dxaOrig="1860" w:dyaOrig="660" w14:anchorId="6913461E">
          <v:shape id="_x0000_i1040" type="#_x0000_t75" style="width:90.45pt;height:29.95pt" o:ole="">
            <v:imagedata r:id="rId54" o:title=""/>
          </v:shape>
          <o:OLEObject Type="Embed" ProgID="Equation.3" ShapeID="_x0000_i1040" DrawAspect="Content" ObjectID="_1806133245" r:id="rId55"/>
        </w:object>
      </w:r>
      <w:r w:rsidRPr="00F624E1">
        <w:tab/>
        <w:t>(2)</w:t>
      </w:r>
    </w:p>
    <w:p w14:paraId="128DE7C4" w14:textId="77777777" w:rsidR="003A24A6" w:rsidRPr="00F624E1" w:rsidRDefault="003A24A6" w:rsidP="00F65ACF">
      <w:pPr>
        <w:spacing w:before="100"/>
      </w:pPr>
      <w:r w:rsidRPr="00F624E1">
        <w:t xml:space="preserve">It should be noted that if the parameters </w:t>
      </w:r>
      <w:r w:rsidRPr="00F624E1">
        <w:rPr>
          <w:i/>
        </w:rPr>
        <w:t>s</w:t>
      </w:r>
      <w:r w:rsidRPr="00F624E1">
        <w:t xml:space="preserve">, </w:t>
      </w:r>
      <w:r w:rsidRPr="00F624E1">
        <w:rPr>
          <w:i/>
        </w:rPr>
        <w:t>t</w:t>
      </w:r>
      <w:r w:rsidRPr="00F624E1">
        <w:t xml:space="preserve">, </w:t>
      </w:r>
      <w:r w:rsidRPr="00F624E1">
        <w:rPr>
          <w:i/>
        </w:rPr>
        <w:t>c</w:t>
      </w:r>
      <w:r w:rsidRPr="00F624E1">
        <w:t xml:space="preserve">, </w:t>
      </w:r>
      <w:r w:rsidRPr="00F624E1">
        <w:rPr>
          <w:i/>
        </w:rPr>
        <w:t>n</w:t>
      </w:r>
      <w:r w:rsidRPr="00F624E1">
        <w:t xml:space="preserve"> and </w:t>
      </w:r>
      <w:r w:rsidRPr="00F624E1">
        <w:rPr>
          <w:i/>
        </w:rPr>
        <w:t>m</w:t>
      </w:r>
      <w:r w:rsidRPr="00F624E1">
        <w:t xml:space="preserve"> are given identical values in equations (1) and (2), then </w:t>
      </w:r>
      <m:oMath>
        <m:r>
          <w:rPr>
            <w:rFonts w:ascii="Cambria Math" w:hAnsi="Cambria Math"/>
          </w:rPr>
          <m:t>L(V)</m:t>
        </m:r>
      </m:oMath>
      <w:r w:rsidRPr="00F624E1">
        <w:t xml:space="preserve"> and </w:t>
      </w:r>
      <m:oMath>
        <m:r>
          <w:rPr>
            <w:rFonts w:ascii="Cambria Math" w:hAnsi="Cambria Math"/>
          </w:rPr>
          <m:t>V(L)</m:t>
        </m:r>
      </m:oMath>
      <w:r w:rsidRPr="00F624E1">
        <w:t xml:space="preserve"> are the mathematical inverse of each other.</w:t>
      </w:r>
    </w:p>
    <w:p w14:paraId="69010BFD" w14:textId="77777777" w:rsidR="003A24A6" w:rsidRPr="00F624E1" w:rsidRDefault="003A24A6" w:rsidP="00F65ACF">
      <w:pPr>
        <w:spacing w:before="100"/>
      </w:pPr>
      <w:r w:rsidRPr="00F624E1">
        <w:t xml:space="preserve">In certain applications, it is helpful to normalize </w:t>
      </w:r>
      <w:r w:rsidRPr="00F624E1">
        <w:rPr>
          <w:i/>
        </w:rPr>
        <w:t>V</w:t>
      </w:r>
      <w:r w:rsidRPr="00F624E1">
        <w:t xml:space="preserve"> in equations (1) and (2) according to equation (3):</w:t>
      </w:r>
    </w:p>
    <w:p w14:paraId="6835D52E" w14:textId="77777777" w:rsidR="003A24A6" w:rsidRPr="00F624E1" w:rsidRDefault="003A24A6" w:rsidP="00F65ACF">
      <w:pPr>
        <w:pStyle w:val="Equation"/>
        <w:spacing w:before="100"/>
      </w:pPr>
      <w:r w:rsidRPr="00F624E1">
        <w:tab/>
      </w:r>
      <w:r w:rsidRPr="00F624E1">
        <w:tab/>
      </w:r>
      <w:r w:rsidRPr="00F624E1">
        <w:rPr>
          <w:position w:val="-24"/>
        </w:rPr>
        <w:object w:dxaOrig="1460" w:dyaOrig="620" w14:anchorId="2375CA30">
          <v:shape id="_x0000_i1041" type="#_x0000_t75" style="width:1in;height:29.95pt" o:ole="">
            <v:imagedata r:id="rId56" o:title=""/>
          </v:shape>
          <o:OLEObject Type="Embed" ProgID="Equation.3" ShapeID="_x0000_i1041" DrawAspect="Content" ObjectID="_1806133246" r:id="rId57"/>
        </w:object>
      </w:r>
      <w:r w:rsidRPr="00F624E1">
        <w:tab/>
        <w:t>(3)</w:t>
      </w:r>
    </w:p>
    <w:p w14:paraId="7440319B" w14:textId="77777777" w:rsidR="003A24A6" w:rsidRPr="00F624E1" w:rsidRDefault="003A24A6" w:rsidP="00F65ACF">
      <w:pPr>
        <w:spacing w:before="100"/>
      </w:pPr>
      <w:r w:rsidRPr="00F624E1">
        <w:t>where:</w:t>
      </w:r>
    </w:p>
    <w:p w14:paraId="5DBBF6BA" w14:textId="77777777" w:rsidR="003A24A6" w:rsidRPr="00F624E1" w:rsidRDefault="003A24A6" w:rsidP="00F65ACF">
      <w:pPr>
        <w:pStyle w:val="Equationlegend"/>
        <w:spacing w:before="60"/>
        <w:rPr>
          <w:lang w:val="en-GB"/>
        </w:rPr>
      </w:pPr>
      <w:r w:rsidRPr="00F624E1">
        <w:rPr>
          <w:i/>
          <w:lang w:val="en-GB"/>
        </w:rPr>
        <w:tab/>
        <w:t>V</w:t>
      </w:r>
      <w:r w:rsidRPr="00F624E1">
        <w:rPr>
          <w:lang w:val="en-GB"/>
        </w:rPr>
        <w:t xml:space="preserve"> :</w:t>
      </w:r>
      <w:r w:rsidRPr="00F624E1">
        <w:rPr>
          <w:lang w:val="en-GB"/>
        </w:rPr>
        <w:tab/>
        <w:t>non-linear colour value</w:t>
      </w:r>
    </w:p>
    <w:p w14:paraId="0EF51B4F" w14:textId="77777777" w:rsidR="003A24A6" w:rsidRPr="00F624E1" w:rsidRDefault="003A24A6" w:rsidP="00F65ACF">
      <w:pPr>
        <w:pStyle w:val="Equationlegend"/>
        <w:spacing w:before="60"/>
        <w:rPr>
          <w:lang w:val="en-GB"/>
        </w:rPr>
      </w:pPr>
      <w:r w:rsidRPr="00F624E1">
        <w:rPr>
          <w:lang w:val="en-GB"/>
        </w:rPr>
        <w:tab/>
      </w:r>
      <w:r w:rsidRPr="00F624E1">
        <w:rPr>
          <w:position w:val="-6"/>
          <w:lang w:val="en-GB"/>
        </w:rPr>
        <w:object w:dxaOrig="240" w:dyaOrig="340" w14:anchorId="78DA4C61">
          <v:shape id="_x0000_i1042" type="#_x0000_t75" style="width:12.65pt;height:18.45pt" o:ole="">
            <v:imagedata r:id="rId58" o:title=""/>
          </v:shape>
          <o:OLEObject Type="Embed" ProgID="Equation.3" ShapeID="_x0000_i1042" DrawAspect="Content" ObjectID="_1806133247" r:id="rId59"/>
        </w:object>
      </w:r>
      <w:r w:rsidRPr="00F624E1">
        <w:rPr>
          <w:lang w:val="en-GB"/>
        </w:rPr>
        <w:t>:</w:t>
      </w:r>
      <w:r w:rsidRPr="00F624E1">
        <w:rPr>
          <w:lang w:val="en-GB"/>
        </w:rPr>
        <w:tab/>
        <w:t xml:space="preserve">normalized non-linear colour value that replaces </w:t>
      </w:r>
      <w:r w:rsidRPr="00F624E1">
        <w:rPr>
          <w:i/>
          <w:lang w:val="en-GB"/>
        </w:rPr>
        <w:t>V</w:t>
      </w:r>
      <w:r w:rsidRPr="00F624E1">
        <w:rPr>
          <w:lang w:val="en-GB"/>
        </w:rPr>
        <w:t xml:space="preserve"> in equations (1) and (2).</w:t>
      </w:r>
    </w:p>
    <w:p w14:paraId="6C256217" w14:textId="77777777" w:rsidR="003A24A6" w:rsidRPr="00F624E1" w:rsidRDefault="003A24A6" w:rsidP="00F65ACF">
      <w:pPr>
        <w:spacing w:before="100"/>
      </w:pPr>
      <w:r w:rsidRPr="00F624E1">
        <w:t xml:space="preserve">The parameters </w:t>
      </w:r>
      <w:r w:rsidRPr="00F624E1">
        <w:rPr>
          <w:i/>
        </w:rPr>
        <w:t>k</w:t>
      </w:r>
      <w:r w:rsidRPr="00F624E1">
        <w:t xml:space="preserve"> and </w:t>
      </w:r>
      <w:r w:rsidRPr="00F624E1">
        <w:rPr>
          <w:i/>
        </w:rPr>
        <w:t>p</w:t>
      </w:r>
      <w:r w:rsidRPr="00F624E1">
        <w:t xml:space="preserve"> can be set according to a desired application.</w:t>
      </w:r>
    </w:p>
    <w:p w14:paraId="7130F5A1" w14:textId="77777777" w:rsidR="003A24A6" w:rsidRPr="00F624E1" w:rsidRDefault="003A24A6" w:rsidP="00F65ACF">
      <w:pPr>
        <w:spacing w:before="100"/>
      </w:pPr>
      <w:r w:rsidRPr="00F624E1">
        <w:t xml:space="preserve">In certain applications, it is helpful to normalize </w:t>
      </w:r>
      <w:r w:rsidRPr="00F624E1">
        <w:rPr>
          <w:i/>
        </w:rPr>
        <w:t>L</w:t>
      </w:r>
      <w:r w:rsidRPr="00F624E1">
        <w:t xml:space="preserve"> in equations (1) and (2) according to equation (4):</w:t>
      </w:r>
    </w:p>
    <w:p w14:paraId="7E4C0344" w14:textId="77777777" w:rsidR="003A24A6" w:rsidRPr="00F624E1" w:rsidRDefault="003A24A6" w:rsidP="00F65ACF">
      <w:pPr>
        <w:pStyle w:val="Equation"/>
        <w:spacing w:before="100"/>
      </w:pPr>
      <w:r w:rsidRPr="00F624E1">
        <w:tab/>
      </w:r>
      <w:r w:rsidRPr="00F624E1">
        <w:tab/>
      </w:r>
      <w:r w:rsidRPr="00F624E1">
        <w:rPr>
          <w:position w:val="-24"/>
        </w:rPr>
        <w:object w:dxaOrig="999" w:dyaOrig="620" w14:anchorId="69B1273D">
          <v:shape id="_x0000_i1043" type="#_x0000_t75" style="width:47.8pt;height:29.95pt" o:ole="">
            <v:imagedata r:id="rId60" o:title=""/>
          </v:shape>
          <o:OLEObject Type="Embed" ProgID="Equation.3" ShapeID="_x0000_i1043" DrawAspect="Content" ObjectID="_1806133248" r:id="rId61"/>
        </w:object>
      </w:r>
      <w:r w:rsidRPr="00F624E1">
        <w:tab/>
        <w:t>(4)</w:t>
      </w:r>
    </w:p>
    <w:p w14:paraId="4526498E" w14:textId="77777777" w:rsidR="003A24A6" w:rsidRPr="00F624E1" w:rsidRDefault="003A24A6" w:rsidP="00F65ACF">
      <w:pPr>
        <w:spacing w:before="40"/>
      </w:pPr>
      <w:r w:rsidRPr="00F624E1">
        <w:t>where:</w:t>
      </w:r>
    </w:p>
    <w:p w14:paraId="68E09E2E" w14:textId="77777777" w:rsidR="003A24A6" w:rsidRPr="00F624E1" w:rsidRDefault="003A24A6" w:rsidP="00F65ACF">
      <w:pPr>
        <w:pStyle w:val="Equationlegend"/>
        <w:spacing w:before="60"/>
        <w:rPr>
          <w:lang w:val="en-GB"/>
        </w:rPr>
      </w:pPr>
      <w:r w:rsidRPr="00F624E1">
        <w:rPr>
          <w:i/>
          <w:lang w:val="en-GB"/>
        </w:rPr>
        <w:tab/>
        <w:t>L</w:t>
      </w:r>
      <w:r w:rsidRPr="00F624E1">
        <w:rPr>
          <w:lang w:val="en-GB"/>
        </w:rPr>
        <w:t xml:space="preserve"> :</w:t>
      </w:r>
      <w:r w:rsidRPr="00F624E1">
        <w:rPr>
          <w:lang w:val="en-GB"/>
        </w:rPr>
        <w:tab/>
        <w:t>linear colour value</w:t>
      </w:r>
    </w:p>
    <w:p w14:paraId="0C214380" w14:textId="77777777" w:rsidR="003A24A6" w:rsidRPr="00F624E1" w:rsidRDefault="003A24A6" w:rsidP="00F65ACF">
      <w:pPr>
        <w:pStyle w:val="Equationlegend"/>
        <w:spacing w:before="60"/>
        <w:rPr>
          <w:lang w:val="en-GB"/>
        </w:rPr>
      </w:pPr>
      <w:r w:rsidRPr="00F624E1">
        <w:rPr>
          <w:lang w:val="en-GB"/>
        </w:rPr>
        <w:tab/>
      </w:r>
      <w:r w:rsidRPr="00F624E1">
        <w:rPr>
          <w:position w:val="-4"/>
          <w:lang w:val="en-GB"/>
        </w:rPr>
        <w:object w:dxaOrig="220" w:dyaOrig="320" w14:anchorId="4C3B2EB1">
          <v:shape id="_x0000_i1044" type="#_x0000_t75" style="width:12.65pt;height:18.45pt" o:ole="">
            <v:imagedata r:id="rId62" o:title=""/>
          </v:shape>
          <o:OLEObject Type="Embed" ProgID="Equation.3" ShapeID="_x0000_i1044" DrawAspect="Content" ObjectID="_1806133249" r:id="rId63"/>
        </w:object>
      </w:r>
      <w:r w:rsidRPr="00F624E1">
        <w:rPr>
          <w:lang w:val="en-GB"/>
        </w:rPr>
        <w:t>:</w:t>
      </w:r>
      <w:r w:rsidRPr="00F624E1">
        <w:rPr>
          <w:lang w:val="en-GB"/>
        </w:rPr>
        <w:tab/>
        <w:t xml:space="preserve">normalized linear colour value that replaces </w:t>
      </w:r>
      <w:r w:rsidRPr="00F624E1">
        <w:rPr>
          <w:i/>
          <w:lang w:val="en-GB"/>
        </w:rPr>
        <w:t>L</w:t>
      </w:r>
      <w:r w:rsidRPr="00F624E1">
        <w:rPr>
          <w:lang w:val="en-GB"/>
        </w:rPr>
        <w:t xml:space="preserve"> in equations (1) and (2).</w:t>
      </w:r>
    </w:p>
    <w:p w14:paraId="7327317B" w14:textId="77777777" w:rsidR="003A24A6" w:rsidRPr="00F624E1" w:rsidRDefault="003A24A6" w:rsidP="00F65ACF">
      <w:pPr>
        <w:spacing w:before="100"/>
        <w:rPr>
          <w:lang w:eastAsia="zh-CN"/>
        </w:rPr>
      </w:pPr>
      <w:r w:rsidRPr="00F624E1">
        <w:t xml:space="preserve">The parameters </w:t>
      </w:r>
      <w:r w:rsidRPr="00F624E1">
        <w:rPr>
          <w:i/>
        </w:rPr>
        <w:t>a</w:t>
      </w:r>
      <w:r w:rsidRPr="00F624E1">
        <w:t xml:space="preserve"> and </w:t>
      </w:r>
      <w:r w:rsidRPr="00F624E1">
        <w:rPr>
          <w:i/>
        </w:rPr>
        <w:t>b</w:t>
      </w:r>
      <w:r w:rsidRPr="00F624E1">
        <w:t xml:space="preserve"> can be set according to a desired application.</w:t>
      </w:r>
    </w:p>
    <w:p w14:paraId="41A22D6D" w14:textId="519CBA5A" w:rsidR="003A24A6" w:rsidRDefault="003A24A6" w:rsidP="00F65ACF">
      <w:pPr>
        <w:spacing w:before="100"/>
      </w:pPr>
      <w:r w:rsidRPr="00F624E1">
        <w:t xml:space="preserve">Using these equations, an actual implementation may be created by specifying values for each of the parameters. As an example, a linear normalised signal may have to be reproduced, in which case the parameters for equation (3) are: </w:t>
      </w:r>
      <m:oMath>
        <m:r>
          <w:rPr>
            <w:rFonts w:ascii="Cambria Math" w:hAnsi="Cambria Math"/>
          </w:rPr>
          <m:t>p=m=0</m:t>
        </m:r>
      </m:oMath>
      <w:r w:rsidRPr="00F624E1">
        <w:t xml:space="preserve"> and </w:t>
      </w:r>
      <m:oMath>
        <m:r>
          <w:rPr>
            <w:rFonts w:ascii="Cambria Math" w:hAnsi="Cambria Math"/>
          </w:rPr>
          <m:t>k=1</m:t>
        </m:r>
      </m:oMath>
      <w:r w:rsidRPr="00F624E1">
        <w:t xml:space="preserve">. The parameters for equation (4) would then be: </w:t>
      </w:r>
      <m:oMath>
        <m:r>
          <w:rPr>
            <w:rFonts w:ascii="Cambria Math" w:hAnsi="Cambria Math"/>
          </w:rPr>
          <m:t>a=1</m:t>
        </m:r>
      </m:oMath>
      <w:r w:rsidRPr="00F624E1">
        <w:t xml:space="preserve"> and </w:t>
      </w:r>
      <m:oMath>
        <m:r>
          <w:rPr>
            <w:rFonts w:ascii="Cambria Math" w:hAnsi="Cambria Math"/>
          </w:rPr>
          <m:t>b=0</m:t>
        </m:r>
      </m:oMath>
      <w:r w:rsidRPr="00F624E1">
        <w:t xml:space="preserve">. A sample pair of OETF and EOTF with a system gamma of 1.0, serving as a starting point, can be implemented using equations (1) and (2), with parameters </w:t>
      </w:r>
      <m:oMath>
        <m:r>
          <w:rPr>
            <w:rFonts w:ascii="Cambria Math" w:hAnsi="Cambria Math"/>
          </w:rPr>
          <m:t>s=1</m:t>
        </m:r>
      </m:oMath>
      <w:r w:rsidRPr="00F624E1">
        <w:t xml:space="preserve">, </w:t>
      </w:r>
      <w:r w:rsidRPr="00F624E1">
        <w:br/>
      </w:r>
      <m:oMath>
        <m:r>
          <m:rPr>
            <m:sty m:val="p"/>
          </m:rPr>
          <w:rPr>
            <w:rFonts w:ascii="Cambria Math" w:hAnsi="Cambria Math"/>
          </w:rPr>
          <m:t>t =m= 0.2701</m:t>
        </m:r>
      </m:oMath>
      <w:r w:rsidRPr="00F624E1">
        <w:t xml:space="preserve">, </w:t>
      </w:r>
      <m:oMath>
        <m:r>
          <m:rPr>
            <m:sty m:val="p"/>
          </m:rPr>
          <w:rPr>
            <w:rFonts w:ascii="Cambria Math" w:hAnsi="Cambria Math"/>
          </w:rPr>
          <m:t>c = -0.0729</m:t>
        </m:r>
      </m:oMath>
      <w:r w:rsidRPr="00F624E1">
        <w:t xml:space="preserve">, </w:t>
      </w:r>
      <m:oMath>
        <m:r>
          <m:rPr>
            <m:sty m:val="p"/>
          </m:rPr>
          <w:rPr>
            <w:rFonts w:ascii="Cambria Math" w:hAnsi="Cambria Math"/>
          </w:rPr>
          <m:t>n = 0.4623</m:t>
        </m:r>
      </m:oMath>
      <w:r w:rsidRPr="00F624E1">
        <w:t>.</w:t>
      </w:r>
    </w:p>
    <w:p w14:paraId="1EB913F3" w14:textId="77777777" w:rsidR="003A24A6" w:rsidRPr="00F624E1" w:rsidRDefault="003A24A6" w:rsidP="00685420">
      <w:pPr>
        <w:pStyle w:val="Line"/>
        <w:spacing w:before="0"/>
      </w:pPr>
    </w:p>
    <w:sectPr w:rsidR="003A24A6" w:rsidRPr="00F624E1" w:rsidSect="00DA7A49">
      <w:headerReference w:type="even" r:id="rId64"/>
      <w:headerReference w:type="default" r:id="rId65"/>
      <w:footerReference w:type="default" r:id="rId66"/>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9081F" w14:textId="77777777" w:rsidR="00B94F90" w:rsidRDefault="00B94F90">
      <w:r>
        <w:separator/>
      </w:r>
    </w:p>
  </w:endnote>
  <w:endnote w:type="continuationSeparator" w:id="0">
    <w:p w14:paraId="5B750B90" w14:textId="77777777" w:rsidR="00B94F90" w:rsidRDefault="00B94F90">
      <w:r>
        <w:continuationSeparator/>
      </w:r>
    </w:p>
  </w:endnote>
  <w:endnote w:type="continuationNotice" w:id="1">
    <w:p w14:paraId="7F6BE8A8" w14:textId="77777777" w:rsidR="00B94F90" w:rsidRDefault="00B94F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ulim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CD147" w14:textId="77777777" w:rsidR="00F335DC" w:rsidRDefault="00F335DC">
    <w:pPr>
      <w:pStyle w:val="Footer"/>
    </w:pPr>
    <w:r>
      <w:drawing>
        <wp:anchor distT="0" distB="0" distL="0" distR="0" simplePos="0" relativeHeight="251658240"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215B" w14:textId="77777777" w:rsidR="00B94F90" w:rsidRDefault="00B94F90">
      <w:r>
        <w:separator/>
      </w:r>
    </w:p>
  </w:footnote>
  <w:footnote w:type="continuationSeparator" w:id="0">
    <w:p w14:paraId="38BC7934" w14:textId="77777777" w:rsidR="00B94F90" w:rsidRDefault="00B94F90">
      <w:r>
        <w:continuationSeparator/>
      </w:r>
    </w:p>
  </w:footnote>
  <w:footnote w:type="continuationNotice" w:id="1">
    <w:p w14:paraId="77DDC8CC" w14:textId="77777777" w:rsidR="00B94F90" w:rsidRDefault="00B94F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58241"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24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0A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58243"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B8088"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0542" w14:textId="6DACD172"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0D358B">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0D358B">
      <w:rPr>
        <w:b/>
        <w:bCs/>
        <w:noProof/>
        <w:lang w:val="en-US"/>
      </w:rPr>
      <w:t>ITU-R  BT.2100-3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DFF0" w14:textId="1B0FDFE1"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0D358B">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D358B">
      <w:rPr>
        <w:b/>
        <w:bCs/>
        <w:noProof/>
      </w:rPr>
      <w:t>ITU-R  BT.2100-3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ECA6" w14:textId="7995879C"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0D358B" w:rsidRPr="000D358B">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0D358B">
      <w:rPr>
        <w:b/>
        <w:bCs/>
        <w:noProof/>
        <w:lang w:val="en-US"/>
      </w:rPr>
      <w:t>ITU-R  BT.2100-3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873" w14:textId="730A72DC" w:rsidR="00607D68" w:rsidRDefault="00607D68">
    <w:pPr>
      <w:pStyle w:val="Header"/>
    </w:pPr>
    <w:r>
      <w:tab/>
    </w:r>
    <w:fldSimple w:instr=" DOCPROPERTY &quot;Header&quot; \* MERGEFORMAT ">
      <w:r w:rsidR="000D358B" w:rsidRPr="000D358B">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0D358B">
      <w:rPr>
        <w:b/>
        <w:bCs/>
        <w:noProof/>
      </w:rPr>
      <w:t>ITU-R  BT.2100-3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12"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14"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15" w15:restartNumberingAfterBreak="0">
    <w:nsid w:val="11BE6175"/>
    <w:multiLevelType w:val="hybridMultilevel"/>
    <w:tmpl w:val="30CC8C88"/>
    <w:lvl w:ilvl="0" w:tplc="DC1C9D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F4E84"/>
    <w:multiLevelType w:val="hybridMultilevel"/>
    <w:tmpl w:val="57188886"/>
    <w:lvl w:ilvl="0" w:tplc="17EE51D8">
      <w:start w:val="3"/>
      <w:numFmt w:val="lowerRoman"/>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20" w15:restartNumberingAfterBreak="0">
    <w:nsid w:val="1B193707"/>
    <w:multiLevelType w:val="hybridMultilevel"/>
    <w:tmpl w:val="7D9E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636AF5"/>
    <w:multiLevelType w:val="hybridMultilevel"/>
    <w:tmpl w:val="019E824E"/>
    <w:lvl w:ilvl="0" w:tplc="FFFFFFFF">
      <w:start w:val="1"/>
      <w:numFmt w:val="bullet"/>
      <w:lvlText w:val=""/>
      <w:lvlJc w:val="left"/>
      <w:pPr>
        <w:tabs>
          <w:tab w:val="num" w:pos="400"/>
        </w:tabs>
        <w:ind w:left="403" w:hanging="23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3"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24"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25"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26"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27" w15:restartNumberingAfterBreak="0">
    <w:nsid w:val="489A0367"/>
    <w:multiLevelType w:val="hybridMultilevel"/>
    <w:tmpl w:val="8DD49D6A"/>
    <w:lvl w:ilvl="0" w:tplc="FFFFFFFF">
      <w:start w:val="1"/>
      <w:numFmt w:val="decimal"/>
      <w:lvlText w:val="[%1]"/>
      <w:lvlJc w:val="left"/>
      <w:pPr>
        <w:tabs>
          <w:tab w:val="num" w:pos="425"/>
        </w:tabs>
        <w:ind w:left="425" w:hanging="368"/>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29" w15:restartNumberingAfterBreak="0">
    <w:nsid w:val="4C343952"/>
    <w:multiLevelType w:val="hybridMultilevel"/>
    <w:tmpl w:val="C4C2F222"/>
    <w:lvl w:ilvl="0" w:tplc="E8E2E2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31"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32" w15:restartNumberingAfterBreak="0">
    <w:nsid w:val="5F2D1D73"/>
    <w:multiLevelType w:val="multilevel"/>
    <w:tmpl w:val="8472856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MS PGothic" w:hAnsi="Times New Roman" w:hint="default"/>
        <w:b/>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34"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35"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36" w15:restartNumberingAfterBreak="0">
    <w:nsid w:val="6B392DDF"/>
    <w:multiLevelType w:val="multilevel"/>
    <w:tmpl w:val="8C0064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DCE507F"/>
    <w:multiLevelType w:val="hybridMultilevel"/>
    <w:tmpl w:val="F3EEB97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D26BF"/>
    <w:multiLevelType w:val="hybridMultilevel"/>
    <w:tmpl w:val="5A7A5CC4"/>
    <w:lvl w:ilvl="0" w:tplc="BAC49350">
      <w:start w:val="1"/>
      <w:numFmt w:val="decimal"/>
      <w:pStyle w:val="BodyText"/>
      <w:lvlText w:val="%1)"/>
      <w:lvlJc w:val="left"/>
      <w:pPr>
        <w:ind w:left="420" w:hanging="420"/>
      </w:pPr>
      <w:rPr>
        <w:rFonts w:cs="Times New Roman" w:hint="eastAsia"/>
        <w:b w:val="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9"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40"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41"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42"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43"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abstractNum w:abstractNumId="44" w15:restartNumberingAfterBreak="0">
    <w:nsid w:val="7E986999"/>
    <w:multiLevelType w:val="hybridMultilevel"/>
    <w:tmpl w:val="B55290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2"/>
  </w:num>
  <w:num w:numId="12" w16cid:durableId="1036352548">
    <w:abstractNumId w:val="18"/>
  </w:num>
  <w:num w:numId="13" w16cid:durableId="2050446476">
    <w:abstractNumId w:val="44"/>
  </w:num>
  <w:num w:numId="14" w16cid:durableId="1890341184">
    <w:abstractNumId w:val="38"/>
  </w:num>
  <w:num w:numId="15" w16cid:durableId="1445661050">
    <w:abstractNumId w:val="16"/>
  </w:num>
  <w:num w:numId="16" w16cid:durableId="1422726040">
    <w:abstractNumId w:val="32"/>
  </w:num>
  <w:num w:numId="17" w16cid:durableId="138765205">
    <w:abstractNumId w:val="21"/>
  </w:num>
  <w:num w:numId="18" w16cid:durableId="603616264">
    <w:abstractNumId w:val="27"/>
  </w:num>
  <w:num w:numId="19" w16cid:durableId="569731683">
    <w:abstractNumId w:val="40"/>
  </w:num>
  <w:num w:numId="20" w16cid:durableId="1563516429">
    <w:abstractNumId w:val="22"/>
  </w:num>
  <w:num w:numId="21" w16cid:durableId="1913003138">
    <w:abstractNumId w:val="17"/>
  </w:num>
  <w:num w:numId="22" w16cid:durableId="1967612928">
    <w:abstractNumId w:val="28"/>
  </w:num>
  <w:num w:numId="23" w16cid:durableId="1830637264">
    <w:abstractNumId w:val="13"/>
  </w:num>
  <w:num w:numId="24" w16cid:durableId="876161086">
    <w:abstractNumId w:val="25"/>
  </w:num>
  <w:num w:numId="25" w16cid:durableId="339085579">
    <w:abstractNumId w:val="41"/>
  </w:num>
  <w:num w:numId="26" w16cid:durableId="1810442329">
    <w:abstractNumId w:val="19"/>
  </w:num>
  <w:num w:numId="27" w16cid:durableId="749352251">
    <w:abstractNumId w:val="11"/>
  </w:num>
  <w:num w:numId="28" w16cid:durableId="1737360648">
    <w:abstractNumId w:val="30"/>
  </w:num>
  <w:num w:numId="29" w16cid:durableId="2008246606">
    <w:abstractNumId w:val="23"/>
  </w:num>
  <w:num w:numId="30" w16cid:durableId="2005813465">
    <w:abstractNumId w:val="43"/>
  </w:num>
  <w:num w:numId="31" w16cid:durableId="445465052">
    <w:abstractNumId w:val="43"/>
    <w:lvlOverride w:ilvl="0">
      <w:lvl w:ilvl="0">
        <w:start w:val="2"/>
        <w:numFmt w:val="lowerLetter"/>
        <w:lvlText w:val="%1)"/>
        <w:legacy w:legacy="1" w:legacySpace="0" w:legacyIndent="720"/>
        <w:lvlJc w:val="left"/>
        <w:pPr>
          <w:ind w:left="720" w:hanging="720"/>
        </w:pPr>
      </w:lvl>
    </w:lvlOverride>
  </w:num>
  <w:num w:numId="32" w16cid:durableId="1721981080">
    <w:abstractNumId w:val="14"/>
  </w:num>
  <w:num w:numId="33" w16cid:durableId="1865172594">
    <w:abstractNumId w:val="42"/>
  </w:num>
  <w:num w:numId="34" w16cid:durableId="15214303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554081307">
    <w:abstractNumId w:val="24"/>
  </w:num>
  <w:num w:numId="36" w16cid:durableId="2037654862">
    <w:abstractNumId w:val="34"/>
  </w:num>
  <w:num w:numId="37" w16cid:durableId="236599028">
    <w:abstractNumId w:val="26"/>
  </w:num>
  <w:num w:numId="38" w16cid:durableId="781804760">
    <w:abstractNumId w:val="10"/>
    <w:lvlOverride w:ilvl="0">
      <w:lvl w:ilvl="0">
        <w:start w:val="1"/>
        <w:numFmt w:val="bullet"/>
        <w:lvlText w:val="-"/>
        <w:legacy w:legacy="1" w:legacySpace="0" w:legacyIndent="360"/>
        <w:lvlJc w:val="left"/>
        <w:pPr>
          <w:ind w:left="360" w:hanging="360"/>
        </w:pPr>
        <w:rPr>
          <w:sz w:val="16"/>
        </w:rPr>
      </w:lvl>
    </w:lvlOverride>
  </w:num>
  <w:num w:numId="39" w16cid:durableId="692341574">
    <w:abstractNumId w:val="39"/>
  </w:num>
  <w:num w:numId="40" w16cid:durableId="1567762889">
    <w:abstractNumId w:val="31"/>
  </w:num>
  <w:num w:numId="41" w16cid:durableId="348918340">
    <w:abstractNumId w:val="33"/>
  </w:num>
  <w:num w:numId="42" w16cid:durableId="596059744">
    <w:abstractNumId w:val="35"/>
  </w:num>
  <w:num w:numId="43" w16cid:durableId="1255935012">
    <w:abstractNumId w:val="20"/>
  </w:num>
  <w:num w:numId="44" w16cid:durableId="205259844">
    <w:abstractNumId w:val="29"/>
  </w:num>
  <w:num w:numId="45" w16cid:durableId="1320891539">
    <w:abstractNumId w:val="15"/>
  </w:num>
  <w:num w:numId="46" w16cid:durableId="1947687538">
    <w:abstractNumId w:val="36"/>
  </w:num>
  <w:num w:numId="47" w16cid:durableId="19376397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11746"/>
    <w:rsid w:val="00022BF1"/>
    <w:rsid w:val="00044732"/>
    <w:rsid w:val="000923E3"/>
    <w:rsid w:val="000B4396"/>
    <w:rsid w:val="000D358B"/>
    <w:rsid w:val="00181BB8"/>
    <w:rsid w:val="001978C5"/>
    <w:rsid w:val="001B368D"/>
    <w:rsid w:val="001C6894"/>
    <w:rsid w:val="001D5E91"/>
    <w:rsid w:val="001D73BE"/>
    <w:rsid w:val="00212860"/>
    <w:rsid w:val="0021295D"/>
    <w:rsid w:val="00217EBF"/>
    <w:rsid w:val="00220FFA"/>
    <w:rsid w:val="00231A98"/>
    <w:rsid w:val="00232810"/>
    <w:rsid w:val="002374D5"/>
    <w:rsid w:val="00242AEE"/>
    <w:rsid w:val="00253E2D"/>
    <w:rsid w:val="002D76C4"/>
    <w:rsid w:val="002E1796"/>
    <w:rsid w:val="002F286C"/>
    <w:rsid w:val="002F35D5"/>
    <w:rsid w:val="002F4802"/>
    <w:rsid w:val="00335A29"/>
    <w:rsid w:val="00355834"/>
    <w:rsid w:val="003A24A6"/>
    <w:rsid w:val="003B6814"/>
    <w:rsid w:val="003C2990"/>
    <w:rsid w:val="003C670C"/>
    <w:rsid w:val="004070FE"/>
    <w:rsid w:val="00433A89"/>
    <w:rsid w:val="00445D8B"/>
    <w:rsid w:val="004500D0"/>
    <w:rsid w:val="004657BD"/>
    <w:rsid w:val="004B1D71"/>
    <w:rsid w:val="004B3256"/>
    <w:rsid w:val="004B3FF0"/>
    <w:rsid w:val="004C7D5F"/>
    <w:rsid w:val="004E31EA"/>
    <w:rsid w:val="005243E6"/>
    <w:rsid w:val="0052529D"/>
    <w:rsid w:val="005279BB"/>
    <w:rsid w:val="00570495"/>
    <w:rsid w:val="00587A38"/>
    <w:rsid w:val="005C0A8E"/>
    <w:rsid w:val="005E6E33"/>
    <w:rsid w:val="005E71C1"/>
    <w:rsid w:val="00607D68"/>
    <w:rsid w:val="00622A04"/>
    <w:rsid w:val="0063016C"/>
    <w:rsid w:val="0065530E"/>
    <w:rsid w:val="006612B9"/>
    <w:rsid w:val="00667612"/>
    <w:rsid w:val="00667EDB"/>
    <w:rsid w:val="00684BCD"/>
    <w:rsid w:val="00685420"/>
    <w:rsid w:val="00691D3C"/>
    <w:rsid w:val="00692DDD"/>
    <w:rsid w:val="006E36BC"/>
    <w:rsid w:val="00707C3E"/>
    <w:rsid w:val="00712B52"/>
    <w:rsid w:val="00714E8F"/>
    <w:rsid w:val="00745387"/>
    <w:rsid w:val="007468DA"/>
    <w:rsid w:val="00756CB2"/>
    <w:rsid w:val="00765501"/>
    <w:rsid w:val="00772C46"/>
    <w:rsid w:val="007740D0"/>
    <w:rsid w:val="0078200A"/>
    <w:rsid w:val="007A1A48"/>
    <w:rsid w:val="007A4FE9"/>
    <w:rsid w:val="007C7D30"/>
    <w:rsid w:val="007E4410"/>
    <w:rsid w:val="007E7364"/>
    <w:rsid w:val="007F6B7E"/>
    <w:rsid w:val="008030EF"/>
    <w:rsid w:val="00832D37"/>
    <w:rsid w:val="00841BB7"/>
    <w:rsid w:val="008440C2"/>
    <w:rsid w:val="00876A91"/>
    <w:rsid w:val="008B597A"/>
    <w:rsid w:val="008B5D30"/>
    <w:rsid w:val="008E261A"/>
    <w:rsid w:val="008E326A"/>
    <w:rsid w:val="0091261D"/>
    <w:rsid w:val="00913943"/>
    <w:rsid w:val="00987A80"/>
    <w:rsid w:val="009A6AF1"/>
    <w:rsid w:val="009B519C"/>
    <w:rsid w:val="009D2172"/>
    <w:rsid w:val="009E00A8"/>
    <w:rsid w:val="009E0A61"/>
    <w:rsid w:val="009F4B41"/>
    <w:rsid w:val="00A124B0"/>
    <w:rsid w:val="00A6617B"/>
    <w:rsid w:val="00A7601F"/>
    <w:rsid w:val="00A7775E"/>
    <w:rsid w:val="00A95604"/>
    <w:rsid w:val="00AA0199"/>
    <w:rsid w:val="00AB0DC8"/>
    <w:rsid w:val="00AB0FF2"/>
    <w:rsid w:val="00AE37B4"/>
    <w:rsid w:val="00AE79D2"/>
    <w:rsid w:val="00AF0062"/>
    <w:rsid w:val="00AF1B48"/>
    <w:rsid w:val="00B03CAD"/>
    <w:rsid w:val="00B0719B"/>
    <w:rsid w:val="00B44E24"/>
    <w:rsid w:val="00B90B8A"/>
    <w:rsid w:val="00B94F90"/>
    <w:rsid w:val="00BC0133"/>
    <w:rsid w:val="00BE4E65"/>
    <w:rsid w:val="00BF31F5"/>
    <w:rsid w:val="00C04C22"/>
    <w:rsid w:val="00C740B8"/>
    <w:rsid w:val="00C74CA4"/>
    <w:rsid w:val="00C8717A"/>
    <w:rsid w:val="00CD2147"/>
    <w:rsid w:val="00CD28B8"/>
    <w:rsid w:val="00D30CA6"/>
    <w:rsid w:val="00D45E17"/>
    <w:rsid w:val="00D535A2"/>
    <w:rsid w:val="00D750B8"/>
    <w:rsid w:val="00D971D7"/>
    <w:rsid w:val="00DA7A49"/>
    <w:rsid w:val="00DC2B47"/>
    <w:rsid w:val="00DD1986"/>
    <w:rsid w:val="00DE1988"/>
    <w:rsid w:val="00DE2FCC"/>
    <w:rsid w:val="00DF181A"/>
    <w:rsid w:val="00DF4176"/>
    <w:rsid w:val="00E4513C"/>
    <w:rsid w:val="00E73F74"/>
    <w:rsid w:val="00EA66B8"/>
    <w:rsid w:val="00EB30B5"/>
    <w:rsid w:val="00ED175C"/>
    <w:rsid w:val="00EE10C8"/>
    <w:rsid w:val="00EF0670"/>
    <w:rsid w:val="00F2306C"/>
    <w:rsid w:val="00F335DC"/>
    <w:rsid w:val="00F50786"/>
    <w:rsid w:val="00F65ACF"/>
    <w:rsid w:val="00F70180"/>
    <w:rsid w:val="00F92570"/>
    <w:rsid w:val="00FE7C66"/>
    <w:rsid w:val="00FF30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uiPriority w:val="9"/>
    <w:qFormat/>
    <w:pPr>
      <w:keepNext/>
      <w:keepLines/>
      <w:spacing w:before="480"/>
      <w:ind w:left="794" w:hanging="794"/>
      <w:outlineLvl w:val="0"/>
    </w:pPr>
    <w:rPr>
      <w:b/>
    </w:rPr>
  </w:style>
  <w:style w:type="paragraph" w:styleId="Heading2">
    <w:name w:val="heading 2"/>
    <w:basedOn w:val="Heading1"/>
    <w:next w:val="Normal"/>
    <w:link w:val="Heading2Char"/>
    <w:uiPriority w:val="9"/>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992"/>
      </w:tabs>
      <w:ind w:left="992" w:hanging="992"/>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992"/>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qFormat/>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7740D0"/>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qFormat/>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ALTS FOOTNOTE,footnote text,Footnote Text Char1,Footnote Text Char Char1,Footnote Text Char4 Char Char,Footnote Text Char1 Char1 Char1 Char,Footnote Text Char Char1 Char1 Char Char,Footnote Text Char1 Char1 Char1 Char Char Char1,DNV-,DNV"/>
    <w:basedOn w:val="Normal"/>
    <w:link w:val="FootnoteTextChar"/>
    <w:uiPriority w:val="99"/>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uiPriority w:val="99"/>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uiPriority w:val="99"/>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uiPriority w:val="9"/>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pie de página Char"/>
    <w:basedOn w:val="DefaultParagraphFont"/>
    <w:link w:val="Footer"/>
    <w:qFormat/>
    <w:rsid w:val="00F335DC"/>
    <w:rPr>
      <w:noProof/>
      <w:sz w:val="18"/>
      <w:lang w:val="en-GB" w:eastAsia="en-US"/>
    </w:rPr>
  </w:style>
  <w:style w:type="character" w:styleId="Hyperlink">
    <w:name w:val="Hyperlink"/>
    <w:basedOn w:val="DefaultParagraphFont"/>
    <w:rsid w:val="00F335DC"/>
    <w:rPr>
      <w:color w:val="0000FF"/>
      <w:u w:val="single"/>
    </w:rPr>
  </w:style>
  <w:style w:type="table" w:styleId="TableGrid">
    <w:name w:val="Table Grid"/>
    <w:basedOn w:val="TableNormal"/>
    <w:uiPriority w:val="59"/>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uiPriority w:val="99"/>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uiPriority w:val="99"/>
    <w:locked/>
    <w:rsid w:val="008030EF"/>
    <w:rPr>
      <w:b/>
      <w:sz w:val="28"/>
      <w:lang w:val="en-GB" w:eastAsia="en-US"/>
    </w:rPr>
  </w:style>
  <w:style w:type="character" w:customStyle="1" w:styleId="Heading2Char">
    <w:name w:val="Heading 2 Char"/>
    <w:basedOn w:val="DefaultParagraphFont"/>
    <w:link w:val="Heading2"/>
    <w:uiPriority w:val="9"/>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8030EF"/>
    <w:rPr>
      <w:lang w:val="en-GB" w:eastAsia="en-US"/>
    </w:rPr>
  </w:style>
  <w:style w:type="paragraph" w:styleId="CommentSubject">
    <w:name w:val="annotation subject"/>
    <w:basedOn w:val="CommentText"/>
    <w:next w:val="CommentText"/>
    <w:link w:val="CommentSubjectChar"/>
    <w:uiPriority w:val="99"/>
    <w:unhideWhenUsed/>
    <w:rsid w:val="008030EF"/>
    <w:rPr>
      <w:b/>
      <w:bCs/>
    </w:rPr>
  </w:style>
  <w:style w:type="character" w:customStyle="1" w:styleId="CommentSubjectChar">
    <w:name w:val="Comment Subject Char"/>
    <w:basedOn w:val="CommentTextChar"/>
    <w:link w:val="CommentSubject"/>
    <w:uiPriority w:val="99"/>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styleId="UnresolvedMention">
    <w:name w:val="Unresolved Mention"/>
    <w:basedOn w:val="DefaultParagraphFont"/>
    <w:uiPriority w:val="99"/>
    <w:semiHidden/>
    <w:unhideWhenUsed/>
    <w:rsid w:val="00841BB7"/>
    <w:rPr>
      <w:color w:val="605E5C"/>
      <w:shd w:val="clear" w:color="auto" w:fill="E1DFDD"/>
    </w:rPr>
  </w:style>
  <w:style w:type="character" w:customStyle="1" w:styleId="CallChar">
    <w:name w:val="Call Char"/>
    <w:link w:val="Call"/>
    <w:uiPriority w:val="99"/>
    <w:locked/>
    <w:rsid w:val="00707C3E"/>
    <w:rPr>
      <w:i/>
      <w:sz w:val="24"/>
      <w:lang w:val="en-GB" w:eastAsia="en-US"/>
    </w:rPr>
  </w:style>
  <w:style w:type="character" w:customStyle="1" w:styleId="TabletextChar">
    <w:name w:val="Table_text Char"/>
    <w:basedOn w:val="DefaultParagraphFont"/>
    <w:link w:val="Tabletext"/>
    <w:locked/>
    <w:rsid w:val="00707C3E"/>
    <w:rPr>
      <w:sz w:val="22"/>
      <w:lang w:val="en-GB" w:eastAsia="en-US"/>
    </w:rPr>
  </w:style>
  <w:style w:type="character" w:customStyle="1" w:styleId="NoteChar">
    <w:name w:val="Note Char"/>
    <w:link w:val="Note"/>
    <w:locked/>
    <w:rsid w:val="00707C3E"/>
    <w:rPr>
      <w:sz w:val="22"/>
      <w:lang w:val="en-GB" w:eastAsia="en-US"/>
    </w:rPr>
  </w:style>
  <w:style w:type="character" w:customStyle="1" w:styleId="TableNoChar">
    <w:name w:val="Table_No Char"/>
    <w:link w:val="TableNo"/>
    <w:locked/>
    <w:rsid w:val="00707C3E"/>
    <w:rPr>
      <w:sz w:val="24"/>
      <w:lang w:val="en-GB" w:eastAsia="en-US"/>
    </w:rPr>
  </w:style>
  <w:style w:type="character" w:customStyle="1" w:styleId="TabletitleChar">
    <w:name w:val="Table_title Char"/>
    <w:link w:val="Tabletitle"/>
    <w:locked/>
    <w:rsid w:val="00707C3E"/>
    <w:rPr>
      <w:b/>
      <w:sz w:val="24"/>
      <w:lang w:val="en-GB" w:eastAsia="en-US"/>
    </w:rPr>
  </w:style>
  <w:style w:type="character" w:customStyle="1" w:styleId="FigureNo0">
    <w:name w:val="Figure_No (文字)"/>
    <w:basedOn w:val="DefaultParagraphFont"/>
    <w:link w:val="FigureNo"/>
    <w:locked/>
    <w:rsid w:val="00707C3E"/>
    <w:rPr>
      <w:caps/>
      <w:sz w:val="18"/>
      <w:lang w:val="en-GB" w:eastAsia="en-US"/>
    </w:rPr>
  </w:style>
  <w:style w:type="character" w:customStyle="1" w:styleId="TableheadChar">
    <w:name w:val="Table_head Char"/>
    <w:link w:val="Tablehead"/>
    <w:locked/>
    <w:rsid w:val="00433A89"/>
    <w:rPr>
      <w:b/>
      <w:sz w:val="22"/>
      <w:lang w:val="en-GB" w:eastAsia="en-US"/>
    </w:rPr>
  </w:style>
  <w:style w:type="table" w:customStyle="1" w:styleId="TableGrid1">
    <w:name w:val="Table Grid1"/>
    <w:basedOn w:val="TableNormal"/>
    <w:next w:val="TableGrid"/>
    <w:uiPriority w:val="59"/>
    <w:rsid w:val="003A24A6"/>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3A24A6"/>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Heading3Char">
    <w:name w:val="Heading 3 Char"/>
    <w:basedOn w:val="DefaultParagraphFont"/>
    <w:link w:val="Heading3"/>
    <w:uiPriority w:val="9"/>
    <w:rsid w:val="003A24A6"/>
    <w:rPr>
      <w:b/>
      <w:sz w:val="24"/>
      <w:lang w:val="en-GB" w:eastAsia="en-US"/>
    </w:rPr>
  </w:style>
  <w:style w:type="character" w:customStyle="1" w:styleId="Heading4Char">
    <w:name w:val="Heading 4 Char"/>
    <w:basedOn w:val="DefaultParagraphFont"/>
    <w:link w:val="Heading4"/>
    <w:uiPriority w:val="9"/>
    <w:rsid w:val="003A24A6"/>
    <w:rPr>
      <w:b/>
      <w:sz w:val="24"/>
      <w:lang w:val="en-GB" w:eastAsia="en-US"/>
    </w:rPr>
  </w:style>
  <w:style w:type="character" w:customStyle="1" w:styleId="Heading5Char">
    <w:name w:val="Heading 5 Char"/>
    <w:basedOn w:val="DefaultParagraphFont"/>
    <w:link w:val="Heading5"/>
    <w:uiPriority w:val="9"/>
    <w:rsid w:val="003A24A6"/>
    <w:rPr>
      <w:b/>
      <w:sz w:val="24"/>
      <w:lang w:val="en-GB" w:eastAsia="en-US"/>
    </w:rPr>
  </w:style>
  <w:style w:type="character" w:customStyle="1" w:styleId="Heading6Char">
    <w:name w:val="Heading 6 Char"/>
    <w:basedOn w:val="DefaultParagraphFont"/>
    <w:link w:val="Heading6"/>
    <w:uiPriority w:val="9"/>
    <w:rsid w:val="003A24A6"/>
    <w:rPr>
      <w:b/>
      <w:sz w:val="24"/>
      <w:lang w:val="en-GB" w:eastAsia="en-US"/>
    </w:rPr>
  </w:style>
  <w:style w:type="character" w:customStyle="1" w:styleId="Heading7Char">
    <w:name w:val="Heading 7 Char"/>
    <w:basedOn w:val="DefaultParagraphFont"/>
    <w:link w:val="Heading7"/>
    <w:uiPriority w:val="9"/>
    <w:rsid w:val="003A24A6"/>
    <w:rPr>
      <w:b/>
      <w:sz w:val="24"/>
      <w:lang w:val="en-GB" w:eastAsia="en-US"/>
    </w:rPr>
  </w:style>
  <w:style w:type="character" w:customStyle="1" w:styleId="Heading8Char">
    <w:name w:val="Heading 8 Char"/>
    <w:basedOn w:val="DefaultParagraphFont"/>
    <w:link w:val="Heading8"/>
    <w:uiPriority w:val="9"/>
    <w:rsid w:val="003A24A6"/>
    <w:rPr>
      <w:b/>
      <w:sz w:val="24"/>
      <w:lang w:val="en-GB" w:eastAsia="en-US"/>
    </w:rPr>
  </w:style>
  <w:style w:type="character" w:customStyle="1" w:styleId="Heading9Char">
    <w:name w:val="Heading 9 Char"/>
    <w:basedOn w:val="DefaultParagraphFont"/>
    <w:link w:val="Heading9"/>
    <w:uiPriority w:val="9"/>
    <w:rsid w:val="003A24A6"/>
    <w:rPr>
      <w:b/>
      <w:sz w:val="24"/>
      <w:lang w:val="en-GB" w:eastAsia="en-US"/>
    </w:rPr>
  </w:style>
  <w:style w:type="paragraph" w:styleId="HTMLPreformatted">
    <w:name w:val="HTML Preformatted"/>
    <w:basedOn w:val="Normal"/>
    <w:link w:val="HTMLPreformattedChar"/>
    <w:rsid w:val="003A24A6"/>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rsid w:val="003A24A6"/>
    <w:rPr>
      <w:rFonts w:ascii="Courier New" w:eastAsia="SimSun" w:hAnsi="Courier New" w:cs="Courier New"/>
    </w:rPr>
  </w:style>
  <w:style w:type="paragraph" w:styleId="BodyText">
    <w:name w:val="Body Text"/>
    <w:basedOn w:val="Normal"/>
    <w:link w:val="BodyTextChar"/>
    <w:uiPriority w:val="99"/>
    <w:rsid w:val="003A24A6"/>
    <w:pPr>
      <w:widowControl w:val="0"/>
      <w:numPr>
        <w:numId w:val="14"/>
      </w:numPr>
      <w:tabs>
        <w:tab w:val="clear" w:pos="794"/>
        <w:tab w:val="clear" w:pos="1191"/>
        <w:tab w:val="clear" w:pos="1588"/>
        <w:tab w:val="clear" w:pos="1985"/>
      </w:tabs>
      <w:overflowPunct/>
      <w:autoSpaceDE/>
      <w:autoSpaceDN/>
      <w:adjustRightInd/>
      <w:spacing w:before="0" w:after="80"/>
      <w:jc w:val="left"/>
      <w:textAlignment w:val="auto"/>
    </w:pPr>
    <w:rPr>
      <w:rFonts w:eastAsia="MS Mincho"/>
      <w:lang w:val="en-US"/>
    </w:rPr>
  </w:style>
  <w:style w:type="character" w:customStyle="1" w:styleId="BodyTextChar">
    <w:name w:val="Body Text Char"/>
    <w:basedOn w:val="DefaultParagraphFont"/>
    <w:link w:val="BodyText"/>
    <w:uiPriority w:val="99"/>
    <w:rsid w:val="003A24A6"/>
    <w:rPr>
      <w:rFonts w:eastAsia="MS Mincho"/>
      <w:sz w:val="24"/>
      <w:lang w:eastAsia="en-US"/>
    </w:rPr>
  </w:style>
  <w:style w:type="paragraph" w:styleId="BodyTextIndent">
    <w:name w:val="Body Text Indent"/>
    <w:basedOn w:val="Normal"/>
    <w:link w:val="BodyTextIndentChar"/>
    <w:semiHidden/>
    <w:rsid w:val="003A24A6"/>
    <w:pPr>
      <w:tabs>
        <w:tab w:val="clear" w:pos="794"/>
        <w:tab w:val="clear" w:pos="1191"/>
        <w:tab w:val="clear" w:pos="1588"/>
        <w:tab w:val="clear" w:pos="1985"/>
        <w:tab w:val="left" w:pos="426"/>
      </w:tabs>
      <w:overflowPunct/>
      <w:autoSpaceDE/>
      <w:autoSpaceDN/>
      <w:adjustRightInd/>
      <w:spacing w:before="0" w:after="80"/>
      <w:ind w:left="397"/>
      <w:jc w:val="left"/>
      <w:textAlignment w:val="auto"/>
    </w:pPr>
    <w:rPr>
      <w:rFonts w:eastAsia="MS Mincho"/>
      <w:b/>
      <w:i/>
      <w:sz w:val="20"/>
      <w:lang w:val="en-CA"/>
    </w:rPr>
  </w:style>
  <w:style w:type="character" w:customStyle="1" w:styleId="BodyTextIndentChar">
    <w:name w:val="Body Text Indent Char"/>
    <w:basedOn w:val="DefaultParagraphFont"/>
    <w:link w:val="BodyTextIndent"/>
    <w:semiHidden/>
    <w:rsid w:val="003A24A6"/>
    <w:rPr>
      <w:rFonts w:eastAsia="MS Mincho"/>
      <w:b/>
      <w:i/>
      <w:lang w:val="en-CA" w:eastAsia="en-US"/>
    </w:rPr>
  </w:style>
  <w:style w:type="character" w:customStyle="1" w:styleId="AnnexNoTitleChar">
    <w:name w:val="Annex_NoTitle Char"/>
    <w:basedOn w:val="DefaultParagraphFont"/>
    <w:link w:val="AnnexNoTitle"/>
    <w:rsid w:val="007740D0"/>
    <w:rPr>
      <w:b/>
      <w:sz w:val="28"/>
      <w:lang w:val="en-GB" w:eastAsia="en-US"/>
    </w:rPr>
  </w:style>
  <w:style w:type="character" w:customStyle="1" w:styleId="TablelegendChar">
    <w:name w:val="Table_legend Char"/>
    <w:basedOn w:val="DefaultParagraphFont"/>
    <w:link w:val="Tablelegend"/>
    <w:rsid w:val="003A24A6"/>
    <w:rPr>
      <w:sz w:val="22"/>
      <w:lang w:val="en-GB" w:eastAsia="en-US"/>
    </w:rPr>
  </w:style>
  <w:style w:type="character" w:customStyle="1" w:styleId="FigureNoChar">
    <w:name w:val="Figure_No Char"/>
    <w:basedOn w:val="DefaultParagraphFont"/>
    <w:rsid w:val="003A24A6"/>
    <w:rPr>
      <w:caps/>
      <w:sz w:val="18"/>
      <w:lang w:val="fr-FR" w:eastAsia="en-US"/>
    </w:rPr>
  </w:style>
  <w:style w:type="character" w:styleId="Strong">
    <w:name w:val="Strong"/>
    <w:basedOn w:val="DefaultParagraphFont"/>
    <w:qFormat/>
    <w:rsid w:val="003A24A6"/>
    <w:rPr>
      <w:b/>
      <w:bCs/>
    </w:rPr>
  </w:style>
  <w:style w:type="character" w:customStyle="1" w:styleId="CharChar4">
    <w:name w:val="Char Char4"/>
    <w:basedOn w:val="DefaultParagraphFont"/>
    <w:rsid w:val="003A24A6"/>
    <w:rPr>
      <w:b/>
      <w:sz w:val="24"/>
      <w:lang w:val="en-GB" w:eastAsia="en-US" w:bidi="ar-SA"/>
    </w:rPr>
  </w:style>
  <w:style w:type="paragraph" w:styleId="EndnoteText">
    <w:name w:val="endnote text"/>
    <w:basedOn w:val="Normal"/>
    <w:link w:val="EndnoteTextChar"/>
    <w:rsid w:val="003A24A6"/>
    <w:pPr>
      <w:tabs>
        <w:tab w:val="clear" w:pos="794"/>
        <w:tab w:val="clear" w:pos="1191"/>
        <w:tab w:val="clear" w:pos="1588"/>
        <w:tab w:val="clear" w:pos="1985"/>
        <w:tab w:val="left" w:pos="1134"/>
        <w:tab w:val="left" w:pos="1871"/>
        <w:tab w:val="left" w:pos="2268"/>
      </w:tabs>
      <w:spacing w:before="0"/>
      <w:jc w:val="left"/>
    </w:pPr>
    <w:rPr>
      <w:rFonts w:eastAsia="MS Mincho"/>
      <w:sz w:val="20"/>
    </w:rPr>
  </w:style>
  <w:style w:type="character" w:customStyle="1" w:styleId="EndnoteTextChar">
    <w:name w:val="Endnote Text Char"/>
    <w:basedOn w:val="DefaultParagraphFont"/>
    <w:link w:val="EndnoteText"/>
    <w:rsid w:val="003A24A6"/>
    <w:rPr>
      <w:rFonts w:eastAsia="MS Mincho"/>
      <w:lang w:val="en-GB" w:eastAsia="en-US"/>
    </w:rPr>
  </w:style>
  <w:style w:type="paragraph" w:customStyle="1" w:styleId="tabletext0">
    <w:name w:val="tabletext"/>
    <w:basedOn w:val="Normal"/>
    <w:rsid w:val="003A24A6"/>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Normal2">
    <w:name w:val="Normal 2"/>
    <w:basedOn w:val="BodyText"/>
    <w:next w:val="Normal"/>
    <w:qFormat/>
    <w:rsid w:val="003A24A6"/>
    <w:pPr>
      <w:widowControl/>
      <w:numPr>
        <w:numId w:val="0"/>
      </w:numPr>
      <w:spacing w:before="240" w:after="240"/>
      <w:ind w:firstLine="720"/>
    </w:pPr>
    <w:rPr>
      <w:rFonts w:eastAsia="Arial Unicode MS"/>
      <w:szCs w:val="24"/>
    </w:rPr>
  </w:style>
  <w:style w:type="character" w:customStyle="1" w:styleId="EquationChar">
    <w:name w:val="Equation Char"/>
    <w:link w:val="Equation"/>
    <w:locked/>
    <w:rsid w:val="00F70180"/>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oleObject" Target="embeddings/oleObject6.bin"/><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oleObject" Target="embeddings/oleObject11.bin"/><Relationship Id="rId45" Type="http://schemas.openxmlformats.org/officeDocument/2006/relationships/image" Target="media/image18.png"/><Relationship Id="rId53" Type="http://schemas.openxmlformats.org/officeDocument/2006/relationships/oleObject" Target="embeddings/oleObject15.bin"/><Relationship Id="rId58" Type="http://schemas.openxmlformats.org/officeDocument/2006/relationships/image" Target="media/image26.wmf"/><Relationship Id="rId66" Type="http://schemas.openxmlformats.org/officeDocument/2006/relationships/footer" Target="footer2.xml"/><Relationship Id="rId5" Type="http://schemas.openxmlformats.org/officeDocument/2006/relationships/styles" Target="styles.xml"/><Relationship Id="rId61" Type="http://schemas.openxmlformats.org/officeDocument/2006/relationships/oleObject" Target="embeddings/oleObject19.bin"/><Relationship Id="rId19" Type="http://schemas.openxmlformats.org/officeDocument/2006/relationships/oleObject" Target="embeddings/oleObject1.bin"/><Relationship Id="rId14" Type="http://schemas.openxmlformats.org/officeDocument/2006/relationships/hyperlink" Target="https://www.itu.int/publ/R-REC/en"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image" Target="media/image16.png"/><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pub/R-QUE-SG06.142-3-2019"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9.png"/><Relationship Id="rId59" Type="http://schemas.openxmlformats.org/officeDocument/2006/relationships/oleObject" Target="embeddings/oleObject18.bin"/><Relationship Id="rId67"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header" Target="header1.xml"/><Relationship Id="rId31" Type="http://schemas.openxmlformats.org/officeDocument/2006/relationships/oleObject" Target="embeddings/oleObject7.bin"/><Relationship Id="rId44" Type="http://schemas.openxmlformats.org/officeDocument/2006/relationships/image" Target="media/image17.png"/><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ITU-R/go/patents/en" TargetMode="External"/><Relationship Id="rId18" Type="http://schemas.openxmlformats.org/officeDocument/2006/relationships/image" Target="media/image3.wmf"/><Relationship Id="rId39" Type="http://schemas.openxmlformats.org/officeDocument/2006/relationships/image" Target="media/image14.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E\2023-ITU-R_REC_BT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AQ - OK but an update in the Recommends - capitals for Perceptual Quantization to match the style and HLG</Comments>
  </documentManagement>
</p:properties>
</file>

<file path=customXml/itemProps1.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3.xml><?xml version="1.0" encoding="utf-8"?>
<ds:datastoreItem xmlns:ds="http://schemas.openxmlformats.org/officeDocument/2006/customXml" ds:itemID="{41142CDF-5493-48E3-B693-B2DD2F957573}">
  <ds:schemaRefs>
    <ds:schemaRef ds:uri="http://purl.org/dc/terms/"/>
    <ds:schemaRef ds:uri="http://schemas.openxmlformats.org/package/2006/metadata/core-properties"/>
    <ds:schemaRef ds:uri="4c6a61cb-1973-4fc6-92ae-f4d7a4471404"/>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fcb6b58c-b914-4d07-b93f-e162996dcb8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2023-ITU-R_REC_BT_E.dotx</Template>
  <TotalTime>68</TotalTime>
  <Pages>15</Pages>
  <Words>4160</Words>
  <Characters>22359</Characters>
  <Application>Microsoft Office Word</Application>
  <DocSecurity>0</DocSecurity>
  <Lines>545</Lines>
  <Paragraphs>339</Paragraphs>
  <ScaleCrop>false</ScaleCrop>
  <HeadingPairs>
    <vt:vector size="2" baseType="variant">
      <vt:variant>
        <vt:lpstr>Title</vt:lpstr>
      </vt:variant>
      <vt:variant>
        <vt:i4>1</vt:i4>
      </vt:variant>
    </vt:vector>
  </HeadingPairs>
  <TitlesOfParts>
    <vt:vector size="1" baseType="lpstr">
      <vt:lpstr>Recommendation ITU-R BT.2100-3 (02/2025) - Image parameter values for high dynamic range television for use in production and international programme exchange</vt:lpstr>
    </vt:vector>
  </TitlesOfParts>
  <Manager/>
  <Company>ITU</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BT.2100-3 (02/2025) - Image parameter values for high dynamic range television for use in production and international programme exchange</dc:title>
  <dc:subject>BT Series = Broadcasting service (television)</dc:subject>
  <dc:creator>ITU Radiocommunication Bureau (BR)</dc:creator>
  <cp:keywords/>
  <dc:description/>
  <cp:lastModifiedBy>Gachet, Christelle</cp:lastModifiedBy>
  <cp:revision>26</cp:revision>
  <cp:lastPrinted>2025-04-14T08:48:00Z</cp:lastPrinted>
  <dcterms:created xsi:type="dcterms:W3CDTF">2025-01-20T12:09:00Z</dcterms:created>
  <dcterms:modified xsi:type="dcterms:W3CDTF">2025-04-14T08:50:00Z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y fmtid="{D5CDD505-2E9C-101B-9397-08002B2CF9AE}" pid="10" name="Language">
    <vt:lpwstr>English</vt:lpwstr>
  </property>
  <property fmtid="{D5CDD505-2E9C-101B-9397-08002B2CF9AE}" pid="11" name="Typist">
    <vt:lpwstr>Saez</vt:lpwstr>
  </property>
  <property fmtid="{D5CDD505-2E9C-101B-9397-08002B2CF9AE}" pid="12" name="Date completed">
    <vt:lpwstr>lundi, 20 janvier 2025</vt:lpwstr>
  </property>
</Properties>
</file>