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003" w:rsidRDefault="00012003" w:rsidP="00012003">
      <w:pPr>
        <w:pStyle w:val="Header"/>
        <w:ind w:right="360" w:firstLine="360"/>
      </w:pPr>
      <w:bookmarkStart w:id="0" w:name="Doc_title"/>
      <w:bookmarkStart w:id="1" w:name="_GoBack"/>
      <w:bookmarkEnd w:id="1"/>
      <w:r>
        <w:rPr>
          <w:noProof/>
          <w:lang w:val="en-GB"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_F_20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p w:rsidR="00012003" w:rsidRDefault="00012003" w:rsidP="00012003"/>
    <w:tbl>
      <w:tblPr>
        <w:tblW w:w="10089" w:type="dxa"/>
        <w:tblLook w:val="01E0" w:firstRow="1" w:lastRow="1" w:firstColumn="1" w:lastColumn="1" w:noHBand="0" w:noVBand="0"/>
      </w:tblPr>
      <w:tblGrid>
        <w:gridCol w:w="10089"/>
      </w:tblGrid>
      <w:tr w:rsidR="00012003" w:rsidRPr="00012003" w:rsidTr="00012003">
        <w:tc>
          <w:tcPr>
            <w:tcW w:w="10089" w:type="dxa"/>
          </w:tcPr>
          <w:p w:rsidR="00012003" w:rsidRDefault="00012003">
            <w:pPr>
              <w:spacing w:before="380" w:line="280" w:lineRule="exact"/>
              <w:jc w:val="right"/>
              <w:rPr>
                <w:rFonts w:ascii="Tahoma" w:hAnsi="Tahoma" w:cs="Tahoma"/>
                <w:b/>
                <w:bCs/>
                <w:iCs/>
                <w:color w:val="243285"/>
                <w:sz w:val="32"/>
                <w:szCs w:val="32"/>
                <w:lang w:val="en-US"/>
              </w:rPr>
            </w:pPr>
          </w:p>
          <w:p w:rsidR="00012003" w:rsidRDefault="00012003" w:rsidP="00896C1A">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Recommandation  UIT-R  BT.</w:t>
            </w:r>
            <w:r w:rsidR="00C23AA1">
              <w:rPr>
                <w:rFonts w:ascii="Tahoma" w:hAnsi="Tahoma" w:cs="Tahoma"/>
                <w:b/>
                <w:bCs/>
                <w:iCs/>
                <w:color w:val="243285"/>
                <w:sz w:val="36"/>
                <w:szCs w:val="36"/>
              </w:rPr>
              <w:t>2095-</w:t>
            </w:r>
            <w:r w:rsidR="00896C1A">
              <w:rPr>
                <w:rFonts w:ascii="Tahoma" w:hAnsi="Tahoma" w:cs="Tahoma"/>
                <w:b/>
                <w:bCs/>
                <w:iCs/>
                <w:color w:val="243285"/>
                <w:sz w:val="36"/>
                <w:szCs w:val="36"/>
              </w:rPr>
              <w:t>1</w:t>
            </w:r>
          </w:p>
          <w:p w:rsidR="00012003" w:rsidRDefault="00012003" w:rsidP="00896C1A">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924CF4">
              <w:rPr>
                <w:rFonts w:ascii="Tahoma" w:hAnsi="Tahoma" w:cs="Tahoma"/>
                <w:b/>
                <w:bCs/>
                <w:iCs/>
                <w:color w:val="243285"/>
                <w:szCs w:val="24"/>
              </w:rPr>
              <w:t>0</w:t>
            </w:r>
            <w:r w:rsidR="00896C1A">
              <w:rPr>
                <w:rFonts w:ascii="Tahoma" w:hAnsi="Tahoma" w:cs="Tahoma"/>
                <w:b/>
                <w:bCs/>
                <w:iCs/>
                <w:color w:val="243285"/>
                <w:szCs w:val="24"/>
              </w:rPr>
              <w:t>6</w:t>
            </w:r>
            <w:r w:rsidR="00B1238A">
              <w:rPr>
                <w:rFonts w:ascii="Tahoma" w:hAnsi="Tahoma" w:cs="Tahoma"/>
                <w:b/>
                <w:bCs/>
                <w:iCs/>
                <w:color w:val="243285"/>
                <w:szCs w:val="24"/>
              </w:rPr>
              <w:t>/</w:t>
            </w:r>
            <w:r w:rsidR="00896C1A">
              <w:rPr>
                <w:rFonts w:ascii="Tahoma" w:hAnsi="Tahoma" w:cs="Tahoma"/>
                <w:b/>
                <w:bCs/>
                <w:iCs/>
                <w:color w:val="243285"/>
                <w:szCs w:val="24"/>
              </w:rPr>
              <w:t>2017</w:t>
            </w:r>
            <w:r>
              <w:rPr>
                <w:rFonts w:ascii="Tahoma" w:hAnsi="Tahoma" w:cs="Tahoma"/>
                <w:b/>
                <w:bCs/>
                <w:iCs/>
                <w:color w:val="243285"/>
                <w:szCs w:val="24"/>
              </w:rPr>
              <w:t>)</w:t>
            </w:r>
          </w:p>
        </w:tc>
      </w:tr>
      <w:tr w:rsidR="00012003" w:rsidRPr="007F2A15" w:rsidTr="00012003">
        <w:tc>
          <w:tcPr>
            <w:tcW w:w="10089" w:type="dxa"/>
          </w:tcPr>
          <w:p w:rsidR="00012003" w:rsidRDefault="00012003">
            <w:pPr>
              <w:spacing w:before="80" w:line="500" w:lineRule="exact"/>
              <w:jc w:val="right"/>
              <w:rPr>
                <w:rFonts w:ascii="Tahoma" w:hAnsi="Tahoma" w:cs="Tahoma"/>
                <w:b/>
                <w:bCs/>
                <w:iCs/>
                <w:color w:val="243285"/>
                <w:sz w:val="44"/>
                <w:szCs w:val="44"/>
              </w:rPr>
            </w:pPr>
          </w:p>
          <w:p w:rsidR="00012003" w:rsidRDefault="007F2A15">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 xml:space="preserve">Evaluation subjective de la qualité vidéo </w:t>
            </w:r>
            <w:r>
              <w:rPr>
                <w:rFonts w:ascii="Tahoma" w:hAnsi="Tahoma" w:cs="Tahoma"/>
                <w:b/>
                <w:bCs/>
                <w:color w:val="243285"/>
                <w:sz w:val="44"/>
                <w:szCs w:val="44"/>
              </w:rPr>
              <w:br/>
              <w:t>au moyen du protocole d</w:t>
            </w:r>
            <w:r w:rsidR="00101F61">
              <w:rPr>
                <w:rFonts w:ascii="Tahoma" w:hAnsi="Tahoma" w:cs="Tahoma"/>
                <w:b/>
                <w:bCs/>
                <w:color w:val="243285"/>
                <w:sz w:val="44"/>
                <w:szCs w:val="44"/>
              </w:rPr>
              <w:t>'</w:t>
            </w:r>
            <w:r>
              <w:rPr>
                <w:rFonts w:ascii="Tahoma" w:hAnsi="Tahoma" w:cs="Tahoma"/>
                <w:b/>
                <w:bCs/>
                <w:color w:val="243285"/>
                <w:sz w:val="44"/>
                <w:szCs w:val="44"/>
              </w:rPr>
              <w:t xml:space="preserve">observation </w:t>
            </w:r>
            <w:r>
              <w:rPr>
                <w:rFonts w:ascii="Tahoma" w:hAnsi="Tahoma" w:cs="Tahoma"/>
                <w:b/>
                <w:bCs/>
                <w:color w:val="243285"/>
                <w:sz w:val="44"/>
                <w:szCs w:val="44"/>
              </w:rPr>
              <w:br/>
              <w:t>par des spécialistes</w:t>
            </w:r>
          </w:p>
          <w:p w:rsidR="00012003" w:rsidRDefault="00012003">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 </w:t>
            </w:r>
          </w:p>
        </w:tc>
      </w:tr>
      <w:tr w:rsidR="00012003" w:rsidRPr="00012003" w:rsidTr="00012003">
        <w:tc>
          <w:tcPr>
            <w:tcW w:w="10089" w:type="dxa"/>
          </w:tcPr>
          <w:p w:rsidR="00012003" w:rsidRDefault="00012003">
            <w:pPr>
              <w:spacing w:before="80" w:line="280" w:lineRule="exact"/>
              <w:ind w:right="640"/>
              <w:rPr>
                <w:rFonts w:ascii="Tahoma" w:hAnsi="Tahoma" w:cs="Tahoma"/>
                <w:b/>
                <w:bCs/>
                <w:iCs/>
                <w:color w:val="243285"/>
                <w:sz w:val="32"/>
                <w:szCs w:val="32"/>
              </w:rPr>
            </w:pPr>
          </w:p>
          <w:p w:rsidR="00012003" w:rsidRDefault="00012003">
            <w:pPr>
              <w:spacing w:before="80" w:line="280" w:lineRule="exact"/>
              <w:ind w:right="640"/>
              <w:rPr>
                <w:rFonts w:ascii="Tahoma" w:hAnsi="Tahoma" w:cs="Tahoma"/>
                <w:b/>
                <w:bCs/>
                <w:iCs/>
                <w:color w:val="243285"/>
                <w:sz w:val="32"/>
                <w:szCs w:val="32"/>
              </w:rPr>
            </w:pPr>
          </w:p>
          <w:p w:rsidR="00012003" w:rsidRDefault="00012003">
            <w:pPr>
              <w:spacing w:before="80" w:after="180" w:line="360" w:lineRule="exact"/>
              <w:ind w:right="720"/>
              <w:rPr>
                <w:rFonts w:ascii="Tahoma" w:hAnsi="Tahoma" w:cs="Tahoma"/>
                <w:b/>
                <w:bCs/>
                <w:iCs/>
                <w:color w:val="243285"/>
                <w:sz w:val="36"/>
                <w:szCs w:val="36"/>
              </w:rPr>
            </w:pPr>
          </w:p>
          <w:p w:rsidR="00012003" w:rsidRDefault="00012003">
            <w:pPr>
              <w:spacing w:before="80" w:after="180" w:line="360" w:lineRule="exact"/>
              <w:jc w:val="right"/>
              <w:rPr>
                <w:rFonts w:ascii="Tahoma" w:hAnsi="Tahoma" w:cs="Tahoma"/>
                <w:b/>
                <w:bCs/>
                <w:iCs/>
                <w:color w:val="243285"/>
                <w:sz w:val="36"/>
                <w:szCs w:val="36"/>
              </w:rPr>
            </w:pPr>
            <w:r>
              <w:rPr>
                <w:rFonts w:ascii="Tahoma" w:hAnsi="Tahoma" w:cs="Tahoma"/>
                <w:b/>
                <w:bCs/>
                <w:iCs/>
                <w:color w:val="243285"/>
                <w:sz w:val="36"/>
                <w:szCs w:val="36"/>
              </w:rPr>
              <w:t>Série BT</w:t>
            </w:r>
          </w:p>
          <w:p w:rsidR="00012003" w:rsidRDefault="00012003">
            <w:pPr>
              <w:spacing w:before="80" w:line="420" w:lineRule="exact"/>
              <w:jc w:val="right"/>
              <w:rPr>
                <w:rFonts w:ascii="Tahoma" w:hAnsi="Tahoma" w:cs="Tahoma"/>
                <w:b/>
                <w:iCs/>
                <w:color w:val="243285"/>
                <w:sz w:val="36"/>
                <w:szCs w:val="36"/>
              </w:rPr>
            </w:pPr>
            <w:r>
              <w:rPr>
                <w:rFonts w:ascii="Tahoma" w:hAnsi="Tahoma" w:cs="Tahoma"/>
                <w:b/>
                <w:bCs/>
                <w:color w:val="243285"/>
                <w:sz w:val="36"/>
                <w:szCs w:val="36"/>
              </w:rPr>
              <w:t>Service de radiodiffusion télévisuelle</w:t>
            </w:r>
          </w:p>
        </w:tc>
      </w:tr>
    </w:tbl>
    <w:p w:rsidR="00012003" w:rsidRDefault="00012003" w:rsidP="00012003">
      <w:pPr>
        <w:spacing w:before="80"/>
        <w:rPr>
          <w:i/>
          <w:sz w:val="22"/>
        </w:rPr>
      </w:pPr>
    </w:p>
    <w:p w:rsidR="00012003" w:rsidRDefault="00012003" w:rsidP="00012003">
      <w:pPr>
        <w:spacing w:before="80"/>
        <w:rPr>
          <w:i/>
          <w:sz w:val="22"/>
        </w:rPr>
      </w:pPr>
    </w:p>
    <w:p w:rsidR="00012003" w:rsidRDefault="00012003" w:rsidP="00012003">
      <w:pPr>
        <w:spacing w:before="80"/>
        <w:rPr>
          <w:i/>
          <w:sz w:val="22"/>
        </w:rPr>
      </w:pPr>
    </w:p>
    <w:p w:rsidR="00012003" w:rsidRDefault="00012003" w:rsidP="00012003">
      <w:pPr>
        <w:spacing w:before="80"/>
        <w:rPr>
          <w:i/>
          <w:sz w:val="22"/>
        </w:rPr>
      </w:pPr>
    </w:p>
    <w:p w:rsidR="00012003" w:rsidRDefault="00012003" w:rsidP="00012003">
      <w:pPr>
        <w:spacing w:before="80"/>
        <w:rPr>
          <w:i/>
          <w:sz w:val="22"/>
        </w:rPr>
      </w:pPr>
    </w:p>
    <w:p w:rsidR="00012003" w:rsidRDefault="00012003" w:rsidP="00012003">
      <w:pPr>
        <w:spacing w:before="80"/>
        <w:rPr>
          <w:i/>
          <w:sz w:val="22"/>
        </w:rPr>
      </w:pPr>
    </w:p>
    <w:p w:rsidR="00012003" w:rsidRDefault="00012003" w:rsidP="00012003">
      <w:pPr>
        <w:overflowPunct/>
        <w:autoSpaceDE/>
        <w:autoSpaceDN/>
        <w:adjustRightInd/>
        <w:spacing w:before="0"/>
        <w:rPr>
          <w:rFonts w:ascii="Palatino Linotype" w:hAnsi="Palatino Linotype"/>
        </w:rPr>
        <w:sectPr w:rsidR="00012003" w:rsidSect="00222EC0">
          <w:pgSz w:w="11907" w:h="16834" w:code="9"/>
          <w:pgMar w:top="1418" w:right="1134" w:bottom="1134" w:left="1134" w:header="720" w:footer="482" w:gutter="0"/>
          <w:paperSrc w:first="15" w:other="15"/>
          <w:cols w:space="720"/>
        </w:sectPr>
      </w:pPr>
    </w:p>
    <w:p w:rsidR="00012003" w:rsidRDefault="00012003" w:rsidP="00012003">
      <w:pPr>
        <w:pStyle w:val="Tablehead"/>
        <w:tabs>
          <w:tab w:val="clear" w:pos="284"/>
          <w:tab w:val="clear" w:pos="567"/>
          <w:tab w:val="clear" w:pos="851"/>
          <w:tab w:val="clear" w:pos="1134"/>
          <w:tab w:val="clear" w:pos="1418"/>
          <w:tab w:val="clear" w:pos="1701"/>
          <w:tab w:val="left" w:pos="794"/>
          <w:tab w:val="left" w:pos="1191"/>
          <w:tab w:val="left" w:pos="1588"/>
        </w:tabs>
        <w:spacing w:before="280" w:after="0"/>
        <w:rPr>
          <w:bCs/>
          <w:sz w:val="24"/>
          <w:szCs w:val="24"/>
        </w:rPr>
      </w:pPr>
      <w:bookmarkStart w:id="2" w:name="c2tope"/>
      <w:bookmarkEnd w:id="2"/>
      <w:r>
        <w:rPr>
          <w:bCs/>
          <w:sz w:val="24"/>
          <w:szCs w:val="24"/>
        </w:rPr>
        <w:lastRenderedPageBreak/>
        <w:t>Avant-propos</w:t>
      </w:r>
    </w:p>
    <w:p w:rsidR="00012003" w:rsidRDefault="00012003" w:rsidP="00012003">
      <w:pPr>
        <w:spacing w:before="240"/>
        <w:rPr>
          <w:sz w:val="20"/>
        </w:rPr>
      </w:pPr>
      <w:r>
        <w:rPr>
          <w:sz w:val="20"/>
        </w:rPr>
        <w:t>Le rôle du Secteur des radiocommunications est d</w:t>
      </w:r>
      <w:r w:rsidR="00101F61">
        <w:rPr>
          <w:sz w:val="20"/>
        </w:rPr>
        <w:t>'</w:t>
      </w:r>
      <w:r>
        <w:rPr>
          <w:sz w:val="20"/>
        </w:rPr>
        <w:t>assurer l</w:t>
      </w:r>
      <w:r w:rsidR="00101F61">
        <w:rPr>
          <w:sz w:val="20"/>
        </w:rPr>
        <w:t>'</w:t>
      </w:r>
      <w:r>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12003" w:rsidRDefault="00012003" w:rsidP="00012003">
      <w:pPr>
        <w:rPr>
          <w:sz w:val="20"/>
        </w:rPr>
      </w:pPr>
      <w:r>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101F61">
        <w:rPr>
          <w:sz w:val="20"/>
        </w:rPr>
        <w:t>'</w:t>
      </w:r>
      <w:r>
        <w:rPr>
          <w:sz w:val="20"/>
        </w:rPr>
        <w:t>études.</w:t>
      </w:r>
    </w:p>
    <w:p w:rsidR="00012003" w:rsidRDefault="00012003" w:rsidP="00012003">
      <w:pPr>
        <w:pStyle w:val="Heading1"/>
        <w:spacing w:before="360"/>
        <w:jc w:val="center"/>
        <w:rPr>
          <w:szCs w:val="24"/>
        </w:rPr>
      </w:pPr>
      <w:r>
        <w:rPr>
          <w:szCs w:val="24"/>
        </w:rPr>
        <w:t>Politique en matière de droits de propriété intellectuelle (IPR)</w:t>
      </w:r>
    </w:p>
    <w:p w:rsidR="00012003" w:rsidRDefault="00012003" w:rsidP="00012003">
      <w:pPr>
        <w:spacing w:before="240"/>
        <w:rPr>
          <w:sz w:val="20"/>
          <w:lang w:val="fr-CH"/>
        </w:rPr>
      </w:pPr>
      <w:r>
        <w:rPr>
          <w:sz w:val="20"/>
        </w:rPr>
        <w:t>La politique de l</w:t>
      </w:r>
      <w:r w:rsidR="00101F61">
        <w:rPr>
          <w:sz w:val="20"/>
        </w:rPr>
        <w:t>'</w:t>
      </w:r>
      <w:r>
        <w:rPr>
          <w:sz w:val="20"/>
        </w:rPr>
        <w:t>UIT</w:t>
      </w:r>
      <w:r>
        <w:rPr>
          <w:sz w:val="20"/>
        </w:rPr>
        <w:noBreakHyphen/>
        <w:t xml:space="preserve">R en matière de droits de propriété intellectuelle est décrite dans la </w:t>
      </w:r>
      <w:r>
        <w:rPr>
          <w:sz w:val="20"/>
          <w:lang w:val="fr-CH"/>
        </w:rPr>
        <w:t>«Politique commune de l</w:t>
      </w:r>
      <w:r w:rsidR="00101F61">
        <w:rPr>
          <w:sz w:val="20"/>
          <w:lang w:val="fr-CH"/>
        </w:rPr>
        <w:t>'</w:t>
      </w:r>
      <w:r>
        <w:rPr>
          <w:sz w:val="20"/>
          <w:lang w:val="fr-CH"/>
        </w:rPr>
        <w:t>UIT</w:t>
      </w:r>
      <w:r>
        <w:rPr>
          <w:sz w:val="20"/>
          <w:lang w:val="fr-CH"/>
        </w:rPr>
        <w:noBreakHyphen/>
        <w:t>T, l</w:t>
      </w:r>
      <w:r w:rsidR="00101F61">
        <w:rPr>
          <w:sz w:val="20"/>
          <w:lang w:val="fr-CH"/>
        </w:rPr>
        <w:t>'</w:t>
      </w:r>
      <w:r>
        <w:rPr>
          <w:sz w:val="20"/>
          <w:lang w:val="fr-CH"/>
        </w:rPr>
        <w:t>UIT</w:t>
      </w:r>
      <w:r>
        <w:rPr>
          <w:sz w:val="20"/>
          <w:lang w:val="fr-CH"/>
        </w:rPr>
        <w:noBreakHyphen/>
        <w:t>R, l</w:t>
      </w:r>
      <w:r w:rsidR="00101F61">
        <w:rPr>
          <w:sz w:val="20"/>
          <w:lang w:val="fr-CH"/>
        </w:rPr>
        <w:t>'</w:t>
      </w:r>
      <w:r>
        <w:rPr>
          <w:sz w:val="20"/>
          <w:lang w:val="fr-CH"/>
        </w:rPr>
        <w:t>ISO et la CEI en matière de brevets», dont il est question dans l</w:t>
      </w:r>
      <w:r w:rsidR="00101F61">
        <w:rPr>
          <w:sz w:val="20"/>
          <w:lang w:val="fr-CH"/>
        </w:rPr>
        <w:t>'</w:t>
      </w:r>
      <w:r>
        <w:rPr>
          <w:sz w:val="20"/>
          <w:lang w:val="fr-CH"/>
        </w:rPr>
        <w:t xml:space="preserve">Annexe 1 de la Résolution UIT-R 1. </w:t>
      </w:r>
      <w:r>
        <w:rPr>
          <w:sz w:val="20"/>
        </w:rPr>
        <w:t>Les formulaires que les titulaires de brevets doivent utiliser pour soumettre les déclarations de brevet et d</w:t>
      </w:r>
      <w:r w:rsidR="00101F61">
        <w:rPr>
          <w:sz w:val="20"/>
        </w:rPr>
        <w:t>'</w:t>
      </w:r>
      <w:r>
        <w:rPr>
          <w:sz w:val="20"/>
        </w:rPr>
        <w:t>octroi de licence sont accessibles à l</w:t>
      </w:r>
      <w:r w:rsidR="00101F61">
        <w:rPr>
          <w:sz w:val="20"/>
        </w:rPr>
        <w:t>'</w:t>
      </w:r>
      <w:r>
        <w:rPr>
          <w:sz w:val="20"/>
        </w:rPr>
        <w:t xml:space="preserve">adresse </w:t>
      </w:r>
      <w:hyperlink r:id="rId8" w:history="1">
        <w:r>
          <w:rPr>
            <w:rStyle w:val="Hyperlink"/>
            <w:sz w:val="20"/>
          </w:rPr>
          <w:t>http://www.itu.int/ITU-R/go/patents/fr</w:t>
        </w:r>
      </w:hyperlink>
      <w:r>
        <w:rPr>
          <w:sz w:val="20"/>
        </w:rPr>
        <w:t>, où l</w:t>
      </w:r>
      <w:r w:rsidR="00101F61">
        <w:rPr>
          <w:sz w:val="20"/>
        </w:rPr>
        <w:t>'</w:t>
      </w:r>
      <w:r>
        <w:rPr>
          <w:sz w:val="20"/>
        </w:rPr>
        <w:t>on trouvera également les Lignes directrices pour la mise en oeuvre de la politique commune en matière de brevets de l</w:t>
      </w:r>
      <w:r w:rsidR="00101F61">
        <w:rPr>
          <w:sz w:val="20"/>
        </w:rPr>
        <w:t>'</w:t>
      </w:r>
      <w:r>
        <w:rPr>
          <w:sz w:val="20"/>
        </w:rPr>
        <w:t>UIT</w:t>
      </w:r>
      <w:r>
        <w:rPr>
          <w:sz w:val="20"/>
        </w:rPr>
        <w:noBreakHyphen/>
        <w:t>T, l</w:t>
      </w:r>
      <w:r w:rsidR="00101F61">
        <w:rPr>
          <w:sz w:val="20"/>
        </w:rPr>
        <w:t>'</w:t>
      </w:r>
      <w:r>
        <w:rPr>
          <w:sz w:val="20"/>
        </w:rPr>
        <w:t>UIT</w:t>
      </w:r>
      <w:r>
        <w:rPr>
          <w:sz w:val="20"/>
        </w:rPr>
        <w:noBreakHyphen/>
        <w:t>R, l</w:t>
      </w:r>
      <w:r w:rsidR="00101F61">
        <w:rPr>
          <w:sz w:val="20"/>
        </w:rPr>
        <w:t>'</w:t>
      </w:r>
      <w:r>
        <w:rPr>
          <w:sz w:val="20"/>
        </w:rPr>
        <w:t>ISO et la CEI et la base de données en matière de brevets de l</w:t>
      </w:r>
      <w:r w:rsidR="00101F61">
        <w:rPr>
          <w:sz w:val="20"/>
        </w:rPr>
        <w:t>'</w:t>
      </w:r>
      <w:r>
        <w:rPr>
          <w:sz w:val="20"/>
        </w:rPr>
        <w:t>UIT-R.</w:t>
      </w:r>
    </w:p>
    <w:p w:rsidR="00012003" w:rsidRDefault="00012003" w:rsidP="0001200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8"/>
        <w:gridCol w:w="8183"/>
      </w:tblGrid>
      <w:tr w:rsidR="00012003" w:rsidRPr="00012003" w:rsidTr="00012003">
        <w:tc>
          <w:tcPr>
            <w:tcW w:w="9360" w:type="dxa"/>
            <w:gridSpan w:val="2"/>
            <w:tcBorders>
              <w:top w:val="single" w:sz="12" w:space="0" w:color="000080"/>
              <w:left w:val="single" w:sz="12" w:space="0" w:color="000080"/>
              <w:bottom w:val="nil"/>
              <w:right w:val="single" w:sz="12" w:space="0" w:color="000080"/>
            </w:tcBorders>
            <w:hideMark/>
          </w:tcPr>
          <w:p w:rsidR="00012003" w:rsidRDefault="00012003">
            <w:pPr>
              <w:pStyle w:val="Chaptitle"/>
              <w:keepLines w:val="0"/>
              <w:tabs>
                <w:tab w:val="left" w:pos="720"/>
              </w:tabs>
              <w:overflowPunct/>
              <w:spacing w:before="140"/>
              <w:rPr>
                <w:sz w:val="22"/>
                <w:szCs w:val="22"/>
              </w:rPr>
            </w:pPr>
            <w:r>
              <w:rPr>
                <w:sz w:val="22"/>
                <w:szCs w:val="22"/>
              </w:rPr>
              <w:t xml:space="preserve">Séries des Recommandations UIT-R </w:t>
            </w:r>
          </w:p>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rPr>
            </w:pPr>
            <w:r>
              <w:rPr>
                <w:b w:val="0"/>
                <w:sz w:val="18"/>
                <w:szCs w:val="18"/>
              </w:rPr>
              <w:t xml:space="preserve">(Egalement disponible en ligne: </w:t>
            </w:r>
            <w:hyperlink r:id="rId9" w:history="1">
              <w:r>
                <w:rPr>
                  <w:rStyle w:val="Hyperlink"/>
                  <w:b w:val="0"/>
                  <w:bCs/>
                  <w:sz w:val="18"/>
                  <w:szCs w:val="18"/>
                </w:rPr>
                <w:t>http://www.itu.int/publ/R-REC/fr</w:t>
              </w:r>
            </w:hyperlink>
            <w:r>
              <w:rPr>
                <w:b w:val="0"/>
                <w:bCs/>
                <w:sz w:val="18"/>
                <w:szCs w:val="18"/>
              </w:rPr>
              <w:t>)</w:t>
            </w:r>
          </w:p>
        </w:tc>
      </w:tr>
      <w:tr w:rsidR="00012003" w:rsidTr="00012003">
        <w:tc>
          <w:tcPr>
            <w:tcW w:w="1140" w:type="dxa"/>
            <w:tcBorders>
              <w:top w:val="nil"/>
              <w:left w:val="single" w:sz="12" w:space="0" w:color="000080"/>
              <w:bottom w:val="nil"/>
              <w:right w:val="nil"/>
            </w:tcBorders>
            <w:hideMark/>
          </w:tcPr>
          <w:p w:rsidR="00012003" w:rsidRDefault="00012003">
            <w:pPr>
              <w:spacing w:before="90" w:after="100"/>
              <w:ind w:left="57"/>
              <w:rPr>
                <w:b/>
                <w:bCs/>
                <w:sz w:val="20"/>
                <w:lang w:val="en-US"/>
              </w:rPr>
            </w:pPr>
            <w:r>
              <w:rPr>
                <w:b/>
                <w:bCs/>
                <w:sz w:val="20"/>
                <w:lang w:val="en-US"/>
              </w:rPr>
              <w:t>Séries</w:t>
            </w:r>
          </w:p>
        </w:tc>
        <w:tc>
          <w:tcPr>
            <w:tcW w:w="8220" w:type="dxa"/>
            <w:tcBorders>
              <w:top w:val="nil"/>
              <w:left w:val="nil"/>
              <w:bottom w:val="nil"/>
              <w:right w:val="single" w:sz="12" w:space="0" w:color="000080"/>
            </w:tcBorders>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90" w:after="100"/>
              <w:rPr>
                <w:bCs/>
                <w:sz w:val="20"/>
                <w:lang w:val="en-US"/>
              </w:rPr>
            </w:pPr>
            <w:r>
              <w:rPr>
                <w:bCs/>
                <w:sz w:val="20"/>
                <w:lang w:val="en-US"/>
              </w:rPr>
              <w:t>Titre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BO</w:t>
            </w:r>
          </w:p>
        </w:tc>
        <w:tc>
          <w:tcPr>
            <w:tcW w:w="8220" w:type="dxa"/>
            <w:tcBorders>
              <w:top w:val="nil"/>
              <w:left w:val="nil"/>
              <w:bottom w:val="nil"/>
              <w:right w:val="single" w:sz="12" w:space="0" w:color="000080"/>
            </w:tcBorders>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rPr>
              <w:t>Diffusion par satellite</w:t>
            </w:r>
          </w:p>
        </w:tc>
      </w:tr>
      <w:tr w:rsidR="00012003" w:rsidRPr="00012003" w:rsidTr="00012003">
        <w:tc>
          <w:tcPr>
            <w:tcW w:w="1140" w:type="dxa"/>
            <w:tcBorders>
              <w:top w:val="nil"/>
              <w:left w:val="single" w:sz="12" w:space="0" w:color="000080"/>
              <w:bottom w:val="nil"/>
              <w:right w:val="nil"/>
            </w:tcBorders>
            <w:hideMark/>
          </w:tcPr>
          <w:p w:rsidR="00012003" w:rsidRDefault="00012003">
            <w:pPr>
              <w:spacing w:before="30" w:after="30"/>
              <w:ind w:left="57"/>
              <w:rPr>
                <w:rFonts w:ascii="Times New Roman Bold" w:hAnsi="Times New Roman Bold" w:cs="Times New Roman Bold"/>
                <w:sz w:val="20"/>
                <w:lang w:val="en-US"/>
              </w:rPr>
            </w:pPr>
            <w:r>
              <w:rPr>
                <w:rFonts w:ascii="Times New Roman Bold" w:hAnsi="Times New Roman Bold" w:cs="Times New Roman Bold"/>
                <w:sz w:val="20"/>
                <w:lang w:val="en-US"/>
              </w:rPr>
              <w:t>BR</w:t>
            </w:r>
          </w:p>
        </w:tc>
        <w:tc>
          <w:tcPr>
            <w:tcW w:w="8220" w:type="dxa"/>
            <w:tcBorders>
              <w:top w:val="nil"/>
              <w:left w:val="nil"/>
              <w:bottom w:val="nil"/>
              <w:right w:val="single" w:sz="12" w:space="0" w:color="000080"/>
            </w:tcBorders>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hAnsi="Times New Roman Bold"/>
                <w:b w:val="0"/>
                <w:sz w:val="20"/>
              </w:rPr>
            </w:pPr>
            <w:r>
              <w:rPr>
                <w:rFonts w:hAnsi="Times New Roman Bold"/>
                <w:b w:val="0"/>
                <w:sz w:val="20"/>
              </w:rPr>
              <w:t>Enregistrement pour la production, l</w:t>
            </w:r>
            <w:r w:rsidR="00101F61">
              <w:rPr>
                <w:rFonts w:hAnsi="Times New Roman Bold"/>
                <w:b w:val="0"/>
                <w:sz w:val="20"/>
              </w:rPr>
              <w:t>'</w:t>
            </w:r>
            <w:r>
              <w:rPr>
                <w:rFonts w:hAnsi="Times New Roman Bold"/>
                <w:b w:val="0"/>
                <w:sz w:val="20"/>
              </w:rPr>
              <w:t>archivage et la diffusion; films pour la t</w:t>
            </w:r>
            <w:r>
              <w:rPr>
                <w:rFonts w:hAnsi="Times New Roman Bold" w:cs="Times New Roman Bold"/>
                <w:b w:val="0"/>
                <w:sz w:val="20"/>
              </w:rPr>
              <w:t>é</w:t>
            </w:r>
            <w:r>
              <w:rPr>
                <w:rFonts w:hAnsi="Times New Roman Bold"/>
                <w:b w:val="0"/>
                <w:sz w:val="20"/>
              </w:rPr>
              <w:t>l</w:t>
            </w:r>
            <w:r>
              <w:rPr>
                <w:rFonts w:hAnsi="Times New Roman Bold" w:cs="Times New Roman Bold"/>
                <w:b w:val="0"/>
                <w:sz w:val="20"/>
              </w:rPr>
              <w:t>é</w:t>
            </w:r>
            <w:r>
              <w:rPr>
                <w:rFonts w:hAnsi="Times New Roman Bold"/>
                <w:b w:val="0"/>
                <w:sz w:val="20"/>
              </w:rPr>
              <w:t>vision</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BS</w:t>
            </w:r>
          </w:p>
        </w:tc>
        <w:tc>
          <w:tcPr>
            <w:tcW w:w="8220" w:type="dxa"/>
            <w:tcBorders>
              <w:top w:val="nil"/>
              <w:left w:val="nil"/>
              <w:bottom w:val="nil"/>
              <w:right w:val="single" w:sz="12" w:space="0" w:color="000080"/>
            </w:tcBorders>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rPr>
              <w:t>Service de radiodiffusion sonore</w:t>
            </w:r>
          </w:p>
        </w:tc>
      </w:tr>
      <w:tr w:rsidR="00012003" w:rsidTr="00012003">
        <w:tc>
          <w:tcPr>
            <w:tcW w:w="1140" w:type="dxa"/>
            <w:tcBorders>
              <w:top w:val="nil"/>
              <w:left w:val="single" w:sz="12" w:space="0" w:color="000080"/>
              <w:bottom w:val="nil"/>
              <w:right w:val="nil"/>
            </w:tcBorders>
            <w:shd w:val="clear" w:color="auto" w:fill="F3F3F3"/>
            <w:hideMark/>
          </w:tcPr>
          <w:p w:rsidR="00012003" w:rsidRDefault="00012003">
            <w:pPr>
              <w:spacing w:before="30" w:after="30"/>
              <w:ind w:left="57"/>
              <w:rPr>
                <w:rFonts w:ascii="Times New Roman Bold" w:hAnsi="Times New Roman Bold" w:cs="Times New Roman Bold"/>
                <w:b/>
                <w:bCs/>
                <w:color w:val="243285"/>
                <w:sz w:val="20"/>
                <w:lang w:val="en-US"/>
              </w:rPr>
            </w:pPr>
            <w:r>
              <w:rPr>
                <w:rFonts w:ascii="Times New Roman Bold" w:hAnsi="Times New Roman Bold" w:cs="Times New Roman Bold"/>
                <w:b/>
                <w:bCs/>
                <w:color w:val="243285"/>
                <w:sz w:val="20"/>
                <w:lang w:val="en-US"/>
              </w:rPr>
              <w:t>BT</w:t>
            </w:r>
          </w:p>
        </w:tc>
        <w:tc>
          <w:tcPr>
            <w:tcW w:w="8220" w:type="dxa"/>
            <w:tcBorders>
              <w:top w:val="nil"/>
              <w:left w:val="nil"/>
              <w:bottom w:val="nil"/>
              <w:right w:val="single" w:sz="12" w:space="0" w:color="000080"/>
            </w:tcBorders>
            <w:shd w:val="clear" w:color="auto" w:fill="F3F3F3"/>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imes New Roman Bold" w:hAnsi="Times New Roman Bold" w:cs="Times New Roman Bold"/>
                <w:bCs/>
                <w:color w:val="243285"/>
                <w:sz w:val="20"/>
                <w:lang w:val="en-US"/>
              </w:rPr>
            </w:pPr>
            <w:r>
              <w:rPr>
                <w:rFonts w:ascii="Times New Roman Bold" w:hAnsi="Times New Roman Bold" w:cs="Times New Roman Bold"/>
                <w:bCs/>
                <w:color w:val="243285"/>
                <w:sz w:val="20"/>
              </w:rPr>
              <w:t>Service de radiodiffusion télévisuelle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fr-CH"/>
              </w:rPr>
            </w:pPr>
            <w:r>
              <w:rPr>
                <w:b/>
                <w:bCs/>
                <w:sz w:val="20"/>
                <w:lang w:val="fr-CH"/>
              </w:rPr>
              <w:t>F</w:t>
            </w:r>
          </w:p>
        </w:tc>
        <w:tc>
          <w:tcPr>
            <w:tcW w:w="8220" w:type="dxa"/>
            <w:tcBorders>
              <w:top w:val="nil"/>
              <w:left w:val="nil"/>
              <w:bottom w:val="nil"/>
              <w:right w:val="single" w:sz="12" w:space="0" w:color="000080"/>
            </w:tcBorders>
            <w:hideMark/>
          </w:tcPr>
          <w:p w:rsidR="00012003" w:rsidRDefault="000120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rPr>
              <w:t>Service fixe</w:t>
            </w:r>
          </w:p>
        </w:tc>
      </w:tr>
      <w:tr w:rsidR="00012003" w:rsidRP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M</w:t>
            </w:r>
          </w:p>
        </w:tc>
        <w:tc>
          <w:tcPr>
            <w:tcW w:w="8220" w:type="dxa"/>
            <w:tcBorders>
              <w:top w:val="nil"/>
              <w:left w:val="nil"/>
              <w:bottom w:val="nil"/>
              <w:right w:val="single" w:sz="12" w:space="0" w:color="000080"/>
            </w:tcBorders>
            <w:hideMark/>
          </w:tcPr>
          <w:p w:rsidR="00012003" w:rsidRDefault="000120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Pr>
                <w:b w:val="0"/>
                <w:sz w:val="20"/>
              </w:rPr>
              <w:t>Services mobile, de radiorepérage et d</w:t>
            </w:r>
            <w:r w:rsidR="00101F61">
              <w:rPr>
                <w:b w:val="0"/>
                <w:sz w:val="20"/>
              </w:rPr>
              <w:t>'</w:t>
            </w:r>
            <w:r>
              <w:rPr>
                <w:b w:val="0"/>
                <w:sz w:val="20"/>
              </w:rPr>
              <w:t>amateur y compris les services par satellite associés</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fr-CH"/>
              </w:rPr>
            </w:pPr>
            <w:r>
              <w:rPr>
                <w:b/>
                <w:bCs/>
                <w:sz w:val="20"/>
                <w:lang w:val="fr-CH"/>
              </w:rPr>
              <w:t>P</w:t>
            </w:r>
          </w:p>
        </w:tc>
        <w:tc>
          <w:tcPr>
            <w:tcW w:w="8220" w:type="dxa"/>
            <w:tcBorders>
              <w:top w:val="nil"/>
              <w:left w:val="nil"/>
              <w:bottom w:val="nil"/>
              <w:right w:val="single" w:sz="12" w:space="0" w:color="000080"/>
            </w:tcBorders>
            <w:hideMark/>
          </w:tcPr>
          <w:p w:rsidR="00012003" w:rsidRDefault="00012003">
            <w:pPr>
              <w:spacing w:before="30" w:after="30"/>
              <w:rPr>
                <w:sz w:val="20"/>
                <w:lang w:val="fr-CH"/>
              </w:rPr>
            </w:pPr>
            <w:r>
              <w:rPr>
                <w:sz w:val="20"/>
              </w:rPr>
              <w:t>Propagation des ondes radioélectriques</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RA</w:t>
            </w:r>
          </w:p>
        </w:tc>
        <w:tc>
          <w:tcPr>
            <w:tcW w:w="8220" w:type="dxa"/>
            <w:tcBorders>
              <w:top w:val="nil"/>
              <w:left w:val="nil"/>
              <w:bottom w:val="nil"/>
              <w:right w:val="single" w:sz="12" w:space="0" w:color="000080"/>
            </w:tcBorders>
            <w:hideMark/>
          </w:tcPr>
          <w:p w:rsidR="00012003" w:rsidRDefault="000120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rPr>
              <w:t>Radio astronomie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RS</w:t>
            </w:r>
          </w:p>
        </w:tc>
        <w:tc>
          <w:tcPr>
            <w:tcW w:w="8220" w:type="dxa"/>
            <w:tcBorders>
              <w:top w:val="nil"/>
              <w:left w:val="nil"/>
              <w:bottom w:val="nil"/>
              <w:right w:val="single" w:sz="12" w:space="0" w:color="000080"/>
            </w:tcBorders>
            <w:hideMark/>
          </w:tcPr>
          <w:p w:rsidR="00012003" w:rsidRDefault="000120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rPr>
              <w:t>Systèmes de télédétection</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S</w:t>
            </w:r>
          </w:p>
        </w:tc>
        <w:tc>
          <w:tcPr>
            <w:tcW w:w="8220" w:type="dxa"/>
            <w:tcBorders>
              <w:top w:val="nil"/>
              <w:left w:val="nil"/>
              <w:bottom w:val="nil"/>
              <w:right w:val="single" w:sz="12" w:space="0" w:color="000080"/>
            </w:tcBorders>
            <w:hideMark/>
          </w:tcPr>
          <w:p w:rsidR="00012003" w:rsidRDefault="00012003">
            <w:pPr>
              <w:spacing w:before="30" w:after="30"/>
              <w:rPr>
                <w:sz w:val="20"/>
                <w:lang w:val="en-US"/>
              </w:rPr>
            </w:pPr>
            <w:r>
              <w:rPr>
                <w:sz w:val="20"/>
              </w:rPr>
              <w:t>Service fixe par satellite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SA</w:t>
            </w:r>
          </w:p>
        </w:tc>
        <w:tc>
          <w:tcPr>
            <w:tcW w:w="8220" w:type="dxa"/>
            <w:tcBorders>
              <w:top w:val="nil"/>
              <w:left w:val="nil"/>
              <w:bottom w:val="nil"/>
              <w:right w:val="single" w:sz="12" w:space="0" w:color="000080"/>
            </w:tcBorders>
            <w:hideMark/>
          </w:tcPr>
          <w:p w:rsidR="00012003" w:rsidRDefault="00012003">
            <w:pPr>
              <w:spacing w:before="30" w:after="30"/>
              <w:rPr>
                <w:sz w:val="20"/>
                <w:lang w:val="en-US"/>
              </w:rPr>
            </w:pPr>
            <w:r>
              <w:rPr>
                <w:sz w:val="20"/>
              </w:rPr>
              <w:t>Applications spatiales et météorologie</w:t>
            </w:r>
          </w:p>
        </w:tc>
      </w:tr>
      <w:tr w:rsidR="00012003" w:rsidRP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SF</w:t>
            </w:r>
          </w:p>
        </w:tc>
        <w:tc>
          <w:tcPr>
            <w:tcW w:w="8220" w:type="dxa"/>
            <w:tcBorders>
              <w:top w:val="nil"/>
              <w:left w:val="nil"/>
              <w:bottom w:val="nil"/>
              <w:right w:val="single" w:sz="12" w:space="0" w:color="000080"/>
            </w:tcBorders>
            <w:hideMark/>
          </w:tcPr>
          <w:p w:rsidR="00012003" w:rsidRDefault="00012003">
            <w:pPr>
              <w:spacing w:before="30" w:after="30"/>
              <w:rPr>
                <w:sz w:val="20"/>
              </w:rPr>
            </w:pPr>
            <w:r>
              <w:rPr>
                <w:sz w:val="20"/>
              </w:rPr>
              <w:t>Partage des fréquences et coordination entre les systèmes du service fixe par satellite et du service fixe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SM</w:t>
            </w:r>
          </w:p>
        </w:tc>
        <w:tc>
          <w:tcPr>
            <w:tcW w:w="8220" w:type="dxa"/>
            <w:tcBorders>
              <w:top w:val="nil"/>
              <w:left w:val="nil"/>
              <w:bottom w:val="nil"/>
              <w:right w:val="single" w:sz="12" w:space="0" w:color="000080"/>
            </w:tcBorders>
            <w:hideMark/>
          </w:tcPr>
          <w:p w:rsidR="00012003" w:rsidRDefault="00012003">
            <w:pPr>
              <w:spacing w:before="30" w:after="30"/>
              <w:rPr>
                <w:sz w:val="20"/>
                <w:lang w:val="en-US"/>
              </w:rPr>
            </w:pPr>
            <w:r>
              <w:rPr>
                <w:sz w:val="20"/>
              </w:rPr>
              <w:t>Gestion du spectre</w:t>
            </w:r>
          </w:p>
        </w:tc>
      </w:tr>
      <w:tr w:rsid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SNG</w:t>
            </w:r>
          </w:p>
        </w:tc>
        <w:tc>
          <w:tcPr>
            <w:tcW w:w="8220" w:type="dxa"/>
            <w:tcBorders>
              <w:top w:val="nil"/>
              <w:left w:val="nil"/>
              <w:bottom w:val="nil"/>
              <w:right w:val="single" w:sz="12" w:space="0" w:color="000080"/>
            </w:tcBorders>
            <w:hideMark/>
          </w:tcPr>
          <w:p w:rsidR="00012003" w:rsidRDefault="00012003">
            <w:pPr>
              <w:spacing w:before="30" w:after="30"/>
              <w:rPr>
                <w:sz w:val="20"/>
                <w:lang w:val="en-US"/>
              </w:rPr>
            </w:pPr>
            <w:r>
              <w:rPr>
                <w:sz w:val="20"/>
              </w:rPr>
              <w:t>Reportage d</w:t>
            </w:r>
            <w:r w:rsidR="00101F61">
              <w:rPr>
                <w:sz w:val="20"/>
              </w:rPr>
              <w:t>'</w:t>
            </w:r>
            <w:r>
              <w:rPr>
                <w:sz w:val="20"/>
              </w:rPr>
              <w:t>actualités par satellite</w:t>
            </w:r>
          </w:p>
        </w:tc>
      </w:tr>
      <w:tr w:rsidR="00012003" w:rsidRPr="00012003" w:rsidTr="00012003">
        <w:tc>
          <w:tcPr>
            <w:tcW w:w="1140" w:type="dxa"/>
            <w:tcBorders>
              <w:top w:val="nil"/>
              <w:left w:val="single" w:sz="12" w:space="0" w:color="000080"/>
              <w:bottom w:val="nil"/>
              <w:right w:val="nil"/>
            </w:tcBorders>
            <w:hideMark/>
          </w:tcPr>
          <w:p w:rsidR="00012003" w:rsidRDefault="00012003">
            <w:pPr>
              <w:spacing w:before="30" w:after="30"/>
              <w:ind w:left="57"/>
              <w:rPr>
                <w:b/>
                <w:bCs/>
                <w:sz w:val="20"/>
                <w:lang w:val="en-US"/>
              </w:rPr>
            </w:pPr>
            <w:r>
              <w:rPr>
                <w:b/>
                <w:bCs/>
                <w:sz w:val="20"/>
                <w:lang w:val="en-US"/>
              </w:rPr>
              <w:t>TF</w:t>
            </w:r>
          </w:p>
        </w:tc>
        <w:tc>
          <w:tcPr>
            <w:tcW w:w="8220" w:type="dxa"/>
            <w:tcBorders>
              <w:top w:val="nil"/>
              <w:left w:val="nil"/>
              <w:bottom w:val="nil"/>
              <w:right w:val="single" w:sz="12" w:space="0" w:color="000080"/>
            </w:tcBorders>
            <w:hideMark/>
          </w:tcPr>
          <w:p w:rsidR="00012003" w:rsidRDefault="00012003">
            <w:pPr>
              <w:spacing w:before="30" w:after="30"/>
              <w:rPr>
                <w:sz w:val="20"/>
              </w:rPr>
            </w:pPr>
            <w:r>
              <w:rPr>
                <w:sz w:val="20"/>
              </w:rPr>
              <w:t>Emissions de fréquences étalon et de signaux horaires</w:t>
            </w:r>
          </w:p>
        </w:tc>
      </w:tr>
      <w:tr w:rsidR="00012003" w:rsidTr="00012003">
        <w:tc>
          <w:tcPr>
            <w:tcW w:w="1140" w:type="dxa"/>
            <w:tcBorders>
              <w:top w:val="nil"/>
              <w:left w:val="single" w:sz="12" w:space="0" w:color="000080"/>
              <w:bottom w:val="single" w:sz="12" w:space="0" w:color="000080"/>
              <w:right w:val="nil"/>
            </w:tcBorders>
            <w:hideMark/>
          </w:tcPr>
          <w:p w:rsidR="00012003" w:rsidRDefault="00012003">
            <w:pPr>
              <w:spacing w:before="30" w:after="30"/>
              <w:ind w:left="57"/>
              <w:rPr>
                <w:b/>
                <w:bCs/>
                <w:sz w:val="20"/>
                <w:lang w:val="en-US"/>
              </w:rPr>
            </w:pPr>
            <w:r>
              <w:rPr>
                <w:b/>
                <w:bCs/>
                <w:sz w:val="20"/>
                <w:lang w:val="en-US"/>
              </w:rPr>
              <w:t>V</w:t>
            </w:r>
          </w:p>
        </w:tc>
        <w:tc>
          <w:tcPr>
            <w:tcW w:w="8220" w:type="dxa"/>
            <w:tcBorders>
              <w:top w:val="nil"/>
              <w:left w:val="nil"/>
              <w:bottom w:val="single" w:sz="12" w:space="0" w:color="000080"/>
              <w:right w:val="single" w:sz="12" w:space="0" w:color="000080"/>
            </w:tcBorders>
            <w:hideMark/>
          </w:tcPr>
          <w:p w:rsidR="00012003" w:rsidRDefault="00012003">
            <w:pPr>
              <w:spacing w:before="30" w:after="140"/>
              <w:rPr>
                <w:sz w:val="20"/>
                <w:lang w:val="en-US"/>
              </w:rPr>
            </w:pPr>
            <w:r>
              <w:rPr>
                <w:sz w:val="20"/>
              </w:rPr>
              <w:t>Vocabulaire et sujets associés</w:t>
            </w:r>
          </w:p>
        </w:tc>
      </w:tr>
    </w:tbl>
    <w:p w:rsidR="00012003" w:rsidRDefault="00012003" w:rsidP="00012003">
      <w:pPr>
        <w:spacing w:before="0"/>
        <w:jc w:val="center"/>
        <w:rPr>
          <w:sz w:val="20"/>
          <w:lang w:val="en-US"/>
        </w:rPr>
      </w:pPr>
    </w:p>
    <w:p w:rsidR="00012003" w:rsidRDefault="00012003" w:rsidP="0001200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12003" w:rsidRPr="00012003" w:rsidTr="00012003">
        <w:tc>
          <w:tcPr>
            <w:tcW w:w="9360" w:type="dxa"/>
            <w:tcBorders>
              <w:top w:val="single" w:sz="12" w:space="0" w:color="000080"/>
              <w:left w:val="single" w:sz="12" w:space="0" w:color="000080"/>
              <w:bottom w:val="single" w:sz="12" w:space="0" w:color="000080"/>
              <w:right w:val="single" w:sz="12" w:space="0" w:color="000080"/>
            </w:tcBorders>
            <w:hideMark/>
          </w:tcPr>
          <w:p w:rsidR="00012003" w:rsidRDefault="00012003">
            <w:pPr>
              <w:spacing w:before="80" w:after="80"/>
              <w:rPr>
                <w:i/>
                <w:iCs/>
                <w:sz w:val="20"/>
              </w:rPr>
            </w:pPr>
            <w:r>
              <w:rPr>
                <w:b/>
                <w:bCs/>
                <w:i/>
                <w:iCs/>
                <w:sz w:val="20"/>
              </w:rPr>
              <w:t>Note</w:t>
            </w:r>
            <w:r>
              <w:rPr>
                <w:i/>
                <w:iCs/>
                <w:sz w:val="20"/>
              </w:rPr>
              <w:t>: Cette Recommandation UIT-R a été approuvée en anglais aux termes de la procédure détaillée dans la</w:t>
            </w:r>
            <w:r>
              <w:rPr>
                <w:i/>
                <w:iCs/>
                <w:sz w:val="20"/>
              </w:rPr>
              <w:br/>
              <w:t xml:space="preserve">Résolution UIT-R 1. </w:t>
            </w:r>
          </w:p>
        </w:tc>
      </w:tr>
    </w:tbl>
    <w:p w:rsidR="00012003" w:rsidRDefault="00012003" w:rsidP="00012003">
      <w:pPr>
        <w:spacing w:before="0"/>
        <w:jc w:val="center"/>
        <w:rPr>
          <w:sz w:val="22"/>
        </w:rPr>
      </w:pPr>
    </w:p>
    <w:p w:rsidR="00012003" w:rsidRDefault="00012003" w:rsidP="00012003">
      <w:pPr>
        <w:spacing w:before="100"/>
        <w:jc w:val="right"/>
        <w:rPr>
          <w:i/>
          <w:iCs/>
          <w:sz w:val="20"/>
        </w:rPr>
      </w:pPr>
      <w:r>
        <w:rPr>
          <w:i/>
          <w:iCs/>
          <w:sz w:val="20"/>
        </w:rPr>
        <w:t>Publication électronique</w:t>
      </w:r>
    </w:p>
    <w:p w:rsidR="00012003" w:rsidRDefault="000B0017" w:rsidP="00012003">
      <w:pPr>
        <w:spacing w:before="0"/>
        <w:jc w:val="right"/>
        <w:rPr>
          <w:sz w:val="20"/>
        </w:rPr>
      </w:pPr>
      <w:r>
        <w:rPr>
          <w:sz w:val="20"/>
        </w:rPr>
        <w:t>Genève, 2018</w:t>
      </w:r>
    </w:p>
    <w:p w:rsidR="00012003" w:rsidRDefault="00012003" w:rsidP="00012003">
      <w:pPr>
        <w:spacing w:before="200"/>
        <w:jc w:val="center"/>
        <w:rPr>
          <w:sz w:val="20"/>
        </w:rPr>
      </w:pPr>
      <w:r>
        <w:rPr>
          <w:sz w:val="20"/>
          <w:lang w:val="en-US"/>
        </w:rPr>
        <w:sym w:font="Symbol" w:char="F0E3"/>
      </w:r>
      <w:r>
        <w:rPr>
          <w:sz w:val="20"/>
        </w:rPr>
        <w:t xml:space="preserve"> UIT </w:t>
      </w:r>
      <w:bookmarkStart w:id="3" w:name="iiannee"/>
      <w:bookmarkEnd w:id="3"/>
      <w:r w:rsidR="000B0017">
        <w:rPr>
          <w:sz w:val="20"/>
        </w:rPr>
        <w:t>2018</w:t>
      </w:r>
    </w:p>
    <w:p w:rsidR="00012003" w:rsidRDefault="00012003" w:rsidP="00012003">
      <w:pPr>
        <w:rPr>
          <w:sz w:val="18"/>
          <w:szCs w:val="18"/>
        </w:rPr>
      </w:pPr>
      <w:r>
        <w:rPr>
          <w:sz w:val="18"/>
          <w:szCs w:val="18"/>
        </w:rPr>
        <w:t>Tous droits réservés. Aucune partie de cette publication ne peut être reproduite, par quelque procédé que ce soit, sans l</w:t>
      </w:r>
      <w:r w:rsidR="00101F61">
        <w:rPr>
          <w:sz w:val="18"/>
          <w:szCs w:val="18"/>
        </w:rPr>
        <w:t>'</w:t>
      </w:r>
      <w:r>
        <w:rPr>
          <w:sz w:val="18"/>
          <w:szCs w:val="18"/>
        </w:rPr>
        <w:t>accord écrit préalable de l</w:t>
      </w:r>
      <w:r w:rsidR="00101F61">
        <w:rPr>
          <w:sz w:val="18"/>
          <w:szCs w:val="18"/>
        </w:rPr>
        <w:t>'</w:t>
      </w:r>
      <w:r>
        <w:rPr>
          <w:sz w:val="18"/>
          <w:szCs w:val="18"/>
        </w:rPr>
        <w:t>UIT.</w:t>
      </w:r>
    </w:p>
    <w:p w:rsidR="00012003" w:rsidRDefault="00012003" w:rsidP="00012003">
      <w:pPr>
        <w:overflowPunct/>
        <w:autoSpaceDE/>
        <w:autoSpaceDN/>
        <w:adjustRightInd/>
        <w:spacing w:before="0"/>
        <w:rPr>
          <w:i/>
          <w:sz w:val="20"/>
          <w:highlight w:val="yellow"/>
        </w:rPr>
        <w:sectPr w:rsidR="00012003">
          <w:headerReference w:type="even" r:id="rId10"/>
          <w:pgSz w:w="11907" w:h="16834"/>
          <w:pgMar w:top="1418" w:right="1134" w:bottom="1134" w:left="1134" w:header="720" w:footer="482" w:gutter="0"/>
          <w:pgNumType w:fmt="lowerRoman" w:start="2"/>
          <w:cols w:space="720"/>
        </w:sectPr>
      </w:pPr>
    </w:p>
    <w:p w:rsidR="00012003" w:rsidRDefault="00012003" w:rsidP="00C23AA1">
      <w:pPr>
        <w:pStyle w:val="RecNo"/>
        <w:spacing w:before="0"/>
      </w:pPr>
      <w:bookmarkStart w:id="4" w:name="irecnoe"/>
      <w:bookmarkEnd w:id="4"/>
      <w:r>
        <w:lastRenderedPageBreak/>
        <w:t xml:space="preserve">RECOMMANDATION  </w:t>
      </w:r>
      <w:r>
        <w:rPr>
          <w:rStyle w:val="href"/>
        </w:rPr>
        <w:t>UIT-R  BT</w:t>
      </w:r>
      <w:bookmarkEnd w:id="0"/>
      <w:r>
        <w:rPr>
          <w:rStyle w:val="href"/>
        </w:rPr>
        <w:t>.</w:t>
      </w:r>
      <w:r w:rsidR="00B47007" w:rsidRPr="00C4228B">
        <w:rPr>
          <w:rStyle w:val="href"/>
        </w:rPr>
        <w:t>2095-</w:t>
      </w:r>
      <w:r w:rsidR="00896C1A">
        <w:rPr>
          <w:rStyle w:val="href"/>
        </w:rPr>
        <w:t>1</w:t>
      </w:r>
    </w:p>
    <w:p w:rsidR="00012003" w:rsidRDefault="00B47007" w:rsidP="00C23AA1">
      <w:pPr>
        <w:pStyle w:val="Rectitle"/>
      </w:pPr>
      <w:r w:rsidRPr="00DE07CE">
        <w:t xml:space="preserve">Evaluation subjective de la qualité vidéo au moyen du protocole </w:t>
      </w:r>
      <w:r>
        <w:br/>
      </w:r>
      <w:r w:rsidRPr="00DE07CE">
        <w:t>d</w:t>
      </w:r>
      <w:r w:rsidR="00101F61">
        <w:t>'</w:t>
      </w:r>
      <w:r w:rsidRPr="00DE07CE">
        <w:t>observation par des spécialistes</w:t>
      </w:r>
    </w:p>
    <w:p w:rsidR="00012003" w:rsidRPr="00B1238A" w:rsidRDefault="00012003" w:rsidP="00C23AA1">
      <w:pPr>
        <w:pStyle w:val="Recdate"/>
        <w:rPr>
          <w:lang w:val="fr-CH"/>
        </w:rPr>
      </w:pPr>
      <w:r w:rsidRPr="00B1238A">
        <w:rPr>
          <w:lang w:val="fr-CH"/>
        </w:rPr>
        <w:t>(201</w:t>
      </w:r>
      <w:r w:rsidR="00B47007" w:rsidRPr="00B1238A">
        <w:rPr>
          <w:lang w:val="fr-CH"/>
        </w:rPr>
        <w:t>6</w:t>
      </w:r>
      <w:r w:rsidR="006A3B8B">
        <w:rPr>
          <w:lang w:val="fr-CH"/>
        </w:rPr>
        <w:t>-2017</w:t>
      </w:r>
      <w:r w:rsidRPr="00B1238A">
        <w:rPr>
          <w:lang w:val="fr-CH"/>
        </w:rPr>
        <w:t>)</w:t>
      </w:r>
    </w:p>
    <w:p w:rsidR="00012003" w:rsidRPr="00ED0D4D" w:rsidRDefault="00012003" w:rsidP="00C23AA1">
      <w:pPr>
        <w:pStyle w:val="HeadingSum"/>
        <w:rPr>
          <w:lang w:val="fr-CH"/>
        </w:rPr>
      </w:pPr>
      <w:r w:rsidRPr="00B1238A">
        <w:rPr>
          <w:lang w:val="fr-CH"/>
        </w:rPr>
        <w:t>Domaine d</w:t>
      </w:r>
      <w:r w:rsidR="00101F61">
        <w:rPr>
          <w:lang w:val="fr-CH"/>
        </w:rPr>
        <w:t>'</w:t>
      </w:r>
      <w:r w:rsidRPr="00B1238A">
        <w:rPr>
          <w:lang w:val="fr-CH"/>
        </w:rPr>
        <w:t>application</w:t>
      </w:r>
    </w:p>
    <w:p w:rsidR="00012003" w:rsidRPr="00ED0D4D" w:rsidRDefault="00012003" w:rsidP="00C23AA1">
      <w:pPr>
        <w:pStyle w:val="Summary"/>
        <w:rPr>
          <w:lang w:val="fr-CH"/>
        </w:rPr>
      </w:pPr>
      <w:r w:rsidRPr="00ED0D4D">
        <w:rPr>
          <w:lang w:val="fr-CH"/>
        </w:rPr>
        <w:t>La présente Recommandation décrit la méthode d</w:t>
      </w:r>
      <w:r w:rsidR="00101F61">
        <w:rPr>
          <w:lang w:val="fr-CH"/>
        </w:rPr>
        <w:t>'</w:t>
      </w:r>
      <w:r w:rsidRPr="00ED0D4D">
        <w:rPr>
          <w:lang w:val="fr-CH"/>
        </w:rPr>
        <w:t>évaluation subjective de la qualité vidéo d</w:t>
      </w:r>
      <w:r w:rsidR="00101F61">
        <w:rPr>
          <w:lang w:val="fr-CH"/>
        </w:rPr>
        <w:t>'</w:t>
      </w:r>
      <w:r w:rsidRPr="00ED0D4D">
        <w:rPr>
          <w:lang w:val="fr-CH"/>
        </w:rPr>
        <w:t>images animées au moyen du protocole d</w:t>
      </w:r>
      <w:r w:rsidR="00101F61">
        <w:rPr>
          <w:lang w:val="fr-CH"/>
        </w:rPr>
        <w:t>'</w:t>
      </w:r>
      <w:r w:rsidRPr="00ED0D4D">
        <w:rPr>
          <w:lang w:val="fr-CH"/>
        </w:rPr>
        <w:t>observation par des spécialistes, avec la participation d</w:t>
      </w:r>
      <w:r w:rsidR="00101F61">
        <w:rPr>
          <w:lang w:val="fr-CH"/>
        </w:rPr>
        <w:t>'</w:t>
      </w:r>
      <w:r w:rsidRPr="00ED0D4D">
        <w:rPr>
          <w:lang w:val="fr-CH"/>
        </w:rPr>
        <w:t>un nombre réduit d</w:t>
      </w:r>
      <w:r w:rsidR="00101F61">
        <w:rPr>
          <w:lang w:val="fr-CH"/>
        </w:rPr>
        <w:t>'</w:t>
      </w:r>
      <w:r w:rsidRPr="00ED0D4D">
        <w:rPr>
          <w:lang w:val="fr-CH"/>
        </w:rPr>
        <w:t>observateurs, tous choisis parmi les spécialistes du domaine correspondant du traitement vidéo.</w:t>
      </w:r>
    </w:p>
    <w:p w:rsidR="00012003" w:rsidRPr="00DE07CE" w:rsidRDefault="00012003" w:rsidP="00C23AA1">
      <w:pPr>
        <w:pStyle w:val="Headingb"/>
      </w:pPr>
      <w:r w:rsidRPr="00DE07CE">
        <w:t>Mots clés</w:t>
      </w:r>
    </w:p>
    <w:p w:rsidR="00012003" w:rsidRPr="00DE07CE" w:rsidRDefault="00012003" w:rsidP="00C23AA1">
      <w:pPr>
        <w:jc w:val="both"/>
        <w:rPr>
          <w:szCs w:val="24"/>
        </w:rPr>
      </w:pPr>
      <w:r w:rsidRPr="00DE07CE">
        <w:rPr>
          <w:szCs w:val="24"/>
        </w:rPr>
        <w:t>Télévision, qualité vidéo, évaluation subjective, observation par des spécialistes</w:t>
      </w:r>
    </w:p>
    <w:p w:rsidR="00012003" w:rsidRPr="00DE07CE" w:rsidRDefault="00012003" w:rsidP="00C23AA1">
      <w:pPr>
        <w:pStyle w:val="Normalaftertitle1"/>
        <w:jc w:val="both"/>
      </w:pPr>
      <w:r w:rsidRPr="00DE07CE">
        <w:t>L</w:t>
      </w:r>
      <w:r w:rsidR="00101F61">
        <w:t>'</w:t>
      </w:r>
      <w:r w:rsidRPr="00DE07CE">
        <w:t>Assemblée des radiocommunications de l</w:t>
      </w:r>
      <w:r w:rsidR="00101F61">
        <w:t>'</w:t>
      </w:r>
      <w:r w:rsidRPr="00DE07CE">
        <w:t>UIT,</w:t>
      </w:r>
    </w:p>
    <w:p w:rsidR="00012003" w:rsidRPr="00DE07CE" w:rsidRDefault="00012003" w:rsidP="00C23AA1">
      <w:pPr>
        <w:pStyle w:val="Call"/>
        <w:jc w:val="both"/>
      </w:pPr>
      <w:r w:rsidRPr="00DE07CE">
        <w:t>considérant</w:t>
      </w:r>
    </w:p>
    <w:p w:rsidR="00012003" w:rsidRPr="00DE07CE" w:rsidRDefault="00012003" w:rsidP="00C23AA1">
      <w:pPr>
        <w:pStyle w:val="enumlev1"/>
        <w:tabs>
          <w:tab w:val="clear" w:pos="1134"/>
          <w:tab w:val="left" w:pos="770"/>
        </w:tabs>
        <w:ind w:left="0" w:firstLine="0"/>
        <w:jc w:val="both"/>
      </w:pPr>
      <w:r w:rsidRPr="00DE07CE">
        <w:rPr>
          <w:i/>
          <w:iCs/>
        </w:rPr>
        <w:t>a)</w:t>
      </w:r>
      <w:r w:rsidRPr="00DE07CE">
        <w:tab/>
        <w:t>que l</w:t>
      </w:r>
      <w:r w:rsidR="00101F61">
        <w:t>'</w:t>
      </w:r>
      <w:r w:rsidRPr="00DE07CE">
        <w:t>efficacité et la qualité visuelle des technologies de codage de sources pour les applications de télévision numérique ne cessent de s</w:t>
      </w:r>
      <w:r w:rsidR="00101F61">
        <w:t>'</w:t>
      </w:r>
      <w:r w:rsidRPr="00DE07CE">
        <w:t>améliorer;</w:t>
      </w:r>
    </w:p>
    <w:p w:rsidR="00012003" w:rsidRPr="00DE07CE" w:rsidRDefault="00012003" w:rsidP="00C23AA1">
      <w:pPr>
        <w:pStyle w:val="enumlev1"/>
        <w:tabs>
          <w:tab w:val="clear" w:pos="1134"/>
          <w:tab w:val="left" w:pos="770"/>
        </w:tabs>
        <w:ind w:left="0" w:firstLine="0"/>
        <w:jc w:val="both"/>
      </w:pPr>
      <w:r w:rsidRPr="00DE07CE">
        <w:rPr>
          <w:i/>
          <w:iCs/>
        </w:rPr>
        <w:t>b)</w:t>
      </w:r>
      <w:r w:rsidRPr="00DE07CE">
        <w:tab/>
        <w:t>que cette évolution permanente des technologies de codage vidéo se traduit par une demande en hausse constante concernant les méthodes d</w:t>
      </w:r>
      <w:r w:rsidR="00101F61">
        <w:t>'</w:t>
      </w:r>
      <w:r w:rsidRPr="00DE07CE">
        <w:t>évaluation des performances techniques et visuelles;</w:t>
      </w:r>
    </w:p>
    <w:p w:rsidR="00012003" w:rsidRPr="00DE07CE" w:rsidRDefault="00012003" w:rsidP="00C23AA1">
      <w:pPr>
        <w:pStyle w:val="enumlev1"/>
        <w:tabs>
          <w:tab w:val="clear" w:pos="1134"/>
          <w:tab w:val="left" w:pos="770"/>
        </w:tabs>
        <w:ind w:left="0" w:firstLine="0"/>
        <w:jc w:val="both"/>
      </w:pPr>
      <w:r w:rsidRPr="00DE07CE">
        <w:rPr>
          <w:i/>
          <w:iCs/>
        </w:rPr>
        <w:t>c)</w:t>
      </w:r>
      <w:r w:rsidRPr="00DE07CE">
        <w:tab/>
        <w:t>que l</w:t>
      </w:r>
      <w:r w:rsidR="00101F61">
        <w:t>'</w:t>
      </w:r>
      <w:r w:rsidRPr="00DE07CE">
        <w:t>efficacité de compression et les performances visuelles des nouvelles technologies de codage de sources vidéo appellent de</w:t>
      </w:r>
      <w:r>
        <w:t>s</w:t>
      </w:r>
      <w:r w:rsidRPr="00DE07CE">
        <w:t xml:space="preserve"> méthodes nouvelles et plus efficaces d</w:t>
      </w:r>
      <w:r w:rsidR="00101F61">
        <w:t>'</w:t>
      </w:r>
      <w:r w:rsidRPr="00DE07CE">
        <w:t>évaluation et de notation de la qualité visuelle;</w:t>
      </w:r>
    </w:p>
    <w:p w:rsidR="00012003" w:rsidRPr="00DE07CE" w:rsidRDefault="00012003" w:rsidP="00C23AA1">
      <w:pPr>
        <w:pStyle w:val="enumlev1"/>
        <w:tabs>
          <w:tab w:val="clear" w:pos="1134"/>
          <w:tab w:val="left" w:pos="770"/>
        </w:tabs>
        <w:ind w:left="0" w:firstLine="0"/>
        <w:jc w:val="both"/>
        <w:rPr>
          <w:iCs/>
        </w:rPr>
      </w:pPr>
      <w:r w:rsidRPr="00DE07CE">
        <w:rPr>
          <w:i/>
          <w:iCs/>
        </w:rPr>
        <w:t>d)</w:t>
      </w:r>
      <w:r w:rsidRPr="00DE07CE">
        <w:rPr>
          <w:iCs/>
        </w:rPr>
        <w:tab/>
        <w:t>que les méthodes d</w:t>
      </w:r>
      <w:r w:rsidR="00101F61">
        <w:rPr>
          <w:iCs/>
        </w:rPr>
        <w:t>'</w:t>
      </w:r>
      <w:r w:rsidRPr="00DE07CE">
        <w:rPr>
          <w:iCs/>
        </w:rPr>
        <w:t>évaluation définies dans les Recommandations UIT-R en vigueur sont très exigeantes en termes de temps et de ressources humaines et ne tiennent souvent pas compte de l</w:t>
      </w:r>
      <w:r w:rsidR="00101F61">
        <w:rPr>
          <w:iCs/>
        </w:rPr>
        <w:t>'</w:t>
      </w:r>
      <w:r w:rsidRPr="00DE07CE">
        <w:rPr>
          <w:iCs/>
        </w:rPr>
        <w:t>évolution technique des écrans et de l</w:t>
      </w:r>
      <w:r w:rsidR="00101F61">
        <w:rPr>
          <w:iCs/>
        </w:rPr>
        <w:t>'</w:t>
      </w:r>
      <w:r w:rsidRPr="00DE07CE">
        <w:rPr>
          <w:iCs/>
        </w:rPr>
        <w:t>installation chez l</w:t>
      </w:r>
      <w:r w:rsidR="00101F61">
        <w:rPr>
          <w:iCs/>
        </w:rPr>
        <w:t>'</w:t>
      </w:r>
      <w:r w:rsidRPr="00DE07CE">
        <w:rPr>
          <w:iCs/>
        </w:rPr>
        <w:t>utilisateur final;</w:t>
      </w:r>
    </w:p>
    <w:p w:rsidR="00012003" w:rsidRPr="00DE07CE" w:rsidRDefault="00012003" w:rsidP="00C23AA1">
      <w:pPr>
        <w:pStyle w:val="enumlev1"/>
        <w:tabs>
          <w:tab w:val="clear" w:pos="1134"/>
          <w:tab w:val="left" w:pos="770"/>
        </w:tabs>
        <w:ind w:left="0" w:firstLine="0"/>
        <w:jc w:val="both"/>
      </w:pPr>
      <w:r w:rsidRPr="00DE07CE">
        <w:rPr>
          <w:i/>
          <w:iCs/>
        </w:rPr>
        <w:t>e)</w:t>
      </w:r>
      <w:r w:rsidRPr="00DE07CE">
        <w:tab/>
        <w:t>que, récemment, de nouvelles approches dans le domaine des protocoles d</w:t>
      </w:r>
      <w:r w:rsidR="00101F61">
        <w:t>'</w:t>
      </w:r>
      <w:r w:rsidRPr="00DE07CE">
        <w:t>observation par des spécialistes se sont avérées plus efficientes et plus efficaces, en termes de temps et de coût global, que les méthodes faisant appel à des observateurs non spécialistes;</w:t>
      </w:r>
    </w:p>
    <w:p w:rsidR="00012003" w:rsidRPr="00DE07CE" w:rsidRDefault="00012003" w:rsidP="00C23AA1">
      <w:pPr>
        <w:pStyle w:val="enumlev1"/>
        <w:tabs>
          <w:tab w:val="clear" w:pos="1134"/>
          <w:tab w:val="left" w:pos="770"/>
        </w:tabs>
        <w:ind w:left="0" w:firstLine="0"/>
        <w:jc w:val="both"/>
      </w:pPr>
      <w:r w:rsidRPr="00DE07CE">
        <w:rPr>
          <w:i/>
          <w:iCs/>
        </w:rPr>
        <w:t>f)</w:t>
      </w:r>
      <w:r w:rsidRPr="00DE07CE">
        <w:tab/>
        <w:t>que, si l</w:t>
      </w:r>
      <w:r w:rsidR="00101F61">
        <w:t>'</w:t>
      </w:r>
      <w:r w:rsidRPr="00DE07CE">
        <w:t>on ne pas peut considérer que les résultats obtenus avec un protocole d</w:t>
      </w:r>
      <w:r w:rsidR="00101F61">
        <w:t>'</w:t>
      </w:r>
      <w:r w:rsidRPr="00DE07CE">
        <w:t>observation par des spécialistes remplacent ceux obtenus avec un protocole d</w:t>
      </w:r>
      <w:r w:rsidR="00101F61">
        <w:t>'</w:t>
      </w:r>
      <w:r w:rsidRPr="00DE07CE">
        <w:t>évaluation subjective formelle, on peut toutefois considérer qu</w:t>
      </w:r>
      <w:r w:rsidR="00101F61">
        <w:t>'</w:t>
      </w:r>
      <w:r w:rsidRPr="00DE07CE">
        <w:t>ils donnent une première indication précieuse de la qualité de fonctionnement des systèmes testés;</w:t>
      </w:r>
    </w:p>
    <w:p w:rsidR="00012003" w:rsidRPr="00DE07CE" w:rsidRDefault="00012003" w:rsidP="00C23AA1">
      <w:pPr>
        <w:pStyle w:val="enumlev1"/>
        <w:tabs>
          <w:tab w:val="clear" w:pos="1134"/>
          <w:tab w:val="left" w:pos="770"/>
        </w:tabs>
        <w:ind w:left="0" w:firstLine="0"/>
        <w:jc w:val="both"/>
      </w:pPr>
      <w:r w:rsidRPr="00DE07CE">
        <w:rPr>
          <w:i/>
          <w:iCs/>
        </w:rPr>
        <w:t>g)</w:t>
      </w:r>
      <w:r w:rsidRPr="00DE07CE">
        <w:tab/>
        <w:t>que l</w:t>
      </w:r>
      <w:r w:rsidR="00101F61">
        <w:t>'</w:t>
      </w:r>
      <w:r w:rsidRPr="00DE07CE">
        <w:t>évolution technologique de plus en plus soutenue dans le domaine des écrans plats modifie considérablement les conditions d</w:t>
      </w:r>
      <w:r w:rsidR="00101F61">
        <w:t>'</w:t>
      </w:r>
      <w:r w:rsidRPr="00DE07CE">
        <w:t>observation normalement appliquées par les spécialistes;</w:t>
      </w:r>
    </w:p>
    <w:p w:rsidR="00012003" w:rsidRPr="00DE07CE" w:rsidRDefault="00012003" w:rsidP="00C23AA1">
      <w:pPr>
        <w:pStyle w:val="enumlev1"/>
        <w:tabs>
          <w:tab w:val="clear" w:pos="1134"/>
          <w:tab w:val="left" w:pos="770"/>
        </w:tabs>
        <w:ind w:left="0" w:firstLine="0"/>
        <w:jc w:val="both"/>
      </w:pPr>
      <w:r w:rsidRPr="00DE07CE">
        <w:rPr>
          <w:i/>
          <w:iCs/>
        </w:rPr>
        <w:t>h)</w:t>
      </w:r>
      <w:r w:rsidRPr="00DE07CE">
        <w:tab/>
        <w:t>que l</w:t>
      </w:r>
      <w:r w:rsidR="00101F61">
        <w:t>'</w:t>
      </w:r>
      <w:r w:rsidRPr="00DE07CE">
        <w:t>ISO/CEI a déjà utilisé avec succès de nouveaux protocoles fondés sur l</w:t>
      </w:r>
      <w:r w:rsidR="00101F61">
        <w:t>'</w:t>
      </w:r>
      <w:r w:rsidRPr="00DE07CE">
        <w:t>observation par des spécialistes pour évaluer de nouvelles technologies de codage de sources vidéo,</w:t>
      </w:r>
    </w:p>
    <w:p w:rsidR="00012003" w:rsidRPr="00DE07CE" w:rsidRDefault="00012003" w:rsidP="00C23AA1">
      <w:pPr>
        <w:pStyle w:val="Call"/>
        <w:jc w:val="both"/>
      </w:pPr>
      <w:r w:rsidRPr="00DE07CE">
        <w:t>recommande</w:t>
      </w:r>
    </w:p>
    <w:p w:rsidR="00012003" w:rsidRPr="00DE07CE" w:rsidRDefault="00012003" w:rsidP="00C23AA1">
      <w:pPr>
        <w:pStyle w:val="enumlev1"/>
        <w:tabs>
          <w:tab w:val="clear" w:pos="1134"/>
          <w:tab w:val="left" w:pos="770"/>
        </w:tabs>
        <w:ind w:left="0" w:firstLine="0"/>
        <w:jc w:val="both"/>
      </w:pPr>
      <w:r w:rsidRPr="00DE07CE">
        <w:rPr>
          <w:b/>
          <w:bCs/>
        </w:rPr>
        <w:t>1</w:t>
      </w:r>
      <w:r w:rsidRPr="00DE07CE">
        <w:tab/>
        <w:t>en ce qui concerne l</w:t>
      </w:r>
      <w:r w:rsidR="00101F61">
        <w:t>'</w:t>
      </w:r>
      <w:r w:rsidRPr="00DE07CE">
        <w:t>évaluation des nouvelles technologies de codage vidéo numérique, d</w:t>
      </w:r>
      <w:r w:rsidR="00101F61">
        <w:t>'</w:t>
      </w:r>
      <w:r w:rsidRPr="00DE07CE">
        <w:t>envisager d</w:t>
      </w:r>
      <w:r w:rsidR="00101F61">
        <w:t>'</w:t>
      </w:r>
      <w:r w:rsidRPr="00DE07CE">
        <w:t>utiliser le protocole d</w:t>
      </w:r>
      <w:r w:rsidR="00101F61">
        <w:t>'</w:t>
      </w:r>
      <w:r w:rsidRPr="00DE07CE">
        <w:t>observation par des spécialistes décrit dans l</w:t>
      </w:r>
      <w:r w:rsidR="00101F61">
        <w:t>'</w:t>
      </w:r>
      <w:r w:rsidRPr="00DE07CE">
        <w:t>Annexe 1;</w:t>
      </w:r>
    </w:p>
    <w:p w:rsidR="00012003" w:rsidRDefault="00012003" w:rsidP="00C23AA1">
      <w:pPr>
        <w:pStyle w:val="enumlev1"/>
        <w:tabs>
          <w:tab w:val="clear" w:pos="1134"/>
          <w:tab w:val="left" w:pos="770"/>
        </w:tabs>
        <w:ind w:left="0" w:firstLine="0"/>
        <w:jc w:val="both"/>
        <w:rPr>
          <w:szCs w:val="24"/>
        </w:rPr>
      </w:pPr>
      <w:r w:rsidRPr="00DE07CE">
        <w:rPr>
          <w:b/>
          <w:bCs/>
          <w:szCs w:val="24"/>
        </w:rPr>
        <w:t>2</w:t>
      </w:r>
      <w:r w:rsidRPr="00DE07CE">
        <w:rPr>
          <w:szCs w:val="24"/>
        </w:rPr>
        <w:tab/>
        <w:t>de mettre en œuvre le protocole d</w:t>
      </w:r>
      <w:r w:rsidR="00101F61">
        <w:rPr>
          <w:szCs w:val="24"/>
        </w:rPr>
        <w:t>'</w:t>
      </w:r>
      <w:r w:rsidRPr="00DE07CE">
        <w:rPr>
          <w:szCs w:val="24"/>
        </w:rPr>
        <w:t>observation par des spécialistes en utilisant des écrans plats professionnels et le montage de laboratoire décrit dans l</w:t>
      </w:r>
      <w:r w:rsidR="00101F61">
        <w:rPr>
          <w:szCs w:val="24"/>
        </w:rPr>
        <w:t>'</w:t>
      </w:r>
      <w:r w:rsidRPr="00DE07CE">
        <w:rPr>
          <w:szCs w:val="24"/>
        </w:rPr>
        <w:t>Annexe 1.</w:t>
      </w:r>
    </w:p>
    <w:p w:rsidR="0008033A" w:rsidRPr="00C23AA1" w:rsidRDefault="001F4377" w:rsidP="000B0017">
      <w:pPr>
        <w:rPr>
          <w:szCs w:val="24"/>
          <w:lang w:val="fr-CH"/>
        </w:rPr>
      </w:pPr>
      <w:r w:rsidRPr="00C23AA1">
        <w:rPr>
          <w:lang w:eastAsia="pl-PL"/>
        </w:rPr>
        <w:t>Note 1 – L</w:t>
      </w:r>
      <w:r w:rsidR="00101F61">
        <w:rPr>
          <w:lang w:eastAsia="pl-PL"/>
        </w:rPr>
        <w:t>'</w:t>
      </w:r>
      <w:r w:rsidRPr="00C23AA1">
        <w:rPr>
          <w:lang w:eastAsia="pl-PL"/>
        </w:rPr>
        <w:t>Annexe 2 (informative) présente les résultats</w:t>
      </w:r>
      <w:r w:rsidR="00C35697">
        <w:rPr>
          <w:lang w:eastAsia="pl-PL"/>
        </w:rPr>
        <w:t xml:space="preserve"> </w:t>
      </w:r>
      <w:r w:rsidR="00AE1DBB">
        <w:rPr>
          <w:lang w:eastAsia="pl-PL"/>
        </w:rPr>
        <w:t>d</w:t>
      </w:r>
      <w:r w:rsidR="00101F61">
        <w:rPr>
          <w:lang w:eastAsia="pl-PL"/>
        </w:rPr>
        <w:t>'</w:t>
      </w:r>
      <w:r w:rsidR="00AE1DBB">
        <w:rPr>
          <w:lang w:eastAsia="pl-PL"/>
        </w:rPr>
        <w:t>expériences d</w:t>
      </w:r>
      <w:r w:rsidR="00101F61">
        <w:rPr>
          <w:lang w:eastAsia="pl-PL"/>
        </w:rPr>
        <w:t>'</w:t>
      </w:r>
      <w:r w:rsidR="00AE1DBB">
        <w:rPr>
          <w:lang w:eastAsia="pl-PL"/>
        </w:rPr>
        <w:t>évaluation</w:t>
      </w:r>
      <w:r w:rsidR="00C35697" w:rsidRPr="00C23AA1">
        <w:rPr>
          <w:lang w:eastAsia="pl-PL"/>
        </w:rPr>
        <w:t xml:space="preserve"> subjective </w:t>
      </w:r>
      <w:r w:rsidR="006B5C35">
        <w:rPr>
          <w:lang w:eastAsia="pl-PL"/>
        </w:rPr>
        <w:t xml:space="preserve">réalisées </w:t>
      </w:r>
      <w:r w:rsidR="00E537EE">
        <w:rPr>
          <w:lang w:eastAsia="pl-PL"/>
        </w:rPr>
        <w:t>conformément au</w:t>
      </w:r>
      <w:r w:rsidR="00C35697">
        <w:rPr>
          <w:lang w:eastAsia="pl-PL"/>
        </w:rPr>
        <w:t xml:space="preserve"> protocole </w:t>
      </w:r>
      <w:r w:rsidR="00C23AA1">
        <w:rPr>
          <w:lang w:eastAsia="pl-PL"/>
        </w:rPr>
        <w:t>d</w:t>
      </w:r>
      <w:r w:rsidR="00101F61">
        <w:rPr>
          <w:lang w:eastAsia="pl-PL"/>
        </w:rPr>
        <w:t>'</w:t>
      </w:r>
      <w:r w:rsidR="006B5C35">
        <w:rPr>
          <w:lang w:eastAsia="pl-PL"/>
        </w:rPr>
        <w:t>observation par des spécial</w:t>
      </w:r>
      <w:r w:rsidR="00C35697">
        <w:rPr>
          <w:lang w:eastAsia="pl-PL"/>
        </w:rPr>
        <w:t>i</w:t>
      </w:r>
      <w:r w:rsidR="006B5C35">
        <w:rPr>
          <w:lang w:eastAsia="pl-PL"/>
        </w:rPr>
        <w:t>s</w:t>
      </w:r>
      <w:r w:rsidR="00C35697">
        <w:rPr>
          <w:lang w:eastAsia="pl-PL"/>
        </w:rPr>
        <w:t>tes, tel que mentionné au point</w:t>
      </w:r>
      <w:r w:rsidR="000B0017">
        <w:rPr>
          <w:lang w:eastAsia="pl-PL"/>
        </w:rPr>
        <w:t> </w:t>
      </w:r>
      <w:r w:rsidR="00C35697" w:rsidRPr="00075449">
        <w:rPr>
          <w:i/>
          <w:iCs/>
          <w:lang w:eastAsia="pl-PL"/>
        </w:rPr>
        <w:t>h)</w:t>
      </w:r>
      <w:r w:rsidR="00C35697">
        <w:rPr>
          <w:lang w:eastAsia="pl-PL"/>
        </w:rPr>
        <w:t xml:space="preserve"> du </w:t>
      </w:r>
      <w:r w:rsidR="00C35697" w:rsidRPr="00075449">
        <w:rPr>
          <w:i/>
          <w:iCs/>
          <w:lang w:eastAsia="pl-PL"/>
        </w:rPr>
        <w:t>considérant</w:t>
      </w:r>
      <w:r w:rsidR="00C35697">
        <w:rPr>
          <w:lang w:eastAsia="pl-PL"/>
        </w:rPr>
        <w:t xml:space="preserve">. </w:t>
      </w:r>
    </w:p>
    <w:p w:rsidR="00012003" w:rsidRPr="00DE07CE" w:rsidRDefault="00012003">
      <w:pPr>
        <w:pStyle w:val="AnnexNoTitle"/>
      </w:pPr>
      <w:r w:rsidRPr="00DE07CE">
        <w:lastRenderedPageBreak/>
        <w:t>Annexe 1</w:t>
      </w:r>
      <w:r>
        <w:br/>
      </w:r>
      <w:r>
        <w:br/>
      </w:r>
      <w:r w:rsidRPr="00DE07CE">
        <w:t>Protocole d</w:t>
      </w:r>
      <w:r w:rsidR="00101F61">
        <w:t>'</w:t>
      </w:r>
      <w:r w:rsidRPr="00DE07CE">
        <w:t>observation par des spécialistes pour l</w:t>
      </w:r>
      <w:r w:rsidR="00101F61">
        <w:t>'</w:t>
      </w:r>
      <w:r w:rsidRPr="00DE07CE">
        <w:t xml:space="preserve">évaluation </w:t>
      </w:r>
      <w:r w:rsidRPr="00DE07CE">
        <w:br/>
        <w:t>subjective de la qualité</w:t>
      </w:r>
      <w:r>
        <w:t xml:space="preserve"> des séquences</w:t>
      </w:r>
      <w:r w:rsidRPr="00DE07CE">
        <w:t xml:space="preserve"> vidéo </w:t>
      </w:r>
    </w:p>
    <w:p w:rsidR="00012003" w:rsidRPr="00DE07CE" w:rsidRDefault="00012003">
      <w:pPr>
        <w:pStyle w:val="Heading1"/>
      </w:pPr>
      <w:r w:rsidRPr="00DE07CE">
        <w:t>1</w:t>
      </w:r>
      <w:r w:rsidRPr="00DE07CE">
        <w:tab/>
        <w:t>Montage de laboratoire</w:t>
      </w:r>
    </w:p>
    <w:p w:rsidR="00012003" w:rsidRPr="00DE07CE" w:rsidRDefault="00012003">
      <w:pPr>
        <w:pStyle w:val="Heading2"/>
      </w:pPr>
      <w:r w:rsidRPr="00DE07CE">
        <w:t>1.1</w:t>
      </w:r>
      <w:r w:rsidRPr="00DE07CE">
        <w:tab/>
        <w:t>Choix de l</w:t>
      </w:r>
      <w:r w:rsidR="00101F61">
        <w:t>'</w:t>
      </w:r>
      <w:r w:rsidRPr="00DE07CE">
        <w:t>écran et montage</w:t>
      </w:r>
    </w:p>
    <w:p w:rsidR="00012003" w:rsidRPr="00DE07CE" w:rsidRDefault="00012003">
      <w:pPr>
        <w:jc w:val="both"/>
        <w:rPr>
          <w:szCs w:val="24"/>
        </w:rPr>
      </w:pPr>
      <w:r w:rsidRPr="00DE07CE">
        <w:rPr>
          <w:szCs w:val="24"/>
        </w:rPr>
        <w:t>L</w:t>
      </w:r>
      <w:r w:rsidR="00101F61">
        <w:rPr>
          <w:szCs w:val="24"/>
        </w:rPr>
        <w:t>'</w:t>
      </w:r>
      <w:r w:rsidRPr="00DE07CE">
        <w:rPr>
          <w:szCs w:val="24"/>
        </w:rPr>
        <w:t>écran utilisé devrait être un écran plat ayant les caractéristiques types d</w:t>
      </w:r>
      <w:r w:rsidR="00101F61">
        <w:rPr>
          <w:szCs w:val="24"/>
        </w:rPr>
        <w:t>'</w:t>
      </w:r>
      <w:r w:rsidRPr="00DE07CE">
        <w:rPr>
          <w:szCs w:val="24"/>
        </w:rPr>
        <w:t>applications professionnelles (par exemple, studio de radiodiffusion ou car-régie); sa dimension en diagonale pourra être comprise entre 22 pouces (minimum) et 40 pouces (recommandée), mais elle pourra aller jusqu</w:t>
      </w:r>
      <w:r w:rsidR="00101F61">
        <w:rPr>
          <w:szCs w:val="24"/>
        </w:rPr>
        <w:t>'</w:t>
      </w:r>
      <w:r w:rsidRPr="00DE07CE">
        <w:rPr>
          <w:szCs w:val="24"/>
        </w:rPr>
        <w:t>à 50 pouces ou plus pour l</w:t>
      </w:r>
      <w:r w:rsidR="00101F61">
        <w:rPr>
          <w:szCs w:val="24"/>
        </w:rPr>
        <w:t>'</w:t>
      </w:r>
      <w:r w:rsidRPr="00DE07CE">
        <w:rPr>
          <w:szCs w:val="24"/>
        </w:rPr>
        <w:t>évaluation de systèmes d</w:t>
      </w:r>
      <w:r w:rsidR="00101F61">
        <w:rPr>
          <w:szCs w:val="24"/>
        </w:rPr>
        <w:t>'</w:t>
      </w:r>
      <w:r w:rsidRPr="00DE07CE">
        <w:rPr>
          <w:szCs w:val="24"/>
        </w:rPr>
        <w:t>images avec une résolution de TVHD ou plus élevée.</w:t>
      </w:r>
    </w:p>
    <w:p w:rsidR="00012003" w:rsidRPr="00DE07CE" w:rsidRDefault="00012003">
      <w:pPr>
        <w:jc w:val="both"/>
        <w:rPr>
          <w:szCs w:val="24"/>
        </w:rPr>
      </w:pPr>
      <w:r w:rsidRPr="00DE07CE">
        <w:rPr>
          <w:szCs w:val="24"/>
        </w:rPr>
        <w:t>Il est possible d</w:t>
      </w:r>
      <w:r w:rsidR="00101F61">
        <w:rPr>
          <w:szCs w:val="24"/>
        </w:rPr>
        <w:t>'</w:t>
      </w:r>
      <w:r w:rsidRPr="00DE07CE">
        <w:rPr>
          <w:szCs w:val="24"/>
        </w:rPr>
        <w:t>utiliser une partie réduite de la zone active d</w:t>
      </w:r>
      <w:r w:rsidR="00101F61">
        <w:rPr>
          <w:szCs w:val="24"/>
        </w:rPr>
        <w:t>'</w:t>
      </w:r>
      <w:r w:rsidRPr="00DE07CE">
        <w:rPr>
          <w:szCs w:val="24"/>
        </w:rPr>
        <w:t>affichage de l</w:t>
      </w:r>
      <w:r w:rsidR="00101F61">
        <w:rPr>
          <w:szCs w:val="24"/>
        </w:rPr>
        <w:t>'</w:t>
      </w:r>
      <w:r w:rsidRPr="00DE07CE">
        <w:rPr>
          <w:szCs w:val="24"/>
        </w:rPr>
        <w:t>écran; dans ce cas, la zone située autour de la partie active de l</w:t>
      </w:r>
      <w:r w:rsidR="00101F61">
        <w:rPr>
          <w:szCs w:val="24"/>
        </w:rPr>
        <w:t>'</w:t>
      </w:r>
      <w:r w:rsidRPr="00DE07CE">
        <w:rPr>
          <w:szCs w:val="24"/>
        </w:rPr>
        <w:t>écran devrait être mise à «gris moyen». Dans cette configuration, il ne devrait pas être accepté que la résolution de l</w:t>
      </w:r>
      <w:r w:rsidR="00101F61">
        <w:rPr>
          <w:szCs w:val="24"/>
        </w:rPr>
        <w:t>'</w:t>
      </w:r>
      <w:r w:rsidRPr="00DE07CE">
        <w:rPr>
          <w:szCs w:val="24"/>
        </w:rPr>
        <w:t>écran soit réglée sur une résolution autre que celle d</w:t>
      </w:r>
      <w:r w:rsidR="00101F61">
        <w:rPr>
          <w:szCs w:val="24"/>
        </w:rPr>
        <w:t>'</w:t>
      </w:r>
      <w:r w:rsidRPr="00DE07CE">
        <w:rPr>
          <w:szCs w:val="24"/>
        </w:rPr>
        <w:t>origine.</w:t>
      </w:r>
    </w:p>
    <w:p w:rsidR="00012003" w:rsidRPr="00DE07CE" w:rsidRDefault="00012003">
      <w:pPr>
        <w:jc w:val="both"/>
        <w:rPr>
          <w:szCs w:val="24"/>
        </w:rPr>
      </w:pPr>
      <w:r w:rsidRPr="00DE07CE">
        <w:rPr>
          <w:szCs w:val="24"/>
        </w:rPr>
        <w:t>L</w:t>
      </w:r>
      <w:r w:rsidR="00101F61">
        <w:rPr>
          <w:szCs w:val="24"/>
        </w:rPr>
        <w:t>'</w:t>
      </w:r>
      <w:r w:rsidRPr="00DE07CE">
        <w:rPr>
          <w:szCs w:val="24"/>
        </w:rPr>
        <w:t>écran devrait permettre un montage et un étalonnage de la luminance et des couleurs appropriés au moyen d</w:t>
      </w:r>
      <w:r w:rsidR="00101F61">
        <w:rPr>
          <w:szCs w:val="24"/>
        </w:rPr>
        <w:t>'</w:t>
      </w:r>
      <w:r w:rsidRPr="00DE07CE">
        <w:rPr>
          <w:szCs w:val="24"/>
        </w:rPr>
        <w:t>un luxmètre professionnel. L</w:t>
      </w:r>
      <w:r w:rsidR="00101F61">
        <w:rPr>
          <w:szCs w:val="24"/>
        </w:rPr>
        <w:t>'</w:t>
      </w:r>
      <w:r w:rsidRPr="00DE07CE">
        <w:rPr>
          <w:szCs w:val="24"/>
        </w:rPr>
        <w:t>étalonnage de l</w:t>
      </w:r>
      <w:r w:rsidR="00101F61">
        <w:rPr>
          <w:szCs w:val="24"/>
        </w:rPr>
        <w:t>'</w:t>
      </w:r>
      <w:r w:rsidRPr="00DE07CE">
        <w:rPr>
          <w:szCs w:val="24"/>
        </w:rPr>
        <w:t>écran devrait être conforme aux paramètres définis dans la Recommandation applicable pour le test effectué.</w:t>
      </w:r>
    </w:p>
    <w:p w:rsidR="00012003" w:rsidRPr="00DE07CE" w:rsidRDefault="00012003">
      <w:pPr>
        <w:pStyle w:val="Heading2"/>
      </w:pPr>
      <w:r w:rsidRPr="00DE07CE">
        <w:t>1.2</w:t>
      </w:r>
      <w:r w:rsidRPr="00DE07CE">
        <w:tab/>
        <w:t>Distance d</w:t>
      </w:r>
      <w:r w:rsidR="00101F61">
        <w:t>'</w:t>
      </w:r>
      <w:r w:rsidRPr="00DE07CE">
        <w:t>observation</w:t>
      </w:r>
    </w:p>
    <w:p w:rsidR="00012003" w:rsidRPr="00DE07CE" w:rsidRDefault="00012003">
      <w:pPr>
        <w:jc w:val="both"/>
        <w:rPr>
          <w:szCs w:val="24"/>
        </w:rPr>
      </w:pPr>
      <w:r w:rsidRPr="00DE07CE">
        <w:rPr>
          <w:szCs w:val="24"/>
        </w:rPr>
        <w:t>La distance d</w:t>
      </w:r>
      <w:r w:rsidR="00101F61">
        <w:rPr>
          <w:szCs w:val="24"/>
        </w:rPr>
        <w:t>'</w:t>
      </w:r>
      <w:r w:rsidRPr="00DE07CE">
        <w:rPr>
          <w:szCs w:val="24"/>
        </w:rPr>
        <w:t>observation devrait être choisie en fonction de la résolution de l</w:t>
      </w:r>
      <w:r w:rsidR="00101F61">
        <w:rPr>
          <w:szCs w:val="24"/>
        </w:rPr>
        <w:t>'</w:t>
      </w:r>
      <w:r w:rsidRPr="00DE07CE">
        <w:rPr>
          <w:szCs w:val="24"/>
        </w:rPr>
        <w:t>écran et de la hauteur de la partie active de l</w:t>
      </w:r>
      <w:r w:rsidR="00101F61">
        <w:rPr>
          <w:szCs w:val="24"/>
        </w:rPr>
        <w:t>'</w:t>
      </w:r>
      <w:r w:rsidRPr="00DE07CE">
        <w:rPr>
          <w:szCs w:val="24"/>
        </w:rPr>
        <w:t>écran, conformément à la</w:t>
      </w:r>
      <w:r w:rsidRPr="00DE07CE">
        <w:t xml:space="preserve"> </w:t>
      </w:r>
      <w:r w:rsidRPr="00DE07CE">
        <w:rPr>
          <w:szCs w:val="24"/>
        </w:rPr>
        <w:t>distance d</w:t>
      </w:r>
      <w:r w:rsidR="00101F61">
        <w:rPr>
          <w:szCs w:val="24"/>
        </w:rPr>
        <w:t>'</w:t>
      </w:r>
      <w:r w:rsidRPr="00DE07CE">
        <w:rPr>
          <w:szCs w:val="24"/>
        </w:rPr>
        <w:t>observation nominale définie dans la Recommandation UIT-R BT.2022 ou être plus courte, selon les exigences concernant les mauvaises conditions d</w:t>
      </w:r>
      <w:r w:rsidR="00101F61">
        <w:rPr>
          <w:szCs w:val="24"/>
        </w:rPr>
        <w:t>'</w:t>
      </w:r>
      <w:r w:rsidRPr="00DE07CE">
        <w:rPr>
          <w:szCs w:val="24"/>
        </w:rPr>
        <w:t>observation.</w:t>
      </w:r>
    </w:p>
    <w:p w:rsidR="00012003" w:rsidRPr="00DE07CE" w:rsidRDefault="00012003">
      <w:pPr>
        <w:pStyle w:val="Heading2"/>
      </w:pPr>
      <w:r w:rsidRPr="00DE07CE">
        <w:t>1.3</w:t>
      </w:r>
      <w:r w:rsidRPr="00DE07CE">
        <w:tab/>
        <w:t>Conditions d</w:t>
      </w:r>
      <w:r w:rsidR="00101F61">
        <w:t>'</w:t>
      </w:r>
      <w:r w:rsidRPr="00DE07CE">
        <w:t>observation</w:t>
      </w:r>
    </w:p>
    <w:p w:rsidR="00012003" w:rsidRPr="00DE07CE" w:rsidRDefault="00012003">
      <w:pPr>
        <w:jc w:val="both"/>
        <w:rPr>
          <w:szCs w:val="24"/>
        </w:rPr>
      </w:pPr>
      <w:r w:rsidRPr="00DE07CE">
        <w:rPr>
          <w:szCs w:val="24"/>
        </w:rPr>
        <w:t>Une expérience menée selon le protocole d</w:t>
      </w:r>
      <w:r w:rsidR="00101F61">
        <w:rPr>
          <w:szCs w:val="24"/>
        </w:rPr>
        <w:t>'</w:t>
      </w:r>
      <w:r w:rsidRPr="00DE07CE">
        <w:rPr>
          <w:szCs w:val="24"/>
        </w:rPr>
        <w:t xml:space="preserve">observation par des </w:t>
      </w:r>
      <w:r w:rsidR="00C23AA1">
        <w:rPr>
          <w:szCs w:val="24"/>
        </w:rPr>
        <w:t>spécialiste</w:t>
      </w:r>
      <w:r w:rsidRPr="00DE07CE">
        <w:rPr>
          <w:szCs w:val="24"/>
        </w:rPr>
        <w:t>s (EVP) ne devrait pas nécessairement se dérouler dans un laboratoire de test, mais il est important que l</w:t>
      </w:r>
      <w:r w:rsidR="00101F61">
        <w:rPr>
          <w:szCs w:val="24"/>
        </w:rPr>
        <w:t>'</w:t>
      </w:r>
      <w:r w:rsidRPr="00DE07CE">
        <w:rPr>
          <w:szCs w:val="24"/>
        </w:rPr>
        <w:t>emplacement choisi soit protégé des perturbations sonores et/ou visuelles (on peut par exemple utiliser un bureau ou une salle de réunion au calme).</w:t>
      </w:r>
    </w:p>
    <w:p w:rsidR="00012003" w:rsidRPr="00DE07CE" w:rsidRDefault="00012003">
      <w:pPr>
        <w:jc w:val="both"/>
        <w:rPr>
          <w:szCs w:val="24"/>
        </w:rPr>
      </w:pPr>
      <w:r w:rsidRPr="00DE07CE">
        <w:rPr>
          <w:szCs w:val="24"/>
        </w:rPr>
        <w:t>Il convient d</w:t>
      </w:r>
      <w:r w:rsidR="00101F61">
        <w:rPr>
          <w:szCs w:val="24"/>
        </w:rPr>
        <w:t>'</w:t>
      </w:r>
      <w:r w:rsidRPr="00DE07CE">
        <w:rPr>
          <w:szCs w:val="24"/>
        </w:rPr>
        <w:t>éliminer tout reflet sur l</w:t>
      </w:r>
      <w:r w:rsidR="00101F61">
        <w:rPr>
          <w:szCs w:val="24"/>
        </w:rPr>
        <w:t>'</w:t>
      </w:r>
      <w:r w:rsidRPr="00DE07CE">
        <w:rPr>
          <w:szCs w:val="24"/>
        </w:rPr>
        <w:t>écran provenant d</w:t>
      </w:r>
      <w:r w:rsidR="00101F61">
        <w:rPr>
          <w:szCs w:val="24"/>
        </w:rPr>
        <w:t>'</w:t>
      </w:r>
      <w:r w:rsidRPr="00DE07CE">
        <w:rPr>
          <w:szCs w:val="24"/>
        </w:rPr>
        <w:t>une source de lumière directe ou indirecte; l</w:t>
      </w:r>
      <w:r w:rsidR="00101F61">
        <w:rPr>
          <w:szCs w:val="24"/>
        </w:rPr>
        <w:t>'</w:t>
      </w:r>
      <w:r w:rsidRPr="00DE07CE">
        <w:rPr>
          <w:szCs w:val="24"/>
        </w:rPr>
        <w:t>éclairage ambiant devrait être faible, au niveau minimum suffisant pour remplir les feuilles de notation (le cas échéant).</w:t>
      </w:r>
    </w:p>
    <w:p w:rsidR="00012003" w:rsidRPr="00DE07CE" w:rsidRDefault="00012003">
      <w:pPr>
        <w:jc w:val="both"/>
        <w:rPr>
          <w:szCs w:val="24"/>
        </w:rPr>
      </w:pPr>
      <w:r w:rsidRPr="00DE07CE">
        <w:rPr>
          <w:szCs w:val="24"/>
        </w:rPr>
        <w:t>Le nombre de spécialistes assis devant l</w:t>
      </w:r>
      <w:r w:rsidR="00101F61">
        <w:rPr>
          <w:szCs w:val="24"/>
        </w:rPr>
        <w:t>'</w:t>
      </w:r>
      <w:r w:rsidRPr="00DE07CE">
        <w:rPr>
          <w:szCs w:val="24"/>
        </w:rPr>
        <w:t>écran pourra varier en fonction de la taille de l</w:t>
      </w:r>
      <w:r w:rsidR="00101F61">
        <w:rPr>
          <w:szCs w:val="24"/>
        </w:rPr>
        <w:t>'</w:t>
      </w:r>
      <w:r w:rsidRPr="00DE07CE">
        <w:rPr>
          <w:szCs w:val="24"/>
        </w:rPr>
        <w:t>écran, l</w:t>
      </w:r>
      <w:r w:rsidR="00101F61">
        <w:rPr>
          <w:szCs w:val="24"/>
        </w:rPr>
        <w:t>'</w:t>
      </w:r>
      <w:r w:rsidRPr="00DE07CE">
        <w:rPr>
          <w:szCs w:val="24"/>
        </w:rPr>
        <w:t>objectif étant de garantir que le rendu d</w:t>
      </w:r>
      <w:r w:rsidR="00101F61">
        <w:rPr>
          <w:szCs w:val="24"/>
        </w:rPr>
        <w:t>'</w:t>
      </w:r>
      <w:r w:rsidRPr="00DE07CE">
        <w:rPr>
          <w:szCs w:val="24"/>
        </w:rPr>
        <w:t>image et l</w:t>
      </w:r>
      <w:r w:rsidR="00101F61">
        <w:rPr>
          <w:szCs w:val="24"/>
        </w:rPr>
        <w:t>'</w:t>
      </w:r>
      <w:r w:rsidRPr="00DE07CE">
        <w:rPr>
          <w:szCs w:val="24"/>
        </w:rPr>
        <w:t>exposition aux stimuli soient identiques pour tous les observateurs.</w:t>
      </w:r>
    </w:p>
    <w:p w:rsidR="00012003" w:rsidRPr="00DE07CE" w:rsidRDefault="00012003">
      <w:pPr>
        <w:pStyle w:val="Heading1"/>
      </w:pPr>
      <w:r w:rsidRPr="00DE07CE">
        <w:t>2</w:t>
      </w:r>
      <w:r w:rsidRPr="00DE07CE">
        <w:tab/>
        <w:t>Observateurs</w:t>
      </w:r>
    </w:p>
    <w:p w:rsidR="00012003" w:rsidRPr="00DE07CE" w:rsidRDefault="00012003">
      <w:pPr>
        <w:jc w:val="both"/>
        <w:rPr>
          <w:szCs w:val="24"/>
        </w:rPr>
      </w:pPr>
      <w:r w:rsidRPr="00DE07CE">
        <w:rPr>
          <w:szCs w:val="24"/>
        </w:rPr>
        <w:t>Les observateurs participant à une expérience EVP devraient être des spécialistes du domaine à l</w:t>
      </w:r>
      <w:r w:rsidR="00101F61">
        <w:rPr>
          <w:szCs w:val="24"/>
        </w:rPr>
        <w:t>'</w:t>
      </w:r>
      <w:r w:rsidRPr="00DE07CE">
        <w:rPr>
          <w:szCs w:val="24"/>
        </w:rPr>
        <w:t>étude.</w:t>
      </w:r>
    </w:p>
    <w:p w:rsidR="00012003" w:rsidRPr="00DE07CE" w:rsidRDefault="00012003">
      <w:pPr>
        <w:jc w:val="both"/>
        <w:rPr>
          <w:szCs w:val="24"/>
        </w:rPr>
      </w:pPr>
      <w:r w:rsidRPr="00DE07CE">
        <w:rPr>
          <w:szCs w:val="24"/>
        </w:rPr>
        <w:t>Les observateurs ne devraient pas nécessairement être sélectionnés pour leur acuité visuelle ou leur perception des couleurs, mais devraient être choisis parmi des personnes qualifiées.</w:t>
      </w:r>
    </w:p>
    <w:p w:rsidR="00012003" w:rsidRPr="00DE07CE" w:rsidRDefault="00012003">
      <w:pPr>
        <w:jc w:val="both"/>
        <w:rPr>
          <w:szCs w:val="24"/>
        </w:rPr>
      </w:pPr>
      <w:r w:rsidRPr="00DE07CE">
        <w:rPr>
          <w:szCs w:val="24"/>
        </w:rPr>
        <w:lastRenderedPageBreak/>
        <w:t>Il devrait y avoir au minimum neuf observateurs différents.</w:t>
      </w:r>
    </w:p>
    <w:p w:rsidR="00012003" w:rsidRPr="00DE07CE" w:rsidRDefault="00012003">
      <w:pPr>
        <w:jc w:val="both"/>
        <w:rPr>
          <w:szCs w:val="24"/>
        </w:rPr>
      </w:pPr>
      <w:r w:rsidRPr="00DE07CE">
        <w:rPr>
          <w:szCs w:val="24"/>
        </w:rPr>
        <w:t>Pour atteindre le nombre minimum d</w:t>
      </w:r>
      <w:r w:rsidR="00101F61">
        <w:rPr>
          <w:szCs w:val="24"/>
        </w:rPr>
        <w:t>'</w:t>
      </w:r>
      <w:r w:rsidRPr="00DE07CE">
        <w:rPr>
          <w:szCs w:val="24"/>
        </w:rPr>
        <w:t>observateurs, il sera possible d</w:t>
      </w:r>
      <w:r w:rsidR="00101F61">
        <w:rPr>
          <w:szCs w:val="24"/>
        </w:rPr>
        <w:t>'</w:t>
      </w:r>
      <w:r w:rsidRPr="00DE07CE">
        <w:rPr>
          <w:szCs w:val="24"/>
        </w:rPr>
        <w:t>effectuer la même expérience à plusieurs reprises au même endroit ou dans plusieurs endroits. Les notes obtenues dans les différents lieux utilisés pour une session d</w:t>
      </w:r>
      <w:r w:rsidR="00101F61">
        <w:rPr>
          <w:szCs w:val="24"/>
        </w:rPr>
        <w:t>'</w:t>
      </w:r>
      <w:r w:rsidRPr="00DE07CE">
        <w:rPr>
          <w:szCs w:val="24"/>
        </w:rPr>
        <w:t>observation par des spécialistes pourront être traitées ensemble sur le plan statistique.</w:t>
      </w:r>
    </w:p>
    <w:p w:rsidR="00012003" w:rsidRPr="00DE07CE" w:rsidRDefault="00012003">
      <w:pPr>
        <w:pStyle w:val="Heading1"/>
      </w:pPr>
      <w:r w:rsidRPr="00DE07CE">
        <w:t>3</w:t>
      </w:r>
      <w:r w:rsidRPr="00DE07CE">
        <w:tab/>
        <w:t>Cellule test de base</w:t>
      </w:r>
    </w:p>
    <w:p w:rsidR="00012003" w:rsidRPr="00DE07CE" w:rsidRDefault="00012003">
      <w:pPr>
        <w:jc w:val="both"/>
        <w:rPr>
          <w:szCs w:val="24"/>
        </w:rPr>
      </w:pPr>
      <w:r w:rsidRPr="00DE07CE">
        <w:rPr>
          <w:szCs w:val="24"/>
        </w:rPr>
        <w:t>La séquence qui sera présentée aux spécialistes devrait être organisée de manière à créer une cellule test de base (BTC) pour chaque ensemble de conditions de codage à évaluer (voir la Fig. 1).</w:t>
      </w:r>
    </w:p>
    <w:p w:rsidR="00012003" w:rsidRPr="00DE07CE" w:rsidRDefault="00012003">
      <w:pPr>
        <w:jc w:val="both"/>
        <w:rPr>
          <w:szCs w:val="24"/>
        </w:rPr>
      </w:pPr>
      <w:r w:rsidRPr="00DE07CE">
        <w:rPr>
          <w:szCs w:val="24"/>
        </w:rPr>
        <w:t xml:space="preserve">Les extraits de la séquence source de référence (SRC) et des séquences vidéo traitées (PVS) à examiner dans une cellule BTC devraient toujours être tirés de la même séquence vidéo, afin que les spécialistes soient en mesure de repérer toute amélioration de la qualité visuelle offerte par les algorithmes de compression testés. </w:t>
      </w:r>
    </w:p>
    <w:p w:rsidR="00012003" w:rsidRPr="00DE07CE" w:rsidRDefault="00012003">
      <w:pPr>
        <w:pStyle w:val="FigureNo"/>
      </w:pPr>
      <w:r w:rsidRPr="00DE07CE">
        <w:t>FIGURE 1</w:t>
      </w:r>
    </w:p>
    <w:p w:rsidR="00012003" w:rsidRDefault="00012003">
      <w:pPr>
        <w:pStyle w:val="Figuretitle"/>
        <w:spacing w:after="240"/>
      </w:pPr>
      <w:r w:rsidRPr="00DE07CE">
        <w:t>Organisation d</w:t>
      </w:r>
      <w:r w:rsidR="00101F61">
        <w:t>'</w:t>
      </w:r>
      <w:r w:rsidRPr="00DE07CE">
        <w:t>une cellule test de base pour le protocole d</w:t>
      </w:r>
      <w:r w:rsidR="00101F61">
        <w:t>'</w:t>
      </w:r>
      <w:r w:rsidRPr="00DE07CE">
        <w:t>observation</w:t>
      </w:r>
      <w:r w:rsidR="0008033A">
        <w:t xml:space="preserve"> </w:t>
      </w:r>
      <w:r w:rsidR="0008033A">
        <w:br/>
      </w:r>
      <w:r w:rsidRPr="00DE07CE">
        <w:t>par des spécialistes</w:t>
      </w:r>
    </w:p>
    <w:p w:rsidR="0008033A" w:rsidRPr="0008033A" w:rsidRDefault="0008033A">
      <w:pPr>
        <w:pStyle w:val="Figure"/>
      </w:pPr>
      <w:r>
        <w:object w:dxaOrig="4494" w:dyaOrig="1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65pt;height:102.1pt" o:ole="">
            <v:imagedata r:id="rId11" o:title=""/>
          </v:shape>
          <o:OLEObject Type="Embed" ProgID="CorelDraw.Graphic.16" ShapeID="_x0000_i1025" DrawAspect="Content" ObjectID="_1587535370" r:id="rId12"/>
        </w:object>
      </w:r>
    </w:p>
    <w:p w:rsidR="00012003" w:rsidRPr="00DE07CE" w:rsidRDefault="00012003">
      <w:pPr>
        <w:jc w:val="both"/>
        <w:rPr>
          <w:szCs w:val="24"/>
        </w:rPr>
      </w:pPr>
      <w:r w:rsidRPr="00DE07CE">
        <w:rPr>
          <w:szCs w:val="24"/>
        </w:rPr>
        <w:t>La cellule BTC devrait être organisée comme suit:</w:t>
      </w:r>
    </w:p>
    <w:p w:rsidR="00012003" w:rsidRPr="00DE07CE" w:rsidRDefault="00012003">
      <w:pPr>
        <w:pStyle w:val="enumlev1"/>
        <w:jc w:val="both"/>
      </w:pPr>
      <w:r w:rsidRPr="00DE07CE">
        <w:t>–</w:t>
      </w:r>
      <w:r w:rsidRPr="00DE07CE">
        <w:tab/>
      </w:r>
      <w:r w:rsidR="0008033A">
        <w:t>é</w:t>
      </w:r>
      <w:r w:rsidRPr="00DE07CE">
        <w:t>cran mis à gris moyen (valeur moyenne sur l</w:t>
      </w:r>
      <w:r w:rsidR="00101F61">
        <w:t>'</w:t>
      </w:r>
      <w:r w:rsidRPr="00DE07CE">
        <w:t>échelle de luminance)</w:t>
      </w:r>
      <w:r>
        <w:t xml:space="preserve"> pendant 0,5 </w:t>
      </w:r>
      <w:r w:rsidRPr="00DE07CE">
        <w:t>seconde;</w:t>
      </w:r>
    </w:p>
    <w:p w:rsidR="00012003" w:rsidRPr="00DE07CE" w:rsidRDefault="00012003">
      <w:pPr>
        <w:pStyle w:val="enumlev1"/>
        <w:jc w:val="both"/>
      </w:pPr>
      <w:r w:rsidRPr="00DE07CE">
        <w:t>–</w:t>
      </w:r>
      <w:r w:rsidRPr="00DE07CE">
        <w:tab/>
      </w:r>
      <w:r w:rsidR="0008033A">
        <w:t>p</w:t>
      </w:r>
      <w:r w:rsidRPr="00DE07CE">
        <w:t>résentation de 10 secondes de l</w:t>
      </w:r>
      <w:r w:rsidR="00101F61">
        <w:t>'</w:t>
      </w:r>
      <w:r w:rsidRPr="00DE07CE">
        <w:t>extrait vidéo de référence non compressé;</w:t>
      </w:r>
    </w:p>
    <w:p w:rsidR="00012003" w:rsidRPr="00DE07CE" w:rsidRDefault="00012003">
      <w:pPr>
        <w:pStyle w:val="enumlev1"/>
        <w:tabs>
          <w:tab w:val="clear" w:pos="1134"/>
          <w:tab w:val="left" w:pos="770"/>
        </w:tabs>
        <w:ind w:left="770" w:hanging="770"/>
        <w:jc w:val="both"/>
      </w:pPr>
      <w:r w:rsidRPr="00DE07CE">
        <w:t>–</w:t>
      </w:r>
      <w:r w:rsidRPr="00DE07CE">
        <w:tab/>
      </w:r>
      <w:r w:rsidR="0008033A" w:rsidRPr="00DE07CE">
        <w:t>a</w:t>
      </w:r>
      <w:r w:rsidRPr="00DE07CE">
        <w:t xml:space="preserve">ffichage </w:t>
      </w:r>
      <w:r w:rsidR="00186241">
        <w:t>pendant 0,5 seconde du message «A»</w:t>
      </w:r>
      <w:r w:rsidRPr="00DE07CE">
        <w:t xml:space="preserve"> (première vidéo à évaluer) sur fond gris moyen;</w:t>
      </w:r>
    </w:p>
    <w:p w:rsidR="00012003" w:rsidRPr="00DE07CE" w:rsidRDefault="00012003">
      <w:pPr>
        <w:pStyle w:val="enumlev1"/>
        <w:jc w:val="both"/>
      </w:pPr>
      <w:r w:rsidRPr="00DE07CE">
        <w:t>–</w:t>
      </w:r>
      <w:r w:rsidRPr="00DE07CE">
        <w:tab/>
      </w:r>
      <w:r w:rsidR="0008033A" w:rsidRPr="00DE07CE">
        <w:t>p</w:t>
      </w:r>
      <w:r w:rsidRPr="00DE07CE">
        <w:t>résentation de 10 secondes d</w:t>
      </w:r>
      <w:r w:rsidR="00101F61">
        <w:t>'</w:t>
      </w:r>
      <w:r w:rsidRPr="00DE07CE">
        <w:t>une version altérée de l</w:t>
      </w:r>
      <w:r w:rsidR="00101F61">
        <w:t>'</w:t>
      </w:r>
      <w:r w:rsidRPr="00DE07CE">
        <w:t>extrait vidéo;</w:t>
      </w:r>
    </w:p>
    <w:p w:rsidR="00012003" w:rsidRPr="00DE07CE" w:rsidRDefault="00012003">
      <w:pPr>
        <w:pStyle w:val="enumlev1"/>
        <w:jc w:val="both"/>
      </w:pPr>
      <w:r w:rsidRPr="00DE07CE">
        <w:t>–</w:t>
      </w:r>
      <w:r w:rsidRPr="00DE07CE">
        <w:tab/>
      </w:r>
      <w:r w:rsidR="0008033A" w:rsidRPr="00DE07CE">
        <w:t>a</w:t>
      </w:r>
      <w:r w:rsidRPr="00DE07CE">
        <w:t xml:space="preserve">ffichage </w:t>
      </w:r>
      <w:r w:rsidR="00186241">
        <w:t>pendant 0,5 seconde du message «</w:t>
      </w:r>
      <w:r w:rsidRPr="00DE07CE">
        <w:t>B</w:t>
      </w:r>
      <w:r w:rsidR="00186241">
        <w:t>»</w:t>
      </w:r>
      <w:r w:rsidRPr="00DE07CE">
        <w:t xml:space="preserve"> (deuxième vidéo à évaluer) sur fond gris moyen;</w:t>
      </w:r>
    </w:p>
    <w:p w:rsidR="00012003" w:rsidRPr="00DE07CE" w:rsidRDefault="00012003">
      <w:pPr>
        <w:pStyle w:val="enumlev1"/>
        <w:jc w:val="both"/>
      </w:pPr>
      <w:r w:rsidRPr="00DE07CE">
        <w:t>–</w:t>
      </w:r>
      <w:r w:rsidRPr="00DE07CE">
        <w:tab/>
      </w:r>
      <w:r w:rsidR="0008033A" w:rsidRPr="00DE07CE">
        <w:t>p</w:t>
      </w:r>
      <w:r w:rsidRPr="00DE07CE">
        <w:t>résentation de 10 secondes d</w:t>
      </w:r>
      <w:r w:rsidR="00101F61">
        <w:t>'</w:t>
      </w:r>
      <w:r w:rsidRPr="00DE07CE">
        <w:t>une version altérée de l</w:t>
      </w:r>
      <w:r w:rsidR="00101F61">
        <w:t>'</w:t>
      </w:r>
      <w:r w:rsidRPr="00DE07CE">
        <w:t>extrait vidéo;</w:t>
      </w:r>
    </w:p>
    <w:p w:rsidR="00012003" w:rsidRPr="00DE07CE" w:rsidRDefault="00012003">
      <w:pPr>
        <w:pStyle w:val="enumlev1"/>
        <w:jc w:val="both"/>
      </w:pPr>
      <w:r w:rsidRPr="00DE07CE">
        <w:t>–</w:t>
      </w:r>
      <w:r w:rsidRPr="00DE07CE">
        <w:tab/>
      </w:r>
      <w:r w:rsidR="0008033A" w:rsidRPr="00DE07CE">
        <w:t>a</w:t>
      </w:r>
      <w:r w:rsidRPr="00DE07CE">
        <w:t>ffichage pendant 5 secondes d</w:t>
      </w:r>
      <w:r w:rsidR="00101F61">
        <w:t>'</w:t>
      </w:r>
      <w:r w:rsidRPr="00DE07CE">
        <w:t>un message demandant aux observateurs de donner leur avis.</w:t>
      </w:r>
    </w:p>
    <w:p w:rsidR="00012003" w:rsidRPr="00DE07CE" w:rsidRDefault="00255A5C">
      <w:pPr>
        <w:jc w:val="both"/>
        <w:rPr>
          <w:szCs w:val="24"/>
        </w:rPr>
      </w:pPr>
      <w:r>
        <w:rPr>
          <w:szCs w:val="24"/>
        </w:rPr>
        <w:t>Le message</w:t>
      </w:r>
      <w:r w:rsidR="00101F61">
        <w:rPr>
          <w:szCs w:val="24"/>
        </w:rPr>
        <w:t xml:space="preserve"> </w:t>
      </w:r>
      <w:r>
        <w:rPr>
          <w:szCs w:val="24"/>
        </w:rPr>
        <w:t>«</w:t>
      </w:r>
      <w:r w:rsidR="00012003" w:rsidRPr="00DE07CE">
        <w:rPr>
          <w:szCs w:val="24"/>
        </w:rPr>
        <w:t>Vote</w:t>
      </w:r>
      <w:r>
        <w:rPr>
          <w:szCs w:val="24"/>
        </w:rPr>
        <w:t>»</w:t>
      </w:r>
      <w:r w:rsidR="00012003" w:rsidRPr="00DE07CE">
        <w:rPr>
          <w:szCs w:val="24"/>
        </w:rPr>
        <w:t xml:space="preserve"> devrait être suivi d</w:t>
      </w:r>
      <w:r w:rsidR="00101F61">
        <w:rPr>
          <w:szCs w:val="24"/>
        </w:rPr>
        <w:t>'</w:t>
      </w:r>
      <w:r w:rsidR="00012003" w:rsidRPr="00DE07CE">
        <w:rPr>
          <w:szCs w:val="24"/>
        </w:rPr>
        <w:t>un numéro facilitant le report sur la feuille de notation.</w:t>
      </w:r>
    </w:p>
    <w:p w:rsidR="00012003" w:rsidRPr="00DE07CE" w:rsidRDefault="00012003">
      <w:pPr>
        <w:pStyle w:val="Heading2"/>
      </w:pPr>
      <w:r w:rsidRPr="00DE07CE">
        <w:t>3.1</w:t>
      </w:r>
      <w:r w:rsidRPr="00DE07CE">
        <w:tab/>
        <w:t>Feuille de notation et échelle de notation</w:t>
      </w:r>
    </w:p>
    <w:p w:rsidR="00012003" w:rsidRPr="00DE07CE" w:rsidRDefault="00012003">
      <w:pPr>
        <w:keepLines/>
        <w:jc w:val="both"/>
        <w:rPr>
          <w:szCs w:val="24"/>
        </w:rPr>
      </w:pPr>
      <w:r w:rsidRPr="00DE07CE">
        <w:rPr>
          <w:szCs w:val="24"/>
        </w:rPr>
        <w:t xml:space="preserve">Comme le montre la Fig. 1, la présentation des extraits vidéo devraient être organisée de telle sorte que la séquence de référence non </w:t>
      </w:r>
      <w:r w:rsidRPr="00DE07CE">
        <w:t>altérée</w:t>
      </w:r>
      <w:r w:rsidRPr="00DE07CE">
        <w:rPr>
          <w:szCs w:val="24"/>
        </w:rPr>
        <w:t xml:space="preserve"> (séquence SRC) soit diffusée en premier et suivie des deux séquences vidéo </w:t>
      </w:r>
      <w:r w:rsidRPr="00DE07CE">
        <w:t>altérée</w:t>
      </w:r>
      <w:r w:rsidRPr="00DE07CE">
        <w:rPr>
          <w:szCs w:val="24"/>
        </w:rPr>
        <w:t>s (séquence PVS). L</w:t>
      </w:r>
      <w:r w:rsidR="00101F61">
        <w:rPr>
          <w:szCs w:val="24"/>
        </w:rPr>
        <w:t>'</w:t>
      </w:r>
      <w:r w:rsidRPr="00DE07CE">
        <w:rPr>
          <w:szCs w:val="24"/>
        </w:rPr>
        <w:t>ordre de présentation des séquences PVS devrait être modifié de manière aléatoire pour chaque cellule BTC et les observateurs ne devraient pas connaître l</w:t>
      </w:r>
      <w:r w:rsidR="00101F61">
        <w:rPr>
          <w:szCs w:val="24"/>
        </w:rPr>
        <w:t>'</w:t>
      </w:r>
      <w:r w:rsidRPr="00DE07CE">
        <w:rPr>
          <w:szCs w:val="24"/>
        </w:rPr>
        <w:t>ordre de présentation.</w:t>
      </w:r>
    </w:p>
    <w:p w:rsidR="00012003" w:rsidRPr="00DE07CE" w:rsidRDefault="00012003">
      <w:pPr>
        <w:pStyle w:val="FigureNo"/>
      </w:pPr>
      <w:r w:rsidRPr="00DE07CE">
        <w:lastRenderedPageBreak/>
        <w:t>FIGURE 2</w:t>
      </w:r>
    </w:p>
    <w:p w:rsidR="00012003" w:rsidRPr="00DE07CE" w:rsidRDefault="00012003">
      <w:pPr>
        <w:pStyle w:val="Figuretitle"/>
        <w:spacing w:after="240"/>
      </w:pPr>
      <w:r w:rsidRPr="00DE07CE">
        <w:t>Exemple de feuille de notation pour une session d</w:t>
      </w:r>
      <w:r w:rsidR="00101F61">
        <w:t>'</w:t>
      </w:r>
      <w:r w:rsidRPr="00DE07CE">
        <w:t xml:space="preserve">observation </w:t>
      </w:r>
      <w:r w:rsidRPr="00DE07CE">
        <w:br/>
        <w:t>par des spécialistes avec 24 cellules BTC</w:t>
      </w:r>
    </w:p>
    <w:p w:rsidR="00012003" w:rsidRPr="00DE07CE" w:rsidRDefault="00012003">
      <w:pPr>
        <w:jc w:val="center"/>
        <w:rPr>
          <w:szCs w:val="24"/>
        </w:rPr>
      </w:pPr>
      <w:r w:rsidRPr="00DE07CE">
        <w:object w:dxaOrig="2464" w:dyaOrig="3524">
          <v:shape id="_x0000_i1026" type="#_x0000_t75" style="width:148.3pt;height:211.7pt;mso-position-horizontal:absolute;mso-position-vertical:absolute" o:ole="">
            <v:imagedata r:id="rId13" o:title=""/>
          </v:shape>
          <o:OLEObject Type="Embed" ProgID="CorelDraw.Graphic.16" ShapeID="_x0000_i1026" DrawAspect="Content" ObjectID="_1587535371" r:id="rId14"/>
        </w:object>
      </w:r>
    </w:p>
    <w:p w:rsidR="00012003" w:rsidRPr="00DE07CE" w:rsidRDefault="00012003" w:rsidP="001B7F53">
      <w:pPr>
        <w:pStyle w:val="Normalaftertitle"/>
        <w:jc w:val="both"/>
      </w:pPr>
      <w:r w:rsidRPr="00DE07CE">
        <w:t>Une échelle numérique comprenant 11 niveaux allant de 10 (dégradation imperceptible) à 0 (dégradation très gênante) est utilisée.</w:t>
      </w:r>
    </w:p>
    <w:p w:rsidR="00012003" w:rsidRPr="00DE07CE" w:rsidRDefault="00012003">
      <w:pPr>
        <w:jc w:val="both"/>
        <w:rPr>
          <w:szCs w:val="24"/>
        </w:rPr>
      </w:pPr>
      <w:r w:rsidRPr="00DE07CE">
        <w:rPr>
          <w:szCs w:val="24"/>
        </w:rPr>
        <w:t>Le Tableau 1 donne des indications sur la signification des 11 niveaux de l</w:t>
      </w:r>
      <w:r w:rsidR="00101F61">
        <w:rPr>
          <w:szCs w:val="24"/>
        </w:rPr>
        <w:t>'</w:t>
      </w:r>
      <w:r w:rsidRPr="00DE07CE">
        <w:rPr>
          <w:szCs w:val="24"/>
        </w:rPr>
        <w:t>échelle numérique.</w:t>
      </w:r>
    </w:p>
    <w:p w:rsidR="00012003" w:rsidRPr="00DE07CE" w:rsidRDefault="00012003">
      <w:pPr>
        <w:pStyle w:val="TableNo"/>
      </w:pPr>
      <w:r w:rsidRPr="00DE07CE">
        <w:t>TABLEAU 1</w:t>
      </w:r>
    </w:p>
    <w:p w:rsidR="00012003" w:rsidRPr="00DE07CE" w:rsidRDefault="00012003">
      <w:pPr>
        <w:pStyle w:val="Tabletitle"/>
      </w:pPr>
      <w:r w:rsidRPr="00DE07CE">
        <w:t>Signification des 11 niveaux de l</w:t>
      </w:r>
      <w:r w:rsidR="00101F61">
        <w:t>'</w:t>
      </w:r>
      <w:r w:rsidRPr="00DE07CE">
        <w:t>échelle numérique</w:t>
      </w:r>
    </w:p>
    <w:tbl>
      <w:tblPr>
        <w:tblStyle w:val="TableGrid"/>
        <w:tblW w:w="0" w:type="auto"/>
        <w:jc w:val="center"/>
        <w:tblLook w:val="04A0" w:firstRow="1" w:lastRow="0" w:firstColumn="1" w:lastColumn="0" w:noHBand="0" w:noVBand="1"/>
      </w:tblPr>
      <w:tblGrid>
        <w:gridCol w:w="831"/>
        <w:gridCol w:w="2040"/>
        <w:gridCol w:w="1519"/>
      </w:tblGrid>
      <w:tr w:rsidR="00012003" w:rsidRPr="00DE07CE" w:rsidTr="000E4940">
        <w:trPr>
          <w:jc w:val="center"/>
        </w:trPr>
        <w:tc>
          <w:tcPr>
            <w:tcW w:w="831" w:type="dxa"/>
            <w:vAlign w:val="center"/>
          </w:tcPr>
          <w:p w:rsidR="00012003" w:rsidRPr="00DE07CE" w:rsidRDefault="00012003">
            <w:pPr>
              <w:pStyle w:val="Tablehead"/>
              <w:rPr>
                <w:rFonts w:asciiTheme="majorBidi" w:hAnsiTheme="majorBidi" w:cstheme="majorBidi"/>
              </w:rPr>
            </w:pPr>
            <w:r w:rsidRPr="00DE07CE">
              <w:rPr>
                <w:rFonts w:asciiTheme="majorBidi" w:hAnsiTheme="majorBidi" w:cstheme="majorBidi"/>
              </w:rPr>
              <w:t>Note</w:t>
            </w:r>
          </w:p>
        </w:tc>
        <w:tc>
          <w:tcPr>
            <w:tcW w:w="3559" w:type="dxa"/>
            <w:gridSpan w:val="2"/>
            <w:vAlign w:val="center"/>
          </w:tcPr>
          <w:p w:rsidR="00012003" w:rsidRPr="00DE07CE" w:rsidRDefault="00012003">
            <w:pPr>
              <w:pStyle w:val="Tablehead"/>
              <w:rPr>
                <w:rFonts w:asciiTheme="majorBidi" w:hAnsiTheme="majorBidi" w:cstheme="majorBidi"/>
              </w:rPr>
            </w:pPr>
            <w:r w:rsidRPr="00DE07CE">
              <w:rPr>
                <w:rFonts w:asciiTheme="majorBidi" w:hAnsiTheme="majorBidi" w:cstheme="majorBidi"/>
              </w:rPr>
              <w:t>Dégradation</w:t>
            </w:r>
          </w:p>
        </w:tc>
      </w:tr>
      <w:tr w:rsidR="00012003" w:rsidRPr="00DE07CE" w:rsidTr="000E4940">
        <w:trPr>
          <w:trHeight w:val="170"/>
          <w:jc w:val="center"/>
        </w:trPr>
        <w:tc>
          <w:tcPr>
            <w:tcW w:w="831" w:type="dxa"/>
            <w:vAlign w:val="center"/>
          </w:tcPr>
          <w:p w:rsidR="00012003" w:rsidRPr="00DE07CE" w:rsidRDefault="00012003">
            <w:pPr>
              <w:pStyle w:val="Tabletext"/>
              <w:jc w:val="center"/>
              <w:rPr>
                <w:rFonts w:asciiTheme="majorBidi" w:hAnsiTheme="majorBidi" w:cstheme="majorBidi"/>
              </w:rPr>
            </w:pPr>
            <w:r w:rsidRPr="00DE07CE">
              <w:rPr>
                <w:rFonts w:asciiTheme="majorBidi" w:hAnsiTheme="majorBidi" w:cstheme="majorBidi"/>
              </w:rPr>
              <w:t>10</w:t>
            </w:r>
          </w:p>
        </w:tc>
        <w:tc>
          <w:tcPr>
            <w:tcW w:w="2040" w:type="dxa"/>
            <w:vAlign w:val="center"/>
          </w:tcPr>
          <w:p w:rsidR="00012003" w:rsidRPr="00DE07CE" w:rsidRDefault="00012003">
            <w:pPr>
              <w:pStyle w:val="Tabletext"/>
              <w:rPr>
                <w:rFonts w:asciiTheme="majorBidi" w:hAnsiTheme="majorBidi" w:cstheme="majorBidi"/>
              </w:rPr>
            </w:pPr>
            <w:r w:rsidRPr="00DE07CE">
              <w:rPr>
                <w:rFonts w:asciiTheme="majorBidi" w:hAnsiTheme="majorBidi" w:cstheme="majorBidi"/>
              </w:rPr>
              <w:t>Imperceptible</w:t>
            </w:r>
          </w:p>
        </w:tc>
        <w:tc>
          <w:tcPr>
            <w:tcW w:w="1519" w:type="dxa"/>
            <w:vAlign w:val="center"/>
          </w:tcPr>
          <w:p w:rsidR="00012003" w:rsidRPr="00DE07CE" w:rsidRDefault="00012003">
            <w:pPr>
              <w:pStyle w:val="Tabletext"/>
              <w:rPr>
                <w:rFonts w:asciiTheme="majorBidi" w:hAnsiTheme="majorBidi" w:cstheme="majorBidi"/>
              </w:rPr>
            </w:pPr>
          </w:p>
        </w:tc>
      </w:tr>
      <w:tr w:rsidR="00012003" w:rsidRPr="00DE07CE" w:rsidTr="000E4940">
        <w:trPr>
          <w:trHeight w:val="170"/>
          <w:jc w:val="center"/>
        </w:trPr>
        <w:tc>
          <w:tcPr>
            <w:tcW w:w="831" w:type="dxa"/>
            <w:vAlign w:val="center"/>
          </w:tcPr>
          <w:p w:rsidR="00012003" w:rsidRPr="00DE07CE" w:rsidRDefault="00012003">
            <w:pPr>
              <w:pStyle w:val="Tabletext"/>
              <w:jc w:val="center"/>
              <w:rPr>
                <w:rFonts w:asciiTheme="majorBidi" w:hAnsiTheme="majorBidi" w:cstheme="majorBidi"/>
              </w:rPr>
            </w:pPr>
            <w:r w:rsidRPr="00DE07CE">
              <w:rPr>
                <w:rFonts w:asciiTheme="majorBidi" w:hAnsiTheme="majorBidi" w:cstheme="majorBidi"/>
              </w:rPr>
              <w:t>9</w:t>
            </w:r>
          </w:p>
        </w:tc>
        <w:tc>
          <w:tcPr>
            <w:tcW w:w="2040" w:type="dxa"/>
            <w:vMerge w:val="restart"/>
            <w:vAlign w:val="center"/>
          </w:tcPr>
          <w:p w:rsidR="00012003" w:rsidRPr="00DE07CE" w:rsidRDefault="00012003">
            <w:pPr>
              <w:pStyle w:val="Tabletext"/>
              <w:rPr>
                <w:rFonts w:asciiTheme="majorBidi" w:hAnsiTheme="majorBidi" w:cstheme="majorBidi"/>
              </w:rPr>
            </w:pPr>
            <w:r w:rsidRPr="00DE07CE">
              <w:rPr>
                <w:rFonts w:asciiTheme="majorBidi" w:hAnsiTheme="majorBidi" w:cstheme="majorBidi"/>
              </w:rPr>
              <w:t>Légèrement perceptible</w:t>
            </w:r>
          </w:p>
        </w:tc>
        <w:tc>
          <w:tcPr>
            <w:tcW w:w="1519" w:type="dxa"/>
            <w:vAlign w:val="center"/>
          </w:tcPr>
          <w:p w:rsidR="00012003" w:rsidRPr="00DE07CE" w:rsidRDefault="00012003">
            <w:pPr>
              <w:pStyle w:val="Tabletext"/>
              <w:rPr>
                <w:rFonts w:asciiTheme="majorBidi" w:hAnsiTheme="majorBidi" w:cstheme="majorBidi"/>
              </w:rPr>
            </w:pPr>
            <w:r>
              <w:rPr>
                <w:rFonts w:asciiTheme="majorBidi" w:hAnsiTheme="majorBidi" w:cstheme="majorBidi"/>
              </w:rPr>
              <w:t>A</w:t>
            </w:r>
            <w:r w:rsidRPr="00DE07CE">
              <w:rPr>
                <w:rFonts w:asciiTheme="majorBidi" w:hAnsiTheme="majorBidi" w:cstheme="majorBidi"/>
              </w:rPr>
              <w:t xml:space="preserve"> un endroit</w:t>
            </w:r>
          </w:p>
        </w:tc>
      </w:tr>
      <w:tr w:rsidR="00012003" w:rsidRPr="00DE07CE" w:rsidTr="000E4940">
        <w:trPr>
          <w:trHeight w:val="170"/>
          <w:jc w:val="center"/>
        </w:trPr>
        <w:tc>
          <w:tcPr>
            <w:tcW w:w="831" w:type="dxa"/>
            <w:vAlign w:val="center"/>
          </w:tcPr>
          <w:p w:rsidR="00012003" w:rsidRPr="00DE07CE" w:rsidRDefault="00012003">
            <w:pPr>
              <w:pStyle w:val="Tabletext"/>
              <w:jc w:val="center"/>
              <w:rPr>
                <w:rFonts w:asciiTheme="majorBidi" w:hAnsiTheme="majorBidi" w:cstheme="majorBidi"/>
              </w:rPr>
            </w:pPr>
            <w:r w:rsidRPr="00DE07CE">
              <w:rPr>
                <w:rFonts w:asciiTheme="majorBidi" w:hAnsiTheme="majorBidi" w:cstheme="majorBidi"/>
              </w:rPr>
              <w:t>8</w:t>
            </w:r>
          </w:p>
        </w:tc>
        <w:tc>
          <w:tcPr>
            <w:tcW w:w="2040" w:type="dxa"/>
            <w:vMerge/>
            <w:vAlign w:val="center"/>
          </w:tcPr>
          <w:p w:rsidR="00012003" w:rsidRPr="00DE07CE" w:rsidRDefault="00012003">
            <w:pPr>
              <w:pStyle w:val="Tabletext"/>
              <w:rPr>
                <w:rFonts w:asciiTheme="majorBidi" w:hAnsiTheme="majorBidi" w:cstheme="majorBidi"/>
              </w:rPr>
            </w:pPr>
          </w:p>
        </w:tc>
        <w:tc>
          <w:tcPr>
            <w:tcW w:w="1519" w:type="dxa"/>
            <w:vAlign w:val="center"/>
          </w:tcPr>
          <w:p w:rsidR="00012003" w:rsidRPr="00DE07CE" w:rsidRDefault="00012003">
            <w:pPr>
              <w:pStyle w:val="Tabletext"/>
              <w:rPr>
                <w:rFonts w:asciiTheme="majorBidi" w:hAnsiTheme="majorBidi" w:cstheme="majorBidi"/>
              </w:rPr>
            </w:pPr>
            <w:r w:rsidRPr="00DE07CE">
              <w:rPr>
                <w:rFonts w:asciiTheme="majorBidi" w:hAnsiTheme="majorBidi" w:cstheme="majorBidi"/>
              </w:rPr>
              <w:t>Partout</w:t>
            </w:r>
          </w:p>
        </w:tc>
      </w:tr>
      <w:tr w:rsidR="00012003" w:rsidRPr="00DE07CE" w:rsidTr="000E4940">
        <w:trPr>
          <w:trHeight w:val="170"/>
          <w:jc w:val="center"/>
        </w:trPr>
        <w:tc>
          <w:tcPr>
            <w:tcW w:w="831" w:type="dxa"/>
            <w:vAlign w:val="center"/>
          </w:tcPr>
          <w:p w:rsidR="00012003" w:rsidRPr="00DE07CE" w:rsidRDefault="00012003">
            <w:pPr>
              <w:pStyle w:val="Tabletext"/>
              <w:jc w:val="center"/>
              <w:rPr>
                <w:rFonts w:asciiTheme="majorBidi" w:hAnsiTheme="majorBidi" w:cstheme="majorBidi"/>
              </w:rPr>
            </w:pPr>
            <w:r w:rsidRPr="00DE07CE">
              <w:rPr>
                <w:rFonts w:asciiTheme="majorBidi" w:hAnsiTheme="majorBidi" w:cstheme="majorBidi"/>
              </w:rPr>
              <w:t>7</w:t>
            </w:r>
          </w:p>
        </w:tc>
        <w:tc>
          <w:tcPr>
            <w:tcW w:w="2040" w:type="dxa"/>
            <w:vMerge w:val="restart"/>
            <w:vAlign w:val="center"/>
          </w:tcPr>
          <w:p w:rsidR="00012003" w:rsidRPr="00DE07CE" w:rsidRDefault="00012003">
            <w:pPr>
              <w:pStyle w:val="Tabletext"/>
              <w:rPr>
                <w:rFonts w:asciiTheme="majorBidi" w:hAnsiTheme="majorBidi" w:cstheme="majorBidi"/>
              </w:rPr>
            </w:pPr>
            <w:r w:rsidRPr="00DE07CE">
              <w:rPr>
                <w:rFonts w:asciiTheme="majorBidi" w:hAnsiTheme="majorBidi" w:cstheme="majorBidi"/>
              </w:rPr>
              <w:t>Perceptible</w:t>
            </w:r>
          </w:p>
        </w:tc>
        <w:tc>
          <w:tcPr>
            <w:tcW w:w="1519" w:type="dxa"/>
            <w:vAlign w:val="center"/>
          </w:tcPr>
          <w:p w:rsidR="00012003" w:rsidRPr="00DE07CE" w:rsidRDefault="00012003">
            <w:pPr>
              <w:pStyle w:val="Tabletext"/>
              <w:rPr>
                <w:rFonts w:asciiTheme="majorBidi" w:hAnsiTheme="majorBidi" w:cstheme="majorBidi"/>
              </w:rPr>
            </w:pPr>
            <w:r>
              <w:rPr>
                <w:rFonts w:asciiTheme="majorBidi" w:hAnsiTheme="majorBidi" w:cstheme="majorBidi"/>
              </w:rPr>
              <w:t>A</w:t>
            </w:r>
            <w:r w:rsidRPr="00DE07CE">
              <w:rPr>
                <w:rFonts w:asciiTheme="majorBidi" w:hAnsiTheme="majorBidi" w:cstheme="majorBidi"/>
              </w:rPr>
              <w:t xml:space="preserve"> un endroit</w:t>
            </w:r>
          </w:p>
        </w:tc>
      </w:tr>
      <w:tr w:rsidR="00012003" w:rsidRPr="00DE07CE" w:rsidTr="000E4940">
        <w:trPr>
          <w:trHeight w:val="170"/>
          <w:jc w:val="center"/>
        </w:trPr>
        <w:tc>
          <w:tcPr>
            <w:tcW w:w="831" w:type="dxa"/>
            <w:vAlign w:val="center"/>
          </w:tcPr>
          <w:p w:rsidR="00012003" w:rsidRPr="00DE07CE" w:rsidRDefault="00012003">
            <w:pPr>
              <w:pStyle w:val="Tabletext"/>
              <w:jc w:val="center"/>
              <w:rPr>
                <w:rFonts w:asciiTheme="majorBidi" w:hAnsiTheme="majorBidi" w:cstheme="majorBidi"/>
              </w:rPr>
            </w:pPr>
            <w:r w:rsidRPr="00DE07CE">
              <w:rPr>
                <w:rFonts w:asciiTheme="majorBidi" w:hAnsiTheme="majorBidi" w:cstheme="majorBidi"/>
              </w:rPr>
              <w:t>6</w:t>
            </w:r>
          </w:p>
        </w:tc>
        <w:tc>
          <w:tcPr>
            <w:tcW w:w="2040" w:type="dxa"/>
            <w:vMerge/>
            <w:vAlign w:val="center"/>
          </w:tcPr>
          <w:p w:rsidR="00012003" w:rsidRPr="00DE07CE" w:rsidRDefault="00012003">
            <w:pPr>
              <w:pStyle w:val="Tabletext"/>
              <w:rPr>
                <w:rFonts w:asciiTheme="majorBidi" w:hAnsiTheme="majorBidi" w:cstheme="majorBidi"/>
              </w:rPr>
            </w:pPr>
          </w:p>
        </w:tc>
        <w:tc>
          <w:tcPr>
            <w:tcW w:w="1519" w:type="dxa"/>
            <w:vAlign w:val="center"/>
          </w:tcPr>
          <w:p w:rsidR="00012003" w:rsidRPr="00DE07CE" w:rsidRDefault="00012003">
            <w:pPr>
              <w:pStyle w:val="Tabletext"/>
              <w:rPr>
                <w:rFonts w:asciiTheme="majorBidi" w:hAnsiTheme="majorBidi" w:cstheme="majorBidi"/>
              </w:rPr>
            </w:pPr>
            <w:r w:rsidRPr="00DE07CE">
              <w:rPr>
                <w:rFonts w:asciiTheme="majorBidi" w:hAnsiTheme="majorBidi" w:cstheme="majorBidi"/>
              </w:rPr>
              <w:t>Partout</w:t>
            </w:r>
          </w:p>
        </w:tc>
      </w:tr>
      <w:tr w:rsidR="00012003" w:rsidRPr="00DE07CE" w:rsidTr="000E4940">
        <w:trPr>
          <w:trHeight w:val="170"/>
          <w:jc w:val="center"/>
        </w:trPr>
        <w:tc>
          <w:tcPr>
            <w:tcW w:w="831" w:type="dxa"/>
            <w:vAlign w:val="center"/>
          </w:tcPr>
          <w:p w:rsidR="00012003" w:rsidRPr="00DE07CE" w:rsidRDefault="00012003">
            <w:pPr>
              <w:pStyle w:val="Tabletext"/>
              <w:jc w:val="center"/>
              <w:rPr>
                <w:rFonts w:asciiTheme="majorBidi" w:hAnsiTheme="majorBidi" w:cstheme="majorBidi"/>
              </w:rPr>
            </w:pPr>
            <w:r w:rsidRPr="00DE07CE">
              <w:rPr>
                <w:rFonts w:asciiTheme="majorBidi" w:hAnsiTheme="majorBidi" w:cstheme="majorBidi"/>
              </w:rPr>
              <w:t>5</w:t>
            </w:r>
          </w:p>
        </w:tc>
        <w:tc>
          <w:tcPr>
            <w:tcW w:w="2040" w:type="dxa"/>
            <w:vMerge w:val="restart"/>
            <w:vAlign w:val="center"/>
          </w:tcPr>
          <w:p w:rsidR="00012003" w:rsidRPr="00DE07CE" w:rsidRDefault="00012003">
            <w:pPr>
              <w:pStyle w:val="Tabletext"/>
              <w:rPr>
                <w:rFonts w:asciiTheme="majorBidi" w:hAnsiTheme="majorBidi" w:cstheme="majorBidi"/>
              </w:rPr>
            </w:pPr>
            <w:r w:rsidRPr="00DE07CE">
              <w:rPr>
                <w:rFonts w:asciiTheme="majorBidi" w:hAnsiTheme="majorBidi" w:cstheme="majorBidi"/>
              </w:rPr>
              <w:t>Clairement perceptible</w:t>
            </w:r>
          </w:p>
        </w:tc>
        <w:tc>
          <w:tcPr>
            <w:tcW w:w="1519" w:type="dxa"/>
            <w:vAlign w:val="center"/>
          </w:tcPr>
          <w:p w:rsidR="00012003" w:rsidRPr="00DE07CE" w:rsidRDefault="00012003">
            <w:pPr>
              <w:pStyle w:val="Tabletext"/>
              <w:rPr>
                <w:rFonts w:asciiTheme="majorBidi" w:hAnsiTheme="majorBidi" w:cstheme="majorBidi"/>
              </w:rPr>
            </w:pPr>
            <w:r>
              <w:rPr>
                <w:rFonts w:asciiTheme="majorBidi" w:hAnsiTheme="majorBidi" w:cstheme="majorBidi"/>
              </w:rPr>
              <w:t>A</w:t>
            </w:r>
            <w:r w:rsidRPr="00DE07CE">
              <w:rPr>
                <w:rFonts w:asciiTheme="majorBidi" w:hAnsiTheme="majorBidi" w:cstheme="majorBidi"/>
              </w:rPr>
              <w:t xml:space="preserve"> un endroit</w:t>
            </w:r>
          </w:p>
        </w:tc>
      </w:tr>
      <w:tr w:rsidR="00012003" w:rsidRPr="00DE07CE" w:rsidTr="000E4940">
        <w:trPr>
          <w:trHeight w:val="170"/>
          <w:jc w:val="center"/>
        </w:trPr>
        <w:tc>
          <w:tcPr>
            <w:tcW w:w="831" w:type="dxa"/>
            <w:vAlign w:val="center"/>
          </w:tcPr>
          <w:p w:rsidR="00012003" w:rsidRPr="00DE07CE" w:rsidRDefault="00012003">
            <w:pPr>
              <w:pStyle w:val="Tabletext"/>
              <w:jc w:val="center"/>
              <w:rPr>
                <w:rFonts w:asciiTheme="majorBidi" w:hAnsiTheme="majorBidi" w:cstheme="majorBidi"/>
              </w:rPr>
            </w:pPr>
            <w:r w:rsidRPr="00DE07CE">
              <w:rPr>
                <w:rFonts w:asciiTheme="majorBidi" w:hAnsiTheme="majorBidi" w:cstheme="majorBidi"/>
              </w:rPr>
              <w:t>4</w:t>
            </w:r>
          </w:p>
        </w:tc>
        <w:tc>
          <w:tcPr>
            <w:tcW w:w="2040" w:type="dxa"/>
            <w:vMerge/>
            <w:vAlign w:val="center"/>
          </w:tcPr>
          <w:p w:rsidR="00012003" w:rsidRPr="00DE07CE" w:rsidRDefault="00012003">
            <w:pPr>
              <w:pStyle w:val="Tabletext"/>
              <w:rPr>
                <w:rFonts w:asciiTheme="majorBidi" w:hAnsiTheme="majorBidi" w:cstheme="majorBidi"/>
              </w:rPr>
            </w:pPr>
          </w:p>
        </w:tc>
        <w:tc>
          <w:tcPr>
            <w:tcW w:w="1519" w:type="dxa"/>
            <w:vAlign w:val="center"/>
          </w:tcPr>
          <w:p w:rsidR="00012003" w:rsidRPr="00DE07CE" w:rsidRDefault="00012003">
            <w:pPr>
              <w:pStyle w:val="Tabletext"/>
              <w:rPr>
                <w:rFonts w:asciiTheme="majorBidi" w:hAnsiTheme="majorBidi" w:cstheme="majorBidi"/>
              </w:rPr>
            </w:pPr>
            <w:r w:rsidRPr="00DE07CE">
              <w:rPr>
                <w:rFonts w:asciiTheme="majorBidi" w:hAnsiTheme="majorBidi" w:cstheme="majorBidi"/>
              </w:rPr>
              <w:t>Partout</w:t>
            </w:r>
          </w:p>
        </w:tc>
      </w:tr>
      <w:tr w:rsidR="00012003" w:rsidRPr="00DE07CE" w:rsidTr="000E4940">
        <w:trPr>
          <w:trHeight w:val="170"/>
          <w:jc w:val="center"/>
        </w:trPr>
        <w:tc>
          <w:tcPr>
            <w:tcW w:w="831" w:type="dxa"/>
            <w:vAlign w:val="center"/>
          </w:tcPr>
          <w:p w:rsidR="00012003" w:rsidRPr="00DE07CE" w:rsidRDefault="00012003">
            <w:pPr>
              <w:pStyle w:val="Tabletext"/>
              <w:jc w:val="center"/>
              <w:rPr>
                <w:rFonts w:asciiTheme="majorBidi" w:hAnsiTheme="majorBidi" w:cstheme="majorBidi"/>
              </w:rPr>
            </w:pPr>
            <w:r w:rsidRPr="00DE07CE">
              <w:rPr>
                <w:rFonts w:asciiTheme="majorBidi" w:hAnsiTheme="majorBidi" w:cstheme="majorBidi"/>
              </w:rPr>
              <w:t>3</w:t>
            </w:r>
          </w:p>
        </w:tc>
        <w:tc>
          <w:tcPr>
            <w:tcW w:w="2040" w:type="dxa"/>
            <w:vMerge w:val="restart"/>
            <w:vAlign w:val="center"/>
          </w:tcPr>
          <w:p w:rsidR="00012003" w:rsidRPr="00DE07CE" w:rsidRDefault="00012003">
            <w:pPr>
              <w:pStyle w:val="Tabletext"/>
              <w:rPr>
                <w:rFonts w:asciiTheme="majorBidi" w:hAnsiTheme="majorBidi" w:cstheme="majorBidi"/>
              </w:rPr>
            </w:pPr>
            <w:r w:rsidRPr="00DE07CE">
              <w:rPr>
                <w:rFonts w:asciiTheme="majorBidi" w:hAnsiTheme="majorBidi" w:cstheme="majorBidi"/>
              </w:rPr>
              <w:t>Gênante</w:t>
            </w:r>
          </w:p>
        </w:tc>
        <w:tc>
          <w:tcPr>
            <w:tcW w:w="1519" w:type="dxa"/>
            <w:vAlign w:val="center"/>
          </w:tcPr>
          <w:p w:rsidR="00012003" w:rsidRPr="00DE07CE" w:rsidRDefault="00012003">
            <w:pPr>
              <w:pStyle w:val="Tabletext"/>
              <w:rPr>
                <w:rFonts w:asciiTheme="majorBidi" w:hAnsiTheme="majorBidi" w:cstheme="majorBidi"/>
              </w:rPr>
            </w:pPr>
            <w:r>
              <w:rPr>
                <w:rFonts w:asciiTheme="majorBidi" w:hAnsiTheme="majorBidi" w:cstheme="majorBidi"/>
              </w:rPr>
              <w:t>A</w:t>
            </w:r>
            <w:r w:rsidRPr="00DE07CE">
              <w:rPr>
                <w:rFonts w:asciiTheme="majorBidi" w:hAnsiTheme="majorBidi" w:cstheme="majorBidi"/>
              </w:rPr>
              <w:t xml:space="preserve"> un endroit</w:t>
            </w:r>
          </w:p>
        </w:tc>
      </w:tr>
      <w:tr w:rsidR="00012003" w:rsidRPr="00DE07CE" w:rsidTr="000E4940">
        <w:trPr>
          <w:trHeight w:val="170"/>
          <w:jc w:val="center"/>
        </w:trPr>
        <w:tc>
          <w:tcPr>
            <w:tcW w:w="831" w:type="dxa"/>
            <w:vAlign w:val="center"/>
          </w:tcPr>
          <w:p w:rsidR="00012003" w:rsidRPr="00DE07CE" w:rsidRDefault="00012003">
            <w:pPr>
              <w:pStyle w:val="Tabletext"/>
              <w:jc w:val="center"/>
              <w:rPr>
                <w:rFonts w:asciiTheme="majorBidi" w:hAnsiTheme="majorBidi" w:cstheme="majorBidi"/>
              </w:rPr>
            </w:pPr>
            <w:r w:rsidRPr="00DE07CE">
              <w:rPr>
                <w:rFonts w:asciiTheme="majorBidi" w:hAnsiTheme="majorBidi" w:cstheme="majorBidi"/>
              </w:rPr>
              <w:t>2</w:t>
            </w:r>
          </w:p>
        </w:tc>
        <w:tc>
          <w:tcPr>
            <w:tcW w:w="2040" w:type="dxa"/>
            <w:vMerge/>
            <w:vAlign w:val="center"/>
          </w:tcPr>
          <w:p w:rsidR="00012003" w:rsidRPr="00DE07CE" w:rsidRDefault="00012003">
            <w:pPr>
              <w:pStyle w:val="Tabletext"/>
              <w:rPr>
                <w:rFonts w:asciiTheme="majorBidi" w:hAnsiTheme="majorBidi" w:cstheme="majorBidi"/>
              </w:rPr>
            </w:pPr>
          </w:p>
        </w:tc>
        <w:tc>
          <w:tcPr>
            <w:tcW w:w="1519" w:type="dxa"/>
            <w:vAlign w:val="center"/>
          </w:tcPr>
          <w:p w:rsidR="00012003" w:rsidRPr="00DE07CE" w:rsidRDefault="00012003">
            <w:pPr>
              <w:pStyle w:val="Tabletext"/>
              <w:rPr>
                <w:rFonts w:asciiTheme="majorBidi" w:hAnsiTheme="majorBidi" w:cstheme="majorBidi"/>
              </w:rPr>
            </w:pPr>
            <w:r w:rsidRPr="00DE07CE">
              <w:rPr>
                <w:rFonts w:asciiTheme="majorBidi" w:hAnsiTheme="majorBidi" w:cstheme="majorBidi"/>
              </w:rPr>
              <w:t>Partout</w:t>
            </w:r>
          </w:p>
        </w:tc>
      </w:tr>
      <w:tr w:rsidR="00012003" w:rsidRPr="00DE07CE" w:rsidTr="000E4940">
        <w:trPr>
          <w:trHeight w:val="170"/>
          <w:jc w:val="center"/>
        </w:trPr>
        <w:tc>
          <w:tcPr>
            <w:tcW w:w="831" w:type="dxa"/>
            <w:vAlign w:val="center"/>
          </w:tcPr>
          <w:p w:rsidR="00012003" w:rsidRPr="00DE07CE" w:rsidRDefault="00012003">
            <w:pPr>
              <w:pStyle w:val="Tabletext"/>
              <w:jc w:val="center"/>
              <w:rPr>
                <w:rFonts w:asciiTheme="majorBidi" w:hAnsiTheme="majorBidi" w:cstheme="majorBidi"/>
              </w:rPr>
            </w:pPr>
            <w:r w:rsidRPr="00DE07CE">
              <w:rPr>
                <w:rFonts w:asciiTheme="majorBidi" w:hAnsiTheme="majorBidi" w:cstheme="majorBidi"/>
              </w:rPr>
              <w:t>1</w:t>
            </w:r>
          </w:p>
        </w:tc>
        <w:tc>
          <w:tcPr>
            <w:tcW w:w="2040" w:type="dxa"/>
            <w:vMerge w:val="restart"/>
            <w:vAlign w:val="center"/>
          </w:tcPr>
          <w:p w:rsidR="00012003" w:rsidRPr="00DE07CE" w:rsidRDefault="00012003">
            <w:pPr>
              <w:pStyle w:val="Tabletext"/>
              <w:rPr>
                <w:rFonts w:asciiTheme="majorBidi" w:hAnsiTheme="majorBidi" w:cstheme="majorBidi"/>
              </w:rPr>
            </w:pPr>
            <w:r w:rsidRPr="00DE07CE">
              <w:rPr>
                <w:rFonts w:asciiTheme="majorBidi" w:hAnsiTheme="majorBidi" w:cstheme="majorBidi"/>
              </w:rPr>
              <w:t>Extrêmement gênante</w:t>
            </w:r>
          </w:p>
        </w:tc>
        <w:tc>
          <w:tcPr>
            <w:tcW w:w="1519" w:type="dxa"/>
            <w:vAlign w:val="center"/>
          </w:tcPr>
          <w:p w:rsidR="00012003" w:rsidRPr="00DE07CE" w:rsidRDefault="00012003">
            <w:pPr>
              <w:pStyle w:val="Tabletext"/>
              <w:rPr>
                <w:rFonts w:asciiTheme="majorBidi" w:hAnsiTheme="majorBidi" w:cstheme="majorBidi"/>
              </w:rPr>
            </w:pPr>
            <w:r>
              <w:rPr>
                <w:rFonts w:asciiTheme="majorBidi" w:hAnsiTheme="majorBidi" w:cstheme="majorBidi"/>
              </w:rPr>
              <w:t>A</w:t>
            </w:r>
            <w:r w:rsidRPr="00DE07CE">
              <w:rPr>
                <w:rFonts w:asciiTheme="majorBidi" w:hAnsiTheme="majorBidi" w:cstheme="majorBidi"/>
              </w:rPr>
              <w:t xml:space="preserve"> un endroit</w:t>
            </w:r>
          </w:p>
        </w:tc>
      </w:tr>
      <w:tr w:rsidR="00012003" w:rsidRPr="00DE07CE" w:rsidTr="000E4940">
        <w:trPr>
          <w:trHeight w:val="170"/>
          <w:jc w:val="center"/>
        </w:trPr>
        <w:tc>
          <w:tcPr>
            <w:tcW w:w="831" w:type="dxa"/>
            <w:vAlign w:val="center"/>
          </w:tcPr>
          <w:p w:rsidR="00012003" w:rsidRPr="00DE07CE" w:rsidRDefault="00012003">
            <w:pPr>
              <w:pStyle w:val="Tabletext"/>
              <w:jc w:val="center"/>
              <w:rPr>
                <w:rFonts w:asciiTheme="majorBidi" w:hAnsiTheme="majorBidi" w:cstheme="majorBidi"/>
              </w:rPr>
            </w:pPr>
            <w:r w:rsidRPr="00DE07CE">
              <w:rPr>
                <w:rFonts w:asciiTheme="majorBidi" w:hAnsiTheme="majorBidi" w:cstheme="majorBidi"/>
              </w:rPr>
              <w:t>0</w:t>
            </w:r>
          </w:p>
        </w:tc>
        <w:tc>
          <w:tcPr>
            <w:tcW w:w="2040" w:type="dxa"/>
            <w:vMerge/>
            <w:vAlign w:val="center"/>
          </w:tcPr>
          <w:p w:rsidR="00012003" w:rsidRPr="00DE07CE" w:rsidRDefault="00012003">
            <w:pPr>
              <w:pStyle w:val="Tabletext"/>
              <w:rPr>
                <w:rFonts w:asciiTheme="majorBidi" w:hAnsiTheme="majorBidi" w:cstheme="majorBidi"/>
              </w:rPr>
            </w:pPr>
          </w:p>
        </w:tc>
        <w:tc>
          <w:tcPr>
            <w:tcW w:w="1519" w:type="dxa"/>
            <w:vAlign w:val="center"/>
          </w:tcPr>
          <w:p w:rsidR="00012003" w:rsidRPr="00DE07CE" w:rsidRDefault="00012003">
            <w:pPr>
              <w:pStyle w:val="Tabletext"/>
              <w:rPr>
                <w:rFonts w:asciiTheme="majorBidi" w:hAnsiTheme="majorBidi" w:cstheme="majorBidi"/>
              </w:rPr>
            </w:pPr>
            <w:r w:rsidRPr="00DE07CE">
              <w:rPr>
                <w:rFonts w:asciiTheme="majorBidi" w:hAnsiTheme="majorBidi" w:cstheme="majorBidi"/>
              </w:rPr>
              <w:t>Partout</w:t>
            </w:r>
          </w:p>
        </w:tc>
      </w:tr>
    </w:tbl>
    <w:p w:rsidR="001B7F53" w:rsidRDefault="001B7F53" w:rsidP="001B7F53">
      <w:pPr>
        <w:pStyle w:val="Tablefin"/>
      </w:pPr>
    </w:p>
    <w:p w:rsidR="00012003" w:rsidRPr="00DE07CE" w:rsidRDefault="00012003">
      <w:pPr>
        <w:pStyle w:val="Normalaftertitle1"/>
        <w:jc w:val="both"/>
      </w:pPr>
      <w:r w:rsidRPr="00DE07CE">
        <w:t>Il est demandé aux observateurs de remplir un questi</w:t>
      </w:r>
      <w:r w:rsidR="00255A5C">
        <w:t xml:space="preserve">onnaire comprenant deux cases </w:t>
      </w:r>
      <w:proofErr w:type="gramStart"/>
      <w:r w:rsidR="00255A5C">
        <w:t>(«A</w:t>
      </w:r>
      <w:proofErr w:type="gramEnd"/>
      <w:r w:rsidR="00255A5C">
        <w:t>» et «B»</w:t>
      </w:r>
      <w:r w:rsidRPr="00DE07CE">
        <w:t>) pour chaque cellule BTC, en indiquant dans chacune de ces deux cases une note choisie selon l</w:t>
      </w:r>
      <w:r w:rsidR="00101F61">
        <w:t>'</w:t>
      </w:r>
      <w:r w:rsidRPr="00DE07CE">
        <w:t>échelle numérique à 11 niveaux.</w:t>
      </w:r>
    </w:p>
    <w:p w:rsidR="00012003" w:rsidRPr="00DE07CE" w:rsidRDefault="00012003">
      <w:pPr>
        <w:jc w:val="both"/>
        <w:rPr>
          <w:szCs w:val="24"/>
        </w:rPr>
      </w:pPr>
      <w:r w:rsidRPr="00DE07CE">
        <w:rPr>
          <w:szCs w:val="24"/>
        </w:rPr>
        <w:t>La Figure 2 donne un exemple de feuille de notation pour une session comprenant 24 cellules BTC.</w:t>
      </w:r>
    </w:p>
    <w:p w:rsidR="00012003" w:rsidRPr="00DE07CE" w:rsidRDefault="00012003">
      <w:pPr>
        <w:jc w:val="both"/>
        <w:rPr>
          <w:szCs w:val="24"/>
        </w:rPr>
      </w:pPr>
      <w:r w:rsidRPr="00DE07CE">
        <w:rPr>
          <w:szCs w:val="24"/>
        </w:rPr>
        <w:lastRenderedPageBreak/>
        <w:t xml:space="preserve">Pour chaque cellule BTC, les observateurs remplissent la case identifiée par la lettre </w:t>
      </w:r>
      <w:r w:rsidRPr="00DE07CE">
        <w:rPr>
          <w:b/>
          <w:bCs/>
          <w:szCs w:val="24"/>
        </w:rPr>
        <w:t>A</w:t>
      </w:r>
      <w:r w:rsidRPr="00DE07CE">
        <w:rPr>
          <w:szCs w:val="24"/>
        </w:rPr>
        <w:t xml:space="preserve"> (pour noter l</w:t>
      </w:r>
      <w:r w:rsidR="00101F61">
        <w:rPr>
          <w:szCs w:val="24"/>
        </w:rPr>
        <w:t>'</w:t>
      </w:r>
      <w:r w:rsidRPr="00DE07CE">
        <w:rPr>
          <w:szCs w:val="24"/>
        </w:rPr>
        <w:t xml:space="preserve">extrait vidéo apparaissant en premier) et la case identifiée par la lettre </w:t>
      </w:r>
      <w:r w:rsidRPr="00DE07CE">
        <w:rPr>
          <w:b/>
          <w:bCs/>
          <w:szCs w:val="24"/>
        </w:rPr>
        <w:t>B</w:t>
      </w:r>
      <w:r w:rsidRPr="00DE07CE">
        <w:rPr>
          <w:szCs w:val="24"/>
        </w:rPr>
        <w:t xml:space="preserve"> (pour noter l</w:t>
      </w:r>
      <w:r w:rsidR="00101F61">
        <w:rPr>
          <w:szCs w:val="24"/>
        </w:rPr>
        <w:t>'</w:t>
      </w:r>
      <w:r w:rsidRPr="00DE07CE">
        <w:rPr>
          <w:szCs w:val="24"/>
        </w:rPr>
        <w:t>extrait vidéo apparaissant en deuxième).</w:t>
      </w:r>
    </w:p>
    <w:p w:rsidR="00012003" w:rsidRPr="00DE07CE" w:rsidRDefault="00012003">
      <w:pPr>
        <w:jc w:val="both"/>
        <w:rPr>
          <w:szCs w:val="24"/>
        </w:rPr>
      </w:pPr>
      <w:r w:rsidRPr="00DE07CE">
        <w:rPr>
          <w:szCs w:val="24"/>
        </w:rPr>
        <w:t>La présentation de l</w:t>
      </w:r>
      <w:r w:rsidR="00101F61">
        <w:rPr>
          <w:szCs w:val="24"/>
        </w:rPr>
        <w:t>'</w:t>
      </w:r>
      <w:r w:rsidRPr="00DE07CE">
        <w:rPr>
          <w:szCs w:val="24"/>
        </w:rPr>
        <w:t>extrait vidéo original non altéré permet aux spécialistes d</w:t>
      </w:r>
      <w:r w:rsidR="00101F61">
        <w:rPr>
          <w:szCs w:val="24"/>
        </w:rPr>
        <w:t>'</w:t>
      </w:r>
      <w:r w:rsidRPr="00DE07CE">
        <w:rPr>
          <w:szCs w:val="24"/>
        </w:rPr>
        <w:t>évaluer plus facilement les éventuelles dégradations.</w:t>
      </w:r>
    </w:p>
    <w:p w:rsidR="00012003" w:rsidRPr="00DE07CE" w:rsidRDefault="00012003">
      <w:pPr>
        <w:jc w:val="both"/>
        <w:rPr>
          <w:szCs w:val="24"/>
        </w:rPr>
      </w:pPr>
      <w:r w:rsidRPr="00DE07CE">
        <w:rPr>
          <w:szCs w:val="24"/>
        </w:rPr>
        <w:t>La signification des 11 niveaux de l</w:t>
      </w:r>
      <w:r w:rsidR="00101F61">
        <w:rPr>
          <w:szCs w:val="24"/>
        </w:rPr>
        <w:t>'</w:t>
      </w:r>
      <w:r w:rsidRPr="00DE07CE">
        <w:rPr>
          <w:szCs w:val="24"/>
        </w:rPr>
        <w:t>échelle numérique devrait être expliquée en détail lors de «sessions de formation», comme indiqué ci-après.</w:t>
      </w:r>
    </w:p>
    <w:p w:rsidR="00012003" w:rsidRPr="00DE07CE" w:rsidRDefault="00012003">
      <w:pPr>
        <w:pStyle w:val="Heading2"/>
      </w:pPr>
      <w:r w:rsidRPr="00DE07CE">
        <w:t>3.2</w:t>
      </w:r>
      <w:r w:rsidRPr="00DE07CE">
        <w:tab/>
        <w:t>Conception du test et création d</w:t>
      </w:r>
      <w:r w:rsidR="00101F61">
        <w:t>'</w:t>
      </w:r>
      <w:r w:rsidRPr="00DE07CE">
        <w:t>une session</w:t>
      </w:r>
    </w:p>
    <w:p w:rsidR="00012003" w:rsidRPr="00DE07CE" w:rsidRDefault="00012003">
      <w:pPr>
        <w:jc w:val="both"/>
        <w:rPr>
          <w:szCs w:val="24"/>
        </w:rPr>
      </w:pPr>
      <w:r w:rsidRPr="00DE07CE">
        <w:rPr>
          <w:szCs w:val="24"/>
        </w:rPr>
        <w:t>L</w:t>
      </w:r>
      <w:r w:rsidR="00101F61">
        <w:rPr>
          <w:szCs w:val="24"/>
        </w:rPr>
        <w:t>'</w:t>
      </w:r>
      <w:r w:rsidRPr="00DE07CE">
        <w:rPr>
          <w:szCs w:val="24"/>
        </w:rPr>
        <w:t>ordre de présentation des cellules BTC devrait être fixé de manière aléatoire par le concepteur du test, de telle sorte que le même extrait vidéo ou le même extrait altéré ne soit pas présenté deux fois de suite.</w:t>
      </w:r>
    </w:p>
    <w:p w:rsidR="00012003" w:rsidRPr="00DE07CE" w:rsidRDefault="00012003">
      <w:pPr>
        <w:jc w:val="both"/>
        <w:rPr>
          <w:szCs w:val="24"/>
        </w:rPr>
      </w:pPr>
      <w:r w:rsidRPr="00DE07CE">
        <w:rPr>
          <w:szCs w:val="24"/>
        </w:rPr>
        <w:t>Toutes les sessions d</w:t>
      </w:r>
      <w:r w:rsidR="00101F61">
        <w:rPr>
          <w:szCs w:val="24"/>
        </w:rPr>
        <w:t>'</w:t>
      </w:r>
      <w:r w:rsidRPr="00DE07CE">
        <w:rPr>
          <w:szCs w:val="24"/>
        </w:rPr>
        <w:t xml:space="preserve">observation devraient commencer par une «phase de stabilisation» comprenant la «meilleure» cellule BTC, la pire cellule BTC et deux cellules BTC de </w:t>
      </w:r>
      <w:r>
        <w:rPr>
          <w:szCs w:val="24"/>
        </w:rPr>
        <w:t>«</w:t>
      </w:r>
      <w:r w:rsidRPr="00DE07CE">
        <w:rPr>
          <w:szCs w:val="24"/>
        </w:rPr>
        <w:t>qualité moyenne</w:t>
      </w:r>
      <w:r>
        <w:rPr>
          <w:szCs w:val="24"/>
        </w:rPr>
        <w:t>»</w:t>
      </w:r>
      <w:r w:rsidRPr="00DE07CE">
        <w:rPr>
          <w:szCs w:val="24"/>
        </w:rPr>
        <w:t xml:space="preserve"> figurant dans chaque session de test. Les observateurs auront ainsi immédiatement un aperçu des différentes qualités, dès le début de la session.</w:t>
      </w:r>
    </w:p>
    <w:p w:rsidR="00012003" w:rsidRPr="00DE07CE" w:rsidRDefault="00012003">
      <w:pPr>
        <w:jc w:val="both"/>
        <w:rPr>
          <w:szCs w:val="24"/>
        </w:rPr>
      </w:pPr>
      <w:r w:rsidRPr="00DE07CE">
        <w:rPr>
          <w:szCs w:val="24"/>
        </w:rPr>
        <w:t>Si la session d</w:t>
      </w:r>
      <w:r w:rsidR="00101F61">
        <w:rPr>
          <w:szCs w:val="24"/>
        </w:rPr>
        <w:t>'</w:t>
      </w:r>
      <w:r w:rsidRPr="00DE07CE">
        <w:rPr>
          <w:szCs w:val="24"/>
        </w:rPr>
        <w:t>observation dure plus de 20 minutes, le concepteur du test devrait la scinder en deux (ou plus) se</w:t>
      </w:r>
      <w:r>
        <w:rPr>
          <w:szCs w:val="24"/>
        </w:rPr>
        <w:t>ssions d</w:t>
      </w:r>
      <w:r w:rsidR="00101F61">
        <w:rPr>
          <w:szCs w:val="24"/>
        </w:rPr>
        <w:t>'</w:t>
      </w:r>
      <w:r>
        <w:rPr>
          <w:szCs w:val="24"/>
        </w:rPr>
        <w:t>observation séparées, n</w:t>
      </w:r>
      <w:r w:rsidRPr="00DE07CE">
        <w:rPr>
          <w:szCs w:val="24"/>
        </w:rPr>
        <w:t xml:space="preserve">e dépassant pas 20 minutes chacune. Dans ce cas, </w:t>
      </w:r>
      <w:r>
        <w:rPr>
          <w:szCs w:val="24"/>
        </w:rPr>
        <w:t xml:space="preserve">il devrait y avoir une </w:t>
      </w:r>
      <w:r w:rsidRPr="00DE07CE">
        <w:rPr>
          <w:szCs w:val="24"/>
        </w:rPr>
        <w:t>«phase de stabilisation» avant chaque session.</w:t>
      </w:r>
    </w:p>
    <w:p w:rsidR="00012003" w:rsidRPr="00DE07CE" w:rsidRDefault="00012003">
      <w:pPr>
        <w:pStyle w:val="Heading2"/>
      </w:pPr>
      <w:r w:rsidRPr="00DE07CE">
        <w:t>3.3</w:t>
      </w:r>
      <w:r w:rsidRPr="00DE07CE">
        <w:tab/>
        <w:t>Formation</w:t>
      </w:r>
    </w:p>
    <w:p w:rsidR="00012003" w:rsidRPr="00DE07CE" w:rsidRDefault="00012003">
      <w:pPr>
        <w:jc w:val="both"/>
        <w:rPr>
          <w:szCs w:val="24"/>
        </w:rPr>
      </w:pPr>
      <w:r w:rsidRPr="00DE07CE">
        <w:rPr>
          <w:szCs w:val="24"/>
        </w:rPr>
        <w:t>Même si cette procédure s</w:t>
      </w:r>
      <w:r w:rsidR="00101F61">
        <w:rPr>
          <w:szCs w:val="24"/>
        </w:rPr>
        <w:t>'</w:t>
      </w:r>
      <w:r w:rsidRPr="00DE07CE">
        <w:rPr>
          <w:szCs w:val="24"/>
        </w:rPr>
        <w:t>adresse à des spécialistes, il est préférable d</w:t>
      </w:r>
      <w:r w:rsidR="00101F61">
        <w:rPr>
          <w:szCs w:val="24"/>
        </w:rPr>
        <w:t>'</w:t>
      </w:r>
      <w:r w:rsidRPr="00DE07CE">
        <w:rPr>
          <w:szCs w:val="24"/>
        </w:rPr>
        <w:t>organiser une courte session d</w:t>
      </w:r>
      <w:r w:rsidR="00101F61">
        <w:rPr>
          <w:szCs w:val="24"/>
        </w:rPr>
        <w:t>'</w:t>
      </w:r>
      <w:r w:rsidRPr="00DE07CE">
        <w:rPr>
          <w:szCs w:val="24"/>
        </w:rPr>
        <w:t>observation de formation (5 à 6 cellules BTC) avant chaque expérience.</w:t>
      </w:r>
    </w:p>
    <w:p w:rsidR="00012003" w:rsidRPr="00DE07CE" w:rsidRDefault="00012003">
      <w:pPr>
        <w:jc w:val="both"/>
        <w:rPr>
          <w:szCs w:val="24"/>
        </w:rPr>
      </w:pPr>
      <w:r w:rsidRPr="00DE07CE">
        <w:rPr>
          <w:szCs w:val="24"/>
        </w:rPr>
        <w:t>Les séquences vidéo utilisées pour la session de formation pourront être les mêmes que celles utilisées pour les véritables sessions, mais l</w:t>
      </w:r>
      <w:r w:rsidR="00101F61">
        <w:rPr>
          <w:szCs w:val="24"/>
        </w:rPr>
        <w:t>'</w:t>
      </w:r>
      <w:r w:rsidRPr="00DE07CE">
        <w:rPr>
          <w:szCs w:val="24"/>
        </w:rPr>
        <w:t>ordre de présentation devrait être différent.</w:t>
      </w:r>
    </w:p>
    <w:p w:rsidR="00012003" w:rsidRPr="00DE07CE" w:rsidRDefault="00012003">
      <w:pPr>
        <w:jc w:val="both"/>
        <w:rPr>
          <w:szCs w:val="24"/>
        </w:rPr>
      </w:pPr>
      <w:r w:rsidRPr="00DE07CE">
        <w:rPr>
          <w:szCs w:val="24"/>
        </w:rPr>
        <w:t>Il convient de former les observateurs à l</w:t>
      </w:r>
      <w:r w:rsidR="00101F61">
        <w:rPr>
          <w:szCs w:val="24"/>
        </w:rPr>
        <w:t>'</w:t>
      </w:r>
      <w:r w:rsidRPr="00DE07CE">
        <w:rPr>
          <w:szCs w:val="24"/>
        </w:rPr>
        <w:t>utilisation de l</w:t>
      </w:r>
      <w:r w:rsidR="00101F61">
        <w:rPr>
          <w:szCs w:val="24"/>
        </w:rPr>
        <w:t>'</w:t>
      </w:r>
      <w:r w:rsidRPr="00DE07CE">
        <w:rPr>
          <w:szCs w:val="24"/>
        </w:rPr>
        <w:t>échelle à 11 niveaux en leur demandant de regarder attentivement les extraits vidéo diffusés immédiatement après les messages «A» et «B» sur l</w:t>
      </w:r>
      <w:r w:rsidR="00101F61">
        <w:rPr>
          <w:szCs w:val="24"/>
        </w:rPr>
        <w:t>'</w:t>
      </w:r>
      <w:r w:rsidRPr="00DE07CE">
        <w:rPr>
          <w:szCs w:val="24"/>
        </w:rPr>
        <w:t>écran et de déterminer s</w:t>
      </w:r>
      <w:r w:rsidR="00101F61">
        <w:rPr>
          <w:szCs w:val="24"/>
        </w:rPr>
        <w:t>'</w:t>
      </w:r>
      <w:r w:rsidRPr="00DE07CE">
        <w:rPr>
          <w:szCs w:val="24"/>
        </w:rPr>
        <w:t>ils peuvent voir une différence par rapport à l</w:t>
      </w:r>
      <w:r w:rsidR="00101F61">
        <w:rPr>
          <w:szCs w:val="24"/>
        </w:rPr>
        <w:t>'</w:t>
      </w:r>
      <w:r w:rsidRPr="00DE07CE">
        <w:rPr>
          <w:szCs w:val="24"/>
        </w:rPr>
        <w:t>extrait vidéo diffusé en premier (la séquence SRC).</w:t>
      </w:r>
    </w:p>
    <w:p w:rsidR="00012003" w:rsidRPr="00DE07CE" w:rsidRDefault="00012003">
      <w:pPr>
        <w:pStyle w:val="Heading1"/>
      </w:pPr>
      <w:r w:rsidRPr="00DE07CE">
        <w:t>4</w:t>
      </w:r>
      <w:r w:rsidRPr="00DE07CE">
        <w:tab/>
        <w:t>Collecte et traitement des données</w:t>
      </w:r>
    </w:p>
    <w:p w:rsidR="00012003" w:rsidRPr="00DE07CE" w:rsidRDefault="00012003">
      <w:pPr>
        <w:jc w:val="both"/>
        <w:rPr>
          <w:szCs w:val="24"/>
        </w:rPr>
      </w:pPr>
      <w:r w:rsidRPr="00DE07CE">
        <w:rPr>
          <w:szCs w:val="24"/>
        </w:rPr>
        <w:t>Les notes devraient être collectées à la fin de chaque session et saisies dans un tableur pour calculer les valeurs MOYENNES.</w:t>
      </w:r>
    </w:p>
    <w:p w:rsidR="00012003" w:rsidRPr="00DE07CE" w:rsidRDefault="00012003">
      <w:pPr>
        <w:jc w:val="both"/>
        <w:rPr>
          <w:szCs w:val="24"/>
        </w:rPr>
      </w:pPr>
      <w:r w:rsidRPr="00DE07CE">
        <w:rPr>
          <w:szCs w:val="24"/>
        </w:rPr>
        <w:t>Il est souhaitable d</w:t>
      </w:r>
      <w:r w:rsidR="00101F61">
        <w:rPr>
          <w:szCs w:val="24"/>
        </w:rPr>
        <w:t>'</w:t>
      </w:r>
      <w:r w:rsidRPr="00DE07CE">
        <w:rPr>
          <w:szCs w:val="24"/>
        </w:rPr>
        <w:t>effectuer une sélection a posteriori des observateurs moyennant une corrélation linéaire de Pearson.</w:t>
      </w:r>
    </w:p>
    <w:p w:rsidR="00012003" w:rsidRPr="00DE07CE" w:rsidRDefault="00012003">
      <w:pPr>
        <w:jc w:val="both"/>
        <w:rPr>
          <w:szCs w:val="24"/>
        </w:rPr>
      </w:pPr>
      <w:r w:rsidRPr="00DE07CE">
        <w:rPr>
          <w:szCs w:val="24"/>
        </w:rPr>
        <w:t>Cette fonction de corrélation devrait être appliquée compte tenu de toutes les notes de chaque sujet par rapport aux notes moyennes d</w:t>
      </w:r>
      <w:r w:rsidR="00101F61">
        <w:rPr>
          <w:szCs w:val="24"/>
        </w:rPr>
        <w:t>'</w:t>
      </w:r>
      <w:r w:rsidRPr="00DE07CE">
        <w:rPr>
          <w:szCs w:val="24"/>
        </w:rPr>
        <w:t>opinion (MOS); un seuil pourra être fixé afin de définir pour chaque observateur s</w:t>
      </w:r>
      <w:r w:rsidR="00101F61">
        <w:rPr>
          <w:szCs w:val="24"/>
        </w:rPr>
        <w:t>'</w:t>
      </w:r>
      <w:r w:rsidRPr="00DE07CE">
        <w:rPr>
          <w:szCs w:val="24"/>
        </w:rPr>
        <w:t>il est «acceptable» ou «refusé» (la Recommandation UIT-T P.913 propose d</w:t>
      </w:r>
      <w:r w:rsidR="00101F61">
        <w:rPr>
          <w:szCs w:val="24"/>
        </w:rPr>
        <w:t>'</w:t>
      </w:r>
      <w:r w:rsidRPr="00DE07CE">
        <w:rPr>
          <w:szCs w:val="24"/>
        </w:rPr>
        <w:t>utiliser une valeur seuil de «refus» égal</w:t>
      </w:r>
      <w:r>
        <w:rPr>
          <w:szCs w:val="24"/>
        </w:rPr>
        <w:t>e</w:t>
      </w:r>
      <w:r w:rsidRPr="00DE07CE">
        <w:rPr>
          <w:szCs w:val="24"/>
        </w:rPr>
        <w:t xml:space="preserve"> à 0,75).</w:t>
      </w:r>
    </w:p>
    <w:p w:rsidR="00012003" w:rsidRPr="00DE07CE" w:rsidRDefault="00012003">
      <w:pPr>
        <w:pStyle w:val="Heading1"/>
      </w:pPr>
      <w:r w:rsidRPr="00DE07CE">
        <w:lastRenderedPageBreak/>
        <w:t>5</w:t>
      </w:r>
      <w:r w:rsidRPr="00DE07CE">
        <w:tab/>
        <w:t>Conditions d</w:t>
      </w:r>
      <w:r w:rsidR="00101F61">
        <w:t>'</w:t>
      </w:r>
      <w:r w:rsidRPr="00DE07CE">
        <w:t>utilisation des résultats obtenus avec le protocole d</w:t>
      </w:r>
      <w:r w:rsidR="00101F61">
        <w:t>'</w:t>
      </w:r>
      <w:r w:rsidRPr="00DE07CE">
        <w:t>observation par des spécialistes</w:t>
      </w:r>
    </w:p>
    <w:p w:rsidR="00012003" w:rsidRPr="00DE07CE" w:rsidRDefault="00012003">
      <w:pPr>
        <w:jc w:val="both"/>
        <w:rPr>
          <w:szCs w:val="24"/>
        </w:rPr>
      </w:pPr>
      <w:r w:rsidRPr="00DE07CE">
        <w:rPr>
          <w:szCs w:val="24"/>
        </w:rPr>
        <w:t>Le protocole d</w:t>
      </w:r>
      <w:r w:rsidR="00101F61">
        <w:rPr>
          <w:szCs w:val="24"/>
        </w:rPr>
        <w:t>'</w:t>
      </w:r>
      <w:r w:rsidRPr="00DE07CE">
        <w:rPr>
          <w:szCs w:val="24"/>
        </w:rPr>
        <w:t>observation par des spécialistes (EVP) pourra être utilisé lorsque le temps et les ressources disponibles ne permettent pas de mener à bien une expérience d</w:t>
      </w:r>
      <w:r w:rsidR="00101F61">
        <w:rPr>
          <w:szCs w:val="24"/>
        </w:rPr>
        <w:t>'</w:t>
      </w:r>
      <w:r w:rsidRPr="00DE07CE">
        <w:rPr>
          <w:szCs w:val="24"/>
        </w:rPr>
        <w:t>évaluation subjective formelle.</w:t>
      </w:r>
    </w:p>
    <w:p w:rsidR="00012003" w:rsidRPr="00DE07CE" w:rsidRDefault="00012003">
      <w:pPr>
        <w:jc w:val="both"/>
        <w:rPr>
          <w:szCs w:val="24"/>
        </w:rPr>
      </w:pPr>
      <w:r w:rsidRPr="00DE07CE">
        <w:rPr>
          <w:szCs w:val="24"/>
        </w:rPr>
        <w:t>Une évaluation EVP prend moins de temps qu</w:t>
      </w:r>
      <w:r w:rsidR="00101F61">
        <w:rPr>
          <w:szCs w:val="24"/>
        </w:rPr>
        <w:t>'</w:t>
      </w:r>
      <w:r w:rsidRPr="00DE07CE">
        <w:rPr>
          <w:szCs w:val="24"/>
        </w:rPr>
        <w:t>une évaluation subjective formelle et peut être menée dans un environnement «informel», pour autant que cet environnement soit protégé de toute perturbation visuelle et sonore extérieure.</w:t>
      </w:r>
    </w:p>
    <w:p w:rsidR="00012003" w:rsidRPr="00DE07CE" w:rsidRDefault="00012003">
      <w:pPr>
        <w:jc w:val="both"/>
        <w:rPr>
          <w:szCs w:val="24"/>
        </w:rPr>
      </w:pPr>
      <w:r w:rsidRPr="00DE07CE">
        <w:rPr>
          <w:szCs w:val="24"/>
        </w:rPr>
        <w:t>Les seules conditions à respecter impérativement concernent l</w:t>
      </w:r>
      <w:r w:rsidR="00101F61">
        <w:rPr>
          <w:szCs w:val="24"/>
        </w:rPr>
        <w:t>'</w:t>
      </w:r>
      <w:r w:rsidRPr="00DE07CE">
        <w:rPr>
          <w:szCs w:val="24"/>
        </w:rPr>
        <w:t>éclairage ambiant et les conditions d</w:t>
      </w:r>
      <w:r w:rsidR="00101F61">
        <w:rPr>
          <w:szCs w:val="24"/>
        </w:rPr>
        <w:t>'</w:t>
      </w:r>
      <w:r w:rsidRPr="00DE07CE">
        <w:rPr>
          <w:szCs w:val="24"/>
        </w:rPr>
        <w:t>observation (écran, angle et distance d</w:t>
      </w:r>
      <w:r w:rsidR="00101F61">
        <w:rPr>
          <w:szCs w:val="24"/>
        </w:rPr>
        <w:t>'</w:t>
      </w:r>
      <w:r w:rsidRPr="00DE07CE">
        <w:rPr>
          <w:szCs w:val="24"/>
        </w:rPr>
        <w:t>observation) comme indiqué ci-dessus.</w:t>
      </w:r>
    </w:p>
    <w:p w:rsidR="00012003" w:rsidRPr="00DE07CE" w:rsidRDefault="00012003">
      <w:pPr>
        <w:pStyle w:val="Heading1"/>
      </w:pPr>
      <w:r w:rsidRPr="00DE07CE">
        <w:t>6</w:t>
      </w:r>
      <w:r w:rsidRPr="00DE07CE">
        <w:tab/>
        <w:t>Limites de l</w:t>
      </w:r>
      <w:r w:rsidR="00101F61">
        <w:t>'</w:t>
      </w:r>
      <w:r w:rsidRPr="00DE07CE">
        <w:t>utilisation des résultats des tests EVP</w:t>
      </w:r>
    </w:p>
    <w:p w:rsidR="00012003" w:rsidRPr="00DE07CE" w:rsidRDefault="00012003">
      <w:pPr>
        <w:jc w:val="both"/>
        <w:rPr>
          <w:szCs w:val="24"/>
        </w:rPr>
      </w:pPr>
      <w:r w:rsidRPr="00DE07CE">
        <w:rPr>
          <w:szCs w:val="24"/>
        </w:rPr>
        <w:t>Bien qu</w:t>
      </w:r>
      <w:r w:rsidR="00101F61">
        <w:rPr>
          <w:szCs w:val="24"/>
        </w:rPr>
        <w:t>'</w:t>
      </w:r>
      <w:r w:rsidRPr="00DE07CE">
        <w:rPr>
          <w:szCs w:val="24"/>
        </w:rPr>
        <w:t>il soit établi que le protocole EVP peut fournir des résultats acceptables avec seulement neuf observateurs, on ne peut pas considérer que les notes moyennes d</w:t>
      </w:r>
      <w:r w:rsidR="00101F61">
        <w:rPr>
          <w:szCs w:val="24"/>
        </w:rPr>
        <w:t>'</w:t>
      </w:r>
      <w:r w:rsidRPr="00DE07CE">
        <w:rPr>
          <w:szCs w:val="24"/>
        </w:rPr>
        <w:t>opinion obtenues avec une expérience EVP remplacent les résultats que l</w:t>
      </w:r>
      <w:r w:rsidR="00101F61">
        <w:rPr>
          <w:szCs w:val="24"/>
        </w:rPr>
        <w:t>'</w:t>
      </w:r>
      <w:r w:rsidRPr="00DE07CE">
        <w:rPr>
          <w:szCs w:val="24"/>
        </w:rPr>
        <w:t>on peut obtenir avec une expérience d</w:t>
      </w:r>
      <w:r w:rsidR="00101F61">
        <w:rPr>
          <w:szCs w:val="24"/>
        </w:rPr>
        <w:t>'</w:t>
      </w:r>
      <w:r w:rsidRPr="00DE07CE">
        <w:rPr>
          <w:szCs w:val="24"/>
        </w:rPr>
        <w:t>évaluation subjective formelle.</w:t>
      </w:r>
    </w:p>
    <w:p w:rsidR="00012003" w:rsidRPr="00DE07CE" w:rsidRDefault="00012003">
      <w:pPr>
        <w:jc w:val="both"/>
        <w:rPr>
          <w:szCs w:val="24"/>
        </w:rPr>
      </w:pPr>
      <w:r w:rsidRPr="00DE07CE">
        <w:rPr>
          <w:szCs w:val="24"/>
        </w:rPr>
        <w:t>Les notes moyennes d</w:t>
      </w:r>
      <w:r w:rsidR="00101F61">
        <w:rPr>
          <w:szCs w:val="24"/>
        </w:rPr>
        <w:t>'</w:t>
      </w:r>
      <w:r w:rsidRPr="00DE07CE">
        <w:rPr>
          <w:szCs w:val="24"/>
        </w:rPr>
        <w:t>opinion obtenues avec le protocole EVP peuvent être utilisées pour avoir une première indication du niveau de dégradation.</w:t>
      </w:r>
    </w:p>
    <w:p w:rsidR="00012003" w:rsidRPr="00DE07CE" w:rsidRDefault="00012003">
      <w:pPr>
        <w:jc w:val="both"/>
        <w:rPr>
          <w:szCs w:val="24"/>
        </w:rPr>
      </w:pPr>
      <w:r w:rsidRPr="00DE07CE">
        <w:rPr>
          <w:szCs w:val="24"/>
        </w:rPr>
        <w:t>Les notes moyennes d</w:t>
      </w:r>
      <w:r w:rsidR="00101F61">
        <w:rPr>
          <w:szCs w:val="24"/>
        </w:rPr>
        <w:t>'</w:t>
      </w:r>
      <w:r w:rsidRPr="00DE07CE">
        <w:rPr>
          <w:szCs w:val="24"/>
        </w:rPr>
        <w:t>opinion obtenues avec le protocole EVP peuvent être utilisées pour faire un premier classement des mécanismes de traitement vidéo testés.</w:t>
      </w:r>
    </w:p>
    <w:p w:rsidR="00012003" w:rsidRPr="00DE07CE" w:rsidRDefault="00012003">
      <w:pPr>
        <w:jc w:val="both"/>
        <w:rPr>
          <w:szCs w:val="24"/>
        </w:rPr>
      </w:pPr>
      <w:r w:rsidRPr="00DE07CE">
        <w:rPr>
          <w:szCs w:val="24"/>
        </w:rPr>
        <w:t>Lorsqu</w:t>
      </w:r>
      <w:r w:rsidR="00101F61">
        <w:rPr>
          <w:szCs w:val="24"/>
        </w:rPr>
        <w:t>'</w:t>
      </w:r>
      <w:r w:rsidRPr="00DE07CE">
        <w:rPr>
          <w:szCs w:val="24"/>
        </w:rPr>
        <w:t>on le juge pratique ou nécessaire, une expérience EVP peut se dérouler à plusieurs endroits en parallèle, pour autant que les conditions et la distance d</w:t>
      </w:r>
      <w:r w:rsidR="00101F61">
        <w:rPr>
          <w:szCs w:val="24"/>
        </w:rPr>
        <w:t>'</w:t>
      </w:r>
      <w:r w:rsidRPr="00DE07CE">
        <w:rPr>
          <w:szCs w:val="24"/>
        </w:rPr>
        <w:t>observation ainsi que la conception du test soient identiques.</w:t>
      </w:r>
    </w:p>
    <w:p w:rsidR="00012003" w:rsidRDefault="00012003">
      <w:pPr>
        <w:jc w:val="both"/>
        <w:rPr>
          <w:szCs w:val="24"/>
        </w:rPr>
      </w:pPr>
      <w:r w:rsidRPr="00DE07CE">
        <w:rPr>
          <w:szCs w:val="24"/>
        </w:rPr>
        <w:t>Si le nombre d</w:t>
      </w:r>
      <w:r w:rsidR="00101F61">
        <w:rPr>
          <w:szCs w:val="24"/>
        </w:rPr>
        <w:t>'</w:t>
      </w:r>
      <w:r w:rsidRPr="00DE07CE">
        <w:rPr>
          <w:szCs w:val="24"/>
        </w:rPr>
        <w:t>observateurs spécialistes participant à la même expérience EVP, qu</w:t>
      </w:r>
      <w:r w:rsidR="00101F61">
        <w:rPr>
          <w:szCs w:val="24"/>
        </w:rPr>
        <w:t>'</w:t>
      </w:r>
      <w:r w:rsidRPr="00DE07CE">
        <w:rPr>
          <w:szCs w:val="24"/>
        </w:rPr>
        <w:t>elle se déroule dans un seul ou dans plusieurs endroits, est égal ou supérieur à 15, les données subjectives brutes peuvent être traitées pour obtenir une note moyenne d</w:t>
      </w:r>
      <w:r w:rsidR="00101F61">
        <w:rPr>
          <w:szCs w:val="24"/>
        </w:rPr>
        <w:t>'</w:t>
      </w:r>
      <w:r w:rsidRPr="00DE07CE">
        <w:rPr>
          <w:szCs w:val="24"/>
        </w:rPr>
        <w:t>opinion, l</w:t>
      </w:r>
      <w:r w:rsidR="00101F61">
        <w:rPr>
          <w:szCs w:val="24"/>
        </w:rPr>
        <w:t>'</w:t>
      </w:r>
      <w:r w:rsidRPr="00DE07CE">
        <w:rPr>
          <w:szCs w:val="24"/>
        </w:rPr>
        <w:t>écart type et l</w:t>
      </w:r>
      <w:r w:rsidR="00101F61">
        <w:rPr>
          <w:szCs w:val="24"/>
        </w:rPr>
        <w:t>'</w:t>
      </w:r>
      <w:r w:rsidRPr="00DE07CE">
        <w:rPr>
          <w:szCs w:val="24"/>
        </w:rPr>
        <w:t>intervalle de confiance, qui pourront aider à classer de manière plus précise les cas testés. Dans ce dernier cas, une analyse statistique déductive plus précise pourra être réalisée, par exemple un test T de Student.</w:t>
      </w:r>
    </w:p>
    <w:p w:rsidR="00075449" w:rsidRDefault="00075449">
      <w:pPr>
        <w:jc w:val="both"/>
        <w:rPr>
          <w:szCs w:val="24"/>
        </w:rPr>
      </w:pPr>
    </w:p>
    <w:p w:rsidR="00075449" w:rsidRPr="00DE07CE" w:rsidRDefault="00075449">
      <w:pPr>
        <w:jc w:val="both"/>
        <w:rPr>
          <w:szCs w:val="24"/>
        </w:rPr>
      </w:pPr>
    </w:p>
    <w:p w:rsidR="00E867F8" w:rsidRPr="00C23AA1" w:rsidRDefault="00E867F8" w:rsidP="000B0017">
      <w:pPr>
        <w:pStyle w:val="AnnexNoTitle"/>
        <w:rPr>
          <w:lang w:eastAsia="zh-CN"/>
        </w:rPr>
      </w:pPr>
      <w:r w:rsidRPr="00C23AA1">
        <w:t>Annex</w:t>
      </w:r>
      <w:r w:rsidR="00451135" w:rsidRPr="00C23AA1">
        <w:t>e</w:t>
      </w:r>
      <w:r w:rsidRPr="00C23AA1">
        <w:rPr>
          <w:lang w:eastAsia="zh-CN"/>
        </w:rPr>
        <w:t xml:space="preserve"> 2 </w:t>
      </w:r>
      <w:r w:rsidRPr="00C23AA1">
        <w:rPr>
          <w:lang w:eastAsia="zh-CN"/>
        </w:rPr>
        <w:br/>
        <w:t xml:space="preserve">(informative) </w:t>
      </w:r>
      <w:r w:rsidRPr="00C23AA1">
        <w:rPr>
          <w:lang w:eastAsia="zh-CN"/>
        </w:rPr>
        <w:br/>
      </w:r>
      <w:r w:rsidRPr="00C23AA1">
        <w:rPr>
          <w:lang w:eastAsia="zh-CN"/>
        </w:rPr>
        <w:br/>
      </w:r>
      <w:r w:rsidR="00451135" w:rsidRPr="00C23AA1">
        <w:rPr>
          <w:lang w:eastAsia="zh-CN"/>
        </w:rPr>
        <w:t>Application du protocole d</w:t>
      </w:r>
      <w:r w:rsidR="00101F61">
        <w:rPr>
          <w:lang w:eastAsia="zh-CN"/>
        </w:rPr>
        <w:t>'</w:t>
      </w:r>
      <w:r w:rsidR="00451135" w:rsidRPr="00C23AA1">
        <w:rPr>
          <w:lang w:eastAsia="zh-CN"/>
        </w:rPr>
        <w:t xml:space="preserve">observation par des spécialistes </w:t>
      </w:r>
      <w:r w:rsidR="00044C93" w:rsidRPr="00C23AA1">
        <w:rPr>
          <w:lang w:eastAsia="zh-CN"/>
        </w:rPr>
        <w:t xml:space="preserve">et </w:t>
      </w:r>
      <w:r w:rsidR="00075449">
        <w:rPr>
          <w:lang w:eastAsia="zh-CN"/>
        </w:rPr>
        <w:t>incidences liées à </w:t>
      </w:r>
      <w:r w:rsidR="00DA0119">
        <w:rPr>
          <w:lang w:eastAsia="zh-CN"/>
        </w:rPr>
        <w:t>la</w:t>
      </w:r>
      <w:r w:rsidR="00044C93" w:rsidRPr="00C23AA1">
        <w:rPr>
          <w:lang w:eastAsia="zh-CN"/>
        </w:rPr>
        <w:t xml:space="preserve"> présence d</w:t>
      </w:r>
      <w:r w:rsidR="00101F61">
        <w:rPr>
          <w:lang w:eastAsia="zh-CN"/>
        </w:rPr>
        <w:t>'</w:t>
      </w:r>
      <w:r w:rsidR="00044C93" w:rsidRPr="00C23AA1">
        <w:rPr>
          <w:lang w:eastAsia="zh-CN"/>
        </w:rPr>
        <w:t xml:space="preserve">un </w:t>
      </w:r>
      <w:r w:rsidR="00C23AA1">
        <w:rPr>
          <w:lang w:eastAsia="zh-CN"/>
        </w:rPr>
        <w:t xml:space="preserve">grand </w:t>
      </w:r>
      <w:r w:rsidR="00044C93" w:rsidRPr="00C23AA1">
        <w:rPr>
          <w:lang w:eastAsia="zh-CN"/>
        </w:rPr>
        <w:t xml:space="preserve">nombre </w:t>
      </w:r>
      <w:r w:rsidR="00044C93">
        <w:rPr>
          <w:lang w:eastAsia="zh-CN"/>
        </w:rPr>
        <w:t>d</w:t>
      </w:r>
      <w:r w:rsidR="00101F61">
        <w:rPr>
          <w:lang w:eastAsia="zh-CN"/>
        </w:rPr>
        <w:t>'</w:t>
      </w:r>
      <w:r w:rsidR="00044C93">
        <w:rPr>
          <w:lang w:eastAsia="zh-CN"/>
        </w:rPr>
        <w:t>observateurs spécialistes</w:t>
      </w:r>
    </w:p>
    <w:p w:rsidR="00E867F8" w:rsidRPr="00C23AA1" w:rsidRDefault="000F5FED" w:rsidP="001B7F53">
      <w:pPr>
        <w:pStyle w:val="Normalaftertitle"/>
        <w:jc w:val="both"/>
        <w:rPr>
          <w:lang w:eastAsia="zh-CN"/>
        </w:rPr>
      </w:pPr>
      <w:r w:rsidRPr="00C23AA1">
        <w:rPr>
          <w:lang w:eastAsia="zh-CN"/>
        </w:rPr>
        <w:t xml:space="preserve">La présente Annexe informative fournit des informations </w:t>
      </w:r>
      <w:r w:rsidR="00AF368B">
        <w:rPr>
          <w:lang w:eastAsia="zh-CN"/>
        </w:rPr>
        <w:t>sur les</w:t>
      </w:r>
      <w:r w:rsidR="00646FBA">
        <w:rPr>
          <w:lang w:eastAsia="zh-CN"/>
        </w:rPr>
        <w:t xml:space="preserve"> résultats de </w:t>
      </w:r>
      <w:r w:rsidRPr="00C23AA1">
        <w:rPr>
          <w:lang w:eastAsia="zh-CN"/>
        </w:rPr>
        <w:t>deux s</w:t>
      </w:r>
      <w:r w:rsidR="006F6B38">
        <w:rPr>
          <w:lang w:eastAsia="zh-CN"/>
        </w:rPr>
        <w:t>essions</w:t>
      </w:r>
      <w:r w:rsidRPr="00C23AA1">
        <w:rPr>
          <w:lang w:eastAsia="zh-CN"/>
        </w:rPr>
        <w:t xml:space="preserve"> </w:t>
      </w:r>
      <w:r w:rsidR="00036EE8">
        <w:rPr>
          <w:lang w:eastAsia="zh-CN"/>
        </w:rPr>
        <w:t xml:space="preserve">différentes </w:t>
      </w:r>
      <w:r w:rsidRPr="00C23AA1">
        <w:rPr>
          <w:lang w:eastAsia="zh-CN"/>
        </w:rPr>
        <w:t>d</w:t>
      </w:r>
      <w:r w:rsidR="00101F61">
        <w:rPr>
          <w:lang w:eastAsia="zh-CN"/>
        </w:rPr>
        <w:t>'</w:t>
      </w:r>
      <w:r w:rsidRPr="00C23AA1">
        <w:rPr>
          <w:lang w:eastAsia="zh-CN"/>
        </w:rPr>
        <w:t>évaluation subjective</w:t>
      </w:r>
      <w:r w:rsidR="00FC2845">
        <w:rPr>
          <w:lang w:eastAsia="zh-CN"/>
        </w:rPr>
        <w:t xml:space="preserve"> </w:t>
      </w:r>
      <w:r w:rsidR="00D242F7">
        <w:rPr>
          <w:lang w:eastAsia="zh-CN"/>
        </w:rPr>
        <w:t>de séquences</w:t>
      </w:r>
      <w:r w:rsidR="00E217BC" w:rsidRPr="00C23AA1">
        <w:rPr>
          <w:lang w:eastAsia="zh-CN"/>
        </w:rPr>
        <w:t xml:space="preserve"> vidéo </w:t>
      </w:r>
      <w:r w:rsidR="008B56DE">
        <w:rPr>
          <w:lang w:eastAsia="zh-CN"/>
        </w:rPr>
        <w:t>HD et UHD codé</w:t>
      </w:r>
      <w:r w:rsidR="006F6B38">
        <w:rPr>
          <w:lang w:eastAsia="zh-CN"/>
        </w:rPr>
        <w:t>e</w:t>
      </w:r>
      <w:r w:rsidR="008B56DE">
        <w:rPr>
          <w:lang w:eastAsia="zh-CN"/>
        </w:rPr>
        <w:t>s</w:t>
      </w:r>
      <w:r w:rsidR="006F6B38">
        <w:rPr>
          <w:lang w:eastAsia="zh-CN"/>
        </w:rPr>
        <w:t xml:space="preserve">, </w:t>
      </w:r>
      <w:r w:rsidR="00C23AA1">
        <w:rPr>
          <w:lang w:eastAsia="zh-CN"/>
        </w:rPr>
        <w:t>organisées</w:t>
      </w:r>
      <w:r w:rsidR="006F6B38">
        <w:rPr>
          <w:lang w:eastAsia="zh-CN"/>
        </w:rPr>
        <w:t xml:space="preserve"> </w:t>
      </w:r>
      <w:r w:rsidR="0051238A">
        <w:rPr>
          <w:lang w:eastAsia="zh-CN"/>
        </w:rPr>
        <w:t>conformément au</w:t>
      </w:r>
      <w:r w:rsidR="006F6B38">
        <w:rPr>
          <w:lang w:eastAsia="zh-CN"/>
        </w:rPr>
        <w:t xml:space="preserve"> protocole EVP</w:t>
      </w:r>
      <w:r w:rsidR="00E217BC" w:rsidRPr="00C23AA1">
        <w:rPr>
          <w:lang w:eastAsia="zh-CN"/>
        </w:rPr>
        <w:t xml:space="preserve"> lors de la 117ème </w:t>
      </w:r>
      <w:r w:rsidR="004D70F4">
        <w:rPr>
          <w:lang w:eastAsia="zh-CN"/>
        </w:rPr>
        <w:t xml:space="preserve">réunion </w:t>
      </w:r>
      <w:r w:rsidR="00E217BC">
        <w:rPr>
          <w:lang w:eastAsia="zh-CN"/>
        </w:rPr>
        <w:t xml:space="preserve">du </w:t>
      </w:r>
      <w:r w:rsidR="00C23AA1">
        <w:rPr>
          <w:lang w:eastAsia="zh-CN"/>
        </w:rPr>
        <w:t>Groupe d</w:t>
      </w:r>
      <w:r w:rsidR="00101F61">
        <w:rPr>
          <w:lang w:eastAsia="zh-CN"/>
        </w:rPr>
        <w:t>'</w:t>
      </w:r>
      <w:r w:rsidR="00C23AA1">
        <w:rPr>
          <w:lang w:eastAsia="zh-CN"/>
        </w:rPr>
        <w:t>expert pour les images animées</w:t>
      </w:r>
      <w:r w:rsidR="00E32C85">
        <w:rPr>
          <w:lang w:eastAsia="zh-CN"/>
        </w:rPr>
        <w:t xml:space="preserve"> (</w:t>
      </w:r>
      <w:r w:rsidR="00C23AA1">
        <w:rPr>
          <w:lang w:eastAsia="zh-CN"/>
        </w:rPr>
        <w:t>MPEG</w:t>
      </w:r>
      <w:r w:rsidR="00E217BC">
        <w:rPr>
          <w:lang w:eastAsia="zh-CN"/>
        </w:rPr>
        <w:t xml:space="preserve">), en application des dispositions </w:t>
      </w:r>
      <w:r w:rsidR="00C23AA1">
        <w:rPr>
          <w:lang w:eastAsia="zh-CN"/>
        </w:rPr>
        <w:t xml:space="preserve">de </w:t>
      </w:r>
      <w:r w:rsidR="00E217BC">
        <w:rPr>
          <w:lang w:eastAsia="zh-CN"/>
        </w:rPr>
        <w:t>la Recommandation UIT-R</w:t>
      </w:r>
      <w:r w:rsidR="00D67CF4">
        <w:rPr>
          <w:lang w:eastAsia="zh-CN"/>
        </w:rPr>
        <w:t> </w:t>
      </w:r>
      <w:r w:rsidR="00E217BC">
        <w:rPr>
          <w:lang w:eastAsia="zh-CN"/>
        </w:rPr>
        <w:t xml:space="preserve">BT.2095, </w:t>
      </w:r>
      <w:r w:rsidR="00A343D0">
        <w:rPr>
          <w:lang w:eastAsia="zh-CN"/>
        </w:rPr>
        <w:t>afin</w:t>
      </w:r>
      <w:r w:rsidR="00E217BC">
        <w:rPr>
          <w:lang w:eastAsia="zh-CN"/>
        </w:rPr>
        <w:t xml:space="preserve"> de classer </w:t>
      </w:r>
      <w:r w:rsidR="00163F7D">
        <w:rPr>
          <w:lang w:eastAsia="zh-CN"/>
        </w:rPr>
        <w:t>de manière rapide et</w:t>
      </w:r>
      <w:r w:rsidR="00E217BC">
        <w:rPr>
          <w:lang w:eastAsia="zh-CN"/>
        </w:rPr>
        <w:t xml:space="preserve"> fiable deux méthodes différentes de codage de</w:t>
      </w:r>
      <w:r w:rsidR="00C23AA1">
        <w:rPr>
          <w:lang w:eastAsia="zh-CN"/>
        </w:rPr>
        <w:t xml:space="preserve"> la</w:t>
      </w:r>
      <w:r w:rsidR="00E217BC">
        <w:rPr>
          <w:lang w:eastAsia="zh-CN"/>
        </w:rPr>
        <w:t xml:space="preserve"> source.</w:t>
      </w:r>
      <w:r w:rsidR="00E867F8" w:rsidRPr="00C23AA1">
        <w:rPr>
          <w:lang w:eastAsia="zh-CN"/>
        </w:rPr>
        <w:t xml:space="preserve"> </w:t>
      </w:r>
    </w:p>
    <w:p w:rsidR="00E867F8" w:rsidRPr="00C23AA1" w:rsidRDefault="000D2DB0" w:rsidP="001B7F53">
      <w:pPr>
        <w:jc w:val="both"/>
        <w:rPr>
          <w:lang w:val="fr-CH" w:eastAsia="zh-CN"/>
        </w:rPr>
      </w:pPr>
      <w:r w:rsidRPr="00C23AA1">
        <w:rPr>
          <w:lang w:eastAsia="zh-CN"/>
        </w:rPr>
        <w:t>Etant donné qu</w:t>
      </w:r>
      <w:r w:rsidR="00101F61">
        <w:rPr>
          <w:lang w:eastAsia="zh-CN"/>
        </w:rPr>
        <w:t>'</w:t>
      </w:r>
      <w:r w:rsidRPr="00C23AA1">
        <w:rPr>
          <w:lang w:eastAsia="zh-CN"/>
        </w:rPr>
        <w:t xml:space="preserve">un </w:t>
      </w:r>
      <w:r w:rsidR="00C23AA1">
        <w:rPr>
          <w:lang w:eastAsia="zh-CN"/>
        </w:rPr>
        <w:t xml:space="preserve">grand </w:t>
      </w:r>
      <w:r w:rsidRPr="00C23AA1">
        <w:rPr>
          <w:lang w:eastAsia="zh-CN"/>
        </w:rPr>
        <w:t xml:space="preserve">nombre de spécialistes </w:t>
      </w:r>
      <w:r w:rsidR="00C23AA1">
        <w:rPr>
          <w:lang w:eastAsia="zh-CN"/>
        </w:rPr>
        <w:t>ont</w:t>
      </w:r>
      <w:r w:rsidRPr="00C23AA1">
        <w:rPr>
          <w:lang w:eastAsia="zh-CN"/>
        </w:rPr>
        <w:t xml:space="preserve"> particip</w:t>
      </w:r>
      <w:r w:rsidR="004D70F4" w:rsidRPr="00C23AA1">
        <w:rPr>
          <w:lang w:eastAsia="zh-CN"/>
        </w:rPr>
        <w:t>é à la 117ème réunion du Groupe MPEG, le nombre d</w:t>
      </w:r>
      <w:r w:rsidR="00101F61">
        <w:rPr>
          <w:lang w:eastAsia="zh-CN"/>
        </w:rPr>
        <w:t>'</w:t>
      </w:r>
      <w:r w:rsidR="004D70F4" w:rsidRPr="00C23AA1">
        <w:rPr>
          <w:lang w:eastAsia="zh-CN"/>
        </w:rPr>
        <w:t>observateurs participant aux deux s</w:t>
      </w:r>
      <w:r w:rsidR="008A1F4D">
        <w:rPr>
          <w:lang w:eastAsia="zh-CN"/>
        </w:rPr>
        <w:t>essions</w:t>
      </w:r>
      <w:r w:rsidR="004D70F4" w:rsidRPr="00C23AA1">
        <w:rPr>
          <w:lang w:eastAsia="zh-CN"/>
        </w:rPr>
        <w:t xml:space="preserve"> EVP était largement supérieur au </w:t>
      </w:r>
      <w:r w:rsidR="004D70F4">
        <w:rPr>
          <w:lang w:eastAsia="zh-CN"/>
        </w:rPr>
        <w:t xml:space="preserve">nombre de </w:t>
      </w:r>
      <w:r w:rsidR="004D70F4">
        <w:rPr>
          <w:lang w:eastAsia="zh-CN"/>
        </w:rPr>
        <w:lastRenderedPageBreak/>
        <w:t xml:space="preserve">neuf observateurs préconisé dans la Recommandation UIT-R BT.2095; </w:t>
      </w:r>
      <w:r w:rsidR="00C264E7">
        <w:rPr>
          <w:lang w:eastAsia="zh-CN"/>
        </w:rPr>
        <w:t>30 </w:t>
      </w:r>
      <w:r w:rsidR="004D70F4">
        <w:rPr>
          <w:lang w:eastAsia="zh-CN"/>
        </w:rPr>
        <w:t xml:space="preserve">spécialistes ont participé à la </w:t>
      </w:r>
      <w:r w:rsidR="008E660A">
        <w:rPr>
          <w:lang w:eastAsia="zh-CN"/>
        </w:rPr>
        <w:t>session de test</w:t>
      </w:r>
      <w:r w:rsidR="004D70F4">
        <w:rPr>
          <w:lang w:eastAsia="zh-CN"/>
        </w:rPr>
        <w:t xml:space="preserve"> EVP HD et 32 spécialistes ont participé à la s</w:t>
      </w:r>
      <w:r w:rsidR="00D11B43">
        <w:rPr>
          <w:lang w:eastAsia="zh-CN"/>
        </w:rPr>
        <w:t>e</w:t>
      </w:r>
      <w:r w:rsidR="004311FB">
        <w:rPr>
          <w:lang w:eastAsia="zh-CN"/>
        </w:rPr>
        <w:t>ssion</w:t>
      </w:r>
      <w:r w:rsidR="00D11B43">
        <w:rPr>
          <w:lang w:eastAsia="zh-CN"/>
        </w:rPr>
        <w:t xml:space="preserve"> de</w:t>
      </w:r>
      <w:r w:rsidR="004D70F4">
        <w:rPr>
          <w:lang w:eastAsia="zh-CN"/>
        </w:rPr>
        <w:t xml:space="preserve"> </w:t>
      </w:r>
      <w:r w:rsidR="00D11B43">
        <w:rPr>
          <w:lang w:eastAsia="zh-CN"/>
        </w:rPr>
        <w:t>test</w:t>
      </w:r>
      <w:r w:rsidR="004D70F4">
        <w:rPr>
          <w:lang w:eastAsia="zh-CN"/>
        </w:rPr>
        <w:t xml:space="preserve"> EVP UHD. </w:t>
      </w:r>
    </w:p>
    <w:p w:rsidR="00E867F8" w:rsidRPr="00C23AA1" w:rsidRDefault="0087254F" w:rsidP="001B7F53">
      <w:pPr>
        <w:jc w:val="both"/>
        <w:rPr>
          <w:lang w:val="fr-CH" w:eastAsia="zh-CN"/>
        </w:rPr>
      </w:pPr>
      <w:r>
        <w:rPr>
          <w:lang w:val="fr-CH" w:eastAsia="zh-CN"/>
        </w:rPr>
        <w:t>Grâce à</w:t>
      </w:r>
      <w:r w:rsidR="00B4459D">
        <w:rPr>
          <w:lang w:val="fr-CH" w:eastAsia="zh-CN"/>
        </w:rPr>
        <w:t xml:space="preserve"> la </w:t>
      </w:r>
      <w:r w:rsidR="00C23AA1">
        <w:rPr>
          <w:lang w:val="fr-CH" w:eastAsia="zh-CN"/>
        </w:rPr>
        <w:t xml:space="preserve">large </w:t>
      </w:r>
      <w:r w:rsidR="00B4459D">
        <w:rPr>
          <w:lang w:val="fr-CH" w:eastAsia="zh-CN"/>
        </w:rPr>
        <w:t>participation d</w:t>
      </w:r>
      <w:r w:rsidR="00101F61">
        <w:rPr>
          <w:lang w:val="fr-CH" w:eastAsia="zh-CN"/>
        </w:rPr>
        <w:t>'</w:t>
      </w:r>
      <w:r w:rsidR="00B4459D">
        <w:rPr>
          <w:lang w:val="fr-CH" w:eastAsia="zh-CN"/>
        </w:rPr>
        <w:t xml:space="preserve">observateurs spécialistes, </w:t>
      </w:r>
      <w:r w:rsidR="00646FBA">
        <w:rPr>
          <w:lang w:val="fr-CH" w:eastAsia="zh-CN"/>
        </w:rPr>
        <w:t xml:space="preserve">on a pu </w:t>
      </w:r>
      <w:r w:rsidR="00A32BB7" w:rsidRPr="00C23AA1">
        <w:rPr>
          <w:lang w:val="fr-CH" w:eastAsia="zh-CN"/>
        </w:rPr>
        <w:t xml:space="preserve">analyser </w:t>
      </w:r>
      <w:r w:rsidR="009818E5" w:rsidRPr="00C23AA1">
        <w:rPr>
          <w:lang w:val="fr-CH" w:eastAsia="zh-CN"/>
        </w:rPr>
        <w:t>les notes moyennes d</w:t>
      </w:r>
      <w:r w:rsidR="00101F61">
        <w:rPr>
          <w:lang w:val="fr-CH" w:eastAsia="zh-CN"/>
        </w:rPr>
        <w:t>'</w:t>
      </w:r>
      <w:r w:rsidR="009818E5" w:rsidRPr="00C23AA1">
        <w:rPr>
          <w:lang w:val="fr-CH" w:eastAsia="zh-CN"/>
        </w:rPr>
        <w:t>opinion</w:t>
      </w:r>
      <w:r w:rsidR="00646FBA">
        <w:rPr>
          <w:lang w:val="fr-CH" w:eastAsia="zh-CN"/>
        </w:rPr>
        <w:t>,</w:t>
      </w:r>
      <w:r w:rsidR="00163F7D">
        <w:rPr>
          <w:lang w:val="fr-CH" w:eastAsia="zh-CN"/>
        </w:rPr>
        <w:t xml:space="preserve"> </w:t>
      </w:r>
      <w:r w:rsidR="00646FBA">
        <w:rPr>
          <w:lang w:val="fr-CH" w:eastAsia="zh-CN"/>
        </w:rPr>
        <w:t>afin</w:t>
      </w:r>
      <w:r w:rsidR="009818E5" w:rsidRPr="00C23AA1">
        <w:rPr>
          <w:lang w:val="fr-CH" w:eastAsia="zh-CN"/>
        </w:rPr>
        <w:t xml:space="preserve"> de vérifier le niveau de fiabilité </w:t>
      </w:r>
      <w:r w:rsidR="00C23AA1">
        <w:rPr>
          <w:lang w:val="fr-CH" w:eastAsia="zh-CN"/>
        </w:rPr>
        <w:t>lié</w:t>
      </w:r>
      <w:r w:rsidR="00E33A71">
        <w:rPr>
          <w:lang w:val="fr-CH" w:eastAsia="zh-CN"/>
        </w:rPr>
        <w:t xml:space="preserve"> à</w:t>
      </w:r>
      <w:r w:rsidR="009818E5" w:rsidRPr="00C23AA1">
        <w:rPr>
          <w:lang w:val="fr-CH" w:eastAsia="zh-CN"/>
        </w:rPr>
        <w:t xml:space="preserve"> l</w:t>
      </w:r>
      <w:r w:rsidR="00101F61">
        <w:rPr>
          <w:lang w:val="fr-CH" w:eastAsia="zh-CN"/>
        </w:rPr>
        <w:t>'</w:t>
      </w:r>
      <w:r w:rsidR="00C23AA1">
        <w:rPr>
          <w:lang w:val="fr-CH" w:eastAsia="zh-CN"/>
        </w:rPr>
        <w:t>utilisation</w:t>
      </w:r>
      <w:r w:rsidR="003F117C">
        <w:rPr>
          <w:lang w:val="fr-CH" w:eastAsia="zh-CN"/>
        </w:rPr>
        <w:t xml:space="preserve"> </w:t>
      </w:r>
      <w:r w:rsidR="009818E5" w:rsidRPr="00C23AA1">
        <w:rPr>
          <w:lang w:val="fr-CH" w:eastAsia="zh-CN"/>
        </w:rPr>
        <w:t xml:space="preserve">de la </w:t>
      </w:r>
      <w:r w:rsidR="0047498C">
        <w:rPr>
          <w:lang w:val="fr-CH" w:eastAsia="zh-CN"/>
        </w:rPr>
        <w:t>Recommandation</w:t>
      </w:r>
      <w:r w:rsidR="00075449">
        <w:rPr>
          <w:lang w:val="fr-CH" w:eastAsia="zh-CN"/>
        </w:rPr>
        <w:t xml:space="preserve"> </w:t>
      </w:r>
      <w:r w:rsidR="00EA088C">
        <w:rPr>
          <w:lang w:val="fr-CH" w:eastAsia="zh-CN"/>
        </w:rPr>
        <w:t>UIT-R</w:t>
      </w:r>
      <w:r w:rsidR="00361E1D">
        <w:rPr>
          <w:lang w:val="fr-CH" w:eastAsia="zh-CN"/>
        </w:rPr>
        <w:t xml:space="preserve"> </w:t>
      </w:r>
      <w:r w:rsidR="009818E5" w:rsidRPr="00C23AA1">
        <w:rPr>
          <w:lang w:val="fr-CH" w:eastAsia="zh-CN"/>
        </w:rPr>
        <w:t xml:space="preserve">BT.2095 </w:t>
      </w:r>
      <w:r w:rsidR="00C23AA1">
        <w:rPr>
          <w:lang w:val="fr-CH" w:eastAsia="zh-CN"/>
        </w:rPr>
        <w:t>lorsqu</w:t>
      </w:r>
      <w:r w:rsidR="00101F61">
        <w:rPr>
          <w:lang w:val="fr-CH" w:eastAsia="zh-CN"/>
        </w:rPr>
        <w:t>'</w:t>
      </w:r>
      <w:r w:rsidR="00C23AA1">
        <w:rPr>
          <w:lang w:val="fr-CH" w:eastAsia="zh-CN"/>
        </w:rPr>
        <w:t>il s</w:t>
      </w:r>
      <w:r w:rsidR="00101F61">
        <w:rPr>
          <w:lang w:val="fr-CH" w:eastAsia="zh-CN"/>
        </w:rPr>
        <w:t>'</w:t>
      </w:r>
      <w:r w:rsidR="00C23AA1">
        <w:rPr>
          <w:lang w:val="fr-CH" w:eastAsia="zh-CN"/>
        </w:rPr>
        <w:t>agit de classer des</w:t>
      </w:r>
      <w:r w:rsidR="009818E5" w:rsidRPr="00C23AA1">
        <w:rPr>
          <w:lang w:val="fr-CH" w:eastAsia="zh-CN"/>
        </w:rPr>
        <w:t xml:space="preserve"> </w:t>
      </w:r>
      <w:r w:rsidR="00BC503E">
        <w:rPr>
          <w:lang w:val="fr-CH" w:eastAsia="zh-CN"/>
        </w:rPr>
        <w:t>séquences</w:t>
      </w:r>
      <w:r w:rsidR="009818E5" w:rsidRPr="00C23AA1">
        <w:rPr>
          <w:lang w:val="fr-CH" w:eastAsia="zh-CN"/>
        </w:rPr>
        <w:t xml:space="preserve"> vidéo codé</w:t>
      </w:r>
      <w:r w:rsidR="00BC503E">
        <w:rPr>
          <w:lang w:val="fr-CH" w:eastAsia="zh-CN"/>
        </w:rPr>
        <w:t>e</w:t>
      </w:r>
      <w:r w:rsidR="009818E5" w:rsidRPr="00C23AA1">
        <w:rPr>
          <w:lang w:val="fr-CH" w:eastAsia="zh-CN"/>
        </w:rPr>
        <w:t>s.</w:t>
      </w:r>
    </w:p>
    <w:p w:rsidR="00E867F8" w:rsidRPr="00C23AA1" w:rsidRDefault="00126BD8" w:rsidP="001B7F53">
      <w:pPr>
        <w:keepNext/>
        <w:keepLines/>
        <w:jc w:val="both"/>
        <w:rPr>
          <w:lang w:val="fr-CH" w:eastAsia="zh-CN"/>
        </w:rPr>
      </w:pPr>
      <w:r>
        <w:rPr>
          <w:lang w:val="fr-CH" w:eastAsia="zh-CN"/>
        </w:rPr>
        <w:t xml:space="preserve">Dans le cadre de cette évaluation, </w:t>
      </w:r>
      <w:r w:rsidR="0065672B">
        <w:rPr>
          <w:lang w:val="fr-CH" w:eastAsia="zh-CN"/>
        </w:rPr>
        <w:t xml:space="preserve">on considère </w:t>
      </w:r>
      <w:r>
        <w:rPr>
          <w:lang w:val="fr-CH" w:eastAsia="zh-CN"/>
        </w:rPr>
        <w:t>q</w:t>
      </w:r>
      <w:r w:rsidR="00525F24" w:rsidRPr="00C23AA1">
        <w:rPr>
          <w:lang w:val="fr-CH" w:eastAsia="zh-CN"/>
        </w:rPr>
        <w:t>uatre groupes d</w:t>
      </w:r>
      <w:r w:rsidR="00101F61">
        <w:rPr>
          <w:lang w:val="fr-CH" w:eastAsia="zh-CN"/>
        </w:rPr>
        <w:t>'</w:t>
      </w:r>
      <w:r w:rsidR="00525F24" w:rsidRPr="00C23AA1">
        <w:rPr>
          <w:lang w:val="fr-CH" w:eastAsia="zh-CN"/>
        </w:rPr>
        <w:t>observateurs (</w:t>
      </w:r>
      <w:r w:rsidR="0065672B">
        <w:rPr>
          <w:lang w:val="fr-CH" w:eastAsia="zh-CN"/>
        </w:rPr>
        <w:t>composés respective</w:t>
      </w:r>
      <w:r w:rsidR="00A71770">
        <w:rPr>
          <w:lang w:val="fr-CH" w:eastAsia="zh-CN"/>
        </w:rPr>
        <w:t>ment</w:t>
      </w:r>
      <w:r w:rsidR="0065672B">
        <w:rPr>
          <w:lang w:val="fr-CH" w:eastAsia="zh-CN"/>
        </w:rPr>
        <w:t xml:space="preserve"> de</w:t>
      </w:r>
      <w:r w:rsidR="00525F24" w:rsidRPr="00C23AA1">
        <w:rPr>
          <w:lang w:val="fr-CH" w:eastAsia="zh-CN"/>
        </w:rPr>
        <w:t xml:space="preserve"> 9, 12, 15 et 18</w:t>
      </w:r>
      <w:r w:rsidR="0065672B">
        <w:rPr>
          <w:lang w:val="fr-CH" w:eastAsia="zh-CN"/>
        </w:rPr>
        <w:t xml:space="preserve"> observateurs</w:t>
      </w:r>
      <w:r w:rsidR="00525F24" w:rsidRPr="00C23AA1">
        <w:rPr>
          <w:lang w:val="fr-CH" w:eastAsia="zh-CN"/>
        </w:rPr>
        <w:t>)</w:t>
      </w:r>
      <w:r w:rsidR="00B4459D" w:rsidRPr="00C23AA1">
        <w:rPr>
          <w:lang w:val="fr-CH" w:eastAsia="zh-CN"/>
        </w:rPr>
        <w:t xml:space="preserve"> </w:t>
      </w:r>
      <w:r w:rsidR="00DC2299">
        <w:rPr>
          <w:lang w:val="fr-CH" w:eastAsia="zh-CN"/>
        </w:rPr>
        <w:t>et on effectue une comparaison entre les</w:t>
      </w:r>
      <w:r w:rsidR="00B4459D" w:rsidRPr="00C23AA1">
        <w:rPr>
          <w:lang w:val="fr-CH" w:eastAsia="zh-CN"/>
        </w:rPr>
        <w:t xml:space="preserve"> valeurs des notes moyenne</w:t>
      </w:r>
      <w:r>
        <w:rPr>
          <w:lang w:val="fr-CH" w:eastAsia="zh-CN"/>
        </w:rPr>
        <w:t>s d</w:t>
      </w:r>
      <w:r w:rsidR="00101F61">
        <w:rPr>
          <w:lang w:val="fr-CH" w:eastAsia="zh-CN"/>
        </w:rPr>
        <w:t>'</w:t>
      </w:r>
      <w:r>
        <w:rPr>
          <w:lang w:val="fr-CH" w:eastAsia="zh-CN"/>
        </w:rPr>
        <w:t>opinion obtenues à partir du groupe de</w:t>
      </w:r>
      <w:r w:rsidR="00B4459D" w:rsidRPr="00C23AA1">
        <w:rPr>
          <w:lang w:val="fr-CH" w:eastAsia="zh-CN"/>
        </w:rPr>
        <w:t xml:space="preserve"> neuf spécialistes et </w:t>
      </w:r>
      <w:r w:rsidR="00DC2299">
        <w:rPr>
          <w:lang w:val="fr-CH" w:eastAsia="zh-CN"/>
        </w:rPr>
        <w:t>celles</w:t>
      </w:r>
      <w:r w:rsidR="00B4459D">
        <w:rPr>
          <w:lang w:val="fr-CH" w:eastAsia="zh-CN"/>
        </w:rPr>
        <w:t xml:space="preserve"> obtenues à partir des groupes de 12, 15 et 18 observateurs. </w:t>
      </w:r>
    </w:p>
    <w:p w:rsidR="00E867F8" w:rsidRPr="00C23AA1" w:rsidRDefault="0062260A" w:rsidP="001B7F53">
      <w:pPr>
        <w:jc w:val="both"/>
        <w:rPr>
          <w:lang w:val="fr-CH" w:eastAsia="zh-CN"/>
        </w:rPr>
      </w:pPr>
      <w:r w:rsidRPr="00C23AA1">
        <w:rPr>
          <w:lang w:val="fr-CH" w:eastAsia="zh-CN"/>
        </w:rPr>
        <w:t>L</w:t>
      </w:r>
      <w:r w:rsidR="00101F61">
        <w:rPr>
          <w:lang w:val="fr-CH" w:eastAsia="zh-CN"/>
        </w:rPr>
        <w:t>'</w:t>
      </w:r>
      <w:r w:rsidRPr="00C23AA1">
        <w:rPr>
          <w:lang w:val="fr-CH" w:eastAsia="zh-CN"/>
        </w:rPr>
        <w:t>objectif consistait à comparer l</w:t>
      </w:r>
      <w:r w:rsidR="009A59BC">
        <w:rPr>
          <w:lang w:val="fr-CH" w:eastAsia="zh-CN"/>
        </w:rPr>
        <w:t xml:space="preserve">e classement obtenu </w:t>
      </w:r>
      <w:r w:rsidR="00C23AA1">
        <w:rPr>
          <w:lang w:val="fr-CH" w:eastAsia="zh-CN"/>
        </w:rPr>
        <w:t>avec</w:t>
      </w:r>
      <w:r w:rsidRPr="00C23AA1">
        <w:rPr>
          <w:lang w:val="fr-CH" w:eastAsia="zh-CN"/>
        </w:rPr>
        <w:t xml:space="preserve"> neuf spécialistes (protocole EVP) et les classements obtenus </w:t>
      </w:r>
      <w:r w:rsidR="00C1218F">
        <w:rPr>
          <w:lang w:val="fr-CH" w:eastAsia="zh-CN"/>
        </w:rPr>
        <w:t>avec</w:t>
      </w:r>
      <w:r w:rsidRPr="00C23AA1">
        <w:rPr>
          <w:lang w:val="fr-CH" w:eastAsia="zh-CN"/>
        </w:rPr>
        <w:t xml:space="preserve"> 12, 15 et </w:t>
      </w:r>
      <w:r w:rsidR="00301B69">
        <w:rPr>
          <w:lang w:val="fr-CH" w:eastAsia="zh-CN"/>
        </w:rPr>
        <w:t>18 </w:t>
      </w:r>
      <w:r w:rsidRPr="00C23AA1">
        <w:rPr>
          <w:lang w:val="fr-CH" w:eastAsia="zh-CN"/>
        </w:rPr>
        <w:t>spécialistes (</w:t>
      </w:r>
      <w:r w:rsidR="009D5589">
        <w:rPr>
          <w:lang w:val="fr-CH" w:eastAsia="zh-CN"/>
        </w:rPr>
        <w:t>expérience</w:t>
      </w:r>
      <w:r>
        <w:rPr>
          <w:lang w:val="fr-CH" w:eastAsia="zh-CN"/>
        </w:rPr>
        <w:t xml:space="preserve"> d</w:t>
      </w:r>
      <w:r w:rsidR="00101F61">
        <w:rPr>
          <w:lang w:val="fr-CH" w:eastAsia="zh-CN"/>
        </w:rPr>
        <w:t>'</w:t>
      </w:r>
      <w:r>
        <w:rPr>
          <w:lang w:val="fr-CH" w:eastAsia="zh-CN"/>
        </w:rPr>
        <w:t>évaluation subjective formel</w:t>
      </w:r>
      <w:r w:rsidR="00B80FCD">
        <w:rPr>
          <w:lang w:val="fr-CH" w:eastAsia="zh-CN"/>
        </w:rPr>
        <w:t>le</w:t>
      </w:r>
      <w:r>
        <w:rPr>
          <w:lang w:val="fr-CH" w:eastAsia="zh-CN"/>
        </w:rPr>
        <w:t>).</w:t>
      </w:r>
      <w:r w:rsidR="00E867F8" w:rsidRPr="00C23AA1">
        <w:rPr>
          <w:lang w:val="fr-CH" w:eastAsia="zh-CN"/>
        </w:rPr>
        <w:t xml:space="preserve"> </w:t>
      </w:r>
    </w:p>
    <w:p w:rsidR="00E867F8" w:rsidRPr="00C23AA1" w:rsidRDefault="008B50E1" w:rsidP="001B7F53">
      <w:pPr>
        <w:jc w:val="both"/>
        <w:rPr>
          <w:lang w:val="fr-CH" w:eastAsia="zh-CN"/>
        </w:rPr>
      </w:pPr>
      <w:r w:rsidRPr="00C23AA1">
        <w:rPr>
          <w:lang w:val="fr-CH" w:eastAsia="zh-CN"/>
        </w:rPr>
        <w:t>Il ressort de la</w:t>
      </w:r>
      <w:r w:rsidR="000E685C" w:rsidRPr="00C23AA1">
        <w:rPr>
          <w:lang w:val="fr-CH" w:eastAsia="zh-CN"/>
        </w:rPr>
        <w:t xml:space="preserve"> Fig</w:t>
      </w:r>
      <w:r w:rsidRPr="00C23AA1">
        <w:rPr>
          <w:lang w:val="fr-CH" w:eastAsia="zh-CN"/>
        </w:rPr>
        <w:t>ure</w:t>
      </w:r>
      <w:r w:rsidR="00A1334E" w:rsidRPr="00C23AA1">
        <w:rPr>
          <w:lang w:val="fr-CH" w:eastAsia="zh-CN"/>
        </w:rPr>
        <w:t> </w:t>
      </w:r>
      <w:r w:rsidR="000E685C" w:rsidRPr="00C23AA1">
        <w:rPr>
          <w:lang w:val="fr-CH" w:eastAsia="zh-CN"/>
        </w:rPr>
        <w:t xml:space="preserve">3 (expérience portant sur un contenu UHD) et </w:t>
      </w:r>
      <w:r w:rsidR="00A1334E" w:rsidRPr="00C23AA1">
        <w:rPr>
          <w:lang w:val="fr-CH" w:eastAsia="zh-CN"/>
        </w:rPr>
        <w:t>de la Figure 4</w:t>
      </w:r>
      <w:r w:rsidR="00DB2F65" w:rsidRPr="00C23AA1">
        <w:rPr>
          <w:lang w:val="fr-CH" w:eastAsia="zh-CN"/>
        </w:rPr>
        <w:t xml:space="preserve"> (expérience portant sur un contenu HD) que les résultats des classements </w:t>
      </w:r>
      <w:r w:rsidR="00D72E43">
        <w:rPr>
          <w:lang w:val="fr-CH" w:eastAsia="zh-CN"/>
        </w:rPr>
        <w:t xml:space="preserve">obtenus </w:t>
      </w:r>
      <w:r w:rsidR="00C1218F">
        <w:rPr>
          <w:lang w:val="fr-CH" w:eastAsia="zh-CN"/>
        </w:rPr>
        <w:t>dans les</w:t>
      </w:r>
      <w:r w:rsidR="00D72E43">
        <w:rPr>
          <w:lang w:val="fr-CH" w:eastAsia="zh-CN"/>
        </w:rPr>
        <w:t xml:space="preserve"> quatre cas considérés </w:t>
      </w:r>
      <w:r w:rsidR="00DB2F65" w:rsidRPr="00C23AA1">
        <w:rPr>
          <w:lang w:val="fr-CH" w:eastAsia="zh-CN"/>
        </w:rPr>
        <w:t xml:space="preserve">sont très </w:t>
      </w:r>
      <w:r w:rsidR="00DB2F65">
        <w:rPr>
          <w:lang w:val="fr-CH" w:eastAsia="zh-CN"/>
        </w:rPr>
        <w:t xml:space="preserve">similaires. </w:t>
      </w:r>
    </w:p>
    <w:p w:rsidR="00E867F8" w:rsidRPr="00C23AA1" w:rsidRDefault="00FD5E54" w:rsidP="001B7F53">
      <w:pPr>
        <w:jc w:val="both"/>
        <w:rPr>
          <w:lang w:val="fr-CH" w:eastAsia="zh-CN"/>
        </w:rPr>
      </w:pPr>
      <w:r w:rsidRPr="00FD5E54">
        <w:rPr>
          <w:lang w:val="fr-CH" w:eastAsia="zh-CN"/>
        </w:rPr>
        <w:t xml:space="preserve">Si </w:t>
      </w:r>
      <w:r w:rsidR="00C1218F">
        <w:rPr>
          <w:lang w:val="fr-CH" w:eastAsia="zh-CN"/>
        </w:rPr>
        <w:t>l</w:t>
      </w:r>
      <w:r w:rsidR="00101F61">
        <w:rPr>
          <w:lang w:val="fr-CH" w:eastAsia="zh-CN"/>
        </w:rPr>
        <w:t>'</w:t>
      </w:r>
      <w:r w:rsidR="00C1218F">
        <w:rPr>
          <w:lang w:val="fr-CH" w:eastAsia="zh-CN"/>
        </w:rPr>
        <w:t>on prend</w:t>
      </w:r>
      <w:r w:rsidRPr="00C23AA1">
        <w:rPr>
          <w:lang w:val="fr-CH" w:eastAsia="zh-CN"/>
        </w:rPr>
        <w:t xml:space="preserve"> comme référence</w:t>
      </w:r>
      <w:r w:rsidR="00C1218F">
        <w:rPr>
          <w:lang w:val="fr-CH" w:eastAsia="zh-CN"/>
        </w:rPr>
        <w:t xml:space="preserve"> les résultats obtenus avec</w:t>
      </w:r>
      <w:r w:rsidRPr="00C23AA1">
        <w:rPr>
          <w:lang w:val="fr-CH" w:eastAsia="zh-CN"/>
        </w:rPr>
        <w:t xml:space="preserve"> le groupe de 18 observateurs,</w:t>
      </w:r>
      <w:r w:rsidR="0082428E">
        <w:rPr>
          <w:lang w:val="fr-CH" w:eastAsia="zh-CN"/>
        </w:rPr>
        <w:t xml:space="preserve"> </w:t>
      </w:r>
      <w:r w:rsidR="0022029E">
        <w:rPr>
          <w:lang w:val="fr-CH" w:eastAsia="zh-CN"/>
        </w:rPr>
        <w:t>on peut</w:t>
      </w:r>
      <w:r w:rsidRPr="00C23AA1">
        <w:rPr>
          <w:lang w:val="fr-CH" w:eastAsia="zh-CN"/>
        </w:rPr>
        <w:t xml:space="preserve"> tracer les </w:t>
      </w:r>
      <w:r w:rsidR="0022029E">
        <w:rPr>
          <w:lang w:val="fr-CH" w:eastAsia="zh-CN"/>
        </w:rPr>
        <w:t>graphiques des Figures 3 et 4</w:t>
      </w:r>
      <w:r w:rsidRPr="00C23AA1">
        <w:rPr>
          <w:lang w:val="fr-CH" w:eastAsia="zh-CN"/>
        </w:rPr>
        <w:t xml:space="preserve"> en classant les </w:t>
      </w:r>
      <w:r w:rsidR="00F81AEA">
        <w:rPr>
          <w:lang w:val="fr-CH" w:eastAsia="zh-CN"/>
        </w:rPr>
        <w:t>séquences évaluées</w:t>
      </w:r>
      <w:r>
        <w:rPr>
          <w:lang w:val="fr-CH" w:eastAsia="zh-CN"/>
        </w:rPr>
        <w:t xml:space="preserve"> selon les valeurs des notes moyennes</w:t>
      </w:r>
      <w:r w:rsidR="00C1218F">
        <w:rPr>
          <w:lang w:val="fr-CH" w:eastAsia="zh-CN"/>
        </w:rPr>
        <w:t xml:space="preserve"> d</w:t>
      </w:r>
      <w:r w:rsidR="00101F61">
        <w:rPr>
          <w:lang w:val="fr-CH" w:eastAsia="zh-CN"/>
        </w:rPr>
        <w:t>'</w:t>
      </w:r>
      <w:r w:rsidR="00C1218F">
        <w:rPr>
          <w:lang w:val="fr-CH" w:eastAsia="zh-CN"/>
        </w:rPr>
        <w:t>opinion</w:t>
      </w:r>
      <w:r>
        <w:rPr>
          <w:lang w:val="fr-CH" w:eastAsia="zh-CN"/>
        </w:rPr>
        <w:t xml:space="preserve"> obtenues </w:t>
      </w:r>
      <w:r w:rsidR="00C1218F">
        <w:rPr>
          <w:lang w:val="fr-CH" w:eastAsia="zh-CN"/>
        </w:rPr>
        <w:t>avec le</w:t>
      </w:r>
      <w:r>
        <w:rPr>
          <w:lang w:val="fr-CH" w:eastAsia="zh-CN"/>
        </w:rPr>
        <w:t xml:space="preserve"> groupe de 18 observateurs (</w:t>
      </w:r>
      <w:r w:rsidR="00B062F1">
        <w:rPr>
          <w:lang w:val="fr-CH" w:eastAsia="zh-CN"/>
        </w:rPr>
        <w:t>courbe continue</w:t>
      </w:r>
      <w:r w:rsidR="00FE7B18">
        <w:rPr>
          <w:lang w:val="fr-CH" w:eastAsia="zh-CN"/>
        </w:rPr>
        <w:t xml:space="preserve"> rouge</w:t>
      </w:r>
      <w:r>
        <w:rPr>
          <w:lang w:val="fr-CH" w:eastAsia="zh-CN"/>
        </w:rPr>
        <w:t>).</w:t>
      </w:r>
      <w:r w:rsidRPr="00C23AA1">
        <w:rPr>
          <w:lang w:val="fr-CH" w:eastAsia="zh-CN"/>
        </w:rPr>
        <w:t xml:space="preserve"> </w:t>
      </w:r>
    </w:p>
    <w:p w:rsidR="00E867F8" w:rsidRPr="00C23AA1" w:rsidRDefault="00B062F1" w:rsidP="001B7F53">
      <w:pPr>
        <w:jc w:val="both"/>
        <w:rPr>
          <w:lang w:val="fr-CH" w:eastAsia="zh-CN"/>
        </w:rPr>
      </w:pPr>
      <w:r w:rsidRPr="00C23AA1">
        <w:rPr>
          <w:lang w:val="fr-CH" w:eastAsia="zh-CN"/>
        </w:rPr>
        <w:t xml:space="preserve">Les autres courbes des graphiques </w:t>
      </w:r>
      <w:r w:rsidR="0022029E">
        <w:rPr>
          <w:lang w:val="fr-CH" w:eastAsia="zh-CN"/>
        </w:rPr>
        <w:t>représentent</w:t>
      </w:r>
      <w:r w:rsidRPr="00C23AA1">
        <w:rPr>
          <w:lang w:val="fr-CH" w:eastAsia="zh-CN"/>
        </w:rPr>
        <w:t xml:space="preserve"> les résultats obtenus </w:t>
      </w:r>
      <w:r w:rsidR="00C1218F">
        <w:rPr>
          <w:lang w:val="fr-CH" w:eastAsia="zh-CN"/>
        </w:rPr>
        <w:t>avec le</w:t>
      </w:r>
      <w:r w:rsidRPr="00C23AA1">
        <w:rPr>
          <w:lang w:val="fr-CH" w:eastAsia="zh-CN"/>
        </w:rPr>
        <w:t xml:space="preserve"> groupe de neuf observateurs (</w:t>
      </w:r>
      <w:r w:rsidR="00FE7B18" w:rsidRPr="00C23AA1">
        <w:rPr>
          <w:lang w:val="fr-CH" w:eastAsia="zh-CN"/>
        </w:rPr>
        <w:t>courbe</w:t>
      </w:r>
      <w:r w:rsidRPr="00C23AA1">
        <w:rPr>
          <w:lang w:val="fr-CH" w:eastAsia="zh-CN"/>
        </w:rPr>
        <w:t xml:space="preserve"> en pointillé</w:t>
      </w:r>
      <w:r w:rsidR="00FE7B18" w:rsidRPr="00C23AA1">
        <w:rPr>
          <w:lang w:val="fr-CH" w:eastAsia="zh-CN"/>
        </w:rPr>
        <w:t>s</w:t>
      </w:r>
      <w:r w:rsidR="00FE7B18" w:rsidRPr="00FE7B18">
        <w:rPr>
          <w:lang w:val="fr-CH" w:eastAsia="zh-CN"/>
        </w:rPr>
        <w:t xml:space="preserve"> </w:t>
      </w:r>
      <w:r w:rsidR="00FE7B18" w:rsidRPr="00961BEC">
        <w:rPr>
          <w:lang w:val="fr-CH" w:eastAsia="zh-CN"/>
        </w:rPr>
        <w:t>rouge</w:t>
      </w:r>
      <w:r w:rsidR="00FE7B18" w:rsidRPr="00C23AA1">
        <w:rPr>
          <w:lang w:val="fr-CH" w:eastAsia="zh-CN"/>
        </w:rPr>
        <w:t>)</w:t>
      </w:r>
      <w:r w:rsidR="00FE7B18">
        <w:rPr>
          <w:lang w:val="fr-CH" w:eastAsia="zh-CN"/>
        </w:rPr>
        <w:t>, de 12 observateurs (courbe en trait</w:t>
      </w:r>
      <w:r w:rsidR="00B324D7">
        <w:rPr>
          <w:lang w:val="fr-CH" w:eastAsia="zh-CN"/>
        </w:rPr>
        <w:t>s</w:t>
      </w:r>
      <w:r w:rsidR="003F59DB">
        <w:rPr>
          <w:lang w:val="fr-CH" w:eastAsia="zh-CN"/>
        </w:rPr>
        <w:t xml:space="preserve"> discontinus</w:t>
      </w:r>
      <w:r w:rsidR="00FE7B18">
        <w:rPr>
          <w:lang w:val="fr-CH" w:eastAsia="zh-CN"/>
        </w:rPr>
        <w:t xml:space="preserve"> bleue) et de 15 observateurs (courbe continue verte).</w:t>
      </w:r>
    </w:p>
    <w:p w:rsidR="00E867F8" w:rsidRPr="00C23AA1" w:rsidRDefault="00EE3E57" w:rsidP="001B7F53">
      <w:pPr>
        <w:jc w:val="both"/>
        <w:rPr>
          <w:lang w:val="fr-CH" w:eastAsia="zh-CN"/>
        </w:rPr>
      </w:pPr>
      <w:r w:rsidRPr="00C23AA1">
        <w:rPr>
          <w:lang w:val="fr-CH" w:eastAsia="zh-CN"/>
        </w:rPr>
        <w:t xml:space="preserve">En observant les résultats </w:t>
      </w:r>
      <w:r>
        <w:rPr>
          <w:lang w:val="fr-CH" w:eastAsia="zh-CN"/>
        </w:rPr>
        <w:t xml:space="preserve">représentés </w:t>
      </w:r>
      <w:r w:rsidRPr="00C23AA1">
        <w:rPr>
          <w:lang w:val="fr-CH" w:eastAsia="zh-CN"/>
        </w:rPr>
        <w:t xml:space="preserve">dans </w:t>
      </w:r>
      <w:r w:rsidR="00BA1B04">
        <w:rPr>
          <w:lang w:val="fr-CH" w:eastAsia="zh-CN"/>
        </w:rPr>
        <w:t>les Figures 3 et 4</w:t>
      </w:r>
      <w:r>
        <w:rPr>
          <w:lang w:val="fr-CH" w:eastAsia="zh-CN"/>
        </w:rPr>
        <w:t>, il convient de noter que:</w:t>
      </w:r>
    </w:p>
    <w:p w:rsidR="00E867F8" w:rsidRPr="00C23AA1" w:rsidRDefault="00E867F8" w:rsidP="001B7F53">
      <w:pPr>
        <w:pStyle w:val="enumlev1"/>
        <w:jc w:val="both"/>
        <w:rPr>
          <w:lang w:val="fr-CH" w:eastAsia="zh-CN"/>
        </w:rPr>
      </w:pPr>
      <w:r w:rsidRPr="00C23AA1">
        <w:rPr>
          <w:lang w:val="fr-CH" w:eastAsia="zh-CN"/>
        </w:rPr>
        <w:t>–</w:t>
      </w:r>
      <w:r w:rsidRPr="00C23AA1">
        <w:rPr>
          <w:lang w:val="fr-CH" w:eastAsia="zh-CN"/>
        </w:rPr>
        <w:tab/>
      </w:r>
      <w:r w:rsidR="00796E49">
        <w:rPr>
          <w:lang w:val="fr-CH" w:eastAsia="zh-CN"/>
        </w:rPr>
        <w:t xml:space="preserve">les </w:t>
      </w:r>
      <w:r w:rsidR="001E3AFB" w:rsidRPr="00C23AA1">
        <w:rPr>
          <w:lang w:val="fr-CH" w:eastAsia="zh-CN"/>
        </w:rPr>
        <w:t xml:space="preserve">courbes représentant les résultats obtenus </w:t>
      </w:r>
      <w:r w:rsidR="00C1218F">
        <w:rPr>
          <w:lang w:val="fr-CH" w:eastAsia="zh-CN"/>
        </w:rPr>
        <w:t>avec les</w:t>
      </w:r>
      <w:r w:rsidR="007504CF">
        <w:rPr>
          <w:lang w:val="fr-CH" w:eastAsia="zh-CN"/>
        </w:rPr>
        <w:t xml:space="preserve"> groupes de 15 et de 18 </w:t>
      </w:r>
      <w:r w:rsidR="001E3AFB" w:rsidRPr="00C23AA1">
        <w:rPr>
          <w:lang w:val="fr-CH" w:eastAsia="zh-CN"/>
        </w:rPr>
        <w:t xml:space="preserve">observateurs </w:t>
      </w:r>
      <w:r w:rsidR="00C1218F">
        <w:rPr>
          <w:lang w:val="fr-CH" w:eastAsia="zh-CN"/>
        </w:rPr>
        <w:t>présentent une pente homogène</w:t>
      </w:r>
      <w:r w:rsidR="002D59CE">
        <w:rPr>
          <w:lang w:val="fr-CH" w:eastAsia="zh-CN"/>
        </w:rPr>
        <w:t xml:space="preserve">, </w:t>
      </w:r>
      <w:r w:rsidR="00C1218F">
        <w:rPr>
          <w:lang w:val="fr-CH" w:eastAsia="zh-CN"/>
        </w:rPr>
        <w:t>concernant aussi bien</w:t>
      </w:r>
      <w:r w:rsidR="002D59CE">
        <w:rPr>
          <w:lang w:val="fr-CH" w:eastAsia="zh-CN"/>
        </w:rPr>
        <w:t xml:space="preserve"> les notes moyennes d</w:t>
      </w:r>
      <w:r w:rsidR="00101F61">
        <w:rPr>
          <w:lang w:val="fr-CH" w:eastAsia="zh-CN"/>
        </w:rPr>
        <w:t>'</w:t>
      </w:r>
      <w:r w:rsidR="00C1218F">
        <w:rPr>
          <w:lang w:val="fr-CH" w:eastAsia="zh-CN"/>
        </w:rPr>
        <w:t>opinion pour les</w:t>
      </w:r>
      <w:r w:rsidR="002D59CE">
        <w:rPr>
          <w:lang w:val="fr-CH" w:eastAsia="zh-CN"/>
        </w:rPr>
        <w:t xml:space="preserve"> </w:t>
      </w:r>
      <w:r w:rsidR="001C6A56">
        <w:rPr>
          <w:lang w:val="fr-CH" w:eastAsia="zh-CN"/>
        </w:rPr>
        <w:t xml:space="preserve">séquences </w:t>
      </w:r>
      <w:r w:rsidR="002D59CE">
        <w:rPr>
          <w:lang w:val="fr-CH" w:eastAsia="zh-CN"/>
        </w:rPr>
        <w:t xml:space="preserve">de bonne qualité que </w:t>
      </w:r>
      <w:r w:rsidR="00C1218F">
        <w:rPr>
          <w:lang w:val="fr-CH" w:eastAsia="zh-CN"/>
        </w:rPr>
        <w:t>celles pour les</w:t>
      </w:r>
      <w:r w:rsidR="002D59CE">
        <w:rPr>
          <w:lang w:val="fr-CH" w:eastAsia="zh-CN"/>
        </w:rPr>
        <w:t xml:space="preserve"> </w:t>
      </w:r>
      <w:r w:rsidR="00160DC6">
        <w:rPr>
          <w:lang w:val="fr-CH" w:eastAsia="zh-CN"/>
        </w:rPr>
        <w:t>séquences</w:t>
      </w:r>
      <w:r w:rsidR="002D59CE">
        <w:rPr>
          <w:lang w:val="fr-CH" w:eastAsia="zh-CN"/>
        </w:rPr>
        <w:t xml:space="preserve"> de mauvaise qualité</w:t>
      </w:r>
      <w:r w:rsidR="00F86193">
        <w:rPr>
          <w:lang w:val="fr-CH" w:eastAsia="zh-CN"/>
        </w:rPr>
        <w:t>;</w:t>
      </w:r>
    </w:p>
    <w:p w:rsidR="00E867F8" w:rsidRPr="00C23AA1" w:rsidRDefault="00E867F8" w:rsidP="001B7F53">
      <w:pPr>
        <w:pStyle w:val="enumlev1"/>
        <w:jc w:val="both"/>
        <w:rPr>
          <w:lang w:val="fr-CH" w:eastAsia="zh-CN"/>
        </w:rPr>
      </w:pPr>
      <w:r w:rsidRPr="00C23AA1">
        <w:rPr>
          <w:lang w:val="fr-CH" w:eastAsia="zh-CN"/>
        </w:rPr>
        <w:t>–</w:t>
      </w:r>
      <w:r w:rsidRPr="00C23AA1">
        <w:rPr>
          <w:lang w:val="fr-CH" w:eastAsia="zh-CN"/>
        </w:rPr>
        <w:tab/>
      </w:r>
      <w:r w:rsidR="00F86193" w:rsidRPr="00C23AA1">
        <w:rPr>
          <w:lang w:val="fr-CH" w:eastAsia="zh-CN"/>
        </w:rPr>
        <w:t xml:space="preserve">les courbes représentant les résultats obtenus </w:t>
      </w:r>
      <w:r w:rsidR="00C1218F">
        <w:rPr>
          <w:lang w:val="fr-CH" w:eastAsia="zh-CN"/>
        </w:rPr>
        <w:t>avec les</w:t>
      </w:r>
      <w:r w:rsidR="002D59CE">
        <w:rPr>
          <w:lang w:val="fr-CH" w:eastAsia="zh-CN"/>
        </w:rPr>
        <w:t xml:space="preserve"> groupes de neuf et de 12 </w:t>
      </w:r>
      <w:r w:rsidR="00F86193" w:rsidRPr="00C23AA1">
        <w:rPr>
          <w:lang w:val="fr-CH" w:eastAsia="zh-CN"/>
        </w:rPr>
        <w:t xml:space="preserve">observateurs </w:t>
      </w:r>
      <w:r w:rsidR="00255A5C">
        <w:rPr>
          <w:lang w:val="fr-CH" w:eastAsia="zh-CN"/>
        </w:rPr>
        <w:t>présentent certaines «</w:t>
      </w:r>
      <w:r w:rsidR="009306B0">
        <w:rPr>
          <w:lang w:val="fr-CH" w:eastAsia="zh-CN"/>
        </w:rPr>
        <w:t>inversions</w:t>
      </w:r>
      <w:r w:rsidR="00255A5C">
        <w:rPr>
          <w:lang w:val="fr-CH" w:eastAsia="zh-CN"/>
        </w:rPr>
        <w:t>»</w:t>
      </w:r>
      <w:r w:rsidR="009306B0">
        <w:rPr>
          <w:lang w:val="fr-CH" w:eastAsia="zh-CN"/>
        </w:rPr>
        <w:t xml:space="preserve"> dans le classement par rapport </w:t>
      </w:r>
      <w:r w:rsidR="00C1218F">
        <w:rPr>
          <w:lang w:val="fr-CH" w:eastAsia="zh-CN"/>
        </w:rPr>
        <w:t xml:space="preserve">à la courbe </w:t>
      </w:r>
      <w:r w:rsidR="00873F5D">
        <w:rPr>
          <w:lang w:val="fr-CH" w:eastAsia="zh-CN"/>
        </w:rPr>
        <w:t xml:space="preserve">correspondant </w:t>
      </w:r>
      <w:r w:rsidR="00C1218F">
        <w:rPr>
          <w:lang w:val="fr-CH" w:eastAsia="zh-CN"/>
        </w:rPr>
        <w:t xml:space="preserve">au </w:t>
      </w:r>
      <w:r w:rsidR="00F86193" w:rsidRPr="00C23AA1">
        <w:rPr>
          <w:lang w:val="fr-CH" w:eastAsia="zh-CN"/>
        </w:rPr>
        <w:t xml:space="preserve">groupe de </w:t>
      </w:r>
      <w:r w:rsidR="009306B0">
        <w:rPr>
          <w:lang w:val="fr-CH" w:eastAsia="zh-CN"/>
        </w:rPr>
        <w:t>18 o</w:t>
      </w:r>
      <w:r w:rsidR="00F86193" w:rsidRPr="00C23AA1">
        <w:rPr>
          <w:lang w:val="fr-CH" w:eastAsia="zh-CN"/>
        </w:rPr>
        <w:t xml:space="preserve">bservateurs, </w:t>
      </w:r>
      <w:r w:rsidR="009306B0">
        <w:rPr>
          <w:lang w:val="fr-CH" w:eastAsia="zh-CN"/>
        </w:rPr>
        <w:t>bien que ces variations aient une portée limitée</w:t>
      </w:r>
      <w:r w:rsidR="00163F7D">
        <w:rPr>
          <w:lang w:val="fr-CH" w:eastAsia="zh-CN"/>
        </w:rPr>
        <w:t>.</w:t>
      </w:r>
    </w:p>
    <w:p w:rsidR="00E867F8" w:rsidRPr="00C23AA1" w:rsidRDefault="00875593" w:rsidP="001B7F53">
      <w:pPr>
        <w:jc w:val="both"/>
        <w:rPr>
          <w:lang w:val="fr-CH" w:eastAsia="zh-CN"/>
        </w:rPr>
      </w:pPr>
      <w:r>
        <w:rPr>
          <w:lang w:val="fr-CH" w:eastAsia="zh-CN"/>
        </w:rPr>
        <w:t>En conclusion</w:t>
      </w:r>
      <w:r w:rsidR="00F86193" w:rsidRPr="00C23AA1">
        <w:rPr>
          <w:lang w:val="fr-CH" w:eastAsia="zh-CN"/>
        </w:rPr>
        <w:t xml:space="preserve">, les expériences EVP décrites ci-avant </w:t>
      </w:r>
      <w:r w:rsidR="00130721" w:rsidRPr="00C23AA1">
        <w:rPr>
          <w:lang w:val="fr-CH" w:eastAsia="zh-CN"/>
        </w:rPr>
        <w:t>témoign</w:t>
      </w:r>
      <w:r w:rsidR="00BF28F7">
        <w:rPr>
          <w:lang w:val="fr-CH" w:eastAsia="zh-CN"/>
        </w:rPr>
        <w:t xml:space="preserve">ent de la très bonne qualité des résultats obtenus </w:t>
      </w:r>
      <w:r w:rsidR="00C1218F">
        <w:rPr>
          <w:lang w:val="fr-CH" w:eastAsia="zh-CN"/>
        </w:rPr>
        <w:t>au moyen</w:t>
      </w:r>
      <w:r w:rsidR="00BF28F7">
        <w:rPr>
          <w:lang w:val="fr-CH" w:eastAsia="zh-CN"/>
        </w:rPr>
        <w:t xml:space="preserve"> du</w:t>
      </w:r>
      <w:r w:rsidR="00130721" w:rsidRPr="00C23AA1">
        <w:rPr>
          <w:lang w:val="fr-CH" w:eastAsia="zh-CN"/>
        </w:rPr>
        <w:t xml:space="preserve"> protocole EVP, ce qui vient confirmer les </w:t>
      </w:r>
      <w:r w:rsidR="00A83A7E">
        <w:rPr>
          <w:lang w:val="fr-CH" w:eastAsia="zh-CN"/>
        </w:rPr>
        <w:t>explications</w:t>
      </w:r>
      <w:r w:rsidR="00130721" w:rsidRPr="00C23AA1">
        <w:rPr>
          <w:lang w:val="fr-CH" w:eastAsia="zh-CN"/>
        </w:rPr>
        <w:t xml:space="preserve"> </w:t>
      </w:r>
      <w:r w:rsidR="005F01C6">
        <w:rPr>
          <w:lang w:val="fr-CH" w:eastAsia="zh-CN"/>
        </w:rPr>
        <w:t>données dans</w:t>
      </w:r>
      <w:r w:rsidR="00130721" w:rsidRPr="00C23AA1">
        <w:rPr>
          <w:lang w:val="fr-CH" w:eastAsia="zh-CN"/>
        </w:rPr>
        <w:t xml:space="preserve"> la Recommandation UIT-R BT.</w:t>
      </w:r>
      <w:r w:rsidR="00130721" w:rsidRPr="00130721">
        <w:rPr>
          <w:lang w:val="fr-CH" w:eastAsia="zh-CN"/>
        </w:rPr>
        <w:t>2095, à savoir que</w:t>
      </w:r>
      <w:r w:rsidR="001F6B53">
        <w:rPr>
          <w:lang w:val="fr-CH" w:eastAsia="zh-CN"/>
        </w:rPr>
        <w:t>,</w:t>
      </w:r>
      <w:r w:rsidR="00130721" w:rsidRPr="00130721">
        <w:rPr>
          <w:lang w:val="fr-CH" w:eastAsia="zh-CN"/>
        </w:rPr>
        <w:t xml:space="preserve"> </w:t>
      </w:r>
      <w:r w:rsidR="00130721" w:rsidRPr="00C23AA1">
        <w:rPr>
          <w:lang w:val="fr-CH" w:eastAsia="zh-CN"/>
        </w:rPr>
        <w:t>m</w:t>
      </w:r>
      <w:r w:rsidR="00130721">
        <w:rPr>
          <w:lang w:val="fr-CH" w:eastAsia="zh-CN"/>
        </w:rPr>
        <w:t>ême si l</w:t>
      </w:r>
      <w:r w:rsidR="00101F61">
        <w:rPr>
          <w:lang w:val="fr-CH" w:eastAsia="zh-CN"/>
        </w:rPr>
        <w:t>'</w:t>
      </w:r>
      <w:r w:rsidR="00130721">
        <w:rPr>
          <w:lang w:val="fr-CH" w:eastAsia="zh-CN"/>
        </w:rPr>
        <w:t>on ne peut pas considérer qu</w:t>
      </w:r>
      <w:r w:rsidR="00101F61">
        <w:rPr>
          <w:lang w:val="fr-CH" w:eastAsia="zh-CN"/>
        </w:rPr>
        <w:t>'</w:t>
      </w:r>
      <w:r w:rsidR="00130721">
        <w:rPr>
          <w:lang w:val="fr-CH" w:eastAsia="zh-CN"/>
        </w:rPr>
        <w:t xml:space="preserve">il remplace en tout point une expérience </w:t>
      </w:r>
      <w:r w:rsidR="00C1218F">
        <w:rPr>
          <w:lang w:val="fr-CH" w:eastAsia="zh-CN"/>
        </w:rPr>
        <w:t>d</w:t>
      </w:r>
      <w:r w:rsidR="00101F61">
        <w:rPr>
          <w:lang w:val="fr-CH" w:eastAsia="zh-CN"/>
        </w:rPr>
        <w:t>'</w:t>
      </w:r>
      <w:r w:rsidR="00C1218F">
        <w:rPr>
          <w:lang w:val="fr-CH" w:eastAsia="zh-CN"/>
        </w:rPr>
        <w:t xml:space="preserve">évaluation </w:t>
      </w:r>
      <w:r w:rsidR="00130721">
        <w:rPr>
          <w:lang w:val="fr-CH" w:eastAsia="zh-CN"/>
        </w:rPr>
        <w:t xml:space="preserve">subjective formelle, </w:t>
      </w:r>
      <w:r w:rsidR="001F6B53" w:rsidRPr="00130721">
        <w:rPr>
          <w:lang w:val="fr-CH" w:eastAsia="zh-CN"/>
        </w:rPr>
        <w:t>le protocole EVP</w:t>
      </w:r>
      <w:r w:rsidR="001F6B53">
        <w:rPr>
          <w:lang w:val="fr-CH" w:eastAsia="zh-CN"/>
        </w:rPr>
        <w:t xml:space="preserve"> </w:t>
      </w:r>
      <w:r w:rsidR="00130721">
        <w:rPr>
          <w:lang w:val="fr-CH" w:eastAsia="zh-CN"/>
        </w:rPr>
        <w:t>pourrait être considéré comme une procédure d</w:t>
      </w:r>
      <w:r w:rsidR="00101F61">
        <w:rPr>
          <w:lang w:val="fr-CH" w:eastAsia="zh-CN"/>
        </w:rPr>
        <w:t>'</w:t>
      </w:r>
      <w:r w:rsidR="00130721">
        <w:rPr>
          <w:lang w:val="fr-CH" w:eastAsia="zh-CN"/>
        </w:rPr>
        <w:t>évalua</w:t>
      </w:r>
      <w:r w:rsidR="00B324D7">
        <w:rPr>
          <w:lang w:val="fr-CH" w:eastAsia="zh-CN"/>
        </w:rPr>
        <w:t>t</w:t>
      </w:r>
      <w:r w:rsidR="001F6B53">
        <w:rPr>
          <w:lang w:val="fr-CH" w:eastAsia="zh-CN"/>
        </w:rPr>
        <w:t>ion st</w:t>
      </w:r>
      <w:r w:rsidR="00130721">
        <w:rPr>
          <w:lang w:val="fr-CH" w:eastAsia="zh-CN"/>
        </w:rPr>
        <w:t>able</w:t>
      </w:r>
      <w:r w:rsidR="001F6B53">
        <w:rPr>
          <w:lang w:val="fr-CH" w:eastAsia="zh-CN"/>
        </w:rPr>
        <w:t>, qui fournit d</w:t>
      </w:r>
      <w:r w:rsidR="00130721">
        <w:rPr>
          <w:lang w:val="fr-CH" w:eastAsia="zh-CN"/>
        </w:rPr>
        <w:t>es résultats trè</w:t>
      </w:r>
      <w:r w:rsidR="004B3EBE">
        <w:rPr>
          <w:lang w:val="fr-CH" w:eastAsia="zh-CN"/>
        </w:rPr>
        <w:t xml:space="preserve">s proches de ceux obtenus </w:t>
      </w:r>
      <w:r w:rsidR="00DA0119">
        <w:rPr>
          <w:lang w:val="fr-CH" w:eastAsia="zh-CN"/>
        </w:rPr>
        <w:t>lorsqu</w:t>
      </w:r>
      <w:r w:rsidR="00101F61">
        <w:rPr>
          <w:lang w:val="fr-CH" w:eastAsia="zh-CN"/>
        </w:rPr>
        <w:t>'</w:t>
      </w:r>
      <w:r w:rsidR="00DA0119">
        <w:rPr>
          <w:lang w:val="fr-CH" w:eastAsia="zh-CN"/>
        </w:rPr>
        <w:t>un</w:t>
      </w:r>
      <w:r w:rsidR="00130721">
        <w:rPr>
          <w:lang w:val="fr-CH" w:eastAsia="zh-CN"/>
        </w:rPr>
        <w:t xml:space="preserve"> nombre beaucoup plus important d</w:t>
      </w:r>
      <w:r w:rsidR="00101F61">
        <w:rPr>
          <w:lang w:val="fr-CH" w:eastAsia="zh-CN"/>
        </w:rPr>
        <w:t>'</w:t>
      </w:r>
      <w:r w:rsidR="00130721">
        <w:rPr>
          <w:lang w:val="fr-CH" w:eastAsia="zh-CN"/>
        </w:rPr>
        <w:t xml:space="preserve">observateurs est disponible et </w:t>
      </w:r>
      <w:r w:rsidR="00DA0119">
        <w:rPr>
          <w:lang w:val="fr-CH" w:eastAsia="zh-CN"/>
        </w:rPr>
        <w:t>qu</w:t>
      </w:r>
      <w:r w:rsidR="00101F61">
        <w:rPr>
          <w:lang w:val="fr-CH" w:eastAsia="zh-CN"/>
        </w:rPr>
        <w:t>'</w:t>
      </w:r>
      <w:r w:rsidR="00130721">
        <w:rPr>
          <w:lang w:val="fr-CH" w:eastAsia="zh-CN"/>
        </w:rPr>
        <w:t>un</w:t>
      </w:r>
      <w:r w:rsidR="00DA0119">
        <w:rPr>
          <w:lang w:val="fr-CH" w:eastAsia="zh-CN"/>
        </w:rPr>
        <w:t>e évaluation</w:t>
      </w:r>
      <w:r w:rsidR="00441A79">
        <w:rPr>
          <w:lang w:val="fr-CH" w:eastAsia="zh-CN"/>
        </w:rPr>
        <w:t xml:space="preserve"> subjective formelle</w:t>
      </w:r>
      <w:r w:rsidR="00130721">
        <w:rPr>
          <w:lang w:val="fr-CH" w:eastAsia="zh-CN"/>
        </w:rPr>
        <w:t xml:space="preserve"> est réalisé</w:t>
      </w:r>
      <w:r w:rsidR="00441A79">
        <w:rPr>
          <w:lang w:val="fr-CH" w:eastAsia="zh-CN"/>
        </w:rPr>
        <w:t>e</w:t>
      </w:r>
      <w:r w:rsidR="00130721">
        <w:rPr>
          <w:lang w:val="fr-CH" w:eastAsia="zh-CN"/>
        </w:rPr>
        <w:t>.</w:t>
      </w:r>
      <w:r w:rsidR="00E867F8" w:rsidRPr="00C23AA1">
        <w:rPr>
          <w:lang w:val="fr-CH" w:eastAsia="zh-CN"/>
        </w:rPr>
        <w:t xml:space="preserve"> </w:t>
      </w:r>
    </w:p>
    <w:p w:rsidR="00E867F8" w:rsidRPr="00C23AA1" w:rsidRDefault="00E867F8" w:rsidP="000B0017">
      <w:pPr>
        <w:pStyle w:val="FigureNo"/>
        <w:rPr>
          <w:lang w:val="fr-CH"/>
        </w:rPr>
      </w:pPr>
      <w:r w:rsidRPr="00C23AA1">
        <w:rPr>
          <w:lang w:val="fr-CH"/>
        </w:rPr>
        <w:lastRenderedPageBreak/>
        <w:t>Figure 3</w:t>
      </w:r>
    </w:p>
    <w:p w:rsidR="00E867F8" w:rsidRPr="00C23AA1" w:rsidRDefault="00C1218F" w:rsidP="000B0017">
      <w:pPr>
        <w:pStyle w:val="Figuretitle"/>
        <w:rPr>
          <w:lang w:val="fr-CH"/>
        </w:rPr>
      </w:pPr>
      <w:r>
        <w:rPr>
          <w:lang w:val="fr-CH"/>
        </w:rPr>
        <w:t>Classement pour</w:t>
      </w:r>
      <w:r w:rsidR="00DE21B1" w:rsidRPr="00C23AA1">
        <w:rPr>
          <w:lang w:val="fr-CH"/>
        </w:rPr>
        <w:t xml:space="preserve"> l</w:t>
      </w:r>
      <w:r w:rsidR="00101F61">
        <w:rPr>
          <w:lang w:val="fr-CH"/>
        </w:rPr>
        <w:t>'</w:t>
      </w:r>
      <w:r w:rsidR="00DE21B1" w:rsidRPr="00C23AA1">
        <w:rPr>
          <w:lang w:val="fr-CH"/>
        </w:rPr>
        <w:t>expérience UHD en fonction du nombre d</w:t>
      </w:r>
      <w:r w:rsidR="00101F61">
        <w:rPr>
          <w:lang w:val="fr-CH"/>
        </w:rPr>
        <w:t>'</w:t>
      </w:r>
      <w:r w:rsidR="00DE21B1" w:rsidRPr="00C23AA1">
        <w:rPr>
          <w:lang w:val="fr-CH"/>
        </w:rPr>
        <w:t xml:space="preserve">observateurs </w:t>
      </w:r>
    </w:p>
    <w:p w:rsidR="00E867F8" w:rsidRPr="00F55855" w:rsidRDefault="000833CE" w:rsidP="000B0017">
      <w:pPr>
        <w:pStyle w:val="Figure"/>
        <w:rPr>
          <w:lang w:val="en-GB"/>
        </w:rPr>
      </w:pPr>
      <w:r>
        <w:object w:dxaOrig="6786" w:dyaOrig="4398">
          <v:shape id="_x0000_i1027" type="#_x0000_t75" style="width:339.6pt;height:219.2pt" o:ole="">
            <v:imagedata r:id="rId15" o:title=""/>
          </v:shape>
          <o:OLEObject Type="Embed" ProgID="CorelDraw.Graphic.16" ShapeID="_x0000_i1027" DrawAspect="Content" ObjectID="_1587535372" r:id="rId16"/>
        </w:object>
      </w:r>
    </w:p>
    <w:p w:rsidR="00E867F8" w:rsidRPr="00C23AA1" w:rsidRDefault="00E867F8" w:rsidP="000B0017">
      <w:pPr>
        <w:pStyle w:val="FigureNo"/>
        <w:rPr>
          <w:lang w:val="fr-CH"/>
        </w:rPr>
      </w:pPr>
      <w:r w:rsidRPr="00C23AA1">
        <w:rPr>
          <w:lang w:val="fr-CH"/>
        </w:rPr>
        <w:t>Figure 4</w:t>
      </w:r>
    </w:p>
    <w:p w:rsidR="00E867F8" w:rsidRPr="00C23AA1" w:rsidRDefault="008A56D5" w:rsidP="000B0017">
      <w:pPr>
        <w:pStyle w:val="Figuretitle"/>
        <w:rPr>
          <w:lang w:val="fr-CH"/>
        </w:rPr>
      </w:pPr>
      <w:r>
        <w:rPr>
          <w:lang w:val="fr-CH"/>
        </w:rPr>
        <w:t>Classement pour</w:t>
      </w:r>
      <w:r w:rsidR="00177ED3" w:rsidRPr="00C23AA1">
        <w:rPr>
          <w:lang w:val="fr-CH"/>
        </w:rPr>
        <w:t xml:space="preserve"> l</w:t>
      </w:r>
      <w:r w:rsidR="00101F61">
        <w:rPr>
          <w:lang w:val="fr-CH"/>
        </w:rPr>
        <w:t>'</w:t>
      </w:r>
      <w:r w:rsidR="00177ED3" w:rsidRPr="00C23AA1">
        <w:rPr>
          <w:lang w:val="fr-CH"/>
        </w:rPr>
        <w:t>expérience HD en fonction du nombre d</w:t>
      </w:r>
      <w:r w:rsidR="00101F61">
        <w:rPr>
          <w:lang w:val="fr-CH"/>
        </w:rPr>
        <w:t>'</w:t>
      </w:r>
      <w:r w:rsidR="00177ED3" w:rsidRPr="00C23AA1">
        <w:rPr>
          <w:lang w:val="fr-CH"/>
        </w:rPr>
        <w:t>observateurs</w:t>
      </w:r>
    </w:p>
    <w:p w:rsidR="00E867F8" w:rsidRDefault="000833CE" w:rsidP="000B0017">
      <w:pPr>
        <w:pStyle w:val="Figure"/>
      </w:pPr>
      <w:r>
        <w:object w:dxaOrig="6780" w:dyaOrig="3917">
          <v:shape id="_x0000_i1028" type="#_x0000_t75" style="width:339.05pt;height:196.1pt" o:ole="">
            <v:imagedata r:id="rId17" o:title=""/>
          </v:shape>
          <o:OLEObject Type="Embed" ProgID="CorelDraw.Graphic.16" ShapeID="_x0000_i1028" DrawAspect="Content" ObjectID="_1587535373" r:id="rId18"/>
        </w:object>
      </w:r>
    </w:p>
    <w:p w:rsidR="00E867F8" w:rsidRDefault="00E867F8">
      <w:pPr>
        <w:pStyle w:val="Reasons"/>
      </w:pPr>
    </w:p>
    <w:p w:rsidR="00E867F8" w:rsidRDefault="00E867F8" w:rsidP="00AF333A">
      <w:pPr>
        <w:pStyle w:val="Line"/>
      </w:pPr>
    </w:p>
    <w:sectPr w:rsidR="00E867F8" w:rsidSect="00F00D0D">
      <w:headerReference w:type="even" r:id="rId19"/>
      <w:headerReference w:type="default" r:id="rId20"/>
      <w:foot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003" w:rsidRDefault="00012003">
      <w:r>
        <w:separator/>
      </w:r>
    </w:p>
  </w:endnote>
  <w:endnote w:type="continuationSeparator" w:id="0">
    <w:p w:rsidR="00012003" w:rsidRDefault="0001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33A" w:rsidRDefault="0008033A" w:rsidP="00080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003" w:rsidRDefault="00012003">
      <w:r>
        <w:separator/>
      </w:r>
    </w:p>
  </w:footnote>
  <w:footnote w:type="continuationSeparator" w:id="0">
    <w:p w:rsidR="00012003" w:rsidRDefault="00012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EC0" w:rsidRPr="00222EC0" w:rsidRDefault="00222EC0" w:rsidP="00222EC0">
    <w:pPr>
      <w:pStyle w:val="Header"/>
      <w:tabs>
        <w:tab w:val="clear" w:pos="1134"/>
        <w:tab w:val="clear" w:pos="1871"/>
        <w:tab w:val="clear" w:pos="2268"/>
      </w:tabs>
      <w:jc w:val="left"/>
      <w:rPr>
        <w:lang w:val="fr-CH"/>
      </w:rPr>
    </w:pPr>
    <w:r>
      <w:rPr>
        <w:rStyle w:val="PageNumber"/>
        <w:b/>
        <w:bCs/>
      </w:rPr>
      <w:fldChar w:fldCharType="begin"/>
    </w:r>
    <w:r w:rsidRPr="00222EC0">
      <w:rPr>
        <w:rStyle w:val="PageNumber"/>
        <w:b/>
        <w:bCs/>
        <w:lang w:val="fr-CH"/>
      </w:rPr>
      <w:instrText xml:space="preserve"> PAGE </w:instrText>
    </w:r>
    <w:r>
      <w:rPr>
        <w:rStyle w:val="PageNumber"/>
        <w:b/>
        <w:bCs/>
      </w:rPr>
      <w:fldChar w:fldCharType="separate"/>
    </w:r>
    <w:r w:rsidR="001D5594">
      <w:rPr>
        <w:rStyle w:val="PageNumber"/>
        <w:b/>
        <w:bCs/>
        <w:noProof/>
        <w:lang w:val="fr-CH"/>
      </w:rPr>
      <w:t>ii</w:t>
    </w:r>
    <w:r>
      <w:rPr>
        <w:rStyle w:val="PageNumber"/>
        <w:b/>
        <w:bCs/>
      </w:rPr>
      <w:fldChar w:fldCharType="end"/>
    </w:r>
    <w:r w:rsidRPr="00222EC0">
      <w:rPr>
        <w:lang w:val="fr-CH"/>
      </w:rPr>
      <w:tab/>
    </w:r>
    <w:r>
      <w:fldChar w:fldCharType="begin"/>
    </w:r>
    <w:r w:rsidRPr="00222EC0">
      <w:rPr>
        <w:lang w:val="fr-CH"/>
      </w:rPr>
      <w:instrText xml:space="preserve"> DOCPROPERTY "Header" \* MERGEFORMAT </w:instrText>
    </w:r>
    <w:r>
      <w:fldChar w:fldCharType="separate"/>
    </w:r>
    <w:r w:rsidR="001D5594" w:rsidRPr="001D5594">
      <w:rPr>
        <w:b/>
        <w:bCs/>
        <w:lang w:val="fr-CH"/>
      </w:rPr>
      <w:t xml:space="preserve">Rec. </w:t>
    </w:r>
    <w:r>
      <w:rPr>
        <w:b/>
        <w:bCs/>
        <w:lang w:val="en-US"/>
      </w:rPr>
      <w:fldChar w:fldCharType="end"/>
    </w:r>
    <w:r w:rsidRPr="00222EC0">
      <w:rPr>
        <w:b/>
        <w:bCs/>
        <w:lang w:val="fr-CH"/>
      </w:rPr>
      <w:t xml:space="preserve"> </w:t>
    </w:r>
    <w:r>
      <w:rPr>
        <w:b/>
        <w:bCs/>
      </w:rPr>
      <w:fldChar w:fldCharType="begin"/>
    </w:r>
    <w:r w:rsidRPr="00222EC0">
      <w:rPr>
        <w:b/>
        <w:bCs/>
        <w:lang w:val="fr-CH"/>
      </w:rPr>
      <w:instrText>styleref href</w:instrText>
    </w:r>
    <w:r>
      <w:rPr>
        <w:b/>
        <w:bCs/>
      </w:rPr>
      <w:fldChar w:fldCharType="separate"/>
    </w:r>
    <w:r w:rsidR="001D5594">
      <w:rPr>
        <w:b/>
        <w:bCs/>
        <w:noProof/>
      </w:rPr>
      <w:t>UIT-R  BT.2095-1</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222EC0">
    <w:pPr>
      <w:pStyle w:val="Header"/>
      <w:tabs>
        <w:tab w:val="clear" w:pos="1134"/>
        <w:tab w:val="clear" w:pos="1871"/>
        <w:tab w:val="clear" w:pos="226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D5594">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D5594" w:rsidRPr="001D559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D5594">
      <w:rPr>
        <w:b/>
        <w:bCs/>
        <w:noProof/>
      </w:rPr>
      <w:t>UIT-R  BT.2095-1</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DCC" w:rsidRDefault="00894AA7" w:rsidP="00222EC0">
    <w:pPr>
      <w:pStyle w:val="Header"/>
      <w:tabs>
        <w:tab w:val="clear" w:pos="1134"/>
        <w:tab w:val="clear" w:pos="1871"/>
        <w:tab w:val="clear" w:pos="2268"/>
        <w:tab w:val="left" w:pos="7689"/>
      </w:tabs>
    </w:pPr>
    <w:r>
      <w:tab/>
    </w:r>
    <w:fldSimple w:instr=" DOCPROPERTY &quot;Header&quot; \* MERGEFORMAT ">
      <w:r w:rsidR="001D5594" w:rsidRPr="001D5594">
        <w:rPr>
          <w:b/>
          <w:bCs/>
        </w:rPr>
        <w:t xml:space="preserve">Rec. </w:t>
      </w:r>
    </w:fldSimple>
    <w:r w:rsidR="00430DCC">
      <w:rPr>
        <w:b/>
        <w:bCs/>
      </w:rPr>
      <w:t xml:space="preserve"> </w:t>
    </w:r>
    <w:r w:rsidR="00430DCC">
      <w:rPr>
        <w:b/>
        <w:bCs/>
      </w:rPr>
      <w:fldChar w:fldCharType="begin"/>
    </w:r>
    <w:r w:rsidR="00430DCC">
      <w:rPr>
        <w:b/>
        <w:bCs/>
      </w:rPr>
      <w:instrText>styleref href</w:instrText>
    </w:r>
    <w:r w:rsidR="00430DCC">
      <w:rPr>
        <w:b/>
        <w:bCs/>
      </w:rPr>
      <w:fldChar w:fldCharType="separate"/>
    </w:r>
    <w:r w:rsidR="001D5594">
      <w:rPr>
        <w:b/>
        <w:bCs/>
        <w:noProof/>
      </w:rPr>
      <w:t>UIT-R  BT.2095-1</w:t>
    </w:r>
    <w:r w:rsidR="00430DCC">
      <w:rPr>
        <w:b/>
        <w:bCs/>
      </w:rPr>
      <w:fldChar w:fldCharType="end"/>
    </w:r>
    <w:r>
      <w:rPr>
        <w:b/>
        <w:bCs/>
      </w:rPr>
      <w:tab/>
    </w:r>
    <w:r w:rsidR="00430DCC">
      <w:tab/>
    </w:r>
    <w:r w:rsidR="00430DCC">
      <w:rPr>
        <w:rStyle w:val="PageNumber"/>
        <w:b/>
        <w:bCs/>
      </w:rPr>
      <w:fldChar w:fldCharType="begin"/>
    </w:r>
    <w:r w:rsidR="00430DCC">
      <w:rPr>
        <w:rStyle w:val="PageNumber"/>
        <w:b/>
        <w:bCs/>
      </w:rPr>
      <w:instrText xml:space="preserve"> PAGE </w:instrText>
    </w:r>
    <w:r w:rsidR="00430DCC">
      <w:rPr>
        <w:rStyle w:val="PageNumber"/>
        <w:b/>
        <w:bCs/>
      </w:rPr>
      <w:fldChar w:fldCharType="separate"/>
    </w:r>
    <w:r w:rsidR="001D5594">
      <w:rPr>
        <w:rStyle w:val="PageNumber"/>
        <w:b/>
        <w:bCs/>
        <w:noProof/>
      </w:rPr>
      <w:t>7</w:t>
    </w:r>
    <w:r w:rsidR="00430DCC">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003"/>
    <w:rsid w:val="00012003"/>
    <w:rsid w:val="00021512"/>
    <w:rsid w:val="00036EE8"/>
    <w:rsid w:val="00044C93"/>
    <w:rsid w:val="00075449"/>
    <w:rsid w:val="0008033A"/>
    <w:rsid w:val="000833CE"/>
    <w:rsid w:val="000B0017"/>
    <w:rsid w:val="000D2DB0"/>
    <w:rsid w:val="000E685C"/>
    <w:rsid w:val="000F5FED"/>
    <w:rsid w:val="00101F61"/>
    <w:rsid w:val="00103C42"/>
    <w:rsid w:val="00115504"/>
    <w:rsid w:val="00126BD8"/>
    <w:rsid w:val="00130721"/>
    <w:rsid w:val="001352B5"/>
    <w:rsid w:val="00160DC6"/>
    <w:rsid w:val="00163F7D"/>
    <w:rsid w:val="00177ED3"/>
    <w:rsid w:val="00186241"/>
    <w:rsid w:val="001B7F53"/>
    <w:rsid w:val="001C6A56"/>
    <w:rsid w:val="001D5594"/>
    <w:rsid w:val="001E3AFB"/>
    <w:rsid w:val="001F4377"/>
    <w:rsid w:val="001F6B53"/>
    <w:rsid w:val="00217EBF"/>
    <w:rsid w:val="0022029E"/>
    <w:rsid w:val="00222EC0"/>
    <w:rsid w:val="00242AEE"/>
    <w:rsid w:val="00255A5C"/>
    <w:rsid w:val="00275317"/>
    <w:rsid w:val="002D59CE"/>
    <w:rsid w:val="002D76C4"/>
    <w:rsid w:val="00301B69"/>
    <w:rsid w:val="003038AA"/>
    <w:rsid w:val="0032289C"/>
    <w:rsid w:val="00361E1D"/>
    <w:rsid w:val="003C2F21"/>
    <w:rsid w:val="003F117C"/>
    <w:rsid w:val="003F59DB"/>
    <w:rsid w:val="00415735"/>
    <w:rsid w:val="00430DCC"/>
    <w:rsid w:val="004311FB"/>
    <w:rsid w:val="00441A79"/>
    <w:rsid w:val="00451135"/>
    <w:rsid w:val="0047498C"/>
    <w:rsid w:val="004B3EBE"/>
    <w:rsid w:val="004D70F4"/>
    <w:rsid w:val="0051238A"/>
    <w:rsid w:val="0052529D"/>
    <w:rsid w:val="00525F24"/>
    <w:rsid w:val="00551474"/>
    <w:rsid w:val="005D3426"/>
    <w:rsid w:val="005F01C6"/>
    <w:rsid w:val="006063E3"/>
    <w:rsid w:val="00607D68"/>
    <w:rsid w:val="0062260A"/>
    <w:rsid w:val="00646FBA"/>
    <w:rsid w:val="0065672B"/>
    <w:rsid w:val="006A3B8B"/>
    <w:rsid w:val="006B5C35"/>
    <w:rsid w:val="006E3E56"/>
    <w:rsid w:val="006F6B38"/>
    <w:rsid w:val="007004E1"/>
    <w:rsid w:val="00713E8D"/>
    <w:rsid w:val="00722DA1"/>
    <w:rsid w:val="0074520C"/>
    <w:rsid w:val="007468DA"/>
    <w:rsid w:val="007504CF"/>
    <w:rsid w:val="007910DB"/>
    <w:rsid w:val="00796E49"/>
    <w:rsid w:val="007F2A15"/>
    <w:rsid w:val="0082428E"/>
    <w:rsid w:val="008611CC"/>
    <w:rsid w:val="0087254F"/>
    <w:rsid w:val="00873F5D"/>
    <w:rsid w:val="00875593"/>
    <w:rsid w:val="008759E5"/>
    <w:rsid w:val="00894AA7"/>
    <w:rsid w:val="00896C1A"/>
    <w:rsid w:val="008A1F4D"/>
    <w:rsid w:val="008A56D5"/>
    <w:rsid w:val="008B50E1"/>
    <w:rsid w:val="008B56DE"/>
    <w:rsid w:val="008E660A"/>
    <w:rsid w:val="00906BD6"/>
    <w:rsid w:val="00922139"/>
    <w:rsid w:val="00923164"/>
    <w:rsid w:val="00924CF4"/>
    <w:rsid w:val="009306B0"/>
    <w:rsid w:val="00930A61"/>
    <w:rsid w:val="009818E5"/>
    <w:rsid w:val="009A59BC"/>
    <w:rsid w:val="009D5589"/>
    <w:rsid w:val="009E00A8"/>
    <w:rsid w:val="00A1334E"/>
    <w:rsid w:val="00A17D81"/>
    <w:rsid w:val="00A32BB7"/>
    <w:rsid w:val="00A343D0"/>
    <w:rsid w:val="00A6617B"/>
    <w:rsid w:val="00A71770"/>
    <w:rsid w:val="00A83A7E"/>
    <w:rsid w:val="00AB0DC8"/>
    <w:rsid w:val="00AE1DBB"/>
    <w:rsid w:val="00AF333A"/>
    <w:rsid w:val="00AF368B"/>
    <w:rsid w:val="00B062F1"/>
    <w:rsid w:val="00B1238A"/>
    <w:rsid w:val="00B324D7"/>
    <w:rsid w:val="00B43009"/>
    <w:rsid w:val="00B4459D"/>
    <w:rsid w:val="00B44E24"/>
    <w:rsid w:val="00B47007"/>
    <w:rsid w:val="00B5504F"/>
    <w:rsid w:val="00B80FCD"/>
    <w:rsid w:val="00B86DA0"/>
    <w:rsid w:val="00B90C45"/>
    <w:rsid w:val="00BA1B04"/>
    <w:rsid w:val="00BC503E"/>
    <w:rsid w:val="00BE7A0A"/>
    <w:rsid w:val="00BF28F7"/>
    <w:rsid w:val="00C1218F"/>
    <w:rsid w:val="00C23AA1"/>
    <w:rsid w:val="00C242F8"/>
    <w:rsid w:val="00C264E7"/>
    <w:rsid w:val="00C35697"/>
    <w:rsid w:val="00C4228B"/>
    <w:rsid w:val="00D11B43"/>
    <w:rsid w:val="00D242F7"/>
    <w:rsid w:val="00D67CF4"/>
    <w:rsid w:val="00D72E43"/>
    <w:rsid w:val="00D75E36"/>
    <w:rsid w:val="00D93D86"/>
    <w:rsid w:val="00DA0119"/>
    <w:rsid w:val="00DB2F65"/>
    <w:rsid w:val="00DC2299"/>
    <w:rsid w:val="00DD41D6"/>
    <w:rsid w:val="00DE21B1"/>
    <w:rsid w:val="00DF4176"/>
    <w:rsid w:val="00E217BC"/>
    <w:rsid w:val="00E32C85"/>
    <w:rsid w:val="00E33A71"/>
    <w:rsid w:val="00E537EE"/>
    <w:rsid w:val="00E867F8"/>
    <w:rsid w:val="00EA088C"/>
    <w:rsid w:val="00EC253F"/>
    <w:rsid w:val="00ED0D4D"/>
    <w:rsid w:val="00EE3E57"/>
    <w:rsid w:val="00F00D0D"/>
    <w:rsid w:val="00F81AEA"/>
    <w:rsid w:val="00F86193"/>
    <w:rsid w:val="00FB5EBA"/>
    <w:rsid w:val="00FC2845"/>
    <w:rsid w:val="00FD1332"/>
    <w:rsid w:val="00FD5E54"/>
    <w:rsid w:val="00FE7B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E2C1571F-C267-4AFD-9201-B8FC4571E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017"/>
    <w:pPr>
      <w:tabs>
        <w:tab w:val="left" w:pos="1134"/>
        <w:tab w:val="left" w:pos="1871"/>
        <w:tab w:val="left" w:pos="2268"/>
      </w:tabs>
      <w:overflowPunct w:val="0"/>
      <w:autoSpaceDE w:val="0"/>
      <w:autoSpaceDN w:val="0"/>
      <w:adjustRightInd w:val="0"/>
      <w:spacing w:before="120"/>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link w:val="Heading6Char"/>
    <w:qFormat/>
    <w:pPr>
      <w:tabs>
        <w:tab w:val="clear" w:pos="992"/>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48"/>
        <w:tab w:val="right" w:pos="9696"/>
      </w:tabs>
      <w:spacing w:before="0"/>
      <w:jc w:val="center"/>
    </w:pPr>
  </w:style>
  <w:style w:type="paragraph" w:styleId="Footer">
    <w:name w:val="footer"/>
    <w:basedOn w:val="Normal"/>
    <w:pPr>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pPr>
      <w:spacing w:before="80"/>
    </w:pPr>
    <w:rPr>
      <w:sz w:val="22"/>
    </w:rPr>
  </w:style>
  <w:style w:type="paragraph" w:customStyle="1" w:styleId="RecNo">
    <w:name w:val="Rec_No"/>
    <w:basedOn w:val="Normal"/>
    <w:next w:val="Rectitle"/>
    <w:pPr>
      <w:keepNext/>
      <w:keepLines/>
      <w:spacing w:before="480"/>
      <w:jc w:val="center"/>
    </w:pPr>
    <w:rPr>
      <w:sz w:val="28"/>
    </w:rPr>
  </w:style>
  <w:style w:type="paragraph" w:customStyle="1" w:styleId="HeadingSum">
    <w:name w:val="Heading_Sum"/>
    <w:basedOn w:val="Headingb"/>
    <w:next w:val="Normal"/>
    <w:autoRedefine/>
    <w:rsid w:val="00B43009"/>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B0017"/>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Indent"/>
    <w:pPr>
      <w:tabs>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spacing w:before="0"/>
    </w:pPr>
    <w:rPr>
      <w:sz w:val="16"/>
      <w:lang w:val="en-GB"/>
    </w:rPr>
  </w:style>
  <w:style w:type="paragraph" w:customStyle="1" w:styleId="ASN1">
    <w:name w:val="ASN.1"/>
    <w:basedOn w:val="Normal"/>
    <w:next w:val="Normal"/>
    <w:pPr>
      <w:tabs>
        <w:tab w:val="left" w:pos="567"/>
        <w:tab w:val="left" w:pos="1701"/>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spacing w:before="240"/>
      <w:ind w:left="3997" w:right="3997"/>
      <w:jc w:val="center"/>
    </w:pPr>
    <w:rPr>
      <w:sz w:val="20"/>
      <w:lang w:val="en-GB"/>
    </w:rPr>
  </w:style>
  <w:style w:type="paragraph" w:customStyle="1" w:styleId="toctemp">
    <w:name w:val="toctemp"/>
    <w:basedOn w:val="Normal"/>
    <w:pPr>
      <w:tabs>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spacing w:before="280" w:after="40"/>
      <w:jc w:val="center"/>
    </w:pPr>
    <w:rPr>
      <w:b/>
      <w:sz w:val="28"/>
    </w:rPr>
  </w:style>
  <w:style w:type="paragraph" w:customStyle="1" w:styleId="toc0">
    <w:name w:val="toc 0"/>
    <w:basedOn w:val="Normal"/>
    <w:next w:val="TOC1"/>
    <w:pPr>
      <w:tabs>
        <w:tab w:val="right" w:pos="9611"/>
      </w:tabs>
    </w:pPr>
    <w:rPr>
      <w:i/>
    </w:rPr>
  </w:style>
  <w:style w:type="paragraph" w:styleId="TOC1">
    <w:name w:val="toc 1"/>
    <w:basedOn w:val="Normal"/>
    <w:semiHidden/>
    <w:pPr>
      <w:keepLines/>
      <w:tabs>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8611CC"/>
    <w:pPr>
      <w:spacing w:after="480"/>
      <w:jc w:val="both"/>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rsid w:val="00012003"/>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12003"/>
    <w:rPr>
      <w:b/>
      <w:sz w:val="24"/>
      <w:lang w:val="fr-FR" w:eastAsia="en-US"/>
    </w:rPr>
  </w:style>
  <w:style w:type="character" w:customStyle="1" w:styleId="Heading2Char">
    <w:name w:val="Heading 2 Char"/>
    <w:basedOn w:val="DefaultParagraphFont"/>
    <w:link w:val="Heading2"/>
    <w:rsid w:val="00012003"/>
    <w:rPr>
      <w:b/>
      <w:sz w:val="24"/>
      <w:lang w:val="fr-FR" w:eastAsia="en-US"/>
    </w:rPr>
  </w:style>
  <w:style w:type="character" w:customStyle="1" w:styleId="Heading6Char">
    <w:name w:val="Heading 6 Char"/>
    <w:basedOn w:val="DefaultParagraphFont"/>
    <w:link w:val="Heading6"/>
    <w:rsid w:val="00012003"/>
    <w:rPr>
      <w:b/>
      <w:sz w:val="24"/>
      <w:lang w:val="fr-FR" w:eastAsia="en-US"/>
    </w:rPr>
  </w:style>
  <w:style w:type="paragraph" w:customStyle="1" w:styleId="Annextitle">
    <w:name w:val="Annex_title"/>
    <w:basedOn w:val="Normal"/>
    <w:next w:val="Normal"/>
    <w:rsid w:val="00012003"/>
    <w:pPr>
      <w:keepNext/>
      <w:keepLines/>
      <w:spacing w:before="240" w:after="280"/>
      <w:jc w:val="center"/>
    </w:pPr>
    <w:rPr>
      <w:rFonts w:ascii="Times New Roman Bold" w:hAnsi="Times New Roman Bold"/>
      <w:b/>
      <w:sz w:val="28"/>
    </w:rPr>
  </w:style>
  <w:style w:type="paragraph" w:customStyle="1" w:styleId="Normalaftertitle1">
    <w:name w:val="Normal after title"/>
    <w:basedOn w:val="Normal"/>
    <w:next w:val="Normal"/>
    <w:rsid w:val="00012003"/>
    <w:pPr>
      <w:spacing w:before="280"/>
    </w:pPr>
  </w:style>
  <w:style w:type="paragraph" w:customStyle="1" w:styleId="Reasons">
    <w:name w:val="Reasons"/>
    <w:basedOn w:val="Normal"/>
    <w:qFormat/>
    <w:rsid w:val="00012003"/>
    <w:pPr>
      <w:tabs>
        <w:tab w:val="clear" w:pos="1871"/>
        <w:tab w:val="clear" w:pos="2268"/>
        <w:tab w:val="left" w:pos="1588"/>
        <w:tab w:val="left" w:pos="1985"/>
      </w:tabs>
    </w:pPr>
  </w:style>
  <w:style w:type="character" w:styleId="Hyperlink">
    <w:name w:val="Hyperlink"/>
    <w:basedOn w:val="DefaultParagraphFont"/>
    <w:semiHidden/>
    <w:unhideWhenUsed/>
    <w:rsid w:val="00012003"/>
    <w:rPr>
      <w:color w:val="0000FF"/>
      <w:u w:val="single"/>
    </w:rPr>
  </w:style>
  <w:style w:type="character" w:customStyle="1" w:styleId="HeaderChar">
    <w:name w:val="Header Char"/>
    <w:basedOn w:val="DefaultParagraphFont"/>
    <w:link w:val="Header"/>
    <w:rsid w:val="00012003"/>
    <w:rPr>
      <w:sz w:val="24"/>
      <w:lang w:val="fr-FR" w:eastAsia="en-US"/>
    </w:rPr>
  </w:style>
  <w:style w:type="character" w:customStyle="1" w:styleId="Normalaftertitle0">
    <w:name w:val="Normal_after_title (文字)"/>
    <w:basedOn w:val="DefaultParagraphFont"/>
    <w:link w:val="Normalaftertitle"/>
    <w:locked/>
    <w:rsid w:val="00E867F8"/>
    <w:rPr>
      <w:sz w:val="24"/>
      <w:lang w:val="fr-FR" w:eastAsia="en-US"/>
    </w:rPr>
  </w:style>
  <w:style w:type="character" w:customStyle="1" w:styleId="enumlev1Char">
    <w:name w:val="enumlev1 Char"/>
    <w:basedOn w:val="DefaultParagraphFont"/>
    <w:link w:val="enumlev1"/>
    <w:locked/>
    <w:rsid w:val="00E867F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206878">
      <w:bodyDiv w:val="1"/>
      <w:marLeft w:val="0"/>
      <w:marRight w:val="0"/>
      <w:marTop w:val="0"/>
      <w:marBottom w:val="0"/>
      <w:divBdr>
        <w:top w:val="none" w:sz="0" w:space="0" w:color="auto"/>
        <w:left w:val="none" w:sz="0" w:space="0" w:color="auto"/>
        <w:bottom w:val="none" w:sz="0" w:space="0" w:color="auto"/>
        <w:right w:val="none" w:sz="0" w:space="0" w:color="auto"/>
      </w:divBdr>
    </w:div>
    <w:div w:id="610476551">
      <w:bodyDiv w:val="1"/>
      <w:marLeft w:val="0"/>
      <w:marRight w:val="0"/>
      <w:marTop w:val="0"/>
      <w:marBottom w:val="0"/>
      <w:divBdr>
        <w:top w:val="none" w:sz="0" w:space="0" w:color="auto"/>
        <w:left w:val="none" w:sz="0" w:space="0" w:color="auto"/>
        <w:bottom w:val="none" w:sz="0" w:space="0" w:color="auto"/>
        <w:right w:val="none" w:sz="0" w:space="0" w:color="auto"/>
      </w:divBdr>
    </w:div>
    <w:div w:id="1544443117">
      <w:bodyDiv w:val="1"/>
      <w:marLeft w:val="0"/>
      <w:marRight w:val="0"/>
      <w:marTop w:val="0"/>
      <w:marBottom w:val="0"/>
      <w:divBdr>
        <w:top w:val="none" w:sz="0" w:space="0" w:color="auto"/>
        <w:left w:val="none" w:sz="0" w:space="0" w:color="auto"/>
        <w:bottom w:val="none" w:sz="0" w:space="0" w:color="auto"/>
        <w:right w:val="none" w:sz="0" w:space="0" w:color="auto"/>
      </w:divBdr>
    </w:div>
    <w:div w:id="1578904122">
      <w:bodyDiv w:val="1"/>
      <w:marLeft w:val="0"/>
      <w:marRight w:val="0"/>
      <w:marTop w:val="0"/>
      <w:marBottom w:val="0"/>
      <w:divBdr>
        <w:top w:val="none" w:sz="0" w:space="0" w:color="auto"/>
        <w:left w:val="none" w:sz="0" w:space="0" w:color="auto"/>
        <w:bottom w:val="none" w:sz="0" w:space="0" w:color="auto"/>
        <w:right w:val="none" w:sz="0" w:space="0" w:color="auto"/>
      </w:divBdr>
    </w:div>
    <w:div w:id="1625887821">
      <w:bodyDiv w:val="1"/>
      <w:marLeft w:val="0"/>
      <w:marRight w:val="0"/>
      <w:marTop w:val="0"/>
      <w:marBottom w:val="0"/>
      <w:divBdr>
        <w:top w:val="none" w:sz="0" w:space="0" w:color="auto"/>
        <w:left w:val="none" w:sz="0" w:space="0" w:color="auto"/>
        <w:bottom w:val="none" w:sz="0" w:space="0" w:color="auto"/>
        <w:right w:val="none" w:sz="0" w:space="0" w:color="auto"/>
      </w:divBdr>
    </w:div>
    <w:div w:id="1851021229">
      <w:bodyDiv w:val="1"/>
      <w:marLeft w:val="0"/>
      <w:marRight w:val="0"/>
      <w:marTop w:val="0"/>
      <w:marBottom w:val="0"/>
      <w:divBdr>
        <w:top w:val="none" w:sz="0" w:space="0" w:color="auto"/>
        <w:left w:val="none" w:sz="0" w:space="0" w:color="auto"/>
        <w:bottom w:val="none" w:sz="0" w:space="0" w:color="auto"/>
        <w:right w:val="none" w:sz="0" w:space="0" w:color="auto"/>
      </w:divBdr>
    </w:div>
    <w:div w:id="187669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itu.int/publ/R-REC/fr"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87469-0B2E-492D-8CC0-4362D9B79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10</Pages>
  <Words>2965</Words>
  <Characters>17615</Characters>
  <Application>Microsoft Office Word</Application>
  <DocSecurity>0</DocSecurity>
  <Lines>533</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9</cp:revision>
  <cp:lastPrinted>2018-05-11T07:14:00Z</cp:lastPrinted>
  <dcterms:created xsi:type="dcterms:W3CDTF">2018-05-11T07:05:00Z</dcterms:created>
  <dcterms:modified xsi:type="dcterms:W3CDTF">2018-05-11T07:14:00Z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