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6F07" w:rsidRDefault="00CB6F07" w:rsidP="00CB6F07">
      <w:bookmarkStart w:id="0" w:name="_GoBack"/>
      <w:bookmarkEnd w:id="0"/>
    </w:p>
    <w:p w:rsidR="00CB6F07" w:rsidRDefault="00CB6F07" w:rsidP="00CB6F07"/>
    <w:p w:rsidR="00CB6F07" w:rsidRDefault="00CB6F07" w:rsidP="00CB6F07"/>
    <w:p w:rsidR="00CB6F07" w:rsidRDefault="00CB6F07" w:rsidP="00CB6F07"/>
    <w:p w:rsidR="00CB6F07" w:rsidRDefault="00CB6F07" w:rsidP="00CB6F07"/>
    <w:p w:rsidR="00CB6F07" w:rsidRDefault="00CB6F07" w:rsidP="00CB6F07"/>
    <w:p w:rsidR="00CB6F07" w:rsidRDefault="00CB6F07" w:rsidP="00CB6F07"/>
    <w:p w:rsidR="00CB6F07" w:rsidRDefault="00CB6F07" w:rsidP="00CB6F07"/>
    <w:p w:rsidR="00CB6F07" w:rsidRDefault="00CB6F07" w:rsidP="00CB6F07"/>
    <w:p w:rsidR="00CB6F07" w:rsidRDefault="00CB6F07" w:rsidP="00CB6F07"/>
    <w:p w:rsidR="00CB6F07" w:rsidRDefault="00CB6F07" w:rsidP="00CB6F07"/>
    <w:p w:rsidR="00CB6F07" w:rsidRDefault="00CB6F07" w:rsidP="00CB6F07"/>
    <w:tbl>
      <w:tblPr>
        <w:tblW w:w="10089" w:type="dxa"/>
        <w:tblLook w:val="01E0" w:firstRow="1" w:lastRow="1" w:firstColumn="1" w:lastColumn="1" w:noHBand="0" w:noVBand="0"/>
      </w:tblPr>
      <w:tblGrid>
        <w:gridCol w:w="10089"/>
      </w:tblGrid>
      <w:tr w:rsidR="00CB6F07" w:rsidRPr="006B55A9" w:rsidTr="003A0014">
        <w:tc>
          <w:tcPr>
            <w:tcW w:w="10089" w:type="dxa"/>
          </w:tcPr>
          <w:p w:rsidR="00CB6F07" w:rsidRPr="006B55A9" w:rsidRDefault="00CB6F07" w:rsidP="003A0014">
            <w:pPr>
              <w:spacing w:before="380" w:line="280" w:lineRule="exact"/>
              <w:jc w:val="right"/>
              <w:rPr>
                <w:rFonts w:ascii="Tahoma" w:hAnsi="Tahoma" w:cs="Tahoma"/>
                <w:b/>
                <w:bCs/>
                <w:iCs/>
                <w:color w:val="243285"/>
                <w:sz w:val="32"/>
                <w:szCs w:val="32"/>
                <w:lang w:val="en-US"/>
              </w:rPr>
            </w:pPr>
          </w:p>
          <w:p w:rsidR="00CB6F07" w:rsidRPr="006B55A9" w:rsidRDefault="00CB6F07" w:rsidP="009630B8">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Recommendation  ITU-R  BT.</w:t>
            </w:r>
            <w:r w:rsidR="009630B8">
              <w:rPr>
                <w:rFonts w:ascii="Tahoma" w:hAnsi="Tahoma" w:cs="Tahoma"/>
                <w:b/>
                <w:bCs/>
                <w:iCs/>
                <w:color w:val="243285"/>
                <w:sz w:val="36"/>
                <w:szCs w:val="36"/>
              </w:rPr>
              <w:t>2095.0</w:t>
            </w:r>
          </w:p>
          <w:p w:rsidR="00CB6F07" w:rsidRPr="006B55A9" w:rsidRDefault="00CB6F07" w:rsidP="009630B8">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9630B8">
              <w:rPr>
                <w:rFonts w:ascii="Tahoma" w:hAnsi="Tahoma" w:cs="Tahoma"/>
                <w:b/>
                <w:bCs/>
                <w:iCs/>
                <w:color w:val="243285"/>
                <w:szCs w:val="24"/>
              </w:rPr>
              <w:t>04</w:t>
            </w:r>
            <w:r w:rsidRPr="006B55A9">
              <w:rPr>
                <w:rFonts w:ascii="Tahoma" w:hAnsi="Tahoma" w:cs="Tahoma"/>
                <w:b/>
                <w:bCs/>
                <w:iCs/>
                <w:color w:val="243285"/>
                <w:szCs w:val="24"/>
              </w:rPr>
              <w:t>/</w:t>
            </w:r>
            <w:r w:rsidR="009630B8">
              <w:rPr>
                <w:rFonts w:ascii="Tahoma" w:hAnsi="Tahoma" w:cs="Tahoma"/>
                <w:b/>
                <w:bCs/>
                <w:iCs/>
                <w:color w:val="243285"/>
                <w:szCs w:val="24"/>
              </w:rPr>
              <w:t>2016</w:t>
            </w:r>
            <w:r w:rsidRPr="006B55A9">
              <w:rPr>
                <w:rFonts w:ascii="Tahoma" w:hAnsi="Tahoma" w:cs="Tahoma"/>
                <w:b/>
                <w:bCs/>
                <w:iCs/>
                <w:color w:val="243285"/>
                <w:szCs w:val="24"/>
              </w:rPr>
              <w:t>)</w:t>
            </w:r>
          </w:p>
        </w:tc>
      </w:tr>
      <w:tr w:rsidR="00CB6F07" w:rsidRPr="00A044D1" w:rsidTr="003A0014">
        <w:tc>
          <w:tcPr>
            <w:tcW w:w="10089" w:type="dxa"/>
          </w:tcPr>
          <w:p w:rsidR="00CB6F07" w:rsidRPr="00A044D1" w:rsidRDefault="00CB6F07" w:rsidP="003A0014">
            <w:pPr>
              <w:spacing w:before="80" w:line="500" w:lineRule="exact"/>
              <w:jc w:val="right"/>
              <w:rPr>
                <w:rFonts w:ascii="Tahoma" w:hAnsi="Tahoma" w:cs="Tahoma"/>
                <w:b/>
                <w:bCs/>
                <w:iCs/>
                <w:color w:val="243285"/>
                <w:sz w:val="44"/>
                <w:szCs w:val="44"/>
                <w:lang w:val="en-US"/>
              </w:rPr>
            </w:pPr>
          </w:p>
          <w:p w:rsidR="00CB6F07" w:rsidRPr="006B55A9" w:rsidRDefault="001564FC" w:rsidP="001564FC">
            <w:pPr>
              <w:spacing w:before="80" w:line="500" w:lineRule="exact"/>
              <w:jc w:val="right"/>
              <w:rPr>
                <w:rFonts w:ascii="Tahoma" w:hAnsi="Tahoma" w:cs="Tahoma"/>
                <w:b/>
                <w:bCs/>
                <w:color w:val="243285"/>
                <w:sz w:val="44"/>
                <w:szCs w:val="44"/>
                <w:lang w:val="en-US"/>
              </w:rPr>
            </w:pPr>
            <w:r w:rsidRPr="001564FC">
              <w:rPr>
                <w:rFonts w:ascii="Tahoma" w:hAnsi="Tahoma" w:cs="Tahoma"/>
                <w:b/>
                <w:bCs/>
                <w:color w:val="243285"/>
                <w:sz w:val="44"/>
                <w:szCs w:val="44"/>
                <w:lang w:val="en-US"/>
              </w:rPr>
              <w:t>Subjective assessment of video quality using expert viewing protocol</w:t>
            </w:r>
            <w:r w:rsidRPr="006B55A9">
              <w:rPr>
                <w:rFonts w:ascii="Tahoma" w:hAnsi="Tahoma" w:cs="Tahoma"/>
                <w:b/>
                <w:bCs/>
                <w:color w:val="243285"/>
                <w:sz w:val="44"/>
                <w:szCs w:val="44"/>
                <w:lang w:val="en-US"/>
              </w:rPr>
              <w:t xml:space="preserve"> </w:t>
            </w:r>
          </w:p>
          <w:p w:rsidR="00CB6F07" w:rsidRPr="006B55A9" w:rsidRDefault="00CB6F07" w:rsidP="003A0014">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CB6F07" w:rsidRPr="00A044D1" w:rsidTr="003A0014">
        <w:tc>
          <w:tcPr>
            <w:tcW w:w="10089" w:type="dxa"/>
          </w:tcPr>
          <w:p w:rsidR="00CB6F07" w:rsidRPr="00BA7614" w:rsidRDefault="00CB6F07" w:rsidP="003A0014">
            <w:pPr>
              <w:spacing w:before="80" w:line="280" w:lineRule="exact"/>
              <w:ind w:right="640"/>
              <w:rPr>
                <w:rFonts w:ascii="Tahoma" w:hAnsi="Tahoma" w:cs="Tahoma"/>
                <w:b/>
                <w:bCs/>
                <w:iCs/>
                <w:color w:val="243285"/>
                <w:sz w:val="32"/>
                <w:szCs w:val="32"/>
                <w:lang w:val="en-US"/>
              </w:rPr>
            </w:pPr>
          </w:p>
          <w:p w:rsidR="00CB6F07" w:rsidRPr="00BA7614" w:rsidRDefault="00CB6F07" w:rsidP="003A0014">
            <w:pPr>
              <w:spacing w:before="80" w:line="280" w:lineRule="exact"/>
              <w:ind w:right="640"/>
              <w:rPr>
                <w:rFonts w:ascii="Tahoma" w:hAnsi="Tahoma" w:cs="Tahoma"/>
                <w:b/>
                <w:bCs/>
                <w:iCs/>
                <w:color w:val="243285"/>
                <w:sz w:val="32"/>
                <w:szCs w:val="32"/>
                <w:lang w:val="en-US"/>
              </w:rPr>
            </w:pPr>
          </w:p>
          <w:p w:rsidR="00CB6F07" w:rsidRPr="00BA7614" w:rsidRDefault="00CB6F07" w:rsidP="003A0014">
            <w:pPr>
              <w:spacing w:before="80" w:after="180" w:line="360" w:lineRule="exact"/>
              <w:ind w:right="720"/>
              <w:rPr>
                <w:rFonts w:ascii="Tahoma" w:hAnsi="Tahoma" w:cs="Tahoma"/>
                <w:b/>
                <w:bCs/>
                <w:iCs/>
                <w:color w:val="243285"/>
                <w:sz w:val="36"/>
                <w:szCs w:val="36"/>
                <w:lang w:val="en-US"/>
              </w:rPr>
            </w:pPr>
          </w:p>
          <w:p w:rsidR="00CB6F07" w:rsidRPr="006B55A9" w:rsidRDefault="00CB6F07" w:rsidP="003A0014">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rsidR="00CB6F07" w:rsidRPr="006B55A9" w:rsidRDefault="00CB6F07" w:rsidP="003A0014">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rsidR="00CB6F07" w:rsidRPr="006B55A9" w:rsidRDefault="00CB6F07" w:rsidP="003A0014">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CB6F07" w:rsidRPr="006B55A9" w:rsidRDefault="00CB6F07" w:rsidP="003A0014">
            <w:pPr>
              <w:spacing w:before="80" w:line="360" w:lineRule="exact"/>
              <w:jc w:val="right"/>
              <w:rPr>
                <w:rFonts w:ascii="Tahoma" w:hAnsi="Tahoma" w:cs="Tahoma"/>
                <w:b/>
                <w:bCs/>
                <w:iCs/>
                <w:color w:val="243285"/>
                <w:sz w:val="32"/>
                <w:szCs w:val="32"/>
                <w:lang w:val="en-US"/>
              </w:rPr>
            </w:pPr>
          </w:p>
        </w:tc>
      </w:tr>
    </w:tbl>
    <w:p w:rsidR="00CB6F07" w:rsidRDefault="00CB6F07" w:rsidP="00CB6F07">
      <w:pPr>
        <w:spacing w:before="80"/>
        <w:rPr>
          <w:i/>
          <w:sz w:val="22"/>
          <w:lang w:val="en-US"/>
        </w:rPr>
      </w:pPr>
    </w:p>
    <w:p w:rsidR="00CB6F07" w:rsidRDefault="00CB6F07" w:rsidP="00CB6F07">
      <w:pPr>
        <w:spacing w:before="80"/>
        <w:rPr>
          <w:i/>
          <w:sz w:val="22"/>
          <w:lang w:val="en-US"/>
        </w:rPr>
      </w:pPr>
    </w:p>
    <w:p w:rsidR="00CB6F07" w:rsidRDefault="00CB6F07" w:rsidP="00CB6F07">
      <w:pPr>
        <w:spacing w:before="80"/>
        <w:rPr>
          <w:i/>
          <w:sz w:val="22"/>
          <w:lang w:val="en-US"/>
        </w:rPr>
      </w:pPr>
    </w:p>
    <w:p w:rsidR="00CB6F07" w:rsidRDefault="00CB6F07" w:rsidP="00CB6F07">
      <w:pPr>
        <w:spacing w:before="80"/>
        <w:rPr>
          <w:i/>
          <w:sz w:val="22"/>
          <w:lang w:val="en-US"/>
        </w:rPr>
      </w:pPr>
    </w:p>
    <w:p w:rsidR="00CB6F07" w:rsidRDefault="00CB6F07" w:rsidP="00CB6F07">
      <w:pPr>
        <w:spacing w:before="80"/>
        <w:rPr>
          <w:i/>
          <w:sz w:val="22"/>
          <w:lang w:val="en-US"/>
        </w:rPr>
      </w:pPr>
    </w:p>
    <w:p w:rsidR="00CB6F07" w:rsidRDefault="00CB6F07" w:rsidP="00CB6F07">
      <w:pPr>
        <w:spacing w:before="80"/>
        <w:rPr>
          <w:i/>
          <w:sz w:val="22"/>
          <w:lang w:val="en-US"/>
        </w:rPr>
      </w:pPr>
    </w:p>
    <w:p w:rsidR="00CB6F07" w:rsidRDefault="00CB6F07" w:rsidP="00CB6F07">
      <w:pPr>
        <w:pStyle w:val="Equation"/>
        <w:tabs>
          <w:tab w:val="clear" w:pos="4820"/>
          <w:tab w:val="clear" w:pos="9639"/>
          <w:tab w:val="left" w:pos="1191"/>
          <w:tab w:val="left" w:pos="1588"/>
          <w:tab w:val="left" w:pos="1985"/>
        </w:tabs>
        <w:rPr>
          <w:rFonts w:ascii="Palatino Linotype" w:hAnsi="Palatino Linotype"/>
          <w:lang w:val="en-US"/>
        </w:rPr>
        <w:sectPr w:rsidR="00CB6F07">
          <w:headerReference w:type="even" r:id="rId6"/>
          <w:headerReference w:type="default" r:id="rId7"/>
          <w:pgSz w:w="11907" w:h="16840" w:code="9"/>
          <w:pgMar w:top="1089" w:right="1089" w:bottom="284" w:left="1089" w:header="567" w:footer="284" w:gutter="0"/>
          <w:pgNumType w:start="1"/>
          <w:cols w:space="720"/>
        </w:sectPr>
      </w:pPr>
    </w:p>
    <w:p w:rsidR="00CB6F07" w:rsidRPr="00586EF8" w:rsidRDefault="00CB6F07" w:rsidP="00CB6F0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CB6F07" w:rsidRDefault="00CB6F07" w:rsidP="00CB6F07">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F07" w:rsidRDefault="00CB6F07" w:rsidP="00CB6F07">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CB6F07" w:rsidRPr="00B714F3" w:rsidRDefault="00CB6F07" w:rsidP="00CB6F07">
      <w:pPr>
        <w:pStyle w:val="Heading1"/>
        <w:spacing w:before="680"/>
        <w:jc w:val="center"/>
        <w:rPr>
          <w:szCs w:val="24"/>
          <w:lang w:val="en-US"/>
        </w:rPr>
      </w:pPr>
      <w:r w:rsidRPr="00B714F3">
        <w:rPr>
          <w:szCs w:val="24"/>
          <w:lang w:val="en-US"/>
        </w:rPr>
        <w:t>Policy on Intellectual Property Right (IPR)</w:t>
      </w:r>
    </w:p>
    <w:p w:rsidR="00CB6F07" w:rsidRPr="00B714F3" w:rsidRDefault="00CB6F07" w:rsidP="00CB6F07">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CB6F07" w:rsidRDefault="00CB6F07" w:rsidP="00CB6F07">
      <w:pPr>
        <w:jc w:val="center"/>
        <w:rPr>
          <w:sz w:val="22"/>
          <w:lang w:val="en-US"/>
        </w:rPr>
      </w:pPr>
    </w:p>
    <w:p w:rsidR="00CB6F07" w:rsidRDefault="00CB6F07" w:rsidP="00CB6F07">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F07" w:rsidRPr="00A044D1" w:rsidTr="003A0014">
        <w:tc>
          <w:tcPr>
            <w:tcW w:w="9360" w:type="dxa"/>
            <w:gridSpan w:val="2"/>
          </w:tcPr>
          <w:p w:rsidR="00CB6F07" w:rsidRPr="00036EE3" w:rsidRDefault="00CB6F07" w:rsidP="003A0014">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CB6F07" w:rsidRPr="00036EE3" w:rsidRDefault="00CB6F07" w:rsidP="003A00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9" w:history="1">
              <w:r>
                <w:rPr>
                  <w:rStyle w:val="Hyperlink"/>
                  <w:b w:val="0"/>
                  <w:sz w:val="18"/>
                  <w:szCs w:val="18"/>
                  <w:lang w:val="en-US"/>
                </w:rPr>
                <w:t>http://www.itu.int/publ/R-REC/en</w:t>
              </w:r>
            </w:hyperlink>
            <w:r w:rsidRPr="00036EE3">
              <w:rPr>
                <w:b w:val="0"/>
                <w:sz w:val="18"/>
                <w:szCs w:val="18"/>
                <w:lang w:val="en-US"/>
              </w:rPr>
              <w:t>)</w:t>
            </w:r>
          </w:p>
        </w:tc>
      </w:tr>
      <w:tr w:rsidR="00CB6F07" w:rsidRPr="00036EE3" w:rsidTr="003A0014">
        <w:tc>
          <w:tcPr>
            <w:tcW w:w="1140" w:type="dxa"/>
          </w:tcPr>
          <w:p w:rsidR="00CB6F07" w:rsidRPr="00036EE3" w:rsidRDefault="00CB6F07" w:rsidP="003A0014">
            <w:pPr>
              <w:spacing w:before="200" w:after="100"/>
              <w:ind w:left="57"/>
              <w:rPr>
                <w:b/>
                <w:bCs/>
                <w:sz w:val="20"/>
                <w:lang w:val="en-US"/>
              </w:rPr>
            </w:pPr>
            <w:r w:rsidRPr="00036EE3">
              <w:rPr>
                <w:b/>
                <w:bCs/>
                <w:sz w:val="20"/>
                <w:lang w:val="en-US"/>
              </w:rPr>
              <w:t>Series</w:t>
            </w:r>
          </w:p>
        </w:tc>
        <w:tc>
          <w:tcPr>
            <w:tcW w:w="8220" w:type="dxa"/>
          </w:tcPr>
          <w:p w:rsidR="00CB6F07" w:rsidRPr="00036EE3" w:rsidRDefault="00CB6F07" w:rsidP="003A00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CB6F07" w:rsidRPr="00036EE3" w:rsidTr="003A0014">
        <w:tc>
          <w:tcPr>
            <w:tcW w:w="1140" w:type="dxa"/>
          </w:tcPr>
          <w:p w:rsidR="00CB6F07" w:rsidRPr="00036EE3" w:rsidRDefault="00CB6F07" w:rsidP="003A0014">
            <w:pPr>
              <w:spacing w:before="30" w:after="30"/>
              <w:ind w:left="57"/>
              <w:jc w:val="left"/>
              <w:rPr>
                <w:b/>
                <w:bCs/>
                <w:sz w:val="20"/>
                <w:lang w:val="en-US"/>
              </w:rPr>
            </w:pPr>
            <w:r w:rsidRPr="00036EE3">
              <w:rPr>
                <w:b/>
                <w:bCs/>
                <w:sz w:val="20"/>
                <w:lang w:val="en-US"/>
              </w:rPr>
              <w:t>BO</w:t>
            </w:r>
          </w:p>
        </w:tc>
        <w:tc>
          <w:tcPr>
            <w:tcW w:w="8220" w:type="dxa"/>
          </w:tcPr>
          <w:p w:rsidR="00CB6F07" w:rsidRPr="00036EE3" w:rsidRDefault="00CB6F07" w:rsidP="003A00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CB6F07" w:rsidRPr="00A044D1" w:rsidTr="003A0014">
        <w:tc>
          <w:tcPr>
            <w:tcW w:w="1140" w:type="dxa"/>
          </w:tcPr>
          <w:p w:rsidR="00CB6F07" w:rsidRPr="00036EE3" w:rsidRDefault="00CB6F07" w:rsidP="003A0014">
            <w:pPr>
              <w:spacing w:before="30" w:after="30"/>
              <w:ind w:left="57"/>
              <w:jc w:val="left"/>
              <w:rPr>
                <w:b/>
                <w:bCs/>
                <w:sz w:val="20"/>
                <w:lang w:val="en-US"/>
              </w:rPr>
            </w:pPr>
            <w:r w:rsidRPr="00036EE3">
              <w:rPr>
                <w:b/>
                <w:bCs/>
                <w:sz w:val="20"/>
                <w:lang w:val="en-US"/>
              </w:rPr>
              <w:t>BR</w:t>
            </w:r>
          </w:p>
        </w:tc>
        <w:tc>
          <w:tcPr>
            <w:tcW w:w="8220" w:type="dxa"/>
          </w:tcPr>
          <w:p w:rsidR="00CB6F07" w:rsidRPr="00036EE3" w:rsidRDefault="00CB6F07" w:rsidP="003A00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CB6F07" w:rsidRPr="00036EE3" w:rsidTr="003A0014">
        <w:tc>
          <w:tcPr>
            <w:tcW w:w="1140" w:type="dxa"/>
            <w:tcBorders>
              <w:bottom w:val="nil"/>
            </w:tcBorders>
          </w:tcPr>
          <w:p w:rsidR="00CB6F07" w:rsidRPr="00036EE3" w:rsidRDefault="00CB6F07" w:rsidP="003A0014">
            <w:pPr>
              <w:spacing w:before="30" w:after="30"/>
              <w:ind w:left="57"/>
              <w:jc w:val="left"/>
              <w:rPr>
                <w:b/>
                <w:bCs/>
                <w:sz w:val="20"/>
                <w:lang w:val="en-US"/>
              </w:rPr>
            </w:pPr>
            <w:r w:rsidRPr="00036EE3">
              <w:rPr>
                <w:b/>
                <w:bCs/>
                <w:sz w:val="20"/>
                <w:lang w:val="en-US"/>
              </w:rPr>
              <w:t>BS</w:t>
            </w:r>
          </w:p>
        </w:tc>
        <w:tc>
          <w:tcPr>
            <w:tcW w:w="8220" w:type="dxa"/>
            <w:tcBorders>
              <w:bottom w:val="nil"/>
            </w:tcBorders>
          </w:tcPr>
          <w:p w:rsidR="00CB6F07" w:rsidRPr="00036EE3" w:rsidRDefault="00CB6F07" w:rsidP="003A00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CB6F07" w:rsidRPr="00ED2695" w:rsidTr="003A0014">
        <w:tc>
          <w:tcPr>
            <w:tcW w:w="1140" w:type="dxa"/>
            <w:tcBorders>
              <w:top w:val="nil"/>
              <w:bottom w:val="nil"/>
            </w:tcBorders>
            <w:shd w:val="clear" w:color="auto" w:fill="F3F3F3"/>
          </w:tcPr>
          <w:p w:rsidR="00CB6F07" w:rsidRPr="000F6905" w:rsidRDefault="00CB6F07" w:rsidP="003A0014">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CB6F07" w:rsidRPr="000F6905" w:rsidRDefault="00CB6F07" w:rsidP="003A00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CB6F07" w:rsidRPr="00036EE3" w:rsidTr="003A0014">
        <w:tc>
          <w:tcPr>
            <w:tcW w:w="1140" w:type="dxa"/>
            <w:tcBorders>
              <w:top w:val="nil"/>
              <w:bottom w:val="nil"/>
            </w:tcBorders>
            <w:shd w:val="clear" w:color="auto" w:fill="auto"/>
          </w:tcPr>
          <w:p w:rsidR="00CB6F07" w:rsidRPr="00036EE3" w:rsidRDefault="00CB6F07" w:rsidP="003A0014">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CB6F07" w:rsidRPr="00036EE3" w:rsidRDefault="00CB6F07" w:rsidP="003A00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CB6F07" w:rsidRPr="005E02E1" w:rsidTr="003A0014">
        <w:tc>
          <w:tcPr>
            <w:tcW w:w="1140" w:type="dxa"/>
            <w:tcBorders>
              <w:top w:val="nil"/>
              <w:bottom w:val="nil"/>
            </w:tcBorders>
            <w:shd w:val="clear" w:color="auto" w:fill="auto"/>
          </w:tcPr>
          <w:p w:rsidR="00CB6F07" w:rsidRPr="007D3B79" w:rsidRDefault="00CB6F07" w:rsidP="003A0014">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CB6F07" w:rsidRPr="00220899" w:rsidRDefault="00CB6F07" w:rsidP="003A00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CB6F07" w:rsidRPr="00036EE3" w:rsidTr="003A0014">
        <w:tc>
          <w:tcPr>
            <w:tcW w:w="1140" w:type="dxa"/>
            <w:tcBorders>
              <w:top w:val="nil"/>
            </w:tcBorders>
          </w:tcPr>
          <w:p w:rsidR="00CB6F07" w:rsidRPr="00036EE3" w:rsidRDefault="00CB6F07" w:rsidP="003A0014">
            <w:pPr>
              <w:spacing w:before="30" w:after="30"/>
              <w:ind w:left="57"/>
              <w:jc w:val="left"/>
              <w:rPr>
                <w:b/>
                <w:bCs/>
                <w:sz w:val="20"/>
                <w:lang w:val="fr-CH"/>
              </w:rPr>
            </w:pPr>
            <w:r w:rsidRPr="00036EE3">
              <w:rPr>
                <w:b/>
                <w:bCs/>
                <w:sz w:val="20"/>
                <w:lang w:val="fr-CH"/>
              </w:rPr>
              <w:t>P</w:t>
            </w:r>
          </w:p>
        </w:tc>
        <w:tc>
          <w:tcPr>
            <w:tcW w:w="8220" w:type="dxa"/>
            <w:tcBorders>
              <w:top w:val="nil"/>
            </w:tcBorders>
          </w:tcPr>
          <w:p w:rsidR="00CB6F07" w:rsidRPr="00036EE3" w:rsidRDefault="00CB6F07" w:rsidP="003A0014">
            <w:pPr>
              <w:spacing w:before="30" w:after="30"/>
              <w:jc w:val="left"/>
              <w:rPr>
                <w:sz w:val="20"/>
                <w:lang w:val="fr-CH"/>
              </w:rPr>
            </w:pPr>
            <w:r w:rsidRPr="00036EE3">
              <w:rPr>
                <w:sz w:val="20"/>
                <w:lang w:val="fr-CH"/>
              </w:rPr>
              <w:t>Radiowave propagation</w:t>
            </w:r>
          </w:p>
        </w:tc>
      </w:tr>
      <w:tr w:rsidR="00CB6F07" w:rsidRPr="00036EE3" w:rsidTr="003A0014">
        <w:tc>
          <w:tcPr>
            <w:tcW w:w="1140" w:type="dxa"/>
          </w:tcPr>
          <w:p w:rsidR="00CB6F07" w:rsidRPr="00036EE3" w:rsidRDefault="00CB6F07" w:rsidP="003A0014">
            <w:pPr>
              <w:spacing w:before="30" w:after="30"/>
              <w:ind w:left="57"/>
              <w:jc w:val="left"/>
              <w:rPr>
                <w:b/>
                <w:bCs/>
                <w:sz w:val="20"/>
                <w:lang w:val="en-US"/>
              </w:rPr>
            </w:pPr>
            <w:r w:rsidRPr="00036EE3">
              <w:rPr>
                <w:b/>
                <w:bCs/>
                <w:sz w:val="20"/>
                <w:lang w:val="en-US"/>
              </w:rPr>
              <w:t>RA</w:t>
            </w:r>
          </w:p>
        </w:tc>
        <w:tc>
          <w:tcPr>
            <w:tcW w:w="8220" w:type="dxa"/>
          </w:tcPr>
          <w:p w:rsidR="00CB6F07" w:rsidRPr="00036EE3" w:rsidRDefault="00CB6F07" w:rsidP="003A00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CB6F07" w:rsidRPr="00036EE3" w:rsidTr="003A0014">
        <w:tc>
          <w:tcPr>
            <w:tcW w:w="1140" w:type="dxa"/>
          </w:tcPr>
          <w:p w:rsidR="00CB6F07" w:rsidRPr="00036EE3" w:rsidRDefault="00CB6F07" w:rsidP="003A0014">
            <w:pPr>
              <w:spacing w:before="30" w:after="30"/>
              <w:ind w:left="57"/>
              <w:jc w:val="left"/>
              <w:rPr>
                <w:b/>
                <w:bCs/>
                <w:sz w:val="20"/>
                <w:lang w:val="en-US"/>
              </w:rPr>
            </w:pPr>
            <w:r w:rsidRPr="00036EE3">
              <w:rPr>
                <w:b/>
                <w:bCs/>
                <w:sz w:val="20"/>
                <w:lang w:val="en-US"/>
              </w:rPr>
              <w:t>RS</w:t>
            </w:r>
          </w:p>
        </w:tc>
        <w:tc>
          <w:tcPr>
            <w:tcW w:w="8220" w:type="dxa"/>
          </w:tcPr>
          <w:p w:rsidR="00CB6F07" w:rsidRPr="00036EE3" w:rsidRDefault="00CB6F07" w:rsidP="003A00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CB6F07" w:rsidRPr="00036EE3" w:rsidTr="003A0014">
        <w:tc>
          <w:tcPr>
            <w:tcW w:w="1140" w:type="dxa"/>
          </w:tcPr>
          <w:p w:rsidR="00CB6F07" w:rsidRPr="00036EE3" w:rsidRDefault="00CB6F07" w:rsidP="003A0014">
            <w:pPr>
              <w:spacing w:before="30" w:after="30"/>
              <w:ind w:left="57"/>
              <w:jc w:val="left"/>
              <w:rPr>
                <w:b/>
                <w:bCs/>
                <w:sz w:val="20"/>
                <w:lang w:val="en-US"/>
              </w:rPr>
            </w:pPr>
            <w:r w:rsidRPr="00036EE3">
              <w:rPr>
                <w:b/>
                <w:bCs/>
                <w:sz w:val="20"/>
                <w:lang w:val="en-US"/>
              </w:rPr>
              <w:t>S</w:t>
            </w:r>
          </w:p>
        </w:tc>
        <w:tc>
          <w:tcPr>
            <w:tcW w:w="8220" w:type="dxa"/>
          </w:tcPr>
          <w:p w:rsidR="00CB6F07" w:rsidRPr="00036EE3" w:rsidRDefault="00CB6F07" w:rsidP="003A0014">
            <w:pPr>
              <w:spacing w:before="30" w:after="30"/>
              <w:jc w:val="left"/>
              <w:rPr>
                <w:sz w:val="20"/>
                <w:lang w:val="en-US"/>
              </w:rPr>
            </w:pPr>
            <w:r w:rsidRPr="00036EE3">
              <w:rPr>
                <w:sz w:val="20"/>
                <w:lang w:val="en-US"/>
              </w:rPr>
              <w:t>Fixed-satellite service</w:t>
            </w:r>
          </w:p>
        </w:tc>
      </w:tr>
      <w:tr w:rsidR="00CB6F07" w:rsidRPr="00036EE3" w:rsidTr="003A0014">
        <w:tc>
          <w:tcPr>
            <w:tcW w:w="1140" w:type="dxa"/>
          </w:tcPr>
          <w:p w:rsidR="00CB6F07" w:rsidRPr="00036EE3" w:rsidRDefault="00CB6F07" w:rsidP="003A0014">
            <w:pPr>
              <w:spacing w:before="30" w:after="30"/>
              <w:ind w:left="57"/>
              <w:jc w:val="left"/>
              <w:rPr>
                <w:b/>
                <w:bCs/>
                <w:sz w:val="20"/>
                <w:lang w:val="en-US"/>
              </w:rPr>
            </w:pPr>
            <w:r w:rsidRPr="00036EE3">
              <w:rPr>
                <w:b/>
                <w:bCs/>
                <w:sz w:val="20"/>
                <w:lang w:val="en-US"/>
              </w:rPr>
              <w:t>SA</w:t>
            </w:r>
          </w:p>
        </w:tc>
        <w:tc>
          <w:tcPr>
            <w:tcW w:w="8220" w:type="dxa"/>
          </w:tcPr>
          <w:p w:rsidR="00CB6F07" w:rsidRPr="00036EE3" w:rsidRDefault="00CB6F07" w:rsidP="003A0014">
            <w:pPr>
              <w:spacing w:before="30" w:after="30"/>
              <w:jc w:val="left"/>
              <w:rPr>
                <w:sz w:val="20"/>
                <w:lang w:val="en-US"/>
              </w:rPr>
            </w:pPr>
            <w:r w:rsidRPr="00036EE3">
              <w:rPr>
                <w:sz w:val="20"/>
                <w:lang w:val="en-US"/>
              </w:rPr>
              <w:t>Space applications and meteorology</w:t>
            </w:r>
          </w:p>
        </w:tc>
      </w:tr>
      <w:tr w:rsidR="00CB6F07" w:rsidRPr="00A044D1" w:rsidTr="003A0014">
        <w:tc>
          <w:tcPr>
            <w:tcW w:w="1140" w:type="dxa"/>
          </w:tcPr>
          <w:p w:rsidR="00CB6F07" w:rsidRPr="00036EE3" w:rsidRDefault="00CB6F07" w:rsidP="003A0014">
            <w:pPr>
              <w:spacing w:before="30" w:after="30"/>
              <w:ind w:left="57"/>
              <w:jc w:val="left"/>
              <w:rPr>
                <w:b/>
                <w:bCs/>
                <w:sz w:val="20"/>
                <w:lang w:val="en-US"/>
              </w:rPr>
            </w:pPr>
            <w:r w:rsidRPr="00036EE3">
              <w:rPr>
                <w:b/>
                <w:bCs/>
                <w:sz w:val="20"/>
                <w:lang w:val="en-US"/>
              </w:rPr>
              <w:t>SF</w:t>
            </w:r>
          </w:p>
        </w:tc>
        <w:tc>
          <w:tcPr>
            <w:tcW w:w="8220" w:type="dxa"/>
          </w:tcPr>
          <w:p w:rsidR="00CB6F07" w:rsidRPr="00036EE3" w:rsidRDefault="00CB6F07" w:rsidP="003A0014">
            <w:pPr>
              <w:spacing w:before="30" w:after="30"/>
              <w:jc w:val="left"/>
              <w:rPr>
                <w:sz w:val="20"/>
                <w:lang w:val="en-US"/>
              </w:rPr>
            </w:pPr>
            <w:r w:rsidRPr="00036EE3">
              <w:rPr>
                <w:sz w:val="20"/>
                <w:lang w:val="en-US"/>
              </w:rPr>
              <w:t>Frequency sharing and coordination between fixed-satellite and fixed service systems</w:t>
            </w:r>
          </w:p>
        </w:tc>
      </w:tr>
      <w:tr w:rsidR="00CB6F07" w:rsidRPr="00036EE3" w:rsidTr="003A0014">
        <w:tc>
          <w:tcPr>
            <w:tcW w:w="1140" w:type="dxa"/>
          </w:tcPr>
          <w:p w:rsidR="00CB6F07" w:rsidRPr="00036EE3" w:rsidRDefault="00CB6F07" w:rsidP="003A0014">
            <w:pPr>
              <w:spacing w:before="30" w:after="30"/>
              <w:ind w:left="57"/>
              <w:jc w:val="left"/>
              <w:rPr>
                <w:b/>
                <w:bCs/>
                <w:sz w:val="20"/>
                <w:lang w:val="en-US"/>
              </w:rPr>
            </w:pPr>
            <w:r>
              <w:rPr>
                <w:b/>
                <w:bCs/>
                <w:sz w:val="20"/>
                <w:lang w:val="en-US"/>
              </w:rPr>
              <w:t>SM</w:t>
            </w:r>
          </w:p>
        </w:tc>
        <w:tc>
          <w:tcPr>
            <w:tcW w:w="8220" w:type="dxa"/>
          </w:tcPr>
          <w:p w:rsidR="00CB6F07" w:rsidRPr="00036EE3" w:rsidRDefault="00CB6F07" w:rsidP="003A0014">
            <w:pPr>
              <w:spacing w:before="30" w:after="30"/>
              <w:jc w:val="left"/>
              <w:rPr>
                <w:sz w:val="20"/>
                <w:lang w:val="en-US"/>
              </w:rPr>
            </w:pPr>
            <w:r>
              <w:rPr>
                <w:sz w:val="20"/>
                <w:lang w:val="en-US"/>
              </w:rPr>
              <w:t>Spectrum management</w:t>
            </w:r>
          </w:p>
        </w:tc>
      </w:tr>
      <w:tr w:rsidR="00CB6F07" w:rsidRPr="00036EE3" w:rsidTr="003A0014">
        <w:tc>
          <w:tcPr>
            <w:tcW w:w="1140" w:type="dxa"/>
          </w:tcPr>
          <w:p w:rsidR="00CB6F07" w:rsidRPr="00036EE3" w:rsidRDefault="00CB6F07" w:rsidP="003A0014">
            <w:pPr>
              <w:spacing w:before="30" w:after="30"/>
              <w:ind w:left="57"/>
              <w:jc w:val="left"/>
              <w:rPr>
                <w:b/>
                <w:bCs/>
                <w:sz w:val="20"/>
                <w:lang w:val="en-US"/>
              </w:rPr>
            </w:pPr>
            <w:r w:rsidRPr="00036EE3">
              <w:rPr>
                <w:b/>
                <w:bCs/>
                <w:sz w:val="20"/>
                <w:lang w:val="en-US"/>
              </w:rPr>
              <w:t>SNG</w:t>
            </w:r>
          </w:p>
        </w:tc>
        <w:tc>
          <w:tcPr>
            <w:tcW w:w="8220" w:type="dxa"/>
          </w:tcPr>
          <w:p w:rsidR="00CB6F07" w:rsidRPr="00036EE3" w:rsidRDefault="00CB6F07" w:rsidP="003A0014">
            <w:pPr>
              <w:spacing w:before="30" w:after="30"/>
              <w:jc w:val="left"/>
              <w:rPr>
                <w:sz w:val="20"/>
                <w:lang w:val="en-US"/>
              </w:rPr>
            </w:pPr>
            <w:r w:rsidRPr="00036EE3">
              <w:rPr>
                <w:sz w:val="20"/>
                <w:lang w:val="en-US"/>
              </w:rPr>
              <w:t>Satellite news gathering</w:t>
            </w:r>
          </w:p>
        </w:tc>
      </w:tr>
      <w:tr w:rsidR="00CB6F07" w:rsidRPr="00A044D1" w:rsidTr="003A0014">
        <w:tc>
          <w:tcPr>
            <w:tcW w:w="1140" w:type="dxa"/>
          </w:tcPr>
          <w:p w:rsidR="00CB6F07" w:rsidRPr="00036EE3" w:rsidRDefault="00CB6F07" w:rsidP="003A0014">
            <w:pPr>
              <w:spacing w:before="30" w:after="30"/>
              <w:ind w:left="57"/>
              <w:jc w:val="left"/>
              <w:rPr>
                <w:b/>
                <w:bCs/>
                <w:sz w:val="20"/>
                <w:lang w:val="en-US"/>
              </w:rPr>
            </w:pPr>
            <w:r w:rsidRPr="00036EE3">
              <w:rPr>
                <w:b/>
                <w:bCs/>
                <w:sz w:val="20"/>
                <w:lang w:val="en-US"/>
              </w:rPr>
              <w:t>TF</w:t>
            </w:r>
          </w:p>
        </w:tc>
        <w:tc>
          <w:tcPr>
            <w:tcW w:w="8220" w:type="dxa"/>
          </w:tcPr>
          <w:p w:rsidR="00CB6F07" w:rsidRPr="00036EE3" w:rsidRDefault="00CB6F07" w:rsidP="003A0014">
            <w:pPr>
              <w:spacing w:before="30" w:after="30"/>
              <w:jc w:val="left"/>
              <w:rPr>
                <w:sz w:val="20"/>
                <w:lang w:val="en-US"/>
              </w:rPr>
            </w:pPr>
            <w:r w:rsidRPr="00036EE3">
              <w:rPr>
                <w:sz w:val="20"/>
                <w:lang w:val="en-US"/>
              </w:rPr>
              <w:t>Time signals and frequency standards emissions</w:t>
            </w:r>
          </w:p>
        </w:tc>
      </w:tr>
      <w:tr w:rsidR="00CB6F07" w:rsidRPr="00036EE3" w:rsidTr="003A0014">
        <w:tc>
          <w:tcPr>
            <w:tcW w:w="1140" w:type="dxa"/>
          </w:tcPr>
          <w:p w:rsidR="00CB6F07" w:rsidRPr="00036EE3" w:rsidRDefault="00CB6F07" w:rsidP="003A0014">
            <w:pPr>
              <w:spacing w:before="30" w:after="30"/>
              <w:ind w:left="57"/>
              <w:jc w:val="left"/>
              <w:rPr>
                <w:b/>
                <w:bCs/>
                <w:sz w:val="20"/>
                <w:lang w:val="en-US"/>
              </w:rPr>
            </w:pPr>
            <w:r w:rsidRPr="00036EE3">
              <w:rPr>
                <w:b/>
                <w:bCs/>
                <w:sz w:val="20"/>
                <w:lang w:val="en-US"/>
              </w:rPr>
              <w:t>V</w:t>
            </w:r>
          </w:p>
        </w:tc>
        <w:tc>
          <w:tcPr>
            <w:tcW w:w="8220" w:type="dxa"/>
          </w:tcPr>
          <w:p w:rsidR="00CB6F07" w:rsidRPr="00036EE3" w:rsidRDefault="00CB6F07" w:rsidP="003A0014">
            <w:pPr>
              <w:spacing w:before="30" w:after="180"/>
              <w:jc w:val="left"/>
              <w:rPr>
                <w:sz w:val="20"/>
                <w:lang w:val="en-US"/>
              </w:rPr>
            </w:pPr>
            <w:r w:rsidRPr="00036EE3">
              <w:rPr>
                <w:sz w:val="20"/>
                <w:lang w:val="en-US"/>
              </w:rPr>
              <w:t>Vocabulary and related subjects</w:t>
            </w:r>
          </w:p>
        </w:tc>
      </w:tr>
    </w:tbl>
    <w:p w:rsidR="00CB6F07" w:rsidRPr="00036EE3" w:rsidRDefault="00CB6F07" w:rsidP="00CB6F07">
      <w:pPr>
        <w:spacing w:before="30" w:after="30"/>
        <w:jc w:val="center"/>
        <w:rPr>
          <w:sz w:val="20"/>
          <w:lang w:val="en-US"/>
        </w:rPr>
      </w:pPr>
    </w:p>
    <w:p w:rsidR="00CB6F07" w:rsidRDefault="00CB6F07" w:rsidP="00CB6F07">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B6F07" w:rsidRPr="00A044D1" w:rsidTr="003A0014">
        <w:tc>
          <w:tcPr>
            <w:tcW w:w="9360" w:type="dxa"/>
          </w:tcPr>
          <w:p w:rsidR="00CB6F07" w:rsidRPr="006B55A9" w:rsidRDefault="00CB6F07" w:rsidP="003A0014">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CB6F07" w:rsidRDefault="00CB6F07" w:rsidP="00CB6F07">
      <w:pPr>
        <w:spacing w:before="0"/>
        <w:jc w:val="center"/>
        <w:rPr>
          <w:sz w:val="22"/>
          <w:lang w:val="en-US"/>
        </w:rPr>
      </w:pPr>
    </w:p>
    <w:p w:rsidR="00CB6F07" w:rsidRDefault="00CB6F07" w:rsidP="00CB6F07">
      <w:pPr>
        <w:spacing w:before="0"/>
        <w:jc w:val="center"/>
        <w:rPr>
          <w:sz w:val="22"/>
          <w:lang w:val="en-US"/>
        </w:rPr>
      </w:pPr>
    </w:p>
    <w:p w:rsidR="00CB6F07" w:rsidRPr="002F5199" w:rsidRDefault="00CB6F07" w:rsidP="00CB6F07">
      <w:pPr>
        <w:spacing w:before="0"/>
        <w:jc w:val="right"/>
        <w:rPr>
          <w:i/>
          <w:iCs/>
          <w:sz w:val="20"/>
          <w:lang w:val="en-US"/>
        </w:rPr>
      </w:pPr>
      <w:r w:rsidRPr="002F5199">
        <w:rPr>
          <w:i/>
          <w:iCs/>
          <w:sz w:val="20"/>
          <w:lang w:val="en-US"/>
        </w:rPr>
        <w:t>Electronic Publication</w:t>
      </w:r>
    </w:p>
    <w:p w:rsidR="00CB6F07" w:rsidRPr="002F5199" w:rsidRDefault="00CB6F07" w:rsidP="00CB6F07">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16</w:t>
      </w:r>
    </w:p>
    <w:p w:rsidR="00CB6F07" w:rsidRPr="00470E28" w:rsidRDefault="00CB6F07" w:rsidP="00CB6F07">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16</w:t>
      </w:r>
    </w:p>
    <w:p w:rsidR="00CB6F07" w:rsidRPr="00470E28" w:rsidRDefault="00CB6F07" w:rsidP="00CB6F07">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CB6F07" w:rsidRDefault="00CB6F07" w:rsidP="00CB6F07">
      <w:pPr>
        <w:spacing w:before="160"/>
        <w:rPr>
          <w:i/>
          <w:sz w:val="20"/>
          <w:lang w:val="en-US"/>
        </w:rPr>
        <w:sectPr w:rsidR="00CB6F07"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CB6F07" w:rsidRPr="00BF487A" w:rsidRDefault="00CB6F07" w:rsidP="006B77AE">
      <w:pPr>
        <w:pStyle w:val="RecNo"/>
        <w:rPr>
          <w:lang w:val="en-US"/>
        </w:rPr>
      </w:pPr>
      <w:bookmarkStart w:id="3" w:name="irecnoe"/>
      <w:bookmarkEnd w:id="3"/>
      <w:r w:rsidRPr="00A044D1">
        <w:rPr>
          <w:lang w:val="en-US"/>
        </w:rPr>
        <w:lastRenderedPageBreak/>
        <w:t>RECOMMENDATION</w:t>
      </w:r>
      <w:r w:rsidRPr="00BF487A">
        <w:rPr>
          <w:lang w:val="en-US"/>
        </w:rPr>
        <w:t xml:space="preserve">  </w:t>
      </w:r>
      <w:r w:rsidRPr="00BF487A">
        <w:rPr>
          <w:rStyle w:val="href"/>
          <w:lang w:val="en-US"/>
        </w:rPr>
        <w:t xml:space="preserve">ITU-R  </w:t>
      </w:r>
      <w:r>
        <w:rPr>
          <w:rStyle w:val="href"/>
          <w:lang w:val="en-US"/>
        </w:rPr>
        <w:t>BT</w:t>
      </w:r>
      <w:r w:rsidRPr="00BF487A">
        <w:rPr>
          <w:rStyle w:val="href"/>
          <w:lang w:val="en-US"/>
        </w:rPr>
        <w:t>.</w:t>
      </w:r>
      <w:r w:rsidR="006B77AE">
        <w:rPr>
          <w:rStyle w:val="href"/>
          <w:lang w:val="en-US"/>
        </w:rPr>
        <w:t>2095-0</w:t>
      </w:r>
    </w:p>
    <w:p w:rsidR="00A6617B" w:rsidRDefault="006B77AE" w:rsidP="006B77AE">
      <w:pPr>
        <w:pStyle w:val="Rectitle"/>
        <w:rPr>
          <w:lang w:val="en-US" w:eastAsia="zh-CN"/>
        </w:rPr>
      </w:pPr>
      <w:r w:rsidRPr="006B77AE">
        <w:rPr>
          <w:lang w:val="en-US" w:eastAsia="zh-CN"/>
        </w:rPr>
        <w:t>Subjective assessment of video quality using expert viewing protocol</w:t>
      </w:r>
    </w:p>
    <w:p w:rsidR="00F221B6" w:rsidRDefault="009F1358" w:rsidP="009F1358">
      <w:pPr>
        <w:pStyle w:val="Recdate"/>
        <w:rPr>
          <w:lang w:val="en-US" w:eastAsia="zh-CN"/>
        </w:rPr>
      </w:pPr>
      <w:r>
        <w:rPr>
          <w:lang w:val="en-US" w:eastAsia="zh-CN"/>
        </w:rPr>
        <w:t>(2016)</w:t>
      </w:r>
    </w:p>
    <w:p w:rsidR="000106C6" w:rsidRPr="00C43FBC" w:rsidRDefault="000106C6" w:rsidP="009F1358">
      <w:pPr>
        <w:pStyle w:val="HeadingSum"/>
        <w:rPr>
          <w:lang w:val="en-US" w:eastAsia="pl-PL"/>
        </w:rPr>
      </w:pPr>
      <w:r w:rsidRPr="00C43FBC">
        <w:rPr>
          <w:lang w:val="en-US" w:eastAsia="pl-PL"/>
        </w:rPr>
        <w:t>Scope</w:t>
      </w:r>
    </w:p>
    <w:p w:rsidR="000106C6" w:rsidRPr="00C43FBC" w:rsidRDefault="000106C6" w:rsidP="00C43FBC">
      <w:pPr>
        <w:pStyle w:val="Summary"/>
        <w:rPr>
          <w:lang w:val="en-US" w:eastAsia="pl-PL"/>
        </w:rPr>
      </w:pPr>
      <w:r w:rsidRPr="00C43FBC">
        <w:rPr>
          <w:lang w:val="en-US" w:eastAsia="pl-PL"/>
        </w:rPr>
        <w:t xml:space="preserve">This Recommendation describes the method to subjectively assess video quality of moving images by means </w:t>
      </w:r>
      <w:r w:rsidR="00C43FBC" w:rsidRPr="00C43FBC">
        <w:rPr>
          <w:lang w:val="en-US" w:eastAsia="pl-PL"/>
        </w:rPr>
        <w:t xml:space="preserve">of </w:t>
      </w:r>
      <w:r w:rsidRPr="00C43FBC">
        <w:rPr>
          <w:lang w:val="en-US" w:eastAsia="pl-PL"/>
        </w:rPr>
        <w:t xml:space="preserve">the </w:t>
      </w:r>
      <w:r w:rsidR="00C43FBC" w:rsidRPr="00C43FBC">
        <w:rPr>
          <w:lang w:val="en-US" w:eastAsia="pl-PL"/>
        </w:rPr>
        <w:t>expert viewing protocol</w:t>
      </w:r>
      <w:r w:rsidRPr="00C43FBC">
        <w:rPr>
          <w:lang w:val="en-US" w:eastAsia="pl-PL"/>
        </w:rPr>
        <w:t>, with the participation of a reduced number of viewers, all selected among experts in the relevant video processing area.</w:t>
      </w:r>
    </w:p>
    <w:p w:rsidR="000106C6" w:rsidRPr="00A044D1" w:rsidRDefault="000106C6" w:rsidP="00D8414C">
      <w:pPr>
        <w:pStyle w:val="Headingb"/>
        <w:rPr>
          <w:lang w:val="en-US"/>
        </w:rPr>
      </w:pPr>
      <w:r w:rsidRPr="00A044D1">
        <w:rPr>
          <w:lang w:val="en-US"/>
        </w:rPr>
        <w:t>Keywords</w:t>
      </w:r>
    </w:p>
    <w:p w:rsidR="000106C6" w:rsidRPr="000106C6" w:rsidRDefault="000106C6" w:rsidP="009F1358">
      <w:pPr>
        <w:rPr>
          <w:lang w:val="en-US" w:eastAsia="pl-PL"/>
        </w:rPr>
      </w:pPr>
      <w:r w:rsidRPr="000106C6">
        <w:rPr>
          <w:lang w:val="en-US" w:eastAsia="pl-PL"/>
        </w:rPr>
        <w:t>Television, video quality, subjective assessment, expert viewing</w:t>
      </w:r>
    </w:p>
    <w:p w:rsidR="000106C6" w:rsidRPr="000106C6" w:rsidRDefault="000106C6" w:rsidP="009F1358">
      <w:pPr>
        <w:pStyle w:val="Normalaftertitle"/>
        <w:rPr>
          <w:lang w:val="en-US" w:eastAsia="pl-PL"/>
        </w:rPr>
      </w:pPr>
      <w:r w:rsidRPr="000106C6">
        <w:rPr>
          <w:lang w:val="en-US" w:eastAsia="pl-PL"/>
        </w:rPr>
        <w:t>The ITU Radiocommunication Assembly,</w:t>
      </w:r>
    </w:p>
    <w:p w:rsidR="000106C6" w:rsidRPr="000106C6" w:rsidRDefault="000106C6" w:rsidP="000106C6">
      <w:pPr>
        <w:pStyle w:val="Call"/>
        <w:rPr>
          <w:lang w:val="en-US" w:eastAsia="pl-PL"/>
        </w:rPr>
      </w:pPr>
      <w:r w:rsidRPr="000106C6">
        <w:rPr>
          <w:lang w:val="en-US" w:eastAsia="pl-PL"/>
        </w:rPr>
        <w:t>considering</w:t>
      </w:r>
    </w:p>
    <w:p w:rsidR="000106C6" w:rsidRPr="000106C6" w:rsidRDefault="000106C6" w:rsidP="00A401B9">
      <w:pPr>
        <w:rPr>
          <w:lang w:val="en-US" w:eastAsia="pl-PL"/>
        </w:rPr>
      </w:pPr>
      <w:r w:rsidRPr="000106C6">
        <w:rPr>
          <w:i/>
          <w:iCs/>
          <w:lang w:val="en-US" w:eastAsia="pl-PL"/>
        </w:rPr>
        <w:t>a)</w:t>
      </w:r>
      <w:r w:rsidRPr="000106C6">
        <w:rPr>
          <w:lang w:val="en-US" w:eastAsia="pl-PL"/>
        </w:rPr>
        <w:tab/>
        <w:t>that source coding technologies for digital television applications are continuously improving both in efficiency and in visual performance;</w:t>
      </w:r>
    </w:p>
    <w:p w:rsidR="000106C6" w:rsidRPr="000106C6" w:rsidRDefault="000106C6" w:rsidP="00A401B9">
      <w:pPr>
        <w:rPr>
          <w:lang w:val="en-US" w:eastAsia="pl-PL"/>
        </w:rPr>
      </w:pPr>
      <w:r w:rsidRPr="000106C6">
        <w:rPr>
          <w:i/>
          <w:iCs/>
          <w:lang w:val="en-US" w:eastAsia="pl-PL"/>
        </w:rPr>
        <w:t>b)</w:t>
      </w:r>
      <w:r w:rsidRPr="000106C6">
        <w:rPr>
          <w:lang w:val="en-US" w:eastAsia="pl-PL"/>
        </w:rPr>
        <w:tab/>
        <w:t>that the continuous evolution of video coding technologies implies an ever increasing demand for evaluation methods to assess technical and visual performances;</w:t>
      </w:r>
    </w:p>
    <w:p w:rsidR="000106C6" w:rsidRPr="000106C6" w:rsidRDefault="000106C6" w:rsidP="00D8414C">
      <w:pPr>
        <w:rPr>
          <w:lang w:val="en-US" w:eastAsia="pl-PL"/>
        </w:rPr>
      </w:pPr>
      <w:r w:rsidRPr="000106C6">
        <w:rPr>
          <w:i/>
          <w:iCs/>
          <w:lang w:val="en-US" w:eastAsia="pl-PL"/>
        </w:rPr>
        <w:t>c)</w:t>
      </w:r>
      <w:r w:rsidRPr="000106C6">
        <w:rPr>
          <w:lang w:val="en-US" w:eastAsia="pl-PL"/>
        </w:rPr>
        <w:tab/>
        <w:t>that the compression efficiency and visual performances of new video source coding technologies require new and more efficient visual assessment and ranking methods;</w:t>
      </w:r>
    </w:p>
    <w:p w:rsidR="000106C6" w:rsidRPr="000106C6" w:rsidRDefault="000106C6" w:rsidP="00A401B9">
      <w:pPr>
        <w:rPr>
          <w:lang w:val="en-US" w:eastAsia="pl-PL"/>
        </w:rPr>
      </w:pPr>
      <w:r w:rsidRPr="000106C6">
        <w:rPr>
          <w:i/>
          <w:iCs/>
          <w:lang w:val="en-US" w:eastAsia="pl-PL"/>
        </w:rPr>
        <w:t>d)</w:t>
      </w:r>
      <w:r w:rsidRPr="000106C6">
        <w:rPr>
          <w:lang w:val="en-US" w:eastAsia="pl-PL"/>
        </w:rPr>
        <w:tab/>
        <w:t>that the evaluation methods specified in current ITU-R Recommendations is highly demanding in term</w:t>
      </w:r>
      <w:r w:rsidR="00C43FBC">
        <w:rPr>
          <w:lang w:val="en-US" w:eastAsia="pl-PL"/>
        </w:rPr>
        <w:t>s</w:t>
      </w:r>
      <w:r w:rsidRPr="000106C6">
        <w:rPr>
          <w:lang w:val="en-US" w:eastAsia="pl-PL"/>
        </w:rPr>
        <w:t xml:space="preserve"> of time and human resources, and that they often do not take into account the technical evolution of the displays and of the final user fruition;</w:t>
      </w:r>
    </w:p>
    <w:p w:rsidR="000106C6" w:rsidRPr="000106C6" w:rsidRDefault="000106C6" w:rsidP="00A401B9">
      <w:pPr>
        <w:rPr>
          <w:lang w:val="en-US" w:eastAsia="pl-PL"/>
        </w:rPr>
      </w:pPr>
      <w:r w:rsidRPr="000106C6">
        <w:rPr>
          <w:i/>
          <w:iCs/>
          <w:lang w:val="en-US" w:eastAsia="pl-PL"/>
        </w:rPr>
        <w:t>e)</w:t>
      </w:r>
      <w:r w:rsidRPr="000106C6">
        <w:rPr>
          <w:lang w:val="en-US" w:eastAsia="pl-PL"/>
        </w:rPr>
        <w:tab/>
        <w:t>that new approaches in expert viewing protocols have recently shown better efficiency and performance, in terms of time and overall cost, compared to those provided by methods based on the use of non-expert viewers;</w:t>
      </w:r>
    </w:p>
    <w:p w:rsidR="000106C6" w:rsidRPr="000106C6" w:rsidRDefault="000106C6" w:rsidP="00A401B9">
      <w:pPr>
        <w:rPr>
          <w:lang w:val="en-US" w:eastAsia="pl-PL"/>
        </w:rPr>
      </w:pPr>
      <w:r w:rsidRPr="000106C6">
        <w:rPr>
          <w:i/>
          <w:iCs/>
          <w:lang w:val="en-US" w:eastAsia="pl-PL"/>
        </w:rPr>
        <w:t>f)</w:t>
      </w:r>
      <w:r w:rsidRPr="000106C6">
        <w:rPr>
          <w:i/>
          <w:iCs/>
          <w:lang w:val="en-US" w:eastAsia="pl-PL"/>
        </w:rPr>
        <w:tab/>
      </w:r>
      <w:r w:rsidRPr="000106C6">
        <w:rPr>
          <w:lang w:val="en-US" w:eastAsia="pl-PL"/>
        </w:rPr>
        <w:t>that if the results of expert viewing protocol cannot be considered as a replacement of the results provided by a formal subjective assessment protocol, the results of expert viewing protocol can be considered a valuable preliminary indication of the performances of the systems under test;</w:t>
      </w:r>
    </w:p>
    <w:p w:rsidR="000106C6" w:rsidRPr="000106C6" w:rsidRDefault="000106C6" w:rsidP="00A401B9">
      <w:pPr>
        <w:rPr>
          <w:lang w:val="en-US" w:eastAsia="pl-PL"/>
        </w:rPr>
      </w:pPr>
      <w:r w:rsidRPr="000106C6">
        <w:rPr>
          <w:i/>
          <w:iCs/>
          <w:lang w:val="en-US" w:eastAsia="pl-PL"/>
        </w:rPr>
        <w:t>g)</w:t>
      </w:r>
      <w:r w:rsidRPr="000106C6">
        <w:rPr>
          <w:i/>
          <w:iCs/>
          <w:lang w:val="en-US" w:eastAsia="pl-PL"/>
        </w:rPr>
        <w:tab/>
      </w:r>
      <w:r w:rsidRPr="000106C6">
        <w:rPr>
          <w:lang w:val="en-US" w:eastAsia="pl-PL"/>
        </w:rPr>
        <w:t>that the growing technology evolution in the area of flat panel displays has drastically modified the viewing condition normally used by experts;</w:t>
      </w:r>
    </w:p>
    <w:p w:rsidR="000106C6" w:rsidRPr="000106C6" w:rsidRDefault="000106C6" w:rsidP="00A401B9">
      <w:pPr>
        <w:rPr>
          <w:lang w:val="en-US" w:eastAsia="pl-PL"/>
        </w:rPr>
      </w:pPr>
      <w:r w:rsidRPr="000106C6">
        <w:rPr>
          <w:i/>
          <w:iCs/>
          <w:lang w:val="en-US" w:eastAsia="pl-PL"/>
        </w:rPr>
        <w:t>h)</w:t>
      </w:r>
      <w:r w:rsidRPr="000106C6">
        <w:rPr>
          <w:lang w:val="en-US" w:eastAsia="pl-PL"/>
        </w:rPr>
        <w:tab/>
        <w:t>that ISO/IEC have already successfully used new protocols based on expert viewing in the evaluation of new video source coding technologies,</w:t>
      </w:r>
    </w:p>
    <w:p w:rsidR="000106C6" w:rsidRPr="000106C6" w:rsidRDefault="000106C6" w:rsidP="000106C6">
      <w:pPr>
        <w:pStyle w:val="Call"/>
        <w:rPr>
          <w:lang w:val="en-US" w:eastAsia="pl-PL"/>
        </w:rPr>
      </w:pPr>
      <w:r w:rsidRPr="000106C6">
        <w:rPr>
          <w:lang w:val="en-US" w:eastAsia="pl-PL"/>
        </w:rPr>
        <w:t>recommends</w:t>
      </w:r>
    </w:p>
    <w:p w:rsidR="000106C6" w:rsidRPr="000106C6" w:rsidRDefault="000106C6" w:rsidP="000106C6">
      <w:pPr>
        <w:rPr>
          <w:lang w:val="en-US" w:eastAsia="pl-PL"/>
        </w:rPr>
      </w:pPr>
      <w:r w:rsidRPr="00DD4243">
        <w:rPr>
          <w:rFonts w:ascii="TimesNewRoman,Bold" w:hAnsi="TimesNewRoman,Bold" w:cs="TimesNewRoman,Bold"/>
          <w:b/>
          <w:bCs/>
          <w:lang w:val="en-US" w:eastAsia="pl-PL"/>
        </w:rPr>
        <w:t>1</w:t>
      </w:r>
      <w:r w:rsidRPr="000106C6">
        <w:rPr>
          <w:rFonts w:ascii="TimesNewRoman,Bold" w:hAnsi="TimesNewRoman,Bold" w:cs="TimesNewRoman,Bold"/>
          <w:b/>
          <w:bCs/>
          <w:lang w:val="en-US" w:eastAsia="pl-PL"/>
        </w:rPr>
        <w:tab/>
      </w:r>
      <w:r w:rsidRPr="000106C6">
        <w:rPr>
          <w:lang w:val="en-US" w:eastAsia="pl-PL"/>
        </w:rPr>
        <w:t>that, in the assessment of new digital video coding technologies, consideration should be given to the use of the expert viewing protocol, described in Annex 1;</w:t>
      </w:r>
    </w:p>
    <w:p w:rsidR="000106C6" w:rsidRPr="000106C6" w:rsidRDefault="000106C6" w:rsidP="000106C6">
      <w:pPr>
        <w:rPr>
          <w:lang w:val="en-US" w:eastAsia="pl-PL"/>
        </w:rPr>
      </w:pPr>
      <w:r w:rsidRPr="00DD4243">
        <w:rPr>
          <w:rFonts w:ascii="TimesNewRoman,Bold" w:hAnsi="TimesNewRoman,Bold" w:cs="TimesNewRoman,Bold"/>
          <w:b/>
          <w:bCs/>
          <w:lang w:val="en-US" w:eastAsia="pl-PL"/>
        </w:rPr>
        <w:t>2</w:t>
      </w:r>
      <w:r w:rsidRPr="000106C6">
        <w:rPr>
          <w:rFonts w:ascii="TimesNewRoman,Bold" w:hAnsi="TimesNewRoman,Bold" w:cs="TimesNewRoman,Bold"/>
          <w:bCs/>
          <w:lang w:val="en-US" w:eastAsia="pl-PL"/>
        </w:rPr>
        <w:tab/>
        <w:t xml:space="preserve">that the </w:t>
      </w:r>
      <w:r w:rsidRPr="000106C6">
        <w:rPr>
          <w:lang w:val="en-US" w:eastAsia="pl-PL"/>
        </w:rPr>
        <w:t xml:space="preserve">expert viewing protocol should be implemented using professional </w:t>
      </w:r>
      <w:r w:rsidR="00DD4243" w:rsidRPr="000106C6">
        <w:rPr>
          <w:lang w:val="en-US" w:eastAsia="pl-PL"/>
        </w:rPr>
        <w:t xml:space="preserve">flat panel displays </w:t>
      </w:r>
      <w:r w:rsidRPr="000106C6">
        <w:rPr>
          <w:lang w:val="en-US" w:eastAsia="pl-PL"/>
        </w:rPr>
        <w:t>and the laborat</w:t>
      </w:r>
      <w:r w:rsidR="0084067D">
        <w:rPr>
          <w:lang w:val="en-US" w:eastAsia="pl-PL"/>
        </w:rPr>
        <w:t>ory set-up described in Annex 1.</w:t>
      </w:r>
    </w:p>
    <w:p w:rsidR="000106C6" w:rsidRPr="00951FC2" w:rsidRDefault="00951FC2" w:rsidP="00951FC2">
      <w:pPr>
        <w:pStyle w:val="AnnexNoTitle"/>
        <w:rPr>
          <w:lang w:val="en-US"/>
        </w:rPr>
      </w:pPr>
      <w:r w:rsidRPr="00951FC2">
        <w:rPr>
          <w:lang w:val="en-US"/>
        </w:rPr>
        <w:lastRenderedPageBreak/>
        <w:t>Annex 1</w:t>
      </w:r>
      <w:r w:rsidRPr="00951FC2">
        <w:rPr>
          <w:lang w:val="en-US"/>
        </w:rPr>
        <w:br/>
      </w:r>
      <w:r w:rsidRPr="00951FC2">
        <w:rPr>
          <w:lang w:val="en-US"/>
        </w:rPr>
        <w:br/>
      </w:r>
      <w:r w:rsidR="000106C6" w:rsidRPr="00951FC2">
        <w:rPr>
          <w:lang w:val="en-US"/>
        </w:rPr>
        <w:t xml:space="preserve">Expert viewing protocol for the evaluation </w:t>
      </w:r>
      <w:r>
        <w:rPr>
          <w:lang w:val="en-US"/>
        </w:rPr>
        <w:br/>
      </w:r>
      <w:r w:rsidR="000106C6" w:rsidRPr="00951FC2">
        <w:rPr>
          <w:lang w:val="en-US"/>
        </w:rPr>
        <w:t>of</w:t>
      </w:r>
      <w:r>
        <w:rPr>
          <w:lang w:val="en-US"/>
        </w:rPr>
        <w:t xml:space="preserve"> </w:t>
      </w:r>
      <w:r w:rsidR="000106C6" w:rsidRPr="00951FC2">
        <w:rPr>
          <w:lang w:val="en-US"/>
        </w:rPr>
        <w:t>the quality of video material</w:t>
      </w:r>
    </w:p>
    <w:p w:rsidR="000106C6" w:rsidRPr="000106C6" w:rsidRDefault="000106C6" w:rsidP="00013943">
      <w:pPr>
        <w:pStyle w:val="Heading1"/>
        <w:rPr>
          <w:lang w:val="en-US"/>
        </w:rPr>
      </w:pPr>
      <w:r w:rsidRPr="000106C6">
        <w:rPr>
          <w:lang w:val="en-US"/>
        </w:rPr>
        <w:t>1</w:t>
      </w:r>
      <w:r w:rsidRPr="000106C6">
        <w:rPr>
          <w:lang w:val="en-US"/>
        </w:rPr>
        <w:tab/>
        <w:t xml:space="preserve">Laboratory </w:t>
      </w:r>
      <w:r w:rsidR="00013943" w:rsidRPr="00A044D1">
        <w:rPr>
          <w:lang w:val="en-US"/>
        </w:rPr>
        <w:t>s</w:t>
      </w:r>
      <w:r w:rsidRPr="00A044D1">
        <w:rPr>
          <w:lang w:val="en-US"/>
        </w:rPr>
        <w:t>et</w:t>
      </w:r>
      <w:r w:rsidRPr="000106C6">
        <w:rPr>
          <w:lang w:val="en-US"/>
        </w:rPr>
        <w:t>-up</w:t>
      </w:r>
    </w:p>
    <w:p w:rsidR="000106C6" w:rsidRPr="000106C6" w:rsidRDefault="000106C6" w:rsidP="000106C6">
      <w:pPr>
        <w:pStyle w:val="Heading2"/>
        <w:rPr>
          <w:lang w:val="en-US"/>
        </w:rPr>
      </w:pPr>
      <w:r w:rsidRPr="000106C6">
        <w:rPr>
          <w:lang w:val="en-US"/>
        </w:rPr>
        <w:t>1.1</w:t>
      </w:r>
      <w:r w:rsidRPr="000106C6">
        <w:rPr>
          <w:lang w:val="en-US"/>
        </w:rPr>
        <w:tab/>
        <w:t>Display selection and set-up</w:t>
      </w:r>
    </w:p>
    <w:p w:rsidR="000106C6" w:rsidRPr="000106C6" w:rsidRDefault="000106C6" w:rsidP="00634D3D">
      <w:pPr>
        <w:rPr>
          <w:lang w:val="en-US"/>
        </w:rPr>
      </w:pPr>
      <w:r w:rsidRPr="000106C6">
        <w:rPr>
          <w:lang w:val="en-US"/>
        </w:rPr>
        <w:t>The display used should be a flat panel display featuring performances typical of professional applications (e.g. broadcasting studios or vans); the display diago</w:t>
      </w:r>
      <w:r w:rsidR="00013943">
        <w:rPr>
          <w:lang w:val="en-US"/>
        </w:rPr>
        <w:t>nal dimension may vary from 22’ </w:t>
      </w:r>
      <w:r w:rsidRPr="000106C6">
        <w:rPr>
          <w:lang w:val="en-US"/>
        </w:rPr>
        <w:t>(minimum) to 40’ (suggested), but it may extend to 50’ or higher, when image systems with a resolution of HDTV or higher are assessed.</w:t>
      </w:r>
    </w:p>
    <w:p w:rsidR="000106C6" w:rsidRPr="000106C6" w:rsidRDefault="000106C6" w:rsidP="00634D3D">
      <w:pPr>
        <w:rPr>
          <w:lang w:val="en-US"/>
        </w:rPr>
      </w:pPr>
      <w:r w:rsidRPr="000106C6">
        <w:rPr>
          <w:lang w:val="en-US"/>
        </w:rPr>
        <w:t>It is allowed to use a reduced portion of the active viewing area of a display; in this case the area around the active part of the display should be set to mid-grey. In this condition of use it should not be allowed to set the monitor to a resolution different from its native one.</w:t>
      </w:r>
    </w:p>
    <w:p w:rsidR="000106C6" w:rsidRPr="000106C6" w:rsidRDefault="000106C6" w:rsidP="00634D3D">
      <w:pPr>
        <w:rPr>
          <w:lang w:val="en-US"/>
        </w:rPr>
      </w:pPr>
      <w:r w:rsidRPr="000106C6">
        <w:rPr>
          <w:lang w:val="en-US"/>
        </w:rPr>
        <w:t>The display should allow a proper set-up and calibration for luminance and colour, using a professional light-meter instrument. The calibration of the display should comply with the parameters specified in the relevant Recommendation for the test being undertaken.</w:t>
      </w:r>
    </w:p>
    <w:p w:rsidR="000106C6" w:rsidRPr="000106C6" w:rsidRDefault="000106C6" w:rsidP="000106C6">
      <w:pPr>
        <w:pStyle w:val="Heading2"/>
        <w:rPr>
          <w:lang w:val="en-US"/>
        </w:rPr>
      </w:pPr>
      <w:r w:rsidRPr="000106C6">
        <w:rPr>
          <w:lang w:val="en-US"/>
        </w:rPr>
        <w:t>1.2</w:t>
      </w:r>
      <w:r w:rsidRPr="000106C6">
        <w:rPr>
          <w:lang w:val="en-US"/>
        </w:rPr>
        <w:tab/>
        <w:t>Viewing distance</w:t>
      </w:r>
    </w:p>
    <w:p w:rsidR="000106C6" w:rsidRPr="000106C6" w:rsidRDefault="000106C6" w:rsidP="006C7991">
      <w:pPr>
        <w:rPr>
          <w:lang w:val="en-US"/>
        </w:rPr>
      </w:pPr>
      <w:r w:rsidRPr="000106C6">
        <w:rPr>
          <w:lang w:val="en-US"/>
        </w:rPr>
        <w:t>The viewing distance at which the experts are seated should be chosen according to the resolution of the screen, and to the height of the active part of the screen, according to the design viewing distance as described in Recommendation ITU-R BT.2022 or shorter viewing distance, according to the requirements in terms of critical viewing conditions.</w:t>
      </w:r>
    </w:p>
    <w:p w:rsidR="000106C6" w:rsidRPr="000106C6" w:rsidRDefault="000106C6" w:rsidP="000106C6">
      <w:pPr>
        <w:pStyle w:val="Heading2"/>
        <w:rPr>
          <w:lang w:val="en-US"/>
        </w:rPr>
      </w:pPr>
      <w:r w:rsidRPr="000106C6">
        <w:rPr>
          <w:lang w:val="en-US"/>
        </w:rPr>
        <w:t>1.3</w:t>
      </w:r>
      <w:r w:rsidRPr="000106C6">
        <w:rPr>
          <w:lang w:val="en-US"/>
        </w:rPr>
        <w:tab/>
        <w:t>Viewing conditions</w:t>
      </w:r>
    </w:p>
    <w:p w:rsidR="000106C6" w:rsidRPr="000106C6" w:rsidRDefault="000106C6" w:rsidP="006C7991">
      <w:pPr>
        <w:rPr>
          <w:lang w:val="en-US"/>
        </w:rPr>
      </w:pPr>
      <w:r w:rsidRPr="000106C6">
        <w:rPr>
          <w:lang w:val="en-US"/>
        </w:rPr>
        <w:t xml:space="preserve">An </w:t>
      </w:r>
      <w:r w:rsidR="00B37764">
        <w:rPr>
          <w:lang w:val="en-US"/>
        </w:rPr>
        <w:t>e</w:t>
      </w:r>
      <w:r w:rsidR="00B37764" w:rsidRPr="00951FC2">
        <w:rPr>
          <w:lang w:val="en-US"/>
        </w:rPr>
        <w:t xml:space="preserve">xpert viewing protocol </w:t>
      </w:r>
      <w:r w:rsidR="00B37764">
        <w:rPr>
          <w:lang w:val="en-US"/>
        </w:rPr>
        <w:t>(</w:t>
      </w:r>
      <w:r w:rsidRPr="000106C6">
        <w:rPr>
          <w:lang w:val="en-US"/>
        </w:rPr>
        <w:t>EVP</w:t>
      </w:r>
      <w:r w:rsidR="00B37764">
        <w:rPr>
          <w:lang w:val="en-US"/>
        </w:rPr>
        <w:t>)</w:t>
      </w:r>
      <w:r w:rsidRPr="000106C6">
        <w:rPr>
          <w:lang w:val="en-US"/>
        </w:rPr>
        <w:t xml:space="preserve"> experiment should not necessarily be run in a test laboratory, but it is important that the testing location is protected from audible and or visible disturbances (e.g.: a quiet office or meeting room may be used as well).</w:t>
      </w:r>
    </w:p>
    <w:p w:rsidR="000106C6" w:rsidRPr="000106C6" w:rsidRDefault="000106C6" w:rsidP="006C7991">
      <w:pPr>
        <w:rPr>
          <w:lang w:val="en-US"/>
        </w:rPr>
      </w:pPr>
      <w:r w:rsidRPr="000106C6">
        <w:rPr>
          <w:lang w:val="en-US"/>
        </w:rPr>
        <w:t>Any direct or reflected source of light falling on the screen should be eliminated; other ambient light should be low, maintained to the minimum level that can allow filling scoring sheets (if used).</w:t>
      </w:r>
    </w:p>
    <w:p w:rsidR="000106C6" w:rsidRPr="000106C6" w:rsidRDefault="000106C6" w:rsidP="006C7991">
      <w:pPr>
        <w:rPr>
          <w:lang w:val="en-US"/>
        </w:rPr>
      </w:pPr>
      <w:r w:rsidRPr="000106C6">
        <w:rPr>
          <w:lang w:val="en-US"/>
        </w:rPr>
        <w:t>The number of experts seated in front of the monitor, may vary according to the screen size, in order to guarantee the same image rendering and stimulus presentation for all the viewers.</w:t>
      </w:r>
    </w:p>
    <w:p w:rsidR="000106C6" w:rsidRPr="000106C6" w:rsidRDefault="000106C6" w:rsidP="000106C6">
      <w:pPr>
        <w:pStyle w:val="Heading1"/>
        <w:rPr>
          <w:lang w:val="en-US"/>
        </w:rPr>
      </w:pPr>
      <w:r w:rsidRPr="000106C6">
        <w:rPr>
          <w:lang w:val="en-US"/>
        </w:rPr>
        <w:t>2</w:t>
      </w:r>
      <w:r w:rsidRPr="000106C6">
        <w:rPr>
          <w:lang w:val="en-US"/>
        </w:rPr>
        <w:tab/>
        <w:t>Viewers</w:t>
      </w:r>
    </w:p>
    <w:p w:rsidR="000106C6" w:rsidRPr="000106C6" w:rsidRDefault="000106C6" w:rsidP="006C7991">
      <w:pPr>
        <w:rPr>
          <w:lang w:val="en-US"/>
        </w:rPr>
      </w:pPr>
      <w:r w:rsidRPr="000106C6">
        <w:rPr>
          <w:lang w:val="en-US"/>
        </w:rPr>
        <w:t>The viewers participating to an EVP experiment should be expert in the domain of study.</w:t>
      </w:r>
    </w:p>
    <w:p w:rsidR="000106C6" w:rsidRPr="000106C6" w:rsidRDefault="000106C6" w:rsidP="006C7991">
      <w:pPr>
        <w:rPr>
          <w:lang w:val="en-US"/>
        </w:rPr>
      </w:pPr>
      <w:r w:rsidRPr="000106C6">
        <w:rPr>
          <w:lang w:val="en-US"/>
        </w:rPr>
        <w:t>Viewers should not necessarily be screened for visual acuity or colour blindness, since they should be chosen among qualified persons.</w:t>
      </w:r>
    </w:p>
    <w:p w:rsidR="000106C6" w:rsidRPr="000106C6" w:rsidRDefault="000106C6" w:rsidP="006C7991">
      <w:pPr>
        <w:rPr>
          <w:lang w:val="en-US"/>
        </w:rPr>
      </w:pPr>
      <w:r w:rsidRPr="000106C6">
        <w:rPr>
          <w:lang w:val="en-US"/>
        </w:rPr>
        <w:t>The minimum number of different viewers should be nine.</w:t>
      </w:r>
    </w:p>
    <w:p w:rsidR="000106C6" w:rsidRPr="000106C6" w:rsidRDefault="000106C6" w:rsidP="006C7991">
      <w:pPr>
        <w:rPr>
          <w:lang w:val="en-US"/>
        </w:rPr>
      </w:pPr>
      <w:r w:rsidRPr="000106C6">
        <w:rPr>
          <w:lang w:val="en-US"/>
        </w:rPr>
        <w:t xml:space="preserve">To reach the minimum number of viewers, the same experiment may be conducted at the same location repeating the test, or in more than one location. The scores from different locations participating to an expert viewing session may be statistically processed together. </w:t>
      </w:r>
    </w:p>
    <w:p w:rsidR="000106C6" w:rsidRPr="00634D3D" w:rsidRDefault="000106C6" w:rsidP="00634D3D">
      <w:pPr>
        <w:pStyle w:val="Heading1"/>
        <w:rPr>
          <w:lang w:val="en-US"/>
        </w:rPr>
      </w:pPr>
      <w:r w:rsidRPr="00634D3D">
        <w:rPr>
          <w:lang w:val="en-US"/>
        </w:rPr>
        <w:lastRenderedPageBreak/>
        <w:t>3</w:t>
      </w:r>
      <w:r w:rsidRPr="00634D3D">
        <w:rPr>
          <w:lang w:val="en-US"/>
        </w:rPr>
        <w:tab/>
        <w:t xml:space="preserve">The </w:t>
      </w:r>
      <w:r w:rsidR="00634D3D" w:rsidRPr="00634D3D">
        <w:rPr>
          <w:lang w:val="en-US"/>
        </w:rPr>
        <w:t xml:space="preserve">basic test cell </w:t>
      </w:r>
    </w:p>
    <w:p w:rsidR="000106C6" w:rsidRPr="000106C6" w:rsidRDefault="000106C6" w:rsidP="00634D3D">
      <w:pPr>
        <w:rPr>
          <w:lang w:val="en-US"/>
        </w:rPr>
      </w:pPr>
      <w:r w:rsidRPr="000106C6">
        <w:rPr>
          <w:lang w:val="en-US"/>
        </w:rPr>
        <w:t xml:space="preserve">The material to be presented to the experts should be organised creating a </w:t>
      </w:r>
      <w:r w:rsidR="00634D3D" w:rsidRPr="000106C6">
        <w:rPr>
          <w:lang w:val="en-US"/>
        </w:rPr>
        <w:t xml:space="preserve">basic test cell </w:t>
      </w:r>
      <w:r w:rsidR="00172E20">
        <w:rPr>
          <w:lang w:val="en-US"/>
        </w:rPr>
        <w:t xml:space="preserve">(BTC) </w:t>
      </w:r>
      <w:r w:rsidRPr="000106C6">
        <w:rPr>
          <w:lang w:val="en-US"/>
        </w:rPr>
        <w:t>for each couple of coding conditions to be assessed (see Fig. 1).</w:t>
      </w:r>
    </w:p>
    <w:p w:rsidR="000106C6" w:rsidRPr="000106C6" w:rsidRDefault="000106C6" w:rsidP="00634D3D">
      <w:pPr>
        <w:rPr>
          <w:lang w:val="en-US"/>
        </w:rPr>
      </w:pPr>
      <w:r w:rsidRPr="000106C6">
        <w:rPr>
          <w:lang w:val="en-US"/>
        </w:rPr>
        <w:t xml:space="preserve">The </w:t>
      </w:r>
      <w:r w:rsidR="00634D3D" w:rsidRPr="000106C6">
        <w:rPr>
          <w:lang w:val="en-US"/>
        </w:rPr>
        <w:t>source reference sequences</w:t>
      </w:r>
      <w:r w:rsidR="00634D3D">
        <w:rPr>
          <w:lang w:val="en-US"/>
        </w:rPr>
        <w:t xml:space="preserve"> (</w:t>
      </w:r>
      <w:r w:rsidRPr="000106C6">
        <w:rPr>
          <w:lang w:val="en-US"/>
        </w:rPr>
        <w:t>SRC</w:t>
      </w:r>
      <w:r w:rsidR="00634D3D">
        <w:rPr>
          <w:lang w:val="en-US"/>
        </w:rPr>
        <w:t>)</w:t>
      </w:r>
      <w:r w:rsidRPr="000106C6">
        <w:rPr>
          <w:lang w:val="en-US"/>
        </w:rPr>
        <w:t xml:space="preserve"> and the </w:t>
      </w:r>
      <w:r w:rsidR="00634D3D" w:rsidRPr="000106C6">
        <w:rPr>
          <w:lang w:val="en-US"/>
        </w:rPr>
        <w:t>processed video sequence</w:t>
      </w:r>
      <w:r w:rsidR="00A044D1">
        <w:rPr>
          <w:lang w:val="en-US"/>
        </w:rPr>
        <w:t>s</w:t>
      </w:r>
      <w:r w:rsidR="00634D3D" w:rsidRPr="000106C6">
        <w:rPr>
          <w:lang w:val="en-US"/>
        </w:rPr>
        <w:t xml:space="preserve"> </w:t>
      </w:r>
      <w:r w:rsidR="00634D3D">
        <w:rPr>
          <w:lang w:val="en-US"/>
        </w:rPr>
        <w:t>(</w:t>
      </w:r>
      <w:r w:rsidRPr="000106C6">
        <w:rPr>
          <w:lang w:val="en-US"/>
        </w:rPr>
        <w:t>PVSs</w:t>
      </w:r>
      <w:r w:rsidR="00634D3D">
        <w:rPr>
          <w:lang w:val="en-US"/>
        </w:rPr>
        <w:t>)</w:t>
      </w:r>
      <w:r w:rsidRPr="000106C6">
        <w:rPr>
          <w:lang w:val="en-US"/>
        </w:rPr>
        <w:t xml:space="preserve"> clips to consider in a BTC should always be related to the same video sequence, in order that the experts may be able to identify any improvement in visual quality provided by the compression algorithms under test.</w:t>
      </w:r>
    </w:p>
    <w:p w:rsidR="000106C6" w:rsidRPr="000106C6" w:rsidRDefault="000106C6" w:rsidP="000106C6">
      <w:pPr>
        <w:pStyle w:val="FigureNo"/>
        <w:rPr>
          <w:lang w:val="en-US"/>
        </w:rPr>
      </w:pPr>
      <w:r w:rsidRPr="000106C6">
        <w:rPr>
          <w:lang w:val="en-US"/>
        </w:rPr>
        <w:t>Figure 1</w:t>
      </w:r>
    </w:p>
    <w:p w:rsidR="000106C6" w:rsidRPr="000106C6" w:rsidRDefault="000106C6" w:rsidP="000106C6">
      <w:pPr>
        <w:pStyle w:val="Figuretitle"/>
        <w:rPr>
          <w:lang w:val="en-US"/>
        </w:rPr>
      </w:pPr>
      <w:r w:rsidRPr="000106C6">
        <w:rPr>
          <w:lang w:val="en-US"/>
        </w:rPr>
        <w:t xml:space="preserve">Timings of a </w:t>
      </w:r>
      <w:r w:rsidR="00E7637F" w:rsidRPr="000106C6">
        <w:rPr>
          <w:lang w:val="en-US"/>
        </w:rPr>
        <w:t>basic test cell for the expert viewing protocol</w:t>
      </w:r>
    </w:p>
    <w:p w:rsidR="000106C6" w:rsidRPr="00EA16B9" w:rsidRDefault="00916460" w:rsidP="00E7637F">
      <w:pPr>
        <w:pStyle w:val="Figure"/>
      </w:pPr>
      <w:r>
        <w:object w:dxaOrig="5444" w:dyaOrig="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9pt;height:79.5pt" o:ole="">
            <v:imagedata r:id="rId12" o:title=""/>
          </v:shape>
          <o:OLEObject Type="Embed" ProgID="CorelDraw.Graphic.16" ShapeID="_x0000_i1025" DrawAspect="Content" ObjectID="_1523883200" r:id="rId13"/>
        </w:object>
      </w:r>
    </w:p>
    <w:p w:rsidR="000106C6" w:rsidRPr="000106C6" w:rsidRDefault="000106C6" w:rsidP="000106C6">
      <w:pPr>
        <w:rPr>
          <w:lang w:val="en-US"/>
        </w:rPr>
      </w:pPr>
      <w:r w:rsidRPr="000106C6">
        <w:rPr>
          <w:lang w:val="en-US"/>
        </w:rPr>
        <w:t>The BTC should be organised as follows:</w:t>
      </w:r>
    </w:p>
    <w:p w:rsidR="000106C6" w:rsidRPr="000106C6" w:rsidRDefault="000106C6" w:rsidP="003E63DA">
      <w:pPr>
        <w:pStyle w:val="enumlev1"/>
        <w:rPr>
          <w:lang w:val="en-US"/>
        </w:rPr>
      </w:pPr>
      <w:r w:rsidRPr="000106C6">
        <w:rPr>
          <w:lang w:val="en-US"/>
        </w:rPr>
        <w:t>−</w:t>
      </w:r>
      <w:r w:rsidRPr="000106C6">
        <w:rPr>
          <w:lang w:val="en-US"/>
        </w:rPr>
        <w:tab/>
        <w:t>0</w:t>
      </w:r>
      <w:r w:rsidR="003E63DA">
        <w:rPr>
          <w:lang w:val="en-US"/>
        </w:rPr>
        <w:t>.</w:t>
      </w:r>
      <w:r w:rsidRPr="000106C6">
        <w:rPr>
          <w:lang w:val="en-US"/>
        </w:rPr>
        <w:t>5 seconds with the screen set to a mid-grey (mean value in the luminance scale);</w:t>
      </w:r>
    </w:p>
    <w:p w:rsidR="000106C6" w:rsidRPr="000106C6" w:rsidRDefault="000106C6" w:rsidP="000106C6">
      <w:pPr>
        <w:pStyle w:val="enumlev1"/>
        <w:rPr>
          <w:lang w:val="en-US"/>
        </w:rPr>
      </w:pPr>
      <w:r w:rsidRPr="000106C6">
        <w:rPr>
          <w:lang w:val="en-US"/>
        </w:rPr>
        <w:t>−</w:t>
      </w:r>
      <w:r w:rsidRPr="000106C6">
        <w:rPr>
          <w:lang w:val="en-US"/>
        </w:rPr>
        <w:tab/>
        <w:t>10 seconds presentation of the reference uncompressed video clip;</w:t>
      </w:r>
    </w:p>
    <w:p w:rsidR="000106C6" w:rsidRPr="000106C6" w:rsidRDefault="000106C6" w:rsidP="000106C6">
      <w:pPr>
        <w:pStyle w:val="enumlev1"/>
        <w:rPr>
          <w:lang w:val="en-US"/>
        </w:rPr>
      </w:pPr>
      <w:r w:rsidRPr="000106C6">
        <w:rPr>
          <w:lang w:val="en-US"/>
        </w:rPr>
        <w:t>−</w:t>
      </w:r>
      <w:r w:rsidRPr="000106C6">
        <w:rPr>
          <w:lang w:val="en-US"/>
        </w:rPr>
        <w:tab/>
      </w:r>
      <w:r w:rsidR="003E63DA">
        <w:rPr>
          <w:lang w:val="en-US"/>
        </w:rPr>
        <w:t>0.</w:t>
      </w:r>
      <w:r w:rsidRPr="000106C6">
        <w:rPr>
          <w:lang w:val="en-US"/>
        </w:rPr>
        <w:t>5 seconds showing the message “A” (first video to assess) on a mid-grey background;</w:t>
      </w:r>
    </w:p>
    <w:p w:rsidR="000106C6" w:rsidRPr="000106C6" w:rsidRDefault="000106C6" w:rsidP="000106C6">
      <w:pPr>
        <w:pStyle w:val="enumlev1"/>
        <w:rPr>
          <w:lang w:val="en-US"/>
        </w:rPr>
      </w:pPr>
      <w:r w:rsidRPr="000106C6">
        <w:rPr>
          <w:lang w:val="en-US"/>
        </w:rPr>
        <w:t>−</w:t>
      </w:r>
      <w:r w:rsidRPr="000106C6">
        <w:rPr>
          <w:lang w:val="en-US"/>
        </w:rPr>
        <w:tab/>
        <w:t>10 seconds presentation of an impaired version of the video clip;</w:t>
      </w:r>
    </w:p>
    <w:p w:rsidR="000106C6" w:rsidRPr="000106C6" w:rsidRDefault="000106C6" w:rsidP="000106C6">
      <w:pPr>
        <w:pStyle w:val="enumlev1"/>
        <w:rPr>
          <w:lang w:val="en-US"/>
        </w:rPr>
      </w:pPr>
      <w:r w:rsidRPr="000106C6">
        <w:rPr>
          <w:lang w:val="en-US"/>
        </w:rPr>
        <w:t>−</w:t>
      </w:r>
      <w:r w:rsidRPr="000106C6">
        <w:rPr>
          <w:lang w:val="en-US"/>
        </w:rPr>
        <w:tab/>
      </w:r>
      <w:r w:rsidR="003E63DA">
        <w:rPr>
          <w:lang w:val="en-US"/>
        </w:rPr>
        <w:t>0.</w:t>
      </w:r>
      <w:r w:rsidRPr="000106C6">
        <w:rPr>
          <w:lang w:val="en-US"/>
        </w:rPr>
        <w:t>5 seconds showing the message “B” (second video to assess) on a mid-grey background;</w:t>
      </w:r>
    </w:p>
    <w:p w:rsidR="000106C6" w:rsidRPr="000106C6" w:rsidRDefault="000106C6" w:rsidP="000106C6">
      <w:pPr>
        <w:pStyle w:val="enumlev1"/>
        <w:rPr>
          <w:lang w:val="en-US"/>
        </w:rPr>
      </w:pPr>
      <w:r w:rsidRPr="000106C6">
        <w:rPr>
          <w:lang w:val="en-US"/>
        </w:rPr>
        <w:t>−</w:t>
      </w:r>
      <w:r w:rsidRPr="000106C6">
        <w:rPr>
          <w:lang w:val="en-US"/>
        </w:rPr>
        <w:tab/>
        <w:t>10 seconds presentation of an impaired version of the video clip;</w:t>
      </w:r>
    </w:p>
    <w:p w:rsidR="000106C6" w:rsidRPr="000106C6" w:rsidRDefault="000106C6" w:rsidP="000106C6">
      <w:pPr>
        <w:pStyle w:val="enumlev1"/>
        <w:rPr>
          <w:lang w:val="en-US"/>
        </w:rPr>
      </w:pPr>
      <w:r w:rsidRPr="000106C6">
        <w:rPr>
          <w:lang w:val="en-US"/>
        </w:rPr>
        <w:t>−</w:t>
      </w:r>
      <w:r w:rsidRPr="000106C6">
        <w:rPr>
          <w:lang w:val="en-US"/>
        </w:rPr>
        <w:tab/>
        <w:t>5 seconds showing a message that asks the viewers to express their opinion.</w:t>
      </w:r>
    </w:p>
    <w:p w:rsidR="000106C6" w:rsidRPr="000106C6" w:rsidRDefault="000106C6" w:rsidP="000106C6">
      <w:pPr>
        <w:rPr>
          <w:lang w:val="en-US"/>
        </w:rPr>
      </w:pPr>
      <w:r w:rsidRPr="000106C6">
        <w:rPr>
          <w:lang w:val="en-US"/>
        </w:rPr>
        <w:t>The message “Vote” should be followed by a number that helps to get synchronised on the scoring sheet.</w:t>
      </w:r>
    </w:p>
    <w:p w:rsidR="000106C6" w:rsidRPr="00A044D1" w:rsidRDefault="000106C6" w:rsidP="003E63DA">
      <w:pPr>
        <w:pStyle w:val="Heading2"/>
        <w:rPr>
          <w:lang w:val="en-US"/>
        </w:rPr>
      </w:pPr>
      <w:r w:rsidRPr="00A044D1">
        <w:rPr>
          <w:lang w:val="en-US"/>
        </w:rPr>
        <w:t>3.1</w:t>
      </w:r>
      <w:r w:rsidRPr="00A044D1">
        <w:rPr>
          <w:lang w:val="en-US"/>
        </w:rPr>
        <w:tab/>
        <w:t>Scoring sheet and rating scale</w:t>
      </w:r>
    </w:p>
    <w:p w:rsidR="000106C6" w:rsidRPr="000106C6" w:rsidRDefault="003E63DA" w:rsidP="003E63DA">
      <w:pPr>
        <w:rPr>
          <w:lang w:val="en-US"/>
        </w:rPr>
      </w:pPr>
      <w:r>
        <w:rPr>
          <w:lang w:val="en-US"/>
        </w:rPr>
        <w:t>As shown in Fig.</w:t>
      </w:r>
      <w:r w:rsidR="000106C6" w:rsidRPr="000106C6">
        <w:rPr>
          <w:lang w:val="en-US"/>
        </w:rPr>
        <w:t xml:space="preserve"> 1, the presentation of the video clips should be arranged in such a way that the unimpaired reference (SRC) is shown at first, followed by two impaired video sequences (PVS). The order of presentation of the PVS should be randomly changed for each BTC and the viewers should not know the order of presentation.</w:t>
      </w:r>
    </w:p>
    <w:p w:rsidR="000106C6" w:rsidRPr="000106C6" w:rsidRDefault="000106C6" w:rsidP="000106C6">
      <w:pPr>
        <w:pStyle w:val="FigureNo"/>
        <w:rPr>
          <w:lang w:val="en-US"/>
        </w:rPr>
      </w:pPr>
      <w:r w:rsidRPr="000106C6">
        <w:rPr>
          <w:lang w:val="en-US"/>
        </w:rPr>
        <w:lastRenderedPageBreak/>
        <w:t>Figure 2</w:t>
      </w:r>
    </w:p>
    <w:p w:rsidR="000106C6" w:rsidRPr="000106C6" w:rsidRDefault="000106C6" w:rsidP="00E30D6C">
      <w:pPr>
        <w:pStyle w:val="Figuretitle"/>
        <w:rPr>
          <w:lang w:val="en-US"/>
        </w:rPr>
      </w:pPr>
      <w:r w:rsidRPr="000106C6">
        <w:rPr>
          <w:lang w:val="en-US"/>
        </w:rPr>
        <w:t>Example of scoring sheet for a 24</w:t>
      </w:r>
      <w:r w:rsidR="00E30D6C">
        <w:rPr>
          <w:lang w:val="en-US"/>
        </w:rPr>
        <w:t>-</w:t>
      </w:r>
      <w:r w:rsidRPr="000106C6">
        <w:rPr>
          <w:lang w:val="en-US"/>
        </w:rPr>
        <w:t xml:space="preserve">BTC </w:t>
      </w:r>
      <w:r w:rsidR="001B511B" w:rsidRPr="000106C6">
        <w:rPr>
          <w:lang w:val="en-US"/>
        </w:rPr>
        <w:t xml:space="preserve">expert viewing </w:t>
      </w:r>
      <w:r w:rsidRPr="000106C6">
        <w:rPr>
          <w:lang w:val="en-US"/>
        </w:rPr>
        <w:t>session</w:t>
      </w:r>
    </w:p>
    <w:p w:rsidR="000106C6" w:rsidRPr="00EA16B9" w:rsidRDefault="00587D5F" w:rsidP="001B511B">
      <w:pPr>
        <w:pStyle w:val="Figure"/>
      </w:pPr>
      <w:r>
        <w:object w:dxaOrig="1971" w:dyaOrig="2819">
          <v:shape id="_x0000_i1026" type="#_x0000_t75" style="width:160.85pt;height:230.05pt" o:ole="">
            <v:imagedata r:id="rId14" o:title=""/>
          </v:shape>
          <o:OLEObject Type="Embed" ProgID="CorelDraw.Graphic.16" ShapeID="_x0000_i1026" DrawAspect="Content" ObjectID="_1523883201" r:id="rId15"/>
        </w:object>
      </w:r>
    </w:p>
    <w:p w:rsidR="000106C6" w:rsidRPr="000106C6" w:rsidRDefault="000106C6" w:rsidP="00E23F77">
      <w:pPr>
        <w:rPr>
          <w:lang w:val="en-US"/>
        </w:rPr>
      </w:pPr>
      <w:r w:rsidRPr="000106C6">
        <w:rPr>
          <w:lang w:val="en-US"/>
        </w:rPr>
        <w:t>An 11 grades numerical scale from 10 (imperceptible impairments) to 0 (very annoying impairments) is used.</w:t>
      </w:r>
    </w:p>
    <w:p w:rsidR="000106C6" w:rsidRDefault="000106C6" w:rsidP="00E23F77">
      <w:pPr>
        <w:rPr>
          <w:lang w:val="en-CA"/>
        </w:rPr>
      </w:pPr>
      <w:r>
        <w:rPr>
          <w:lang w:val="en-CA"/>
        </w:rPr>
        <w:t>Table 1 provides guidance</w:t>
      </w:r>
      <w:r w:rsidRPr="00EA16B9">
        <w:rPr>
          <w:lang w:val="en-CA"/>
        </w:rPr>
        <w:t xml:space="preserve"> about the meaning o</w:t>
      </w:r>
      <w:r>
        <w:rPr>
          <w:lang w:val="en-CA"/>
        </w:rPr>
        <w:t>f the 11 grades numerical scale.</w:t>
      </w:r>
    </w:p>
    <w:p w:rsidR="000106C6" w:rsidRPr="000106C6" w:rsidRDefault="0077716F" w:rsidP="0077716F">
      <w:pPr>
        <w:pStyle w:val="TableNo"/>
        <w:rPr>
          <w:lang w:val="en-US"/>
        </w:rPr>
      </w:pPr>
      <w:r w:rsidRPr="000106C6">
        <w:rPr>
          <w:lang w:val="en-US"/>
        </w:rPr>
        <w:t>TABLE 1</w:t>
      </w:r>
    </w:p>
    <w:p w:rsidR="000106C6" w:rsidRPr="000106C6" w:rsidRDefault="000106C6" w:rsidP="0077716F">
      <w:pPr>
        <w:pStyle w:val="Tabletitle"/>
        <w:rPr>
          <w:lang w:val="en-US"/>
        </w:rPr>
      </w:pPr>
      <w:r w:rsidRPr="000106C6">
        <w:rPr>
          <w:lang w:val="en-US"/>
        </w:rPr>
        <w:t>Meaning of the 11 grades numerical scale</w:t>
      </w:r>
    </w:p>
    <w:tbl>
      <w:tblPr>
        <w:tblStyle w:val="TableGrid"/>
        <w:tblW w:w="0" w:type="auto"/>
        <w:jc w:val="center"/>
        <w:tblLook w:val="04A0" w:firstRow="1" w:lastRow="0" w:firstColumn="1" w:lastColumn="0" w:noHBand="0" w:noVBand="1"/>
      </w:tblPr>
      <w:tblGrid>
        <w:gridCol w:w="831"/>
        <w:gridCol w:w="2040"/>
        <w:gridCol w:w="1519"/>
      </w:tblGrid>
      <w:tr w:rsidR="000106C6" w:rsidRPr="0064097D" w:rsidTr="004E222E">
        <w:trPr>
          <w:jc w:val="center"/>
        </w:trPr>
        <w:tc>
          <w:tcPr>
            <w:tcW w:w="831" w:type="dxa"/>
            <w:vAlign w:val="center"/>
          </w:tcPr>
          <w:p w:rsidR="000106C6" w:rsidRPr="0064097D" w:rsidRDefault="000106C6" w:rsidP="0064097D">
            <w:pPr>
              <w:pStyle w:val="Tablehead"/>
              <w:rPr>
                <w:rFonts w:asciiTheme="majorBidi" w:eastAsia="Times New Roman" w:hAnsiTheme="majorBidi" w:cstheme="majorBidi"/>
              </w:rPr>
            </w:pPr>
            <w:r w:rsidRPr="0064097D">
              <w:rPr>
                <w:rFonts w:asciiTheme="majorBidi" w:hAnsiTheme="majorBidi" w:cstheme="majorBidi"/>
              </w:rPr>
              <w:t>Score</w:t>
            </w:r>
          </w:p>
        </w:tc>
        <w:tc>
          <w:tcPr>
            <w:tcW w:w="3559" w:type="dxa"/>
            <w:gridSpan w:val="2"/>
            <w:vAlign w:val="center"/>
          </w:tcPr>
          <w:p w:rsidR="000106C6" w:rsidRPr="0064097D" w:rsidRDefault="000106C6" w:rsidP="0064097D">
            <w:pPr>
              <w:pStyle w:val="Tablehead"/>
              <w:rPr>
                <w:rFonts w:asciiTheme="majorBidi" w:eastAsia="Times New Roman" w:hAnsiTheme="majorBidi" w:cstheme="majorBidi"/>
              </w:rPr>
            </w:pPr>
            <w:r w:rsidRPr="0064097D">
              <w:rPr>
                <w:rFonts w:asciiTheme="majorBidi" w:hAnsiTheme="majorBidi" w:cstheme="majorBidi"/>
              </w:rPr>
              <w:t>Impairment item</w:t>
            </w:r>
          </w:p>
        </w:tc>
      </w:tr>
      <w:tr w:rsidR="000106C6" w:rsidRPr="0064097D" w:rsidTr="004E222E">
        <w:trPr>
          <w:trHeight w:val="170"/>
          <w:jc w:val="center"/>
        </w:trPr>
        <w:tc>
          <w:tcPr>
            <w:tcW w:w="831" w:type="dxa"/>
            <w:vAlign w:val="center"/>
          </w:tcPr>
          <w:p w:rsidR="000106C6" w:rsidRPr="0064097D" w:rsidRDefault="000106C6" w:rsidP="0064097D">
            <w:pPr>
              <w:pStyle w:val="Tabletext"/>
              <w:jc w:val="center"/>
              <w:rPr>
                <w:rFonts w:asciiTheme="majorBidi" w:eastAsia="Times New Roman" w:hAnsiTheme="majorBidi" w:cstheme="majorBidi"/>
              </w:rPr>
            </w:pPr>
            <w:r w:rsidRPr="0064097D">
              <w:rPr>
                <w:rFonts w:asciiTheme="majorBidi" w:hAnsiTheme="majorBidi" w:cstheme="majorBidi"/>
              </w:rPr>
              <w:t>10</w:t>
            </w:r>
          </w:p>
        </w:tc>
        <w:tc>
          <w:tcPr>
            <w:tcW w:w="2040" w:type="dxa"/>
            <w:vAlign w:val="center"/>
          </w:tcPr>
          <w:p w:rsidR="000106C6" w:rsidRPr="0064097D" w:rsidRDefault="000106C6" w:rsidP="0064097D">
            <w:pPr>
              <w:pStyle w:val="Tabletext"/>
              <w:rPr>
                <w:rFonts w:asciiTheme="majorBidi" w:eastAsia="Times New Roman" w:hAnsiTheme="majorBidi" w:cstheme="majorBidi"/>
              </w:rPr>
            </w:pPr>
            <w:r w:rsidRPr="0064097D">
              <w:rPr>
                <w:rFonts w:asciiTheme="majorBidi" w:hAnsiTheme="majorBidi" w:cstheme="majorBidi"/>
              </w:rPr>
              <w:t>Imperceptible</w:t>
            </w:r>
          </w:p>
        </w:tc>
        <w:tc>
          <w:tcPr>
            <w:tcW w:w="1519" w:type="dxa"/>
            <w:vAlign w:val="center"/>
          </w:tcPr>
          <w:p w:rsidR="000106C6" w:rsidRPr="0064097D" w:rsidRDefault="000106C6" w:rsidP="0064097D">
            <w:pPr>
              <w:pStyle w:val="Tabletext"/>
              <w:rPr>
                <w:rFonts w:asciiTheme="majorBidi" w:eastAsia="Times New Roman" w:hAnsiTheme="majorBidi" w:cstheme="majorBidi"/>
              </w:rPr>
            </w:pPr>
          </w:p>
        </w:tc>
      </w:tr>
      <w:tr w:rsidR="000106C6" w:rsidRPr="0064097D" w:rsidTr="004E222E">
        <w:trPr>
          <w:trHeight w:val="170"/>
          <w:jc w:val="center"/>
        </w:trPr>
        <w:tc>
          <w:tcPr>
            <w:tcW w:w="831" w:type="dxa"/>
            <w:vAlign w:val="center"/>
          </w:tcPr>
          <w:p w:rsidR="000106C6" w:rsidRPr="0064097D" w:rsidRDefault="000106C6" w:rsidP="0064097D">
            <w:pPr>
              <w:pStyle w:val="Tabletext"/>
              <w:jc w:val="center"/>
              <w:rPr>
                <w:rFonts w:asciiTheme="majorBidi" w:eastAsia="Times New Roman" w:hAnsiTheme="majorBidi" w:cstheme="majorBidi"/>
              </w:rPr>
            </w:pPr>
            <w:r w:rsidRPr="0064097D">
              <w:rPr>
                <w:rFonts w:asciiTheme="majorBidi" w:hAnsiTheme="majorBidi" w:cstheme="majorBidi"/>
              </w:rPr>
              <w:t>9</w:t>
            </w:r>
          </w:p>
        </w:tc>
        <w:tc>
          <w:tcPr>
            <w:tcW w:w="2040" w:type="dxa"/>
            <w:vMerge w:val="restart"/>
            <w:vAlign w:val="center"/>
          </w:tcPr>
          <w:p w:rsidR="000106C6" w:rsidRPr="0064097D" w:rsidRDefault="000106C6" w:rsidP="0064097D">
            <w:pPr>
              <w:pStyle w:val="Tabletext"/>
              <w:rPr>
                <w:rFonts w:asciiTheme="majorBidi" w:eastAsia="Times New Roman" w:hAnsiTheme="majorBidi" w:cstheme="majorBidi"/>
              </w:rPr>
            </w:pPr>
            <w:r w:rsidRPr="0064097D">
              <w:rPr>
                <w:rFonts w:asciiTheme="majorBidi" w:hAnsiTheme="majorBidi" w:cstheme="majorBidi"/>
              </w:rPr>
              <w:t xml:space="preserve">Slightly </w:t>
            </w:r>
            <w:r w:rsidR="0077716F" w:rsidRPr="0064097D">
              <w:rPr>
                <w:rFonts w:asciiTheme="majorBidi" w:hAnsiTheme="majorBidi" w:cstheme="majorBidi"/>
              </w:rPr>
              <w:t>perceptible</w:t>
            </w:r>
          </w:p>
        </w:tc>
        <w:tc>
          <w:tcPr>
            <w:tcW w:w="1519" w:type="dxa"/>
            <w:vAlign w:val="center"/>
          </w:tcPr>
          <w:p w:rsidR="000106C6" w:rsidRPr="0064097D" w:rsidRDefault="000106C6" w:rsidP="0064097D">
            <w:pPr>
              <w:pStyle w:val="Tabletext"/>
              <w:rPr>
                <w:rFonts w:asciiTheme="majorBidi" w:eastAsia="Times New Roman" w:hAnsiTheme="majorBidi" w:cstheme="majorBidi"/>
              </w:rPr>
            </w:pPr>
            <w:r w:rsidRPr="0064097D">
              <w:rPr>
                <w:rFonts w:asciiTheme="majorBidi" w:hAnsiTheme="majorBidi" w:cstheme="majorBidi"/>
              </w:rPr>
              <w:t>somewhere</w:t>
            </w:r>
          </w:p>
        </w:tc>
      </w:tr>
      <w:tr w:rsidR="000106C6" w:rsidRPr="0064097D" w:rsidTr="004E222E">
        <w:trPr>
          <w:trHeight w:val="170"/>
          <w:jc w:val="center"/>
        </w:trPr>
        <w:tc>
          <w:tcPr>
            <w:tcW w:w="831" w:type="dxa"/>
            <w:vAlign w:val="center"/>
          </w:tcPr>
          <w:p w:rsidR="000106C6" w:rsidRPr="0064097D" w:rsidRDefault="000106C6" w:rsidP="0064097D">
            <w:pPr>
              <w:pStyle w:val="Tabletext"/>
              <w:jc w:val="center"/>
              <w:rPr>
                <w:rFonts w:asciiTheme="majorBidi" w:eastAsia="Times New Roman" w:hAnsiTheme="majorBidi" w:cstheme="majorBidi"/>
              </w:rPr>
            </w:pPr>
            <w:r w:rsidRPr="0064097D">
              <w:rPr>
                <w:rFonts w:asciiTheme="majorBidi" w:hAnsiTheme="majorBidi" w:cstheme="majorBidi"/>
              </w:rPr>
              <w:t>8</w:t>
            </w:r>
          </w:p>
        </w:tc>
        <w:tc>
          <w:tcPr>
            <w:tcW w:w="2040" w:type="dxa"/>
            <w:vMerge/>
            <w:vAlign w:val="center"/>
          </w:tcPr>
          <w:p w:rsidR="000106C6" w:rsidRPr="0064097D" w:rsidRDefault="000106C6" w:rsidP="0064097D">
            <w:pPr>
              <w:pStyle w:val="Tabletext"/>
              <w:rPr>
                <w:rFonts w:asciiTheme="majorBidi" w:eastAsia="Times New Roman" w:hAnsiTheme="majorBidi" w:cstheme="majorBidi"/>
              </w:rPr>
            </w:pPr>
          </w:p>
        </w:tc>
        <w:tc>
          <w:tcPr>
            <w:tcW w:w="1519" w:type="dxa"/>
            <w:vAlign w:val="center"/>
          </w:tcPr>
          <w:p w:rsidR="000106C6" w:rsidRPr="0064097D" w:rsidRDefault="000106C6" w:rsidP="0064097D">
            <w:pPr>
              <w:pStyle w:val="Tabletext"/>
              <w:rPr>
                <w:rFonts w:asciiTheme="majorBidi" w:eastAsia="Times New Roman" w:hAnsiTheme="majorBidi" w:cstheme="majorBidi"/>
              </w:rPr>
            </w:pPr>
            <w:r w:rsidRPr="0064097D">
              <w:rPr>
                <w:rFonts w:asciiTheme="majorBidi" w:hAnsiTheme="majorBidi" w:cstheme="majorBidi"/>
              </w:rPr>
              <w:t>everywhere</w:t>
            </w:r>
          </w:p>
        </w:tc>
      </w:tr>
      <w:tr w:rsidR="000106C6" w:rsidRPr="0064097D" w:rsidTr="004E222E">
        <w:trPr>
          <w:trHeight w:val="170"/>
          <w:jc w:val="center"/>
        </w:trPr>
        <w:tc>
          <w:tcPr>
            <w:tcW w:w="831" w:type="dxa"/>
            <w:vAlign w:val="center"/>
          </w:tcPr>
          <w:p w:rsidR="000106C6" w:rsidRPr="0064097D" w:rsidRDefault="000106C6" w:rsidP="0064097D">
            <w:pPr>
              <w:pStyle w:val="Tabletext"/>
              <w:jc w:val="center"/>
              <w:rPr>
                <w:rFonts w:asciiTheme="majorBidi" w:eastAsia="Times New Roman" w:hAnsiTheme="majorBidi" w:cstheme="majorBidi"/>
              </w:rPr>
            </w:pPr>
            <w:r w:rsidRPr="0064097D">
              <w:rPr>
                <w:rFonts w:asciiTheme="majorBidi" w:hAnsiTheme="majorBidi" w:cstheme="majorBidi"/>
              </w:rPr>
              <w:t>7</w:t>
            </w:r>
          </w:p>
        </w:tc>
        <w:tc>
          <w:tcPr>
            <w:tcW w:w="2040" w:type="dxa"/>
            <w:vMerge w:val="restart"/>
            <w:vAlign w:val="center"/>
          </w:tcPr>
          <w:p w:rsidR="000106C6" w:rsidRPr="0064097D" w:rsidRDefault="000106C6" w:rsidP="0064097D">
            <w:pPr>
              <w:pStyle w:val="Tabletext"/>
              <w:rPr>
                <w:rFonts w:asciiTheme="majorBidi" w:eastAsia="Times New Roman" w:hAnsiTheme="majorBidi" w:cstheme="majorBidi"/>
              </w:rPr>
            </w:pPr>
            <w:r w:rsidRPr="0064097D">
              <w:rPr>
                <w:rFonts w:asciiTheme="majorBidi" w:hAnsiTheme="majorBidi" w:cstheme="majorBidi"/>
              </w:rPr>
              <w:t>Perceptible</w:t>
            </w:r>
          </w:p>
        </w:tc>
        <w:tc>
          <w:tcPr>
            <w:tcW w:w="1519" w:type="dxa"/>
            <w:vAlign w:val="center"/>
          </w:tcPr>
          <w:p w:rsidR="000106C6" w:rsidRPr="0064097D" w:rsidRDefault="000106C6" w:rsidP="0064097D">
            <w:pPr>
              <w:pStyle w:val="Tabletext"/>
              <w:rPr>
                <w:rFonts w:asciiTheme="majorBidi" w:eastAsia="Times New Roman" w:hAnsiTheme="majorBidi" w:cstheme="majorBidi"/>
              </w:rPr>
            </w:pPr>
            <w:r w:rsidRPr="0064097D">
              <w:rPr>
                <w:rFonts w:asciiTheme="majorBidi" w:hAnsiTheme="majorBidi" w:cstheme="majorBidi"/>
              </w:rPr>
              <w:t>somewhere</w:t>
            </w:r>
          </w:p>
        </w:tc>
      </w:tr>
      <w:tr w:rsidR="000106C6" w:rsidRPr="0064097D" w:rsidTr="004E222E">
        <w:trPr>
          <w:trHeight w:val="170"/>
          <w:jc w:val="center"/>
        </w:trPr>
        <w:tc>
          <w:tcPr>
            <w:tcW w:w="831" w:type="dxa"/>
            <w:vAlign w:val="center"/>
          </w:tcPr>
          <w:p w:rsidR="000106C6" w:rsidRPr="0064097D" w:rsidRDefault="000106C6" w:rsidP="0064097D">
            <w:pPr>
              <w:pStyle w:val="Tabletext"/>
              <w:jc w:val="center"/>
              <w:rPr>
                <w:rFonts w:asciiTheme="majorBidi" w:eastAsia="Times New Roman" w:hAnsiTheme="majorBidi" w:cstheme="majorBidi"/>
              </w:rPr>
            </w:pPr>
            <w:r w:rsidRPr="0064097D">
              <w:rPr>
                <w:rFonts w:asciiTheme="majorBidi" w:hAnsiTheme="majorBidi" w:cstheme="majorBidi"/>
              </w:rPr>
              <w:t>6</w:t>
            </w:r>
          </w:p>
        </w:tc>
        <w:tc>
          <w:tcPr>
            <w:tcW w:w="2040" w:type="dxa"/>
            <w:vMerge/>
            <w:vAlign w:val="center"/>
          </w:tcPr>
          <w:p w:rsidR="000106C6" w:rsidRPr="0064097D" w:rsidRDefault="000106C6" w:rsidP="0064097D">
            <w:pPr>
              <w:pStyle w:val="Tabletext"/>
              <w:rPr>
                <w:rFonts w:asciiTheme="majorBidi" w:eastAsia="Times New Roman" w:hAnsiTheme="majorBidi" w:cstheme="majorBidi"/>
              </w:rPr>
            </w:pPr>
          </w:p>
        </w:tc>
        <w:tc>
          <w:tcPr>
            <w:tcW w:w="1519" w:type="dxa"/>
            <w:vAlign w:val="center"/>
          </w:tcPr>
          <w:p w:rsidR="000106C6" w:rsidRPr="0064097D" w:rsidRDefault="000106C6" w:rsidP="0064097D">
            <w:pPr>
              <w:pStyle w:val="Tabletext"/>
              <w:rPr>
                <w:rFonts w:asciiTheme="majorBidi" w:eastAsia="Times New Roman" w:hAnsiTheme="majorBidi" w:cstheme="majorBidi"/>
              </w:rPr>
            </w:pPr>
            <w:r w:rsidRPr="0064097D">
              <w:rPr>
                <w:rFonts w:asciiTheme="majorBidi" w:hAnsiTheme="majorBidi" w:cstheme="majorBidi"/>
              </w:rPr>
              <w:t>everywhere</w:t>
            </w:r>
          </w:p>
        </w:tc>
      </w:tr>
      <w:tr w:rsidR="000106C6" w:rsidRPr="0064097D" w:rsidTr="004E222E">
        <w:trPr>
          <w:trHeight w:val="170"/>
          <w:jc w:val="center"/>
        </w:trPr>
        <w:tc>
          <w:tcPr>
            <w:tcW w:w="831" w:type="dxa"/>
            <w:vAlign w:val="center"/>
          </w:tcPr>
          <w:p w:rsidR="000106C6" w:rsidRPr="0064097D" w:rsidRDefault="000106C6" w:rsidP="0064097D">
            <w:pPr>
              <w:pStyle w:val="Tabletext"/>
              <w:jc w:val="center"/>
              <w:rPr>
                <w:rFonts w:asciiTheme="majorBidi" w:eastAsia="Times New Roman" w:hAnsiTheme="majorBidi" w:cstheme="majorBidi"/>
              </w:rPr>
            </w:pPr>
            <w:r w:rsidRPr="0064097D">
              <w:rPr>
                <w:rFonts w:asciiTheme="majorBidi" w:hAnsiTheme="majorBidi" w:cstheme="majorBidi"/>
              </w:rPr>
              <w:t>5</w:t>
            </w:r>
          </w:p>
        </w:tc>
        <w:tc>
          <w:tcPr>
            <w:tcW w:w="2040" w:type="dxa"/>
            <w:vMerge w:val="restart"/>
            <w:vAlign w:val="center"/>
          </w:tcPr>
          <w:p w:rsidR="000106C6" w:rsidRPr="0064097D" w:rsidRDefault="000106C6" w:rsidP="0064097D">
            <w:pPr>
              <w:pStyle w:val="Tabletext"/>
              <w:rPr>
                <w:rFonts w:asciiTheme="majorBidi" w:eastAsia="Times New Roman" w:hAnsiTheme="majorBidi" w:cstheme="majorBidi"/>
              </w:rPr>
            </w:pPr>
            <w:r w:rsidRPr="0064097D">
              <w:rPr>
                <w:rFonts w:asciiTheme="majorBidi" w:hAnsiTheme="majorBidi" w:cstheme="majorBidi"/>
              </w:rPr>
              <w:t xml:space="preserve">Clearly </w:t>
            </w:r>
            <w:r w:rsidR="0077716F" w:rsidRPr="0064097D">
              <w:rPr>
                <w:rFonts w:asciiTheme="majorBidi" w:hAnsiTheme="majorBidi" w:cstheme="majorBidi"/>
              </w:rPr>
              <w:t>perceptible</w:t>
            </w:r>
          </w:p>
        </w:tc>
        <w:tc>
          <w:tcPr>
            <w:tcW w:w="1519" w:type="dxa"/>
            <w:vAlign w:val="center"/>
          </w:tcPr>
          <w:p w:rsidR="000106C6" w:rsidRPr="0064097D" w:rsidRDefault="000106C6" w:rsidP="0064097D">
            <w:pPr>
              <w:pStyle w:val="Tabletext"/>
              <w:rPr>
                <w:rFonts w:asciiTheme="majorBidi" w:eastAsia="Times New Roman" w:hAnsiTheme="majorBidi" w:cstheme="majorBidi"/>
              </w:rPr>
            </w:pPr>
            <w:r w:rsidRPr="0064097D">
              <w:rPr>
                <w:rFonts w:asciiTheme="majorBidi" w:hAnsiTheme="majorBidi" w:cstheme="majorBidi"/>
              </w:rPr>
              <w:t>somewhere</w:t>
            </w:r>
          </w:p>
        </w:tc>
      </w:tr>
      <w:tr w:rsidR="000106C6" w:rsidRPr="0064097D" w:rsidTr="004E222E">
        <w:trPr>
          <w:trHeight w:val="170"/>
          <w:jc w:val="center"/>
        </w:trPr>
        <w:tc>
          <w:tcPr>
            <w:tcW w:w="831" w:type="dxa"/>
            <w:vAlign w:val="center"/>
          </w:tcPr>
          <w:p w:rsidR="000106C6" w:rsidRPr="0064097D" w:rsidRDefault="000106C6" w:rsidP="0064097D">
            <w:pPr>
              <w:pStyle w:val="Tabletext"/>
              <w:jc w:val="center"/>
              <w:rPr>
                <w:rFonts w:asciiTheme="majorBidi" w:eastAsia="Times New Roman" w:hAnsiTheme="majorBidi" w:cstheme="majorBidi"/>
              </w:rPr>
            </w:pPr>
            <w:r w:rsidRPr="0064097D">
              <w:rPr>
                <w:rFonts w:asciiTheme="majorBidi" w:hAnsiTheme="majorBidi" w:cstheme="majorBidi"/>
              </w:rPr>
              <w:t>4</w:t>
            </w:r>
          </w:p>
        </w:tc>
        <w:tc>
          <w:tcPr>
            <w:tcW w:w="2040" w:type="dxa"/>
            <w:vMerge/>
            <w:vAlign w:val="center"/>
          </w:tcPr>
          <w:p w:rsidR="000106C6" w:rsidRPr="0064097D" w:rsidRDefault="000106C6" w:rsidP="0064097D">
            <w:pPr>
              <w:pStyle w:val="Tabletext"/>
              <w:rPr>
                <w:rFonts w:asciiTheme="majorBidi" w:eastAsia="Times New Roman" w:hAnsiTheme="majorBidi" w:cstheme="majorBidi"/>
              </w:rPr>
            </w:pPr>
          </w:p>
        </w:tc>
        <w:tc>
          <w:tcPr>
            <w:tcW w:w="1519" w:type="dxa"/>
            <w:vAlign w:val="center"/>
          </w:tcPr>
          <w:p w:rsidR="000106C6" w:rsidRPr="0064097D" w:rsidRDefault="000106C6" w:rsidP="0064097D">
            <w:pPr>
              <w:pStyle w:val="Tabletext"/>
              <w:rPr>
                <w:rFonts w:asciiTheme="majorBidi" w:eastAsia="Times New Roman" w:hAnsiTheme="majorBidi" w:cstheme="majorBidi"/>
              </w:rPr>
            </w:pPr>
            <w:r w:rsidRPr="0064097D">
              <w:rPr>
                <w:rFonts w:asciiTheme="majorBidi" w:hAnsiTheme="majorBidi" w:cstheme="majorBidi"/>
              </w:rPr>
              <w:t>everywhere</w:t>
            </w:r>
          </w:p>
        </w:tc>
      </w:tr>
      <w:tr w:rsidR="000106C6" w:rsidRPr="0064097D" w:rsidTr="004E222E">
        <w:trPr>
          <w:trHeight w:val="170"/>
          <w:jc w:val="center"/>
        </w:trPr>
        <w:tc>
          <w:tcPr>
            <w:tcW w:w="831" w:type="dxa"/>
            <w:vAlign w:val="center"/>
          </w:tcPr>
          <w:p w:rsidR="000106C6" w:rsidRPr="0064097D" w:rsidRDefault="000106C6" w:rsidP="0064097D">
            <w:pPr>
              <w:pStyle w:val="Tabletext"/>
              <w:jc w:val="center"/>
              <w:rPr>
                <w:rFonts w:asciiTheme="majorBidi" w:eastAsia="Times New Roman" w:hAnsiTheme="majorBidi" w:cstheme="majorBidi"/>
              </w:rPr>
            </w:pPr>
            <w:r w:rsidRPr="0064097D">
              <w:rPr>
                <w:rFonts w:asciiTheme="majorBidi" w:hAnsiTheme="majorBidi" w:cstheme="majorBidi"/>
              </w:rPr>
              <w:t>3</w:t>
            </w:r>
          </w:p>
        </w:tc>
        <w:tc>
          <w:tcPr>
            <w:tcW w:w="2040" w:type="dxa"/>
            <w:vMerge w:val="restart"/>
            <w:vAlign w:val="center"/>
          </w:tcPr>
          <w:p w:rsidR="000106C6" w:rsidRPr="0064097D" w:rsidRDefault="000106C6" w:rsidP="0064097D">
            <w:pPr>
              <w:pStyle w:val="Tabletext"/>
              <w:rPr>
                <w:rFonts w:asciiTheme="majorBidi" w:eastAsia="Times New Roman" w:hAnsiTheme="majorBidi" w:cstheme="majorBidi"/>
              </w:rPr>
            </w:pPr>
            <w:r w:rsidRPr="0064097D">
              <w:rPr>
                <w:rFonts w:asciiTheme="majorBidi" w:hAnsiTheme="majorBidi" w:cstheme="majorBidi"/>
              </w:rPr>
              <w:t>Annoying</w:t>
            </w:r>
          </w:p>
        </w:tc>
        <w:tc>
          <w:tcPr>
            <w:tcW w:w="1519" w:type="dxa"/>
            <w:vAlign w:val="center"/>
          </w:tcPr>
          <w:p w:rsidR="000106C6" w:rsidRPr="0064097D" w:rsidRDefault="000106C6" w:rsidP="0064097D">
            <w:pPr>
              <w:pStyle w:val="Tabletext"/>
              <w:rPr>
                <w:rFonts w:asciiTheme="majorBidi" w:eastAsia="Times New Roman" w:hAnsiTheme="majorBidi" w:cstheme="majorBidi"/>
              </w:rPr>
            </w:pPr>
            <w:r w:rsidRPr="0064097D">
              <w:rPr>
                <w:rFonts w:asciiTheme="majorBidi" w:hAnsiTheme="majorBidi" w:cstheme="majorBidi"/>
              </w:rPr>
              <w:t>somewhere</w:t>
            </w:r>
          </w:p>
        </w:tc>
      </w:tr>
      <w:tr w:rsidR="000106C6" w:rsidRPr="0064097D" w:rsidTr="004E222E">
        <w:trPr>
          <w:trHeight w:val="170"/>
          <w:jc w:val="center"/>
        </w:trPr>
        <w:tc>
          <w:tcPr>
            <w:tcW w:w="831" w:type="dxa"/>
            <w:vAlign w:val="center"/>
          </w:tcPr>
          <w:p w:rsidR="000106C6" w:rsidRPr="0064097D" w:rsidRDefault="000106C6" w:rsidP="0064097D">
            <w:pPr>
              <w:pStyle w:val="Tabletext"/>
              <w:jc w:val="center"/>
              <w:rPr>
                <w:rFonts w:asciiTheme="majorBidi" w:eastAsia="Times New Roman" w:hAnsiTheme="majorBidi" w:cstheme="majorBidi"/>
              </w:rPr>
            </w:pPr>
            <w:r w:rsidRPr="0064097D">
              <w:rPr>
                <w:rFonts w:asciiTheme="majorBidi" w:hAnsiTheme="majorBidi" w:cstheme="majorBidi"/>
              </w:rPr>
              <w:t>2</w:t>
            </w:r>
          </w:p>
        </w:tc>
        <w:tc>
          <w:tcPr>
            <w:tcW w:w="2040" w:type="dxa"/>
            <w:vMerge/>
            <w:vAlign w:val="center"/>
          </w:tcPr>
          <w:p w:rsidR="000106C6" w:rsidRPr="0064097D" w:rsidRDefault="000106C6" w:rsidP="0064097D">
            <w:pPr>
              <w:pStyle w:val="Tabletext"/>
              <w:rPr>
                <w:rFonts w:asciiTheme="majorBidi" w:eastAsia="Times New Roman" w:hAnsiTheme="majorBidi" w:cstheme="majorBidi"/>
              </w:rPr>
            </w:pPr>
          </w:p>
        </w:tc>
        <w:tc>
          <w:tcPr>
            <w:tcW w:w="1519" w:type="dxa"/>
            <w:vAlign w:val="center"/>
          </w:tcPr>
          <w:p w:rsidR="000106C6" w:rsidRPr="0064097D" w:rsidRDefault="000106C6" w:rsidP="0064097D">
            <w:pPr>
              <w:pStyle w:val="Tabletext"/>
              <w:rPr>
                <w:rFonts w:asciiTheme="majorBidi" w:eastAsia="Times New Roman" w:hAnsiTheme="majorBidi" w:cstheme="majorBidi"/>
              </w:rPr>
            </w:pPr>
            <w:r w:rsidRPr="0064097D">
              <w:rPr>
                <w:rFonts w:asciiTheme="majorBidi" w:hAnsiTheme="majorBidi" w:cstheme="majorBidi"/>
              </w:rPr>
              <w:t>everywhere</w:t>
            </w:r>
          </w:p>
        </w:tc>
      </w:tr>
      <w:tr w:rsidR="000106C6" w:rsidRPr="0064097D" w:rsidTr="004E222E">
        <w:trPr>
          <w:trHeight w:val="170"/>
          <w:jc w:val="center"/>
        </w:trPr>
        <w:tc>
          <w:tcPr>
            <w:tcW w:w="831" w:type="dxa"/>
            <w:vAlign w:val="center"/>
          </w:tcPr>
          <w:p w:rsidR="000106C6" w:rsidRPr="0064097D" w:rsidRDefault="000106C6" w:rsidP="0064097D">
            <w:pPr>
              <w:pStyle w:val="Tabletext"/>
              <w:jc w:val="center"/>
              <w:rPr>
                <w:rFonts w:asciiTheme="majorBidi" w:eastAsia="Times New Roman" w:hAnsiTheme="majorBidi" w:cstheme="majorBidi"/>
              </w:rPr>
            </w:pPr>
            <w:r w:rsidRPr="0064097D">
              <w:rPr>
                <w:rFonts w:asciiTheme="majorBidi" w:hAnsiTheme="majorBidi" w:cstheme="majorBidi"/>
              </w:rPr>
              <w:t>1</w:t>
            </w:r>
          </w:p>
        </w:tc>
        <w:tc>
          <w:tcPr>
            <w:tcW w:w="2040" w:type="dxa"/>
            <w:vMerge w:val="restart"/>
            <w:vAlign w:val="center"/>
          </w:tcPr>
          <w:p w:rsidR="000106C6" w:rsidRPr="0064097D" w:rsidRDefault="000106C6" w:rsidP="0064097D">
            <w:pPr>
              <w:pStyle w:val="Tabletext"/>
              <w:rPr>
                <w:rFonts w:asciiTheme="majorBidi" w:eastAsia="Times New Roman" w:hAnsiTheme="majorBidi" w:cstheme="majorBidi"/>
              </w:rPr>
            </w:pPr>
            <w:r w:rsidRPr="0064097D">
              <w:rPr>
                <w:rFonts w:asciiTheme="majorBidi" w:hAnsiTheme="majorBidi" w:cstheme="majorBidi"/>
              </w:rPr>
              <w:t>Severely annoying</w:t>
            </w:r>
          </w:p>
        </w:tc>
        <w:tc>
          <w:tcPr>
            <w:tcW w:w="1519" w:type="dxa"/>
            <w:vAlign w:val="center"/>
          </w:tcPr>
          <w:p w:rsidR="000106C6" w:rsidRPr="0064097D" w:rsidRDefault="000106C6" w:rsidP="0064097D">
            <w:pPr>
              <w:pStyle w:val="Tabletext"/>
              <w:rPr>
                <w:rFonts w:asciiTheme="majorBidi" w:eastAsia="Times New Roman" w:hAnsiTheme="majorBidi" w:cstheme="majorBidi"/>
              </w:rPr>
            </w:pPr>
            <w:r w:rsidRPr="0064097D">
              <w:rPr>
                <w:rFonts w:asciiTheme="majorBidi" w:hAnsiTheme="majorBidi" w:cstheme="majorBidi"/>
              </w:rPr>
              <w:t>somewhere</w:t>
            </w:r>
          </w:p>
        </w:tc>
      </w:tr>
      <w:tr w:rsidR="000106C6" w:rsidRPr="0064097D" w:rsidTr="004E222E">
        <w:trPr>
          <w:trHeight w:val="170"/>
          <w:jc w:val="center"/>
        </w:trPr>
        <w:tc>
          <w:tcPr>
            <w:tcW w:w="831" w:type="dxa"/>
            <w:vAlign w:val="center"/>
          </w:tcPr>
          <w:p w:rsidR="000106C6" w:rsidRPr="0064097D" w:rsidRDefault="000106C6" w:rsidP="0064097D">
            <w:pPr>
              <w:pStyle w:val="Tabletext"/>
              <w:jc w:val="center"/>
              <w:rPr>
                <w:rFonts w:asciiTheme="majorBidi" w:eastAsia="Times New Roman" w:hAnsiTheme="majorBidi" w:cstheme="majorBidi"/>
              </w:rPr>
            </w:pPr>
            <w:r w:rsidRPr="0064097D">
              <w:rPr>
                <w:rFonts w:asciiTheme="majorBidi" w:hAnsiTheme="majorBidi" w:cstheme="majorBidi"/>
              </w:rPr>
              <w:t>0</w:t>
            </w:r>
          </w:p>
        </w:tc>
        <w:tc>
          <w:tcPr>
            <w:tcW w:w="2040" w:type="dxa"/>
            <w:vMerge/>
            <w:vAlign w:val="center"/>
          </w:tcPr>
          <w:p w:rsidR="000106C6" w:rsidRPr="0064097D" w:rsidRDefault="000106C6" w:rsidP="0064097D">
            <w:pPr>
              <w:pStyle w:val="Tabletext"/>
              <w:rPr>
                <w:rFonts w:asciiTheme="majorBidi" w:eastAsia="Times New Roman" w:hAnsiTheme="majorBidi" w:cstheme="majorBidi"/>
              </w:rPr>
            </w:pPr>
          </w:p>
        </w:tc>
        <w:tc>
          <w:tcPr>
            <w:tcW w:w="1519" w:type="dxa"/>
            <w:vAlign w:val="center"/>
          </w:tcPr>
          <w:p w:rsidR="000106C6" w:rsidRPr="0064097D" w:rsidRDefault="000106C6" w:rsidP="0064097D">
            <w:pPr>
              <w:pStyle w:val="Tabletext"/>
              <w:rPr>
                <w:rFonts w:asciiTheme="majorBidi" w:eastAsia="Times New Roman" w:hAnsiTheme="majorBidi" w:cstheme="majorBidi"/>
              </w:rPr>
            </w:pPr>
            <w:r w:rsidRPr="0064097D">
              <w:rPr>
                <w:rFonts w:asciiTheme="majorBidi" w:hAnsiTheme="majorBidi" w:cstheme="majorBidi"/>
              </w:rPr>
              <w:t>everywhere</w:t>
            </w:r>
          </w:p>
        </w:tc>
      </w:tr>
    </w:tbl>
    <w:p w:rsidR="000106C6" w:rsidRDefault="000106C6" w:rsidP="00E30D6C">
      <w:pPr>
        <w:pStyle w:val="Tablefin"/>
      </w:pPr>
    </w:p>
    <w:p w:rsidR="000106C6" w:rsidRPr="000106C6" w:rsidRDefault="000106C6" w:rsidP="000106C6">
      <w:pPr>
        <w:rPr>
          <w:lang w:val="en-US"/>
        </w:rPr>
      </w:pPr>
      <w:r w:rsidRPr="000106C6">
        <w:rPr>
          <w:lang w:val="en-US"/>
        </w:rPr>
        <w:t>The viewers are asked to fill in a questionnaire made of two boxes (labelled as “A” and “B”) for each BTC, writing in each of the two boxes a score selecting it from the 11 grades numerical scale.</w:t>
      </w:r>
    </w:p>
    <w:p w:rsidR="000106C6" w:rsidRPr="000106C6" w:rsidRDefault="000106C6" w:rsidP="000106C6">
      <w:pPr>
        <w:rPr>
          <w:lang w:val="en-US"/>
        </w:rPr>
      </w:pPr>
      <w:r w:rsidRPr="000106C6">
        <w:rPr>
          <w:lang w:val="en-US"/>
        </w:rPr>
        <w:t>Figure 2 provides an example of scoring sheet for a session consisting of 24 BTC.</w:t>
      </w:r>
    </w:p>
    <w:p w:rsidR="000106C6" w:rsidRPr="000106C6" w:rsidRDefault="000106C6" w:rsidP="000106C6">
      <w:pPr>
        <w:rPr>
          <w:lang w:val="en-US"/>
        </w:rPr>
      </w:pPr>
      <w:r w:rsidRPr="000106C6">
        <w:rPr>
          <w:lang w:val="en-US"/>
        </w:rPr>
        <w:t xml:space="preserve">For each BTC, viewers fill both the box identified by the letter </w:t>
      </w:r>
      <w:r w:rsidRPr="000106C6">
        <w:rPr>
          <w:b/>
          <w:lang w:val="en-US"/>
        </w:rPr>
        <w:t>A</w:t>
      </w:r>
      <w:r w:rsidRPr="000106C6">
        <w:rPr>
          <w:lang w:val="en-US"/>
        </w:rPr>
        <w:t xml:space="preserve"> (to rate the video clip shown as first) and the box identified by the letter </w:t>
      </w:r>
      <w:r w:rsidRPr="000106C6">
        <w:rPr>
          <w:b/>
          <w:lang w:val="en-US"/>
        </w:rPr>
        <w:t>B</w:t>
      </w:r>
      <w:r w:rsidRPr="000106C6">
        <w:rPr>
          <w:lang w:val="en-US"/>
        </w:rPr>
        <w:t xml:space="preserve"> (to rate the video clip shown as second). </w:t>
      </w:r>
    </w:p>
    <w:p w:rsidR="000106C6" w:rsidRPr="000106C6" w:rsidRDefault="000106C6" w:rsidP="000106C6">
      <w:pPr>
        <w:rPr>
          <w:lang w:val="en-US"/>
        </w:rPr>
      </w:pPr>
      <w:r w:rsidRPr="000106C6">
        <w:rPr>
          <w:lang w:val="en-US"/>
        </w:rPr>
        <w:lastRenderedPageBreak/>
        <w:t>The presentation of the original unimpaired video clip allows the experts to more easily evaluate any impairment.</w:t>
      </w:r>
    </w:p>
    <w:p w:rsidR="000106C6" w:rsidRPr="000106C6" w:rsidRDefault="000106C6" w:rsidP="004E222E">
      <w:pPr>
        <w:rPr>
          <w:lang w:val="en-US"/>
        </w:rPr>
      </w:pPr>
      <w:r w:rsidRPr="000106C6">
        <w:rPr>
          <w:lang w:val="en-US"/>
        </w:rPr>
        <w:t>The meaning of the 11 grade numerical scale should be carefully explai</w:t>
      </w:r>
      <w:r w:rsidR="004E222E">
        <w:rPr>
          <w:lang w:val="en-US"/>
        </w:rPr>
        <w:t xml:space="preserve">ned during </w:t>
      </w:r>
      <w:r w:rsidRPr="000106C6">
        <w:rPr>
          <w:lang w:val="en-US"/>
        </w:rPr>
        <w:t>“training sessions” as described below.</w:t>
      </w:r>
    </w:p>
    <w:p w:rsidR="000106C6" w:rsidRPr="00A044D1" w:rsidRDefault="000106C6" w:rsidP="000106C6">
      <w:pPr>
        <w:pStyle w:val="Heading2"/>
        <w:rPr>
          <w:lang w:val="en-US"/>
        </w:rPr>
      </w:pPr>
      <w:r w:rsidRPr="00A044D1">
        <w:rPr>
          <w:lang w:val="en-US"/>
        </w:rPr>
        <w:t>3.2</w:t>
      </w:r>
      <w:r w:rsidRPr="00A044D1">
        <w:rPr>
          <w:lang w:val="en-US"/>
        </w:rPr>
        <w:tab/>
        <w:t>Test design and session creation</w:t>
      </w:r>
    </w:p>
    <w:p w:rsidR="000106C6" w:rsidRPr="000106C6" w:rsidRDefault="000106C6" w:rsidP="006C7991">
      <w:pPr>
        <w:rPr>
          <w:lang w:val="en-US"/>
        </w:rPr>
      </w:pPr>
      <w:r w:rsidRPr="000106C6">
        <w:rPr>
          <w:lang w:val="en-US"/>
        </w:rPr>
        <w:t>The order of presentation of the BTC should be set in a random order by the test designer, in such a way that the same video clip is not shown two consecutive times as well as the same impaired clip.</w:t>
      </w:r>
    </w:p>
    <w:p w:rsidR="000106C6" w:rsidRPr="000106C6" w:rsidRDefault="000106C6" w:rsidP="006C7991">
      <w:pPr>
        <w:rPr>
          <w:lang w:val="en-US"/>
        </w:rPr>
      </w:pPr>
      <w:r w:rsidRPr="000106C6">
        <w:rPr>
          <w:lang w:val="en-US"/>
        </w:rPr>
        <w:t xml:space="preserve">Any viewing session should begin with a “stabilization phase” including the “best”, the “worst” and two “mid quality” BTC among those included in each test session. This will allow the viewers to have an immediate impression of the quality range, already at the beginning the test session. </w:t>
      </w:r>
    </w:p>
    <w:p w:rsidR="000106C6" w:rsidRPr="000106C6" w:rsidRDefault="000106C6" w:rsidP="006C7991">
      <w:pPr>
        <w:rPr>
          <w:lang w:val="en-US"/>
        </w:rPr>
      </w:pPr>
      <w:r w:rsidRPr="000106C6">
        <w:rPr>
          <w:lang w:val="en-US"/>
        </w:rPr>
        <w:t>If the viewing session is longer than 20 minutes, the test designer should split it into two (or more) separate viewing sessions, each of them not exceeding 20 minutes.</w:t>
      </w:r>
      <w:r w:rsidR="00013943">
        <w:rPr>
          <w:lang w:val="en-US"/>
        </w:rPr>
        <w:t xml:space="preserve"> </w:t>
      </w:r>
      <w:r w:rsidRPr="000106C6">
        <w:rPr>
          <w:lang w:val="en-US"/>
        </w:rPr>
        <w:t>In this case, the “stabilization phase” should be provided before each viewing session.</w:t>
      </w:r>
    </w:p>
    <w:p w:rsidR="000106C6" w:rsidRPr="000106C6" w:rsidRDefault="000106C6" w:rsidP="000106C6">
      <w:pPr>
        <w:pStyle w:val="Heading2"/>
        <w:rPr>
          <w:lang w:val="en-US"/>
        </w:rPr>
      </w:pPr>
      <w:r w:rsidRPr="000106C6">
        <w:rPr>
          <w:lang w:val="en-US"/>
        </w:rPr>
        <w:t>3.3</w:t>
      </w:r>
      <w:r w:rsidRPr="000106C6">
        <w:rPr>
          <w:lang w:val="en-US"/>
        </w:rPr>
        <w:tab/>
        <w:t>Training</w:t>
      </w:r>
    </w:p>
    <w:p w:rsidR="000106C6" w:rsidRPr="000106C6" w:rsidRDefault="000106C6" w:rsidP="002963D7">
      <w:pPr>
        <w:rPr>
          <w:lang w:val="en-US"/>
        </w:rPr>
      </w:pPr>
      <w:r w:rsidRPr="000106C6">
        <w:rPr>
          <w:lang w:val="en-US"/>
        </w:rPr>
        <w:t xml:space="preserve">Even if this procedure is foreseen for use with the participation of experts, a short (5-6 BTC) training viewing session should preferably be organised prior to each experiment. </w:t>
      </w:r>
    </w:p>
    <w:p w:rsidR="000106C6" w:rsidRPr="000106C6" w:rsidRDefault="000106C6" w:rsidP="002963D7">
      <w:pPr>
        <w:rPr>
          <w:lang w:val="en-US"/>
        </w:rPr>
      </w:pPr>
      <w:r w:rsidRPr="000106C6">
        <w:rPr>
          <w:lang w:val="en-US"/>
        </w:rPr>
        <w:t>The video material used in the training session may be the same that will be used during the actual sessions, but the order of presentation should be different.</w:t>
      </w:r>
    </w:p>
    <w:p w:rsidR="000106C6" w:rsidRPr="00EA16B9" w:rsidRDefault="000106C6" w:rsidP="002963D7">
      <w:pPr>
        <w:rPr>
          <w:lang w:val="en-CA"/>
        </w:rPr>
      </w:pPr>
      <w:r w:rsidRPr="00EA16B9">
        <w:rPr>
          <w:lang w:val="en-CA"/>
        </w:rPr>
        <w:t xml:space="preserve">The viewers </w:t>
      </w:r>
      <w:r>
        <w:rPr>
          <w:lang w:val="en-CA"/>
        </w:rPr>
        <w:t>should</w:t>
      </w:r>
      <w:r w:rsidRPr="00EA16B9">
        <w:rPr>
          <w:lang w:val="en-CA"/>
        </w:rPr>
        <w:t xml:space="preserve"> be trained </w:t>
      </w:r>
      <w:r>
        <w:rPr>
          <w:lang w:val="en-CA"/>
        </w:rPr>
        <w:t xml:space="preserve">on the use of the 11-grade scale by </w:t>
      </w:r>
      <w:r w:rsidRPr="00EA16B9">
        <w:rPr>
          <w:lang w:val="en-CA"/>
        </w:rPr>
        <w:t xml:space="preserve">asking them to carefully look at the video clips shown immediately after the message “A” and “B” on the screen, </w:t>
      </w:r>
      <w:r>
        <w:rPr>
          <w:lang w:val="en-CA"/>
        </w:rPr>
        <w:t>and check whether</w:t>
      </w:r>
      <w:r w:rsidRPr="00EA16B9">
        <w:rPr>
          <w:lang w:val="en-CA"/>
        </w:rPr>
        <w:t xml:space="preserve"> they </w:t>
      </w:r>
      <w:r>
        <w:rPr>
          <w:lang w:val="en-CA"/>
        </w:rPr>
        <w:t>can</w:t>
      </w:r>
      <w:r w:rsidRPr="00EA16B9">
        <w:rPr>
          <w:lang w:val="en-CA"/>
        </w:rPr>
        <w:t xml:space="preserve"> see any difference to the video clip shown as first (the SRC).</w:t>
      </w:r>
    </w:p>
    <w:p w:rsidR="000106C6" w:rsidRPr="00A044D1" w:rsidRDefault="000106C6" w:rsidP="000106C6">
      <w:pPr>
        <w:pStyle w:val="Heading1"/>
        <w:rPr>
          <w:lang w:val="en-US"/>
        </w:rPr>
      </w:pPr>
      <w:r w:rsidRPr="00A044D1">
        <w:rPr>
          <w:lang w:val="en-US"/>
        </w:rPr>
        <w:t>4</w:t>
      </w:r>
      <w:r w:rsidRPr="00A044D1">
        <w:rPr>
          <w:lang w:val="en-US"/>
        </w:rPr>
        <w:tab/>
        <w:t>Data collection and processing</w:t>
      </w:r>
    </w:p>
    <w:p w:rsidR="000106C6" w:rsidRPr="000106C6" w:rsidRDefault="000106C6" w:rsidP="002963D7">
      <w:pPr>
        <w:rPr>
          <w:lang w:val="en-US"/>
        </w:rPr>
      </w:pPr>
      <w:r w:rsidRPr="000106C6">
        <w:rPr>
          <w:lang w:val="en-US"/>
        </w:rPr>
        <w:t>The scores should be collected at the end of each session and logged on an electronic spreadsheet to compute the MEAN values.</w:t>
      </w:r>
    </w:p>
    <w:p w:rsidR="000106C6" w:rsidRPr="000106C6" w:rsidRDefault="000106C6" w:rsidP="002963D7">
      <w:pPr>
        <w:rPr>
          <w:lang w:val="en-US"/>
        </w:rPr>
      </w:pPr>
      <w:r w:rsidRPr="000106C6">
        <w:rPr>
          <w:lang w:val="en-US"/>
        </w:rPr>
        <w:t xml:space="preserve">A “post screening” of the viewers should desirably be performed, using a linear Pearson’s correlation. </w:t>
      </w:r>
    </w:p>
    <w:p w:rsidR="000106C6" w:rsidRPr="000106C6" w:rsidRDefault="000106C6" w:rsidP="002963D7">
      <w:pPr>
        <w:rPr>
          <w:lang w:val="en-US"/>
        </w:rPr>
      </w:pPr>
      <w:r w:rsidRPr="000106C6">
        <w:rPr>
          <w:lang w:val="en-US"/>
        </w:rPr>
        <w:t xml:space="preserve">The “correlation” function should be applied considering all the scores of each subject in relation to the </w:t>
      </w:r>
      <w:r w:rsidR="00A24B4D" w:rsidRPr="000106C6">
        <w:rPr>
          <w:lang w:val="en-US"/>
        </w:rPr>
        <w:t>mean opinion scores</w:t>
      </w:r>
      <w:r w:rsidR="00A24B4D">
        <w:rPr>
          <w:lang w:val="en-US"/>
        </w:rPr>
        <w:t xml:space="preserve"> (MOS)</w:t>
      </w:r>
      <w:r w:rsidRPr="000106C6">
        <w:rPr>
          <w:lang w:val="en-US"/>
        </w:rPr>
        <w:t>; a threshold may be set to define each viewer as “acceptable” or “rejected” (Recommendation ITU-T P.913 suggests the use of a “reject” threshold value equal to 0.75).</w:t>
      </w:r>
    </w:p>
    <w:p w:rsidR="000106C6" w:rsidRPr="000106C6" w:rsidRDefault="000106C6" w:rsidP="00A24B4D">
      <w:pPr>
        <w:pStyle w:val="Heading1"/>
        <w:rPr>
          <w:lang w:val="en-US"/>
        </w:rPr>
      </w:pPr>
      <w:r w:rsidRPr="000106C6">
        <w:rPr>
          <w:lang w:val="en-US"/>
        </w:rPr>
        <w:t>5</w:t>
      </w:r>
      <w:r w:rsidRPr="000106C6">
        <w:rPr>
          <w:lang w:val="en-US"/>
        </w:rPr>
        <w:tab/>
        <w:t xml:space="preserve">Terms of use of the </w:t>
      </w:r>
      <w:r w:rsidR="00A24B4D" w:rsidRPr="000106C6">
        <w:rPr>
          <w:rFonts w:asciiTheme="majorBidi" w:hAnsiTheme="majorBidi" w:cstheme="majorBidi"/>
          <w:szCs w:val="24"/>
          <w:lang w:val="en-US" w:eastAsia="pl-PL"/>
        </w:rPr>
        <w:t>expert viewing protocol</w:t>
      </w:r>
      <w:r w:rsidR="00A24B4D" w:rsidRPr="000106C6">
        <w:rPr>
          <w:lang w:val="en-US"/>
        </w:rPr>
        <w:t xml:space="preserve"> </w:t>
      </w:r>
      <w:r w:rsidRPr="000106C6">
        <w:rPr>
          <w:lang w:val="en-US"/>
        </w:rPr>
        <w:t>results</w:t>
      </w:r>
    </w:p>
    <w:p w:rsidR="000106C6" w:rsidRPr="000106C6" w:rsidRDefault="000106C6" w:rsidP="002963D7">
      <w:pPr>
        <w:rPr>
          <w:lang w:val="en-US" w:eastAsia="pl-PL"/>
        </w:rPr>
      </w:pPr>
      <w:r w:rsidRPr="000106C6">
        <w:rPr>
          <w:lang w:val="en-US" w:eastAsia="pl-PL"/>
        </w:rPr>
        <w:t xml:space="preserve">The </w:t>
      </w:r>
      <w:r w:rsidR="00E30D6C" w:rsidRPr="000106C6">
        <w:rPr>
          <w:rFonts w:asciiTheme="majorBidi" w:hAnsiTheme="majorBidi" w:cstheme="majorBidi"/>
          <w:szCs w:val="24"/>
          <w:lang w:val="en-US" w:eastAsia="pl-PL"/>
        </w:rPr>
        <w:t>expert viewing protocol</w:t>
      </w:r>
      <w:r w:rsidR="00E30D6C" w:rsidRPr="000106C6">
        <w:rPr>
          <w:lang w:val="en-US"/>
        </w:rPr>
        <w:t xml:space="preserve"> </w:t>
      </w:r>
      <w:r w:rsidR="00E30D6C">
        <w:rPr>
          <w:lang w:val="en-US"/>
        </w:rPr>
        <w:t>(</w:t>
      </w:r>
      <w:r w:rsidR="00A24B4D">
        <w:rPr>
          <w:lang w:val="en-US" w:eastAsia="pl-PL"/>
        </w:rPr>
        <w:t>EVP</w:t>
      </w:r>
      <w:r w:rsidR="00E30D6C">
        <w:rPr>
          <w:lang w:val="en-US" w:eastAsia="pl-PL"/>
        </w:rPr>
        <w:t>)</w:t>
      </w:r>
      <w:r w:rsidRPr="000106C6">
        <w:rPr>
          <w:lang w:val="en-US" w:eastAsia="pl-PL"/>
        </w:rPr>
        <w:t xml:space="preserve"> may be used when time and resources do not allow running a formal subjective assessment experiment.</w:t>
      </w:r>
    </w:p>
    <w:p w:rsidR="000106C6" w:rsidRPr="000106C6" w:rsidRDefault="000106C6" w:rsidP="002963D7">
      <w:pPr>
        <w:rPr>
          <w:lang w:val="en-US" w:eastAsia="pl-PL"/>
        </w:rPr>
      </w:pPr>
      <w:r w:rsidRPr="000106C6">
        <w:rPr>
          <w:lang w:val="en-US" w:eastAsia="pl-PL"/>
        </w:rPr>
        <w:t xml:space="preserve">EVP requires less time than a formal subjective assessment and may be executed in an “informal” environment, assuming that the ambient in which it is run is protected by any visual and audible external disturbance. </w:t>
      </w:r>
    </w:p>
    <w:p w:rsidR="000106C6" w:rsidRPr="000106C6" w:rsidRDefault="000106C6" w:rsidP="002963D7">
      <w:pPr>
        <w:rPr>
          <w:lang w:val="en-US" w:eastAsia="pl-PL"/>
        </w:rPr>
      </w:pPr>
      <w:r w:rsidRPr="000106C6">
        <w:rPr>
          <w:lang w:val="en-US" w:eastAsia="pl-PL"/>
        </w:rPr>
        <w:t>The only mandatory conditions are related to the ambient illumination and to the viewing conditions (display, angle of observation and viewing distance) as described in the above paragraphs.</w:t>
      </w:r>
    </w:p>
    <w:p w:rsidR="000106C6" w:rsidRPr="00A044D1" w:rsidRDefault="000106C6" w:rsidP="002963D7">
      <w:pPr>
        <w:pStyle w:val="Heading1"/>
        <w:rPr>
          <w:lang w:val="en-US"/>
        </w:rPr>
      </w:pPr>
      <w:r w:rsidRPr="00A044D1">
        <w:rPr>
          <w:lang w:val="en-US"/>
        </w:rPr>
        <w:lastRenderedPageBreak/>
        <w:t>6</w:t>
      </w:r>
      <w:r w:rsidRPr="00A044D1">
        <w:rPr>
          <w:lang w:val="en-US"/>
        </w:rPr>
        <w:tab/>
        <w:t>Limitations of use of the EVP results</w:t>
      </w:r>
    </w:p>
    <w:p w:rsidR="000106C6" w:rsidRPr="000106C6" w:rsidRDefault="000106C6" w:rsidP="002963D7">
      <w:pPr>
        <w:rPr>
          <w:lang w:val="en-US" w:eastAsia="pl-PL"/>
        </w:rPr>
      </w:pPr>
      <w:r w:rsidRPr="000106C6">
        <w:rPr>
          <w:lang w:val="en-US" w:eastAsia="pl-PL"/>
        </w:rPr>
        <w:t>Even if the EVP is demonstrating to be able to provid</w:t>
      </w:r>
      <w:r w:rsidR="00E30D6C">
        <w:rPr>
          <w:lang w:val="en-US" w:eastAsia="pl-PL"/>
        </w:rPr>
        <w:t>e acceptable results with only nine</w:t>
      </w:r>
      <w:r w:rsidRPr="000106C6">
        <w:rPr>
          <w:lang w:val="en-US" w:eastAsia="pl-PL"/>
        </w:rPr>
        <w:t xml:space="preserve"> viewers, the MOS provided by an EVP experiment cannot be considered as a replacement of the results obtainable with a formal subjective assessment experiment.</w:t>
      </w:r>
    </w:p>
    <w:p w:rsidR="000106C6" w:rsidRPr="000106C6" w:rsidRDefault="000106C6" w:rsidP="002963D7">
      <w:pPr>
        <w:rPr>
          <w:lang w:val="en-US" w:eastAsia="pl-PL"/>
        </w:rPr>
      </w:pPr>
      <w:r w:rsidRPr="000106C6">
        <w:rPr>
          <w:lang w:val="en-US" w:eastAsia="pl-PL"/>
        </w:rPr>
        <w:t>The MOS data obtained using EVP might be used to get a preliminary indication of the level of impairment.</w:t>
      </w:r>
    </w:p>
    <w:p w:rsidR="000106C6" w:rsidRPr="000106C6" w:rsidRDefault="000106C6" w:rsidP="002963D7">
      <w:pPr>
        <w:rPr>
          <w:lang w:val="en-US" w:eastAsia="pl-PL"/>
        </w:rPr>
      </w:pPr>
      <w:r w:rsidRPr="000106C6">
        <w:rPr>
          <w:lang w:val="en-US" w:eastAsia="pl-PL"/>
        </w:rPr>
        <w:t xml:space="preserve">The MOS data obtained using EVP might be used to make a preliminary ranking </w:t>
      </w:r>
      <w:r w:rsidR="00CF1235">
        <w:rPr>
          <w:lang w:val="en-US" w:eastAsia="pl-PL"/>
        </w:rPr>
        <w:t xml:space="preserve">of </w:t>
      </w:r>
      <w:r w:rsidRPr="000106C6">
        <w:rPr>
          <w:lang w:val="en-US" w:eastAsia="pl-PL"/>
        </w:rPr>
        <w:t>the video processing schemes under evaluation.</w:t>
      </w:r>
    </w:p>
    <w:p w:rsidR="000106C6" w:rsidRPr="000106C6" w:rsidRDefault="000106C6" w:rsidP="002963D7">
      <w:pPr>
        <w:rPr>
          <w:lang w:val="en-US" w:eastAsia="pl-PL"/>
        </w:rPr>
      </w:pPr>
      <w:r w:rsidRPr="000106C6">
        <w:rPr>
          <w:lang w:val="en-US" w:eastAsia="pl-PL"/>
        </w:rPr>
        <w:t>Where retained convenient or necessary, an EVP experiment can be run in parallel in more locations, assuming the viewing conditions, viewing distance and the test design are identical.</w:t>
      </w:r>
    </w:p>
    <w:p w:rsidR="000106C6" w:rsidRPr="000106C6" w:rsidRDefault="000106C6" w:rsidP="002963D7">
      <w:pPr>
        <w:rPr>
          <w:lang w:val="en-US" w:eastAsia="pl-PL"/>
        </w:rPr>
      </w:pPr>
      <w:r w:rsidRPr="000106C6">
        <w:rPr>
          <w:lang w:val="en-US" w:eastAsia="pl-PL"/>
        </w:rPr>
        <w:t xml:space="preserve">If the number of expert viewers involved in the same EVP experiment, also if running the experiment in </w:t>
      </w:r>
      <w:r w:rsidR="005B601F">
        <w:rPr>
          <w:lang w:val="en-US" w:eastAsia="pl-PL"/>
        </w:rPr>
        <w:t>different locations, is equal or</w:t>
      </w:r>
      <w:r w:rsidRPr="000106C6">
        <w:rPr>
          <w:lang w:val="en-US" w:eastAsia="pl-PL"/>
        </w:rPr>
        <w:t xml:space="preserve"> higher than 15, the raw subjective data might </w:t>
      </w:r>
      <w:r w:rsidR="005B601F">
        <w:rPr>
          <w:lang w:val="en-US" w:eastAsia="pl-PL"/>
        </w:rPr>
        <w:t xml:space="preserve">be </w:t>
      </w:r>
      <w:r w:rsidRPr="000106C6">
        <w:rPr>
          <w:lang w:val="en-US" w:eastAsia="pl-PL"/>
        </w:rPr>
        <w:t xml:space="preserve">processed to obtain MOS, </w:t>
      </w:r>
      <w:r w:rsidR="005B601F" w:rsidRPr="000106C6">
        <w:rPr>
          <w:lang w:val="en-US" w:eastAsia="pl-PL"/>
        </w:rPr>
        <w:t xml:space="preserve">standard deviation and confidence interval </w:t>
      </w:r>
      <w:r w:rsidRPr="000106C6">
        <w:rPr>
          <w:lang w:val="en-US" w:eastAsia="pl-PL"/>
        </w:rPr>
        <w:t>data, that may help to perform a more accurate ranking of the cases under test. In this last case more accurate inferential statistical analysis may be performed, e.g. T-Student test.</w:t>
      </w:r>
    </w:p>
    <w:p w:rsidR="000106C6" w:rsidRDefault="000106C6" w:rsidP="000106C6">
      <w:pPr>
        <w:pStyle w:val="Reasons"/>
      </w:pPr>
    </w:p>
    <w:p w:rsidR="000106C6" w:rsidRDefault="000106C6" w:rsidP="000106C6">
      <w:pPr>
        <w:pStyle w:val="Reasons"/>
      </w:pPr>
    </w:p>
    <w:p w:rsidR="000106C6" w:rsidRPr="00F221B6" w:rsidRDefault="000106C6" w:rsidP="00887A60">
      <w:pPr>
        <w:pStyle w:val="Line"/>
        <w:rPr>
          <w:lang w:eastAsia="zh-CN"/>
        </w:rPr>
      </w:pPr>
    </w:p>
    <w:sectPr w:rsidR="000106C6" w:rsidRPr="00F221B6" w:rsidSect="00F46AD6">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6F07" w:rsidRDefault="00CB6F07">
      <w:r>
        <w:separator/>
      </w:r>
    </w:p>
  </w:endnote>
  <w:endnote w:type="continuationSeparator" w:id="0">
    <w:p w:rsidR="00CB6F07" w:rsidRDefault="00CB6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6F07" w:rsidRDefault="00CB6F07">
      <w:r>
        <w:separator/>
      </w:r>
    </w:p>
  </w:footnote>
  <w:footnote w:type="continuationSeparator" w:id="0">
    <w:p w:rsidR="00CB6F07" w:rsidRDefault="00CB6F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F07" w:rsidRDefault="00CB6F0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F07" w:rsidRDefault="00CB6F07" w:rsidP="00B033C8">
    <w:pPr>
      <w:pStyle w:val="Header"/>
      <w:ind w:right="360" w:firstLine="360"/>
    </w:pPr>
    <w:r>
      <w:rPr>
        <w:noProof/>
        <w:lang w:val="en-US" w:eastAsia="zh-CN"/>
      </w:rPr>
      <w:drawing>
        <wp:anchor distT="0" distB="0" distL="114300" distR="114300" simplePos="0" relativeHeight="251659264" behindDoc="1" locked="0" layoutInCell="1" allowOverlap="1" wp14:anchorId="3E3DBE69" wp14:editId="61BE92B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F07" w:rsidRPr="000F6905" w:rsidRDefault="00CB6F07" w:rsidP="006B77AE">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E6015D">
      <w:rPr>
        <w:rStyle w:val="PageNumber"/>
        <w:b/>
        <w:bCs/>
        <w:noProof/>
      </w:rPr>
      <w:t>ii</w:t>
    </w:r>
    <w:r>
      <w:rPr>
        <w:rStyle w:val="PageNumber"/>
        <w:b/>
        <w:bCs/>
      </w:rPr>
      <w:fldChar w:fldCharType="end"/>
    </w:r>
    <w:r w:rsidRPr="000F6905">
      <w:tab/>
    </w:r>
    <w:fldSimple w:instr=" DOCPROPERTY &quot;Header&quot; \* MERGEFORMAT ">
      <w:r w:rsidR="00E6015D" w:rsidRPr="00E6015D">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E6015D">
      <w:rPr>
        <w:b/>
        <w:bCs/>
        <w:noProof/>
      </w:rPr>
      <w:t>ITU-R  BT.2095-0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F07" w:rsidRDefault="00CB6F07" w:rsidP="006B77AE">
    <w:pPr>
      <w:pStyle w:val="Header"/>
    </w:pPr>
    <w:r>
      <w:tab/>
    </w:r>
    <w:fldSimple w:instr=" DOCPROPERTY &quot;Header&quot; \* MERGEFORMAT ">
      <w:r w:rsidR="00E6015D" w:rsidRPr="00E6015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6015D">
      <w:rPr>
        <w:b/>
        <w:bCs/>
        <w:noProof/>
      </w:rPr>
      <w:t>ITU-R  BT.2095-0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13943">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6015D">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E6015D" w:rsidRPr="00E6015D">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6015D">
      <w:rPr>
        <w:b/>
        <w:bCs/>
        <w:noProof/>
      </w:rPr>
      <w:t>ITU-R  BT.2095-0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E6015D" w:rsidRPr="00E6015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6015D">
      <w:rPr>
        <w:b/>
        <w:bCs/>
        <w:noProof/>
      </w:rPr>
      <w:t>ITU-R  BT.2095-0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6015D">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CA"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F07"/>
    <w:rsid w:val="000106C6"/>
    <w:rsid w:val="00011836"/>
    <w:rsid w:val="00013943"/>
    <w:rsid w:val="001564FC"/>
    <w:rsid w:val="00172E20"/>
    <w:rsid w:val="001B511B"/>
    <w:rsid w:val="00217EBF"/>
    <w:rsid w:val="00242AEE"/>
    <w:rsid w:val="00294B9D"/>
    <w:rsid w:val="002963D7"/>
    <w:rsid w:val="002A062B"/>
    <w:rsid w:val="002B09AA"/>
    <w:rsid w:val="002D76C4"/>
    <w:rsid w:val="003A337F"/>
    <w:rsid w:val="003E63DA"/>
    <w:rsid w:val="003E7B7F"/>
    <w:rsid w:val="004E222E"/>
    <w:rsid w:val="0052529D"/>
    <w:rsid w:val="0052749C"/>
    <w:rsid w:val="0057464B"/>
    <w:rsid w:val="00587D5F"/>
    <w:rsid w:val="005B601F"/>
    <w:rsid w:val="005E34EB"/>
    <w:rsid w:val="00607D68"/>
    <w:rsid w:val="00634D3D"/>
    <w:rsid w:val="0064097D"/>
    <w:rsid w:val="006B77AE"/>
    <w:rsid w:val="006C7991"/>
    <w:rsid w:val="007468DA"/>
    <w:rsid w:val="00746B49"/>
    <w:rsid w:val="0077716F"/>
    <w:rsid w:val="0084067D"/>
    <w:rsid w:val="00887A60"/>
    <w:rsid w:val="00916460"/>
    <w:rsid w:val="00930685"/>
    <w:rsid w:val="00951FC2"/>
    <w:rsid w:val="009630B8"/>
    <w:rsid w:val="00983B21"/>
    <w:rsid w:val="009E00A8"/>
    <w:rsid w:val="009F1358"/>
    <w:rsid w:val="009F70F9"/>
    <w:rsid w:val="00A044D1"/>
    <w:rsid w:val="00A24B4D"/>
    <w:rsid w:val="00A401B9"/>
    <w:rsid w:val="00A6617B"/>
    <w:rsid w:val="00AB0DC8"/>
    <w:rsid w:val="00B37764"/>
    <w:rsid w:val="00B44E24"/>
    <w:rsid w:val="00B71BDA"/>
    <w:rsid w:val="00BB488F"/>
    <w:rsid w:val="00BF04D7"/>
    <w:rsid w:val="00C43FBC"/>
    <w:rsid w:val="00C95747"/>
    <w:rsid w:val="00CB6F07"/>
    <w:rsid w:val="00CF1235"/>
    <w:rsid w:val="00D20DF0"/>
    <w:rsid w:val="00D57B83"/>
    <w:rsid w:val="00D8414C"/>
    <w:rsid w:val="00DD4243"/>
    <w:rsid w:val="00DF4176"/>
    <w:rsid w:val="00E23F77"/>
    <w:rsid w:val="00E30D6C"/>
    <w:rsid w:val="00E6015D"/>
    <w:rsid w:val="00E7637F"/>
    <w:rsid w:val="00EE07D1"/>
    <w:rsid w:val="00F221B6"/>
    <w:rsid w:val="00F46AD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8193"/>
    <o:shapelayout v:ext="edit">
      <o:idmap v:ext="edit" data="1"/>
    </o:shapelayout>
  </w:shapeDefaults>
  <w:decimalSymbol w:val="."/>
  <w:listSeparator w:val=";"/>
  <w15:docId w15:val="{8DE839AF-FF63-4612-946D-889B973B0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6F0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CB6F07"/>
    <w:rPr>
      <w:color w:val="0000FF"/>
      <w:u w:val="single"/>
    </w:rPr>
  </w:style>
  <w:style w:type="paragraph" w:customStyle="1" w:styleId="AnnexNo">
    <w:name w:val="Annex_No"/>
    <w:basedOn w:val="Normal"/>
    <w:next w:val="Normal"/>
    <w:rsid w:val="000106C6"/>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0106C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Reasons">
    <w:name w:val="Reasons"/>
    <w:basedOn w:val="Normal"/>
    <w:qFormat/>
    <w:rsid w:val="000106C6"/>
    <w:pPr>
      <w:tabs>
        <w:tab w:val="clear" w:pos="794"/>
        <w:tab w:val="clear" w:pos="1191"/>
        <w:tab w:val="left" w:pos="1134"/>
      </w:tabs>
      <w:jc w:val="left"/>
    </w:pPr>
    <w:rPr>
      <w:lang w:val="en-GB"/>
    </w:rPr>
  </w:style>
  <w:style w:type="table" w:styleId="TableGrid">
    <w:name w:val="Table Grid"/>
    <w:basedOn w:val="TableNormal"/>
    <w:uiPriority w:val="59"/>
    <w:rsid w:val="000106C6"/>
    <w:rPr>
      <w:rFonts w:asciiTheme="minorHAnsi" w:eastAsiaTheme="minorEastAsia"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2.emf"/><Relationship Id="rId17"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header" Target="header5.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oleObject" Target="embeddings/oleObject2.bin"/><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230</TotalTime>
  <Pages>1</Pages>
  <Words>2164</Words>
  <Characters>11755</Characters>
  <Application>Microsoft Office Word</Application>
  <DocSecurity>0</DocSecurity>
  <Lines>534</Lines>
  <Paragraphs>69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57</cp:revision>
  <cp:lastPrinted>2016-05-04T14:04:00Z</cp:lastPrinted>
  <dcterms:created xsi:type="dcterms:W3CDTF">2016-04-06T09:56:00Z</dcterms:created>
  <dcterms:modified xsi:type="dcterms:W3CDTF">2016-05-04T14:05:00Z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