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612B2B" w:rsidRDefault="00A6617B" w:rsidP="00157170">
      <w:pPr>
        <w:rPr>
          <w:lang w:val="es-ES_tradnl"/>
        </w:rPr>
      </w:pPr>
      <w:bookmarkStart w:id="0" w:name="_GoBack"/>
      <w:bookmarkEnd w:id="0"/>
    </w:p>
    <w:p w:rsidR="007029C1" w:rsidRPr="00612B2B" w:rsidRDefault="007029C1" w:rsidP="007029C1">
      <w:pPr>
        <w:rPr>
          <w:lang w:val="es-ES_tradnl"/>
        </w:rPr>
      </w:pPr>
    </w:p>
    <w:p w:rsidR="007029C1" w:rsidRPr="00612B2B" w:rsidRDefault="007029C1" w:rsidP="007029C1">
      <w:pPr>
        <w:rPr>
          <w:lang w:val="es-ES_tradnl"/>
        </w:rPr>
      </w:pPr>
    </w:p>
    <w:p w:rsidR="007029C1" w:rsidRPr="00612B2B" w:rsidRDefault="007029C1" w:rsidP="007029C1">
      <w:pPr>
        <w:rPr>
          <w:lang w:val="es-ES_tradnl"/>
        </w:rPr>
      </w:pPr>
    </w:p>
    <w:p w:rsidR="007029C1" w:rsidRPr="00612B2B" w:rsidRDefault="007029C1" w:rsidP="007029C1">
      <w:pPr>
        <w:rPr>
          <w:lang w:val="es-ES_tradnl"/>
        </w:rPr>
      </w:pPr>
    </w:p>
    <w:p w:rsidR="007029C1" w:rsidRPr="00612B2B" w:rsidRDefault="007029C1" w:rsidP="007029C1">
      <w:pPr>
        <w:rPr>
          <w:lang w:val="es-ES_tradnl"/>
        </w:rPr>
      </w:pPr>
    </w:p>
    <w:p w:rsidR="007029C1" w:rsidRPr="00612B2B" w:rsidRDefault="007029C1" w:rsidP="007029C1">
      <w:pPr>
        <w:rPr>
          <w:lang w:val="es-ES_tradnl"/>
        </w:rPr>
      </w:pPr>
    </w:p>
    <w:p w:rsidR="007029C1" w:rsidRPr="00612B2B" w:rsidRDefault="007029C1" w:rsidP="007029C1">
      <w:pPr>
        <w:rPr>
          <w:lang w:val="es-ES_tradnl"/>
        </w:rPr>
      </w:pPr>
    </w:p>
    <w:p w:rsidR="007029C1" w:rsidRPr="00612B2B" w:rsidRDefault="007029C1" w:rsidP="007029C1">
      <w:pPr>
        <w:rPr>
          <w:lang w:val="es-ES_tradnl"/>
        </w:rPr>
      </w:pPr>
    </w:p>
    <w:p w:rsidR="007029C1" w:rsidRPr="00612B2B" w:rsidRDefault="007029C1" w:rsidP="007029C1">
      <w:pPr>
        <w:rPr>
          <w:lang w:val="es-ES_tradnl"/>
        </w:rPr>
      </w:pPr>
    </w:p>
    <w:p w:rsidR="007029C1" w:rsidRPr="00612B2B" w:rsidRDefault="007029C1" w:rsidP="007029C1">
      <w:pPr>
        <w:rPr>
          <w:lang w:val="es-ES_tradnl"/>
        </w:rPr>
      </w:pPr>
    </w:p>
    <w:p w:rsidR="007029C1" w:rsidRPr="00612B2B" w:rsidRDefault="007029C1" w:rsidP="007029C1">
      <w:pPr>
        <w:rPr>
          <w:lang w:val="es-ES_tradnl"/>
        </w:rPr>
      </w:pPr>
    </w:p>
    <w:tbl>
      <w:tblPr>
        <w:tblW w:w="10089" w:type="dxa"/>
        <w:tblLook w:val="01E0" w:firstRow="1" w:lastRow="1" w:firstColumn="1" w:lastColumn="1" w:noHBand="0" w:noVBand="0"/>
      </w:tblPr>
      <w:tblGrid>
        <w:gridCol w:w="10089"/>
      </w:tblGrid>
      <w:tr w:rsidR="007029C1" w:rsidRPr="00612B2B" w:rsidTr="005859F7">
        <w:tc>
          <w:tcPr>
            <w:tcW w:w="10089" w:type="dxa"/>
          </w:tcPr>
          <w:p w:rsidR="007029C1" w:rsidRPr="00612B2B" w:rsidRDefault="007029C1" w:rsidP="005859F7">
            <w:pPr>
              <w:spacing w:before="380" w:line="280" w:lineRule="exact"/>
              <w:jc w:val="right"/>
              <w:rPr>
                <w:rFonts w:ascii="Tahoma" w:hAnsi="Tahoma" w:cs="Tahoma"/>
                <w:b/>
                <w:bCs/>
                <w:iCs/>
                <w:color w:val="243285"/>
                <w:sz w:val="32"/>
                <w:szCs w:val="32"/>
                <w:lang w:val="es-ES_tradnl"/>
              </w:rPr>
            </w:pPr>
          </w:p>
          <w:p w:rsidR="007029C1" w:rsidRPr="00612B2B" w:rsidRDefault="007029C1" w:rsidP="007029C1">
            <w:pPr>
              <w:spacing w:before="380" w:line="280" w:lineRule="exact"/>
              <w:jc w:val="right"/>
              <w:rPr>
                <w:rFonts w:ascii="Tahoma" w:hAnsi="Tahoma" w:cs="Tahoma"/>
                <w:b/>
                <w:bCs/>
                <w:iCs/>
                <w:color w:val="243285"/>
                <w:sz w:val="36"/>
                <w:szCs w:val="36"/>
                <w:lang w:val="es-ES_tradnl"/>
              </w:rPr>
            </w:pPr>
            <w:r w:rsidRPr="00612B2B">
              <w:rPr>
                <w:rFonts w:ascii="Tahoma" w:hAnsi="Tahoma" w:cs="Tahoma"/>
                <w:b/>
                <w:bCs/>
                <w:iCs/>
                <w:color w:val="243285"/>
                <w:sz w:val="36"/>
                <w:szCs w:val="36"/>
                <w:lang w:val="es-ES_tradnl"/>
              </w:rPr>
              <w:t>Recomendación  UIT-R  BT.2056-0</w:t>
            </w:r>
          </w:p>
          <w:p w:rsidR="007029C1" w:rsidRPr="00612B2B" w:rsidRDefault="007029C1" w:rsidP="007029C1">
            <w:pPr>
              <w:spacing w:before="80" w:line="280" w:lineRule="exact"/>
              <w:jc w:val="right"/>
              <w:rPr>
                <w:rFonts w:ascii="Tahoma" w:hAnsi="Tahoma" w:cs="Tahoma"/>
                <w:b/>
                <w:bCs/>
                <w:iCs/>
                <w:color w:val="243285"/>
                <w:szCs w:val="24"/>
                <w:lang w:val="es-ES_tradnl"/>
              </w:rPr>
            </w:pPr>
            <w:r w:rsidRPr="00612B2B">
              <w:rPr>
                <w:rFonts w:ascii="Tahoma" w:hAnsi="Tahoma" w:cs="Tahoma"/>
                <w:b/>
                <w:bCs/>
                <w:iCs/>
                <w:color w:val="243285"/>
                <w:szCs w:val="24"/>
                <w:lang w:val="es-ES_tradnl"/>
              </w:rPr>
              <w:t>(02/2014)</w:t>
            </w:r>
          </w:p>
        </w:tc>
      </w:tr>
      <w:tr w:rsidR="007029C1" w:rsidRPr="00747339" w:rsidTr="005859F7">
        <w:tc>
          <w:tcPr>
            <w:tcW w:w="10089" w:type="dxa"/>
          </w:tcPr>
          <w:p w:rsidR="007029C1" w:rsidRPr="00612B2B" w:rsidRDefault="007029C1" w:rsidP="005859F7">
            <w:pPr>
              <w:spacing w:before="80" w:line="500" w:lineRule="exact"/>
              <w:jc w:val="right"/>
              <w:rPr>
                <w:rFonts w:ascii="Tahoma" w:hAnsi="Tahoma" w:cs="Tahoma"/>
                <w:b/>
                <w:bCs/>
                <w:iCs/>
                <w:color w:val="243285"/>
                <w:sz w:val="44"/>
                <w:szCs w:val="44"/>
                <w:lang w:val="es-ES_tradnl"/>
              </w:rPr>
            </w:pPr>
          </w:p>
          <w:p w:rsidR="007029C1" w:rsidRPr="00612B2B" w:rsidRDefault="007029C1" w:rsidP="007029C1">
            <w:pPr>
              <w:spacing w:before="80" w:line="500" w:lineRule="exact"/>
              <w:jc w:val="right"/>
              <w:rPr>
                <w:rFonts w:ascii="Tahoma" w:hAnsi="Tahoma" w:cs="Tahoma"/>
                <w:b/>
                <w:bCs/>
                <w:color w:val="243285"/>
                <w:sz w:val="44"/>
                <w:szCs w:val="44"/>
                <w:lang w:val="es-ES_tradnl"/>
              </w:rPr>
            </w:pPr>
            <w:r w:rsidRPr="00612B2B">
              <w:rPr>
                <w:rFonts w:ascii="Tahoma" w:hAnsi="Tahoma" w:cs="Tahoma"/>
                <w:b/>
                <w:color w:val="243285"/>
                <w:sz w:val="44"/>
                <w:szCs w:val="44"/>
                <w:lang w:val="es-ES_tradnl" w:eastAsia="zh-CN"/>
              </w:rPr>
              <w:t>Directrices de alto nivel para el intercambio internacional de programas de TVAD por conexiones IP con fines de contribución</w:t>
            </w:r>
          </w:p>
          <w:p w:rsidR="007029C1" w:rsidRPr="00612B2B" w:rsidRDefault="007029C1" w:rsidP="005859F7">
            <w:pPr>
              <w:spacing w:before="80" w:line="500" w:lineRule="exact"/>
              <w:jc w:val="right"/>
              <w:rPr>
                <w:rFonts w:ascii="Tahoma" w:hAnsi="Tahoma" w:cs="Tahoma"/>
                <w:b/>
                <w:bCs/>
                <w:iCs/>
                <w:color w:val="243285"/>
                <w:sz w:val="44"/>
                <w:szCs w:val="44"/>
                <w:lang w:val="es-ES_tradnl"/>
              </w:rPr>
            </w:pPr>
          </w:p>
        </w:tc>
      </w:tr>
      <w:tr w:rsidR="007029C1" w:rsidRPr="00747339" w:rsidTr="005859F7">
        <w:tc>
          <w:tcPr>
            <w:tcW w:w="10089" w:type="dxa"/>
          </w:tcPr>
          <w:p w:rsidR="007029C1" w:rsidRPr="00612B2B" w:rsidRDefault="007029C1" w:rsidP="005859F7">
            <w:pPr>
              <w:spacing w:before="80" w:line="280" w:lineRule="exact"/>
              <w:ind w:right="640"/>
              <w:rPr>
                <w:rFonts w:ascii="Tahoma" w:hAnsi="Tahoma" w:cs="Tahoma"/>
                <w:b/>
                <w:bCs/>
                <w:iCs/>
                <w:color w:val="243285"/>
                <w:sz w:val="32"/>
                <w:szCs w:val="32"/>
                <w:lang w:val="es-ES_tradnl"/>
              </w:rPr>
            </w:pPr>
          </w:p>
          <w:p w:rsidR="007029C1" w:rsidRPr="00612B2B" w:rsidRDefault="007029C1" w:rsidP="005859F7">
            <w:pPr>
              <w:spacing w:before="80" w:line="280" w:lineRule="exact"/>
              <w:ind w:right="640"/>
              <w:rPr>
                <w:rFonts w:ascii="Tahoma" w:hAnsi="Tahoma" w:cs="Tahoma"/>
                <w:b/>
                <w:bCs/>
                <w:iCs/>
                <w:color w:val="243285"/>
                <w:sz w:val="32"/>
                <w:szCs w:val="32"/>
                <w:lang w:val="es-ES_tradnl"/>
              </w:rPr>
            </w:pPr>
          </w:p>
          <w:p w:rsidR="007029C1" w:rsidRPr="00612B2B" w:rsidRDefault="007029C1" w:rsidP="005859F7">
            <w:pPr>
              <w:spacing w:before="80" w:after="180" w:line="360" w:lineRule="exact"/>
              <w:ind w:right="720"/>
              <w:rPr>
                <w:rFonts w:ascii="Tahoma" w:hAnsi="Tahoma" w:cs="Tahoma"/>
                <w:b/>
                <w:bCs/>
                <w:iCs/>
                <w:color w:val="243285"/>
                <w:sz w:val="36"/>
                <w:szCs w:val="36"/>
                <w:lang w:val="es-ES_tradnl"/>
              </w:rPr>
            </w:pPr>
          </w:p>
          <w:p w:rsidR="007029C1" w:rsidRPr="00612B2B" w:rsidRDefault="007029C1" w:rsidP="005859F7">
            <w:pPr>
              <w:spacing w:before="80" w:after="180" w:line="360" w:lineRule="exact"/>
              <w:jc w:val="right"/>
              <w:rPr>
                <w:rFonts w:ascii="Tahoma" w:hAnsi="Tahoma" w:cs="Tahoma"/>
                <w:b/>
                <w:bCs/>
                <w:iCs/>
                <w:color w:val="243285"/>
                <w:sz w:val="36"/>
                <w:szCs w:val="36"/>
                <w:lang w:val="es-ES_tradnl"/>
              </w:rPr>
            </w:pPr>
            <w:r w:rsidRPr="00612B2B">
              <w:rPr>
                <w:rFonts w:ascii="Tahoma" w:hAnsi="Tahoma" w:cs="Tahoma"/>
                <w:b/>
                <w:bCs/>
                <w:iCs/>
                <w:color w:val="243285"/>
                <w:sz w:val="36"/>
                <w:szCs w:val="36"/>
                <w:lang w:val="es-ES_tradnl"/>
              </w:rPr>
              <w:t>Serie BT</w:t>
            </w:r>
          </w:p>
          <w:p w:rsidR="007029C1" w:rsidRPr="00612B2B" w:rsidRDefault="007029C1" w:rsidP="005859F7">
            <w:pPr>
              <w:spacing w:before="80" w:line="420" w:lineRule="exact"/>
              <w:jc w:val="right"/>
              <w:rPr>
                <w:rFonts w:ascii="Tahoma" w:hAnsi="Tahoma" w:cs="Tahoma"/>
                <w:b/>
                <w:bCs/>
                <w:iCs/>
                <w:color w:val="243285"/>
                <w:sz w:val="36"/>
                <w:szCs w:val="36"/>
                <w:lang w:val="es-ES_tradnl"/>
              </w:rPr>
            </w:pPr>
            <w:r w:rsidRPr="00612B2B">
              <w:rPr>
                <w:rFonts w:ascii="Tahoma" w:hAnsi="Tahoma" w:cs="Tahoma"/>
                <w:b/>
                <w:bCs/>
                <w:iCs/>
                <w:color w:val="243285"/>
                <w:sz w:val="36"/>
                <w:szCs w:val="36"/>
                <w:lang w:val="es-ES_tradnl"/>
              </w:rPr>
              <w:t>Servicio de radiodifusión</w:t>
            </w:r>
            <w:r w:rsidRPr="00612B2B">
              <w:rPr>
                <w:rFonts w:ascii="Tahoma" w:hAnsi="Tahoma" w:cs="Tahoma"/>
                <w:b/>
                <w:bCs/>
                <w:iCs/>
                <w:color w:val="243285"/>
                <w:sz w:val="36"/>
                <w:szCs w:val="36"/>
                <w:lang w:val="es-ES_tradnl"/>
              </w:rPr>
              <w:br/>
              <w:t>(televisión</w:t>
            </w:r>
            <w:r w:rsidRPr="00612B2B">
              <w:rPr>
                <w:rFonts w:ascii="Tahoma" w:hAnsi="Tahoma" w:cs="Tahoma"/>
                <w:b/>
                <w:bCs/>
                <w:color w:val="000080"/>
                <w:sz w:val="36"/>
                <w:szCs w:val="36"/>
                <w:lang w:val="es-ES_tradnl"/>
              </w:rPr>
              <w:t>)</w:t>
            </w:r>
          </w:p>
        </w:tc>
      </w:tr>
    </w:tbl>
    <w:p w:rsidR="007029C1" w:rsidRPr="00612B2B" w:rsidRDefault="007029C1" w:rsidP="007029C1">
      <w:pPr>
        <w:spacing w:before="80"/>
        <w:rPr>
          <w:i/>
          <w:sz w:val="22"/>
          <w:lang w:val="es-ES_tradnl"/>
        </w:rPr>
      </w:pPr>
    </w:p>
    <w:p w:rsidR="007029C1" w:rsidRPr="00612B2B" w:rsidRDefault="007029C1" w:rsidP="007029C1">
      <w:pPr>
        <w:spacing w:before="80"/>
        <w:rPr>
          <w:i/>
          <w:sz w:val="22"/>
          <w:lang w:val="es-ES_tradnl"/>
        </w:rPr>
      </w:pPr>
    </w:p>
    <w:p w:rsidR="007029C1" w:rsidRPr="00612B2B" w:rsidRDefault="007029C1" w:rsidP="007029C1">
      <w:pPr>
        <w:spacing w:before="80"/>
        <w:rPr>
          <w:i/>
          <w:sz w:val="22"/>
          <w:lang w:val="es-ES_tradnl"/>
        </w:rPr>
      </w:pPr>
    </w:p>
    <w:p w:rsidR="007029C1" w:rsidRPr="00612B2B" w:rsidRDefault="007029C1" w:rsidP="007029C1">
      <w:pPr>
        <w:spacing w:before="80"/>
        <w:rPr>
          <w:i/>
          <w:sz w:val="22"/>
          <w:lang w:val="es-ES_tradnl"/>
        </w:rPr>
      </w:pPr>
    </w:p>
    <w:p w:rsidR="007029C1" w:rsidRPr="00612B2B" w:rsidRDefault="007029C1" w:rsidP="007029C1">
      <w:pPr>
        <w:spacing w:before="80"/>
        <w:rPr>
          <w:i/>
          <w:sz w:val="22"/>
          <w:lang w:val="es-ES_tradnl"/>
        </w:rPr>
      </w:pPr>
    </w:p>
    <w:p w:rsidR="007029C1" w:rsidRPr="00612B2B" w:rsidRDefault="007029C1" w:rsidP="007029C1">
      <w:pPr>
        <w:spacing w:before="80"/>
        <w:rPr>
          <w:i/>
          <w:sz w:val="22"/>
          <w:lang w:val="es-ES_tradnl"/>
        </w:rPr>
      </w:pPr>
    </w:p>
    <w:p w:rsidR="007029C1" w:rsidRPr="00612B2B" w:rsidRDefault="007029C1" w:rsidP="007029C1">
      <w:pPr>
        <w:pStyle w:val="Equation"/>
        <w:tabs>
          <w:tab w:val="clear" w:pos="4820"/>
          <w:tab w:val="clear" w:pos="9639"/>
          <w:tab w:val="left" w:pos="1191"/>
          <w:tab w:val="left" w:pos="1588"/>
          <w:tab w:val="left" w:pos="1985"/>
        </w:tabs>
        <w:rPr>
          <w:rFonts w:ascii="Palatino Linotype" w:hAnsi="Palatino Linotype"/>
          <w:lang w:val="es-ES_tradnl"/>
        </w:rPr>
        <w:sectPr w:rsidR="007029C1" w:rsidRPr="00612B2B" w:rsidSect="009E1F8B">
          <w:headerReference w:type="even" r:id="rId6"/>
          <w:headerReference w:type="default" r:id="rId7"/>
          <w:pgSz w:w="11907" w:h="16834" w:code="9"/>
          <w:pgMar w:top="1418" w:right="1134" w:bottom="1134" w:left="1134" w:header="720" w:footer="482" w:gutter="0"/>
          <w:paperSrc w:first="15" w:other="15"/>
          <w:cols w:space="720"/>
        </w:sectPr>
      </w:pPr>
    </w:p>
    <w:p w:rsidR="007029C1" w:rsidRPr="00612B2B" w:rsidRDefault="007029C1" w:rsidP="007029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12B2B">
        <w:rPr>
          <w:bCs/>
          <w:sz w:val="24"/>
          <w:szCs w:val="24"/>
          <w:lang w:val="es-ES_tradnl"/>
        </w:rPr>
        <w:lastRenderedPageBreak/>
        <w:t>Prólogo</w:t>
      </w:r>
    </w:p>
    <w:p w:rsidR="007029C1" w:rsidRPr="00612B2B" w:rsidRDefault="007029C1" w:rsidP="007029C1">
      <w:pPr>
        <w:spacing w:before="180"/>
        <w:rPr>
          <w:sz w:val="20"/>
          <w:lang w:val="es-ES_tradnl"/>
        </w:rPr>
      </w:pPr>
      <w:r w:rsidRPr="00612B2B">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029C1" w:rsidRPr="00612B2B" w:rsidRDefault="007029C1" w:rsidP="007029C1">
      <w:pPr>
        <w:rPr>
          <w:sz w:val="20"/>
          <w:lang w:val="es-ES_tradnl"/>
        </w:rPr>
      </w:pPr>
      <w:r w:rsidRPr="00612B2B">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7029C1" w:rsidRPr="00612B2B" w:rsidRDefault="007029C1" w:rsidP="007029C1">
      <w:pPr>
        <w:pStyle w:val="Heading1"/>
        <w:spacing w:before="340"/>
        <w:jc w:val="center"/>
        <w:rPr>
          <w:szCs w:val="24"/>
          <w:lang w:val="es-ES_tradnl"/>
        </w:rPr>
      </w:pPr>
      <w:r w:rsidRPr="00612B2B">
        <w:rPr>
          <w:lang w:val="es-ES_tradnl"/>
        </w:rPr>
        <w:t>Política sobre Derechos de Propiedad Intelectual</w:t>
      </w:r>
      <w:r w:rsidRPr="00612B2B">
        <w:rPr>
          <w:szCs w:val="24"/>
          <w:lang w:val="es-ES_tradnl"/>
        </w:rPr>
        <w:t xml:space="preserve"> (IPR)</w:t>
      </w:r>
    </w:p>
    <w:p w:rsidR="007029C1" w:rsidRPr="00612B2B" w:rsidRDefault="007029C1" w:rsidP="007029C1">
      <w:pPr>
        <w:spacing w:before="180"/>
        <w:rPr>
          <w:sz w:val="20"/>
          <w:lang w:val="es-ES_tradnl"/>
        </w:rPr>
      </w:pPr>
      <w:r w:rsidRPr="00612B2B">
        <w:rPr>
          <w:sz w:val="20"/>
          <w:lang w:val="es-ES_tradnl"/>
        </w:rPr>
        <w:t>La política del UIT</w:t>
      </w:r>
      <w:r w:rsidRPr="00612B2B">
        <w:rPr>
          <w:sz w:val="20"/>
          <w:lang w:val="es-ES_tradnl"/>
        </w:rPr>
        <w:noBreakHyphen/>
        <w:t>R sobre Derechos de Propiedad Intelectual se describe en la Política Común de Patentes UIT</w:t>
      </w:r>
      <w:r w:rsidRPr="00612B2B">
        <w:rPr>
          <w:sz w:val="20"/>
          <w:lang w:val="es-ES_tradnl"/>
        </w:rPr>
        <w:noBreakHyphen/>
        <w:t>T/UIT</w:t>
      </w:r>
      <w:r w:rsidRPr="00612B2B">
        <w:rPr>
          <w:sz w:val="20"/>
          <w:lang w:val="es-ES_tradnl"/>
        </w:rPr>
        <w:noBreakHyphen/>
        <w:t>R/ISO/CEI a la que se hace referencia en el Anexo 1 a la Resolución UIT</w:t>
      </w:r>
      <w:r w:rsidRPr="00612B2B">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612B2B">
          <w:rPr>
            <w:rStyle w:val="Hyperlink"/>
            <w:sz w:val="20"/>
            <w:lang w:val="es-ES_tradnl"/>
          </w:rPr>
          <w:t>http://www.itu.int/ITU-R/go/patents/es</w:t>
        </w:r>
      </w:hyperlink>
      <w:r w:rsidRPr="00612B2B">
        <w:rPr>
          <w:sz w:val="20"/>
          <w:lang w:val="es-ES_tradnl"/>
        </w:rPr>
        <w:t>, donde también aparecen las Directrices para la implementación de la Política Común de Patentes UIT</w:t>
      </w:r>
      <w:r w:rsidRPr="00612B2B">
        <w:rPr>
          <w:sz w:val="20"/>
          <w:lang w:val="es-ES_tradnl"/>
        </w:rPr>
        <w:noBreakHyphen/>
        <w:t>T/UIT</w:t>
      </w:r>
      <w:r w:rsidRPr="00612B2B">
        <w:rPr>
          <w:sz w:val="20"/>
          <w:lang w:val="es-ES_tradnl"/>
        </w:rPr>
        <w:noBreakHyphen/>
        <w:t>R/ISO/CEI y la base de datos sobre información de patentes del UIT</w:t>
      </w:r>
      <w:r w:rsidRPr="00612B2B">
        <w:rPr>
          <w:sz w:val="20"/>
          <w:lang w:val="es-ES_tradnl"/>
        </w:rPr>
        <w:noBreakHyphen/>
        <w:t>R sobre este asunto.</w:t>
      </w:r>
    </w:p>
    <w:p w:rsidR="007029C1" w:rsidRPr="00612B2B" w:rsidRDefault="007029C1" w:rsidP="007029C1">
      <w:pPr>
        <w:spacing w:before="0"/>
        <w:jc w:val="center"/>
        <w:rPr>
          <w:sz w:val="22"/>
          <w:lang w:val="es-ES_tradnl"/>
        </w:rPr>
      </w:pPr>
    </w:p>
    <w:p w:rsidR="007029C1" w:rsidRPr="00612B2B" w:rsidRDefault="007029C1" w:rsidP="007029C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029C1" w:rsidRPr="00747339" w:rsidTr="005859F7">
        <w:tc>
          <w:tcPr>
            <w:tcW w:w="9360" w:type="dxa"/>
            <w:gridSpan w:val="2"/>
          </w:tcPr>
          <w:p w:rsidR="007029C1" w:rsidRPr="00612B2B" w:rsidRDefault="007029C1" w:rsidP="005859F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612B2B">
              <w:rPr>
                <w:sz w:val="22"/>
                <w:szCs w:val="22"/>
                <w:lang w:val="es-ES_tradnl"/>
              </w:rPr>
              <w:t xml:space="preserve">Series de las Recomendaciones UIT-R </w:t>
            </w:r>
          </w:p>
          <w:p w:rsidR="007029C1" w:rsidRPr="00612B2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612B2B">
              <w:rPr>
                <w:b w:val="0"/>
                <w:sz w:val="18"/>
                <w:szCs w:val="18"/>
                <w:lang w:val="es-ES_tradnl"/>
              </w:rPr>
              <w:t xml:space="preserve">(También disponible en línea en  </w:t>
            </w:r>
            <w:hyperlink r:id="rId9" w:history="1">
              <w:hyperlink r:id="rId10" w:history="1">
                <w:r w:rsidRPr="00612B2B">
                  <w:rPr>
                    <w:rStyle w:val="Hyperlink"/>
                    <w:b w:val="0"/>
                    <w:bCs/>
                    <w:sz w:val="18"/>
                    <w:szCs w:val="18"/>
                    <w:lang w:val="es-ES_tradnl"/>
                  </w:rPr>
                  <w:t>http://www.itu.int/publ/R-REC/es</w:t>
                </w:r>
              </w:hyperlink>
              <w:r w:rsidRPr="00612B2B">
                <w:rPr>
                  <w:rStyle w:val="Hyperlink"/>
                  <w:b w:val="0"/>
                  <w:bCs/>
                  <w:sz w:val="18"/>
                  <w:szCs w:val="18"/>
                  <w:lang w:val="es-ES_tradnl"/>
                </w:rPr>
                <w:t>)</w:t>
              </w:r>
            </w:hyperlink>
          </w:p>
        </w:tc>
      </w:tr>
      <w:tr w:rsidR="007029C1" w:rsidRPr="00612B2B" w:rsidTr="005859F7">
        <w:tc>
          <w:tcPr>
            <w:tcW w:w="1140" w:type="dxa"/>
          </w:tcPr>
          <w:p w:rsidR="007029C1" w:rsidRPr="00612B2B" w:rsidRDefault="007029C1" w:rsidP="005859F7">
            <w:pPr>
              <w:spacing w:before="180" w:after="100"/>
              <w:ind w:left="57"/>
              <w:rPr>
                <w:b/>
                <w:bCs/>
                <w:sz w:val="20"/>
                <w:lang w:val="es-ES_tradnl"/>
              </w:rPr>
            </w:pPr>
            <w:r w:rsidRPr="00612B2B">
              <w:rPr>
                <w:b/>
                <w:bCs/>
                <w:sz w:val="20"/>
                <w:lang w:val="es-ES_tradnl"/>
              </w:rPr>
              <w:t>Series</w:t>
            </w:r>
          </w:p>
        </w:tc>
        <w:tc>
          <w:tcPr>
            <w:tcW w:w="8220" w:type="dxa"/>
          </w:tcPr>
          <w:p w:rsidR="007029C1" w:rsidRPr="00612B2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612B2B">
              <w:rPr>
                <w:bCs/>
                <w:sz w:val="20"/>
                <w:lang w:val="es-ES_tradnl"/>
              </w:rPr>
              <w:t>Título</w:t>
            </w:r>
          </w:p>
        </w:tc>
      </w:tr>
      <w:tr w:rsidR="007029C1" w:rsidRPr="00612B2B" w:rsidTr="005859F7">
        <w:tc>
          <w:tcPr>
            <w:tcW w:w="1140" w:type="dxa"/>
            <w:tcBorders>
              <w:bottom w:val="nil"/>
            </w:tcBorders>
          </w:tcPr>
          <w:p w:rsidR="007029C1" w:rsidRPr="00612B2B" w:rsidRDefault="007029C1" w:rsidP="005859F7">
            <w:pPr>
              <w:spacing w:before="30" w:after="30"/>
              <w:ind w:left="57"/>
              <w:jc w:val="left"/>
              <w:rPr>
                <w:b/>
                <w:bCs/>
                <w:sz w:val="20"/>
                <w:lang w:val="es-ES_tradnl"/>
              </w:rPr>
            </w:pPr>
            <w:r w:rsidRPr="00612B2B">
              <w:rPr>
                <w:b/>
                <w:bCs/>
                <w:sz w:val="20"/>
                <w:lang w:val="es-ES_tradnl"/>
              </w:rPr>
              <w:t>BO</w:t>
            </w:r>
          </w:p>
        </w:tc>
        <w:tc>
          <w:tcPr>
            <w:tcW w:w="8220" w:type="dxa"/>
            <w:tcBorders>
              <w:bottom w:val="nil"/>
            </w:tcBorders>
          </w:tcPr>
          <w:p w:rsidR="007029C1" w:rsidRPr="00612B2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612B2B">
              <w:rPr>
                <w:b w:val="0"/>
                <w:bCs/>
                <w:sz w:val="20"/>
                <w:lang w:val="es-ES_tradnl"/>
              </w:rPr>
              <w:t>Distribución por satélite</w:t>
            </w:r>
          </w:p>
        </w:tc>
      </w:tr>
      <w:tr w:rsidR="007029C1" w:rsidRPr="00747339" w:rsidTr="005859F7">
        <w:tc>
          <w:tcPr>
            <w:tcW w:w="1140" w:type="dxa"/>
            <w:tcBorders>
              <w:top w:val="nil"/>
              <w:bottom w:val="nil"/>
            </w:tcBorders>
            <w:shd w:val="clear" w:color="auto" w:fill="auto"/>
          </w:tcPr>
          <w:p w:rsidR="007029C1" w:rsidRPr="00612B2B" w:rsidRDefault="007029C1" w:rsidP="005859F7">
            <w:pPr>
              <w:spacing w:before="30" w:after="30"/>
              <w:ind w:left="57"/>
              <w:jc w:val="left"/>
              <w:rPr>
                <w:rFonts w:hAnsi="Times New Roman Bold"/>
                <w:b/>
                <w:bCs/>
                <w:sz w:val="20"/>
                <w:lang w:val="es-ES_tradnl"/>
              </w:rPr>
            </w:pPr>
            <w:r w:rsidRPr="00612B2B">
              <w:rPr>
                <w:rFonts w:hAnsi="Times New Roman Bold"/>
                <w:b/>
                <w:bCs/>
                <w:sz w:val="20"/>
                <w:lang w:val="es-ES_tradnl"/>
              </w:rPr>
              <w:t>BR</w:t>
            </w:r>
          </w:p>
        </w:tc>
        <w:tc>
          <w:tcPr>
            <w:tcW w:w="8220" w:type="dxa"/>
            <w:tcBorders>
              <w:top w:val="nil"/>
              <w:bottom w:val="nil"/>
            </w:tcBorders>
            <w:shd w:val="clear" w:color="auto" w:fill="auto"/>
          </w:tcPr>
          <w:p w:rsidR="007029C1" w:rsidRPr="00612B2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12B2B">
              <w:rPr>
                <w:b w:val="0"/>
                <w:sz w:val="20"/>
                <w:lang w:val="es-ES_tradnl"/>
              </w:rPr>
              <w:t>Registro para producción, archivo y reproducción; películas en televisión</w:t>
            </w:r>
          </w:p>
        </w:tc>
      </w:tr>
      <w:tr w:rsidR="007029C1" w:rsidRPr="00612B2B" w:rsidTr="005859F7">
        <w:tc>
          <w:tcPr>
            <w:tcW w:w="1140" w:type="dxa"/>
            <w:tcBorders>
              <w:top w:val="nil"/>
              <w:bottom w:val="nil"/>
            </w:tcBorders>
          </w:tcPr>
          <w:p w:rsidR="007029C1" w:rsidRPr="00612B2B" w:rsidRDefault="007029C1" w:rsidP="005859F7">
            <w:pPr>
              <w:spacing w:before="30" w:after="30"/>
              <w:ind w:left="57"/>
              <w:jc w:val="left"/>
              <w:rPr>
                <w:b/>
                <w:bCs/>
                <w:sz w:val="20"/>
                <w:lang w:val="es-ES_tradnl"/>
              </w:rPr>
            </w:pPr>
            <w:r w:rsidRPr="00612B2B">
              <w:rPr>
                <w:b/>
                <w:bCs/>
                <w:sz w:val="20"/>
                <w:lang w:val="es-ES_tradnl"/>
              </w:rPr>
              <w:t>BS</w:t>
            </w:r>
          </w:p>
        </w:tc>
        <w:tc>
          <w:tcPr>
            <w:tcW w:w="8220" w:type="dxa"/>
            <w:tcBorders>
              <w:top w:val="nil"/>
              <w:bottom w:val="nil"/>
            </w:tcBorders>
          </w:tcPr>
          <w:p w:rsidR="007029C1" w:rsidRPr="00612B2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612B2B">
              <w:rPr>
                <w:b w:val="0"/>
                <w:bCs/>
                <w:sz w:val="20"/>
                <w:lang w:val="es-ES_tradnl"/>
              </w:rPr>
              <w:t>Servicio de radiodifusión (sonora)</w:t>
            </w:r>
          </w:p>
        </w:tc>
      </w:tr>
      <w:tr w:rsidR="007029C1" w:rsidRPr="00612B2B" w:rsidTr="005859F7">
        <w:tc>
          <w:tcPr>
            <w:tcW w:w="1140" w:type="dxa"/>
            <w:tcBorders>
              <w:top w:val="nil"/>
              <w:bottom w:val="nil"/>
            </w:tcBorders>
            <w:shd w:val="clear" w:color="auto" w:fill="F3F3F3"/>
          </w:tcPr>
          <w:p w:rsidR="007029C1" w:rsidRPr="00612B2B" w:rsidRDefault="007029C1" w:rsidP="005859F7">
            <w:pPr>
              <w:spacing w:before="30" w:after="30"/>
              <w:ind w:left="57"/>
              <w:jc w:val="left"/>
              <w:rPr>
                <w:rFonts w:ascii="Times New Roman Bold" w:hAnsi="Times New Roman Bold" w:cs="Times New Roman Bold"/>
                <w:b/>
                <w:bCs/>
                <w:color w:val="000080"/>
                <w:sz w:val="20"/>
                <w:lang w:val="es-ES_tradnl"/>
              </w:rPr>
            </w:pPr>
            <w:r w:rsidRPr="00612B2B">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7029C1" w:rsidRPr="00612B2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612B2B">
              <w:rPr>
                <w:rFonts w:ascii="Times New Roman Bold" w:hAnsi="Times New Roman Bold" w:cs="Times New Roman Bold"/>
                <w:bCs/>
                <w:color w:val="000080"/>
                <w:sz w:val="20"/>
                <w:lang w:val="es-ES_tradnl"/>
              </w:rPr>
              <w:t>Servicio de radiodifusión (televisión)</w:t>
            </w:r>
          </w:p>
        </w:tc>
      </w:tr>
      <w:tr w:rsidR="007029C1" w:rsidRPr="00612B2B" w:rsidTr="005859F7">
        <w:tc>
          <w:tcPr>
            <w:tcW w:w="1140" w:type="dxa"/>
            <w:tcBorders>
              <w:top w:val="nil"/>
              <w:bottom w:val="nil"/>
            </w:tcBorders>
            <w:shd w:val="clear" w:color="auto" w:fill="auto"/>
          </w:tcPr>
          <w:p w:rsidR="007029C1" w:rsidRPr="00612B2B" w:rsidRDefault="007029C1" w:rsidP="005859F7">
            <w:pPr>
              <w:spacing w:before="30" w:after="30"/>
              <w:ind w:left="57"/>
              <w:jc w:val="left"/>
              <w:rPr>
                <w:b/>
                <w:bCs/>
                <w:sz w:val="20"/>
                <w:lang w:val="es-ES_tradnl"/>
              </w:rPr>
            </w:pPr>
            <w:r w:rsidRPr="00612B2B">
              <w:rPr>
                <w:b/>
                <w:bCs/>
                <w:sz w:val="20"/>
                <w:lang w:val="es-ES_tradnl"/>
              </w:rPr>
              <w:t>F</w:t>
            </w:r>
          </w:p>
        </w:tc>
        <w:tc>
          <w:tcPr>
            <w:tcW w:w="8220" w:type="dxa"/>
            <w:tcBorders>
              <w:top w:val="nil"/>
              <w:bottom w:val="nil"/>
            </w:tcBorders>
            <w:shd w:val="clear" w:color="auto" w:fill="auto"/>
          </w:tcPr>
          <w:p w:rsidR="007029C1" w:rsidRPr="00612B2B" w:rsidRDefault="007029C1" w:rsidP="005859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612B2B">
              <w:rPr>
                <w:bCs/>
                <w:sz w:val="20"/>
                <w:lang w:val="es-ES_tradnl"/>
              </w:rPr>
              <w:t>Servicio fijo</w:t>
            </w:r>
          </w:p>
        </w:tc>
      </w:tr>
      <w:tr w:rsidR="007029C1" w:rsidRPr="00747339" w:rsidTr="005859F7">
        <w:tc>
          <w:tcPr>
            <w:tcW w:w="1140" w:type="dxa"/>
            <w:tcBorders>
              <w:top w:val="nil"/>
              <w:bottom w:val="nil"/>
            </w:tcBorders>
            <w:shd w:val="clear" w:color="auto" w:fill="auto"/>
          </w:tcPr>
          <w:p w:rsidR="007029C1" w:rsidRPr="00612B2B" w:rsidRDefault="007029C1" w:rsidP="005859F7">
            <w:pPr>
              <w:spacing w:before="30" w:after="30"/>
              <w:ind w:left="57"/>
              <w:jc w:val="left"/>
              <w:rPr>
                <w:rFonts w:hAnsi="Times New Roman Bold"/>
                <w:b/>
                <w:bCs/>
                <w:sz w:val="20"/>
                <w:lang w:val="es-ES_tradnl"/>
              </w:rPr>
            </w:pPr>
            <w:r w:rsidRPr="00612B2B">
              <w:rPr>
                <w:rFonts w:hAnsi="Times New Roman Bold"/>
                <w:b/>
                <w:bCs/>
                <w:sz w:val="20"/>
                <w:lang w:val="es-ES_tradnl"/>
              </w:rPr>
              <w:t>M</w:t>
            </w:r>
          </w:p>
        </w:tc>
        <w:tc>
          <w:tcPr>
            <w:tcW w:w="8220" w:type="dxa"/>
            <w:tcBorders>
              <w:top w:val="nil"/>
              <w:bottom w:val="nil"/>
            </w:tcBorders>
            <w:shd w:val="clear" w:color="auto" w:fill="auto"/>
          </w:tcPr>
          <w:p w:rsidR="007029C1" w:rsidRPr="00612B2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612B2B">
              <w:rPr>
                <w:rFonts w:hAnsi="Times New Roman Bold"/>
                <w:b w:val="0"/>
                <w:sz w:val="20"/>
                <w:lang w:val="es-ES_tradnl"/>
              </w:rPr>
              <w:t>Servicios m</w:t>
            </w:r>
            <w:r w:rsidRPr="00612B2B">
              <w:rPr>
                <w:rFonts w:hAnsi="Times New Roman Bold"/>
                <w:b w:val="0"/>
                <w:sz w:val="20"/>
                <w:lang w:val="es-ES_tradnl"/>
              </w:rPr>
              <w:t>ó</w:t>
            </w:r>
            <w:r w:rsidRPr="00612B2B">
              <w:rPr>
                <w:rFonts w:hAnsi="Times New Roman Bold"/>
                <w:b w:val="0"/>
                <w:sz w:val="20"/>
                <w:lang w:val="es-ES_tradnl"/>
              </w:rPr>
              <w:t>viles, de radiodeterminaci</w:t>
            </w:r>
            <w:r w:rsidRPr="00612B2B">
              <w:rPr>
                <w:rFonts w:hAnsi="Times New Roman Bold"/>
                <w:b w:val="0"/>
                <w:sz w:val="20"/>
                <w:lang w:val="es-ES_tradnl"/>
              </w:rPr>
              <w:t>ó</w:t>
            </w:r>
            <w:r w:rsidRPr="00612B2B">
              <w:rPr>
                <w:rFonts w:hAnsi="Times New Roman Bold"/>
                <w:b w:val="0"/>
                <w:sz w:val="20"/>
                <w:lang w:val="es-ES_tradnl"/>
              </w:rPr>
              <w:t>n, de aficionados y otros servicios por sat</w:t>
            </w:r>
            <w:r w:rsidRPr="00612B2B">
              <w:rPr>
                <w:rFonts w:hAnsi="Times New Roman Bold"/>
                <w:b w:val="0"/>
                <w:sz w:val="20"/>
                <w:lang w:val="es-ES_tradnl"/>
              </w:rPr>
              <w:t>é</w:t>
            </w:r>
            <w:r w:rsidRPr="00612B2B">
              <w:rPr>
                <w:rFonts w:hAnsi="Times New Roman Bold"/>
                <w:b w:val="0"/>
                <w:sz w:val="20"/>
                <w:lang w:val="es-ES_tradnl"/>
              </w:rPr>
              <w:t>lite conexos</w:t>
            </w:r>
          </w:p>
        </w:tc>
      </w:tr>
      <w:tr w:rsidR="007029C1" w:rsidRPr="00747339" w:rsidTr="005859F7">
        <w:tc>
          <w:tcPr>
            <w:tcW w:w="1140" w:type="dxa"/>
            <w:tcBorders>
              <w:top w:val="nil"/>
            </w:tcBorders>
          </w:tcPr>
          <w:p w:rsidR="007029C1" w:rsidRPr="00612B2B" w:rsidRDefault="007029C1" w:rsidP="005859F7">
            <w:pPr>
              <w:spacing w:before="30" w:after="30"/>
              <w:ind w:left="57"/>
              <w:jc w:val="left"/>
              <w:rPr>
                <w:b/>
                <w:bCs/>
                <w:sz w:val="20"/>
                <w:lang w:val="es-ES_tradnl"/>
              </w:rPr>
            </w:pPr>
            <w:r w:rsidRPr="00612B2B">
              <w:rPr>
                <w:b/>
                <w:bCs/>
                <w:sz w:val="20"/>
                <w:lang w:val="es-ES_tradnl"/>
              </w:rPr>
              <w:t>P</w:t>
            </w:r>
          </w:p>
        </w:tc>
        <w:tc>
          <w:tcPr>
            <w:tcW w:w="8220" w:type="dxa"/>
            <w:tcBorders>
              <w:top w:val="nil"/>
            </w:tcBorders>
          </w:tcPr>
          <w:p w:rsidR="007029C1" w:rsidRPr="00612B2B" w:rsidRDefault="007029C1" w:rsidP="005859F7">
            <w:pPr>
              <w:spacing w:before="30" w:after="30"/>
              <w:jc w:val="left"/>
              <w:rPr>
                <w:bCs/>
                <w:sz w:val="20"/>
                <w:lang w:val="es-ES_tradnl"/>
              </w:rPr>
            </w:pPr>
            <w:r w:rsidRPr="00612B2B">
              <w:rPr>
                <w:bCs/>
                <w:sz w:val="20"/>
                <w:lang w:val="es-ES_tradnl"/>
              </w:rPr>
              <w:t>Propagación de las ondas radioeléctricas</w:t>
            </w:r>
          </w:p>
        </w:tc>
      </w:tr>
      <w:tr w:rsidR="007029C1" w:rsidRPr="00612B2B" w:rsidTr="005859F7">
        <w:tc>
          <w:tcPr>
            <w:tcW w:w="1140" w:type="dxa"/>
          </w:tcPr>
          <w:p w:rsidR="007029C1" w:rsidRPr="00612B2B" w:rsidRDefault="007029C1" w:rsidP="005859F7">
            <w:pPr>
              <w:spacing w:before="30" w:after="30"/>
              <w:ind w:left="57"/>
              <w:jc w:val="left"/>
              <w:rPr>
                <w:b/>
                <w:bCs/>
                <w:sz w:val="20"/>
                <w:lang w:val="es-ES_tradnl"/>
              </w:rPr>
            </w:pPr>
            <w:r w:rsidRPr="00612B2B">
              <w:rPr>
                <w:b/>
                <w:bCs/>
                <w:sz w:val="20"/>
                <w:lang w:val="es-ES_tradnl"/>
              </w:rPr>
              <w:t>RA</w:t>
            </w:r>
          </w:p>
        </w:tc>
        <w:tc>
          <w:tcPr>
            <w:tcW w:w="8220" w:type="dxa"/>
          </w:tcPr>
          <w:p w:rsidR="007029C1" w:rsidRPr="00612B2B" w:rsidRDefault="007029C1" w:rsidP="005859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612B2B">
              <w:rPr>
                <w:bCs/>
                <w:sz w:val="20"/>
                <w:lang w:val="es-ES_tradnl"/>
              </w:rPr>
              <w:t>Radioastronomía</w:t>
            </w:r>
          </w:p>
        </w:tc>
      </w:tr>
      <w:tr w:rsidR="007029C1" w:rsidRPr="00747339" w:rsidTr="005859F7">
        <w:tc>
          <w:tcPr>
            <w:tcW w:w="1140" w:type="dxa"/>
          </w:tcPr>
          <w:p w:rsidR="007029C1" w:rsidRPr="00612B2B" w:rsidRDefault="007029C1" w:rsidP="005859F7">
            <w:pPr>
              <w:spacing w:before="30" w:after="30"/>
              <w:ind w:left="57"/>
              <w:jc w:val="left"/>
              <w:rPr>
                <w:b/>
                <w:bCs/>
                <w:sz w:val="20"/>
                <w:lang w:val="es-ES_tradnl"/>
              </w:rPr>
            </w:pPr>
            <w:r w:rsidRPr="00612B2B">
              <w:rPr>
                <w:b/>
                <w:bCs/>
                <w:sz w:val="20"/>
                <w:lang w:val="es-ES_tradnl"/>
              </w:rPr>
              <w:t>RS</w:t>
            </w:r>
          </w:p>
        </w:tc>
        <w:tc>
          <w:tcPr>
            <w:tcW w:w="8220" w:type="dxa"/>
          </w:tcPr>
          <w:p w:rsidR="007029C1" w:rsidRPr="00612B2B" w:rsidRDefault="007029C1" w:rsidP="005859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612B2B">
              <w:rPr>
                <w:bCs/>
                <w:sz w:val="20"/>
                <w:lang w:val="es-ES_tradnl"/>
              </w:rPr>
              <w:t>Sistemas de detección a distancia</w:t>
            </w:r>
          </w:p>
        </w:tc>
      </w:tr>
      <w:tr w:rsidR="007029C1" w:rsidRPr="00612B2B" w:rsidTr="005859F7">
        <w:tc>
          <w:tcPr>
            <w:tcW w:w="1140" w:type="dxa"/>
          </w:tcPr>
          <w:p w:rsidR="007029C1" w:rsidRPr="00612B2B" w:rsidRDefault="007029C1" w:rsidP="005859F7">
            <w:pPr>
              <w:spacing w:before="30" w:after="30"/>
              <w:ind w:left="57"/>
              <w:jc w:val="left"/>
              <w:rPr>
                <w:b/>
                <w:bCs/>
                <w:sz w:val="20"/>
                <w:lang w:val="es-ES_tradnl"/>
              </w:rPr>
            </w:pPr>
            <w:r w:rsidRPr="00612B2B">
              <w:rPr>
                <w:b/>
                <w:bCs/>
                <w:sz w:val="20"/>
                <w:lang w:val="es-ES_tradnl"/>
              </w:rPr>
              <w:t>S</w:t>
            </w:r>
          </w:p>
        </w:tc>
        <w:tc>
          <w:tcPr>
            <w:tcW w:w="8220" w:type="dxa"/>
          </w:tcPr>
          <w:p w:rsidR="007029C1" w:rsidRPr="00612B2B" w:rsidRDefault="007029C1" w:rsidP="005859F7">
            <w:pPr>
              <w:spacing w:before="30" w:after="30"/>
              <w:jc w:val="left"/>
              <w:rPr>
                <w:bCs/>
                <w:sz w:val="20"/>
                <w:lang w:val="es-ES_tradnl"/>
              </w:rPr>
            </w:pPr>
            <w:r w:rsidRPr="00612B2B">
              <w:rPr>
                <w:bCs/>
                <w:sz w:val="20"/>
                <w:lang w:val="es-ES_tradnl"/>
              </w:rPr>
              <w:t>Servicio fijo por satélite</w:t>
            </w:r>
          </w:p>
        </w:tc>
      </w:tr>
      <w:tr w:rsidR="007029C1" w:rsidRPr="00612B2B" w:rsidTr="005859F7">
        <w:tc>
          <w:tcPr>
            <w:tcW w:w="1140" w:type="dxa"/>
          </w:tcPr>
          <w:p w:rsidR="007029C1" w:rsidRPr="00612B2B" w:rsidRDefault="007029C1" w:rsidP="005859F7">
            <w:pPr>
              <w:spacing w:before="30" w:after="30"/>
              <w:ind w:left="57"/>
              <w:jc w:val="left"/>
              <w:rPr>
                <w:b/>
                <w:bCs/>
                <w:sz w:val="20"/>
                <w:lang w:val="es-ES_tradnl"/>
              </w:rPr>
            </w:pPr>
            <w:r w:rsidRPr="00612B2B">
              <w:rPr>
                <w:b/>
                <w:bCs/>
                <w:sz w:val="20"/>
                <w:lang w:val="es-ES_tradnl"/>
              </w:rPr>
              <w:t>SA</w:t>
            </w:r>
          </w:p>
        </w:tc>
        <w:tc>
          <w:tcPr>
            <w:tcW w:w="8220" w:type="dxa"/>
          </w:tcPr>
          <w:p w:rsidR="007029C1" w:rsidRPr="00612B2B" w:rsidRDefault="007029C1" w:rsidP="005859F7">
            <w:pPr>
              <w:spacing w:before="30" w:after="30"/>
              <w:jc w:val="left"/>
              <w:rPr>
                <w:bCs/>
                <w:sz w:val="20"/>
                <w:lang w:val="es-ES_tradnl"/>
              </w:rPr>
            </w:pPr>
            <w:r w:rsidRPr="00612B2B">
              <w:rPr>
                <w:bCs/>
                <w:sz w:val="20"/>
                <w:lang w:val="es-ES_tradnl"/>
              </w:rPr>
              <w:t>Aplicaciones espaciales y meteorología</w:t>
            </w:r>
          </w:p>
        </w:tc>
      </w:tr>
      <w:tr w:rsidR="007029C1" w:rsidRPr="00747339" w:rsidTr="005859F7">
        <w:tc>
          <w:tcPr>
            <w:tcW w:w="1140" w:type="dxa"/>
          </w:tcPr>
          <w:p w:rsidR="007029C1" w:rsidRPr="00612B2B" w:rsidRDefault="007029C1" w:rsidP="005859F7">
            <w:pPr>
              <w:spacing w:before="30" w:after="30"/>
              <w:ind w:left="57"/>
              <w:jc w:val="left"/>
              <w:rPr>
                <w:b/>
                <w:bCs/>
                <w:sz w:val="20"/>
                <w:lang w:val="es-ES_tradnl"/>
              </w:rPr>
            </w:pPr>
            <w:r w:rsidRPr="00612B2B">
              <w:rPr>
                <w:b/>
                <w:bCs/>
                <w:sz w:val="20"/>
                <w:lang w:val="es-ES_tradnl"/>
              </w:rPr>
              <w:t>SF</w:t>
            </w:r>
          </w:p>
        </w:tc>
        <w:tc>
          <w:tcPr>
            <w:tcW w:w="8220" w:type="dxa"/>
          </w:tcPr>
          <w:p w:rsidR="007029C1" w:rsidRPr="00612B2B" w:rsidRDefault="007029C1" w:rsidP="005859F7">
            <w:pPr>
              <w:spacing w:before="30" w:after="30"/>
              <w:jc w:val="left"/>
              <w:rPr>
                <w:bCs/>
                <w:sz w:val="20"/>
                <w:lang w:val="es-ES_tradnl"/>
              </w:rPr>
            </w:pPr>
            <w:r w:rsidRPr="00612B2B">
              <w:rPr>
                <w:bCs/>
                <w:sz w:val="20"/>
                <w:lang w:val="es-ES_tradnl"/>
              </w:rPr>
              <w:t>Compartición de frecuencias y coordinación entre los sistemas del servicio fijo por satélite y del servicio fijo</w:t>
            </w:r>
          </w:p>
        </w:tc>
      </w:tr>
      <w:tr w:rsidR="007029C1" w:rsidRPr="00612B2B" w:rsidTr="005859F7">
        <w:tc>
          <w:tcPr>
            <w:tcW w:w="1140" w:type="dxa"/>
            <w:shd w:val="clear" w:color="auto" w:fill="auto"/>
          </w:tcPr>
          <w:p w:rsidR="007029C1" w:rsidRPr="00612B2B" w:rsidRDefault="007029C1" w:rsidP="005859F7">
            <w:pPr>
              <w:spacing w:before="30" w:after="30"/>
              <w:ind w:left="57"/>
              <w:jc w:val="left"/>
              <w:rPr>
                <w:b/>
                <w:bCs/>
                <w:sz w:val="20"/>
                <w:lang w:val="es-ES_tradnl"/>
              </w:rPr>
            </w:pPr>
            <w:r w:rsidRPr="00612B2B">
              <w:rPr>
                <w:b/>
                <w:bCs/>
                <w:sz w:val="20"/>
                <w:lang w:val="es-ES_tradnl"/>
              </w:rPr>
              <w:t>SM</w:t>
            </w:r>
          </w:p>
        </w:tc>
        <w:tc>
          <w:tcPr>
            <w:tcW w:w="8220" w:type="dxa"/>
            <w:shd w:val="clear" w:color="auto" w:fill="auto"/>
          </w:tcPr>
          <w:p w:rsidR="007029C1" w:rsidRPr="00612B2B" w:rsidRDefault="007029C1" w:rsidP="005859F7">
            <w:pPr>
              <w:spacing w:before="30" w:after="30"/>
              <w:jc w:val="left"/>
              <w:rPr>
                <w:sz w:val="20"/>
                <w:lang w:val="es-ES_tradnl"/>
              </w:rPr>
            </w:pPr>
            <w:r w:rsidRPr="00612B2B">
              <w:rPr>
                <w:sz w:val="20"/>
                <w:lang w:val="es-ES_tradnl"/>
              </w:rPr>
              <w:t>Gestión del espectro</w:t>
            </w:r>
          </w:p>
        </w:tc>
      </w:tr>
      <w:tr w:rsidR="007029C1" w:rsidRPr="00612B2B" w:rsidTr="005859F7">
        <w:tc>
          <w:tcPr>
            <w:tcW w:w="1140" w:type="dxa"/>
          </w:tcPr>
          <w:p w:rsidR="007029C1" w:rsidRPr="00612B2B" w:rsidRDefault="007029C1" w:rsidP="005859F7">
            <w:pPr>
              <w:spacing w:before="30" w:after="30"/>
              <w:ind w:left="57"/>
              <w:jc w:val="left"/>
              <w:rPr>
                <w:b/>
                <w:bCs/>
                <w:sz w:val="20"/>
                <w:lang w:val="es-ES_tradnl"/>
              </w:rPr>
            </w:pPr>
            <w:r w:rsidRPr="00612B2B">
              <w:rPr>
                <w:b/>
                <w:bCs/>
                <w:sz w:val="20"/>
                <w:lang w:val="es-ES_tradnl"/>
              </w:rPr>
              <w:t>SNG</w:t>
            </w:r>
          </w:p>
        </w:tc>
        <w:tc>
          <w:tcPr>
            <w:tcW w:w="8220" w:type="dxa"/>
          </w:tcPr>
          <w:p w:rsidR="007029C1" w:rsidRPr="00612B2B" w:rsidRDefault="007029C1" w:rsidP="005859F7">
            <w:pPr>
              <w:spacing w:before="30" w:after="30"/>
              <w:jc w:val="left"/>
              <w:rPr>
                <w:bCs/>
                <w:sz w:val="20"/>
                <w:lang w:val="es-ES_tradnl"/>
              </w:rPr>
            </w:pPr>
            <w:r w:rsidRPr="00612B2B">
              <w:rPr>
                <w:bCs/>
                <w:sz w:val="20"/>
                <w:lang w:val="es-ES_tradnl"/>
              </w:rPr>
              <w:t>Periodismo electrónico por satélite</w:t>
            </w:r>
          </w:p>
        </w:tc>
      </w:tr>
      <w:tr w:rsidR="007029C1" w:rsidRPr="00747339" w:rsidTr="005859F7">
        <w:tc>
          <w:tcPr>
            <w:tcW w:w="1140" w:type="dxa"/>
          </w:tcPr>
          <w:p w:rsidR="007029C1" w:rsidRPr="00612B2B" w:rsidRDefault="007029C1" w:rsidP="005859F7">
            <w:pPr>
              <w:spacing w:before="30" w:after="30"/>
              <w:ind w:left="57"/>
              <w:jc w:val="left"/>
              <w:rPr>
                <w:b/>
                <w:bCs/>
                <w:sz w:val="20"/>
                <w:lang w:val="es-ES_tradnl"/>
              </w:rPr>
            </w:pPr>
            <w:r w:rsidRPr="00612B2B">
              <w:rPr>
                <w:b/>
                <w:bCs/>
                <w:sz w:val="20"/>
                <w:lang w:val="es-ES_tradnl"/>
              </w:rPr>
              <w:t>TF</w:t>
            </w:r>
          </w:p>
        </w:tc>
        <w:tc>
          <w:tcPr>
            <w:tcW w:w="8220" w:type="dxa"/>
          </w:tcPr>
          <w:p w:rsidR="007029C1" w:rsidRPr="00612B2B" w:rsidRDefault="007029C1" w:rsidP="005859F7">
            <w:pPr>
              <w:spacing w:before="30" w:after="30"/>
              <w:jc w:val="left"/>
              <w:rPr>
                <w:bCs/>
                <w:sz w:val="20"/>
                <w:lang w:val="es-ES_tradnl"/>
              </w:rPr>
            </w:pPr>
            <w:r w:rsidRPr="00612B2B">
              <w:rPr>
                <w:bCs/>
                <w:sz w:val="20"/>
                <w:lang w:val="es-ES_tradnl"/>
              </w:rPr>
              <w:t>Emisiones de frecuencias patrón y señales horarias</w:t>
            </w:r>
          </w:p>
        </w:tc>
      </w:tr>
      <w:tr w:rsidR="007029C1" w:rsidRPr="00612B2B" w:rsidTr="005859F7">
        <w:tc>
          <w:tcPr>
            <w:tcW w:w="1140" w:type="dxa"/>
          </w:tcPr>
          <w:p w:rsidR="007029C1" w:rsidRPr="00612B2B" w:rsidRDefault="007029C1" w:rsidP="005859F7">
            <w:pPr>
              <w:spacing w:before="30" w:after="30"/>
              <w:ind w:left="57"/>
              <w:jc w:val="left"/>
              <w:rPr>
                <w:b/>
                <w:bCs/>
                <w:sz w:val="20"/>
                <w:lang w:val="es-ES_tradnl"/>
              </w:rPr>
            </w:pPr>
            <w:r w:rsidRPr="00612B2B">
              <w:rPr>
                <w:b/>
                <w:bCs/>
                <w:sz w:val="20"/>
                <w:lang w:val="es-ES_tradnl"/>
              </w:rPr>
              <w:t>V</w:t>
            </w:r>
          </w:p>
        </w:tc>
        <w:tc>
          <w:tcPr>
            <w:tcW w:w="8220" w:type="dxa"/>
          </w:tcPr>
          <w:p w:rsidR="007029C1" w:rsidRPr="00612B2B" w:rsidRDefault="007029C1" w:rsidP="005859F7">
            <w:pPr>
              <w:spacing w:before="30" w:after="140"/>
              <w:jc w:val="left"/>
              <w:rPr>
                <w:bCs/>
                <w:sz w:val="20"/>
                <w:lang w:val="es-ES_tradnl"/>
              </w:rPr>
            </w:pPr>
            <w:r w:rsidRPr="00612B2B">
              <w:rPr>
                <w:bCs/>
                <w:sz w:val="20"/>
                <w:lang w:val="es-ES_tradnl"/>
              </w:rPr>
              <w:t>Vocabulario y cuestiones afines</w:t>
            </w:r>
          </w:p>
        </w:tc>
      </w:tr>
    </w:tbl>
    <w:p w:rsidR="007029C1" w:rsidRPr="00612B2B" w:rsidRDefault="007029C1" w:rsidP="007029C1">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7029C1" w:rsidRPr="00612B2B" w:rsidTr="005859F7">
        <w:tc>
          <w:tcPr>
            <w:tcW w:w="720" w:type="dxa"/>
          </w:tcPr>
          <w:p w:rsidR="007029C1" w:rsidRPr="00612B2B" w:rsidRDefault="007029C1" w:rsidP="005859F7">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029C1" w:rsidRPr="00747339" w:rsidTr="005859F7">
        <w:tc>
          <w:tcPr>
            <w:tcW w:w="9360" w:type="dxa"/>
          </w:tcPr>
          <w:p w:rsidR="007029C1" w:rsidRPr="00612B2B" w:rsidRDefault="007029C1" w:rsidP="005859F7">
            <w:pPr>
              <w:spacing w:before="92" w:after="92"/>
              <w:jc w:val="left"/>
              <w:rPr>
                <w:i/>
                <w:iCs/>
                <w:sz w:val="20"/>
                <w:lang w:val="es-ES_tradnl"/>
              </w:rPr>
            </w:pPr>
            <w:r w:rsidRPr="00612B2B">
              <w:rPr>
                <w:b/>
                <w:bCs/>
                <w:i/>
                <w:iCs/>
                <w:sz w:val="20"/>
                <w:lang w:val="es-ES_tradnl"/>
              </w:rPr>
              <w:t>Nota</w:t>
            </w:r>
            <w:r w:rsidRPr="00612B2B">
              <w:rPr>
                <w:i/>
                <w:iCs/>
                <w:sz w:val="20"/>
                <w:lang w:val="es-ES_tradnl"/>
              </w:rPr>
              <w:t xml:space="preserve">: Esta Recomendación UIT-R fue aprobada en inglés conforme al procedimiento detallado en la </w:t>
            </w:r>
            <w:r w:rsidRPr="00612B2B">
              <w:rPr>
                <w:i/>
                <w:iCs/>
                <w:sz w:val="20"/>
                <w:lang w:val="es-ES_tradnl"/>
              </w:rPr>
              <w:br/>
              <w:t>Resolución UIT-R 1.</w:t>
            </w:r>
          </w:p>
        </w:tc>
      </w:tr>
    </w:tbl>
    <w:p w:rsidR="007029C1" w:rsidRPr="00612B2B" w:rsidRDefault="007029C1" w:rsidP="007029C1">
      <w:pPr>
        <w:spacing w:before="0"/>
        <w:jc w:val="center"/>
        <w:rPr>
          <w:sz w:val="22"/>
          <w:lang w:val="es-ES_tradnl"/>
        </w:rPr>
      </w:pPr>
    </w:p>
    <w:p w:rsidR="007029C1" w:rsidRPr="00612B2B" w:rsidRDefault="007029C1" w:rsidP="007029C1">
      <w:pPr>
        <w:spacing w:before="60"/>
        <w:jc w:val="right"/>
        <w:rPr>
          <w:i/>
          <w:iCs/>
          <w:sz w:val="20"/>
          <w:lang w:val="es-ES_tradnl"/>
        </w:rPr>
      </w:pPr>
      <w:r w:rsidRPr="00612B2B">
        <w:rPr>
          <w:i/>
          <w:iCs/>
          <w:sz w:val="20"/>
          <w:lang w:val="es-ES_tradnl"/>
        </w:rPr>
        <w:t>Publicación electrónica</w:t>
      </w:r>
    </w:p>
    <w:p w:rsidR="007029C1" w:rsidRPr="00612B2B" w:rsidRDefault="007029C1" w:rsidP="007029C1">
      <w:pPr>
        <w:spacing w:before="0" w:after="40"/>
        <w:jc w:val="right"/>
        <w:rPr>
          <w:sz w:val="20"/>
          <w:lang w:val="es-ES_tradnl"/>
        </w:rPr>
      </w:pPr>
      <w:r w:rsidRPr="00612B2B">
        <w:rPr>
          <w:sz w:val="20"/>
          <w:lang w:val="es-ES_tradnl"/>
        </w:rPr>
        <w:t>Ginebra, 2015</w:t>
      </w:r>
    </w:p>
    <w:p w:rsidR="007029C1" w:rsidRPr="00612B2B" w:rsidRDefault="007029C1" w:rsidP="007029C1">
      <w:pPr>
        <w:spacing w:before="0"/>
        <w:jc w:val="center"/>
        <w:rPr>
          <w:sz w:val="22"/>
          <w:lang w:val="es-ES_tradnl"/>
        </w:rPr>
      </w:pPr>
    </w:p>
    <w:p w:rsidR="007029C1" w:rsidRPr="00612B2B" w:rsidRDefault="007029C1" w:rsidP="007029C1">
      <w:pPr>
        <w:spacing w:before="0"/>
        <w:jc w:val="center"/>
        <w:rPr>
          <w:sz w:val="20"/>
          <w:lang w:val="es-ES_tradnl"/>
        </w:rPr>
      </w:pPr>
      <w:r w:rsidRPr="00612B2B">
        <w:rPr>
          <w:sz w:val="20"/>
          <w:lang w:val="es-ES_tradnl"/>
        </w:rPr>
        <w:sym w:font="Symbol" w:char="F0E3"/>
      </w:r>
      <w:r w:rsidRPr="00612B2B">
        <w:rPr>
          <w:sz w:val="20"/>
          <w:lang w:val="es-ES_tradnl"/>
        </w:rPr>
        <w:t xml:space="preserve"> UIT </w:t>
      </w:r>
      <w:bookmarkStart w:id="2" w:name="iiannee"/>
      <w:bookmarkEnd w:id="2"/>
      <w:r w:rsidRPr="00612B2B">
        <w:rPr>
          <w:sz w:val="20"/>
          <w:lang w:val="es-ES_tradnl"/>
        </w:rPr>
        <w:t>2015</w:t>
      </w:r>
    </w:p>
    <w:p w:rsidR="007029C1" w:rsidRPr="00612B2B" w:rsidRDefault="007029C1" w:rsidP="007029C1">
      <w:pPr>
        <w:spacing w:before="80"/>
        <w:rPr>
          <w:sz w:val="18"/>
          <w:szCs w:val="18"/>
          <w:lang w:val="es-ES_tradnl"/>
        </w:rPr>
      </w:pPr>
      <w:r w:rsidRPr="00612B2B">
        <w:rPr>
          <w:sz w:val="18"/>
          <w:szCs w:val="18"/>
          <w:lang w:val="es-ES_tradnl"/>
        </w:rPr>
        <w:t>Reservados todos los derechos. Ninguna parte de esta publicación puede reproducirse por ningún procedimiento sin previa autorización escrita por parte de la UIT.</w:t>
      </w:r>
    </w:p>
    <w:p w:rsidR="007029C1" w:rsidRPr="00612B2B" w:rsidRDefault="007029C1" w:rsidP="007029C1">
      <w:pPr>
        <w:spacing w:before="160"/>
        <w:rPr>
          <w:i/>
          <w:sz w:val="20"/>
          <w:highlight w:val="yellow"/>
          <w:lang w:val="es-ES_tradnl"/>
        </w:rPr>
        <w:sectPr w:rsidR="007029C1" w:rsidRPr="00612B2B" w:rsidSect="009E1F8B">
          <w:headerReference w:type="even" r:id="rId11"/>
          <w:headerReference w:type="default" r:id="rId12"/>
          <w:pgSz w:w="11907" w:h="16834" w:code="9"/>
          <w:pgMar w:top="1418" w:right="1134" w:bottom="1134" w:left="1134" w:header="720" w:footer="482" w:gutter="0"/>
          <w:pgNumType w:fmt="lowerRoman" w:start="2"/>
          <w:cols w:space="720"/>
        </w:sectPr>
      </w:pPr>
    </w:p>
    <w:p w:rsidR="007029C1" w:rsidRPr="00612B2B" w:rsidRDefault="007029C1" w:rsidP="007029C1">
      <w:pPr>
        <w:pStyle w:val="RecNo"/>
        <w:spacing w:before="0"/>
        <w:rPr>
          <w:lang w:val="es-ES_tradnl"/>
        </w:rPr>
      </w:pPr>
      <w:bookmarkStart w:id="3" w:name="irecnoe"/>
      <w:bookmarkEnd w:id="3"/>
      <w:r w:rsidRPr="00612B2B">
        <w:rPr>
          <w:lang w:val="es-ES_tradnl"/>
        </w:rPr>
        <w:lastRenderedPageBreak/>
        <w:t xml:space="preserve">RECOMENDACIÓN  </w:t>
      </w:r>
      <w:r w:rsidRPr="00612B2B">
        <w:rPr>
          <w:rStyle w:val="href"/>
          <w:lang w:val="es-ES_tradnl"/>
        </w:rPr>
        <w:t>UIT-R  BT.2056-0</w:t>
      </w:r>
    </w:p>
    <w:p w:rsidR="007029C1" w:rsidRPr="00612B2B" w:rsidRDefault="007029C1" w:rsidP="002F3A42">
      <w:pPr>
        <w:pStyle w:val="Rectitle"/>
        <w:rPr>
          <w:lang w:val="es-ES_tradnl" w:eastAsia="zh-CN"/>
        </w:rPr>
      </w:pPr>
      <w:r w:rsidRPr="00612B2B">
        <w:rPr>
          <w:bCs/>
          <w:lang w:val="es-ES_tradnl" w:eastAsia="zh-CN"/>
        </w:rPr>
        <w:t>Directrices de alto nivel para el intercambio internacional</w:t>
      </w:r>
      <w:r w:rsidR="002F3A42" w:rsidRPr="00612B2B">
        <w:rPr>
          <w:bCs/>
          <w:lang w:val="es-ES_tradnl" w:eastAsia="zh-CN"/>
        </w:rPr>
        <w:br/>
      </w:r>
      <w:r w:rsidRPr="00612B2B">
        <w:rPr>
          <w:bCs/>
          <w:lang w:val="es-ES_tradnl" w:eastAsia="zh-CN"/>
        </w:rPr>
        <w:t>de programas</w:t>
      </w:r>
      <w:r w:rsidR="002F3A42" w:rsidRPr="00612B2B">
        <w:rPr>
          <w:bCs/>
          <w:lang w:val="es-ES_tradnl" w:eastAsia="zh-CN"/>
        </w:rPr>
        <w:t xml:space="preserve"> </w:t>
      </w:r>
      <w:r w:rsidRPr="00612B2B">
        <w:rPr>
          <w:bCs/>
          <w:lang w:val="es-ES_tradnl" w:eastAsia="zh-CN"/>
        </w:rPr>
        <w:t>de TVAD por conexiones IP</w:t>
      </w:r>
      <w:r w:rsidR="002F3A42" w:rsidRPr="00612B2B">
        <w:rPr>
          <w:bCs/>
          <w:lang w:val="es-ES_tradnl" w:eastAsia="zh-CN"/>
        </w:rPr>
        <w:br/>
      </w:r>
      <w:r w:rsidRPr="00612B2B">
        <w:rPr>
          <w:bCs/>
          <w:lang w:val="es-ES_tradnl" w:eastAsia="zh-CN"/>
        </w:rPr>
        <w:t>con fines de contribución</w:t>
      </w:r>
      <w:r w:rsidRPr="00612B2B">
        <w:rPr>
          <w:rStyle w:val="FootnoteReference"/>
          <w:lang w:val="es-ES_tradnl" w:eastAsia="zh-CN"/>
        </w:rPr>
        <w:footnoteReference w:id="1"/>
      </w:r>
    </w:p>
    <w:p w:rsidR="002F3A42" w:rsidRPr="00612B2B" w:rsidRDefault="002F3A42" w:rsidP="002F3A42">
      <w:pPr>
        <w:pStyle w:val="Blanc"/>
        <w:rPr>
          <w:lang w:val="es-ES_tradnl" w:eastAsia="zh-CN"/>
        </w:rPr>
      </w:pPr>
    </w:p>
    <w:p w:rsidR="007029C1" w:rsidRPr="00612B2B" w:rsidRDefault="007029C1" w:rsidP="007029C1">
      <w:pPr>
        <w:pStyle w:val="Recdate"/>
        <w:rPr>
          <w:lang w:val="es-ES_tradnl" w:eastAsia="zh-CN"/>
        </w:rPr>
      </w:pPr>
      <w:r w:rsidRPr="00612B2B">
        <w:rPr>
          <w:lang w:val="es-ES_tradnl" w:eastAsia="zh-CN"/>
        </w:rPr>
        <w:t>(2014)</w:t>
      </w:r>
    </w:p>
    <w:p w:rsidR="002F3A42" w:rsidRPr="00612B2B" w:rsidRDefault="002F3A42" w:rsidP="002F3A42">
      <w:pPr>
        <w:pStyle w:val="Blanc"/>
        <w:rPr>
          <w:lang w:val="es-ES_tradnl" w:eastAsia="zh-CN"/>
        </w:rPr>
      </w:pPr>
    </w:p>
    <w:p w:rsidR="007029C1" w:rsidRPr="00612B2B" w:rsidRDefault="007029C1" w:rsidP="007029C1">
      <w:pPr>
        <w:pStyle w:val="HeadingSum"/>
      </w:pPr>
      <w:r w:rsidRPr="00612B2B">
        <w:t>Cometido</w:t>
      </w:r>
    </w:p>
    <w:p w:rsidR="007029C1" w:rsidRPr="00612B2B" w:rsidRDefault="007029C1" w:rsidP="007029C1">
      <w:pPr>
        <w:pStyle w:val="Summary"/>
      </w:pPr>
      <w:r w:rsidRPr="00612B2B">
        <w:t>En esta Recomendación se especifican directrices de alto nivel aplicables a conexiones IP utilizadas para el intercambio internacional de programas de sonido y televisión con fines de contribución. Cabe esperar que al tratar con proveedores de servicio IP, los requisitos especificados ayuden a seleccionar los métodos de codificación, multiplexación y de transporte para el intercambio de tales programas, así como para normalizar los metadatos adecuados, que se emplean para describir el contenido del programa y los parámetros de transporte IP.</w:t>
      </w:r>
    </w:p>
    <w:p w:rsidR="007029C1" w:rsidRPr="00612B2B" w:rsidRDefault="007029C1" w:rsidP="007029C1">
      <w:pPr>
        <w:pStyle w:val="Normalaftertitle"/>
        <w:rPr>
          <w:lang w:val="es-ES_tradnl"/>
        </w:rPr>
      </w:pPr>
      <w:r w:rsidRPr="00612B2B">
        <w:rPr>
          <w:lang w:val="es-ES_tradnl"/>
        </w:rPr>
        <w:t>La Asamblea de Radiocomunicaciones de la UIT,</w:t>
      </w:r>
    </w:p>
    <w:p w:rsidR="007029C1" w:rsidRPr="00612B2B" w:rsidRDefault="007029C1" w:rsidP="007029C1">
      <w:pPr>
        <w:pStyle w:val="Call"/>
        <w:rPr>
          <w:lang w:val="es-ES_tradnl"/>
        </w:rPr>
      </w:pPr>
      <w:r w:rsidRPr="00612B2B">
        <w:rPr>
          <w:lang w:val="es-ES_tradnl"/>
        </w:rPr>
        <w:t>considerando</w:t>
      </w:r>
    </w:p>
    <w:p w:rsidR="007029C1" w:rsidRPr="00612B2B" w:rsidRDefault="007029C1" w:rsidP="007029C1">
      <w:pPr>
        <w:rPr>
          <w:lang w:val="es-ES_tradnl"/>
        </w:rPr>
      </w:pPr>
      <w:r w:rsidRPr="00612B2B">
        <w:rPr>
          <w:i/>
          <w:iCs/>
          <w:lang w:val="es-ES_tradnl"/>
        </w:rPr>
        <w:t>a)</w:t>
      </w:r>
      <w:r w:rsidRPr="00612B2B">
        <w:rPr>
          <w:lang w:val="es-ES_tradnl"/>
        </w:rPr>
        <w:tab/>
        <w:t>que los organismos y empresas de radiodifusión implicados en la producción y postproducción de programas de televisión están empezando a utilizar conexiones basadas en IP para transportar programas de TVAD entre estudios y para el intercambio internacional de programas;</w:t>
      </w:r>
    </w:p>
    <w:p w:rsidR="007029C1" w:rsidRPr="00612B2B" w:rsidRDefault="007029C1" w:rsidP="007029C1">
      <w:pPr>
        <w:rPr>
          <w:lang w:val="es-ES_tradnl"/>
        </w:rPr>
      </w:pPr>
      <w:r w:rsidRPr="00612B2B">
        <w:rPr>
          <w:i/>
          <w:iCs/>
          <w:lang w:val="es-ES_tradnl"/>
        </w:rPr>
        <w:t>b)</w:t>
      </w:r>
      <w:r w:rsidRPr="00612B2B">
        <w:rPr>
          <w:lang w:val="es-ES_tradnl"/>
        </w:rPr>
        <w:tab/>
        <w:t>que tales transportes se verían facilitados si se especificara para implementarlos un solo método o un pequeño número de métodos alternativos;</w:t>
      </w:r>
    </w:p>
    <w:p w:rsidR="007029C1" w:rsidRDefault="007029C1" w:rsidP="007029C1">
      <w:pPr>
        <w:rPr>
          <w:lang w:val="es-ES_tradnl"/>
        </w:rPr>
      </w:pPr>
      <w:r w:rsidRPr="00612B2B">
        <w:rPr>
          <w:i/>
          <w:iCs/>
          <w:lang w:val="es-ES_tradnl"/>
        </w:rPr>
        <w:t>c)</w:t>
      </w:r>
      <w:r w:rsidRPr="00612B2B">
        <w:rPr>
          <w:lang w:val="es-ES_tradnl"/>
        </w:rPr>
        <w:tab/>
        <w:t>que la elección de los métodos de codificación, multiplexación y transporte que hay que utilizar para esos intercambios debe basarse en el conocimiento de los requisitos de la calidad de funcionamiento que es preciso satisfacer a fin de responder a las necesidades del intercambio internacional de programas radiofónicos y de televisión basado en IP,</w:t>
      </w:r>
    </w:p>
    <w:p w:rsidR="007029C1" w:rsidRPr="00612B2B" w:rsidRDefault="007029C1" w:rsidP="007029C1">
      <w:pPr>
        <w:pStyle w:val="Call"/>
        <w:rPr>
          <w:lang w:val="es-ES_tradnl"/>
        </w:rPr>
      </w:pPr>
      <w:r w:rsidRPr="00612B2B">
        <w:rPr>
          <w:lang w:val="es-ES_tradnl"/>
        </w:rPr>
        <w:t>reconociendo</w:t>
      </w:r>
    </w:p>
    <w:p w:rsidR="007029C1" w:rsidRPr="00612B2B" w:rsidRDefault="007029C1" w:rsidP="007029C1">
      <w:pPr>
        <w:rPr>
          <w:lang w:val="es-ES_tradnl"/>
        </w:rPr>
      </w:pPr>
      <w:r w:rsidRPr="00612B2B">
        <w:rPr>
          <w:lang w:val="es-ES_tradnl"/>
        </w:rPr>
        <w:t>que las especificaciones de los requisitos de calidad de funcionamiento para el transporte de programas radiofónicos y de televisión para el intercambio internacional de programas son responsabilidad de la Comisión de Estudio 6,</w:t>
      </w:r>
    </w:p>
    <w:p w:rsidR="007029C1" w:rsidRPr="00612B2B" w:rsidRDefault="007029C1" w:rsidP="007029C1">
      <w:pPr>
        <w:pStyle w:val="Call"/>
        <w:rPr>
          <w:lang w:val="es-ES_tradnl"/>
        </w:rPr>
      </w:pPr>
      <w:r w:rsidRPr="00612B2B">
        <w:rPr>
          <w:lang w:val="es-ES_tradnl"/>
        </w:rPr>
        <w:t>observando</w:t>
      </w:r>
    </w:p>
    <w:p w:rsidR="007029C1" w:rsidRPr="00612B2B" w:rsidRDefault="007029C1" w:rsidP="007029C1">
      <w:pPr>
        <w:rPr>
          <w:color w:val="000000"/>
          <w:lang w:val="es-ES_tradnl"/>
        </w:rPr>
      </w:pPr>
      <w:r w:rsidRPr="00612B2B">
        <w:rPr>
          <w:lang w:val="es-ES_tradnl"/>
        </w:rPr>
        <w:t xml:space="preserve">que las directrices indicadas en la presente Recomendación tiene por objeto ayudar a los que están considerando el empleo de redes </w:t>
      </w:r>
      <w:r w:rsidRPr="00612B2B">
        <w:rPr>
          <w:color w:val="000000"/>
          <w:lang w:val="es-ES_tradnl"/>
        </w:rPr>
        <w:t>IP</w:t>
      </w:r>
      <w:r w:rsidRPr="00612B2B">
        <w:rPr>
          <w:lang w:val="es-ES_tradnl"/>
        </w:rPr>
        <w:t xml:space="preserve"> para la contribución de programas</w:t>
      </w:r>
      <w:r w:rsidRPr="00612B2B">
        <w:rPr>
          <w:color w:val="000000"/>
          <w:lang w:val="es-ES_tradnl"/>
        </w:rPr>
        <w:t>,</w:t>
      </w:r>
    </w:p>
    <w:p w:rsidR="007029C1" w:rsidRPr="00612B2B" w:rsidRDefault="007029C1" w:rsidP="007029C1">
      <w:pPr>
        <w:pStyle w:val="Call"/>
        <w:rPr>
          <w:lang w:val="es-ES_tradnl"/>
        </w:rPr>
      </w:pPr>
      <w:r w:rsidRPr="00612B2B">
        <w:rPr>
          <w:lang w:val="es-ES_tradnl"/>
        </w:rPr>
        <w:t>observando además</w:t>
      </w:r>
    </w:p>
    <w:p w:rsidR="007029C1" w:rsidRPr="00612B2B" w:rsidRDefault="007029C1" w:rsidP="007029C1">
      <w:pPr>
        <w:rPr>
          <w:lang w:val="es-ES_tradnl"/>
        </w:rPr>
      </w:pPr>
      <w:r w:rsidRPr="00612B2B">
        <w:rPr>
          <w:lang w:val="es-ES_tradnl"/>
        </w:rPr>
        <w:t>que se elaborarán Recomendaciones UIT-R que proporcionen más detalles sobre parámetros tales como el uso de la conversión de la velocidad de datos, la multiplexación, el «envoltorio» y cualquier dato relativo al programa necesario,</w:t>
      </w:r>
    </w:p>
    <w:p w:rsidR="007029C1" w:rsidRPr="00612B2B" w:rsidRDefault="007029C1" w:rsidP="007029C1">
      <w:pPr>
        <w:pStyle w:val="Call"/>
        <w:rPr>
          <w:lang w:val="es-ES_tradnl"/>
        </w:rPr>
      </w:pPr>
      <w:r w:rsidRPr="00612B2B">
        <w:rPr>
          <w:lang w:val="es-ES_tradnl"/>
        </w:rPr>
        <w:lastRenderedPageBreak/>
        <w:t>recomienda</w:t>
      </w:r>
    </w:p>
    <w:p w:rsidR="007029C1" w:rsidRPr="00612B2B" w:rsidRDefault="007029C1" w:rsidP="002F3A42">
      <w:pPr>
        <w:rPr>
          <w:lang w:val="es-ES_tradnl"/>
        </w:rPr>
      </w:pPr>
      <w:r w:rsidRPr="00612B2B">
        <w:rPr>
          <w:lang w:val="es-ES_tradnl"/>
        </w:rPr>
        <w:t>que en la elección de los métodos para codificar, multiplexar y transportar los programas de TVAD sobre redes IP para el intercambio internacional se consideren las directrices indicadas en el Anexo a la presente Recomendación, junto con cualquier requisito que pueda aplicarse debido a circunstancias específicas al programa (por ejemplo, requisitos contractuales específicos al transporte de un programa en particular), a fin de que el proveedor del servicio de red IP entienda claramente los requisitos del organismo de radiodifusión.</w:t>
      </w:r>
    </w:p>
    <w:p w:rsidR="007029C1" w:rsidRPr="00612B2B" w:rsidRDefault="007029C1" w:rsidP="007029C1">
      <w:pPr>
        <w:rPr>
          <w:lang w:val="es-ES_tradnl"/>
        </w:rPr>
      </w:pPr>
    </w:p>
    <w:p w:rsidR="007029C1" w:rsidRDefault="007029C1" w:rsidP="007029C1">
      <w:pPr>
        <w:rPr>
          <w:lang w:val="es-ES_tradnl"/>
        </w:rPr>
      </w:pPr>
    </w:p>
    <w:p w:rsidR="001B5E19" w:rsidRPr="00612B2B" w:rsidRDefault="001B5E19" w:rsidP="007029C1">
      <w:pPr>
        <w:rPr>
          <w:lang w:val="es-ES_tradnl"/>
        </w:rPr>
      </w:pPr>
    </w:p>
    <w:p w:rsidR="007029C1" w:rsidRPr="00612B2B" w:rsidRDefault="007029C1" w:rsidP="002F3A42">
      <w:pPr>
        <w:pStyle w:val="AnnexNoTitle"/>
        <w:rPr>
          <w:lang w:val="es-ES_tradnl"/>
        </w:rPr>
      </w:pPr>
      <w:r w:rsidRPr="00612B2B">
        <w:rPr>
          <w:lang w:val="es-ES_tradnl"/>
        </w:rPr>
        <w:t xml:space="preserve">Anexo </w:t>
      </w:r>
      <w:r w:rsidRPr="00612B2B">
        <w:rPr>
          <w:lang w:val="es-ES_tradnl"/>
        </w:rPr>
        <w:br/>
        <w:t>(normativo)</w:t>
      </w:r>
      <w:r w:rsidRPr="00612B2B">
        <w:rPr>
          <w:lang w:val="es-ES_tradnl"/>
        </w:rPr>
        <w:br/>
      </w:r>
      <w:r w:rsidRPr="00612B2B">
        <w:rPr>
          <w:lang w:val="es-ES_tradnl"/>
        </w:rPr>
        <w:br/>
      </w:r>
      <w:r w:rsidRPr="00612B2B">
        <w:rPr>
          <w:bCs/>
          <w:lang w:val="es-ES_tradnl" w:eastAsia="zh-CN"/>
        </w:rPr>
        <w:t>Directrices de alto nivel para el intercambio internacional</w:t>
      </w:r>
      <w:r w:rsidR="002F3A42" w:rsidRPr="00612B2B">
        <w:rPr>
          <w:bCs/>
          <w:lang w:val="es-ES_tradnl" w:eastAsia="zh-CN"/>
        </w:rPr>
        <w:br/>
      </w:r>
      <w:r w:rsidRPr="00612B2B">
        <w:rPr>
          <w:bCs/>
          <w:lang w:val="es-ES_tradnl" w:eastAsia="zh-CN"/>
        </w:rPr>
        <w:t>de programas de TVAD por redes IP</w:t>
      </w:r>
      <w:r w:rsidR="002F3A42" w:rsidRPr="00612B2B">
        <w:rPr>
          <w:bCs/>
          <w:lang w:val="es-ES_tradnl" w:eastAsia="zh-CN"/>
        </w:rPr>
        <w:br/>
      </w:r>
      <w:r w:rsidRPr="00612B2B">
        <w:rPr>
          <w:bCs/>
          <w:lang w:val="es-ES_tradnl" w:eastAsia="zh-CN"/>
        </w:rPr>
        <w:t>con fines de contribución</w:t>
      </w:r>
    </w:p>
    <w:p w:rsidR="007029C1" w:rsidRPr="00612B2B" w:rsidRDefault="007029C1" w:rsidP="007029C1">
      <w:pPr>
        <w:pStyle w:val="Normalaftertitle"/>
        <w:rPr>
          <w:lang w:val="es-ES_tradnl"/>
        </w:rPr>
      </w:pPr>
      <w:r w:rsidRPr="00612B2B">
        <w:rPr>
          <w:lang w:val="es-ES_tradnl"/>
        </w:rPr>
        <w:t>En el intercambio internacional de programas es práctica común que el proveedor del programa (por ejemplo, el productor o el distribuidor del programa) y el destinatario del programa (por ejemplo, el organismo de radiodifusión) acuerden mutuamente la elección del método de codificación de la fuente, «envoltorio» y transporte dentro de una pequeña gama razonable de opciones. Normalmente, el destinatario del programa indicará los requisitos de calidad de funcionamiento para la entrega del programa y el proveedor del programa señalará los costes que cabe esperar debido a estos requisitos de calidad de funcionamiento.</w:t>
      </w:r>
    </w:p>
    <w:p w:rsidR="007029C1" w:rsidRPr="00612B2B" w:rsidRDefault="007029C1" w:rsidP="007029C1">
      <w:pPr>
        <w:rPr>
          <w:lang w:val="es-ES_tradnl"/>
        </w:rPr>
      </w:pPr>
      <w:r w:rsidRPr="00612B2B">
        <w:rPr>
          <w:lang w:val="es-ES_tradnl"/>
        </w:rPr>
        <w:t xml:space="preserve">En este marco, el presente </w:t>
      </w:r>
      <w:r w:rsidR="00FE30AE" w:rsidRPr="00612B2B">
        <w:rPr>
          <w:lang w:val="es-ES_tradnl"/>
        </w:rPr>
        <w:t>Anexo</w:t>
      </w:r>
      <w:r w:rsidRPr="00612B2B">
        <w:rPr>
          <w:lang w:val="es-ES_tradnl"/>
        </w:rPr>
        <w:t xml:space="preserve"> especifica algunas directrices aplicables al intercambio internacional de programas de TVAD por redes IP a efectos de contribución cuando el proveedor del programa puede estar negociando con proveedores de servicio por red IP que no están familiarizados con los parámetros de la infraestructura de radiodifusión tradicional.</w:t>
      </w:r>
    </w:p>
    <w:p w:rsidR="007029C1" w:rsidRPr="00612B2B" w:rsidRDefault="007029C1" w:rsidP="007029C1">
      <w:pPr>
        <w:rPr>
          <w:lang w:val="es-ES_tradnl"/>
        </w:rPr>
      </w:pPr>
      <w:r w:rsidRPr="00612B2B">
        <w:rPr>
          <w:lang w:val="es-ES_tradnl"/>
        </w:rPr>
        <w:t>1</w:t>
      </w:r>
      <w:r w:rsidRPr="00612B2B">
        <w:rPr>
          <w:lang w:val="es-ES_tradnl"/>
        </w:rPr>
        <w:tab/>
        <w:t>Las especificaciones de banda base de cada uno de los componentes (vídeo, audio, datos auxiliares) de un programa de TVAD intercambiado internacionalmente deben satisfacer siempre las Recomendaciones del UIT pertinentes.</w:t>
      </w:r>
    </w:p>
    <w:p w:rsidR="007029C1" w:rsidRPr="00612B2B" w:rsidRDefault="007029C1" w:rsidP="007029C1">
      <w:pPr>
        <w:rPr>
          <w:lang w:val="es-ES_tradnl"/>
        </w:rPr>
      </w:pPr>
      <w:r w:rsidRPr="00612B2B">
        <w:rPr>
          <w:lang w:val="es-ES_tradnl"/>
        </w:rPr>
        <w:t>2</w:t>
      </w:r>
      <w:r w:rsidRPr="00612B2B">
        <w:rPr>
          <w:lang w:val="es-ES_tradnl"/>
        </w:rPr>
        <w:tab/>
        <w:t>Cada uno de los componentes de banda base del programa deben normalmente intercambiarse internacionalmente tras una codificación de la fuente transparente</w:t>
      </w:r>
      <w:r w:rsidRPr="00612B2B">
        <w:rPr>
          <w:vertAlign w:val="superscript"/>
          <w:lang w:val="es-ES_tradnl"/>
        </w:rPr>
        <w:footnoteReference w:id="2"/>
      </w:r>
      <w:r w:rsidRPr="00612B2B">
        <w:rPr>
          <w:lang w:val="es-ES_tradnl"/>
        </w:rPr>
        <w:t xml:space="preserve"> o cuasi transparente. A menos que exista el requisito de realizar la transferencia de forma no comprimida; por ejemplo cuando está previsto que sea sometida a un postprocesamiento muy complejo en el extremo receptor.</w:t>
      </w:r>
    </w:p>
    <w:p w:rsidR="007029C1" w:rsidRPr="00612B2B" w:rsidRDefault="007029C1" w:rsidP="007029C1">
      <w:pPr>
        <w:rPr>
          <w:lang w:val="es-ES_tradnl"/>
        </w:rPr>
      </w:pPr>
      <w:r w:rsidRPr="00612B2B">
        <w:rPr>
          <w:lang w:val="es-ES_tradnl"/>
        </w:rPr>
        <w:t>3</w:t>
      </w:r>
      <w:r w:rsidRPr="00612B2B">
        <w:rPr>
          <w:lang w:val="es-ES_tradnl"/>
        </w:rPr>
        <w:tab/>
        <w:t>Todos los componentes del programa codificados en la fuente deben intercambiarse internacionalmente una vez multiplexados en un «envoltorio» diseñado para transportarlos a todos en un solo tren de datos, manteniéndolos sincronizados entre sí.</w:t>
      </w:r>
    </w:p>
    <w:p w:rsidR="007029C1" w:rsidRPr="00612B2B" w:rsidRDefault="007029C1" w:rsidP="007029C1">
      <w:pPr>
        <w:rPr>
          <w:lang w:val="es-ES_tradnl"/>
        </w:rPr>
      </w:pPr>
      <w:r w:rsidRPr="00612B2B">
        <w:rPr>
          <w:lang w:val="es-ES_tradnl"/>
        </w:rPr>
        <w:lastRenderedPageBreak/>
        <w:t>4</w:t>
      </w:r>
      <w:r w:rsidRPr="00612B2B">
        <w:rPr>
          <w:lang w:val="es-ES_tradnl"/>
        </w:rPr>
        <w:tab/>
        <w:t>Como los programas radiofónicos y de televisión representan una propiedad intelectual de gran valor, deben protegerse contra la piratería o contra cualquier acceso no autorizado durante su transporte</w:t>
      </w:r>
      <w:r w:rsidRPr="00612B2B">
        <w:rPr>
          <w:rStyle w:val="FootnoteReference"/>
          <w:lang w:val="es-ES_tradnl"/>
        </w:rPr>
        <w:footnoteReference w:id="3"/>
      </w:r>
      <w:r w:rsidRPr="00612B2B">
        <w:rPr>
          <w:lang w:val="es-ES_tradnl"/>
        </w:rPr>
        <w:t>.</w:t>
      </w:r>
    </w:p>
    <w:p w:rsidR="007029C1" w:rsidRPr="00612B2B" w:rsidRDefault="007029C1" w:rsidP="007029C1">
      <w:pPr>
        <w:rPr>
          <w:lang w:val="es-ES_tradnl"/>
        </w:rPr>
      </w:pPr>
      <w:r w:rsidRPr="00612B2B">
        <w:rPr>
          <w:lang w:val="es-ES_tradnl"/>
        </w:rPr>
        <w:t>5</w:t>
      </w:r>
      <w:r w:rsidRPr="00612B2B">
        <w:rPr>
          <w:lang w:val="es-ES_tradnl"/>
        </w:rPr>
        <w:tab/>
        <w:t>El mecanismo de transporte basado en IP debe transportar de manera transparente el tren de datos del programa, incluidos los metadatos relativos al programa que lo acompañan, sin aplicar transcodificación o una nueva codificación de la fuente.</w:t>
      </w:r>
    </w:p>
    <w:p w:rsidR="007029C1" w:rsidRPr="00612B2B" w:rsidRDefault="007029C1" w:rsidP="007029C1">
      <w:pPr>
        <w:rPr>
          <w:lang w:val="es-ES_tradnl"/>
        </w:rPr>
      </w:pPr>
      <w:r w:rsidRPr="00612B2B">
        <w:rPr>
          <w:lang w:val="es-ES_tradnl"/>
        </w:rPr>
        <w:t>6</w:t>
      </w:r>
      <w:r w:rsidRPr="00612B2B">
        <w:rPr>
          <w:lang w:val="es-ES_tradnl"/>
        </w:rPr>
        <w:tab/>
        <w:t>Los metadatos que acompañan al programa deben cursar información codificada que permita la decodificación de, al menos, la siguiente información:</w:t>
      </w:r>
    </w:p>
    <w:p w:rsidR="007029C1" w:rsidRPr="00612B2B" w:rsidRDefault="007029C1" w:rsidP="007029C1">
      <w:pPr>
        <w:pStyle w:val="enumlev1"/>
        <w:rPr>
          <w:lang w:val="es-ES_tradnl"/>
        </w:rPr>
      </w:pPr>
      <w:r w:rsidRPr="00612B2B">
        <w:rPr>
          <w:lang w:val="es-ES_tradnl"/>
        </w:rPr>
        <w:t>–</w:t>
      </w:r>
      <w:r w:rsidRPr="00612B2B">
        <w:rPr>
          <w:lang w:val="es-ES_tradnl"/>
        </w:rPr>
        <w:tab/>
        <w:t>el contenido del programa (por ejemplo, el título, los subtítulos y el episodio del programa y su tiempo de reproducción);</w:t>
      </w:r>
    </w:p>
    <w:p w:rsidR="007029C1" w:rsidRPr="00612B2B" w:rsidRDefault="007029C1" w:rsidP="007029C1">
      <w:pPr>
        <w:pStyle w:val="enumlev1"/>
        <w:rPr>
          <w:lang w:val="es-ES_tradnl"/>
        </w:rPr>
      </w:pPr>
      <w:r w:rsidRPr="00612B2B">
        <w:rPr>
          <w:lang w:val="es-ES_tradnl"/>
        </w:rPr>
        <w:t>–</w:t>
      </w:r>
      <w:r w:rsidRPr="00612B2B">
        <w:rPr>
          <w:lang w:val="es-ES_tradnl"/>
        </w:rPr>
        <w:tab/>
        <w:t>el sistema de banda base del vídeo y el audio;</w:t>
      </w:r>
    </w:p>
    <w:p w:rsidR="007029C1" w:rsidRPr="00612B2B" w:rsidRDefault="007029C1" w:rsidP="007029C1">
      <w:pPr>
        <w:pStyle w:val="enumlev1"/>
        <w:rPr>
          <w:lang w:val="es-ES_tradnl"/>
        </w:rPr>
      </w:pPr>
      <w:r w:rsidRPr="00612B2B">
        <w:rPr>
          <w:lang w:val="es-ES_tradnl"/>
        </w:rPr>
        <w:t>–</w:t>
      </w:r>
      <w:r w:rsidRPr="00612B2B">
        <w:rPr>
          <w:lang w:val="es-ES_tradnl"/>
        </w:rPr>
        <w:tab/>
        <w:t>la codificación de la fuente;</w:t>
      </w:r>
    </w:p>
    <w:p w:rsidR="007029C1" w:rsidRPr="00612B2B" w:rsidRDefault="007029C1" w:rsidP="007029C1">
      <w:pPr>
        <w:pStyle w:val="enumlev1"/>
        <w:rPr>
          <w:lang w:val="es-ES_tradnl"/>
        </w:rPr>
      </w:pPr>
      <w:r w:rsidRPr="00612B2B">
        <w:rPr>
          <w:lang w:val="es-ES_tradnl"/>
        </w:rPr>
        <w:t>–</w:t>
      </w:r>
      <w:r w:rsidRPr="00612B2B">
        <w:rPr>
          <w:lang w:val="es-ES_tradnl"/>
        </w:rPr>
        <w:tab/>
        <w:t>el «envoltorio»;</w:t>
      </w:r>
    </w:p>
    <w:p w:rsidR="007029C1" w:rsidRPr="00612B2B" w:rsidRDefault="007029C1" w:rsidP="007029C1">
      <w:pPr>
        <w:pStyle w:val="enumlev1"/>
        <w:rPr>
          <w:lang w:val="es-ES_tradnl"/>
        </w:rPr>
      </w:pPr>
      <w:r w:rsidRPr="00612B2B">
        <w:rPr>
          <w:lang w:val="es-ES_tradnl"/>
        </w:rPr>
        <w:t>–</w:t>
      </w:r>
      <w:r w:rsidRPr="00612B2B">
        <w:rPr>
          <w:lang w:val="es-ES_tradnl"/>
        </w:rPr>
        <w:tab/>
        <w:t>los datos necesarios para proteger los derechos de propiedad intelectual del programa, etc.</w:t>
      </w:r>
    </w:p>
    <w:p w:rsidR="007029C1" w:rsidRPr="00612B2B" w:rsidRDefault="007029C1" w:rsidP="007029C1">
      <w:pPr>
        <w:rPr>
          <w:lang w:val="es-ES_tradnl"/>
        </w:rPr>
      </w:pPr>
      <w:r w:rsidRPr="00612B2B">
        <w:rPr>
          <w:lang w:val="es-ES_tradnl"/>
        </w:rPr>
        <w:t>7</w:t>
      </w:r>
      <w:r w:rsidRPr="00612B2B">
        <w:rPr>
          <w:lang w:val="es-ES_tradnl"/>
        </w:rPr>
        <w:tab/>
        <w:t>El operador de IP encargado del transporte de un programa intercambiado internacionalmente debe comprometerse a cumplir las modalidades para el transporte basado en IP del programa, de la forma acordada entre el proveedor del programa y el destinatario del programa; estas modalidades incluyen normalmente la velocidad de transferencia de datos requerida, la máxima tasa de errores en los datos permitida, la relación de disponibilidad de la conexión</w:t>
      </w:r>
      <w:r w:rsidRPr="00612B2B">
        <w:rPr>
          <w:rStyle w:val="FootnoteReference"/>
          <w:lang w:val="es-ES_tradnl"/>
        </w:rPr>
        <w:footnoteReference w:id="4"/>
      </w:r>
      <w:r w:rsidRPr="00612B2B">
        <w:rPr>
          <w:lang w:val="es-ES_tradnl"/>
        </w:rPr>
        <w:t xml:space="preserve"> y otros aspectos de la calidad de funcionamiento tales como la máxima latencia de la conexión permitida en caso de tren de programas en tiempo real.</w:t>
      </w:r>
    </w:p>
    <w:p w:rsidR="007029C1" w:rsidRPr="00612B2B" w:rsidRDefault="007029C1" w:rsidP="007029C1">
      <w:pPr>
        <w:rPr>
          <w:lang w:val="es-ES_tradnl" w:eastAsia="zh-CN"/>
        </w:rPr>
      </w:pPr>
    </w:p>
    <w:p w:rsidR="007029C1" w:rsidRPr="00612B2B" w:rsidRDefault="007029C1" w:rsidP="001C2E0A">
      <w:pPr>
        <w:spacing w:before="0"/>
        <w:rPr>
          <w:lang w:val="es-ES_tradnl"/>
        </w:rPr>
      </w:pPr>
    </w:p>
    <w:p w:rsidR="007029C1" w:rsidRPr="00612B2B" w:rsidRDefault="007029C1">
      <w:pPr>
        <w:jc w:val="center"/>
        <w:rPr>
          <w:lang w:val="es-ES_tradnl"/>
        </w:rPr>
      </w:pPr>
      <w:r w:rsidRPr="00612B2B">
        <w:rPr>
          <w:lang w:val="es-ES_tradnl"/>
        </w:rPr>
        <w:t>______________</w:t>
      </w:r>
    </w:p>
    <w:p w:rsidR="007029C1" w:rsidRPr="00612B2B" w:rsidRDefault="007029C1" w:rsidP="007029C1">
      <w:pPr>
        <w:rPr>
          <w:lang w:val="es-ES_tradnl"/>
        </w:rPr>
      </w:pPr>
    </w:p>
    <w:sectPr w:rsidR="007029C1" w:rsidRPr="00612B2B" w:rsidSect="007029C1">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9C1" w:rsidRDefault="007029C1">
      <w:r>
        <w:separator/>
      </w:r>
    </w:p>
  </w:endnote>
  <w:endnote w:type="continuationSeparator" w:id="0">
    <w:p w:rsidR="007029C1" w:rsidRDefault="00702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9C1" w:rsidRDefault="007029C1">
      <w:r>
        <w:separator/>
      </w:r>
    </w:p>
  </w:footnote>
  <w:footnote w:type="continuationSeparator" w:id="0">
    <w:p w:rsidR="007029C1" w:rsidRDefault="007029C1">
      <w:r>
        <w:continuationSeparator/>
      </w:r>
    </w:p>
  </w:footnote>
  <w:footnote w:id="1">
    <w:p w:rsidR="007029C1" w:rsidRPr="00117A55" w:rsidRDefault="007029C1" w:rsidP="007029C1">
      <w:pPr>
        <w:pStyle w:val="FootnoteText"/>
        <w:rPr>
          <w:lang w:val="es-ES_tradnl"/>
        </w:rPr>
      </w:pPr>
      <w:r>
        <w:rPr>
          <w:rStyle w:val="FootnoteReference"/>
        </w:rPr>
        <w:footnoteRef/>
      </w:r>
      <w:r w:rsidRPr="00117A55">
        <w:rPr>
          <w:lang w:val="es-ES_tradnl"/>
        </w:rPr>
        <w:tab/>
        <w:t xml:space="preserve">La base de datos de terminología de la UIT define un enlace de contribución como </w:t>
      </w:r>
      <w:r>
        <w:rPr>
          <w:lang w:val="es-ES_tradnl"/>
        </w:rPr>
        <w:t>«</w:t>
      </w:r>
      <w:r w:rsidRPr="00117A55">
        <w:rPr>
          <w:lang w:val="es-ES_tradnl"/>
        </w:rPr>
        <w:t>un enlace para transmitir señales de radiodifusión sonora o televisi</w:t>
      </w:r>
      <w:r>
        <w:rPr>
          <w:lang w:val="es-ES_tradnl"/>
        </w:rPr>
        <w:t>ón hacia un centro de producción de programas»</w:t>
      </w:r>
      <w:r w:rsidRPr="00117A55">
        <w:rPr>
          <w:lang w:val="es-ES_tradnl"/>
        </w:rPr>
        <w:t>.</w:t>
      </w:r>
    </w:p>
  </w:footnote>
  <w:footnote w:id="2">
    <w:p w:rsidR="007029C1" w:rsidRPr="00AB7518" w:rsidRDefault="007029C1" w:rsidP="007029C1">
      <w:pPr>
        <w:pStyle w:val="FootnoteText"/>
        <w:rPr>
          <w:rStyle w:val="FootnoteReference"/>
          <w:sz w:val="24"/>
          <w:szCs w:val="24"/>
          <w:lang w:val="es-ES_tradnl"/>
        </w:rPr>
      </w:pPr>
      <w:r w:rsidRPr="00B467AD">
        <w:rPr>
          <w:rStyle w:val="FootnoteReference"/>
          <w:sz w:val="16"/>
          <w:szCs w:val="16"/>
        </w:rPr>
        <w:footnoteRef/>
      </w:r>
      <w:r w:rsidRPr="00AB7518">
        <w:rPr>
          <w:szCs w:val="22"/>
          <w:lang w:val="es-ES_tradnl"/>
        </w:rPr>
        <w:tab/>
      </w:r>
      <w:r w:rsidRPr="00AB7518">
        <w:rPr>
          <w:szCs w:val="24"/>
          <w:lang w:val="es-ES_tradnl"/>
        </w:rPr>
        <w:t xml:space="preserve">Un método de reducción de la velocidad binaria </w:t>
      </w:r>
      <w:r>
        <w:rPr>
          <w:szCs w:val="24"/>
          <w:lang w:val="es-ES_tradnl"/>
        </w:rPr>
        <w:t>«</w:t>
      </w:r>
      <w:r w:rsidRPr="00AB7518">
        <w:rPr>
          <w:szCs w:val="24"/>
          <w:lang w:val="es-ES_tradnl"/>
        </w:rPr>
        <w:t>transparente</w:t>
      </w:r>
      <w:r>
        <w:rPr>
          <w:szCs w:val="24"/>
          <w:lang w:val="es-ES_tradnl"/>
        </w:rPr>
        <w:t>»</w:t>
      </w:r>
      <w:r w:rsidRPr="00AB7518">
        <w:rPr>
          <w:szCs w:val="24"/>
          <w:lang w:val="es-ES_tradnl"/>
        </w:rPr>
        <w:t xml:space="preserve"> no afecta la calidad subjetiva de las secuencias de sonido o de imagen</w:t>
      </w:r>
      <w:r w:rsidRPr="00157170">
        <w:rPr>
          <w:lang w:val="es-ES_tradnl"/>
        </w:rPr>
        <w:t>.</w:t>
      </w:r>
    </w:p>
  </w:footnote>
  <w:footnote w:id="3">
    <w:p w:rsidR="007029C1" w:rsidRPr="00610957" w:rsidRDefault="007029C1" w:rsidP="007029C1">
      <w:pPr>
        <w:pStyle w:val="FootnoteText"/>
        <w:rPr>
          <w:lang w:val="es-ES_tradnl"/>
        </w:rPr>
      </w:pPr>
      <w:r w:rsidRPr="00B467AD">
        <w:rPr>
          <w:rStyle w:val="FootnoteReference"/>
          <w:sz w:val="16"/>
          <w:szCs w:val="16"/>
        </w:rPr>
        <w:footnoteRef/>
      </w:r>
      <w:r w:rsidRPr="00A94F04">
        <w:rPr>
          <w:szCs w:val="24"/>
          <w:lang w:val="es-ES_tradnl"/>
        </w:rPr>
        <w:tab/>
        <w:t>Esto puede lograrse, por ejemplo, mediante disposiciones tales como un acceso por contraseña con frecuentes cambios de la misma, certificaci</w:t>
      </w:r>
      <w:r>
        <w:rPr>
          <w:szCs w:val="24"/>
          <w:lang w:val="es-ES_tradnl"/>
        </w:rPr>
        <w:t>ón de la fuente IP y de las direcciones de destino y marcaje del contenido con filigrama para facilitar la identificación de las copias ilegales</w:t>
      </w:r>
      <w:r w:rsidRPr="00610957">
        <w:rPr>
          <w:szCs w:val="24"/>
          <w:lang w:val="es-ES_tradnl"/>
        </w:rPr>
        <w:t>.</w:t>
      </w:r>
    </w:p>
  </w:footnote>
  <w:footnote w:id="4">
    <w:p w:rsidR="007029C1" w:rsidRPr="008B1B80" w:rsidRDefault="007029C1" w:rsidP="007029C1">
      <w:pPr>
        <w:pStyle w:val="FootnoteText"/>
        <w:rPr>
          <w:lang w:val="es-ES_tradnl"/>
        </w:rPr>
      </w:pPr>
      <w:r>
        <w:rPr>
          <w:rStyle w:val="FootnoteReference"/>
        </w:rPr>
        <w:footnoteRef/>
      </w:r>
      <w:r w:rsidRPr="008B1B80">
        <w:rPr>
          <w:lang w:val="es-ES_tradnl"/>
        </w:rPr>
        <w:tab/>
        <w:t>La base de datos de terminología de la UIT define la relación de disponibilidad de una conexión como la proporción de tiempo en que una conexión se encuentra en estado disponible durante un periodo de observación determinado; se calcula dividiendo el tiempo disponible total durante el periodo de observación por la duración de dicho periodo de observación.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C1" w:rsidRDefault="007029C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C1" w:rsidRDefault="007029C1" w:rsidP="009E1F8B">
    <w:pPr>
      <w:pStyle w:val="Header"/>
      <w:ind w:right="360" w:firstLine="360"/>
    </w:pPr>
    <w:r>
      <w:rPr>
        <w:noProof/>
        <w:lang w:val="en-US" w:eastAsia="zh-CN"/>
      </w:rPr>
      <w:drawing>
        <wp:anchor distT="0" distB="0" distL="114300" distR="114300" simplePos="0" relativeHeight="251660288" behindDoc="0" locked="0" layoutInCell="1" allowOverlap="1" wp14:anchorId="2DDD88D0" wp14:editId="26D658B9">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08167DCA" wp14:editId="61E453E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C1" w:rsidRDefault="007029C1"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747339">
      <w:rPr>
        <w:rStyle w:val="PageNumber"/>
        <w:b/>
        <w:bCs/>
        <w:noProof/>
      </w:rPr>
      <w:t>ii</w:t>
    </w:r>
    <w:r>
      <w:rPr>
        <w:rStyle w:val="PageNumber"/>
        <w:b/>
        <w:bCs/>
      </w:rPr>
      <w:fldChar w:fldCharType="end"/>
    </w:r>
    <w:r>
      <w:tab/>
    </w:r>
    <w:r w:rsidR="00747339">
      <w:fldChar w:fldCharType="begin"/>
    </w:r>
    <w:r w:rsidR="00747339">
      <w:instrText xml:space="preserve"> DOCPROPERTY "Header" \* MERGEFORMAT </w:instrText>
    </w:r>
    <w:r w:rsidR="00747339">
      <w:fldChar w:fldCharType="separate"/>
    </w:r>
    <w:r w:rsidR="00326205" w:rsidRPr="00326205">
      <w:rPr>
        <w:b/>
        <w:bCs/>
      </w:rPr>
      <w:t xml:space="preserve">Rec. </w:t>
    </w:r>
    <w:r w:rsidR="00747339">
      <w:rPr>
        <w:b/>
        <w:bCs/>
      </w:rPr>
      <w:fldChar w:fldCharType="end"/>
    </w:r>
    <w:r>
      <w:rPr>
        <w:b/>
        <w:bCs/>
      </w:rPr>
      <w:t xml:space="preserve"> </w:t>
    </w:r>
    <w:r>
      <w:rPr>
        <w:b/>
        <w:bCs/>
      </w:rPr>
      <w:fldChar w:fldCharType="begin"/>
    </w:r>
    <w:r>
      <w:rPr>
        <w:b/>
        <w:bCs/>
      </w:rPr>
      <w:instrText>styleref href</w:instrText>
    </w:r>
    <w:r>
      <w:rPr>
        <w:b/>
        <w:bCs/>
      </w:rPr>
      <w:fldChar w:fldCharType="separate"/>
    </w:r>
    <w:r w:rsidR="00747339">
      <w:rPr>
        <w:b/>
        <w:bCs/>
        <w:noProof/>
      </w:rPr>
      <w:t>UIT-R  BT.2056-0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C1" w:rsidRDefault="007029C1">
    <w:pPr>
      <w:pStyle w:val="Header"/>
    </w:pPr>
    <w:r>
      <w:tab/>
    </w:r>
    <w:r w:rsidR="00747339">
      <w:fldChar w:fldCharType="begin"/>
    </w:r>
    <w:r w:rsidR="00747339">
      <w:instrText xml:space="preserve"> DOCPROPERTY "Header" \* MERGEFORMAT </w:instrText>
    </w:r>
    <w:r w:rsidR="00747339">
      <w:fldChar w:fldCharType="separate"/>
    </w:r>
    <w:r w:rsidR="00326205" w:rsidRPr="00326205">
      <w:rPr>
        <w:b/>
        <w:bCs/>
      </w:rPr>
      <w:t xml:space="preserve">Rec. </w:t>
    </w:r>
    <w:r w:rsidR="00747339">
      <w:rPr>
        <w:b/>
        <w:bCs/>
      </w:rPr>
      <w:fldChar w:fldCharType="end"/>
    </w:r>
    <w:r>
      <w:rPr>
        <w:b/>
        <w:bCs/>
      </w:rPr>
      <w:t xml:space="preserve"> </w:t>
    </w:r>
    <w:r>
      <w:rPr>
        <w:b/>
        <w:bCs/>
      </w:rPr>
      <w:fldChar w:fldCharType="begin"/>
    </w:r>
    <w:r>
      <w:rPr>
        <w:b/>
        <w:bCs/>
      </w:rPr>
      <w:instrText>styleref href</w:instrText>
    </w:r>
    <w:r>
      <w:rPr>
        <w:b/>
        <w:bCs/>
      </w:rPr>
      <w:fldChar w:fldCharType="separate"/>
    </w:r>
    <w:r w:rsidR="00326205">
      <w:rPr>
        <w:b/>
        <w:bCs/>
        <w:noProof/>
      </w:rPr>
      <w:t>UIT-R  BT.2056-0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7339">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26205" w:rsidRPr="0032620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47339">
      <w:rPr>
        <w:b/>
        <w:bCs/>
        <w:noProof/>
      </w:rPr>
      <w:t>UIT-R  BT.2056-0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747339">
      <w:fldChar w:fldCharType="begin"/>
    </w:r>
    <w:r w:rsidR="00747339">
      <w:instrText xml:space="preserve"> DOCPROPERTY "Header" \* MERGEFORMAT </w:instrText>
    </w:r>
    <w:r w:rsidR="00747339">
      <w:fldChar w:fldCharType="separate"/>
    </w:r>
    <w:r w:rsidR="00326205" w:rsidRPr="00326205">
      <w:rPr>
        <w:b/>
        <w:bCs/>
      </w:rPr>
      <w:t xml:space="preserve">Rec. </w:t>
    </w:r>
    <w:r w:rsidR="00747339">
      <w:rPr>
        <w:b/>
        <w:bCs/>
      </w:rPr>
      <w:fldChar w:fldCharType="end"/>
    </w:r>
    <w:r>
      <w:rPr>
        <w:b/>
        <w:bCs/>
      </w:rPr>
      <w:t xml:space="preserve"> </w:t>
    </w:r>
    <w:r>
      <w:rPr>
        <w:b/>
        <w:bCs/>
      </w:rPr>
      <w:fldChar w:fldCharType="begin"/>
    </w:r>
    <w:r>
      <w:rPr>
        <w:b/>
        <w:bCs/>
      </w:rPr>
      <w:instrText>styleref href</w:instrText>
    </w:r>
    <w:r>
      <w:rPr>
        <w:b/>
        <w:bCs/>
      </w:rPr>
      <w:fldChar w:fldCharType="separate"/>
    </w:r>
    <w:r w:rsidR="00747339">
      <w:rPr>
        <w:b/>
        <w:bCs/>
        <w:noProof/>
      </w:rPr>
      <w:t>UIT-R  BT.2056-0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47339">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9C1"/>
    <w:rsid w:val="000E2DB3"/>
    <w:rsid w:val="00157170"/>
    <w:rsid w:val="001B5E19"/>
    <w:rsid w:val="001C2E0A"/>
    <w:rsid w:val="00217EBF"/>
    <w:rsid w:val="00242AEE"/>
    <w:rsid w:val="002D76C4"/>
    <w:rsid w:val="002F3A42"/>
    <w:rsid w:val="00326205"/>
    <w:rsid w:val="0052529D"/>
    <w:rsid w:val="005A7A76"/>
    <w:rsid w:val="005E2EFD"/>
    <w:rsid w:val="00607D68"/>
    <w:rsid w:val="00612B2B"/>
    <w:rsid w:val="006F2AA4"/>
    <w:rsid w:val="007029C1"/>
    <w:rsid w:val="007468DA"/>
    <w:rsid w:val="00747339"/>
    <w:rsid w:val="009E00A8"/>
    <w:rsid w:val="00A6617B"/>
    <w:rsid w:val="00AB0DC8"/>
    <w:rsid w:val="00B44E24"/>
    <w:rsid w:val="00DF4176"/>
    <w:rsid w:val="00FE30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222E5B-72E8-4D40-88C6-1DC3C982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9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029C1"/>
    <w:rPr>
      <w:color w:val="0000FF"/>
      <w:u w:val="single"/>
    </w:rPr>
  </w:style>
  <w:style w:type="character" w:customStyle="1" w:styleId="FootnoteTextChar">
    <w:name w:val="Footnote Text Char"/>
    <w:link w:val="FootnoteText"/>
    <w:uiPriority w:val="99"/>
    <w:rsid w:val="007029C1"/>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177</TotalTime>
  <Pages>5</Pages>
  <Words>1297</Words>
  <Characters>7853</Characters>
  <Application>Microsoft Office Word</Application>
  <DocSecurity>0</DocSecurity>
  <Lines>327</Lines>
  <Paragraphs>106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9</cp:revision>
  <cp:lastPrinted>2015-02-03T13:05:00Z</cp:lastPrinted>
  <dcterms:created xsi:type="dcterms:W3CDTF">2015-02-03T10:38:00Z</dcterms:created>
  <dcterms:modified xsi:type="dcterms:W3CDTF">2015-02-03T14:18:00Z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