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p w:rsidR="001B7B94" w:rsidRPr="003F2DE2" w:rsidRDefault="001B7B94">
      <w:pPr>
        <w:rPr>
          <w:lang w:val="en-GB"/>
        </w:rPr>
      </w:pPr>
    </w:p>
    <w:tbl>
      <w:tblPr>
        <w:tblW w:w="10089" w:type="dxa"/>
        <w:tblLook w:val="01E0" w:firstRow="1" w:lastRow="1" w:firstColumn="1" w:lastColumn="1" w:noHBand="0" w:noVBand="0"/>
      </w:tblPr>
      <w:tblGrid>
        <w:gridCol w:w="10089"/>
      </w:tblGrid>
      <w:tr w:rsidR="001B7B94" w:rsidRPr="003F2DE2" w:rsidTr="006B55A9">
        <w:tc>
          <w:tcPr>
            <w:tcW w:w="10089" w:type="dxa"/>
          </w:tcPr>
          <w:p w:rsidR="001B7B94" w:rsidRPr="003F2DE2" w:rsidRDefault="001B7B94" w:rsidP="006B55A9">
            <w:pPr>
              <w:spacing w:before="380" w:line="280" w:lineRule="exact"/>
              <w:jc w:val="right"/>
              <w:rPr>
                <w:rFonts w:ascii="Tahoma" w:hAnsi="Tahoma" w:cs="Tahoma"/>
                <w:b/>
                <w:bCs/>
                <w:iCs/>
                <w:color w:val="243285"/>
                <w:sz w:val="32"/>
                <w:szCs w:val="32"/>
                <w:lang w:val="en-GB"/>
              </w:rPr>
            </w:pPr>
          </w:p>
          <w:p w:rsidR="001B7B94" w:rsidRPr="003F2DE2" w:rsidRDefault="001B7B94" w:rsidP="00B73A76">
            <w:pPr>
              <w:spacing w:before="380" w:line="280" w:lineRule="exact"/>
              <w:jc w:val="right"/>
              <w:rPr>
                <w:rFonts w:ascii="Tahoma" w:hAnsi="Tahoma" w:cs="Tahoma"/>
                <w:b/>
                <w:bCs/>
                <w:iCs/>
                <w:color w:val="243285"/>
                <w:sz w:val="36"/>
                <w:szCs w:val="36"/>
                <w:lang w:val="en-GB"/>
              </w:rPr>
            </w:pPr>
            <w:r w:rsidRPr="003F2DE2">
              <w:rPr>
                <w:rFonts w:ascii="Tahoma" w:hAnsi="Tahoma" w:cs="Tahoma"/>
                <w:b/>
                <w:bCs/>
                <w:iCs/>
                <w:color w:val="243285"/>
                <w:sz w:val="36"/>
                <w:szCs w:val="36"/>
                <w:lang w:val="en-GB"/>
              </w:rPr>
              <w:t>Recommendation  ITU-R  BT.</w:t>
            </w:r>
            <w:r w:rsidR="00B73A76" w:rsidRPr="003F2DE2">
              <w:rPr>
                <w:rFonts w:ascii="Tahoma" w:hAnsi="Tahoma" w:cs="Tahoma"/>
                <w:b/>
                <w:bCs/>
                <w:iCs/>
                <w:color w:val="243285"/>
                <w:sz w:val="36"/>
                <w:szCs w:val="36"/>
                <w:lang w:val="en-GB"/>
              </w:rPr>
              <w:t>2053</w:t>
            </w:r>
            <w:r w:rsidR="0088185A">
              <w:rPr>
                <w:rFonts w:ascii="Tahoma" w:hAnsi="Tahoma" w:cs="Tahoma"/>
                <w:b/>
                <w:bCs/>
                <w:iCs/>
                <w:color w:val="243285"/>
                <w:sz w:val="36"/>
                <w:szCs w:val="36"/>
                <w:lang w:val="en-GB"/>
              </w:rPr>
              <w:t>-0</w:t>
            </w:r>
          </w:p>
          <w:p w:rsidR="001B7B94" w:rsidRPr="003F2DE2" w:rsidRDefault="001B7B94" w:rsidP="00F75857">
            <w:pPr>
              <w:spacing w:before="80" w:line="280" w:lineRule="exact"/>
              <w:jc w:val="right"/>
              <w:rPr>
                <w:rFonts w:ascii="Tahoma" w:hAnsi="Tahoma" w:cs="Tahoma"/>
                <w:b/>
                <w:bCs/>
                <w:iCs/>
                <w:color w:val="243285"/>
                <w:szCs w:val="24"/>
                <w:lang w:val="en-GB"/>
              </w:rPr>
            </w:pPr>
            <w:r w:rsidRPr="003F2DE2">
              <w:rPr>
                <w:rFonts w:ascii="Tahoma" w:hAnsi="Tahoma" w:cs="Tahoma"/>
                <w:b/>
                <w:bCs/>
                <w:iCs/>
                <w:color w:val="243285"/>
                <w:szCs w:val="24"/>
                <w:lang w:val="en-GB"/>
              </w:rPr>
              <w:t>(</w:t>
            </w:r>
            <w:r w:rsidR="00F75857">
              <w:rPr>
                <w:rFonts w:ascii="Tahoma" w:hAnsi="Tahoma" w:cs="Tahoma"/>
                <w:b/>
                <w:bCs/>
                <w:iCs/>
                <w:color w:val="243285"/>
                <w:szCs w:val="24"/>
                <w:lang w:val="en-GB"/>
              </w:rPr>
              <w:t>02</w:t>
            </w:r>
            <w:r w:rsidRPr="003F2DE2">
              <w:rPr>
                <w:rFonts w:ascii="Tahoma" w:hAnsi="Tahoma" w:cs="Tahoma"/>
                <w:b/>
                <w:bCs/>
                <w:iCs/>
                <w:color w:val="243285"/>
                <w:szCs w:val="24"/>
                <w:lang w:val="en-GB"/>
              </w:rPr>
              <w:t>/</w:t>
            </w:r>
            <w:r w:rsidR="001B2F7D">
              <w:rPr>
                <w:rFonts w:ascii="Tahoma" w:hAnsi="Tahoma" w:cs="Tahoma"/>
                <w:b/>
                <w:bCs/>
                <w:iCs/>
                <w:color w:val="243285"/>
                <w:szCs w:val="24"/>
                <w:lang w:val="en-GB"/>
              </w:rPr>
              <w:t>201</w:t>
            </w:r>
            <w:r w:rsidR="00F75857">
              <w:rPr>
                <w:rFonts w:ascii="Tahoma" w:hAnsi="Tahoma" w:cs="Tahoma"/>
                <w:b/>
                <w:bCs/>
                <w:iCs/>
                <w:color w:val="243285"/>
                <w:szCs w:val="24"/>
                <w:lang w:val="en-GB"/>
              </w:rPr>
              <w:t>4</w:t>
            </w:r>
            <w:r w:rsidRPr="003F2DE2">
              <w:rPr>
                <w:rFonts w:ascii="Tahoma" w:hAnsi="Tahoma" w:cs="Tahoma"/>
                <w:b/>
                <w:bCs/>
                <w:iCs/>
                <w:color w:val="243285"/>
                <w:szCs w:val="24"/>
                <w:lang w:val="en-GB"/>
              </w:rPr>
              <w:t>)</w:t>
            </w:r>
          </w:p>
        </w:tc>
      </w:tr>
      <w:tr w:rsidR="001B7B94" w:rsidRPr="00F75857" w:rsidTr="006B55A9">
        <w:tc>
          <w:tcPr>
            <w:tcW w:w="10089" w:type="dxa"/>
          </w:tcPr>
          <w:p w:rsidR="001B7B94" w:rsidRPr="003F2DE2" w:rsidRDefault="001B7B94" w:rsidP="006B55A9">
            <w:pPr>
              <w:spacing w:before="80" w:line="500" w:lineRule="exact"/>
              <w:jc w:val="right"/>
              <w:rPr>
                <w:rFonts w:ascii="Tahoma" w:hAnsi="Tahoma" w:cs="Tahoma"/>
                <w:b/>
                <w:bCs/>
                <w:iCs/>
                <w:color w:val="243285"/>
                <w:sz w:val="44"/>
                <w:szCs w:val="44"/>
                <w:lang w:val="en-GB"/>
              </w:rPr>
            </w:pPr>
          </w:p>
          <w:p w:rsidR="001B7B94" w:rsidRPr="003F2DE2" w:rsidRDefault="00B73A76" w:rsidP="00B73A76">
            <w:pPr>
              <w:spacing w:before="80" w:line="500" w:lineRule="exact"/>
              <w:jc w:val="right"/>
              <w:rPr>
                <w:rFonts w:ascii="Tahoma" w:hAnsi="Tahoma" w:cs="Tahoma"/>
                <w:b/>
                <w:bCs/>
                <w:iCs/>
                <w:color w:val="243285"/>
                <w:sz w:val="44"/>
                <w:szCs w:val="44"/>
                <w:lang w:val="en-GB"/>
              </w:rPr>
            </w:pPr>
            <w:r w:rsidRPr="003F2DE2">
              <w:rPr>
                <w:rFonts w:ascii="Tahoma" w:hAnsi="Tahoma" w:cs="Tahoma"/>
                <w:b/>
                <w:bCs/>
                <w:color w:val="243285"/>
                <w:sz w:val="44"/>
                <w:szCs w:val="44"/>
                <w:lang w:val="en-GB" w:eastAsia="zh-CN"/>
              </w:rPr>
              <w:t xml:space="preserve">Technical requirements for </w:t>
            </w:r>
            <w:r w:rsidRPr="003F2DE2">
              <w:rPr>
                <w:rFonts w:ascii="Tahoma" w:hAnsi="Tahoma" w:cs="Tahoma"/>
                <w:b/>
                <w:bCs/>
                <w:color w:val="243285"/>
                <w:sz w:val="44"/>
                <w:szCs w:val="44"/>
                <w:lang w:val="en-GB" w:eastAsia="ja-JP"/>
              </w:rPr>
              <w:t>integrated broadcast-broadband systems</w:t>
            </w:r>
            <w:r w:rsidR="001B7B94" w:rsidRPr="003F2DE2">
              <w:rPr>
                <w:rFonts w:ascii="Tahoma" w:hAnsi="Tahoma" w:cs="Tahoma"/>
                <w:b/>
                <w:bCs/>
                <w:iCs/>
                <w:color w:val="243285"/>
                <w:sz w:val="44"/>
                <w:szCs w:val="44"/>
                <w:lang w:val="en-GB"/>
              </w:rPr>
              <w:t xml:space="preserve"> </w:t>
            </w:r>
          </w:p>
        </w:tc>
      </w:tr>
      <w:tr w:rsidR="001B7B94" w:rsidRPr="00F75857" w:rsidTr="006B55A9">
        <w:tc>
          <w:tcPr>
            <w:tcW w:w="10089" w:type="dxa"/>
          </w:tcPr>
          <w:p w:rsidR="001B7B94" w:rsidRPr="003F2DE2" w:rsidRDefault="001B7B94" w:rsidP="006B55A9">
            <w:pPr>
              <w:spacing w:before="80" w:line="280" w:lineRule="exact"/>
              <w:ind w:right="640"/>
              <w:rPr>
                <w:rFonts w:ascii="Tahoma" w:hAnsi="Tahoma" w:cs="Tahoma"/>
                <w:b/>
                <w:bCs/>
                <w:iCs/>
                <w:color w:val="243285"/>
                <w:sz w:val="32"/>
                <w:szCs w:val="32"/>
                <w:lang w:val="en-GB"/>
              </w:rPr>
            </w:pPr>
          </w:p>
          <w:p w:rsidR="001B7B94" w:rsidRPr="003F2DE2" w:rsidRDefault="001B7B94" w:rsidP="006B55A9">
            <w:pPr>
              <w:spacing w:before="80" w:line="280" w:lineRule="exact"/>
              <w:ind w:right="640"/>
              <w:rPr>
                <w:rFonts w:ascii="Tahoma" w:hAnsi="Tahoma" w:cs="Tahoma"/>
                <w:b/>
                <w:bCs/>
                <w:iCs/>
                <w:color w:val="243285"/>
                <w:sz w:val="32"/>
                <w:szCs w:val="32"/>
                <w:lang w:val="en-GB"/>
              </w:rPr>
            </w:pPr>
          </w:p>
          <w:p w:rsidR="001B7B94" w:rsidRPr="003F2DE2" w:rsidRDefault="001B7B94" w:rsidP="006B55A9">
            <w:pPr>
              <w:spacing w:before="80" w:after="180" w:line="360" w:lineRule="exact"/>
              <w:ind w:right="720"/>
              <w:rPr>
                <w:rFonts w:ascii="Tahoma" w:hAnsi="Tahoma" w:cs="Tahoma"/>
                <w:b/>
                <w:bCs/>
                <w:iCs/>
                <w:color w:val="243285"/>
                <w:sz w:val="36"/>
                <w:szCs w:val="36"/>
                <w:lang w:val="en-GB"/>
              </w:rPr>
            </w:pPr>
          </w:p>
          <w:p w:rsidR="001B7B94" w:rsidRPr="003F2DE2" w:rsidRDefault="001B7B94" w:rsidP="006B55A9">
            <w:pPr>
              <w:spacing w:before="80" w:after="180" w:line="360" w:lineRule="exact"/>
              <w:jc w:val="right"/>
              <w:rPr>
                <w:rFonts w:ascii="Tahoma" w:hAnsi="Tahoma" w:cs="Tahoma"/>
                <w:b/>
                <w:bCs/>
                <w:iCs/>
                <w:color w:val="243285"/>
                <w:sz w:val="36"/>
                <w:szCs w:val="36"/>
                <w:lang w:val="en-GB"/>
              </w:rPr>
            </w:pPr>
            <w:r w:rsidRPr="003F2DE2">
              <w:rPr>
                <w:rFonts w:ascii="Tahoma" w:hAnsi="Tahoma" w:cs="Tahoma"/>
                <w:b/>
                <w:bCs/>
                <w:iCs/>
                <w:color w:val="243285"/>
                <w:sz w:val="36"/>
                <w:szCs w:val="36"/>
                <w:lang w:val="en-GB"/>
              </w:rPr>
              <w:t>BT Series</w:t>
            </w:r>
          </w:p>
          <w:p w:rsidR="001B7B94" w:rsidRPr="003F2DE2" w:rsidRDefault="001B7B94" w:rsidP="006B55A9">
            <w:pPr>
              <w:spacing w:before="80" w:line="360" w:lineRule="exact"/>
              <w:jc w:val="right"/>
              <w:rPr>
                <w:rFonts w:ascii="Tahoma" w:hAnsi="Tahoma" w:cs="Tahoma"/>
                <w:b/>
                <w:bCs/>
                <w:iCs/>
                <w:color w:val="243285"/>
                <w:sz w:val="36"/>
                <w:szCs w:val="36"/>
                <w:lang w:val="en-GB"/>
              </w:rPr>
            </w:pPr>
            <w:r w:rsidRPr="003F2DE2">
              <w:rPr>
                <w:rFonts w:ascii="Tahoma" w:hAnsi="Tahoma" w:cs="Tahoma"/>
                <w:b/>
                <w:bCs/>
                <w:iCs/>
                <w:color w:val="243285"/>
                <w:sz w:val="36"/>
                <w:szCs w:val="36"/>
                <w:lang w:val="en-GB"/>
              </w:rPr>
              <w:t>Broadcasting service</w:t>
            </w:r>
          </w:p>
          <w:p w:rsidR="001B7B94" w:rsidRPr="003F2DE2" w:rsidRDefault="001B7B94" w:rsidP="006B55A9">
            <w:pPr>
              <w:spacing w:before="80" w:line="360" w:lineRule="exact"/>
              <w:jc w:val="right"/>
              <w:rPr>
                <w:rFonts w:ascii="Tahoma" w:hAnsi="Tahoma" w:cs="Tahoma"/>
                <w:b/>
                <w:bCs/>
                <w:iCs/>
                <w:color w:val="243285"/>
                <w:sz w:val="36"/>
                <w:szCs w:val="36"/>
                <w:lang w:val="en-GB"/>
              </w:rPr>
            </w:pPr>
            <w:r w:rsidRPr="003F2DE2">
              <w:rPr>
                <w:rFonts w:ascii="Tahoma" w:hAnsi="Tahoma" w:cs="Tahoma"/>
                <w:b/>
                <w:bCs/>
                <w:iCs/>
                <w:color w:val="243285"/>
                <w:sz w:val="36"/>
                <w:szCs w:val="36"/>
                <w:lang w:val="en-GB"/>
              </w:rPr>
              <w:t>(television)</w:t>
            </w:r>
          </w:p>
          <w:p w:rsidR="001B7B94" w:rsidRPr="003F2DE2" w:rsidRDefault="001B7B94" w:rsidP="006B55A9">
            <w:pPr>
              <w:spacing w:before="80" w:line="360" w:lineRule="exact"/>
              <w:jc w:val="right"/>
              <w:rPr>
                <w:rFonts w:ascii="Tahoma" w:hAnsi="Tahoma" w:cs="Tahoma"/>
                <w:b/>
                <w:bCs/>
                <w:iCs/>
                <w:color w:val="243285"/>
                <w:sz w:val="32"/>
                <w:szCs w:val="32"/>
                <w:lang w:val="en-GB"/>
              </w:rPr>
            </w:pPr>
          </w:p>
        </w:tc>
      </w:tr>
    </w:tbl>
    <w:p w:rsidR="001B7B94" w:rsidRPr="003F2DE2" w:rsidRDefault="001B7B94" w:rsidP="00CD659B">
      <w:pPr>
        <w:spacing w:before="80"/>
        <w:rPr>
          <w:i/>
          <w:sz w:val="22"/>
          <w:lang w:val="en-GB"/>
        </w:rPr>
      </w:pPr>
    </w:p>
    <w:p w:rsidR="001B7B94" w:rsidRPr="003F2DE2" w:rsidRDefault="001B7B94" w:rsidP="00CD659B">
      <w:pPr>
        <w:spacing w:before="80"/>
        <w:rPr>
          <w:i/>
          <w:sz w:val="22"/>
          <w:lang w:val="en-GB"/>
        </w:rPr>
      </w:pPr>
    </w:p>
    <w:p w:rsidR="001B7B94" w:rsidRPr="003F2DE2" w:rsidRDefault="001B7B94" w:rsidP="00CD659B">
      <w:pPr>
        <w:spacing w:before="80"/>
        <w:rPr>
          <w:i/>
          <w:sz w:val="22"/>
          <w:lang w:val="en-GB"/>
        </w:rPr>
      </w:pPr>
    </w:p>
    <w:p w:rsidR="001B7B94" w:rsidRPr="003F2DE2" w:rsidRDefault="001B7B94" w:rsidP="00CD659B">
      <w:pPr>
        <w:spacing w:before="80"/>
        <w:rPr>
          <w:i/>
          <w:sz w:val="22"/>
          <w:lang w:val="en-GB"/>
        </w:rPr>
      </w:pPr>
    </w:p>
    <w:p w:rsidR="001B7B94" w:rsidRPr="003F2DE2" w:rsidRDefault="001B7B94" w:rsidP="00CD659B">
      <w:pPr>
        <w:spacing w:before="80"/>
        <w:rPr>
          <w:i/>
          <w:sz w:val="22"/>
          <w:lang w:val="en-GB"/>
        </w:rPr>
      </w:pPr>
    </w:p>
    <w:p w:rsidR="001B7B94" w:rsidRPr="003F2DE2" w:rsidRDefault="001B7B94" w:rsidP="00CD659B">
      <w:pPr>
        <w:spacing w:before="80"/>
        <w:rPr>
          <w:i/>
          <w:sz w:val="22"/>
          <w:lang w:val="en-GB"/>
        </w:rPr>
      </w:pPr>
    </w:p>
    <w:p w:rsidR="001B7B94" w:rsidRPr="003F2DE2" w:rsidRDefault="00E36016" w:rsidP="00CD659B">
      <w:pPr>
        <w:pStyle w:val="Equation"/>
        <w:tabs>
          <w:tab w:val="clear" w:pos="4820"/>
          <w:tab w:val="clear" w:pos="9639"/>
          <w:tab w:val="left" w:pos="1191"/>
          <w:tab w:val="left" w:pos="1588"/>
          <w:tab w:val="left" w:pos="1985"/>
        </w:tabs>
        <w:rPr>
          <w:rFonts w:ascii="Palatino Linotype" w:hAnsi="Palatino Linotype"/>
          <w:lang w:val="en-GB"/>
        </w:rPr>
        <w:sectPr w:rsidR="001B7B94" w:rsidRPr="003F2DE2" w:rsidSect="00C958FE">
          <w:headerReference w:type="even" r:id="rId8"/>
          <w:headerReference w:type="default" r:id="rId9"/>
          <w:pgSz w:w="11907" w:h="16834" w:code="9"/>
          <w:pgMar w:top="1418" w:right="1134" w:bottom="1134" w:left="1134" w:header="720" w:footer="482" w:gutter="0"/>
          <w:paperSrc w:first="15" w:other="15"/>
          <w:cols w:space="720"/>
        </w:sectPr>
      </w:pPr>
      <w:r>
        <w:rPr>
          <w:noProof/>
          <w:lang w:val="en-US" w:eastAsia="zh-CN"/>
        </w:rPr>
        <w:drawing>
          <wp:anchor distT="0" distB="0" distL="114300" distR="114300" simplePos="0" relativeHeight="251659264" behindDoc="0" locked="0" layoutInCell="1" allowOverlap="1" wp14:anchorId="5DCD961B" wp14:editId="3304636D">
            <wp:simplePos x="0" y="0"/>
            <wp:positionH relativeFrom="margin">
              <wp:posOffset>0</wp:posOffset>
            </wp:positionH>
            <wp:positionV relativeFrom="margin">
              <wp:posOffset>8524303</wp:posOffset>
            </wp:positionV>
            <wp:extent cx="1247775" cy="935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1B7B94" w:rsidRPr="003F2DE2" w:rsidRDefault="001B7B94"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F2DE2">
        <w:rPr>
          <w:bCs/>
          <w:sz w:val="24"/>
          <w:szCs w:val="24"/>
          <w:lang w:val="en-GB"/>
        </w:rPr>
        <w:lastRenderedPageBreak/>
        <w:t>Foreword</w:t>
      </w:r>
    </w:p>
    <w:p w:rsidR="001B7B94" w:rsidRPr="003F2DE2" w:rsidRDefault="001B7B94" w:rsidP="007D3B79">
      <w:pPr>
        <w:spacing w:before="240"/>
        <w:rPr>
          <w:sz w:val="20"/>
          <w:lang w:val="en-GB"/>
        </w:rPr>
      </w:pPr>
      <w:r w:rsidRPr="003F2DE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B7B94" w:rsidRPr="003F2DE2" w:rsidRDefault="001B7B94" w:rsidP="007D3B79">
      <w:pPr>
        <w:rPr>
          <w:sz w:val="20"/>
          <w:lang w:val="en-GB"/>
        </w:rPr>
      </w:pPr>
      <w:r w:rsidRPr="003F2DE2">
        <w:rPr>
          <w:sz w:val="20"/>
          <w:lang w:val="en-GB"/>
        </w:rPr>
        <w:t>The regulatory and policy functions of the Radiocommunication Sector are performed by World and Regional Radiocommunication Conferences and Radiocommunication Assemblies supported by Study Groups.</w:t>
      </w:r>
    </w:p>
    <w:p w:rsidR="001B7B94" w:rsidRPr="003F2DE2" w:rsidRDefault="001B7B94" w:rsidP="007D3B79">
      <w:pPr>
        <w:pStyle w:val="Heading1"/>
        <w:spacing w:before="680"/>
        <w:jc w:val="center"/>
        <w:rPr>
          <w:szCs w:val="24"/>
          <w:lang w:val="en-GB"/>
        </w:rPr>
      </w:pPr>
      <w:r w:rsidRPr="003F2DE2">
        <w:rPr>
          <w:szCs w:val="24"/>
          <w:lang w:val="en-GB"/>
        </w:rPr>
        <w:t>Policy on Intellectual Property Right (IPR)</w:t>
      </w:r>
    </w:p>
    <w:p w:rsidR="001B7B94" w:rsidRPr="003F2DE2" w:rsidRDefault="001B7B94" w:rsidP="00A766F4">
      <w:pPr>
        <w:tabs>
          <w:tab w:val="clear" w:pos="794"/>
          <w:tab w:val="clear" w:pos="1191"/>
          <w:tab w:val="clear" w:pos="1588"/>
          <w:tab w:val="clear" w:pos="1985"/>
        </w:tabs>
        <w:spacing w:before="240"/>
        <w:rPr>
          <w:sz w:val="20"/>
          <w:lang w:val="en-GB"/>
        </w:rPr>
      </w:pPr>
      <w:r w:rsidRPr="003F2DE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3F2DE2">
          <w:rPr>
            <w:rStyle w:val="Hyperlink"/>
            <w:sz w:val="20"/>
            <w:lang w:val="en-GB"/>
          </w:rPr>
          <w:t>http://www.itu.int/ITU-R/go/patents/en</w:t>
        </w:r>
      </w:hyperlink>
      <w:r w:rsidRPr="003F2DE2">
        <w:rPr>
          <w:sz w:val="20"/>
          <w:lang w:val="en-GB"/>
        </w:rPr>
        <w:t xml:space="preserve"> where the Guidelines for Implementation of the Common Patent Policy for ITU</w:t>
      </w:r>
      <w:r w:rsidRPr="003F2DE2">
        <w:rPr>
          <w:sz w:val="20"/>
          <w:lang w:val="en-GB"/>
        </w:rPr>
        <w:noBreakHyphen/>
        <w:t>T/ITU</w:t>
      </w:r>
      <w:r w:rsidRPr="003F2DE2">
        <w:rPr>
          <w:sz w:val="20"/>
          <w:lang w:val="en-GB"/>
        </w:rPr>
        <w:noBreakHyphen/>
        <w:t xml:space="preserve">R/ISO/IEC and the ITU-R patent information database can also be found. </w:t>
      </w:r>
    </w:p>
    <w:p w:rsidR="001B7B94" w:rsidRPr="003F2DE2" w:rsidRDefault="001B7B94" w:rsidP="007D3B79">
      <w:pPr>
        <w:jc w:val="center"/>
        <w:rPr>
          <w:sz w:val="22"/>
          <w:lang w:val="en-GB"/>
        </w:rPr>
      </w:pPr>
    </w:p>
    <w:p w:rsidR="001B7B94" w:rsidRPr="003F2DE2" w:rsidRDefault="001B7B94"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B7B94" w:rsidRPr="00F75857" w:rsidTr="00220899">
        <w:tc>
          <w:tcPr>
            <w:tcW w:w="9360" w:type="dxa"/>
            <w:gridSpan w:val="2"/>
          </w:tcPr>
          <w:p w:rsidR="001B7B94" w:rsidRPr="003F2DE2" w:rsidRDefault="001B7B94"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3F2DE2">
              <w:rPr>
                <w:sz w:val="22"/>
                <w:szCs w:val="22"/>
                <w:lang w:val="en-GB"/>
              </w:rPr>
              <w:t xml:space="preserve">Series of ITU-R Recommendations </w:t>
            </w:r>
          </w:p>
          <w:p w:rsidR="001B7B94" w:rsidRPr="003F2DE2" w:rsidRDefault="001B7B9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F2DE2">
              <w:rPr>
                <w:bCs/>
                <w:sz w:val="18"/>
                <w:szCs w:val="18"/>
                <w:lang w:val="en-GB"/>
              </w:rPr>
              <w:t>(</w:t>
            </w:r>
            <w:r w:rsidRPr="003F2DE2">
              <w:rPr>
                <w:b w:val="0"/>
                <w:sz w:val="18"/>
                <w:szCs w:val="18"/>
                <w:lang w:val="en-GB"/>
              </w:rPr>
              <w:t xml:space="preserve">Also available online at </w:t>
            </w:r>
            <w:hyperlink r:id="rId12" w:history="1">
              <w:r w:rsidRPr="003F2DE2">
                <w:rPr>
                  <w:rStyle w:val="Hyperlink"/>
                  <w:b w:val="0"/>
                  <w:sz w:val="18"/>
                  <w:szCs w:val="18"/>
                  <w:lang w:val="en-GB"/>
                </w:rPr>
                <w:t>http://www.itu.int/publ/R-REC/en</w:t>
              </w:r>
            </w:hyperlink>
            <w:r w:rsidRPr="003F2DE2">
              <w:rPr>
                <w:b w:val="0"/>
                <w:sz w:val="18"/>
                <w:szCs w:val="18"/>
                <w:lang w:val="en-GB"/>
              </w:rPr>
              <w:t>)</w:t>
            </w:r>
          </w:p>
        </w:tc>
      </w:tr>
      <w:tr w:rsidR="001B7B94" w:rsidRPr="003F2DE2" w:rsidTr="00220899">
        <w:tc>
          <w:tcPr>
            <w:tcW w:w="1140" w:type="dxa"/>
          </w:tcPr>
          <w:p w:rsidR="001B7B94" w:rsidRPr="003F2DE2" w:rsidRDefault="001B7B94" w:rsidP="00220899">
            <w:pPr>
              <w:spacing w:before="200" w:after="100"/>
              <w:ind w:left="57"/>
              <w:rPr>
                <w:b/>
                <w:bCs/>
                <w:sz w:val="20"/>
                <w:lang w:val="en-GB"/>
              </w:rPr>
            </w:pPr>
            <w:r w:rsidRPr="003F2DE2">
              <w:rPr>
                <w:b/>
                <w:bCs/>
                <w:sz w:val="20"/>
                <w:lang w:val="en-GB"/>
              </w:rPr>
              <w:t>Series</w:t>
            </w:r>
          </w:p>
        </w:tc>
        <w:tc>
          <w:tcPr>
            <w:tcW w:w="8220" w:type="dxa"/>
          </w:tcPr>
          <w:p w:rsidR="001B7B94" w:rsidRPr="003F2DE2" w:rsidRDefault="001B7B9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F2DE2">
              <w:rPr>
                <w:bCs/>
                <w:sz w:val="20"/>
                <w:lang w:val="en-GB"/>
              </w:rPr>
              <w:t>Title</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BO</w:t>
            </w:r>
          </w:p>
        </w:tc>
        <w:tc>
          <w:tcPr>
            <w:tcW w:w="8220" w:type="dxa"/>
          </w:tcPr>
          <w:p w:rsidR="001B7B94" w:rsidRPr="003F2DE2" w:rsidRDefault="001B7B9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F2DE2">
              <w:rPr>
                <w:b w:val="0"/>
                <w:bCs/>
                <w:sz w:val="20"/>
                <w:lang w:val="en-GB"/>
              </w:rPr>
              <w:t>Satellite delivery</w:t>
            </w:r>
          </w:p>
        </w:tc>
      </w:tr>
      <w:tr w:rsidR="001B7B94" w:rsidRPr="00F75857"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BR</w:t>
            </w:r>
          </w:p>
        </w:tc>
        <w:tc>
          <w:tcPr>
            <w:tcW w:w="8220" w:type="dxa"/>
          </w:tcPr>
          <w:p w:rsidR="001B7B94" w:rsidRPr="003F2DE2" w:rsidRDefault="001B7B9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F2DE2">
              <w:rPr>
                <w:b w:val="0"/>
                <w:sz w:val="20"/>
                <w:lang w:val="en-GB"/>
              </w:rPr>
              <w:t>Recording for production, archival and play-out; film for television</w:t>
            </w:r>
          </w:p>
        </w:tc>
      </w:tr>
      <w:tr w:rsidR="001B7B94" w:rsidRPr="003F2DE2" w:rsidTr="007D3B79">
        <w:tc>
          <w:tcPr>
            <w:tcW w:w="1140" w:type="dxa"/>
            <w:tcBorders>
              <w:bottom w:val="nil"/>
            </w:tcBorders>
          </w:tcPr>
          <w:p w:rsidR="001B7B94" w:rsidRPr="003F2DE2" w:rsidRDefault="001B7B94" w:rsidP="00220899">
            <w:pPr>
              <w:spacing w:before="30" w:after="30"/>
              <w:ind w:left="57"/>
              <w:jc w:val="left"/>
              <w:rPr>
                <w:b/>
                <w:bCs/>
                <w:sz w:val="20"/>
                <w:lang w:val="en-GB"/>
              </w:rPr>
            </w:pPr>
            <w:r w:rsidRPr="003F2DE2">
              <w:rPr>
                <w:b/>
                <w:bCs/>
                <w:sz w:val="20"/>
                <w:lang w:val="en-GB"/>
              </w:rPr>
              <w:t>BS</w:t>
            </w:r>
          </w:p>
        </w:tc>
        <w:tc>
          <w:tcPr>
            <w:tcW w:w="8220" w:type="dxa"/>
            <w:tcBorders>
              <w:bottom w:val="nil"/>
            </w:tcBorders>
          </w:tcPr>
          <w:p w:rsidR="001B7B94" w:rsidRPr="003F2DE2" w:rsidRDefault="001B7B9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F2DE2">
              <w:rPr>
                <w:b w:val="0"/>
                <w:sz w:val="20"/>
                <w:lang w:val="en-GB"/>
              </w:rPr>
              <w:t>Broadcasting service (sound)</w:t>
            </w:r>
          </w:p>
        </w:tc>
      </w:tr>
      <w:tr w:rsidR="001B7B94" w:rsidRPr="003F2DE2" w:rsidTr="007D3B79">
        <w:tc>
          <w:tcPr>
            <w:tcW w:w="1140" w:type="dxa"/>
            <w:tcBorders>
              <w:top w:val="nil"/>
              <w:bottom w:val="nil"/>
            </w:tcBorders>
            <w:shd w:val="clear" w:color="auto" w:fill="F3F3F3"/>
          </w:tcPr>
          <w:p w:rsidR="001B7B94" w:rsidRPr="003F2DE2" w:rsidRDefault="001B7B94" w:rsidP="00220899">
            <w:pPr>
              <w:spacing w:before="30" w:after="30"/>
              <w:ind w:left="57"/>
              <w:jc w:val="left"/>
              <w:rPr>
                <w:rFonts w:ascii="Times New Roman Bold" w:hAnsi="Times New Roman Bold" w:cs="Times New Roman Bold"/>
                <w:color w:val="000080"/>
                <w:sz w:val="20"/>
                <w:lang w:val="en-GB"/>
              </w:rPr>
            </w:pPr>
            <w:r w:rsidRPr="003F2DE2">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1B7B94" w:rsidRPr="003F2DE2" w:rsidRDefault="001B7B9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3F2DE2">
              <w:rPr>
                <w:rFonts w:ascii="Times New Roman Bold" w:hAnsi="Times New Roman Bold" w:cs="Times New Roman Bold"/>
                <w:b w:val="0"/>
                <w:color w:val="000080"/>
                <w:sz w:val="20"/>
                <w:lang w:val="en-GB"/>
              </w:rPr>
              <w:t>Broadcasting service (television)</w:t>
            </w:r>
          </w:p>
        </w:tc>
      </w:tr>
      <w:tr w:rsidR="001B7B94" w:rsidRPr="003F2DE2" w:rsidTr="007D3B79">
        <w:tc>
          <w:tcPr>
            <w:tcW w:w="1140" w:type="dxa"/>
            <w:tcBorders>
              <w:top w:val="nil"/>
              <w:bottom w:val="nil"/>
            </w:tcBorders>
            <w:shd w:val="clear" w:color="auto" w:fill="auto"/>
          </w:tcPr>
          <w:p w:rsidR="001B7B94" w:rsidRPr="003F2DE2" w:rsidRDefault="001B7B94" w:rsidP="00220899">
            <w:pPr>
              <w:spacing w:before="30" w:after="30"/>
              <w:ind w:left="57"/>
              <w:jc w:val="left"/>
              <w:rPr>
                <w:b/>
                <w:bCs/>
                <w:sz w:val="20"/>
                <w:lang w:val="en-GB"/>
              </w:rPr>
            </w:pPr>
            <w:r w:rsidRPr="003F2DE2">
              <w:rPr>
                <w:b/>
                <w:bCs/>
                <w:sz w:val="20"/>
                <w:lang w:val="en-GB"/>
              </w:rPr>
              <w:t>F</w:t>
            </w:r>
          </w:p>
        </w:tc>
        <w:tc>
          <w:tcPr>
            <w:tcW w:w="8220" w:type="dxa"/>
            <w:tcBorders>
              <w:top w:val="nil"/>
              <w:bottom w:val="nil"/>
            </w:tcBorders>
            <w:shd w:val="clear" w:color="auto" w:fill="auto"/>
          </w:tcPr>
          <w:p w:rsidR="001B7B94" w:rsidRPr="003F2DE2" w:rsidRDefault="001B7B94"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F2DE2">
              <w:rPr>
                <w:sz w:val="20"/>
                <w:lang w:val="en-GB"/>
              </w:rPr>
              <w:t>Fixed service</w:t>
            </w:r>
          </w:p>
        </w:tc>
      </w:tr>
      <w:tr w:rsidR="001B7B94" w:rsidRPr="003F2DE2" w:rsidTr="007D3B79">
        <w:tc>
          <w:tcPr>
            <w:tcW w:w="1140" w:type="dxa"/>
            <w:tcBorders>
              <w:top w:val="nil"/>
              <w:bottom w:val="nil"/>
            </w:tcBorders>
            <w:shd w:val="clear" w:color="auto" w:fill="auto"/>
          </w:tcPr>
          <w:p w:rsidR="001B7B94" w:rsidRPr="003F2DE2" w:rsidRDefault="001B7B94" w:rsidP="00220899">
            <w:pPr>
              <w:spacing w:before="30" w:after="30"/>
              <w:ind w:left="57"/>
              <w:jc w:val="left"/>
              <w:rPr>
                <w:rFonts w:ascii="Times New Roman Bold" w:hAnsi="Times New Roman Bold" w:cs="Times New Roman Bold"/>
                <w:b/>
                <w:bCs/>
                <w:sz w:val="20"/>
                <w:lang w:val="en-GB"/>
              </w:rPr>
            </w:pPr>
            <w:r w:rsidRPr="003F2DE2">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1B7B94" w:rsidRPr="003F2DE2" w:rsidRDefault="001B7B9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F2DE2">
              <w:rPr>
                <w:rFonts w:hAnsi="Times New Roman Bold"/>
                <w:b w:val="0"/>
                <w:sz w:val="20"/>
                <w:lang w:val="en-GB"/>
              </w:rPr>
              <w:t>Mobile, radiodetermination, amateur and related satellite services</w:t>
            </w:r>
          </w:p>
        </w:tc>
      </w:tr>
      <w:tr w:rsidR="001B7B94" w:rsidRPr="003F2DE2" w:rsidTr="007D3B79">
        <w:tc>
          <w:tcPr>
            <w:tcW w:w="1140" w:type="dxa"/>
            <w:tcBorders>
              <w:top w:val="nil"/>
            </w:tcBorders>
          </w:tcPr>
          <w:p w:rsidR="001B7B94" w:rsidRPr="003F2DE2" w:rsidRDefault="001B7B94" w:rsidP="00220899">
            <w:pPr>
              <w:spacing w:before="30" w:after="30"/>
              <w:ind w:left="57"/>
              <w:jc w:val="left"/>
              <w:rPr>
                <w:b/>
                <w:bCs/>
                <w:sz w:val="20"/>
                <w:lang w:val="en-GB"/>
              </w:rPr>
            </w:pPr>
            <w:r w:rsidRPr="003F2DE2">
              <w:rPr>
                <w:b/>
                <w:bCs/>
                <w:sz w:val="20"/>
                <w:lang w:val="en-GB"/>
              </w:rPr>
              <w:t>P</w:t>
            </w:r>
          </w:p>
        </w:tc>
        <w:tc>
          <w:tcPr>
            <w:tcW w:w="8220" w:type="dxa"/>
            <w:tcBorders>
              <w:top w:val="nil"/>
            </w:tcBorders>
          </w:tcPr>
          <w:p w:rsidR="001B7B94" w:rsidRPr="003F2DE2" w:rsidRDefault="001B7B94" w:rsidP="00220899">
            <w:pPr>
              <w:spacing w:before="30" w:after="30"/>
              <w:jc w:val="left"/>
              <w:rPr>
                <w:sz w:val="20"/>
                <w:lang w:val="en-GB"/>
              </w:rPr>
            </w:pPr>
            <w:r w:rsidRPr="003F2DE2">
              <w:rPr>
                <w:sz w:val="20"/>
                <w:lang w:val="en-GB"/>
              </w:rPr>
              <w:t>Radiowave propagation</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RA</w:t>
            </w:r>
          </w:p>
        </w:tc>
        <w:tc>
          <w:tcPr>
            <w:tcW w:w="8220" w:type="dxa"/>
          </w:tcPr>
          <w:p w:rsidR="001B7B94" w:rsidRPr="003F2DE2" w:rsidRDefault="001B7B94"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F2DE2">
              <w:rPr>
                <w:sz w:val="20"/>
                <w:lang w:val="en-GB"/>
              </w:rPr>
              <w:t>Radio astronomy</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RS</w:t>
            </w:r>
          </w:p>
        </w:tc>
        <w:tc>
          <w:tcPr>
            <w:tcW w:w="8220" w:type="dxa"/>
          </w:tcPr>
          <w:p w:rsidR="001B7B94" w:rsidRPr="003F2DE2" w:rsidRDefault="001B7B94"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F2DE2">
              <w:rPr>
                <w:sz w:val="20"/>
                <w:lang w:val="en-GB"/>
              </w:rPr>
              <w:t>Remote sensing systems</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S</w:t>
            </w:r>
          </w:p>
        </w:tc>
        <w:tc>
          <w:tcPr>
            <w:tcW w:w="8220" w:type="dxa"/>
          </w:tcPr>
          <w:p w:rsidR="001B7B94" w:rsidRPr="003F2DE2" w:rsidRDefault="001B7B94" w:rsidP="00220899">
            <w:pPr>
              <w:spacing w:before="30" w:after="30"/>
              <w:jc w:val="left"/>
              <w:rPr>
                <w:sz w:val="20"/>
                <w:lang w:val="en-GB"/>
              </w:rPr>
            </w:pPr>
            <w:r w:rsidRPr="003F2DE2">
              <w:rPr>
                <w:sz w:val="20"/>
                <w:lang w:val="en-GB"/>
              </w:rPr>
              <w:t>Fixed-satellite service</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SA</w:t>
            </w:r>
          </w:p>
        </w:tc>
        <w:tc>
          <w:tcPr>
            <w:tcW w:w="8220" w:type="dxa"/>
          </w:tcPr>
          <w:p w:rsidR="001B7B94" w:rsidRPr="003F2DE2" w:rsidRDefault="001B7B94" w:rsidP="00220899">
            <w:pPr>
              <w:spacing w:before="30" w:after="30"/>
              <w:jc w:val="left"/>
              <w:rPr>
                <w:sz w:val="20"/>
                <w:lang w:val="en-GB"/>
              </w:rPr>
            </w:pPr>
            <w:r w:rsidRPr="003F2DE2">
              <w:rPr>
                <w:sz w:val="20"/>
                <w:lang w:val="en-GB"/>
              </w:rPr>
              <w:t>Space applications and meteorology</w:t>
            </w:r>
          </w:p>
        </w:tc>
      </w:tr>
      <w:tr w:rsidR="001B7B94" w:rsidRPr="00F75857"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SF</w:t>
            </w:r>
          </w:p>
        </w:tc>
        <w:tc>
          <w:tcPr>
            <w:tcW w:w="8220" w:type="dxa"/>
          </w:tcPr>
          <w:p w:rsidR="001B7B94" w:rsidRPr="003F2DE2" w:rsidRDefault="001B7B94" w:rsidP="00220899">
            <w:pPr>
              <w:spacing w:before="30" w:after="30"/>
              <w:jc w:val="left"/>
              <w:rPr>
                <w:sz w:val="20"/>
                <w:lang w:val="en-GB"/>
              </w:rPr>
            </w:pPr>
            <w:r w:rsidRPr="003F2DE2">
              <w:rPr>
                <w:sz w:val="20"/>
                <w:lang w:val="en-GB"/>
              </w:rPr>
              <w:t>Frequency sharing and coordination between fixed-satellite and fixed service systems</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SM</w:t>
            </w:r>
          </w:p>
        </w:tc>
        <w:tc>
          <w:tcPr>
            <w:tcW w:w="8220" w:type="dxa"/>
          </w:tcPr>
          <w:p w:rsidR="001B7B94" w:rsidRPr="003F2DE2" w:rsidRDefault="001B7B94" w:rsidP="00220899">
            <w:pPr>
              <w:spacing w:before="30" w:after="30"/>
              <w:jc w:val="left"/>
              <w:rPr>
                <w:sz w:val="20"/>
                <w:lang w:val="en-GB"/>
              </w:rPr>
            </w:pPr>
            <w:r w:rsidRPr="003F2DE2">
              <w:rPr>
                <w:sz w:val="20"/>
                <w:lang w:val="en-GB"/>
              </w:rPr>
              <w:t>Spectrum management</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SNG</w:t>
            </w:r>
          </w:p>
        </w:tc>
        <w:tc>
          <w:tcPr>
            <w:tcW w:w="8220" w:type="dxa"/>
          </w:tcPr>
          <w:p w:rsidR="001B7B94" w:rsidRPr="003F2DE2" w:rsidRDefault="001B7B94" w:rsidP="00220899">
            <w:pPr>
              <w:spacing w:before="30" w:after="30"/>
              <w:jc w:val="left"/>
              <w:rPr>
                <w:sz w:val="20"/>
                <w:lang w:val="en-GB"/>
              </w:rPr>
            </w:pPr>
            <w:r w:rsidRPr="003F2DE2">
              <w:rPr>
                <w:sz w:val="20"/>
                <w:lang w:val="en-GB"/>
              </w:rPr>
              <w:t>Satellite news gathering</w:t>
            </w:r>
          </w:p>
        </w:tc>
      </w:tr>
      <w:tr w:rsidR="001B7B94" w:rsidRPr="00F75857"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TF</w:t>
            </w:r>
          </w:p>
        </w:tc>
        <w:tc>
          <w:tcPr>
            <w:tcW w:w="8220" w:type="dxa"/>
          </w:tcPr>
          <w:p w:rsidR="001B7B94" w:rsidRPr="003F2DE2" w:rsidRDefault="001B7B94" w:rsidP="00220899">
            <w:pPr>
              <w:spacing w:before="30" w:after="30"/>
              <w:jc w:val="left"/>
              <w:rPr>
                <w:sz w:val="20"/>
                <w:lang w:val="en-GB"/>
              </w:rPr>
            </w:pPr>
            <w:r w:rsidRPr="003F2DE2">
              <w:rPr>
                <w:sz w:val="20"/>
                <w:lang w:val="en-GB"/>
              </w:rPr>
              <w:t>Time signals and frequency standards emissions</w:t>
            </w:r>
          </w:p>
        </w:tc>
      </w:tr>
      <w:tr w:rsidR="001B7B94" w:rsidRPr="003F2DE2" w:rsidTr="00220899">
        <w:tc>
          <w:tcPr>
            <w:tcW w:w="1140" w:type="dxa"/>
          </w:tcPr>
          <w:p w:rsidR="001B7B94" w:rsidRPr="003F2DE2" w:rsidRDefault="001B7B94" w:rsidP="00220899">
            <w:pPr>
              <w:spacing w:before="30" w:after="30"/>
              <w:ind w:left="57"/>
              <w:jc w:val="left"/>
              <w:rPr>
                <w:b/>
                <w:bCs/>
                <w:sz w:val="20"/>
                <w:lang w:val="en-GB"/>
              </w:rPr>
            </w:pPr>
            <w:r w:rsidRPr="003F2DE2">
              <w:rPr>
                <w:b/>
                <w:bCs/>
                <w:sz w:val="20"/>
                <w:lang w:val="en-GB"/>
              </w:rPr>
              <w:t>V</w:t>
            </w:r>
          </w:p>
        </w:tc>
        <w:tc>
          <w:tcPr>
            <w:tcW w:w="8220" w:type="dxa"/>
          </w:tcPr>
          <w:p w:rsidR="001B7B94" w:rsidRPr="003F2DE2" w:rsidRDefault="001B7B94" w:rsidP="00220899">
            <w:pPr>
              <w:spacing w:before="30" w:after="180"/>
              <w:jc w:val="left"/>
              <w:rPr>
                <w:sz w:val="20"/>
                <w:lang w:val="en-GB"/>
              </w:rPr>
            </w:pPr>
            <w:r w:rsidRPr="003F2DE2">
              <w:rPr>
                <w:sz w:val="20"/>
                <w:lang w:val="en-GB"/>
              </w:rPr>
              <w:t>Vocabulary and related subjects</w:t>
            </w:r>
          </w:p>
        </w:tc>
      </w:tr>
    </w:tbl>
    <w:p w:rsidR="001B7B94" w:rsidRPr="003F2DE2" w:rsidRDefault="001B7B94" w:rsidP="007D3B79">
      <w:pPr>
        <w:spacing w:before="30" w:after="30"/>
        <w:jc w:val="center"/>
        <w:rPr>
          <w:sz w:val="20"/>
          <w:lang w:val="en-GB"/>
        </w:rPr>
      </w:pPr>
    </w:p>
    <w:p w:rsidR="001B7B94" w:rsidRPr="003F2DE2" w:rsidRDefault="001B7B94"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B7B94" w:rsidRPr="00F75857" w:rsidTr="006B55A9">
        <w:tc>
          <w:tcPr>
            <w:tcW w:w="9360" w:type="dxa"/>
          </w:tcPr>
          <w:p w:rsidR="001B7B94" w:rsidRPr="003F2DE2" w:rsidRDefault="001B7B94" w:rsidP="006B55A9">
            <w:pPr>
              <w:spacing w:after="120"/>
              <w:jc w:val="center"/>
              <w:rPr>
                <w:sz w:val="20"/>
                <w:lang w:val="en-GB"/>
              </w:rPr>
            </w:pPr>
            <w:r w:rsidRPr="003F2DE2">
              <w:rPr>
                <w:b/>
                <w:bCs/>
                <w:i/>
                <w:iCs/>
                <w:sz w:val="20"/>
                <w:lang w:val="en-GB"/>
              </w:rPr>
              <w:t>Note</w:t>
            </w:r>
            <w:r w:rsidRPr="003F2DE2">
              <w:rPr>
                <w:sz w:val="20"/>
                <w:lang w:val="en-GB"/>
              </w:rPr>
              <w:t xml:space="preserve">: </w:t>
            </w:r>
            <w:r w:rsidRPr="003F2DE2">
              <w:rPr>
                <w:i/>
                <w:iCs/>
                <w:sz w:val="20"/>
                <w:lang w:val="en-GB"/>
              </w:rPr>
              <w:t>This ITU-R Recommendation was approved in English under the procedure detailed in Resolution ITU-R 1.</w:t>
            </w:r>
          </w:p>
        </w:tc>
      </w:tr>
    </w:tbl>
    <w:p w:rsidR="001B7B94" w:rsidRPr="003F2DE2" w:rsidRDefault="001B7B94" w:rsidP="007D3B79">
      <w:pPr>
        <w:spacing w:before="0"/>
        <w:jc w:val="center"/>
        <w:rPr>
          <w:sz w:val="22"/>
          <w:lang w:val="en-GB"/>
        </w:rPr>
      </w:pPr>
    </w:p>
    <w:p w:rsidR="001B7B94" w:rsidRPr="003F2DE2" w:rsidRDefault="001B7B94" w:rsidP="007D3B79">
      <w:pPr>
        <w:spacing w:before="0"/>
        <w:jc w:val="center"/>
        <w:rPr>
          <w:sz w:val="22"/>
          <w:lang w:val="en-GB"/>
        </w:rPr>
      </w:pPr>
    </w:p>
    <w:p w:rsidR="001B7B94" w:rsidRPr="003F2DE2" w:rsidRDefault="001B7B94" w:rsidP="007D3B79">
      <w:pPr>
        <w:spacing w:before="0"/>
        <w:jc w:val="right"/>
        <w:rPr>
          <w:i/>
          <w:iCs/>
          <w:sz w:val="20"/>
          <w:lang w:val="en-GB"/>
        </w:rPr>
      </w:pPr>
      <w:r w:rsidRPr="003F2DE2">
        <w:rPr>
          <w:i/>
          <w:iCs/>
          <w:sz w:val="20"/>
          <w:lang w:val="en-GB"/>
        </w:rPr>
        <w:t>Electronic Publication</w:t>
      </w:r>
    </w:p>
    <w:p w:rsidR="001B7B94" w:rsidRPr="003F2DE2" w:rsidRDefault="002A2670" w:rsidP="00E3496F">
      <w:pPr>
        <w:spacing w:before="0"/>
        <w:jc w:val="right"/>
        <w:rPr>
          <w:sz w:val="20"/>
          <w:lang w:val="en-GB"/>
        </w:rPr>
      </w:pPr>
      <w:r>
        <w:rPr>
          <w:sz w:val="20"/>
          <w:lang w:val="en-GB"/>
        </w:rPr>
        <w:t>Geneva, 2015</w:t>
      </w:r>
    </w:p>
    <w:p w:rsidR="001B7B94" w:rsidRPr="003F2DE2" w:rsidRDefault="001B7B94" w:rsidP="007D3B79">
      <w:pPr>
        <w:jc w:val="center"/>
        <w:rPr>
          <w:sz w:val="22"/>
          <w:lang w:val="en-GB"/>
        </w:rPr>
      </w:pPr>
    </w:p>
    <w:p w:rsidR="001B7B94" w:rsidRPr="003F2DE2" w:rsidRDefault="001B7B94" w:rsidP="00124C88">
      <w:pPr>
        <w:jc w:val="center"/>
        <w:rPr>
          <w:sz w:val="20"/>
          <w:lang w:val="en-GB"/>
        </w:rPr>
      </w:pPr>
      <w:r w:rsidRPr="003F2DE2">
        <w:rPr>
          <w:sz w:val="20"/>
          <w:lang w:val="en-GB"/>
        </w:rPr>
        <w:sym w:font="Symbol" w:char="F0E3"/>
      </w:r>
      <w:r w:rsidRPr="003F2DE2">
        <w:rPr>
          <w:sz w:val="20"/>
          <w:lang w:val="en-GB"/>
        </w:rPr>
        <w:t xml:space="preserve"> ITU </w:t>
      </w:r>
      <w:bookmarkStart w:id="1" w:name="iiannee"/>
      <w:bookmarkEnd w:id="1"/>
      <w:r w:rsidR="002A2670">
        <w:rPr>
          <w:sz w:val="20"/>
          <w:lang w:val="en-GB"/>
        </w:rPr>
        <w:t>2015</w:t>
      </w:r>
    </w:p>
    <w:p w:rsidR="001B7B94" w:rsidRPr="003F2DE2" w:rsidRDefault="001B7B94" w:rsidP="007D3B79">
      <w:pPr>
        <w:rPr>
          <w:sz w:val="18"/>
          <w:szCs w:val="18"/>
          <w:lang w:val="en-GB"/>
        </w:rPr>
      </w:pPr>
      <w:r w:rsidRPr="003F2DE2">
        <w:rPr>
          <w:sz w:val="18"/>
          <w:szCs w:val="18"/>
          <w:lang w:val="en-GB"/>
        </w:rPr>
        <w:t>All rights reserved. No part of this publication may be reproduced, by any means whatsoever, without written permission of ITU.</w:t>
      </w:r>
    </w:p>
    <w:p w:rsidR="001B7B94" w:rsidRPr="003F2DE2" w:rsidRDefault="001B7B94" w:rsidP="00220899">
      <w:pPr>
        <w:spacing w:before="160"/>
        <w:rPr>
          <w:i/>
          <w:sz w:val="20"/>
          <w:lang w:val="en-GB"/>
        </w:rPr>
        <w:sectPr w:rsidR="001B7B94" w:rsidRPr="003F2DE2"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B73A76" w:rsidRPr="003F2DE2" w:rsidRDefault="001B7B94" w:rsidP="00B73A76">
      <w:pPr>
        <w:pStyle w:val="RecNo"/>
        <w:spacing w:before="0"/>
        <w:rPr>
          <w:lang w:val="en-GB"/>
        </w:rPr>
      </w:pPr>
      <w:bookmarkStart w:id="2" w:name="irecnoe"/>
      <w:bookmarkEnd w:id="2"/>
      <w:r w:rsidRPr="003F2DE2">
        <w:rPr>
          <w:lang w:val="en-GB"/>
        </w:rPr>
        <w:lastRenderedPageBreak/>
        <w:t xml:space="preserve">RECOMMENDATION  </w:t>
      </w:r>
      <w:r w:rsidRPr="003F2DE2">
        <w:rPr>
          <w:rStyle w:val="href"/>
          <w:lang w:val="en-GB"/>
        </w:rPr>
        <w:t>ITU-R  BT.</w:t>
      </w:r>
      <w:r w:rsidR="00B73A76" w:rsidRPr="003F2DE2">
        <w:rPr>
          <w:rStyle w:val="href"/>
          <w:lang w:val="en-GB"/>
        </w:rPr>
        <w:t>2053</w:t>
      </w:r>
      <w:r w:rsidR="0088185A">
        <w:rPr>
          <w:rStyle w:val="href"/>
          <w:lang w:val="en-GB"/>
        </w:rPr>
        <w:t>-0</w:t>
      </w:r>
      <w:r w:rsidR="002A2670">
        <w:rPr>
          <w:rStyle w:val="FootnoteReference"/>
          <w:lang w:eastAsia="ja-JP"/>
        </w:rPr>
        <w:footnoteReference w:id="1"/>
      </w:r>
    </w:p>
    <w:p w:rsidR="00B73A76" w:rsidRPr="003F2DE2" w:rsidRDefault="00B73A76" w:rsidP="00B73A76">
      <w:pPr>
        <w:pStyle w:val="Rectitle"/>
        <w:rPr>
          <w:lang w:val="en-GB" w:eastAsia="ja-JP"/>
        </w:rPr>
      </w:pPr>
      <w:r w:rsidRPr="003F2DE2">
        <w:rPr>
          <w:lang w:val="en-GB" w:eastAsia="zh-CN"/>
        </w:rPr>
        <w:t xml:space="preserve">Technical requirements for </w:t>
      </w:r>
      <w:r w:rsidRPr="003F2DE2">
        <w:rPr>
          <w:lang w:val="en-GB" w:eastAsia="ja-JP"/>
        </w:rPr>
        <w:t>integrated broadcast-broadband systems</w:t>
      </w:r>
      <w:r w:rsidRPr="003F2DE2">
        <w:rPr>
          <w:rStyle w:val="FootnoteReference"/>
          <w:lang w:val="en-GB" w:eastAsia="ja-JP"/>
        </w:rPr>
        <w:footnoteReference w:customMarkFollows="1" w:id="2"/>
        <w:t>*</w:t>
      </w:r>
    </w:p>
    <w:p w:rsidR="001023EB" w:rsidRPr="003F2DE2" w:rsidRDefault="001023EB" w:rsidP="00F75857">
      <w:pPr>
        <w:pStyle w:val="Recdate"/>
        <w:rPr>
          <w:lang w:val="en-GB" w:eastAsia="ja-JP"/>
        </w:rPr>
      </w:pPr>
      <w:r w:rsidRPr="003F2DE2">
        <w:rPr>
          <w:lang w:val="en-GB" w:eastAsia="ja-JP"/>
        </w:rPr>
        <w:t>(201</w:t>
      </w:r>
      <w:r w:rsidR="00F75857">
        <w:rPr>
          <w:lang w:val="en-GB" w:eastAsia="ja-JP"/>
        </w:rPr>
        <w:t>4</w:t>
      </w:r>
      <w:r w:rsidRPr="003F2DE2">
        <w:rPr>
          <w:lang w:val="en-GB" w:eastAsia="ja-JP"/>
        </w:rPr>
        <w:t>)</w:t>
      </w:r>
    </w:p>
    <w:p w:rsidR="001B7B94" w:rsidRPr="003F2DE2" w:rsidRDefault="001B7B94" w:rsidP="00B73A76">
      <w:pPr>
        <w:pStyle w:val="HeadingSum"/>
        <w:rPr>
          <w:lang w:val="en-GB"/>
        </w:rPr>
      </w:pPr>
      <w:r w:rsidRPr="003F2DE2">
        <w:rPr>
          <w:lang w:val="en-GB"/>
        </w:rPr>
        <w:t>Scope</w:t>
      </w:r>
    </w:p>
    <w:p w:rsidR="001B7B94" w:rsidRPr="003F2DE2" w:rsidRDefault="001B7B94" w:rsidP="00B73A76">
      <w:pPr>
        <w:pStyle w:val="Summary"/>
        <w:rPr>
          <w:lang w:val="en-GB"/>
        </w:rPr>
      </w:pPr>
      <w:r w:rsidRPr="003F2DE2">
        <w:rPr>
          <w:lang w:val="en-GB"/>
        </w:rPr>
        <w:t>This</w:t>
      </w:r>
      <w:r w:rsidRPr="003F2DE2">
        <w:rPr>
          <w:lang w:val="en-GB" w:eastAsia="ja-JP"/>
        </w:rPr>
        <w:t xml:space="preserve"> Recommendation defines technical </w:t>
      </w:r>
      <w:r w:rsidRPr="003F2DE2">
        <w:rPr>
          <w:lang w:val="en-GB"/>
        </w:rPr>
        <w:t xml:space="preserve">requirements for </w:t>
      </w:r>
      <w:r w:rsidRPr="003F2DE2">
        <w:rPr>
          <w:lang w:val="en-GB" w:eastAsia="ja-JP"/>
        </w:rPr>
        <w:t>integrated broadcast-broadband systems; intended to harmonize the behaviour and the interaction of a variety of types of applications by broadcast delivery, broadband delivery, pre-installed, via application repository, and home area network delivery.</w:t>
      </w:r>
    </w:p>
    <w:p w:rsidR="001B7B94" w:rsidRPr="003F2DE2" w:rsidRDefault="001B7B94" w:rsidP="00B73A76">
      <w:pPr>
        <w:pStyle w:val="Normalaftertitle"/>
        <w:rPr>
          <w:lang w:val="en-GB"/>
        </w:rPr>
      </w:pPr>
      <w:r w:rsidRPr="003F2DE2">
        <w:rPr>
          <w:lang w:val="en-GB"/>
        </w:rPr>
        <w:t>The ITU Radiocommunication Assembly,</w:t>
      </w:r>
    </w:p>
    <w:p w:rsidR="001B7B94" w:rsidRPr="003F2DE2" w:rsidRDefault="001B7B94" w:rsidP="001B7B94">
      <w:pPr>
        <w:pStyle w:val="Call"/>
        <w:rPr>
          <w:lang w:val="en-GB"/>
        </w:rPr>
      </w:pPr>
      <w:r w:rsidRPr="003F2DE2">
        <w:rPr>
          <w:lang w:val="en-GB"/>
        </w:rPr>
        <w:t>considering</w:t>
      </w:r>
    </w:p>
    <w:p w:rsidR="001B7B94" w:rsidRPr="003F2DE2" w:rsidRDefault="001B7B94" w:rsidP="001B7B94">
      <w:pPr>
        <w:rPr>
          <w:lang w:val="en-GB" w:eastAsia="ja-JP"/>
        </w:rPr>
      </w:pPr>
      <w:r w:rsidRPr="00CF5485">
        <w:rPr>
          <w:i/>
          <w:iCs/>
          <w:lang w:val="en-GB"/>
        </w:rPr>
        <w:t>a)</w:t>
      </w:r>
      <w:r w:rsidRPr="003F2DE2">
        <w:rPr>
          <w:lang w:val="en-GB"/>
        </w:rPr>
        <w:tab/>
        <w:t xml:space="preserve">that devices with </w:t>
      </w:r>
      <w:r w:rsidRPr="003F2DE2">
        <w:rPr>
          <w:lang w:val="en-GB" w:eastAsia="ja-JP"/>
        </w:rPr>
        <w:t>broadband Internet access</w:t>
      </w:r>
      <w:r w:rsidRPr="003F2DE2">
        <w:rPr>
          <w:lang w:val="en-GB"/>
        </w:rPr>
        <w:t xml:space="preserve"> are becoming widely available and offer multimedia applications;</w:t>
      </w:r>
    </w:p>
    <w:p w:rsidR="001B7B94" w:rsidRPr="003F2DE2" w:rsidRDefault="001B7B94" w:rsidP="00D809D0">
      <w:pPr>
        <w:rPr>
          <w:lang w:val="en-GB" w:eastAsia="ja-JP"/>
        </w:rPr>
      </w:pPr>
      <w:r w:rsidRPr="00CF5485">
        <w:rPr>
          <w:i/>
          <w:iCs/>
          <w:lang w:val="en-GB"/>
        </w:rPr>
        <w:t>b)</w:t>
      </w:r>
      <w:r w:rsidRPr="003F2DE2">
        <w:rPr>
          <w:lang w:val="en-GB"/>
        </w:rPr>
        <w:tab/>
        <w:t xml:space="preserve">that </w:t>
      </w:r>
      <w:r w:rsidRPr="003F2DE2">
        <w:rPr>
          <w:lang w:val="en-GB" w:eastAsia="ja-JP"/>
        </w:rPr>
        <w:t>being able to provide connected TV enabled devices with already integrated off</w:t>
      </w:r>
      <w:r w:rsidR="00D809D0">
        <w:rPr>
          <w:lang w:val="en-GB" w:eastAsia="ja-JP"/>
        </w:rPr>
        <w:noBreakHyphen/>
      </w:r>
      <w:r w:rsidRPr="003F2DE2">
        <w:rPr>
          <w:lang w:val="en-GB" w:eastAsia="ja-JP"/>
        </w:rPr>
        <w:t>the</w:t>
      </w:r>
      <w:r w:rsidR="00D809D0">
        <w:rPr>
          <w:lang w:val="en-GB" w:eastAsia="ja-JP"/>
        </w:rPr>
        <w:noBreakHyphen/>
      </w:r>
      <w:r w:rsidRPr="003F2DE2">
        <w:rPr>
          <w:lang w:val="en-GB" w:eastAsia="ja-JP"/>
        </w:rPr>
        <w:t>shelf applications is of relevance to the end-user</w:t>
      </w:r>
      <w:r w:rsidRPr="003F2DE2">
        <w:rPr>
          <w:lang w:val="en-GB"/>
        </w:rPr>
        <w:t>;</w:t>
      </w:r>
    </w:p>
    <w:p w:rsidR="001B7B94" w:rsidRPr="003F2DE2" w:rsidRDefault="001B7B94" w:rsidP="001B7B94">
      <w:pPr>
        <w:rPr>
          <w:lang w:val="en-GB" w:eastAsia="ja-JP"/>
        </w:rPr>
      </w:pPr>
      <w:r w:rsidRPr="00CF5485">
        <w:rPr>
          <w:i/>
          <w:iCs/>
          <w:lang w:val="en-GB"/>
        </w:rPr>
        <w:t>c)</w:t>
      </w:r>
      <w:r w:rsidRPr="003F2DE2">
        <w:rPr>
          <w:lang w:val="en-GB"/>
        </w:rPr>
        <w:tab/>
        <w:t xml:space="preserve">that </w:t>
      </w:r>
      <w:r w:rsidRPr="003F2DE2">
        <w:rPr>
          <w:lang w:val="en-GB" w:eastAsia="ja-JP"/>
        </w:rPr>
        <w:t>the addition of broadband delivery content to the broadcast channel optimizes the bandwidth usage of the transport streams;</w:t>
      </w:r>
    </w:p>
    <w:p w:rsidR="001B7B94" w:rsidRPr="003F2DE2" w:rsidRDefault="001B7B94" w:rsidP="001B7B94">
      <w:pPr>
        <w:rPr>
          <w:lang w:val="en-GB"/>
        </w:rPr>
      </w:pPr>
      <w:r w:rsidRPr="00CF5485">
        <w:rPr>
          <w:i/>
          <w:iCs/>
          <w:lang w:val="en-GB"/>
        </w:rPr>
        <w:t>d)</w:t>
      </w:r>
      <w:r w:rsidRPr="003F2DE2">
        <w:rPr>
          <w:lang w:val="en-GB"/>
        </w:rPr>
        <w:tab/>
        <w:t>that common platforms are desirable for production and international exchange of hybrid broadcast and broadband content;</w:t>
      </w:r>
    </w:p>
    <w:p w:rsidR="001B7B94" w:rsidRPr="003F2DE2" w:rsidRDefault="001B7B94" w:rsidP="001B7B94">
      <w:pPr>
        <w:rPr>
          <w:lang w:val="en-GB" w:eastAsia="ja-JP"/>
        </w:rPr>
      </w:pPr>
      <w:r w:rsidRPr="00CF5485">
        <w:rPr>
          <w:i/>
          <w:iCs/>
          <w:lang w:val="en-GB"/>
        </w:rPr>
        <w:t>e)</w:t>
      </w:r>
      <w:r w:rsidRPr="003F2DE2">
        <w:rPr>
          <w:lang w:val="en-GB"/>
        </w:rPr>
        <w:tab/>
        <w:t xml:space="preserve">that </w:t>
      </w:r>
      <w:r w:rsidRPr="003F2DE2">
        <w:rPr>
          <w:lang w:val="en-GB" w:eastAsia="ja-JP"/>
        </w:rPr>
        <w:t>a unified platform would allow simplifying and reducing the development effort of hybrid content and applications</w:t>
      </w:r>
      <w:r w:rsidRPr="003F2DE2">
        <w:rPr>
          <w:lang w:val="en-GB"/>
        </w:rPr>
        <w:t>;</w:t>
      </w:r>
    </w:p>
    <w:p w:rsidR="001B7B94" w:rsidRPr="003F2DE2" w:rsidRDefault="001B7B94" w:rsidP="001B7B94">
      <w:pPr>
        <w:rPr>
          <w:lang w:val="en-GB" w:eastAsia="ja-JP"/>
        </w:rPr>
      </w:pPr>
      <w:r w:rsidRPr="00CF5485">
        <w:rPr>
          <w:i/>
          <w:iCs/>
          <w:lang w:val="en-GB"/>
        </w:rPr>
        <w:t>f)</w:t>
      </w:r>
      <w:r w:rsidRPr="003F2DE2">
        <w:rPr>
          <w:lang w:val="en-GB"/>
        </w:rPr>
        <w:tab/>
        <w:t xml:space="preserve">that Recommendation ITU-R BT.1889 refers to Recommendation ITU-T J.200 that defines the high-level architecture for a harmonized set of interactive instruction sets and </w:t>
      </w:r>
      <w:r w:rsidR="001023EB" w:rsidRPr="003F2DE2">
        <w:rPr>
          <w:lang w:val="en-GB"/>
        </w:rPr>
        <w:t>application programming interfaces (</w:t>
      </w:r>
      <w:r w:rsidRPr="003F2DE2">
        <w:rPr>
          <w:lang w:val="en-GB"/>
        </w:rPr>
        <w:t>APIs</w:t>
      </w:r>
      <w:r w:rsidR="001023EB" w:rsidRPr="003F2DE2">
        <w:rPr>
          <w:lang w:val="en-GB"/>
        </w:rPr>
        <w:t>)</w:t>
      </w:r>
      <w:r w:rsidRPr="003F2DE2">
        <w:rPr>
          <w:lang w:val="en-GB"/>
        </w:rPr>
        <w:t xml:space="preserve"> and identifies the structure of application environment comprising the executable application environment and the declarative application environment for digital television services</w:t>
      </w:r>
      <w:r w:rsidR="00AD3714" w:rsidRPr="003F2DE2">
        <w:rPr>
          <w:lang w:val="en-GB"/>
        </w:rPr>
        <w:t>;</w:t>
      </w:r>
    </w:p>
    <w:p w:rsidR="001B7B94" w:rsidRPr="003F2DE2" w:rsidRDefault="001B7B94" w:rsidP="00D809D0">
      <w:pPr>
        <w:rPr>
          <w:lang w:val="en-GB" w:eastAsia="ja-JP"/>
        </w:rPr>
      </w:pPr>
      <w:r w:rsidRPr="00CF5485">
        <w:rPr>
          <w:i/>
          <w:iCs/>
          <w:lang w:val="en-GB"/>
        </w:rPr>
        <w:t>g)</w:t>
      </w:r>
      <w:r w:rsidRPr="003F2DE2">
        <w:rPr>
          <w:lang w:val="en-GB"/>
        </w:rPr>
        <w:tab/>
        <w:t xml:space="preserve">that </w:t>
      </w:r>
      <w:r w:rsidRPr="003F2DE2">
        <w:rPr>
          <w:lang w:val="en-GB" w:eastAsia="ja-JP"/>
        </w:rPr>
        <w:t xml:space="preserve">Recommendation ITU-R BT.2037 states general requirements of </w:t>
      </w:r>
      <w:r w:rsidR="001023EB" w:rsidRPr="003F2DE2">
        <w:rPr>
          <w:lang w:val="en-GB" w:eastAsia="ja-JP"/>
        </w:rPr>
        <w:t>integrated broadcast</w:t>
      </w:r>
      <w:r w:rsidR="00D809D0">
        <w:rPr>
          <w:lang w:val="en-GB" w:eastAsia="ja-JP"/>
        </w:rPr>
        <w:noBreakHyphen/>
      </w:r>
      <w:r w:rsidR="001046F8" w:rsidRPr="003F2DE2">
        <w:rPr>
          <w:lang w:val="en-GB" w:eastAsia="ja-JP"/>
        </w:rPr>
        <w:t>broadband (</w:t>
      </w:r>
      <w:r w:rsidRPr="003F2DE2">
        <w:rPr>
          <w:lang w:val="en-GB" w:eastAsia="ja-JP"/>
        </w:rPr>
        <w:t>IBB</w:t>
      </w:r>
      <w:r w:rsidR="001046F8" w:rsidRPr="003F2DE2">
        <w:rPr>
          <w:lang w:val="en-GB" w:eastAsia="ja-JP"/>
        </w:rPr>
        <w:t>)</w:t>
      </w:r>
      <w:r w:rsidRPr="003F2DE2">
        <w:rPr>
          <w:lang w:val="en-GB" w:eastAsia="ja-JP"/>
        </w:rPr>
        <w:t xml:space="preserve"> systems and Report ITU-R BT.2267 contains various information on IBB systems</w:t>
      </w:r>
      <w:r w:rsidRPr="003F2DE2">
        <w:rPr>
          <w:lang w:val="en-GB"/>
        </w:rPr>
        <w:t>,</w:t>
      </w:r>
    </w:p>
    <w:p w:rsidR="00F75857" w:rsidRDefault="00F75857" w:rsidP="001B7B94">
      <w:pPr>
        <w:pStyle w:val="Call"/>
        <w:rPr>
          <w:lang w:val="en-GB"/>
        </w:rPr>
      </w:pPr>
      <w:r>
        <w:rPr>
          <w:lang w:val="en-GB"/>
        </w:rPr>
        <w:br w:type="page"/>
      </w:r>
    </w:p>
    <w:p w:rsidR="001B7B94" w:rsidRPr="003F2DE2" w:rsidRDefault="001B7B94" w:rsidP="001B7B94">
      <w:pPr>
        <w:pStyle w:val="Call"/>
        <w:rPr>
          <w:lang w:val="en-GB" w:eastAsia="ja-JP"/>
        </w:rPr>
      </w:pPr>
      <w:r w:rsidRPr="003F2DE2">
        <w:rPr>
          <w:lang w:val="en-GB"/>
        </w:rPr>
        <w:lastRenderedPageBreak/>
        <w:t>recommends</w:t>
      </w:r>
    </w:p>
    <w:p w:rsidR="001B7B94" w:rsidRPr="003F2DE2" w:rsidRDefault="001B7B94" w:rsidP="00D809D0">
      <w:pPr>
        <w:rPr>
          <w:i/>
          <w:lang w:val="en-GB"/>
        </w:rPr>
      </w:pPr>
      <w:r w:rsidRPr="003F2DE2">
        <w:rPr>
          <w:lang w:val="en-GB" w:eastAsia="ja-JP"/>
        </w:rPr>
        <w:t xml:space="preserve">that Recommendation ITU-T J.205 (2012) Corrigendum 1 (01/2013) </w:t>
      </w:r>
      <w:r w:rsidR="00D809D0">
        <w:rPr>
          <w:lang w:val="en-GB" w:eastAsia="ja-JP"/>
        </w:rPr>
        <w:t xml:space="preserve">– </w:t>
      </w:r>
      <w:r w:rsidRPr="003F2DE2">
        <w:rPr>
          <w:lang w:val="en-GB" w:eastAsia="ja-JP"/>
        </w:rPr>
        <w:t>Requirements for an</w:t>
      </w:r>
      <w:r w:rsidR="00B73A76" w:rsidRPr="003F2DE2">
        <w:rPr>
          <w:lang w:val="en-GB" w:eastAsia="ja-JP"/>
        </w:rPr>
        <w:t xml:space="preserve"> </w:t>
      </w:r>
      <w:r w:rsidRPr="003F2DE2">
        <w:rPr>
          <w:lang w:val="en-GB" w:eastAsia="ja-JP"/>
        </w:rPr>
        <w:t>application control framework using integrated broadcast and broadband digital television should be taken into account when specifying IBB systems.</w:t>
      </w:r>
      <w:r w:rsidRPr="003F2DE2">
        <w:rPr>
          <w:rStyle w:val="FootnoteReference"/>
          <w:lang w:val="en-GB" w:eastAsia="ja-JP"/>
        </w:rPr>
        <w:footnoteReference w:id="3"/>
      </w:r>
      <w:r w:rsidRPr="003F2DE2">
        <w:rPr>
          <w:lang w:val="en-GB" w:eastAsia="ja-JP"/>
        </w:rPr>
        <w:t xml:space="preserve"> </w:t>
      </w:r>
    </w:p>
    <w:p w:rsidR="001046F8" w:rsidRDefault="001B7B94" w:rsidP="00D809D0">
      <w:pPr>
        <w:rPr>
          <w:lang w:val="en-GB" w:eastAsia="ja-JP"/>
        </w:rPr>
      </w:pPr>
      <w:r w:rsidRPr="003F2DE2">
        <w:rPr>
          <w:lang w:val="en-GB" w:eastAsia="ja-JP"/>
        </w:rPr>
        <w:t>NOTE</w:t>
      </w:r>
      <w:r w:rsidR="00AD3714" w:rsidRPr="003F2DE2">
        <w:rPr>
          <w:lang w:val="en-GB" w:eastAsia="ja-JP"/>
        </w:rPr>
        <w:t> </w:t>
      </w:r>
      <w:r w:rsidRPr="003F2DE2">
        <w:rPr>
          <w:lang w:val="en-GB" w:eastAsia="ja-JP"/>
        </w:rPr>
        <w:t>1 – Appendix 1 shows for information which requirements listed in Recommendation</w:t>
      </w:r>
      <w:r w:rsidR="00B73A76" w:rsidRPr="003F2DE2">
        <w:rPr>
          <w:lang w:val="en-GB" w:eastAsia="ja-JP"/>
        </w:rPr>
        <w:t> </w:t>
      </w:r>
      <w:r w:rsidRPr="003F2DE2">
        <w:rPr>
          <w:lang w:val="en-GB" w:eastAsia="ja-JP"/>
        </w:rPr>
        <w:t>ITU</w:t>
      </w:r>
      <w:r w:rsidRPr="003F2DE2">
        <w:rPr>
          <w:lang w:val="en-GB" w:eastAsia="ja-JP"/>
        </w:rPr>
        <w:noBreakHyphen/>
        <w:t>T J.205 are relevant to the broadcast-oriented scenario.</w:t>
      </w:r>
    </w:p>
    <w:p w:rsidR="00D809D0" w:rsidRDefault="00D809D0" w:rsidP="00D809D0">
      <w:pPr>
        <w:rPr>
          <w:lang w:val="en-GB" w:eastAsia="ja-JP"/>
        </w:rPr>
      </w:pPr>
    </w:p>
    <w:p w:rsidR="00D809D0" w:rsidRPr="003F2DE2" w:rsidRDefault="00D809D0" w:rsidP="00D809D0">
      <w:pPr>
        <w:rPr>
          <w:lang w:val="en-GB" w:eastAsia="ja-JP"/>
        </w:rPr>
      </w:pPr>
    </w:p>
    <w:p w:rsidR="001B7B94" w:rsidRPr="003F2DE2" w:rsidRDefault="001B7B94" w:rsidP="00B73A76">
      <w:pPr>
        <w:pStyle w:val="AppendixNoTitle"/>
        <w:rPr>
          <w:lang w:val="en-GB" w:eastAsia="ja-JP"/>
        </w:rPr>
      </w:pPr>
      <w:r w:rsidRPr="003F2DE2">
        <w:rPr>
          <w:lang w:val="en-GB" w:eastAsia="ja-JP"/>
        </w:rPr>
        <w:t xml:space="preserve">Appendix 1 </w:t>
      </w:r>
      <w:r w:rsidR="00D809D0">
        <w:rPr>
          <w:lang w:val="en-GB" w:eastAsia="ja-JP"/>
        </w:rPr>
        <w:br/>
      </w:r>
      <w:r w:rsidRPr="003F2DE2">
        <w:rPr>
          <w:lang w:val="en-GB" w:eastAsia="ja-JP"/>
        </w:rPr>
        <w:t>(Informative)</w:t>
      </w:r>
    </w:p>
    <w:p w:rsidR="001B7B94" w:rsidRPr="003F2DE2" w:rsidRDefault="001046F8" w:rsidP="00B73A76">
      <w:pPr>
        <w:pStyle w:val="Heading1"/>
        <w:rPr>
          <w:lang w:val="en-GB" w:eastAsia="ja-JP"/>
        </w:rPr>
      </w:pPr>
      <w:r w:rsidRPr="003F2DE2">
        <w:rPr>
          <w:lang w:val="en-GB" w:eastAsia="ja-JP"/>
        </w:rPr>
        <w:t>1</w:t>
      </w:r>
      <w:r w:rsidRPr="003F2DE2">
        <w:rPr>
          <w:lang w:val="en-GB" w:eastAsia="ja-JP"/>
        </w:rPr>
        <w:tab/>
      </w:r>
      <w:r w:rsidR="001B7B94" w:rsidRPr="003F2DE2">
        <w:rPr>
          <w:lang w:val="en-GB" w:eastAsia="ja-JP"/>
        </w:rPr>
        <w:t>Application type in IBB systems</w:t>
      </w:r>
    </w:p>
    <w:p w:rsidR="001B7B94" w:rsidRPr="003F2DE2" w:rsidRDefault="001B7B94" w:rsidP="00D809D0">
      <w:pPr>
        <w:rPr>
          <w:lang w:val="en-GB" w:eastAsia="ja-JP"/>
        </w:rPr>
      </w:pPr>
      <w:r w:rsidRPr="003F2DE2">
        <w:rPr>
          <w:lang w:val="en-GB" w:eastAsia="ja-JP"/>
        </w:rPr>
        <w:t xml:space="preserve">Recommendation ITU-T J.205 assumes the model of IBB system and application types as described in </w:t>
      </w:r>
      <w:r w:rsidR="00CE2650">
        <w:rPr>
          <w:lang w:val="en-GB" w:eastAsia="ja-JP"/>
        </w:rPr>
        <w:t>§</w:t>
      </w:r>
      <w:r w:rsidRPr="003F2DE2">
        <w:rPr>
          <w:lang w:val="en-GB" w:eastAsia="ja-JP"/>
        </w:rPr>
        <w:t xml:space="preserve"> 7. There are two major types of IBB applications</w:t>
      </w:r>
      <w:r w:rsidR="00D809D0">
        <w:rPr>
          <w:lang w:val="en-GB" w:eastAsia="ja-JP"/>
        </w:rPr>
        <w:t>:</w:t>
      </w:r>
    </w:p>
    <w:p w:rsidR="00D809D0" w:rsidRDefault="001B7B94" w:rsidP="00B73A76">
      <w:pPr>
        <w:pStyle w:val="enumlev1"/>
        <w:rPr>
          <w:lang w:val="en-GB" w:eastAsia="ja-JP"/>
        </w:rPr>
      </w:pPr>
      <w:r w:rsidRPr="003F2DE2">
        <w:rPr>
          <w:lang w:val="en-GB" w:eastAsia="ja-JP"/>
        </w:rPr>
        <w:t>–</w:t>
      </w:r>
      <w:r w:rsidRPr="003F2DE2">
        <w:rPr>
          <w:lang w:val="en-GB" w:eastAsia="ja-JP"/>
        </w:rPr>
        <w:tab/>
        <w:t>Stand-alone IBB applications</w:t>
      </w:r>
    </w:p>
    <w:p w:rsidR="001B7B94" w:rsidRPr="003F2DE2" w:rsidRDefault="00D809D0" w:rsidP="00B73A76">
      <w:pPr>
        <w:pStyle w:val="enumlev1"/>
        <w:rPr>
          <w:lang w:val="en-GB" w:eastAsia="ja-JP"/>
        </w:rPr>
      </w:pPr>
      <w:r>
        <w:rPr>
          <w:lang w:val="en-GB" w:eastAsia="ja-JP"/>
        </w:rPr>
        <w:tab/>
      </w:r>
      <w:r w:rsidR="001B7B94" w:rsidRPr="003F2DE2">
        <w:rPr>
          <w:lang w:val="en-GB" w:eastAsia="ja-JP"/>
        </w:rPr>
        <w:t>Applications that are not delivered within the DTV service. Usually, they would be manually launched by the end user from the application catalogue user interface.</w:t>
      </w:r>
    </w:p>
    <w:p w:rsidR="00D809D0" w:rsidRDefault="001B7B94" w:rsidP="00B73A76">
      <w:pPr>
        <w:pStyle w:val="enumlev1"/>
        <w:rPr>
          <w:lang w:val="en-GB" w:eastAsia="ja-JP"/>
        </w:rPr>
      </w:pPr>
      <w:r w:rsidRPr="003F2DE2">
        <w:rPr>
          <w:lang w:val="en-GB"/>
        </w:rPr>
        <w:t>–</w:t>
      </w:r>
      <w:r w:rsidRPr="003F2DE2">
        <w:rPr>
          <w:lang w:val="en-GB"/>
        </w:rPr>
        <w:tab/>
      </w:r>
      <w:r w:rsidRPr="003F2DE2">
        <w:rPr>
          <w:lang w:val="en-GB" w:eastAsia="ja-JP"/>
        </w:rPr>
        <w:t>Service associated IBB applications</w:t>
      </w:r>
    </w:p>
    <w:p w:rsidR="001B7B94" w:rsidRPr="003F2DE2" w:rsidRDefault="00D809D0" w:rsidP="00D809D0">
      <w:pPr>
        <w:pStyle w:val="enumlev1"/>
        <w:rPr>
          <w:lang w:val="en-GB" w:eastAsia="ja-JP"/>
        </w:rPr>
      </w:pPr>
      <w:r>
        <w:rPr>
          <w:lang w:val="en-GB" w:eastAsia="ja-JP"/>
        </w:rPr>
        <w:tab/>
      </w:r>
      <w:r w:rsidR="001B7B94" w:rsidRPr="003F2DE2">
        <w:rPr>
          <w:lang w:val="en-GB" w:eastAsia="ja-JP"/>
        </w:rPr>
        <w:t>Applications that are part of IBB DTV service</w:t>
      </w:r>
      <w:r>
        <w:rPr>
          <w:lang w:val="en-GB" w:eastAsia="ja-JP"/>
        </w:rPr>
        <w:t>s</w:t>
      </w:r>
      <w:r w:rsidR="001B7B94" w:rsidRPr="003F2DE2">
        <w:rPr>
          <w:lang w:val="en-GB" w:eastAsia="ja-JP"/>
        </w:rPr>
        <w:t>. They are delivered or listed as a</w:t>
      </w:r>
      <w:r w:rsidR="00B73A76" w:rsidRPr="003F2DE2">
        <w:rPr>
          <w:lang w:val="en-GB" w:eastAsia="ja-JP"/>
        </w:rPr>
        <w:t xml:space="preserve"> </w:t>
      </w:r>
      <w:r w:rsidR="001B7B94" w:rsidRPr="003F2DE2">
        <w:rPr>
          <w:lang w:val="en-GB" w:eastAsia="ja-JP"/>
        </w:rPr>
        <w:t xml:space="preserve">component part of the DTV service. And within </w:t>
      </w:r>
      <w:r>
        <w:rPr>
          <w:lang w:val="en-GB" w:eastAsia="ja-JP"/>
        </w:rPr>
        <w:t>the s</w:t>
      </w:r>
      <w:r w:rsidR="001B7B94" w:rsidRPr="003F2DE2">
        <w:rPr>
          <w:lang w:val="en-GB" w:eastAsia="ja-JP"/>
        </w:rPr>
        <w:t>ervice associated IBB applications, there are two types of applications</w:t>
      </w:r>
      <w:r>
        <w:rPr>
          <w:lang w:val="en-GB" w:eastAsia="ja-JP"/>
        </w:rPr>
        <w:t>:</w:t>
      </w:r>
    </w:p>
    <w:p w:rsidR="00D809D0" w:rsidRDefault="00AD3714" w:rsidP="001046F8">
      <w:pPr>
        <w:pStyle w:val="enumlev2"/>
        <w:rPr>
          <w:lang w:val="en-GB" w:eastAsia="ja-JP"/>
        </w:rPr>
      </w:pPr>
      <w:r w:rsidRPr="003F2DE2">
        <w:rPr>
          <w:lang w:val="en-GB" w:eastAsia="ja-JP"/>
        </w:rPr>
        <w:t>–</w:t>
      </w:r>
      <w:r w:rsidRPr="003F2DE2">
        <w:rPr>
          <w:lang w:val="en-GB" w:eastAsia="ja-JP"/>
        </w:rPr>
        <w:tab/>
      </w:r>
      <w:r w:rsidR="001B7B94" w:rsidRPr="003F2DE2">
        <w:rPr>
          <w:lang w:val="en-GB" w:eastAsia="ja-JP"/>
        </w:rPr>
        <w:t>Service exclusive IBB applications</w:t>
      </w:r>
      <w:r w:rsidR="00B73A76" w:rsidRPr="003F2DE2">
        <w:rPr>
          <w:lang w:val="en-GB" w:eastAsia="ja-JP"/>
        </w:rPr>
        <w:t xml:space="preserve"> </w:t>
      </w:r>
    </w:p>
    <w:p w:rsidR="001B7B94" w:rsidRPr="003F2DE2" w:rsidRDefault="00D809D0" w:rsidP="001046F8">
      <w:pPr>
        <w:pStyle w:val="enumlev2"/>
        <w:rPr>
          <w:lang w:val="en-GB" w:eastAsia="ja-JP"/>
        </w:rPr>
      </w:pPr>
      <w:r>
        <w:rPr>
          <w:lang w:val="en-GB" w:eastAsia="ja-JP"/>
        </w:rPr>
        <w:tab/>
      </w:r>
      <w:r w:rsidR="001B7B94" w:rsidRPr="003F2DE2">
        <w:rPr>
          <w:lang w:val="en-GB" w:eastAsia="ja-JP"/>
        </w:rPr>
        <w:t>Execution of service exclusive IBB applications (service bounded) must be terminated when the service exhibition is stopped.</w:t>
      </w:r>
    </w:p>
    <w:p w:rsidR="00D809D0" w:rsidRDefault="00AD3714" w:rsidP="001046F8">
      <w:pPr>
        <w:pStyle w:val="enumlev2"/>
        <w:rPr>
          <w:lang w:val="en-GB" w:eastAsia="ja-JP"/>
        </w:rPr>
      </w:pPr>
      <w:r w:rsidRPr="003F2DE2">
        <w:rPr>
          <w:lang w:val="en-GB" w:eastAsia="ja-JP"/>
        </w:rPr>
        <w:t>–</w:t>
      </w:r>
      <w:r w:rsidRPr="003F2DE2">
        <w:rPr>
          <w:lang w:val="en-GB" w:eastAsia="ja-JP"/>
        </w:rPr>
        <w:tab/>
      </w:r>
      <w:r w:rsidR="001B7B94" w:rsidRPr="003F2DE2">
        <w:rPr>
          <w:lang w:val="en-GB" w:eastAsia="ja-JP"/>
        </w:rPr>
        <w:t>Service shared IBB applications</w:t>
      </w:r>
      <w:r w:rsidR="00B73A76" w:rsidRPr="003F2DE2">
        <w:rPr>
          <w:lang w:val="en-GB" w:eastAsia="ja-JP"/>
        </w:rPr>
        <w:t xml:space="preserve"> </w:t>
      </w:r>
    </w:p>
    <w:p w:rsidR="001B7B94" w:rsidRPr="003F2DE2" w:rsidRDefault="00D809D0" w:rsidP="001046F8">
      <w:pPr>
        <w:pStyle w:val="enumlev2"/>
        <w:rPr>
          <w:lang w:val="en-GB" w:eastAsia="ja-JP"/>
        </w:rPr>
      </w:pPr>
      <w:r>
        <w:rPr>
          <w:lang w:val="en-GB" w:eastAsia="ja-JP"/>
        </w:rPr>
        <w:tab/>
      </w:r>
      <w:r w:rsidR="001B7B94" w:rsidRPr="003F2DE2">
        <w:rPr>
          <w:lang w:val="en-GB" w:eastAsia="ja-JP"/>
        </w:rPr>
        <w:t>Service shared IBB applications (service unbounded) execution should continue in case of the same application being also signalled in the service that is selected next.</w:t>
      </w:r>
    </w:p>
    <w:p w:rsidR="001B7B94" w:rsidRPr="003F2DE2" w:rsidRDefault="001B7B94" w:rsidP="00B73A76">
      <w:pPr>
        <w:rPr>
          <w:lang w:val="en-GB" w:eastAsia="ja-JP"/>
        </w:rPr>
      </w:pPr>
      <w:r w:rsidRPr="003F2DE2">
        <w:rPr>
          <w:lang w:val="en-GB" w:eastAsia="ja-JP"/>
        </w:rPr>
        <w:t>Service associated IBB application will be a major type to broadcast oriented scenario. Each</w:t>
      </w:r>
      <w:r w:rsidR="00B73A76" w:rsidRPr="003F2DE2">
        <w:rPr>
          <w:lang w:val="en-GB" w:eastAsia="ja-JP"/>
        </w:rPr>
        <w:t xml:space="preserve"> </w:t>
      </w:r>
      <w:r w:rsidRPr="003F2DE2">
        <w:rPr>
          <w:lang w:val="en-GB" w:eastAsia="ja-JP"/>
        </w:rPr>
        <w:t>application type is defined in Recommendation ITU-T J.205 as follows:</w:t>
      </w:r>
    </w:p>
    <w:p w:rsidR="001B7B94" w:rsidRPr="003F2DE2" w:rsidRDefault="001B7B94" w:rsidP="001B7B94">
      <w:pPr>
        <w:spacing w:before="240"/>
        <w:rPr>
          <w:lang w:val="en-GB" w:eastAsia="ja-JP"/>
        </w:rPr>
      </w:pPr>
      <w:r w:rsidRPr="003F2DE2">
        <w:rPr>
          <w:b/>
          <w:lang w:val="en-GB" w:eastAsia="ja-JP"/>
        </w:rPr>
        <w:t>Service associated IBB application</w:t>
      </w:r>
      <w:r w:rsidRPr="003F2DE2">
        <w:rPr>
          <w:lang w:val="en-GB"/>
        </w:rPr>
        <w:t>:</w:t>
      </w:r>
      <w:r w:rsidRPr="003F2DE2">
        <w:rPr>
          <w:lang w:val="en-GB" w:eastAsia="ja-JP"/>
        </w:rPr>
        <w:t xml:space="preserve"> An application that is part of the integrated broadcast and broadband (IBB) DTV service tuned </w:t>
      </w:r>
      <w:r w:rsidR="009A5A9A">
        <w:rPr>
          <w:lang w:val="en-GB" w:eastAsia="ja-JP"/>
        </w:rPr>
        <w:t xml:space="preserve">to </w:t>
      </w:r>
      <w:r w:rsidRPr="003F2DE2">
        <w:rPr>
          <w:lang w:val="en-GB" w:eastAsia="ja-JP"/>
        </w:rPr>
        <w:t>by the user at a given time.</w:t>
      </w:r>
    </w:p>
    <w:p w:rsidR="001B7B94" w:rsidRPr="003F2DE2" w:rsidRDefault="001B7B94" w:rsidP="001B7B94">
      <w:pPr>
        <w:rPr>
          <w:lang w:val="en-GB" w:eastAsia="ja-JP"/>
        </w:rPr>
      </w:pPr>
      <w:r w:rsidRPr="003F2DE2">
        <w:rPr>
          <w:b/>
          <w:lang w:val="en-GB" w:eastAsia="ja-JP"/>
        </w:rPr>
        <w:t>Service exclusive IBB application</w:t>
      </w:r>
      <w:r w:rsidRPr="003F2DE2">
        <w:rPr>
          <w:lang w:val="en-GB"/>
        </w:rPr>
        <w:t>: A</w:t>
      </w:r>
      <w:r w:rsidRPr="003F2DE2">
        <w:rPr>
          <w:lang w:val="en-GB" w:eastAsia="ja-JP"/>
        </w:rPr>
        <w:t>n application that is listed as a component of an integrated broadcast and broadband (IBB) DTV service</w:t>
      </w:r>
      <w:r w:rsidR="00AB4A79">
        <w:rPr>
          <w:lang w:val="en-GB" w:eastAsia="ja-JP"/>
        </w:rPr>
        <w:t>;</w:t>
      </w:r>
      <w:r w:rsidRPr="003F2DE2">
        <w:rPr>
          <w:lang w:val="en-GB" w:eastAsia="ja-JP"/>
        </w:rPr>
        <w:t xml:space="preserve"> its life cycle is strictly tied to the exhibition of such an IBB DTV service.</w:t>
      </w:r>
    </w:p>
    <w:p w:rsidR="001B7B94" w:rsidRPr="003F2DE2" w:rsidRDefault="001B7B94" w:rsidP="001B7B94">
      <w:pPr>
        <w:rPr>
          <w:lang w:val="en-GB" w:eastAsia="ja-JP"/>
        </w:rPr>
      </w:pPr>
      <w:r w:rsidRPr="003F2DE2">
        <w:rPr>
          <w:b/>
          <w:lang w:val="en-GB" w:eastAsia="ja-JP"/>
        </w:rPr>
        <w:lastRenderedPageBreak/>
        <w:t>Service shared IBB application</w:t>
      </w:r>
      <w:r w:rsidRPr="003F2DE2">
        <w:rPr>
          <w:lang w:val="en-GB"/>
        </w:rPr>
        <w:t xml:space="preserve">: An </w:t>
      </w:r>
      <w:r w:rsidRPr="003F2DE2">
        <w:rPr>
          <w:lang w:val="en-GB" w:eastAsia="ja-JP"/>
        </w:rPr>
        <w:t>application that is listed as a component of several different integrated broadcast a</w:t>
      </w:r>
      <w:r w:rsidR="00AB4A79">
        <w:rPr>
          <w:lang w:val="en-GB" w:eastAsia="ja-JP"/>
        </w:rPr>
        <w:t>nd broadband (IBB) DTV services;</w:t>
      </w:r>
      <w:r w:rsidRPr="003F2DE2">
        <w:rPr>
          <w:lang w:val="en-GB" w:eastAsia="ja-JP"/>
        </w:rPr>
        <w:t xml:space="preserve"> </w:t>
      </w:r>
      <w:r w:rsidR="00AB4A79" w:rsidRPr="003F2DE2">
        <w:rPr>
          <w:lang w:val="en-GB" w:eastAsia="ja-JP"/>
        </w:rPr>
        <w:t>i</w:t>
      </w:r>
      <w:r w:rsidRPr="003F2DE2">
        <w:rPr>
          <w:lang w:val="en-GB" w:eastAsia="ja-JP"/>
        </w:rPr>
        <w:t>ts life cycle is for as long as any of those IBB DTV services are being exhibited.</w:t>
      </w:r>
    </w:p>
    <w:p w:rsidR="001B7B94" w:rsidRPr="003F2DE2" w:rsidRDefault="001B7B94" w:rsidP="009A5A9A">
      <w:pPr>
        <w:rPr>
          <w:lang w:val="en-GB" w:eastAsia="ja-JP"/>
        </w:rPr>
      </w:pPr>
      <w:r w:rsidRPr="003F2DE2">
        <w:rPr>
          <w:b/>
          <w:lang w:val="en-GB" w:eastAsia="ja-JP"/>
        </w:rPr>
        <w:t>Stand-alone IBB application</w:t>
      </w:r>
      <w:r w:rsidRPr="003F2DE2">
        <w:rPr>
          <w:lang w:val="en-GB"/>
        </w:rPr>
        <w:t>:</w:t>
      </w:r>
      <w:r w:rsidRPr="003F2DE2">
        <w:rPr>
          <w:lang w:val="en-GB" w:eastAsia="ja-JP"/>
        </w:rPr>
        <w:t xml:space="preserve"> Resident or downloaded integrated broadcast and broadband (IBB) application that is not part of an IBB DTV service. Such an application can be created by an authorized IBB application provider, and typically delivered through the application repository.</w:t>
      </w:r>
    </w:p>
    <w:p w:rsidR="001B7B94" w:rsidRPr="003F2DE2" w:rsidRDefault="001B7B94" w:rsidP="001B7B94">
      <w:pPr>
        <w:pStyle w:val="Heading1"/>
        <w:rPr>
          <w:lang w:val="en-GB"/>
        </w:rPr>
      </w:pPr>
      <w:r w:rsidRPr="003F2DE2">
        <w:rPr>
          <w:lang w:val="en-GB"/>
        </w:rPr>
        <w:t>2</w:t>
      </w:r>
      <w:r w:rsidRPr="003F2DE2">
        <w:rPr>
          <w:lang w:val="en-GB"/>
        </w:rPr>
        <w:tab/>
        <w:t>Relationship between items in R</w:t>
      </w:r>
      <w:r w:rsidRPr="003F2DE2">
        <w:rPr>
          <w:lang w:val="en-GB" w:eastAsia="ja-JP"/>
        </w:rPr>
        <w:t>ecommendation</w:t>
      </w:r>
      <w:r w:rsidRPr="003F2DE2">
        <w:rPr>
          <w:lang w:val="en-GB"/>
        </w:rPr>
        <w:t xml:space="preserve"> ITU-R BT.</w:t>
      </w:r>
      <w:r w:rsidRPr="003F2DE2">
        <w:rPr>
          <w:lang w:val="en-GB" w:eastAsia="ja-JP"/>
        </w:rPr>
        <w:t>2037</w:t>
      </w:r>
      <w:r w:rsidRPr="003F2DE2">
        <w:rPr>
          <w:lang w:val="en-GB"/>
        </w:rPr>
        <w:t xml:space="preserve"> and Recommendation ITU-T J.205</w:t>
      </w:r>
    </w:p>
    <w:p w:rsidR="001B7B94" w:rsidRPr="003F2DE2" w:rsidRDefault="001B7B94" w:rsidP="00D809D0">
      <w:pPr>
        <w:rPr>
          <w:lang w:val="en-GB" w:eastAsia="ja-JP"/>
        </w:rPr>
      </w:pPr>
      <w:r w:rsidRPr="003F2DE2">
        <w:rPr>
          <w:lang w:val="en-GB" w:eastAsia="ja-JP"/>
        </w:rPr>
        <w:t xml:space="preserve">When focusing on broadcast oriented scenario, i.e. </w:t>
      </w:r>
      <w:r w:rsidR="00D809D0">
        <w:rPr>
          <w:lang w:val="en-GB" w:eastAsia="ja-JP"/>
        </w:rPr>
        <w:t>se</w:t>
      </w:r>
      <w:r w:rsidRPr="003F2DE2">
        <w:rPr>
          <w:lang w:val="en-GB" w:eastAsia="ja-JP"/>
        </w:rPr>
        <w:t xml:space="preserve">rvice associated IBB applications, </w:t>
      </w:r>
      <w:r w:rsidR="00D809D0">
        <w:rPr>
          <w:lang w:val="en-GB" w:eastAsia="ja-JP"/>
        </w:rPr>
        <w:t xml:space="preserve">the </w:t>
      </w:r>
      <w:r w:rsidRPr="003F2DE2">
        <w:rPr>
          <w:lang w:val="en-GB" w:eastAsia="ja-JP"/>
        </w:rPr>
        <w:t xml:space="preserve">relationship between items defined in </w:t>
      </w:r>
      <w:r w:rsidRPr="00D809D0">
        <w:rPr>
          <w:lang w:val="en-GB" w:eastAsia="ja-JP"/>
        </w:rPr>
        <w:t>Recommendation ITU-R BT.2037</w:t>
      </w:r>
      <w:r w:rsidRPr="003F2DE2">
        <w:rPr>
          <w:lang w:val="en-GB" w:eastAsia="ja-JP"/>
        </w:rPr>
        <w:t xml:space="preserve"> and Recommendation</w:t>
      </w:r>
      <w:r w:rsidR="00B73A76" w:rsidRPr="003F2DE2">
        <w:rPr>
          <w:lang w:val="en-GB" w:eastAsia="ja-JP"/>
        </w:rPr>
        <w:t> </w:t>
      </w:r>
      <w:r w:rsidRPr="003F2DE2">
        <w:rPr>
          <w:lang w:val="en-GB" w:eastAsia="ja-JP"/>
        </w:rPr>
        <w:t>ITU-T J.205 is examined.</w:t>
      </w:r>
    </w:p>
    <w:p w:rsidR="001B7B94" w:rsidRPr="003F2DE2" w:rsidRDefault="001B7B94" w:rsidP="001B7B94">
      <w:pPr>
        <w:pStyle w:val="Heading2"/>
        <w:rPr>
          <w:lang w:val="en-GB" w:eastAsia="ja-JP"/>
        </w:rPr>
      </w:pPr>
      <w:r w:rsidRPr="003F2DE2">
        <w:rPr>
          <w:lang w:val="en-GB" w:eastAsia="ja-JP"/>
        </w:rPr>
        <w:t>2.1</w:t>
      </w:r>
      <w:r w:rsidRPr="003F2DE2">
        <w:rPr>
          <w:lang w:val="en-GB" w:eastAsia="ja-JP"/>
        </w:rPr>
        <w:tab/>
      </w:r>
      <w:r w:rsidRPr="003F2DE2">
        <w:rPr>
          <w:lang w:val="en-GB"/>
        </w:rPr>
        <w:t>Relevancy</w:t>
      </w:r>
      <w:r w:rsidRPr="003F2DE2">
        <w:rPr>
          <w:lang w:val="en-GB" w:eastAsia="ja-JP"/>
        </w:rPr>
        <w:t xml:space="preserve"> of items</w:t>
      </w:r>
    </w:p>
    <w:p w:rsidR="001B7B94" w:rsidRPr="003F2DE2" w:rsidRDefault="001B7B94" w:rsidP="001046F8">
      <w:pPr>
        <w:rPr>
          <w:lang w:val="en-GB" w:eastAsia="ja-JP"/>
        </w:rPr>
      </w:pPr>
      <w:r w:rsidRPr="003F2DE2">
        <w:rPr>
          <w:lang w:val="en-GB" w:eastAsia="ja-JP"/>
        </w:rPr>
        <w:t>Table</w:t>
      </w:r>
      <w:r w:rsidR="001046F8" w:rsidRPr="003F2DE2">
        <w:rPr>
          <w:lang w:val="en-GB" w:eastAsia="ja-JP"/>
        </w:rPr>
        <w:t xml:space="preserve"> 1 </w:t>
      </w:r>
      <w:r w:rsidRPr="003F2DE2">
        <w:rPr>
          <w:lang w:val="en-GB" w:eastAsia="ja-JP"/>
        </w:rPr>
        <w:t>shows relevancy of items in Recommendation ITU-R BT.2037 and Recommendation</w:t>
      </w:r>
      <w:r w:rsidR="00B73A76" w:rsidRPr="003F2DE2">
        <w:rPr>
          <w:lang w:val="en-GB" w:eastAsia="ja-JP"/>
        </w:rPr>
        <w:t> </w:t>
      </w:r>
      <w:r w:rsidRPr="003F2DE2">
        <w:rPr>
          <w:lang w:val="en-GB" w:eastAsia="ja-JP"/>
        </w:rPr>
        <w:t>ITU</w:t>
      </w:r>
      <w:r w:rsidRPr="003F2DE2">
        <w:rPr>
          <w:lang w:val="en-GB" w:eastAsia="ja-JP"/>
        </w:rPr>
        <w:noBreakHyphen/>
        <w:t>T J.205.</w:t>
      </w:r>
    </w:p>
    <w:p w:rsidR="001B7B94" w:rsidRPr="003F2DE2" w:rsidRDefault="00B73A76" w:rsidP="001B7B94">
      <w:pPr>
        <w:pStyle w:val="TableNo"/>
        <w:rPr>
          <w:lang w:val="en-GB"/>
        </w:rPr>
      </w:pPr>
      <w:r w:rsidRPr="003F2DE2">
        <w:rPr>
          <w:lang w:val="en-GB"/>
        </w:rPr>
        <w:t>TAB</w:t>
      </w:r>
      <w:r w:rsidR="001046F8" w:rsidRPr="003F2DE2">
        <w:rPr>
          <w:lang w:val="en-GB"/>
        </w:rPr>
        <w:t>LE 1</w:t>
      </w:r>
    </w:p>
    <w:p w:rsidR="001B7B94" w:rsidRPr="003F2DE2" w:rsidRDefault="001B7B94" w:rsidP="001B7B94">
      <w:pPr>
        <w:pStyle w:val="Tabletitle"/>
        <w:rPr>
          <w:lang w:val="en-GB"/>
        </w:rPr>
      </w:pPr>
      <w:r w:rsidRPr="003F2DE2">
        <w:rPr>
          <w:lang w:val="en-GB" w:eastAsia="ja-JP"/>
        </w:rPr>
        <w:t>Relevancy of items in Recommendation ITU-R BT.2037 and Recommendation ITU-T J.205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766"/>
        <w:gridCol w:w="7466"/>
      </w:tblGrid>
      <w:tr w:rsidR="001B7B94" w:rsidRPr="00F75857" w:rsidTr="00E36297">
        <w:trPr>
          <w:jc w:val="center"/>
        </w:trPr>
        <w:tc>
          <w:tcPr>
            <w:tcW w:w="407" w:type="dxa"/>
            <w:tcBorders>
              <w:bottom w:val="single" w:sz="4" w:space="0" w:color="auto"/>
            </w:tcBorders>
          </w:tcPr>
          <w:p w:rsidR="001B7B94" w:rsidRPr="00F75857" w:rsidRDefault="001B7B94" w:rsidP="00417CC6">
            <w:pPr>
              <w:pStyle w:val="Tablehead"/>
              <w:rPr>
                <w:sz w:val="18"/>
                <w:szCs w:val="18"/>
                <w:lang w:val="en-GB"/>
              </w:rPr>
            </w:pPr>
          </w:p>
        </w:tc>
        <w:tc>
          <w:tcPr>
            <w:tcW w:w="1766" w:type="dxa"/>
            <w:vAlign w:val="center"/>
          </w:tcPr>
          <w:p w:rsidR="001B7B94" w:rsidRPr="00F75857" w:rsidRDefault="001B7B94" w:rsidP="00417CC6">
            <w:pPr>
              <w:pStyle w:val="Tablehead"/>
              <w:rPr>
                <w:sz w:val="18"/>
                <w:szCs w:val="18"/>
                <w:lang w:val="en-GB"/>
              </w:rPr>
            </w:pPr>
            <w:r w:rsidRPr="00F75857">
              <w:rPr>
                <w:sz w:val="18"/>
                <w:szCs w:val="18"/>
                <w:lang w:val="en-GB" w:eastAsia="ja-JP"/>
              </w:rPr>
              <w:t>Items in general requirements</w:t>
            </w:r>
          </w:p>
        </w:tc>
        <w:tc>
          <w:tcPr>
            <w:tcW w:w="7466" w:type="dxa"/>
            <w:vAlign w:val="center"/>
          </w:tcPr>
          <w:p w:rsidR="001B7B94" w:rsidRPr="00F75857" w:rsidRDefault="001B7B94" w:rsidP="00417CC6">
            <w:pPr>
              <w:pStyle w:val="Tablehead"/>
              <w:rPr>
                <w:sz w:val="18"/>
                <w:szCs w:val="18"/>
                <w:lang w:val="en-GB"/>
              </w:rPr>
            </w:pPr>
            <w:r w:rsidRPr="00F75857">
              <w:rPr>
                <w:sz w:val="18"/>
                <w:szCs w:val="18"/>
                <w:lang w:val="en-GB"/>
              </w:rPr>
              <w:t>Rele</w:t>
            </w:r>
            <w:bookmarkStart w:id="3" w:name="_GoBack"/>
            <w:bookmarkEnd w:id="3"/>
            <w:r w:rsidRPr="00F75857">
              <w:rPr>
                <w:sz w:val="18"/>
                <w:szCs w:val="18"/>
                <w:lang w:val="en-GB"/>
              </w:rPr>
              <w:t xml:space="preserve">vant </w:t>
            </w:r>
            <w:r w:rsidRPr="00F75857">
              <w:rPr>
                <w:sz w:val="18"/>
                <w:szCs w:val="18"/>
                <w:lang w:val="en-GB" w:eastAsia="ja-JP"/>
              </w:rPr>
              <w:t>technical requirements (FR-ACF</w:t>
            </w:r>
            <w:r w:rsidRPr="00F75857">
              <w:rPr>
                <w:rStyle w:val="FootnoteReference"/>
                <w:szCs w:val="18"/>
                <w:lang w:val="en-GB" w:eastAsia="ja-JP"/>
              </w:rPr>
              <w:footnoteReference w:id="4"/>
            </w:r>
            <w:r w:rsidRPr="00F75857">
              <w:rPr>
                <w:sz w:val="18"/>
                <w:szCs w:val="18"/>
                <w:lang w:val="en-GB" w:eastAsia="ja-JP"/>
              </w:rPr>
              <w:t>-xx)</w:t>
            </w:r>
          </w:p>
        </w:tc>
      </w:tr>
      <w:tr w:rsidR="001B7B94" w:rsidRPr="00F75857" w:rsidTr="00E36297">
        <w:trPr>
          <w:jc w:val="center"/>
        </w:trPr>
        <w:tc>
          <w:tcPr>
            <w:tcW w:w="407" w:type="dxa"/>
            <w:tcBorders>
              <w:bottom w:val="nil"/>
            </w:tcBorders>
          </w:tcPr>
          <w:p w:rsidR="001B7B94" w:rsidRPr="00F75857" w:rsidRDefault="001B7B94" w:rsidP="001046F8">
            <w:pPr>
              <w:pStyle w:val="Tabletext"/>
              <w:jc w:val="center"/>
              <w:rPr>
                <w:sz w:val="18"/>
                <w:szCs w:val="18"/>
                <w:lang w:val="en-GB"/>
              </w:rPr>
            </w:pPr>
            <w:r w:rsidRPr="00F75857">
              <w:rPr>
                <w:sz w:val="18"/>
                <w:szCs w:val="18"/>
                <w:lang w:val="en-GB" w:eastAsia="ja-JP"/>
              </w:rPr>
              <w:t>1</w:t>
            </w: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1, 2, 9, part of 11, 22, 23, 27 (in case of paid service)</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 xml:space="preserve">1, 2, 9, part of 11, 22, 23, 27 </w:t>
            </w:r>
            <w:r w:rsidRPr="00F75857">
              <w:rPr>
                <w:sz w:val="18"/>
                <w:szCs w:val="18"/>
                <w:lang w:val="en-GB"/>
              </w:rPr>
              <w:t>(</w:t>
            </w:r>
            <w:r w:rsidRPr="00F75857">
              <w:rPr>
                <w:sz w:val="18"/>
                <w:szCs w:val="18"/>
                <w:lang w:val="en-GB" w:eastAsia="ja-JP"/>
              </w:rPr>
              <w:t>in case of paid service)</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iii)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 xml:space="preserve">1 </w:t>
            </w:r>
            <w:r w:rsidRPr="00F75857">
              <w:rPr>
                <w:sz w:val="18"/>
                <w:szCs w:val="18"/>
                <w:lang w:val="en-GB"/>
              </w:rPr>
              <w:t xml:space="preserve">(depending on </w:t>
            </w:r>
            <w:r w:rsidRPr="00F75857">
              <w:rPr>
                <w:sz w:val="18"/>
                <w:szCs w:val="18"/>
                <w:lang w:val="en-GB" w:eastAsia="ja-JP"/>
              </w:rPr>
              <w:t xml:space="preserve">involved </w:t>
            </w:r>
            <w:r w:rsidRPr="00F75857">
              <w:rPr>
                <w:sz w:val="18"/>
                <w:szCs w:val="18"/>
                <w:lang w:val="en-GB"/>
              </w:rPr>
              <w:t>broad</w:t>
            </w:r>
            <w:r w:rsidRPr="00F75857">
              <w:rPr>
                <w:sz w:val="18"/>
                <w:szCs w:val="18"/>
                <w:lang w:val="en-GB" w:eastAsia="ja-JP"/>
              </w:rPr>
              <w:t xml:space="preserve">casting systems), 2 </w:t>
            </w:r>
            <w:r w:rsidRPr="00F75857">
              <w:rPr>
                <w:sz w:val="18"/>
                <w:szCs w:val="18"/>
                <w:lang w:val="en-GB"/>
              </w:rPr>
              <w:t xml:space="preserve">(depending on </w:t>
            </w:r>
            <w:r w:rsidRPr="00F75857">
              <w:rPr>
                <w:sz w:val="18"/>
                <w:szCs w:val="18"/>
                <w:lang w:val="en-GB" w:eastAsia="ja-JP"/>
              </w:rPr>
              <w:t xml:space="preserve">involved </w:t>
            </w:r>
            <w:r w:rsidRPr="00F75857">
              <w:rPr>
                <w:sz w:val="18"/>
                <w:szCs w:val="18"/>
                <w:lang w:val="en-GB"/>
              </w:rPr>
              <w:t>broad</w:t>
            </w:r>
            <w:r w:rsidRPr="00F75857">
              <w:rPr>
                <w:sz w:val="18"/>
                <w:szCs w:val="18"/>
                <w:lang w:val="en-GB" w:eastAsia="ja-JP"/>
              </w:rPr>
              <w:t>casting systems), 19</w:t>
            </w:r>
          </w:p>
        </w:tc>
      </w:tr>
      <w:tr w:rsidR="001B7B94" w:rsidRPr="00F75857" w:rsidTr="00E36297">
        <w:trPr>
          <w:jc w:val="center"/>
        </w:trPr>
        <w:tc>
          <w:tcPr>
            <w:tcW w:w="407" w:type="dxa"/>
            <w:tcBorders>
              <w:top w:val="nil"/>
              <w:bottom w:val="single" w:sz="4" w:space="0" w:color="auto"/>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iv)</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 xml:space="preserve">1 </w:t>
            </w:r>
            <w:r w:rsidRPr="00F75857">
              <w:rPr>
                <w:sz w:val="18"/>
                <w:szCs w:val="18"/>
                <w:lang w:val="en-GB"/>
              </w:rPr>
              <w:t xml:space="preserve">(depending on </w:t>
            </w:r>
            <w:r w:rsidRPr="00F75857">
              <w:rPr>
                <w:sz w:val="18"/>
                <w:szCs w:val="18"/>
                <w:lang w:val="en-GB" w:eastAsia="ja-JP"/>
              </w:rPr>
              <w:t xml:space="preserve">involved </w:t>
            </w:r>
            <w:r w:rsidRPr="00F75857">
              <w:rPr>
                <w:sz w:val="18"/>
                <w:szCs w:val="18"/>
                <w:lang w:val="en-GB"/>
              </w:rPr>
              <w:t>broad</w:t>
            </w:r>
            <w:r w:rsidRPr="00F75857">
              <w:rPr>
                <w:sz w:val="18"/>
                <w:szCs w:val="18"/>
                <w:lang w:val="en-GB" w:eastAsia="ja-JP"/>
              </w:rPr>
              <w:t>casting systems),</w:t>
            </w:r>
            <w:r w:rsidRPr="00F75857">
              <w:rPr>
                <w:sz w:val="18"/>
                <w:szCs w:val="18"/>
                <w:lang w:val="en-GB"/>
              </w:rPr>
              <w:t xml:space="preserve"> </w:t>
            </w:r>
            <w:r w:rsidRPr="00F75857">
              <w:rPr>
                <w:sz w:val="18"/>
                <w:szCs w:val="18"/>
                <w:lang w:val="en-GB" w:eastAsia="ja-JP"/>
              </w:rPr>
              <w:t xml:space="preserve">2 </w:t>
            </w:r>
            <w:r w:rsidRPr="00F75857">
              <w:rPr>
                <w:sz w:val="18"/>
                <w:szCs w:val="18"/>
                <w:lang w:val="en-GB"/>
              </w:rPr>
              <w:t xml:space="preserve">(depending on </w:t>
            </w:r>
            <w:r w:rsidRPr="00F75857">
              <w:rPr>
                <w:sz w:val="18"/>
                <w:szCs w:val="18"/>
                <w:lang w:val="en-GB" w:eastAsia="ja-JP"/>
              </w:rPr>
              <w:t xml:space="preserve">involved </w:t>
            </w:r>
            <w:r w:rsidRPr="00F75857">
              <w:rPr>
                <w:sz w:val="18"/>
                <w:szCs w:val="18"/>
                <w:lang w:val="en-GB"/>
              </w:rPr>
              <w:t>broad</w:t>
            </w:r>
            <w:r w:rsidRPr="00F75857">
              <w:rPr>
                <w:sz w:val="18"/>
                <w:szCs w:val="18"/>
                <w:lang w:val="en-GB" w:eastAsia="ja-JP"/>
              </w:rPr>
              <w:t>casting systems)</w:t>
            </w:r>
          </w:p>
        </w:tc>
      </w:tr>
      <w:tr w:rsidR="001B7B94" w:rsidRPr="00F75857" w:rsidTr="00E36297">
        <w:trPr>
          <w:jc w:val="center"/>
        </w:trPr>
        <w:tc>
          <w:tcPr>
            <w:tcW w:w="407" w:type="dxa"/>
            <w:tcBorders>
              <w:bottom w:val="nil"/>
            </w:tcBorders>
          </w:tcPr>
          <w:p w:rsidR="001B7B94" w:rsidRPr="00F75857" w:rsidRDefault="001B7B94" w:rsidP="001046F8">
            <w:pPr>
              <w:pStyle w:val="Tabletext"/>
              <w:jc w:val="center"/>
              <w:rPr>
                <w:sz w:val="18"/>
                <w:szCs w:val="18"/>
                <w:lang w:val="en-GB"/>
              </w:rPr>
            </w:pPr>
            <w:r w:rsidRPr="00F75857">
              <w:rPr>
                <w:sz w:val="18"/>
                <w:szCs w:val="18"/>
                <w:lang w:val="en-GB" w:eastAsia="ja-JP"/>
              </w:rPr>
              <w:t>2</w:t>
            </w: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rPr>
              <w:t xml:space="preserve">3, 4 </w:t>
            </w:r>
            <w:r w:rsidRPr="00F75857">
              <w:rPr>
                <w:sz w:val="18"/>
                <w:szCs w:val="18"/>
                <w:lang w:val="en-GB" w:eastAsia="ja-JP"/>
              </w:rPr>
              <w:t>(in some cases)</w:t>
            </w:r>
            <w:r w:rsidRPr="00F75857">
              <w:rPr>
                <w:sz w:val="18"/>
                <w:szCs w:val="18"/>
                <w:lang w:val="en-GB"/>
              </w:rPr>
              <w:t>, 6, 7, 10, part of 11, 19, 20</w:t>
            </w:r>
            <w:r w:rsidRPr="00F75857">
              <w:rPr>
                <w:sz w:val="18"/>
                <w:szCs w:val="18"/>
                <w:lang w:val="en-GB" w:eastAsia="ja-JP"/>
              </w:rPr>
              <w:t>, 21</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3</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iii)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rPr>
              <w:t xml:space="preserve">5, </w:t>
            </w:r>
            <w:r w:rsidRPr="00F75857">
              <w:rPr>
                <w:sz w:val="18"/>
                <w:szCs w:val="18"/>
                <w:lang w:val="en-GB" w:eastAsia="ja-JP"/>
              </w:rPr>
              <w:t>7, 8, part of 11</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rPr>
              <w:t>i</w:t>
            </w:r>
            <w:r w:rsidRPr="00F75857">
              <w:rPr>
                <w:sz w:val="18"/>
                <w:szCs w:val="18"/>
                <w:lang w:val="en-GB" w:eastAsia="ja-JP"/>
              </w:rPr>
              <w:t>v)</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rPr>
              <w:t>20</w:t>
            </w:r>
            <w:r w:rsidRPr="00F75857">
              <w:rPr>
                <w:sz w:val="18"/>
                <w:szCs w:val="18"/>
                <w:lang w:val="en-GB" w:eastAsia="ja-JP"/>
              </w:rPr>
              <w:t>, 22</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v)</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4, 21</w:t>
            </w:r>
          </w:p>
        </w:tc>
      </w:tr>
      <w:tr w:rsidR="001B7B94" w:rsidRPr="00F75857" w:rsidTr="00E36297">
        <w:trPr>
          <w:jc w:val="center"/>
        </w:trPr>
        <w:tc>
          <w:tcPr>
            <w:tcW w:w="407" w:type="dxa"/>
            <w:tcBorders>
              <w:top w:val="nil"/>
              <w:bottom w:val="single" w:sz="4" w:space="0" w:color="auto"/>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vi)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4</w:t>
            </w:r>
          </w:p>
        </w:tc>
      </w:tr>
      <w:tr w:rsidR="001B7B94" w:rsidRPr="00F75857" w:rsidTr="00E36297">
        <w:trPr>
          <w:jc w:val="center"/>
        </w:trPr>
        <w:tc>
          <w:tcPr>
            <w:tcW w:w="407" w:type="dxa"/>
            <w:tcBorders>
              <w:bottom w:val="nil"/>
            </w:tcBorders>
          </w:tcPr>
          <w:p w:rsidR="001B7B94" w:rsidRPr="00F75857" w:rsidRDefault="001B7B94" w:rsidP="001046F8">
            <w:pPr>
              <w:pStyle w:val="Tabletext"/>
              <w:jc w:val="center"/>
              <w:rPr>
                <w:sz w:val="18"/>
                <w:szCs w:val="18"/>
                <w:lang w:val="en-GB"/>
              </w:rPr>
            </w:pPr>
            <w:r w:rsidRPr="00F75857">
              <w:rPr>
                <w:sz w:val="18"/>
                <w:szCs w:val="18"/>
                <w:lang w:val="en-GB" w:eastAsia="ja-JP"/>
              </w:rPr>
              <w:t>3</w:t>
            </w: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12, 13, 14</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3, 4, 12</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iii)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rPr>
              <w:t>12, 17</w:t>
            </w:r>
            <w:r w:rsidRPr="00F75857">
              <w:rPr>
                <w:sz w:val="18"/>
                <w:szCs w:val="18"/>
                <w:lang w:val="en-GB" w:eastAsia="ja-JP"/>
              </w:rPr>
              <w:t>, 18</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iv)</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14, 16</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v)</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15, 17</w:t>
            </w:r>
          </w:p>
        </w:tc>
      </w:tr>
      <w:tr w:rsidR="001B7B94" w:rsidRPr="00F75857" w:rsidTr="00E36297">
        <w:trPr>
          <w:jc w:val="center"/>
        </w:trPr>
        <w:tc>
          <w:tcPr>
            <w:tcW w:w="407" w:type="dxa"/>
            <w:tcBorders>
              <w:top w:val="nil"/>
              <w:bottom w:val="single" w:sz="4" w:space="0" w:color="auto"/>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vi)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Possibly 3, 13</w:t>
            </w:r>
          </w:p>
        </w:tc>
      </w:tr>
      <w:tr w:rsidR="001B7B94" w:rsidRPr="00F75857" w:rsidTr="00E36297">
        <w:trPr>
          <w:jc w:val="center"/>
        </w:trPr>
        <w:tc>
          <w:tcPr>
            <w:tcW w:w="407" w:type="dxa"/>
            <w:tcBorders>
              <w:bottom w:val="nil"/>
            </w:tcBorders>
          </w:tcPr>
          <w:p w:rsidR="001B7B94" w:rsidRPr="00F75857" w:rsidRDefault="001B7B94" w:rsidP="001046F8">
            <w:pPr>
              <w:pStyle w:val="Tabletext"/>
              <w:jc w:val="center"/>
              <w:rPr>
                <w:sz w:val="18"/>
                <w:szCs w:val="18"/>
                <w:lang w:val="en-GB"/>
              </w:rPr>
            </w:pPr>
            <w:r w:rsidRPr="00F75857">
              <w:rPr>
                <w:sz w:val="18"/>
                <w:szCs w:val="18"/>
                <w:lang w:val="en-GB" w:eastAsia="ja-JP"/>
              </w:rPr>
              <w:t>4</w:t>
            </w: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1</w:t>
            </w:r>
          </w:p>
        </w:tc>
      </w:tr>
      <w:tr w:rsidR="001B7B94" w:rsidRPr="00F75857" w:rsidTr="00E36297">
        <w:trPr>
          <w:jc w:val="center"/>
        </w:trPr>
        <w:tc>
          <w:tcPr>
            <w:tcW w:w="407" w:type="dxa"/>
            <w:tcBorders>
              <w:top w:val="nil"/>
              <w:bottom w:val="nil"/>
            </w:tcBorders>
          </w:tcPr>
          <w:p w:rsidR="001B7B94" w:rsidRPr="00F75857" w:rsidRDefault="001B7B94" w:rsidP="001046F8">
            <w:pPr>
              <w:pStyle w:val="Tabletext"/>
              <w:jc w:val="center"/>
              <w:rPr>
                <w:sz w:val="18"/>
                <w:szCs w:val="18"/>
                <w:lang w:val="en-GB"/>
              </w:rPr>
            </w:pPr>
          </w:p>
        </w:tc>
        <w:tc>
          <w:tcPr>
            <w:tcW w:w="1766" w:type="dxa"/>
          </w:tcPr>
          <w:p w:rsidR="001B7B94" w:rsidRPr="00F75857" w:rsidRDefault="001B7B94" w:rsidP="00417CC6">
            <w:pPr>
              <w:pStyle w:val="Tabletext"/>
              <w:rPr>
                <w:sz w:val="18"/>
                <w:szCs w:val="18"/>
                <w:lang w:val="en-GB"/>
              </w:rPr>
            </w:pPr>
            <w:r w:rsidRPr="00F75857">
              <w:rPr>
                <w:sz w:val="18"/>
                <w:szCs w:val="18"/>
                <w:lang w:val="en-GB" w:eastAsia="ja-JP"/>
              </w:rPr>
              <w:t>ii)</w:t>
            </w:r>
          </w:p>
        </w:tc>
        <w:tc>
          <w:tcPr>
            <w:tcW w:w="7466" w:type="dxa"/>
          </w:tcPr>
          <w:p w:rsidR="001B7B94" w:rsidRPr="00F75857" w:rsidRDefault="001B7B94" w:rsidP="001046F8">
            <w:pPr>
              <w:pStyle w:val="Tabletext"/>
              <w:jc w:val="left"/>
              <w:rPr>
                <w:sz w:val="18"/>
                <w:szCs w:val="18"/>
                <w:lang w:val="en-GB"/>
              </w:rPr>
            </w:pPr>
            <w:r w:rsidRPr="00F75857">
              <w:rPr>
                <w:sz w:val="18"/>
                <w:szCs w:val="18"/>
                <w:lang w:val="en-GB" w:eastAsia="ja-JP"/>
              </w:rPr>
              <w:t>1, 2, 23</w:t>
            </w:r>
          </w:p>
        </w:tc>
      </w:tr>
      <w:tr w:rsidR="001B7B94" w:rsidRPr="00F75857" w:rsidTr="00E36297">
        <w:trPr>
          <w:jc w:val="center"/>
        </w:trPr>
        <w:tc>
          <w:tcPr>
            <w:tcW w:w="407" w:type="dxa"/>
            <w:tcBorders>
              <w:top w:val="nil"/>
              <w:bottom w:val="single" w:sz="4" w:space="0" w:color="auto"/>
            </w:tcBorders>
          </w:tcPr>
          <w:p w:rsidR="001B7B94" w:rsidRPr="00F75857" w:rsidRDefault="001B7B94" w:rsidP="001046F8">
            <w:pPr>
              <w:pStyle w:val="Tabletext"/>
              <w:jc w:val="center"/>
              <w:rPr>
                <w:sz w:val="18"/>
                <w:szCs w:val="18"/>
                <w:lang w:val="en-GB"/>
              </w:rPr>
            </w:pPr>
          </w:p>
        </w:tc>
        <w:tc>
          <w:tcPr>
            <w:tcW w:w="1766" w:type="dxa"/>
            <w:tcBorders>
              <w:bottom w:val="single" w:sz="4" w:space="0" w:color="auto"/>
            </w:tcBorders>
          </w:tcPr>
          <w:p w:rsidR="001B7B94" w:rsidRPr="00F75857" w:rsidRDefault="001B7B94" w:rsidP="00417CC6">
            <w:pPr>
              <w:pStyle w:val="Tabletext"/>
              <w:rPr>
                <w:sz w:val="18"/>
                <w:szCs w:val="18"/>
                <w:lang w:val="en-GB"/>
              </w:rPr>
            </w:pPr>
            <w:r w:rsidRPr="00F75857">
              <w:rPr>
                <w:sz w:val="18"/>
                <w:szCs w:val="18"/>
                <w:lang w:val="en-GB" w:eastAsia="ja-JP"/>
              </w:rPr>
              <w:t>iii)</w:t>
            </w:r>
          </w:p>
        </w:tc>
        <w:tc>
          <w:tcPr>
            <w:tcW w:w="7466" w:type="dxa"/>
            <w:tcBorders>
              <w:bottom w:val="single" w:sz="4" w:space="0" w:color="auto"/>
            </w:tcBorders>
          </w:tcPr>
          <w:p w:rsidR="001B7B94" w:rsidRPr="00F75857" w:rsidRDefault="001B7B94" w:rsidP="001046F8">
            <w:pPr>
              <w:pStyle w:val="Tabletext"/>
              <w:jc w:val="left"/>
              <w:rPr>
                <w:sz w:val="18"/>
                <w:szCs w:val="18"/>
                <w:lang w:val="en-GB"/>
              </w:rPr>
            </w:pPr>
            <w:r w:rsidRPr="00F75857">
              <w:rPr>
                <w:sz w:val="18"/>
                <w:szCs w:val="18"/>
                <w:lang w:val="en-GB" w:eastAsia="ja-JP"/>
              </w:rPr>
              <w:t>None</w:t>
            </w:r>
          </w:p>
        </w:tc>
      </w:tr>
    </w:tbl>
    <w:p w:rsidR="00E36297" w:rsidRDefault="00E36297">
      <w:r>
        <w:br w:type="page"/>
      </w:r>
    </w:p>
    <w:p w:rsidR="00E36297" w:rsidRPr="00E36297" w:rsidRDefault="00E36297">
      <w:pPr>
        <w:rPr>
          <w:i/>
          <w:iCs/>
        </w:rPr>
      </w:pPr>
      <w:r>
        <w:rPr>
          <w:i/>
          <w:iCs/>
        </w:rPr>
        <w:lastRenderedPageBreak/>
        <w:t>Notes to 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E36297" w:rsidRPr="00F75857" w:rsidTr="00E36297">
        <w:trPr>
          <w:jc w:val="center"/>
        </w:trPr>
        <w:tc>
          <w:tcPr>
            <w:tcW w:w="9639" w:type="dxa"/>
            <w:tcBorders>
              <w:top w:val="nil"/>
              <w:left w:val="nil"/>
              <w:bottom w:val="nil"/>
              <w:right w:val="nil"/>
            </w:tcBorders>
          </w:tcPr>
          <w:p w:rsidR="00E36297" w:rsidRPr="003F2DE2" w:rsidRDefault="00E36297" w:rsidP="00E36297">
            <w:pPr>
              <w:pStyle w:val="Tabletext"/>
              <w:rPr>
                <w:lang w:val="en-GB"/>
              </w:rPr>
            </w:pPr>
            <w:r>
              <w:rPr>
                <w:lang w:val="en-GB" w:eastAsia="ja-JP"/>
              </w:rPr>
              <w:t xml:space="preserve">NOTE </w:t>
            </w:r>
            <w:r w:rsidRPr="003F2DE2">
              <w:rPr>
                <w:lang w:val="en-GB" w:eastAsia="ja-JP"/>
              </w:rPr>
              <w:t>1</w:t>
            </w:r>
            <w:r>
              <w:rPr>
                <w:lang w:val="en-GB" w:eastAsia="ja-JP"/>
              </w:rPr>
              <w:t xml:space="preserve"> – </w:t>
            </w:r>
            <w:r w:rsidRPr="003F2DE2">
              <w:rPr>
                <w:lang w:val="en-GB" w:eastAsia="ja-JP"/>
              </w:rPr>
              <w:t>FR-ACF-24, 25, 26, 28, and 29 are not relevant to General requirements.</w:t>
            </w:r>
          </w:p>
          <w:p w:rsidR="00E36297" w:rsidRPr="003F2DE2" w:rsidRDefault="00E36297" w:rsidP="00E36297">
            <w:pPr>
              <w:pStyle w:val="Tabletext"/>
              <w:rPr>
                <w:lang w:val="en-GB" w:eastAsia="ja-JP"/>
              </w:rPr>
            </w:pPr>
            <w:r>
              <w:rPr>
                <w:lang w:val="en-GB" w:eastAsia="ja-JP"/>
              </w:rPr>
              <w:t xml:space="preserve">NOTE 2 – </w:t>
            </w:r>
            <w:r w:rsidRPr="003F2DE2">
              <w:rPr>
                <w:lang w:val="en-GB" w:eastAsia="ja-JP"/>
              </w:rPr>
              <w:t xml:space="preserve">Relevant items in FR-ACF-11 to 1-i) and 1-ii) are described in </w:t>
            </w:r>
            <w:r>
              <w:rPr>
                <w:lang w:val="en-GB" w:eastAsia="ja-JP"/>
              </w:rPr>
              <w:t>§</w:t>
            </w:r>
            <w:r w:rsidRPr="003F2DE2">
              <w:rPr>
                <w:lang w:val="en-GB" w:eastAsia="ja-JP"/>
              </w:rPr>
              <w:t xml:space="preserve"> 2.2.</w:t>
            </w:r>
          </w:p>
          <w:p w:rsidR="00E36297" w:rsidRPr="003F2DE2" w:rsidRDefault="00E36297" w:rsidP="00E36297">
            <w:pPr>
              <w:pStyle w:val="Tabletext"/>
              <w:rPr>
                <w:lang w:val="en-GB" w:eastAsia="ja-JP"/>
              </w:rPr>
            </w:pPr>
            <w:r>
              <w:rPr>
                <w:lang w:val="en-GB" w:eastAsia="ja-JP"/>
              </w:rPr>
              <w:t xml:space="preserve">NOTE 3 – </w:t>
            </w:r>
            <w:r w:rsidRPr="003F2DE2">
              <w:rPr>
                <w:lang w:val="en-GB" w:eastAsia="ja-JP"/>
              </w:rPr>
              <w:t>For 1-iii) and 1-iv) with FR-ACF-1 and 2, which is related to regional and mobile services, relevancy between them depends upon characteristics of digital broadcasting system used for IBB services.</w:t>
            </w:r>
          </w:p>
          <w:p w:rsidR="00E36297" w:rsidRPr="003F2DE2" w:rsidRDefault="00E36297" w:rsidP="00E36297">
            <w:pPr>
              <w:pStyle w:val="Tabletext"/>
              <w:rPr>
                <w:lang w:val="en-GB" w:eastAsia="ja-JP"/>
              </w:rPr>
            </w:pPr>
            <w:r>
              <w:rPr>
                <w:lang w:val="en-GB" w:eastAsia="ja-JP"/>
              </w:rPr>
              <w:t xml:space="preserve">NOTE 4 – </w:t>
            </w:r>
            <w:r w:rsidRPr="003F2DE2">
              <w:rPr>
                <w:lang w:val="en-GB" w:eastAsia="ja-JP"/>
              </w:rPr>
              <w:t xml:space="preserve">Situation considered in combination of 2-i) and FR-ACF-4 is described in </w:t>
            </w:r>
            <w:r>
              <w:rPr>
                <w:lang w:val="en-GB" w:eastAsia="ja-JP"/>
              </w:rPr>
              <w:t>§</w:t>
            </w:r>
            <w:r w:rsidRPr="003F2DE2">
              <w:rPr>
                <w:lang w:val="en-GB" w:eastAsia="ja-JP"/>
              </w:rPr>
              <w:t xml:space="preserve"> 2.2.</w:t>
            </w:r>
          </w:p>
          <w:p w:rsidR="00E36297" w:rsidRPr="003F2DE2" w:rsidRDefault="00E36297" w:rsidP="00E36297">
            <w:pPr>
              <w:pStyle w:val="Tabletext"/>
              <w:rPr>
                <w:lang w:val="en-GB" w:eastAsia="ja-JP"/>
              </w:rPr>
            </w:pPr>
            <w:r>
              <w:rPr>
                <w:lang w:val="en-GB" w:eastAsia="ja-JP"/>
              </w:rPr>
              <w:t xml:space="preserve">NOTE 5 – </w:t>
            </w:r>
            <w:r w:rsidRPr="003F2DE2">
              <w:rPr>
                <w:lang w:val="en-GB" w:eastAsia="ja-JP"/>
              </w:rPr>
              <w:t xml:space="preserve">Relevancy about FR-ACF-11 is described in </w:t>
            </w:r>
            <w:r>
              <w:rPr>
                <w:lang w:val="en-GB" w:eastAsia="ja-JP"/>
              </w:rPr>
              <w:t>§</w:t>
            </w:r>
            <w:r w:rsidRPr="003F2DE2">
              <w:rPr>
                <w:lang w:val="en-GB" w:eastAsia="ja-JP"/>
              </w:rPr>
              <w:t xml:space="preserve"> 2.2.</w:t>
            </w:r>
          </w:p>
          <w:p w:rsidR="00E36297" w:rsidRPr="003F2DE2" w:rsidRDefault="00E36297" w:rsidP="00E36297">
            <w:pPr>
              <w:pStyle w:val="Tabletext"/>
              <w:rPr>
                <w:lang w:val="en-GB" w:eastAsia="ja-JP"/>
              </w:rPr>
            </w:pPr>
            <w:r>
              <w:rPr>
                <w:lang w:val="en-GB" w:eastAsia="ja-JP"/>
              </w:rPr>
              <w:t xml:space="preserve">NOTE 6 – </w:t>
            </w:r>
            <w:r w:rsidRPr="003F2DE2">
              <w:rPr>
                <w:lang w:val="en-GB" w:eastAsia="ja-JP"/>
              </w:rPr>
              <w:t xml:space="preserve">Relevancy between 3-vi) and FR-ACF-3 is described in </w:t>
            </w:r>
            <w:r>
              <w:rPr>
                <w:lang w:val="en-GB" w:eastAsia="ja-JP"/>
              </w:rPr>
              <w:t>§</w:t>
            </w:r>
            <w:r w:rsidRPr="003F2DE2">
              <w:rPr>
                <w:lang w:val="en-GB" w:eastAsia="ja-JP"/>
              </w:rPr>
              <w:t xml:space="preserve"> 2.2.</w:t>
            </w:r>
          </w:p>
        </w:tc>
      </w:tr>
    </w:tbl>
    <w:p w:rsidR="00B73A76" w:rsidRPr="003F2DE2" w:rsidRDefault="00B73A76" w:rsidP="00B73A76">
      <w:pPr>
        <w:pStyle w:val="Tablefin"/>
        <w:rPr>
          <w:lang w:eastAsia="ja-JP"/>
        </w:rPr>
      </w:pPr>
    </w:p>
    <w:p w:rsidR="001B7B94" w:rsidRPr="003F2DE2" w:rsidRDefault="001B7B94" w:rsidP="00716D21">
      <w:pPr>
        <w:rPr>
          <w:lang w:val="en-GB" w:eastAsia="ja-JP"/>
        </w:rPr>
      </w:pPr>
      <w:r w:rsidRPr="003F2DE2">
        <w:rPr>
          <w:lang w:val="en-GB" w:eastAsia="ja-JP"/>
        </w:rPr>
        <w:t xml:space="preserve">As shown in Table </w:t>
      </w:r>
      <w:r w:rsidR="00716D21">
        <w:rPr>
          <w:lang w:val="en-GB" w:eastAsia="ja-JP"/>
        </w:rPr>
        <w:t>1</w:t>
      </w:r>
      <w:r w:rsidRPr="003F2DE2">
        <w:rPr>
          <w:lang w:val="en-GB" w:eastAsia="ja-JP"/>
        </w:rPr>
        <w:t>, Recommendation ITU-T J.205 has enough coverage for broadcast oriented scenario except implementation related issues.</w:t>
      </w:r>
    </w:p>
    <w:p w:rsidR="001B7B94" w:rsidRPr="003F2DE2" w:rsidRDefault="001B7B94" w:rsidP="001B7B94">
      <w:pPr>
        <w:pStyle w:val="Heading2"/>
        <w:rPr>
          <w:lang w:val="en-GB" w:eastAsia="ja-JP"/>
        </w:rPr>
      </w:pPr>
      <w:r w:rsidRPr="003F2DE2">
        <w:rPr>
          <w:lang w:val="en-GB" w:eastAsia="ja-JP"/>
        </w:rPr>
        <w:t>2.2</w:t>
      </w:r>
      <w:r w:rsidRPr="003F2DE2">
        <w:rPr>
          <w:lang w:val="en-GB" w:eastAsia="ja-JP"/>
        </w:rPr>
        <w:tab/>
        <w:t xml:space="preserve">Detailed analysis of items in Recommendation ITU-T J.205 for broadcast oriented </w:t>
      </w:r>
      <w:r w:rsidRPr="003F2DE2">
        <w:rPr>
          <w:lang w:val="en-GB"/>
        </w:rPr>
        <w:t>scenario</w:t>
      </w:r>
    </w:p>
    <w:p w:rsidR="001B7B94" w:rsidRPr="003F2DE2" w:rsidRDefault="001B7B94" w:rsidP="00CE2650">
      <w:pPr>
        <w:rPr>
          <w:lang w:val="en-GB" w:eastAsia="ja-JP"/>
        </w:rPr>
      </w:pPr>
      <w:r w:rsidRPr="003F2DE2">
        <w:rPr>
          <w:lang w:val="en-GB" w:eastAsia="ja-JP"/>
        </w:rPr>
        <w:t xml:space="preserve">In this </w:t>
      </w:r>
      <w:r w:rsidR="00CE2650">
        <w:rPr>
          <w:lang w:val="en-GB" w:eastAsia="ja-JP"/>
        </w:rPr>
        <w:t>section</w:t>
      </w:r>
      <w:r w:rsidRPr="003F2DE2">
        <w:rPr>
          <w:lang w:val="en-GB" w:eastAsia="ja-JP"/>
        </w:rPr>
        <w:t>, detailed analysis of each requirement defined in Recommendation ITU-T J.205 for broadcast oriented scenario is described.</w:t>
      </w:r>
    </w:p>
    <w:p w:rsidR="001B7B94" w:rsidRPr="003F2DE2" w:rsidRDefault="001B7B94" w:rsidP="00B73A76">
      <w:pPr>
        <w:pStyle w:val="Headingb"/>
        <w:rPr>
          <w:lang w:val="en-GB" w:eastAsia="ja-JP"/>
        </w:rPr>
      </w:pPr>
      <w:bookmarkStart w:id="4" w:name="_Toc276919922"/>
      <w:bookmarkStart w:id="5" w:name="_Toc286139634"/>
      <w:r w:rsidRPr="003F2DE2">
        <w:rPr>
          <w:lang w:val="en-GB"/>
        </w:rPr>
        <w:t xml:space="preserve">FR-ACF-01: Use the Recommendation ITU-T J.200 series as </w:t>
      </w:r>
      <w:r w:rsidRPr="003F2DE2">
        <w:rPr>
          <w:lang w:val="en-GB" w:eastAsia="ja-JP"/>
        </w:rPr>
        <w:t xml:space="preserve">a </w:t>
      </w:r>
      <w:r w:rsidRPr="003F2DE2">
        <w:rPr>
          <w:lang w:val="en-GB"/>
        </w:rPr>
        <w:t xml:space="preserve">basis for a new </w:t>
      </w:r>
      <w:r w:rsidRPr="003F2DE2">
        <w:rPr>
          <w:lang w:val="en-GB" w:eastAsia="ja-JP"/>
        </w:rPr>
        <w:t>R</w:t>
      </w:r>
      <w:r w:rsidRPr="003F2DE2">
        <w:rPr>
          <w:lang w:val="en-GB"/>
        </w:rPr>
        <w:t xml:space="preserve">ecommendation of an </w:t>
      </w:r>
      <w:bookmarkEnd w:id="4"/>
      <w:bookmarkEnd w:id="5"/>
      <w:r w:rsidRPr="003F2DE2">
        <w:rPr>
          <w:lang w:val="en-GB"/>
        </w:rPr>
        <w:t>ACF</w:t>
      </w:r>
    </w:p>
    <w:p w:rsidR="001B7B94" w:rsidRPr="003F2DE2" w:rsidRDefault="001B7B94" w:rsidP="00CE2650">
      <w:pPr>
        <w:rPr>
          <w:lang w:val="en-GB" w:eastAsia="ja-JP"/>
        </w:rPr>
      </w:pPr>
      <w:r w:rsidRPr="003F2DE2">
        <w:rPr>
          <w:lang w:val="en-GB" w:eastAsia="ja-JP"/>
        </w:rPr>
        <w:t xml:space="preserve">There is no problem for this requirement by referring relevant ITU-R Recommendations listed in </w:t>
      </w:r>
      <w:r w:rsidR="00CE2650">
        <w:rPr>
          <w:lang w:val="en-GB" w:eastAsia="ja-JP"/>
        </w:rPr>
        <w:t>§ </w:t>
      </w:r>
      <w:r w:rsidRPr="003F2DE2">
        <w:rPr>
          <w:lang w:val="en-GB" w:eastAsia="ja-JP"/>
        </w:rPr>
        <w:t>1.</w:t>
      </w:r>
    </w:p>
    <w:p w:rsidR="001B7B94" w:rsidRPr="003F2DE2" w:rsidRDefault="001B7B94" w:rsidP="001B7B94">
      <w:pPr>
        <w:pStyle w:val="Headingb"/>
        <w:rPr>
          <w:lang w:val="en-GB"/>
        </w:rPr>
      </w:pPr>
      <w:bookmarkStart w:id="6" w:name="_Toc276919923"/>
      <w:bookmarkStart w:id="7" w:name="_Toc286139635"/>
      <w:r w:rsidRPr="003F2DE2">
        <w:rPr>
          <w:lang w:val="en-GB"/>
        </w:rPr>
        <w:t>FR-ACF-02: Coexistence and backward compatibility with current DTV systems adherent to Recommendations ITU-T J.200, ITU-T J.201, ITU-T H.761 and ITU-T J.202</w:t>
      </w:r>
      <w:bookmarkEnd w:id="6"/>
      <w:bookmarkEnd w:id="7"/>
    </w:p>
    <w:p w:rsidR="001B7B94" w:rsidRPr="003F2DE2" w:rsidRDefault="001B7B94" w:rsidP="001B7B94">
      <w:pPr>
        <w:rPr>
          <w:lang w:val="en-GB" w:eastAsia="ja-JP"/>
        </w:rPr>
      </w:pPr>
      <w:r w:rsidRPr="003F2DE2">
        <w:rPr>
          <w:lang w:val="en-GB" w:eastAsia="ja-JP"/>
        </w:rPr>
        <w:t>There is no problem for this requirement. Recommendation ITU-T H.761 is not listed in a table in footnote 1 but the standard defined in Recommendation ITU-T H.761 is included in Recommendation ITU-R BT.1699.</w:t>
      </w:r>
    </w:p>
    <w:p w:rsidR="001B7B94" w:rsidRPr="003F2DE2" w:rsidRDefault="001B7B94" w:rsidP="001B7B94">
      <w:pPr>
        <w:pStyle w:val="Headingb"/>
        <w:rPr>
          <w:lang w:val="en-GB"/>
        </w:rPr>
      </w:pPr>
      <w:bookmarkStart w:id="8" w:name="_Toc276919924"/>
      <w:bookmarkStart w:id="9" w:name="_Toc286139636"/>
      <w:r w:rsidRPr="003F2DE2">
        <w:rPr>
          <w:lang w:val="en-GB"/>
        </w:rPr>
        <w:t>FR-ACF-03: Support for delivering IBB applications using a combination of delivery mechanisms</w:t>
      </w:r>
      <w:bookmarkEnd w:id="8"/>
      <w:bookmarkEnd w:id="9"/>
    </w:p>
    <w:p w:rsidR="001B7B94" w:rsidRPr="003F2DE2" w:rsidRDefault="001B7B94" w:rsidP="001B7B94">
      <w:pPr>
        <w:rPr>
          <w:lang w:val="en-GB" w:eastAsia="ja-JP"/>
        </w:rPr>
      </w:pPr>
      <w:r w:rsidRPr="003F2DE2">
        <w:rPr>
          <w:lang w:val="en-GB" w:eastAsia="ja-JP"/>
        </w:rPr>
        <w:t xml:space="preserve">In Table 1 of Recommendation ITU-T J.205, cases where control is service associated IBB applications are relevant to broadcast oriented scenario. If applicable combination involves only reliable delivery channels and service providers, such combination may be a basis of a trust chain to avoid malicious </w:t>
      </w:r>
      <w:bookmarkStart w:id="10" w:name="_Toc276919925"/>
      <w:bookmarkStart w:id="11" w:name="_Toc286139637"/>
      <w:r w:rsidRPr="003F2DE2">
        <w:rPr>
          <w:lang w:val="en-GB" w:eastAsia="ja-JP"/>
        </w:rPr>
        <w:t>activities by the applications.</w:t>
      </w:r>
    </w:p>
    <w:p w:rsidR="001B7B94" w:rsidRPr="003F2DE2" w:rsidRDefault="001B7B94" w:rsidP="001B7B94">
      <w:pPr>
        <w:rPr>
          <w:lang w:val="en-GB" w:eastAsia="ja-JP"/>
        </w:rPr>
      </w:pPr>
      <w:r w:rsidRPr="003F2DE2">
        <w:rPr>
          <w:lang w:val="en-GB" w:eastAsia="ja-JP"/>
        </w:rPr>
        <w:t>For transport over broadband channel in Table 1, additional formats such as MPEG-DASH may be used for delivering applications and their components.</w:t>
      </w:r>
    </w:p>
    <w:p w:rsidR="001B7B94" w:rsidRPr="003F2DE2" w:rsidRDefault="001B7B94" w:rsidP="001B7B94">
      <w:pPr>
        <w:pStyle w:val="Headingb"/>
        <w:rPr>
          <w:lang w:val="en-GB"/>
        </w:rPr>
      </w:pPr>
      <w:r w:rsidRPr="003F2DE2">
        <w:rPr>
          <w:lang w:val="en-GB"/>
        </w:rPr>
        <w:t xml:space="preserve">FR-ACF-04: </w:t>
      </w:r>
      <w:bookmarkEnd w:id="10"/>
      <w:r w:rsidRPr="003F2DE2">
        <w:rPr>
          <w:lang w:val="en-GB"/>
        </w:rPr>
        <w:t>User Interface</w:t>
      </w:r>
      <w:bookmarkEnd w:id="11"/>
      <w:r w:rsidRPr="003F2DE2">
        <w:rPr>
          <w:lang w:val="en-GB"/>
        </w:rPr>
        <w:t xml:space="preserve"> for application discovery, selection, acquisition and launching</w:t>
      </w:r>
    </w:p>
    <w:p w:rsidR="001B7B94" w:rsidRPr="003F2DE2" w:rsidRDefault="001B7B94" w:rsidP="001B7B94">
      <w:pPr>
        <w:rPr>
          <w:lang w:val="en-GB" w:eastAsia="ja-JP"/>
        </w:rPr>
      </w:pPr>
      <w:r w:rsidRPr="003F2DE2">
        <w:rPr>
          <w:lang w:val="en-GB" w:eastAsia="ja-JP"/>
        </w:rPr>
        <w:t>This function is navigator functionality on a receiver. This is required for stand-alone IBB applications. However, if the IBB system supports concurrent execution of multiple applications, this may be also needed even for service associated IBB applications (for broadcast oriented scenario) to select a new one to execute in parallel.</w:t>
      </w:r>
    </w:p>
    <w:p w:rsidR="001B7B94" w:rsidRPr="003F2DE2" w:rsidRDefault="001B7B94" w:rsidP="001B7B94">
      <w:pPr>
        <w:pStyle w:val="Headingb"/>
        <w:rPr>
          <w:lang w:val="en-GB"/>
        </w:rPr>
      </w:pPr>
      <w:bookmarkStart w:id="12" w:name="_Toc276919926"/>
      <w:bookmarkStart w:id="13" w:name="_Toc286139639"/>
      <w:r w:rsidRPr="003F2DE2">
        <w:rPr>
          <w:lang w:val="en-GB"/>
        </w:rPr>
        <w:t>FR-ACF-05: Installable IBB application support and management</w:t>
      </w:r>
      <w:bookmarkEnd w:id="12"/>
      <w:bookmarkEnd w:id="13"/>
    </w:p>
    <w:p w:rsidR="001B7B94" w:rsidRPr="003F2DE2" w:rsidRDefault="001B7B94" w:rsidP="001B7B94">
      <w:pPr>
        <w:rPr>
          <w:lang w:val="en-GB" w:eastAsia="ja-JP"/>
        </w:rPr>
      </w:pPr>
      <w:r w:rsidRPr="003F2DE2">
        <w:rPr>
          <w:lang w:val="en-GB" w:eastAsia="ja-JP"/>
        </w:rPr>
        <w:t>This function is applicable to stand-alone IBB applications for launch. This function will bring quick start capability for the applications even for service associated IBB applications, and it may be useful for some applications such as those for emergency.</w:t>
      </w:r>
    </w:p>
    <w:p w:rsidR="001B7B94" w:rsidRPr="003F2DE2" w:rsidRDefault="001B7B94" w:rsidP="001B7B94">
      <w:pPr>
        <w:pStyle w:val="Headingb"/>
        <w:rPr>
          <w:lang w:val="en-GB"/>
        </w:rPr>
      </w:pPr>
      <w:bookmarkStart w:id="14" w:name="_Toc276919927"/>
      <w:bookmarkStart w:id="15" w:name="_Toc286139640"/>
      <w:r w:rsidRPr="003F2DE2">
        <w:rPr>
          <w:lang w:val="en-GB"/>
        </w:rPr>
        <w:lastRenderedPageBreak/>
        <w:t>FR-ACF-06: Standardized application repository – remote application catalogue</w:t>
      </w:r>
      <w:bookmarkEnd w:id="14"/>
      <w:bookmarkEnd w:id="15"/>
    </w:p>
    <w:p w:rsidR="001B7B94" w:rsidRPr="003F2DE2" w:rsidRDefault="001B7B94" w:rsidP="001B7B94">
      <w:pPr>
        <w:rPr>
          <w:lang w:val="en-GB" w:eastAsia="ja-JP"/>
        </w:rPr>
      </w:pPr>
      <w:r w:rsidRPr="003F2DE2">
        <w:rPr>
          <w:lang w:val="en-GB" w:eastAsia="ja-JP"/>
        </w:rPr>
        <w:t xml:space="preserve">This entity is for stand-alone IBB applications. When this entity is used in broadcast oriented scenario, </w:t>
      </w:r>
      <w:r w:rsidR="00716D21">
        <w:rPr>
          <w:lang w:val="en-GB" w:eastAsia="ja-JP"/>
        </w:rPr>
        <w:t xml:space="preserve">the </w:t>
      </w:r>
      <w:r w:rsidRPr="003F2DE2">
        <w:rPr>
          <w:lang w:val="en-GB" w:eastAsia="ja-JP"/>
        </w:rPr>
        <w:t>role of this entity will be just centralized application servers only.</w:t>
      </w:r>
    </w:p>
    <w:p w:rsidR="001B7B94" w:rsidRPr="003F2DE2" w:rsidRDefault="001B7B94" w:rsidP="001B7B94">
      <w:pPr>
        <w:pStyle w:val="Headingb"/>
        <w:rPr>
          <w:lang w:val="en-GB"/>
        </w:rPr>
      </w:pPr>
      <w:bookmarkStart w:id="16" w:name="_Toc276919928"/>
      <w:bookmarkStart w:id="17" w:name="_Toc286139641"/>
      <w:r w:rsidRPr="003F2DE2">
        <w:rPr>
          <w:lang w:val="en-GB"/>
        </w:rPr>
        <w:t>FR-ACF-07: Application installation package</w:t>
      </w:r>
      <w:bookmarkEnd w:id="16"/>
      <w:bookmarkEnd w:id="17"/>
    </w:p>
    <w:p w:rsidR="001B7B94" w:rsidRPr="003F2DE2" w:rsidRDefault="001B7B94" w:rsidP="001B7B94">
      <w:pPr>
        <w:rPr>
          <w:lang w:val="en-GB" w:eastAsia="ja-JP"/>
        </w:rPr>
      </w:pPr>
      <w:r w:rsidRPr="003F2DE2">
        <w:rPr>
          <w:lang w:val="en-GB" w:eastAsia="ja-JP"/>
        </w:rPr>
        <w:t>This function is useful for the applications of which rights has to be strictly protected such as paid applications. If such applications are considered in broadcast oriented scenario, this function is mandatory.</w:t>
      </w:r>
    </w:p>
    <w:p w:rsidR="001B7B94" w:rsidRPr="003F2DE2" w:rsidRDefault="001B7B94" w:rsidP="001B7B94">
      <w:pPr>
        <w:pStyle w:val="Headingb"/>
        <w:rPr>
          <w:lang w:val="en-GB"/>
        </w:rPr>
      </w:pPr>
      <w:r w:rsidRPr="003F2DE2">
        <w:rPr>
          <w:lang w:val="en-GB"/>
        </w:rPr>
        <w:t>FR-ACF-08: Resident IBB application support</w:t>
      </w:r>
    </w:p>
    <w:p w:rsidR="001B7B94" w:rsidRPr="003F2DE2" w:rsidRDefault="001B7B94" w:rsidP="001B7B94">
      <w:pPr>
        <w:rPr>
          <w:lang w:val="en-GB" w:eastAsia="ja-JP"/>
        </w:rPr>
      </w:pPr>
      <w:r w:rsidRPr="003F2DE2">
        <w:rPr>
          <w:lang w:val="en-GB" w:eastAsia="ja-JP"/>
        </w:rPr>
        <w:t>This function is for stand-alone IBB applications. This function may be useful for some applications such as those for emergency for quick start capability.</w:t>
      </w:r>
    </w:p>
    <w:p w:rsidR="001B7B94" w:rsidRPr="003F2DE2" w:rsidRDefault="001B7B94" w:rsidP="001B7B94">
      <w:pPr>
        <w:pStyle w:val="Headingb"/>
        <w:rPr>
          <w:lang w:val="en-GB"/>
        </w:rPr>
      </w:pPr>
      <w:bookmarkStart w:id="18" w:name="_Toc276919930"/>
      <w:bookmarkStart w:id="19" w:name="_Toc286139643"/>
      <w:r w:rsidRPr="003F2DE2">
        <w:rPr>
          <w:lang w:val="en-GB"/>
        </w:rPr>
        <w:t xml:space="preserve">FR-ACF-09: Application life cycle </w:t>
      </w:r>
      <w:bookmarkEnd w:id="18"/>
      <w:bookmarkEnd w:id="19"/>
      <w:r w:rsidRPr="003F2DE2">
        <w:rPr>
          <w:lang w:val="en-GB"/>
        </w:rPr>
        <w:t>model</w:t>
      </w:r>
    </w:p>
    <w:p w:rsidR="001B7B94" w:rsidRPr="003F2DE2" w:rsidRDefault="001B7B94" w:rsidP="001B7B94">
      <w:pPr>
        <w:rPr>
          <w:lang w:val="en-GB" w:eastAsia="ja-JP"/>
        </w:rPr>
      </w:pPr>
      <w:r w:rsidRPr="003F2DE2">
        <w:rPr>
          <w:lang w:val="en-GB" w:eastAsia="ja-JP"/>
        </w:rPr>
        <w:t>The life cycle model shall be defined for any kind of applications including service associated IBB applications.</w:t>
      </w:r>
    </w:p>
    <w:p w:rsidR="001B7B94" w:rsidRPr="003F2DE2" w:rsidRDefault="001B7B94" w:rsidP="001B7B94">
      <w:pPr>
        <w:pStyle w:val="Headingb"/>
        <w:rPr>
          <w:lang w:val="en-GB"/>
        </w:rPr>
      </w:pPr>
      <w:r w:rsidRPr="003F2DE2">
        <w:rPr>
          <w:lang w:val="en-GB"/>
        </w:rPr>
        <w:t>FR-ACF-10: User interface for application life cycle manager</w:t>
      </w:r>
    </w:p>
    <w:p w:rsidR="001B7B94" w:rsidRPr="003F2DE2" w:rsidRDefault="001B7B94" w:rsidP="001B7B94">
      <w:pPr>
        <w:rPr>
          <w:lang w:val="en-GB" w:eastAsia="ja-JP"/>
        </w:rPr>
      </w:pPr>
      <w:r w:rsidRPr="003F2DE2">
        <w:rPr>
          <w:lang w:val="en-GB" w:eastAsia="ja-JP"/>
        </w:rPr>
        <w:t>This function is useful and may be required in an IBB system which supports concurrent execution of multiple applications of any types.</w:t>
      </w:r>
    </w:p>
    <w:p w:rsidR="001B7B94" w:rsidRPr="003F2DE2" w:rsidRDefault="001B7B94" w:rsidP="001B7B94">
      <w:pPr>
        <w:pStyle w:val="Headingb"/>
        <w:rPr>
          <w:lang w:val="en-GB"/>
        </w:rPr>
      </w:pPr>
      <w:bookmarkStart w:id="20" w:name="_Toc276919931"/>
      <w:bookmarkStart w:id="21" w:name="_Toc286139644"/>
      <w:r w:rsidRPr="003F2DE2">
        <w:rPr>
          <w:lang w:val="en-GB"/>
        </w:rPr>
        <w:t>FR-ACF-11: IBB application control</w:t>
      </w:r>
      <w:bookmarkEnd w:id="20"/>
      <w:bookmarkEnd w:id="21"/>
    </w:p>
    <w:p w:rsidR="001B7B94" w:rsidRPr="003F2DE2" w:rsidRDefault="001B7B94" w:rsidP="00B73A76">
      <w:pPr>
        <w:rPr>
          <w:lang w:val="en-GB" w:eastAsia="ja-JP"/>
        </w:rPr>
      </w:pPr>
      <w:r w:rsidRPr="003F2DE2">
        <w:rPr>
          <w:lang w:val="en-GB" w:eastAsia="ja-JP"/>
        </w:rPr>
        <w:t>For launching applications, a) and b) are necessary for service associated IBB applications. c) is used for stand-alone IBB applications. For termination of applications, a), b), e), f) and g) are the condition to terminate service associated IBB applications. d) can be applicable to both service associated and stand-alone IBB applications. c) is an optional condition for both types of applications. h) and i) are the cases of error of execution.</w:t>
      </w:r>
    </w:p>
    <w:p w:rsidR="001B7B94" w:rsidRPr="003F2DE2" w:rsidRDefault="001B7B94" w:rsidP="00716D21">
      <w:pPr>
        <w:pStyle w:val="Headingb"/>
        <w:rPr>
          <w:lang w:val="en-GB"/>
        </w:rPr>
      </w:pPr>
      <w:bookmarkStart w:id="22" w:name="_Toc276919932"/>
      <w:bookmarkStart w:id="23" w:name="_Toc286139645"/>
      <w:r w:rsidRPr="003F2DE2">
        <w:rPr>
          <w:lang w:val="en-GB"/>
        </w:rPr>
        <w:t>FR-ACF-12: Rules for choosing service associated IBB application</w:t>
      </w:r>
      <w:r w:rsidR="00946AE6">
        <w:rPr>
          <w:rFonts w:hint="eastAsia"/>
          <w:lang w:val="en-GB"/>
        </w:rPr>
        <w:t>’</w:t>
      </w:r>
      <w:r w:rsidRPr="003F2DE2">
        <w:rPr>
          <w:lang w:val="en-GB"/>
        </w:rPr>
        <w:t>s source</w:t>
      </w:r>
      <w:bookmarkEnd w:id="22"/>
      <w:bookmarkEnd w:id="23"/>
    </w:p>
    <w:p w:rsidR="001B7B94" w:rsidRPr="003F2DE2" w:rsidRDefault="001B7B94" w:rsidP="00716D21">
      <w:pPr>
        <w:rPr>
          <w:lang w:val="en-GB" w:eastAsia="ja-JP"/>
        </w:rPr>
      </w:pPr>
      <w:r w:rsidRPr="003F2DE2">
        <w:rPr>
          <w:lang w:val="en-GB" w:eastAsia="ja-JP"/>
        </w:rPr>
        <w:t xml:space="preserve">It is necessary to define the rule for channel </w:t>
      </w:r>
      <w:r w:rsidR="00716D21" w:rsidRPr="003F2DE2">
        <w:rPr>
          <w:lang w:val="en-GB" w:eastAsia="ja-JP"/>
        </w:rPr>
        <w:t xml:space="preserve">delivery </w:t>
      </w:r>
      <w:r w:rsidRPr="003F2DE2">
        <w:rPr>
          <w:lang w:val="en-GB" w:eastAsia="ja-JP"/>
        </w:rPr>
        <w:t>of the application to be service associated IBB application. While Table 2 in Recommendation ITU-T J.205 is just an example, content of the Table is considered reasonable. However, it may be “Yes” in the case of combination of “Download from the available source, avoiding interruption of the service exhibition” and “Is the IBB application transmitted in the current selected service?” because service associated IBB applications can be downloaded through broadband network. And if the IBB system supports stand-alone applications, it is needed to consider the cases of “Installable” and “Resident” applications, as</w:t>
      </w:r>
      <w:r w:rsidR="001046F8" w:rsidRPr="003F2DE2">
        <w:rPr>
          <w:lang w:val="en-GB" w:eastAsia="ja-JP"/>
        </w:rPr>
        <w:t xml:space="preserve"> </w:t>
      </w:r>
      <w:r w:rsidRPr="003F2DE2">
        <w:rPr>
          <w:lang w:val="en-GB" w:eastAsia="ja-JP"/>
        </w:rPr>
        <w:t xml:space="preserve">shown in Table </w:t>
      </w:r>
      <w:r w:rsidR="001046F8" w:rsidRPr="003F2DE2">
        <w:rPr>
          <w:lang w:val="en-GB" w:eastAsia="ja-JP"/>
        </w:rPr>
        <w:t>1</w:t>
      </w:r>
      <w:r w:rsidRPr="003F2DE2">
        <w:rPr>
          <w:lang w:val="en-GB" w:eastAsia="ja-JP"/>
        </w:rPr>
        <w:t>.</w:t>
      </w:r>
    </w:p>
    <w:p w:rsidR="001B7B94" w:rsidRPr="003F2DE2" w:rsidRDefault="001B7B94" w:rsidP="001B7B94">
      <w:pPr>
        <w:pStyle w:val="Headingb"/>
        <w:rPr>
          <w:lang w:val="en-GB"/>
        </w:rPr>
      </w:pPr>
      <w:r w:rsidRPr="003F2DE2">
        <w:rPr>
          <w:lang w:val="en-GB"/>
        </w:rPr>
        <w:t xml:space="preserve">FR-ACF-13: Mechanism for authenticating IBB applications </w:t>
      </w:r>
    </w:p>
    <w:p w:rsidR="001B7B94" w:rsidRPr="003F2DE2" w:rsidRDefault="001B7B94" w:rsidP="001B7B94">
      <w:pPr>
        <w:rPr>
          <w:lang w:val="en-GB" w:eastAsia="ja-JP"/>
        </w:rPr>
      </w:pPr>
      <w:r w:rsidRPr="003F2DE2">
        <w:rPr>
          <w:lang w:val="en-GB" w:eastAsia="ja-JP"/>
        </w:rPr>
        <w:t xml:space="preserve">If so-called third-party service providers are allowed to contribute to </w:t>
      </w:r>
      <w:r w:rsidR="00716D21">
        <w:rPr>
          <w:lang w:val="en-GB" w:eastAsia="ja-JP"/>
        </w:rPr>
        <w:t xml:space="preserve">the </w:t>
      </w:r>
      <w:r w:rsidRPr="003F2DE2">
        <w:rPr>
          <w:lang w:val="en-GB" w:eastAsia="ja-JP"/>
        </w:rPr>
        <w:t>development or provision of the applications, it is required even for the service associated IBB application to be authenticated or to be developed with trust chain in B2B basis.</w:t>
      </w:r>
    </w:p>
    <w:p w:rsidR="001B7B94" w:rsidRPr="003F2DE2" w:rsidRDefault="001B7B94" w:rsidP="001B7B94">
      <w:pPr>
        <w:pStyle w:val="Headingb"/>
        <w:rPr>
          <w:lang w:val="en-GB"/>
        </w:rPr>
      </w:pPr>
      <w:bookmarkStart w:id="24" w:name="_Toc276919933"/>
      <w:bookmarkStart w:id="25" w:name="_Toc286139646"/>
      <w:r w:rsidRPr="003F2DE2">
        <w:rPr>
          <w:lang w:val="en-GB"/>
        </w:rPr>
        <w:t>FR-ACF-14: Ensure DTV service integrity and IBB application permissions policy</w:t>
      </w:r>
      <w:bookmarkEnd w:id="24"/>
      <w:bookmarkEnd w:id="25"/>
    </w:p>
    <w:p w:rsidR="001B7B94" w:rsidRPr="003F2DE2" w:rsidRDefault="001B7B94" w:rsidP="001B7B94">
      <w:pPr>
        <w:rPr>
          <w:lang w:val="en-GB" w:eastAsia="ja-JP"/>
        </w:rPr>
      </w:pPr>
      <w:r w:rsidRPr="003F2DE2">
        <w:rPr>
          <w:lang w:val="en-GB" w:eastAsia="ja-JP"/>
        </w:rPr>
        <w:t xml:space="preserve">For service exclusive IBB applications, this requirement is implicitly achieved unless third-party service providers are allowed to contribute to </w:t>
      </w:r>
      <w:r w:rsidR="00716D21">
        <w:rPr>
          <w:lang w:val="en-GB" w:eastAsia="ja-JP"/>
        </w:rPr>
        <w:t xml:space="preserve">the </w:t>
      </w:r>
      <w:r w:rsidRPr="003F2DE2">
        <w:rPr>
          <w:lang w:val="en-GB" w:eastAsia="ja-JP"/>
        </w:rPr>
        <w:t>development or provision of the applications. When occurring this case, or when using stand-alone IBB applications or service shared IBB applications, conditions and mechanisms defined in this requirement should be satisfied.</w:t>
      </w:r>
    </w:p>
    <w:p w:rsidR="001B7B94" w:rsidRPr="003F2DE2" w:rsidRDefault="001B7B94" w:rsidP="001B7B94">
      <w:pPr>
        <w:pStyle w:val="Headingb"/>
        <w:rPr>
          <w:lang w:val="en-GB"/>
        </w:rPr>
      </w:pPr>
      <w:bookmarkStart w:id="26" w:name="_Toc276919934"/>
      <w:bookmarkStart w:id="27" w:name="_Toc286139647"/>
      <w:r w:rsidRPr="003F2DE2">
        <w:rPr>
          <w:lang w:val="en-GB"/>
        </w:rPr>
        <w:lastRenderedPageBreak/>
        <w:t>FR-ACF-15: Ensure user privacy and user data protection</w:t>
      </w:r>
      <w:bookmarkEnd w:id="26"/>
      <w:bookmarkEnd w:id="27"/>
    </w:p>
    <w:p w:rsidR="001B7B94" w:rsidRPr="003F2DE2" w:rsidRDefault="001B7B94" w:rsidP="001B7B94">
      <w:pPr>
        <w:rPr>
          <w:lang w:val="en-GB" w:eastAsia="ja-JP"/>
        </w:rPr>
      </w:pPr>
      <w:r w:rsidRPr="003F2DE2">
        <w:rPr>
          <w:lang w:val="en-GB" w:eastAsia="ja-JP"/>
        </w:rPr>
        <w:t xml:space="preserve">As described in this requirement, policy for accessing sensible data and connecting to servers should be defined. This requirement should be applied </w:t>
      </w:r>
      <w:r w:rsidR="001046F8" w:rsidRPr="003F2DE2">
        <w:rPr>
          <w:lang w:val="en-GB" w:eastAsia="ja-JP"/>
        </w:rPr>
        <w:t xml:space="preserve">to </w:t>
      </w:r>
      <w:r w:rsidRPr="003F2DE2">
        <w:rPr>
          <w:lang w:val="en-GB" w:eastAsia="ja-JP"/>
        </w:rPr>
        <w:t>all types of applications.</w:t>
      </w:r>
    </w:p>
    <w:p w:rsidR="001B7B94" w:rsidRPr="003F2DE2" w:rsidRDefault="001B7B94" w:rsidP="00B73A76">
      <w:pPr>
        <w:pStyle w:val="Headingb"/>
        <w:rPr>
          <w:lang w:val="en-GB"/>
        </w:rPr>
      </w:pPr>
      <w:bookmarkStart w:id="28" w:name="_Toc276919935"/>
      <w:bookmarkStart w:id="29" w:name="_Toc286139648"/>
      <w:r w:rsidRPr="003F2DE2">
        <w:rPr>
          <w:lang w:val="en-GB"/>
        </w:rPr>
        <w:t>FR-ACF-16: Service content protection</w:t>
      </w:r>
      <w:bookmarkEnd w:id="28"/>
      <w:bookmarkEnd w:id="29"/>
    </w:p>
    <w:p w:rsidR="001B7B94" w:rsidRPr="003F2DE2" w:rsidRDefault="001B7B94" w:rsidP="001B7B94">
      <w:pPr>
        <w:rPr>
          <w:lang w:val="en-GB" w:eastAsia="ja-JP"/>
        </w:rPr>
      </w:pPr>
      <w:r w:rsidRPr="003F2DE2">
        <w:rPr>
          <w:lang w:val="en-GB" w:eastAsia="ja-JP"/>
        </w:rPr>
        <w:t>Content protection and presentation condition such as parental rating should be considered for all types of applications.</w:t>
      </w:r>
    </w:p>
    <w:p w:rsidR="001B7B94" w:rsidRPr="003F2DE2" w:rsidRDefault="001B7B94" w:rsidP="001B7B94">
      <w:pPr>
        <w:pStyle w:val="Headingb"/>
        <w:rPr>
          <w:lang w:val="en-GB"/>
        </w:rPr>
      </w:pPr>
      <w:bookmarkStart w:id="30" w:name="_Toc276919936"/>
      <w:bookmarkStart w:id="31" w:name="_Toc286139649"/>
      <w:r w:rsidRPr="003F2DE2">
        <w:rPr>
          <w:lang w:val="en-GB"/>
        </w:rPr>
        <w:t>FR-ACF-17: User account management</w:t>
      </w:r>
      <w:bookmarkEnd w:id="30"/>
      <w:bookmarkEnd w:id="31"/>
    </w:p>
    <w:p w:rsidR="001B7B94" w:rsidRPr="003F2DE2" w:rsidRDefault="001B7B94" w:rsidP="001B7B94">
      <w:pPr>
        <w:rPr>
          <w:lang w:val="en-GB" w:eastAsia="ja-JP"/>
        </w:rPr>
      </w:pPr>
      <w:r w:rsidRPr="003F2DE2">
        <w:rPr>
          <w:lang w:val="en-GB" w:eastAsia="ja-JP"/>
        </w:rPr>
        <w:t>Provision of user account management mechanism and protection of accessing to other user account is applicable to all types of applications.</w:t>
      </w:r>
    </w:p>
    <w:p w:rsidR="001B7B94" w:rsidRPr="003F2DE2" w:rsidRDefault="001B7B94" w:rsidP="00716D21">
      <w:pPr>
        <w:pStyle w:val="Headingb"/>
        <w:rPr>
          <w:lang w:val="en-GB"/>
        </w:rPr>
      </w:pPr>
      <w:bookmarkStart w:id="32" w:name="_Toc276919937"/>
      <w:bookmarkStart w:id="33" w:name="_Toc286139650"/>
      <w:r w:rsidRPr="003F2DE2">
        <w:rPr>
          <w:lang w:val="en-GB"/>
        </w:rPr>
        <w:t>FR-ACF-18: IBB application</w:t>
      </w:r>
      <w:r w:rsidR="00946AE6">
        <w:rPr>
          <w:rFonts w:hint="eastAsia"/>
          <w:lang w:val="en-GB"/>
        </w:rPr>
        <w:t>’</w:t>
      </w:r>
      <w:r w:rsidRPr="003F2DE2">
        <w:rPr>
          <w:lang w:val="en-GB"/>
        </w:rPr>
        <w:t>s user settings management</w:t>
      </w:r>
      <w:bookmarkEnd w:id="32"/>
      <w:bookmarkEnd w:id="33"/>
    </w:p>
    <w:p w:rsidR="001B7B94" w:rsidRPr="003F2DE2" w:rsidRDefault="001B7B94" w:rsidP="001B7B94">
      <w:pPr>
        <w:rPr>
          <w:lang w:val="en-GB" w:eastAsia="ja-JP"/>
        </w:rPr>
      </w:pPr>
      <w:r w:rsidRPr="003F2DE2">
        <w:rPr>
          <w:lang w:val="en-GB" w:eastAsia="ja-JP"/>
        </w:rPr>
        <w:t>Application setting management for each user is applicable to all types of applications.</w:t>
      </w:r>
    </w:p>
    <w:p w:rsidR="001B7B94" w:rsidRPr="003F2DE2" w:rsidRDefault="001B7B94" w:rsidP="001B7B94">
      <w:pPr>
        <w:pStyle w:val="Headingb"/>
        <w:rPr>
          <w:lang w:val="en-GB"/>
        </w:rPr>
      </w:pPr>
      <w:bookmarkStart w:id="34" w:name="_Toc276919938"/>
      <w:bookmarkStart w:id="35" w:name="_Toc286139651"/>
      <w:r w:rsidRPr="003F2DE2">
        <w:rPr>
          <w:lang w:val="en-GB"/>
        </w:rPr>
        <w:t>FR-ACF-19: Location awareness</w:t>
      </w:r>
      <w:bookmarkEnd w:id="34"/>
      <w:bookmarkEnd w:id="35"/>
    </w:p>
    <w:p w:rsidR="001B7B94" w:rsidRPr="003F2DE2" w:rsidRDefault="001B7B94" w:rsidP="001B7B94">
      <w:pPr>
        <w:rPr>
          <w:lang w:val="en-GB" w:eastAsia="ja-JP"/>
        </w:rPr>
      </w:pPr>
      <w:r w:rsidRPr="003F2DE2">
        <w:rPr>
          <w:lang w:val="en-GB" w:eastAsia="ja-JP"/>
        </w:rPr>
        <w:t>This requirement is to provide regional and/or mobile services regardless of application types.</w:t>
      </w:r>
    </w:p>
    <w:p w:rsidR="001B7B94" w:rsidRPr="003F2DE2" w:rsidRDefault="001B7B94" w:rsidP="001B7B94">
      <w:pPr>
        <w:pStyle w:val="Headingb"/>
        <w:rPr>
          <w:lang w:val="en-GB"/>
        </w:rPr>
      </w:pPr>
      <w:bookmarkStart w:id="36" w:name="_Toc276919939"/>
      <w:bookmarkStart w:id="37" w:name="_Toc286139652"/>
      <w:r w:rsidRPr="003F2DE2">
        <w:rPr>
          <w:lang w:val="en-GB"/>
        </w:rPr>
        <w:t>FR-ACF-20: Home area network integration</w:t>
      </w:r>
      <w:bookmarkEnd w:id="36"/>
      <w:bookmarkEnd w:id="37"/>
    </w:p>
    <w:p w:rsidR="001B7B94" w:rsidRPr="003F2DE2" w:rsidRDefault="001B7B94" w:rsidP="001B7B94">
      <w:pPr>
        <w:rPr>
          <w:lang w:val="en-GB" w:eastAsia="ja-JP"/>
        </w:rPr>
      </w:pPr>
      <w:r w:rsidRPr="003F2DE2">
        <w:rPr>
          <w:lang w:val="en-GB" w:eastAsia="ja-JP"/>
        </w:rPr>
        <w:t>Collaboration with multiple devices is applicable to all types of applications.</w:t>
      </w:r>
    </w:p>
    <w:p w:rsidR="001B7B94" w:rsidRPr="003F2DE2" w:rsidRDefault="001B7B94" w:rsidP="001B7B94">
      <w:pPr>
        <w:pStyle w:val="Headingb"/>
        <w:rPr>
          <w:lang w:val="en-GB"/>
        </w:rPr>
      </w:pPr>
      <w:bookmarkStart w:id="38" w:name="_Toc276919940"/>
      <w:bookmarkStart w:id="39" w:name="_Toc286139653"/>
      <w:r w:rsidRPr="003F2DE2">
        <w:rPr>
          <w:lang w:val="en-GB"/>
        </w:rPr>
        <w:t>FR-ACF-21: IBB DTV receiver capabilities</w:t>
      </w:r>
      <w:bookmarkEnd w:id="38"/>
      <w:bookmarkEnd w:id="39"/>
    </w:p>
    <w:p w:rsidR="001B7B94" w:rsidRPr="003F2DE2" w:rsidRDefault="001B7B94" w:rsidP="0087060A">
      <w:pPr>
        <w:rPr>
          <w:lang w:val="en-GB" w:eastAsia="ja-JP"/>
        </w:rPr>
      </w:pPr>
      <w:r w:rsidRPr="003F2DE2">
        <w:rPr>
          <w:lang w:val="en-GB" w:eastAsia="ja-JP"/>
        </w:rPr>
        <w:t>Probing and detection of receiver capabilities is required in many cases because there may be difference of the capabilities by receiver model. Sometimes this function is fundamental to avoid execution errors. This characteristic does not depend upon application types, i.e. this requirement is applicable to all types of applications.</w:t>
      </w:r>
    </w:p>
    <w:p w:rsidR="001B7B94" w:rsidRPr="003F2DE2" w:rsidRDefault="001B7B94" w:rsidP="001B7B94">
      <w:pPr>
        <w:pStyle w:val="Headingb"/>
        <w:rPr>
          <w:lang w:val="en-GB"/>
        </w:rPr>
      </w:pPr>
      <w:bookmarkStart w:id="40" w:name="_Toc276919941"/>
      <w:bookmarkStart w:id="41" w:name="_Toc286139654"/>
      <w:r w:rsidRPr="003F2DE2">
        <w:rPr>
          <w:lang w:val="en-GB"/>
        </w:rPr>
        <w:t>FR-ACF-22: DTV service synchronization (stream events)</w:t>
      </w:r>
      <w:bookmarkEnd w:id="40"/>
      <w:bookmarkEnd w:id="41"/>
    </w:p>
    <w:p w:rsidR="001B7B94" w:rsidRPr="003F2DE2" w:rsidRDefault="001B7B94" w:rsidP="001B7B94">
      <w:pPr>
        <w:rPr>
          <w:lang w:val="en-GB" w:eastAsia="ja-JP"/>
        </w:rPr>
      </w:pPr>
      <w:r w:rsidRPr="003F2DE2">
        <w:rPr>
          <w:lang w:val="en-GB" w:eastAsia="ja-JP"/>
        </w:rPr>
        <w:t>Synchronization of application execution to broadcasting programme brings</w:t>
      </w:r>
      <w:r w:rsidR="00C67F9F" w:rsidRPr="003F2DE2">
        <w:rPr>
          <w:lang w:val="en-GB" w:eastAsia="ja-JP"/>
        </w:rPr>
        <w:t xml:space="preserve"> </w:t>
      </w:r>
      <w:r w:rsidRPr="003F2DE2">
        <w:rPr>
          <w:lang w:val="en-GB" w:eastAsia="ja-JP"/>
        </w:rPr>
        <w:t>fundamental difference to IBB applications from others. Synchronization between multiple devices in accordance with progress of the broadcasting programme can be considered as well. This function is applicable to all types of applications.</w:t>
      </w:r>
    </w:p>
    <w:p w:rsidR="001B7B94" w:rsidRPr="003F2DE2" w:rsidRDefault="001B7B94" w:rsidP="001B7B94">
      <w:pPr>
        <w:pStyle w:val="Headingb"/>
        <w:rPr>
          <w:lang w:val="en-GB"/>
        </w:rPr>
      </w:pPr>
      <w:bookmarkStart w:id="42" w:name="_Toc276919942"/>
      <w:bookmarkStart w:id="43" w:name="_Toc286139655"/>
      <w:r w:rsidRPr="003F2DE2">
        <w:rPr>
          <w:lang w:val="en-GB"/>
        </w:rPr>
        <w:t>FR-ACF-23: Mono-media formats, encodings and protocols</w:t>
      </w:r>
      <w:bookmarkEnd w:id="42"/>
      <w:bookmarkEnd w:id="43"/>
    </w:p>
    <w:p w:rsidR="001B7B94" w:rsidRPr="003F2DE2" w:rsidRDefault="001B7B94" w:rsidP="001B7B94">
      <w:pPr>
        <w:rPr>
          <w:lang w:val="en-GB" w:eastAsia="ja-JP"/>
        </w:rPr>
      </w:pPr>
      <w:r w:rsidRPr="003F2DE2">
        <w:rPr>
          <w:lang w:val="en-GB" w:eastAsia="ja-JP"/>
        </w:rPr>
        <w:t>Consideration of mono-media formats, encodings and protocols for broadband usage is important for all types of applications as well as those for broadcasting.</w:t>
      </w:r>
    </w:p>
    <w:p w:rsidR="001B7B94" w:rsidRPr="003F2DE2" w:rsidRDefault="001B7B94" w:rsidP="001B7B94">
      <w:pPr>
        <w:pStyle w:val="Headingb"/>
        <w:rPr>
          <w:lang w:val="en-GB"/>
        </w:rPr>
      </w:pPr>
      <w:bookmarkStart w:id="44" w:name="_Toc276919943"/>
      <w:bookmarkStart w:id="45" w:name="_Toc286139656"/>
      <w:r w:rsidRPr="003F2DE2">
        <w:rPr>
          <w:lang w:val="en-GB"/>
        </w:rPr>
        <w:t>FR-ACF-24: Download feature</w:t>
      </w:r>
      <w:bookmarkEnd w:id="44"/>
      <w:bookmarkEnd w:id="45"/>
    </w:p>
    <w:p w:rsidR="001B7B94" w:rsidRPr="003F2DE2" w:rsidRDefault="001B7B94" w:rsidP="001B7B94">
      <w:pPr>
        <w:rPr>
          <w:lang w:val="en-GB" w:eastAsia="ja-JP"/>
        </w:rPr>
      </w:pPr>
      <w:r w:rsidRPr="003F2DE2">
        <w:rPr>
          <w:lang w:val="en-GB" w:eastAsia="ja-JP"/>
        </w:rPr>
        <w:t>In broadcast oriented scenario, functions to download and store content may be useful.</w:t>
      </w:r>
    </w:p>
    <w:p w:rsidR="001B7B94" w:rsidRPr="003F2DE2" w:rsidRDefault="001B7B94" w:rsidP="001B7B94">
      <w:pPr>
        <w:pStyle w:val="Headingb"/>
        <w:rPr>
          <w:lang w:val="en-GB"/>
        </w:rPr>
      </w:pPr>
      <w:bookmarkStart w:id="46" w:name="_Toc276919944"/>
      <w:bookmarkStart w:id="47" w:name="_Toc286139657"/>
      <w:r w:rsidRPr="003F2DE2">
        <w:rPr>
          <w:lang w:val="en-GB"/>
        </w:rPr>
        <w:t>FR-ACF-25: PVR feature</w:t>
      </w:r>
      <w:bookmarkEnd w:id="46"/>
      <w:bookmarkEnd w:id="47"/>
    </w:p>
    <w:p w:rsidR="001B7B94" w:rsidRPr="003F2DE2" w:rsidRDefault="001B7B94" w:rsidP="00716D21">
      <w:pPr>
        <w:rPr>
          <w:lang w:val="en-GB" w:eastAsia="ja-JP"/>
        </w:rPr>
      </w:pPr>
      <w:r w:rsidRPr="003F2DE2">
        <w:rPr>
          <w:lang w:val="en-GB" w:eastAsia="ja-JP"/>
        </w:rPr>
        <w:t xml:space="preserve">Functions to schedule recording, playback recorded content, and execute the applications which </w:t>
      </w:r>
      <w:r w:rsidR="00716D21">
        <w:rPr>
          <w:lang w:val="en-GB" w:eastAsia="ja-JP"/>
        </w:rPr>
        <w:t>are</w:t>
      </w:r>
      <w:r w:rsidRPr="003F2DE2">
        <w:rPr>
          <w:lang w:val="en-GB" w:eastAsia="ja-JP"/>
        </w:rPr>
        <w:t xml:space="preserve"> signalled by recorded content may be useful for broadcast oriented scenario.</w:t>
      </w:r>
    </w:p>
    <w:p w:rsidR="001B7B94" w:rsidRPr="003F2DE2" w:rsidRDefault="001B7B94" w:rsidP="001B7B94">
      <w:pPr>
        <w:pStyle w:val="Headingb"/>
        <w:rPr>
          <w:lang w:val="en-GB"/>
        </w:rPr>
      </w:pPr>
      <w:bookmarkStart w:id="48" w:name="_Toc276919945"/>
      <w:bookmarkStart w:id="49" w:name="_Toc286139658"/>
      <w:r w:rsidRPr="003F2DE2">
        <w:rPr>
          <w:lang w:val="en-GB"/>
        </w:rPr>
        <w:t>FR-ACF-26: Streaming capabilities</w:t>
      </w:r>
      <w:bookmarkEnd w:id="48"/>
      <w:bookmarkEnd w:id="49"/>
    </w:p>
    <w:p w:rsidR="001B7B94" w:rsidRPr="003F2DE2" w:rsidRDefault="001B7B94" w:rsidP="001B7B94">
      <w:pPr>
        <w:rPr>
          <w:lang w:val="en-GB" w:eastAsia="ja-JP"/>
        </w:rPr>
      </w:pPr>
      <w:r w:rsidRPr="003F2DE2">
        <w:rPr>
          <w:lang w:val="en-GB" w:eastAsia="ja-JP"/>
        </w:rPr>
        <w:t>This function may be important for all types of applications to play additional or independent content. Careful consideration may be needed for playing streaming content by stand-alone IBB applications to maintain integrity of broadcasting content which is being presented.</w:t>
      </w:r>
    </w:p>
    <w:p w:rsidR="001B7B94" w:rsidRPr="003F2DE2" w:rsidRDefault="001B7B94" w:rsidP="001B7B94">
      <w:pPr>
        <w:pStyle w:val="Headingb"/>
        <w:rPr>
          <w:lang w:val="en-GB"/>
        </w:rPr>
      </w:pPr>
      <w:bookmarkStart w:id="50" w:name="_Toc276919946"/>
      <w:bookmarkStart w:id="51" w:name="_Toc286139659"/>
      <w:r w:rsidRPr="003F2DE2">
        <w:rPr>
          <w:lang w:val="en-GB"/>
        </w:rPr>
        <w:lastRenderedPageBreak/>
        <w:t>FR-ACF-27: Content purchase</w:t>
      </w:r>
      <w:bookmarkEnd w:id="50"/>
      <w:bookmarkEnd w:id="51"/>
    </w:p>
    <w:p w:rsidR="001B7B94" w:rsidRPr="003F2DE2" w:rsidRDefault="001B7B94" w:rsidP="001B7B94">
      <w:pPr>
        <w:rPr>
          <w:lang w:val="en-GB" w:eastAsia="ja-JP"/>
        </w:rPr>
      </w:pPr>
      <w:r w:rsidRPr="003F2DE2">
        <w:rPr>
          <w:lang w:val="en-GB" w:eastAsia="ja-JP"/>
        </w:rPr>
        <w:t>When introducing IBB functions to paid services, this function is important regardless of application types. FR-ACF-07 is important as well to maintain the form of applications and content.</w:t>
      </w:r>
    </w:p>
    <w:p w:rsidR="001B7B94" w:rsidRPr="003F2DE2" w:rsidRDefault="001B7B94" w:rsidP="001B7B94">
      <w:pPr>
        <w:pStyle w:val="Headingb"/>
        <w:rPr>
          <w:lang w:val="en-GB"/>
        </w:rPr>
      </w:pPr>
      <w:bookmarkStart w:id="52" w:name="_Toc276919948"/>
      <w:bookmarkStart w:id="53" w:name="_Toc286139661"/>
      <w:r w:rsidRPr="003F2DE2">
        <w:rPr>
          <w:lang w:val="en-GB"/>
        </w:rPr>
        <w:t>FR-ACF-28: System updating and expandability</w:t>
      </w:r>
      <w:bookmarkEnd w:id="52"/>
      <w:bookmarkEnd w:id="53"/>
    </w:p>
    <w:p w:rsidR="001B7B94" w:rsidRPr="003F2DE2" w:rsidRDefault="001B7B94" w:rsidP="001B7B94">
      <w:pPr>
        <w:rPr>
          <w:lang w:val="en-GB" w:eastAsia="ja-JP"/>
        </w:rPr>
      </w:pPr>
      <w:r w:rsidRPr="003F2DE2">
        <w:rPr>
          <w:lang w:val="en-GB" w:eastAsia="ja-JP"/>
        </w:rPr>
        <w:t>This function is applicable to all IBB systems.</w:t>
      </w:r>
    </w:p>
    <w:p w:rsidR="001B7B94" w:rsidRPr="003F2DE2" w:rsidRDefault="001B7B94" w:rsidP="001B7B94">
      <w:pPr>
        <w:pStyle w:val="Headingb"/>
        <w:rPr>
          <w:lang w:val="en-GB"/>
        </w:rPr>
      </w:pPr>
      <w:bookmarkStart w:id="54" w:name="_Toc286139662"/>
      <w:r w:rsidRPr="003F2DE2">
        <w:rPr>
          <w:lang w:val="en-GB"/>
        </w:rPr>
        <w:t>FR-ACF-29: Pluggable modules support</w:t>
      </w:r>
      <w:bookmarkEnd w:id="54"/>
    </w:p>
    <w:p w:rsidR="001B7B94" w:rsidRPr="003F2DE2" w:rsidRDefault="001B7B94" w:rsidP="001B7B94">
      <w:pPr>
        <w:rPr>
          <w:lang w:val="en-GB" w:eastAsia="ja-JP"/>
        </w:rPr>
      </w:pPr>
      <w:r w:rsidRPr="003F2DE2">
        <w:rPr>
          <w:lang w:val="en-GB" w:eastAsia="ja-JP"/>
        </w:rPr>
        <w:t>System capability expansion by plugin module is applicable to all types of applications.</w:t>
      </w:r>
    </w:p>
    <w:p w:rsidR="001B7B94" w:rsidRPr="003F2DE2" w:rsidRDefault="001B7B94" w:rsidP="001046F8">
      <w:pPr>
        <w:pStyle w:val="Heading1"/>
        <w:rPr>
          <w:lang w:val="en-GB" w:eastAsia="ja-JP"/>
        </w:rPr>
      </w:pPr>
      <w:r w:rsidRPr="003F2DE2">
        <w:rPr>
          <w:lang w:val="en-GB" w:eastAsia="ja-JP"/>
        </w:rPr>
        <w:t>3</w:t>
      </w:r>
      <w:r w:rsidRPr="003F2DE2">
        <w:rPr>
          <w:lang w:val="en-GB" w:eastAsia="ja-JP"/>
        </w:rPr>
        <w:tab/>
        <w:t xml:space="preserve">Consideration </w:t>
      </w:r>
      <w:r w:rsidRPr="003F2DE2">
        <w:rPr>
          <w:lang w:val="en-GB"/>
        </w:rPr>
        <w:t>on</w:t>
      </w:r>
      <w:r w:rsidRPr="003F2DE2">
        <w:rPr>
          <w:lang w:val="en-GB" w:eastAsia="ja-JP"/>
        </w:rPr>
        <w:t xml:space="preserve"> stand-alone IBB applications</w:t>
      </w:r>
    </w:p>
    <w:p w:rsidR="001B7B94" w:rsidRPr="003F2DE2" w:rsidRDefault="001B7B94" w:rsidP="001046F8">
      <w:pPr>
        <w:keepNext/>
        <w:keepLines/>
        <w:rPr>
          <w:lang w:val="en-GB" w:eastAsia="ja-JP"/>
        </w:rPr>
      </w:pPr>
      <w:r w:rsidRPr="003F2DE2">
        <w:rPr>
          <w:lang w:val="en-GB" w:eastAsia="ja-JP"/>
        </w:rPr>
        <w:t>As defined in Recommendation ITU-T J.205, life cycle of stand-alone IBB applications is not influenced by selection of broadcasting services. In other words, once a stand-alone IBB application is launched, the application continues to run unless termination signal is issued by end users or privileged application control signals. In broadcast oriented scenario, use of stand-alone IBB applications has pros and cons:</w:t>
      </w:r>
    </w:p>
    <w:p w:rsidR="001B7B94" w:rsidRPr="003F2DE2" w:rsidRDefault="001B7B94" w:rsidP="001B7B94">
      <w:pPr>
        <w:pStyle w:val="enumlev1"/>
        <w:rPr>
          <w:lang w:val="en-GB" w:eastAsia="ja-JP"/>
        </w:rPr>
      </w:pPr>
      <w:r w:rsidRPr="003F2DE2">
        <w:rPr>
          <w:lang w:val="en-GB" w:eastAsia="ja-JP"/>
        </w:rPr>
        <w:t>–</w:t>
      </w:r>
      <w:r w:rsidRPr="003F2DE2">
        <w:rPr>
          <w:lang w:val="en-GB" w:eastAsia="ja-JP"/>
        </w:rPr>
        <w:tab/>
        <w:t>Stand-alone IBB application allows the services being independent from broadcasting service. For example, EPG collaborating with tablet computers may be implemented by using this type of application.</w:t>
      </w:r>
    </w:p>
    <w:p w:rsidR="001B7B94" w:rsidRPr="003F2DE2" w:rsidRDefault="001B7B94" w:rsidP="001B7B94">
      <w:pPr>
        <w:pStyle w:val="enumlev1"/>
        <w:rPr>
          <w:lang w:val="en-GB" w:eastAsia="ja-JP"/>
        </w:rPr>
      </w:pPr>
      <w:r w:rsidRPr="003F2DE2">
        <w:rPr>
          <w:lang w:val="en-GB" w:eastAsia="ja-JP"/>
        </w:rPr>
        <w:t>–</w:t>
      </w:r>
      <w:r w:rsidRPr="003F2DE2">
        <w:rPr>
          <w:lang w:val="en-GB" w:eastAsia="ja-JP"/>
        </w:rPr>
        <w:tab/>
        <w:t>Stand-alone IBB applications allow enhancing system functions. For example, pay</w:t>
      </w:r>
      <w:r w:rsidRPr="003F2DE2">
        <w:rPr>
          <w:lang w:val="en-GB" w:eastAsia="ja-JP"/>
        </w:rPr>
        <w:noBreakHyphen/>
        <w:t>per</w:t>
      </w:r>
      <w:r w:rsidRPr="003F2DE2">
        <w:rPr>
          <w:lang w:val="en-GB" w:eastAsia="ja-JP"/>
        </w:rPr>
        <w:noBreakHyphen/>
        <w:t>view management application which manages multiple broadcasting services should run in background. It may be difficult to implement such application by using other types.</w:t>
      </w:r>
    </w:p>
    <w:p w:rsidR="001B7B94" w:rsidRPr="003F2DE2" w:rsidRDefault="001B7B94" w:rsidP="001B7B94">
      <w:pPr>
        <w:pStyle w:val="enumlev1"/>
        <w:rPr>
          <w:lang w:val="en-GB" w:eastAsia="ja-JP"/>
        </w:rPr>
      </w:pPr>
      <w:r w:rsidRPr="003F2DE2">
        <w:rPr>
          <w:lang w:val="en-GB" w:eastAsia="ja-JP"/>
        </w:rPr>
        <w:t>–</w:t>
      </w:r>
      <w:r w:rsidRPr="003F2DE2">
        <w:rPr>
          <w:lang w:val="en-GB" w:eastAsia="ja-JP"/>
        </w:rPr>
        <w:tab/>
        <w:t>Stand-alone IBB applications have similar execution form to applications on smart phones or tablet computers. Thus end users may understand how to use and manage them easily.</w:t>
      </w:r>
    </w:p>
    <w:p w:rsidR="001B7B94" w:rsidRPr="003F2DE2" w:rsidRDefault="001B7B94" w:rsidP="001B7B94">
      <w:pPr>
        <w:pStyle w:val="enumlev1"/>
        <w:rPr>
          <w:lang w:val="en-GB" w:eastAsia="ja-JP"/>
        </w:rPr>
      </w:pPr>
      <w:r w:rsidRPr="003F2DE2">
        <w:rPr>
          <w:lang w:val="en-GB" w:eastAsia="ja-JP"/>
        </w:rPr>
        <w:t>–</w:t>
      </w:r>
      <w:r w:rsidRPr="003F2DE2">
        <w:rPr>
          <w:lang w:val="en-GB" w:eastAsia="ja-JP"/>
        </w:rPr>
        <w:tab/>
        <w:t>Stand-alone IBB applications require careful security consideration on both broadcast resource access and user information.</w:t>
      </w:r>
    </w:p>
    <w:p w:rsidR="001B7B94" w:rsidRPr="003F2DE2" w:rsidRDefault="001B7B94" w:rsidP="001B7B94">
      <w:pPr>
        <w:pStyle w:val="enumlev1"/>
        <w:rPr>
          <w:lang w:val="en-GB" w:eastAsia="ja-JP"/>
        </w:rPr>
      </w:pPr>
      <w:r w:rsidRPr="003F2DE2">
        <w:rPr>
          <w:lang w:val="en-GB" w:eastAsia="ja-JP"/>
        </w:rPr>
        <w:t>–</w:t>
      </w:r>
      <w:r w:rsidRPr="003F2DE2">
        <w:rPr>
          <w:lang w:val="en-GB" w:eastAsia="ja-JP"/>
        </w:rPr>
        <w:tab/>
        <w:t>Use of stand-alone IBB applications will require functionality of concurrent execution of multiple applications. It leads complex receiver implementation and display management. However, concurrent execution is already achieved in some interactive TV systems, such as those included in Recommendation ITU-R BT.1722.</w:t>
      </w:r>
    </w:p>
    <w:p w:rsidR="001B7B94" w:rsidRPr="003F2DE2" w:rsidRDefault="001B7B94" w:rsidP="001B7B94">
      <w:pPr>
        <w:rPr>
          <w:lang w:val="en-GB" w:eastAsia="ja-JP"/>
        </w:rPr>
      </w:pPr>
      <w:r w:rsidRPr="003F2DE2">
        <w:rPr>
          <w:lang w:val="en-GB" w:eastAsia="ja-JP"/>
        </w:rPr>
        <w:t>Considering pros and cons mentioned above, use of stand-alone IBB applications will bring new service opportunity to broadcasters and complexity of the system.</w:t>
      </w:r>
    </w:p>
    <w:p w:rsidR="00004E6C" w:rsidRPr="003F2DE2" w:rsidRDefault="00004E6C" w:rsidP="00B73A76">
      <w:pPr>
        <w:rPr>
          <w:lang w:val="en-GB"/>
        </w:rPr>
      </w:pPr>
    </w:p>
    <w:p w:rsidR="001B7B94" w:rsidRPr="003F2DE2" w:rsidRDefault="001B7B94" w:rsidP="00B73A76">
      <w:pPr>
        <w:pStyle w:val="Line"/>
      </w:pPr>
    </w:p>
    <w:p w:rsidR="001B7B94" w:rsidRPr="003F2DE2" w:rsidRDefault="001B7B94" w:rsidP="001B7B94">
      <w:pPr>
        <w:rPr>
          <w:lang w:val="en-GB"/>
        </w:rPr>
      </w:pPr>
    </w:p>
    <w:sectPr w:rsidR="001B7B94" w:rsidRPr="003F2DE2" w:rsidSect="005A62A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B94" w:rsidRDefault="001B7B94">
      <w:r>
        <w:separator/>
      </w:r>
    </w:p>
  </w:endnote>
  <w:endnote w:type="continuationSeparator" w:id="0">
    <w:p w:rsidR="001B7B94" w:rsidRDefault="001B7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B94" w:rsidRDefault="001B7B94">
      <w:r>
        <w:separator/>
      </w:r>
    </w:p>
  </w:footnote>
  <w:footnote w:type="continuationSeparator" w:id="0">
    <w:p w:rsidR="001B7B94" w:rsidRDefault="001B7B94">
      <w:r>
        <w:continuationSeparator/>
      </w:r>
    </w:p>
  </w:footnote>
  <w:footnote w:id="1">
    <w:p w:rsidR="002A2670" w:rsidRPr="002A2670" w:rsidRDefault="002A2670" w:rsidP="002A2670">
      <w:pPr>
        <w:pStyle w:val="FootnoteText"/>
        <w:rPr>
          <w:lang w:val="en-US"/>
        </w:rPr>
      </w:pPr>
      <w:r>
        <w:rPr>
          <w:rStyle w:val="FootnoteReference"/>
        </w:rPr>
        <w:footnoteRef/>
      </w:r>
      <w:r w:rsidRPr="002A2670">
        <w:rPr>
          <w:lang w:val="en-US"/>
        </w:rPr>
        <w:tab/>
      </w:r>
      <w:r w:rsidRPr="002A2670">
        <w:rPr>
          <w:rFonts w:ascii="TimesNewRoman" w:hAnsi="TimesNewRoman"/>
          <w:szCs w:val="24"/>
          <w:lang w:val="en-US" w:eastAsia="ja-JP"/>
        </w:rPr>
        <w:t>Radiocommunication Study Group 6 made editorial amendments to this Recommendation in November 2014 in accordance with Resolution ITU-R 1.</w:t>
      </w:r>
    </w:p>
  </w:footnote>
  <w:footnote w:id="2">
    <w:p w:rsidR="00B73A76" w:rsidRPr="00D809D0" w:rsidRDefault="00B73A76" w:rsidP="00716D21">
      <w:pPr>
        <w:tabs>
          <w:tab w:val="left" w:pos="284"/>
        </w:tabs>
        <w:rPr>
          <w:rStyle w:val="FootnoteTextChar"/>
          <w:lang w:val="en-US"/>
        </w:rPr>
      </w:pPr>
      <w:r w:rsidRPr="00D809D0">
        <w:rPr>
          <w:rStyle w:val="FootnoteReference"/>
          <w:lang w:val="en-US"/>
        </w:rPr>
        <w:t>*</w:t>
      </w:r>
      <w:r w:rsidRPr="00D809D0">
        <w:rPr>
          <w:rStyle w:val="FootnoteTextChar"/>
          <w:lang w:val="en-US"/>
        </w:rPr>
        <w:tab/>
        <w:t xml:space="preserve">This Recommendation is </w:t>
      </w:r>
      <w:r w:rsidRPr="00D809D0">
        <w:rPr>
          <w:rStyle w:val="FootnoteTextChar"/>
          <w:rFonts w:hint="eastAsia"/>
          <w:lang w:val="en-US"/>
        </w:rPr>
        <w:t xml:space="preserve">a </w:t>
      </w:r>
      <w:r w:rsidRPr="00D809D0">
        <w:rPr>
          <w:rStyle w:val="FootnoteTextChar"/>
          <w:lang w:val="en-US"/>
        </w:rPr>
        <w:t>part of the family of Recommendations and Reports on IBB systems.</w:t>
      </w:r>
    </w:p>
  </w:footnote>
  <w:footnote w:id="3">
    <w:p w:rsidR="001B7B94" w:rsidRPr="00D809D0" w:rsidRDefault="001B7B94" w:rsidP="00716D21">
      <w:pPr>
        <w:tabs>
          <w:tab w:val="left" w:pos="284"/>
        </w:tabs>
        <w:ind w:left="284" w:hanging="284"/>
        <w:rPr>
          <w:rStyle w:val="FootnoteTextChar"/>
          <w:lang w:val="en-US"/>
        </w:rPr>
      </w:pPr>
      <w:r>
        <w:rPr>
          <w:rStyle w:val="FootnoteReference"/>
        </w:rPr>
        <w:footnoteRef/>
      </w:r>
      <w:r w:rsidRPr="00D809D0">
        <w:rPr>
          <w:lang w:val="en-US"/>
        </w:rPr>
        <w:tab/>
      </w:r>
      <w:r w:rsidRPr="00D809D0">
        <w:rPr>
          <w:rStyle w:val="FootnoteTextChar"/>
          <w:rFonts w:hint="eastAsia"/>
          <w:lang w:val="en-US"/>
        </w:rPr>
        <w:t>Recommendation ITU-T J.205 refers to three ITU-T J.200</w:t>
      </w:r>
      <w:r w:rsidR="00D809D0">
        <w:rPr>
          <w:rStyle w:val="FootnoteTextChar"/>
          <w:lang w:val="en-US"/>
        </w:rPr>
        <w:t>-</w:t>
      </w:r>
      <w:r w:rsidRPr="00D809D0">
        <w:rPr>
          <w:rStyle w:val="FootnoteTextChar"/>
          <w:rFonts w:hint="eastAsia"/>
          <w:lang w:val="en-US"/>
        </w:rPr>
        <w:t>series Recommendations. The</w:t>
      </w:r>
      <w:r w:rsidR="00B73A76" w:rsidRPr="00D809D0">
        <w:rPr>
          <w:rStyle w:val="FootnoteTextChar"/>
          <w:lang w:val="en-US"/>
        </w:rPr>
        <w:t xml:space="preserve"> </w:t>
      </w:r>
      <w:r w:rsidRPr="00D809D0">
        <w:rPr>
          <w:rStyle w:val="FootnoteTextChar"/>
          <w:rFonts w:hint="eastAsia"/>
          <w:lang w:val="en-US"/>
        </w:rPr>
        <w:t xml:space="preserve">corresponding ITU-R Recommendations in </w:t>
      </w:r>
      <w:r w:rsidR="00D809D0">
        <w:rPr>
          <w:rStyle w:val="FootnoteTextChar"/>
          <w:lang w:val="en-US"/>
        </w:rPr>
        <w:t xml:space="preserve">the </w:t>
      </w:r>
      <w:r w:rsidRPr="00D809D0">
        <w:rPr>
          <w:rStyle w:val="FootnoteTextChar"/>
          <w:rFonts w:hint="eastAsia"/>
          <w:lang w:val="en-US"/>
        </w:rPr>
        <w:t>BT</w:t>
      </w:r>
      <w:r w:rsidRPr="00D809D0">
        <w:rPr>
          <w:rStyle w:val="FootnoteTextChar"/>
          <w:lang w:val="en-US"/>
        </w:rPr>
        <w:t>-</w:t>
      </w:r>
      <w:r w:rsidRPr="00D809D0">
        <w:rPr>
          <w:rStyle w:val="FootnoteTextChar"/>
          <w:rFonts w:hint="eastAsia"/>
          <w:lang w:val="en-US"/>
        </w:rPr>
        <w:t>series are listed below.</w:t>
      </w:r>
    </w:p>
    <w:p w:rsidR="001046F8" w:rsidRPr="00D809D0" w:rsidRDefault="001046F8" w:rsidP="001046F8">
      <w:pPr>
        <w:pStyle w:val="Blanc"/>
        <w:rPr>
          <w:rStyle w:val="FootnoteTextChar"/>
          <w:lang w:val="en-US"/>
        </w:rPr>
      </w:pPr>
    </w:p>
    <w:tbl>
      <w:tblPr>
        <w:tblStyle w:val="TableGrid"/>
        <w:tblW w:w="7371" w:type="dxa"/>
        <w:jc w:val="center"/>
        <w:tblLayout w:type="fixed"/>
        <w:tblLook w:val="04A0" w:firstRow="1" w:lastRow="0" w:firstColumn="1" w:lastColumn="0" w:noHBand="0" w:noVBand="1"/>
      </w:tblPr>
      <w:tblGrid>
        <w:gridCol w:w="3686"/>
        <w:gridCol w:w="3685"/>
      </w:tblGrid>
      <w:tr w:rsidR="001046F8" w:rsidTr="001046F8">
        <w:trPr>
          <w:jc w:val="center"/>
        </w:trPr>
        <w:tc>
          <w:tcPr>
            <w:tcW w:w="4800" w:type="dxa"/>
          </w:tcPr>
          <w:p w:rsidR="001046F8" w:rsidRDefault="001046F8" w:rsidP="001046F8">
            <w:pPr>
              <w:pStyle w:val="FootnoteText"/>
              <w:spacing w:before="40" w:after="40"/>
              <w:ind w:left="0" w:firstLine="0"/>
              <w:jc w:val="left"/>
              <w:rPr>
                <w:lang w:eastAsia="ja-JP"/>
              </w:rPr>
            </w:pPr>
            <w:r>
              <w:rPr>
                <w:rFonts w:hint="eastAsia"/>
                <w:lang w:eastAsia="ja-JP"/>
              </w:rPr>
              <w:t>Recommendation ITU-T J.200 (2010)</w:t>
            </w:r>
          </w:p>
        </w:tc>
        <w:tc>
          <w:tcPr>
            <w:tcW w:w="4800" w:type="dxa"/>
          </w:tcPr>
          <w:p w:rsidR="001046F8" w:rsidRDefault="001046F8" w:rsidP="001046F8">
            <w:pPr>
              <w:pStyle w:val="FootnoteText"/>
              <w:spacing w:before="40" w:after="40"/>
              <w:ind w:left="0" w:firstLine="0"/>
              <w:jc w:val="left"/>
              <w:rPr>
                <w:lang w:eastAsia="ja-JP"/>
              </w:rPr>
            </w:pPr>
            <w:r>
              <w:rPr>
                <w:rFonts w:hint="eastAsia"/>
                <w:lang w:eastAsia="ja-JP"/>
              </w:rPr>
              <w:t>Recommendation ITU-R BT.1889</w:t>
            </w:r>
          </w:p>
        </w:tc>
      </w:tr>
      <w:tr w:rsidR="001046F8" w:rsidTr="001046F8">
        <w:trPr>
          <w:jc w:val="center"/>
        </w:trPr>
        <w:tc>
          <w:tcPr>
            <w:tcW w:w="4800" w:type="dxa"/>
          </w:tcPr>
          <w:p w:rsidR="001046F8" w:rsidRDefault="001046F8" w:rsidP="001046F8">
            <w:pPr>
              <w:pStyle w:val="FootnoteText"/>
              <w:spacing w:before="40" w:after="40"/>
              <w:ind w:left="0" w:firstLine="0"/>
              <w:jc w:val="left"/>
              <w:rPr>
                <w:lang w:eastAsia="ja-JP"/>
              </w:rPr>
            </w:pPr>
            <w:r>
              <w:rPr>
                <w:rFonts w:hint="eastAsia"/>
                <w:lang w:eastAsia="ja-JP"/>
              </w:rPr>
              <w:t>Recommendation ITU-T J.201 (2009)</w:t>
            </w:r>
          </w:p>
        </w:tc>
        <w:tc>
          <w:tcPr>
            <w:tcW w:w="4800" w:type="dxa"/>
          </w:tcPr>
          <w:p w:rsidR="001046F8" w:rsidRDefault="001046F8" w:rsidP="001046F8">
            <w:pPr>
              <w:pStyle w:val="FootnoteText"/>
              <w:spacing w:before="40" w:after="40"/>
              <w:ind w:left="0" w:firstLine="0"/>
              <w:jc w:val="left"/>
              <w:rPr>
                <w:lang w:eastAsia="ja-JP"/>
              </w:rPr>
            </w:pPr>
            <w:r>
              <w:rPr>
                <w:rFonts w:hint="eastAsia"/>
                <w:lang w:eastAsia="ja-JP"/>
              </w:rPr>
              <w:t>Recommendation ITU-R BT.1699-2</w:t>
            </w:r>
          </w:p>
        </w:tc>
      </w:tr>
      <w:tr w:rsidR="001046F8" w:rsidTr="001046F8">
        <w:trPr>
          <w:jc w:val="center"/>
        </w:trPr>
        <w:tc>
          <w:tcPr>
            <w:tcW w:w="4800" w:type="dxa"/>
          </w:tcPr>
          <w:p w:rsidR="001046F8" w:rsidRDefault="001046F8" w:rsidP="001046F8">
            <w:pPr>
              <w:pStyle w:val="FootnoteText"/>
              <w:spacing w:before="40" w:after="40"/>
              <w:ind w:left="0" w:firstLine="0"/>
              <w:jc w:val="left"/>
              <w:rPr>
                <w:lang w:eastAsia="ja-JP"/>
              </w:rPr>
            </w:pPr>
            <w:r>
              <w:rPr>
                <w:rFonts w:hint="eastAsia"/>
                <w:lang w:eastAsia="ja-JP"/>
              </w:rPr>
              <w:t>Recommendation ITU-T J.202 (2010)</w:t>
            </w:r>
          </w:p>
        </w:tc>
        <w:tc>
          <w:tcPr>
            <w:tcW w:w="4800" w:type="dxa"/>
          </w:tcPr>
          <w:p w:rsidR="001046F8" w:rsidRDefault="001046F8" w:rsidP="001046F8">
            <w:pPr>
              <w:pStyle w:val="FootnoteText"/>
              <w:spacing w:before="40" w:after="40"/>
              <w:ind w:left="0" w:firstLine="0"/>
              <w:jc w:val="left"/>
              <w:rPr>
                <w:lang w:eastAsia="ja-JP"/>
              </w:rPr>
            </w:pPr>
            <w:r>
              <w:rPr>
                <w:rFonts w:hint="eastAsia"/>
                <w:lang w:eastAsia="ja-JP"/>
              </w:rPr>
              <w:t>Recommendation ITU-R BT.1722-2</w:t>
            </w:r>
          </w:p>
        </w:tc>
      </w:tr>
    </w:tbl>
    <w:p w:rsidR="001B7B94" w:rsidRPr="00DB30F8" w:rsidRDefault="001B7B94" w:rsidP="001B7B94">
      <w:pPr>
        <w:spacing w:before="0"/>
        <w:rPr>
          <w:sz w:val="2"/>
          <w:szCs w:val="2"/>
          <w:lang w:eastAsia="ja-JP"/>
        </w:rPr>
      </w:pPr>
    </w:p>
  </w:footnote>
  <w:footnote w:id="4">
    <w:p w:rsidR="001B7B94" w:rsidRPr="00D809D0" w:rsidRDefault="001B7B94" w:rsidP="00716D21">
      <w:pPr>
        <w:tabs>
          <w:tab w:val="left" w:pos="284"/>
        </w:tabs>
        <w:ind w:left="284" w:hanging="284"/>
        <w:rPr>
          <w:rStyle w:val="FootnoteTextChar"/>
          <w:lang w:val="en-US"/>
        </w:rPr>
      </w:pPr>
      <w:r>
        <w:rPr>
          <w:rStyle w:val="FootnoteReference"/>
        </w:rPr>
        <w:footnoteRef/>
      </w:r>
      <w:r w:rsidRPr="00D809D0">
        <w:rPr>
          <w:lang w:val="en-US"/>
        </w:rPr>
        <w:t xml:space="preserve"> </w:t>
      </w:r>
      <w:r w:rsidRPr="00D809D0">
        <w:rPr>
          <w:rStyle w:val="FootnoteTextChar"/>
          <w:lang w:val="en-US"/>
        </w:rPr>
        <w:tab/>
        <w:t>“</w:t>
      </w:r>
      <w:r w:rsidRPr="00D809D0">
        <w:rPr>
          <w:rStyle w:val="FootnoteTextChar"/>
          <w:rFonts w:hint="eastAsia"/>
          <w:lang w:val="en-US"/>
        </w:rPr>
        <w:t>FR-ACF</w:t>
      </w:r>
      <w:r w:rsidRPr="00D809D0">
        <w:rPr>
          <w:rStyle w:val="FootnoteTextChar"/>
          <w:lang w:val="en-US"/>
        </w:rPr>
        <w:t>”</w:t>
      </w:r>
      <w:r w:rsidRPr="00D809D0">
        <w:rPr>
          <w:rStyle w:val="FootnoteTextChar"/>
          <w:rFonts w:hint="eastAsia"/>
          <w:lang w:val="en-US"/>
        </w:rPr>
        <w:t xml:space="preserve"> stands for </w:t>
      </w:r>
      <w:r w:rsidRPr="00D809D0">
        <w:rPr>
          <w:rStyle w:val="FootnoteTextChar"/>
          <w:lang w:val="en-US"/>
        </w:rPr>
        <w:t>“</w:t>
      </w:r>
      <w:r w:rsidRPr="00D809D0">
        <w:rPr>
          <w:rStyle w:val="FootnoteTextChar"/>
          <w:rFonts w:hint="eastAsia"/>
          <w:lang w:val="en-US"/>
        </w:rPr>
        <w:t>Functional Requirement of Application Control Framework</w:t>
      </w:r>
      <w:r w:rsidRPr="00D809D0">
        <w:rPr>
          <w:rStyle w:val="FootnoteTextChar"/>
          <w:lang w:val="en-US"/>
        </w:rPr>
        <w:t>”</w:t>
      </w:r>
      <w:r w:rsidRPr="00D809D0">
        <w:rPr>
          <w:rStyle w:val="FootnoteTextChar"/>
          <w:rFonts w:hint="eastAsia"/>
          <w:lang w:val="en-US"/>
        </w:rPr>
        <w:t xml:space="preserve"> and it is a</w:t>
      </w:r>
      <w:r w:rsidR="00B73A76" w:rsidRPr="00D809D0">
        <w:rPr>
          <w:rStyle w:val="FootnoteTextChar"/>
          <w:lang w:val="en-US"/>
        </w:rPr>
        <w:t xml:space="preserve"> </w:t>
      </w:r>
      <w:r w:rsidRPr="00D809D0">
        <w:rPr>
          <w:rStyle w:val="FootnoteTextChar"/>
          <w:rFonts w:hint="eastAsia"/>
          <w:lang w:val="en-US"/>
        </w:rPr>
        <w:t xml:space="preserve">term used in Recommendation ITU-T J.205 to </w:t>
      </w:r>
      <w:r w:rsidRPr="00D809D0">
        <w:rPr>
          <w:rStyle w:val="FootnoteTextChar"/>
          <w:lang w:val="en-US"/>
        </w:rPr>
        <w:t>designate</w:t>
      </w:r>
      <w:r w:rsidRPr="00D809D0">
        <w:rPr>
          <w:rStyle w:val="FootnoteTextChar"/>
          <w:rFonts w:hint="eastAsia"/>
          <w:lang w:val="en-US"/>
        </w:rPr>
        <w:t xml:space="preserve"> each requirement.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B94" w:rsidRDefault="001B7B9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B94" w:rsidRDefault="001B7B94" w:rsidP="00B033C8">
    <w:pPr>
      <w:pStyle w:val="Header"/>
      <w:ind w:right="360" w:firstLine="360"/>
    </w:pPr>
    <w:r>
      <w:rPr>
        <w:noProof/>
        <w:lang w:val="en-US" w:eastAsia="zh-CN"/>
      </w:rPr>
      <w:drawing>
        <wp:anchor distT="0" distB="0" distL="114300" distR="114300" simplePos="0" relativeHeight="251659264" behindDoc="1" locked="0" layoutInCell="1" allowOverlap="1" wp14:anchorId="09E26A4A" wp14:editId="4E1450E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B94" w:rsidRPr="000F6905" w:rsidRDefault="001B7B94">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75857">
      <w:rPr>
        <w:rStyle w:val="PageNumber"/>
        <w:b/>
        <w:bCs/>
        <w:noProof/>
      </w:rPr>
      <w:t>ii</w:t>
    </w:r>
    <w:r>
      <w:rPr>
        <w:rStyle w:val="PageNumber"/>
        <w:b/>
        <w:bCs/>
      </w:rPr>
      <w:fldChar w:fldCharType="end"/>
    </w:r>
    <w:r w:rsidRPr="000F6905">
      <w:tab/>
    </w:r>
    <w:fldSimple w:instr=" DOCPROPERTY &quot;Header&quot; \* MERGEFORMAT ">
      <w:r w:rsidR="009E3AA7" w:rsidRPr="009E3AA7">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F75857">
      <w:rPr>
        <w:b/>
        <w:bCs/>
        <w:noProof/>
      </w:rPr>
      <w:t>ITU-R  BT.2053-0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B94" w:rsidRDefault="001B7B94">
    <w:pPr>
      <w:pStyle w:val="Header"/>
    </w:pPr>
    <w:r>
      <w:tab/>
    </w:r>
    <w:fldSimple w:instr=" DOCPROPERTY &quot;Header&quot; \* MERGEFORMAT ">
      <w:r w:rsidR="009E3AA7" w:rsidRPr="009E3AA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E3AA7">
      <w:rPr>
        <w:b/>
        <w:bCs/>
        <w:noProof/>
      </w:rPr>
      <w:t>ITU-R  BT.2053-0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016">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5857">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E3AA7" w:rsidRPr="009E3AA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5857">
      <w:rPr>
        <w:b/>
        <w:bCs/>
        <w:noProof/>
      </w:rPr>
      <w:t>ITU-R  BT.2053-0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F75857">
      <w:fldChar w:fldCharType="begin"/>
    </w:r>
    <w:r w:rsidR="00F75857">
      <w:instrText xml:space="preserve"> DOCPROPERTY "Header" \* MERGEFORMAT </w:instrText>
    </w:r>
    <w:r w:rsidR="00F75857">
      <w:fldChar w:fldCharType="separate"/>
    </w:r>
    <w:r w:rsidR="009E3AA7" w:rsidRPr="009E3AA7">
      <w:rPr>
        <w:b/>
        <w:bCs/>
      </w:rPr>
      <w:t xml:space="preserve">Rec. </w:t>
    </w:r>
    <w:r w:rsidR="00F75857">
      <w:rPr>
        <w:b/>
        <w:bCs/>
      </w:rPr>
      <w:fldChar w:fldCharType="end"/>
    </w:r>
    <w:r>
      <w:rPr>
        <w:b/>
        <w:bCs/>
      </w:rPr>
      <w:t xml:space="preserve"> </w:t>
    </w:r>
    <w:r>
      <w:rPr>
        <w:b/>
        <w:bCs/>
      </w:rPr>
      <w:fldChar w:fldCharType="begin"/>
    </w:r>
    <w:r>
      <w:rPr>
        <w:b/>
        <w:bCs/>
      </w:rPr>
      <w:instrText>styleref href</w:instrText>
    </w:r>
    <w:r>
      <w:rPr>
        <w:b/>
        <w:bCs/>
      </w:rPr>
      <w:fldChar w:fldCharType="separate"/>
    </w:r>
    <w:r w:rsidR="00F75857">
      <w:rPr>
        <w:b/>
        <w:bCs/>
        <w:noProof/>
      </w:rPr>
      <w:t>ITU-R  BT.2053-0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5857">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1684"/>
    <w:multiLevelType w:val="hybridMultilevel"/>
    <w:tmpl w:val="183C10F6"/>
    <w:lvl w:ilvl="0" w:tplc="37F2A6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5D058B"/>
    <w:multiLevelType w:val="hybridMultilevel"/>
    <w:tmpl w:val="ACF6EC4C"/>
    <w:lvl w:ilvl="0" w:tplc="A4446E9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79C7AEE"/>
    <w:multiLevelType w:val="hybridMultilevel"/>
    <w:tmpl w:val="553AE35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B94"/>
    <w:rsid w:val="00004E6C"/>
    <w:rsid w:val="001023EB"/>
    <w:rsid w:val="001046F8"/>
    <w:rsid w:val="001B2F7D"/>
    <w:rsid w:val="001B7B94"/>
    <w:rsid w:val="00217EBF"/>
    <w:rsid w:val="00242AEE"/>
    <w:rsid w:val="002A2670"/>
    <w:rsid w:val="002D76C4"/>
    <w:rsid w:val="0030120B"/>
    <w:rsid w:val="003F2DE2"/>
    <w:rsid w:val="0052529D"/>
    <w:rsid w:val="005A62AA"/>
    <w:rsid w:val="00607D68"/>
    <w:rsid w:val="00716D21"/>
    <w:rsid w:val="007468DA"/>
    <w:rsid w:val="0087060A"/>
    <w:rsid w:val="0088185A"/>
    <w:rsid w:val="00946AE6"/>
    <w:rsid w:val="009A5A9A"/>
    <w:rsid w:val="009E00A8"/>
    <w:rsid w:val="009E3AA7"/>
    <w:rsid w:val="00A6617B"/>
    <w:rsid w:val="00AB0DC8"/>
    <w:rsid w:val="00AB4A79"/>
    <w:rsid w:val="00AD3714"/>
    <w:rsid w:val="00B44E24"/>
    <w:rsid w:val="00B73A76"/>
    <w:rsid w:val="00C156FB"/>
    <w:rsid w:val="00C51EE3"/>
    <w:rsid w:val="00C67F9F"/>
    <w:rsid w:val="00CE2650"/>
    <w:rsid w:val="00CF5485"/>
    <w:rsid w:val="00D809D0"/>
    <w:rsid w:val="00DF4176"/>
    <w:rsid w:val="00E36016"/>
    <w:rsid w:val="00E36297"/>
    <w:rsid w:val="00F758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7B6C6D0-145C-4F50-A234-1EFCD21B3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73A76"/>
    <w:pPr>
      <w:keepNext/>
      <w:keepLines/>
      <w:spacing w:before="480"/>
      <w:ind w:left="794" w:hanging="794"/>
      <w:outlineLvl w:val="0"/>
    </w:pPr>
    <w:rPr>
      <w:b/>
    </w:rPr>
  </w:style>
  <w:style w:type="paragraph" w:styleId="Heading2">
    <w:name w:val="heading 2"/>
    <w:basedOn w:val="Heading1"/>
    <w:next w:val="Normal"/>
    <w:qFormat/>
    <w:rsid w:val="00B73A76"/>
    <w:pPr>
      <w:spacing w:before="320"/>
      <w:outlineLvl w:val="1"/>
    </w:pPr>
  </w:style>
  <w:style w:type="paragraph" w:styleId="Heading3">
    <w:name w:val="heading 3"/>
    <w:basedOn w:val="Heading1"/>
    <w:next w:val="Normal"/>
    <w:qFormat/>
    <w:rsid w:val="00B73A76"/>
    <w:pPr>
      <w:spacing w:before="200"/>
      <w:outlineLvl w:val="2"/>
    </w:pPr>
  </w:style>
  <w:style w:type="paragraph" w:styleId="Heading4">
    <w:name w:val="heading 4"/>
    <w:basedOn w:val="Heading3"/>
    <w:next w:val="Normal"/>
    <w:qFormat/>
    <w:rsid w:val="00B73A76"/>
    <w:pPr>
      <w:tabs>
        <w:tab w:val="clear" w:pos="794"/>
        <w:tab w:val="left" w:pos="992"/>
      </w:tabs>
      <w:ind w:left="992" w:hanging="992"/>
      <w:outlineLvl w:val="3"/>
    </w:pPr>
  </w:style>
  <w:style w:type="paragraph" w:styleId="Heading5">
    <w:name w:val="heading 5"/>
    <w:basedOn w:val="Heading4"/>
    <w:next w:val="Normal"/>
    <w:qFormat/>
    <w:rsid w:val="00B73A76"/>
    <w:pPr>
      <w:outlineLvl w:val="4"/>
    </w:pPr>
  </w:style>
  <w:style w:type="paragraph" w:styleId="Heading6">
    <w:name w:val="heading 6"/>
    <w:basedOn w:val="Heading4"/>
    <w:next w:val="Normal"/>
    <w:qFormat/>
    <w:rsid w:val="00B73A76"/>
    <w:pPr>
      <w:tabs>
        <w:tab w:val="clear" w:pos="992"/>
        <w:tab w:val="clear" w:pos="1191"/>
      </w:tabs>
      <w:ind w:left="1588" w:hanging="1588"/>
      <w:outlineLvl w:val="5"/>
    </w:pPr>
  </w:style>
  <w:style w:type="paragraph" w:styleId="Heading7">
    <w:name w:val="heading 7"/>
    <w:basedOn w:val="Heading6"/>
    <w:next w:val="Normal"/>
    <w:qFormat/>
    <w:rsid w:val="00B73A76"/>
    <w:pPr>
      <w:outlineLvl w:val="6"/>
    </w:pPr>
  </w:style>
  <w:style w:type="paragraph" w:styleId="Heading8">
    <w:name w:val="heading 8"/>
    <w:basedOn w:val="Heading6"/>
    <w:next w:val="Normal"/>
    <w:qFormat/>
    <w:rsid w:val="00B73A76"/>
    <w:pPr>
      <w:outlineLvl w:val="7"/>
    </w:pPr>
  </w:style>
  <w:style w:type="paragraph" w:styleId="Heading9">
    <w:name w:val="heading 9"/>
    <w:basedOn w:val="Heading6"/>
    <w:next w:val="Normal"/>
    <w:qFormat/>
    <w:rsid w:val="00B73A7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A7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73A7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73A76"/>
  </w:style>
  <w:style w:type="paragraph" w:customStyle="1" w:styleId="Headingb">
    <w:name w:val="Heading_b"/>
    <w:basedOn w:val="Heading3"/>
    <w:next w:val="Normal"/>
    <w:link w:val="HeadingbChar"/>
    <w:rsid w:val="00B73A76"/>
    <w:pPr>
      <w:spacing w:before="160"/>
      <w:ind w:left="0" w:firstLine="0"/>
      <w:outlineLvl w:val="9"/>
    </w:pPr>
  </w:style>
  <w:style w:type="paragraph" w:customStyle="1" w:styleId="Headingi">
    <w:name w:val="Heading_i"/>
    <w:basedOn w:val="Heading3"/>
    <w:next w:val="Normal"/>
    <w:rsid w:val="00B73A76"/>
    <w:pPr>
      <w:spacing w:before="160"/>
      <w:ind w:left="0" w:firstLine="0"/>
    </w:pPr>
    <w:rPr>
      <w:b w:val="0"/>
      <w:i/>
    </w:rPr>
  </w:style>
  <w:style w:type="character" w:customStyle="1" w:styleId="href">
    <w:name w:val="href"/>
    <w:basedOn w:val="DefaultParagraphFont"/>
    <w:rsid w:val="00B73A76"/>
  </w:style>
  <w:style w:type="paragraph" w:customStyle="1" w:styleId="enumlev1">
    <w:name w:val="enumlev1"/>
    <w:basedOn w:val="Normal"/>
    <w:link w:val="enumlev1Char"/>
    <w:rsid w:val="00B73A76"/>
    <w:pPr>
      <w:spacing w:before="80"/>
      <w:ind w:left="794" w:hanging="794"/>
    </w:pPr>
  </w:style>
  <w:style w:type="paragraph" w:customStyle="1" w:styleId="enumlev2">
    <w:name w:val="enumlev2"/>
    <w:basedOn w:val="enumlev1"/>
    <w:rsid w:val="00B73A76"/>
    <w:pPr>
      <w:ind w:left="1191" w:hanging="397"/>
    </w:pPr>
  </w:style>
  <w:style w:type="paragraph" w:customStyle="1" w:styleId="enumlev3">
    <w:name w:val="enumlev3"/>
    <w:basedOn w:val="enumlev2"/>
    <w:rsid w:val="00B73A76"/>
    <w:pPr>
      <w:ind w:left="1588"/>
    </w:pPr>
  </w:style>
  <w:style w:type="paragraph" w:customStyle="1" w:styleId="Normalaftertitle">
    <w:name w:val="Normal_after_title"/>
    <w:basedOn w:val="Normal"/>
    <w:next w:val="Normal"/>
    <w:rsid w:val="00B73A76"/>
    <w:pPr>
      <w:spacing w:before="320"/>
    </w:pPr>
  </w:style>
  <w:style w:type="paragraph" w:customStyle="1" w:styleId="Note">
    <w:name w:val="Note"/>
    <w:basedOn w:val="Normal"/>
    <w:link w:val="NoteChar"/>
    <w:rsid w:val="00B73A7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73A7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73A76"/>
    <w:pPr>
      <w:spacing w:before="240"/>
    </w:pPr>
    <w:rPr>
      <w:sz w:val="22"/>
      <w:lang w:val="es-ES_tradnl"/>
    </w:rPr>
  </w:style>
  <w:style w:type="paragraph" w:customStyle="1" w:styleId="Recref">
    <w:name w:val="Rec_ref"/>
    <w:basedOn w:val="Normal"/>
    <w:next w:val="Recdate"/>
    <w:rsid w:val="00B73A76"/>
    <w:pPr>
      <w:jc w:val="center"/>
    </w:pPr>
  </w:style>
  <w:style w:type="paragraph" w:customStyle="1" w:styleId="Recdate">
    <w:name w:val="Rec_date"/>
    <w:basedOn w:val="Recref"/>
    <w:next w:val="Normalaftertitle"/>
    <w:rsid w:val="00B73A76"/>
    <w:pPr>
      <w:jc w:val="right"/>
    </w:pPr>
  </w:style>
  <w:style w:type="paragraph" w:customStyle="1" w:styleId="AnnexNoTitle">
    <w:name w:val="Annex_NoTitle"/>
    <w:basedOn w:val="Normal"/>
    <w:next w:val="Normalaftertitle"/>
    <w:rsid w:val="00B73A76"/>
    <w:pPr>
      <w:keepNext/>
      <w:keepLines/>
      <w:spacing w:before="480" w:after="80"/>
      <w:jc w:val="center"/>
    </w:pPr>
    <w:rPr>
      <w:b/>
      <w:sz w:val="28"/>
    </w:rPr>
  </w:style>
  <w:style w:type="paragraph" w:customStyle="1" w:styleId="AppendixNoTitle">
    <w:name w:val="Appendix_NoTitle"/>
    <w:basedOn w:val="AnnexNoTitle"/>
    <w:next w:val="Normal"/>
    <w:rsid w:val="00B73A76"/>
  </w:style>
  <w:style w:type="paragraph" w:customStyle="1" w:styleId="Tablefin">
    <w:name w:val="Table_fin"/>
    <w:basedOn w:val="Normal"/>
    <w:next w:val="Normal"/>
    <w:rsid w:val="00B73A76"/>
    <w:pPr>
      <w:spacing w:before="0"/>
    </w:pPr>
    <w:rPr>
      <w:sz w:val="20"/>
      <w:lang w:val="en-GB"/>
    </w:rPr>
  </w:style>
  <w:style w:type="paragraph" w:customStyle="1" w:styleId="Tablehead">
    <w:name w:val="Table_head"/>
    <w:basedOn w:val="Normal"/>
    <w:next w:val="Normal"/>
    <w:rsid w:val="00B73A7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73A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73A76"/>
    <w:pPr>
      <w:keepNext/>
      <w:spacing w:before="360" w:after="120"/>
      <w:jc w:val="center"/>
    </w:pPr>
  </w:style>
  <w:style w:type="paragraph" w:customStyle="1" w:styleId="Tabletext">
    <w:name w:val="Table_text"/>
    <w:basedOn w:val="Normal"/>
    <w:link w:val="TabletextChar"/>
    <w:rsid w:val="00B73A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73A76"/>
    <w:pPr>
      <w:tabs>
        <w:tab w:val="clear" w:pos="1191"/>
        <w:tab w:val="clear" w:pos="1588"/>
        <w:tab w:val="clear" w:pos="1985"/>
        <w:tab w:val="center" w:pos="4820"/>
        <w:tab w:val="right" w:pos="9639"/>
      </w:tabs>
    </w:pPr>
  </w:style>
  <w:style w:type="paragraph" w:customStyle="1" w:styleId="Equationlegend">
    <w:name w:val="Equation_legend"/>
    <w:basedOn w:val="NormalIndent"/>
    <w:rsid w:val="00B73A7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3A76"/>
    <w:pPr>
      <w:ind w:left="794"/>
    </w:pPr>
  </w:style>
  <w:style w:type="paragraph" w:customStyle="1" w:styleId="Figurelegend">
    <w:name w:val="Figure_legend"/>
    <w:basedOn w:val="Normal"/>
    <w:rsid w:val="00B73A7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73A76"/>
    <w:pPr>
      <w:keepNext/>
      <w:keepLines/>
      <w:spacing w:before="480" w:after="80"/>
      <w:jc w:val="center"/>
    </w:pPr>
    <w:rPr>
      <w:caps/>
      <w:sz w:val="18"/>
    </w:rPr>
  </w:style>
  <w:style w:type="paragraph" w:customStyle="1" w:styleId="tocpart">
    <w:name w:val="tocpart"/>
    <w:basedOn w:val="Normal"/>
    <w:rsid w:val="00B73A7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3A76"/>
    <w:pPr>
      <w:keepNext/>
      <w:keepLines/>
      <w:spacing w:before="480"/>
      <w:jc w:val="center"/>
    </w:pPr>
    <w:rPr>
      <w:sz w:val="28"/>
    </w:rPr>
  </w:style>
  <w:style w:type="paragraph" w:customStyle="1" w:styleId="Arttitle">
    <w:name w:val="Art_title"/>
    <w:basedOn w:val="Normal"/>
    <w:next w:val="Normalaftertitle"/>
    <w:rsid w:val="00B73A76"/>
    <w:pPr>
      <w:keepNext/>
      <w:keepLines/>
      <w:spacing w:before="240"/>
      <w:jc w:val="center"/>
    </w:pPr>
    <w:rPr>
      <w:b/>
      <w:sz w:val="28"/>
    </w:rPr>
  </w:style>
  <w:style w:type="paragraph" w:customStyle="1" w:styleId="Blanc">
    <w:name w:val="Blanc"/>
    <w:basedOn w:val="Normal"/>
    <w:next w:val="Tabletext"/>
    <w:rsid w:val="00B73A7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73A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73A76"/>
    <w:pPr>
      <w:keepNext/>
      <w:keepLines/>
      <w:spacing w:before="160"/>
      <w:ind w:left="794"/>
    </w:pPr>
    <w:rPr>
      <w:i/>
    </w:rPr>
  </w:style>
  <w:style w:type="paragraph" w:customStyle="1" w:styleId="ChapNo">
    <w:name w:val="Chap_No"/>
    <w:basedOn w:val="ArtNo"/>
    <w:next w:val="Chaptitle"/>
    <w:rsid w:val="00B73A76"/>
    <w:rPr>
      <w:b/>
    </w:rPr>
  </w:style>
  <w:style w:type="paragraph" w:customStyle="1" w:styleId="Chaptitle">
    <w:name w:val="Chap_title"/>
    <w:basedOn w:val="Arttitle"/>
    <w:next w:val="Normalaftertitle"/>
    <w:rsid w:val="00B73A76"/>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B73A76"/>
    <w:rPr>
      <w:position w:val="6"/>
      <w:sz w:val="18"/>
    </w:rPr>
  </w:style>
  <w:style w:type="paragraph" w:styleId="FootnoteText">
    <w:name w:val="footnote text"/>
    <w:basedOn w:val="Normal"/>
    <w:link w:val="FootnoteTextChar"/>
    <w:rsid w:val="00B73A76"/>
    <w:pPr>
      <w:keepLines/>
      <w:tabs>
        <w:tab w:val="left" w:pos="255"/>
      </w:tabs>
      <w:ind w:left="255" w:hanging="255"/>
    </w:pPr>
    <w:rPr>
      <w:sz w:val="22"/>
    </w:rPr>
  </w:style>
  <w:style w:type="paragraph" w:styleId="Index1">
    <w:name w:val="index 1"/>
    <w:basedOn w:val="Normal"/>
    <w:next w:val="Normal"/>
    <w:semiHidden/>
    <w:rsid w:val="00B73A76"/>
  </w:style>
  <w:style w:type="paragraph" w:styleId="Index2">
    <w:name w:val="index 2"/>
    <w:basedOn w:val="Normal"/>
    <w:next w:val="Normal"/>
    <w:semiHidden/>
    <w:rsid w:val="00B73A76"/>
    <w:pPr>
      <w:ind w:left="283"/>
    </w:pPr>
  </w:style>
  <w:style w:type="paragraph" w:styleId="Index3">
    <w:name w:val="index 3"/>
    <w:basedOn w:val="Normal"/>
    <w:next w:val="Normal"/>
    <w:semiHidden/>
    <w:rsid w:val="00B73A76"/>
    <w:pPr>
      <w:ind w:left="566"/>
    </w:pPr>
  </w:style>
  <w:style w:type="paragraph" w:styleId="IndexHeading">
    <w:name w:val="index heading"/>
    <w:basedOn w:val="Normal"/>
    <w:next w:val="Index1"/>
    <w:semiHidden/>
    <w:rsid w:val="00B73A76"/>
  </w:style>
  <w:style w:type="paragraph" w:customStyle="1" w:styleId="Line">
    <w:name w:val="Line"/>
    <w:basedOn w:val="Normal"/>
    <w:next w:val="Normal"/>
    <w:rsid w:val="00B73A7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3A7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3A76"/>
  </w:style>
  <w:style w:type="paragraph" w:customStyle="1" w:styleId="Partref">
    <w:name w:val="Part_ref"/>
    <w:basedOn w:val="Normal"/>
    <w:next w:val="Normal"/>
    <w:rsid w:val="00B73A76"/>
    <w:pPr>
      <w:keepNext/>
      <w:keepLines/>
      <w:spacing w:after="280"/>
      <w:jc w:val="center"/>
    </w:pPr>
  </w:style>
  <w:style w:type="paragraph" w:customStyle="1" w:styleId="Parttitle">
    <w:name w:val="Part_title"/>
    <w:basedOn w:val="Normal"/>
    <w:next w:val="Normalaftertitle"/>
    <w:rsid w:val="00B73A7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3A76"/>
  </w:style>
  <w:style w:type="paragraph" w:customStyle="1" w:styleId="QuestionNo">
    <w:name w:val="Question_No"/>
    <w:basedOn w:val="RecNo"/>
    <w:next w:val="Normal"/>
    <w:rsid w:val="00B73A76"/>
  </w:style>
  <w:style w:type="paragraph" w:customStyle="1" w:styleId="Questionref">
    <w:name w:val="Question_ref"/>
    <w:basedOn w:val="Recref"/>
    <w:next w:val="Questiondate"/>
    <w:rsid w:val="00B73A76"/>
  </w:style>
  <w:style w:type="paragraph" w:customStyle="1" w:styleId="Questiontitle">
    <w:name w:val="Question_title"/>
    <w:basedOn w:val="Normal"/>
    <w:next w:val="Questionref"/>
    <w:rsid w:val="00B73A76"/>
  </w:style>
  <w:style w:type="paragraph" w:customStyle="1" w:styleId="Reftext">
    <w:name w:val="Ref_text"/>
    <w:basedOn w:val="Normal"/>
    <w:rsid w:val="00B73A76"/>
    <w:pPr>
      <w:ind w:left="794" w:hanging="794"/>
    </w:pPr>
    <w:rPr>
      <w:sz w:val="22"/>
    </w:rPr>
  </w:style>
  <w:style w:type="paragraph" w:customStyle="1" w:styleId="Reftitle">
    <w:name w:val="Ref_title"/>
    <w:basedOn w:val="Normal"/>
    <w:next w:val="Reftext"/>
    <w:rsid w:val="00B73A7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3A76"/>
  </w:style>
  <w:style w:type="paragraph" w:customStyle="1" w:styleId="RepNo">
    <w:name w:val="Rep_No"/>
    <w:basedOn w:val="RecNo"/>
    <w:next w:val="Reptitle"/>
    <w:rsid w:val="00B73A76"/>
  </w:style>
  <w:style w:type="paragraph" w:customStyle="1" w:styleId="Repref">
    <w:name w:val="Rep_ref"/>
    <w:basedOn w:val="Recref"/>
    <w:next w:val="Repdate"/>
    <w:rsid w:val="00B73A76"/>
  </w:style>
  <w:style w:type="paragraph" w:customStyle="1" w:styleId="Reptitle">
    <w:name w:val="Rep_title"/>
    <w:basedOn w:val="Rectitle"/>
    <w:next w:val="Repref"/>
    <w:rsid w:val="00B73A76"/>
  </w:style>
  <w:style w:type="paragraph" w:customStyle="1" w:styleId="Resdate">
    <w:name w:val="Res_date"/>
    <w:basedOn w:val="Recdate"/>
    <w:next w:val="Normalaftertitle"/>
    <w:rsid w:val="00B73A76"/>
  </w:style>
  <w:style w:type="paragraph" w:customStyle="1" w:styleId="ResNo">
    <w:name w:val="Res_No"/>
    <w:basedOn w:val="RecNo"/>
    <w:next w:val="Restitle"/>
    <w:rsid w:val="00B73A76"/>
  </w:style>
  <w:style w:type="paragraph" w:customStyle="1" w:styleId="Resref">
    <w:name w:val="Res_ref"/>
    <w:basedOn w:val="Recref"/>
    <w:next w:val="Resdate"/>
    <w:rsid w:val="00B73A76"/>
  </w:style>
  <w:style w:type="paragraph" w:customStyle="1" w:styleId="Restitle">
    <w:name w:val="Res_title"/>
    <w:basedOn w:val="Normal"/>
    <w:next w:val="Resref"/>
    <w:rsid w:val="00B73A76"/>
    <w:pPr>
      <w:spacing w:before="240"/>
      <w:jc w:val="center"/>
    </w:pPr>
    <w:rPr>
      <w:b/>
      <w:sz w:val="28"/>
    </w:rPr>
  </w:style>
  <w:style w:type="paragraph" w:customStyle="1" w:styleId="SectionNo">
    <w:name w:val="Section_No"/>
    <w:basedOn w:val="Normal"/>
    <w:next w:val="Normal"/>
    <w:rsid w:val="00B73A76"/>
  </w:style>
  <w:style w:type="paragraph" w:customStyle="1" w:styleId="Sectiontitle">
    <w:name w:val="Section_title"/>
    <w:basedOn w:val="Normal"/>
    <w:next w:val="Normalaftertitle"/>
    <w:rsid w:val="00B73A7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3A76"/>
    <w:pPr>
      <w:tabs>
        <w:tab w:val="clear" w:pos="794"/>
        <w:tab w:val="clear" w:pos="1191"/>
        <w:tab w:val="clear" w:pos="1588"/>
        <w:tab w:val="clear" w:pos="1985"/>
        <w:tab w:val="right" w:pos="9611"/>
      </w:tabs>
    </w:pPr>
    <w:rPr>
      <w:i/>
    </w:rPr>
  </w:style>
  <w:style w:type="paragraph" w:styleId="TOC1">
    <w:name w:val="toc 1"/>
    <w:basedOn w:val="Normal"/>
    <w:semiHidden/>
    <w:rsid w:val="00B73A7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73A76"/>
    <w:pPr>
      <w:tabs>
        <w:tab w:val="clear" w:pos="567"/>
        <w:tab w:val="left" w:pos="1276"/>
      </w:tabs>
      <w:spacing w:before="160"/>
      <w:ind w:left="1276" w:hanging="709"/>
    </w:pPr>
  </w:style>
  <w:style w:type="paragraph" w:styleId="TOC3">
    <w:name w:val="toc 3"/>
    <w:basedOn w:val="TOC2"/>
    <w:semiHidden/>
    <w:rsid w:val="00B73A76"/>
    <w:pPr>
      <w:tabs>
        <w:tab w:val="clear" w:pos="1276"/>
        <w:tab w:val="left" w:pos="2155"/>
      </w:tabs>
      <w:ind w:left="2155" w:hanging="879"/>
    </w:pPr>
  </w:style>
  <w:style w:type="paragraph" w:styleId="TOC4">
    <w:name w:val="toc 4"/>
    <w:basedOn w:val="TOC3"/>
    <w:semiHidden/>
    <w:rsid w:val="00B73A76"/>
    <w:pPr>
      <w:tabs>
        <w:tab w:val="left" w:pos="3261"/>
      </w:tabs>
      <w:spacing w:before="80"/>
      <w:ind w:left="3261" w:hanging="993"/>
    </w:pPr>
  </w:style>
  <w:style w:type="paragraph" w:styleId="TOC5">
    <w:name w:val="toc 5"/>
    <w:basedOn w:val="TOC4"/>
    <w:semiHidden/>
    <w:rsid w:val="00B73A76"/>
  </w:style>
  <w:style w:type="paragraph" w:styleId="TOC6">
    <w:name w:val="toc 6"/>
    <w:basedOn w:val="TOC4"/>
    <w:semiHidden/>
    <w:rsid w:val="00B73A76"/>
  </w:style>
  <w:style w:type="paragraph" w:styleId="TOC7">
    <w:name w:val="toc 7"/>
    <w:basedOn w:val="TOC4"/>
    <w:semiHidden/>
    <w:rsid w:val="00B73A76"/>
  </w:style>
  <w:style w:type="paragraph" w:styleId="TOC8">
    <w:name w:val="toc 8"/>
    <w:basedOn w:val="TOC4"/>
    <w:semiHidden/>
    <w:rsid w:val="00B73A76"/>
  </w:style>
  <w:style w:type="paragraph" w:customStyle="1" w:styleId="Rectitle">
    <w:name w:val="Rec_title"/>
    <w:basedOn w:val="Normal"/>
    <w:next w:val="Recref"/>
    <w:rsid w:val="00B73A76"/>
    <w:pPr>
      <w:keepNext/>
      <w:keepLines/>
      <w:spacing w:before="240"/>
      <w:jc w:val="center"/>
    </w:pPr>
    <w:rPr>
      <w:b/>
      <w:sz w:val="28"/>
    </w:rPr>
  </w:style>
  <w:style w:type="paragraph" w:customStyle="1" w:styleId="Annexref">
    <w:name w:val="Annex_ref"/>
    <w:basedOn w:val="Normal"/>
    <w:next w:val="Normalaftertitle"/>
    <w:rsid w:val="00B73A76"/>
    <w:pPr>
      <w:keepNext/>
      <w:keepLines/>
      <w:spacing w:after="280"/>
      <w:jc w:val="center"/>
    </w:pPr>
  </w:style>
  <w:style w:type="paragraph" w:customStyle="1" w:styleId="Appendixref">
    <w:name w:val="Appendix_ref"/>
    <w:basedOn w:val="Annexref"/>
    <w:next w:val="Normalaftertitle"/>
    <w:rsid w:val="00B73A76"/>
  </w:style>
  <w:style w:type="paragraph" w:customStyle="1" w:styleId="Figuretitle">
    <w:name w:val="Figure_title"/>
    <w:basedOn w:val="Normal"/>
    <w:next w:val="Figure"/>
    <w:rsid w:val="00B73A7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B73A76"/>
    <w:pPr>
      <w:keepNext/>
      <w:spacing w:before="0" w:after="120"/>
      <w:jc w:val="center"/>
    </w:pPr>
    <w:rPr>
      <w:b/>
    </w:rPr>
  </w:style>
  <w:style w:type="paragraph" w:customStyle="1" w:styleId="Summary">
    <w:name w:val="Summary"/>
    <w:basedOn w:val="Normal"/>
    <w:next w:val="Normalaftertitle"/>
    <w:autoRedefine/>
    <w:rsid w:val="00B73A76"/>
    <w:pPr>
      <w:spacing w:after="480"/>
    </w:pPr>
    <w:rPr>
      <w:sz w:val="22"/>
      <w:lang w:val="es-ES_tradnl"/>
    </w:rPr>
  </w:style>
  <w:style w:type="paragraph" w:customStyle="1" w:styleId="TableLegendNote">
    <w:name w:val="Table_Legend_Note"/>
    <w:basedOn w:val="Tablelegend"/>
    <w:next w:val="Tablelegend"/>
    <w:rsid w:val="00B73A76"/>
    <w:pPr>
      <w:ind w:left="-85" w:firstLine="0"/>
    </w:pPr>
    <w:rPr>
      <w:lang w:val="en-US"/>
    </w:rPr>
  </w:style>
  <w:style w:type="paragraph" w:customStyle="1" w:styleId="Figure">
    <w:name w:val="Figure"/>
    <w:basedOn w:val="FigureNo"/>
    <w:next w:val="Normal"/>
    <w:rsid w:val="00B73A76"/>
    <w:pPr>
      <w:keepNext w:val="0"/>
      <w:spacing w:before="0" w:after="240"/>
    </w:pPr>
  </w:style>
  <w:style w:type="character" w:styleId="Hyperlink">
    <w:name w:val="Hyperlink"/>
    <w:basedOn w:val="DefaultParagraphFont"/>
    <w:rsid w:val="001B7B94"/>
    <w:rPr>
      <w:color w:val="0000FF"/>
      <w:u w:val="single"/>
    </w:rPr>
  </w:style>
  <w:style w:type="character" w:customStyle="1" w:styleId="enumlev1Char">
    <w:name w:val="enumlev1 Char"/>
    <w:link w:val="enumlev1"/>
    <w:locked/>
    <w:rsid w:val="001B7B94"/>
    <w:rPr>
      <w:sz w:val="24"/>
      <w:lang w:val="fr-FR" w:eastAsia="en-US"/>
    </w:rPr>
  </w:style>
  <w:style w:type="character" w:customStyle="1" w:styleId="TabletextChar">
    <w:name w:val="Table_text Char"/>
    <w:link w:val="Tabletext"/>
    <w:rsid w:val="001B7B94"/>
    <w:rPr>
      <w:sz w:val="22"/>
      <w:lang w:val="fr-FR" w:eastAsia="en-US"/>
    </w:rPr>
  </w:style>
  <w:style w:type="character" w:customStyle="1" w:styleId="Tabletitle0">
    <w:name w:val="Table_title Знак"/>
    <w:link w:val="Tabletitle"/>
    <w:locked/>
    <w:rsid w:val="001B7B94"/>
    <w:rPr>
      <w:b/>
      <w:sz w:val="24"/>
      <w:lang w:val="fr-FR" w:eastAsia="en-US"/>
    </w:rPr>
  </w:style>
  <w:style w:type="character" w:customStyle="1" w:styleId="FootnoteTextChar">
    <w:name w:val="Footnote Text Char"/>
    <w:basedOn w:val="DefaultParagraphFont"/>
    <w:link w:val="FootnoteText"/>
    <w:rsid w:val="00B73A76"/>
    <w:rPr>
      <w:sz w:val="22"/>
      <w:lang w:val="fr-FR" w:eastAsia="en-US"/>
    </w:rPr>
  </w:style>
  <w:style w:type="character" w:customStyle="1" w:styleId="NoteChar">
    <w:name w:val="Note Char"/>
    <w:link w:val="Note"/>
    <w:rsid w:val="001B7B94"/>
    <w:rPr>
      <w:sz w:val="22"/>
      <w:lang w:val="fr-FR" w:eastAsia="en-US"/>
    </w:rPr>
  </w:style>
  <w:style w:type="table" w:styleId="TableGrid">
    <w:name w:val="Table Grid"/>
    <w:basedOn w:val="TableNormal"/>
    <w:uiPriority w:val="59"/>
    <w:rsid w:val="00104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0">
    <w:name w:val="Table_No Знак"/>
    <w:link w:val="TableNo"/>
    <w:locked/>
    <w:rsid w:val="001B7B94"/>
    <w:rPr>
      <w:sz w:val="24"/>
      <w:lang w:val="fr-FR" w:eastAsia="en-US"/>
    </w:rPr>
  </w:style>
  <w:style w:type="character" w:customStyle="1" w:styleId="HeadingbChar">
    <w:name w:val="Heading_b Char"/>
    <w:link w:val="Headingb"/>
    <w:locked/>
    <w:rsid w:val="001B7B94"/>
    <w:rPr>
      <w:b/>
      <w:sz w:val="24"/>
      <w:lang w:val="fr-FR" w:eastAsia="en-US"/>
    </w:rPr>
  </w:style>
  <w:style w:type="character" w:customStyle="1" w:styleId="CallChar">
    <w:name w:val="Call Char"/>
    <w:basedOn w:val="DefaultParagraphFont"/>
    <w:link w:val="Call"/>
    <w:rsid w:val="001B7B94"/>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7C2C8-BFF5-4E59-8633-FE1773C7F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9</Pages>
  <Words>2814</Words>
  <Characters>15479</Characters>
  <Application>Microsoft Office Word</Application>
  <DocSecurity>0</DocSecurity>
  <Lines>198</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26</cp:revision>
  <cp:lastPrinted>2015-03-30T11:06:00Z</cp:lastPrinted>
  <dcterms:created xsi:type="dcterms:W3CDTF">2014-01-21T12:14:00Z</dcterms:created>
  <dcterms:modified xsi:type="dcterms:W3CDTF">2015-03-30T13:58:00Z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