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DC338B" w:rsidRDefault="00A6617B" w:rsidP="00157170">
      <w:pPr>
        <w:rPr>
          <w:lang w:val="es-ES_tradnl"/>
        </w:rPr>
      </w:pPr>
    </w:p>
    <w:p w:rsidR="007029C1" w:rsidRPr="00DC338B" w:rsidRDefault="007029C1" w:rsidP="007029C1">
      <w:pPr>
        <w:rPr>
          <w:lang w:val="es-ES_tradnl"/>
        </w:rPr>
      </w:pPr>
    </w:p>
    <w:p w:rsidR="007029C1" w:rsidRPr="00DC338B" w:rsidRDefault="007029C1" w:rsidP="007029C1">
      <w:pPr>
        <w:rPr>
          <w:lang w:val="es-ES_tradnl"/>
        </w:rPr>
      </w:pPr>
    </w:p>
    <w:p w:rsidR="007029C1" w:rsidRPr="00DC338B" w:rsidRDefault="007029C1" w:rsidP="007029C1">
      <w:pPr>
        <w:rPr>
          <w:lang w:val="es-ES_tradnl"/>
        </w:rPr>
      </w:pPr>
    </w:p>
    <w:p w:rsidR="007029C1" w:rsidRPr="00DC338B" w:rsidRDefault="007029C1" w:rsidP="007029C1">
      <w:pPr>
        <w:rPr>
          <w:lang w:val="es-ES_tradnl"/>
        </w:rPr>
      </w:pPr>
    </w:p>
    <w:p w:rsidR="007029C1" w:rsidRPr="00DC338B" w:rsidRDefault="007029C1" w:rsidP="007029C1">
      <w:pPr>
        <w:rPr>
          <w:lang w:val="es-ES_tradnl"/>
        </w:rPr>
      </w:pPr>
    </w:p>
    <w:p w:rsidR="007029C1" w:rsidRPr="00DC338B" w:rsidRDefault="007029C1" w:rsidP="007029C1">
      <w:pPr>
        <w:rPr>
          <w:lang w:val="es-ES_tradnl"/>
        </w:rPr>
      </w:pPr>
    </w:p>
    <w:p w:rsidR="007029C1" w:rsidRPr="00DC338B" w:rsidRDefault="007029C1" w:rsidP="007029C1">
      <w:pPr>
        <w:rPr>
          <w:lang w:val="es-ES_tradnl"/>
        </w:rPr>
      </w:pPr>
    </w:p>
    <w:p w:rsidR="007029C1" w:rsidRPr="00DC338B" w:rsidRDefault="007029C1" w:rsidP="007029C1">
      <w:pPr>
        <w:rPr>
          <w:lang w:val="es-ES_tradnl"/>
        </w:rPr>
      </w:pPr>
    </w:p>
    <w:p w:rsidR="007029C1" w:rsidRPr="00DC338B" w:rsidRDefault="007029C1" w:rsidP="007029C1">
      <w:pPr>
        <w:rPr>
          <w:lang w:val="es-ES_tradnl"/>
        </w:rPr>
      </w:pPr>
    </w:p>
    <w:tbl>
      <w:tblPr>
        <w:tblW w:w="10089" w:type="dxa"/>
        <w:tblLook w:val="01E0" w:firstRow="1" w:lastRow="1" w:firstColumn="1" w:lastColumn="1" w:noHBand="0" w:noVBand="0"/>
      </w:tblPr>
      <w:tblGrid>
        <w:gridCol w:w="10089"/>
      </w:tblGrid>
      <w:tr w:rsidR="007029C1" w:rsidRPr="00DC338B" w:rsidTr="005859F7">
        <w:tc>
          <w:tcPr>
            <w:tcW w:w="10089" w:type="dxa"/>
          </w:tcPr>
          <w:p w:rsidR="007029C1" w:rsidRPr="00DC338B" w:rsidRDefault="007029C1" w:rsidP="005859F7">
            <w:pPr>
              <w:spacing w:before="380" w:line="280" w:lineRule="exact"/>
              <w:jc w:val="right"/>
              <w:rPr>
                <w:rFonts w:ascii="Tahoma" w:hAnsi="Tahoma" w:cs="Tahoma"/>
                <w:b/>
                <w:bCs/>
                <w:iCs/>
                <w:color w:val="243285"/>
                <w:sz w:val="32"/>
                <w:szCs w:val="32"/>
                <w:lang w:val="es-ES_tradnl"/>
              </w:rPr>
            </w:pPr>
          </w:p>
          <w:p w:rsidR="007029C1" w:rsidRPr="00DC338B" w:rsidRDefault="007029C1" w:rsidP="000D6F6E">
            <w:pPr>
              <w:spacing w:before="380" w:line="280" w:lineRule="exact"/>
              <w:jc w:val="right"/>
              <w:rPr>
                <w:rFonts w:ascii="Tahoma" w:hAnsi="Tahoma" w:cs="Tahoma"/>
                <w:b/>
                <w:bCs/>
                <w:iCs/>
                <w:color w:val="243285"/>
                <w:sz w:val="36"/>
                <w:szCs w:val="36"/>
                <w:lang w:val="es-ES_tradnl"/>
              </w:rPr>
            </w:pPr>
            <w:r w:rsidRPr="00DC338B">
              <w:rPr>
                <w:rFonts w:ascii="Tahoma" w:hAnsi="Tahoma" w:cs="Tahoma"/>
                <w:b/>
                <w:bCs/>
                <w:iCs/>
                <w:color w:val="243285"/>
                <w:sz w:val="36"/>
                <w:szCs w:val="36"/>
                <w:lang w:val="es-ES_tradnl"/>
              </w:rPr>
              <w:t>Recomendación  UIT-R  BT.205</w:t>
            </w:r>
            <w:r w:rsidR="000D6F6E" w:rsidRPr="00DC338B">
              <w:rPr>
                <w:rFonts w:ascii="Tahoma" w:hAnsi="Tahoma" w:cs="Tahoma"/>
                <w:b/>
                <w:bCs/>
                <w:iCs/>
                <w:color w:val="243285"/>
                <w:sz w:val="36"/>
                <w:szCs w:val="36"/>
                <w:lang w:val="es-ES_tradnl"/>
              </w:rPr>
              <w:t>0</w:t>
            </w:r>
            <w:r w:rsidRPr="00DC338B">
              <w:rPr>
                <w:rFonts w:ascii="Tahoma" w:hAnsi="Tahoma" w:cs="Tahoma"/>
                <w:b/>
                <w:bCs/>
                <w:iCs/>
                <w:color w:val="243285"/>
                <w:sz w:val="36"/>
                <w:szCs w:val="36"/>
                <w:lang w:val="es-ES_tradnl"/>
              </w:rPr>
              <w:t>-0</w:t>
            </w:r>
          </w:p>
          <w:p w:rsidR="007029C1" w:rsidRPr="00DC338B" w:rsidRDefault="007029C1" w:rsidP="007029C1">
            <w:pPr>
              <w:spacing w:before="80" w:line="280" w:lineRule="exact"/>
              <w:jc w:val="right"/>
              <w:rPr>
                <w:rFonts w:ascii="Tahoma" w:hAnsi="Tahoma" w:cs="Tahoma"/>
                <w:b/>
                <w:bCs/>
                <w:iCs/>
                <w:color w:val="243285"/>
                <w:szCs w:val="24"/>
                <w:lang w:val="es-ES_tradnl"/>
              </w:rPr>
            </w:pPr>
            <w:r w:rsidRPr="00DC338B">
              <w:rPr>
                <w:rFonts w:ascii="Tahoma" w:hAnsi="Tahoma" w:cs="Tahoma"/>
                <w:b/>
                <w:bCs/>
                <w:iCs/>
                <w:color w:val="243285"/>
                <w:szCs w:val="24"/>
                <w:lang w:val="es-ES_tradnl"/>
              </w:rPr>
              <w:t>(02/2014)</w:t>
            </w:r>
          </w:p>
        </w:tc>
      </w:tr>
      <w:tr w:rsidR="007029C1" w:rsidRPr="00DC338B" w:rsidTr="005859F7">
        <w:tc>
          <w:tcPr>
            <w:tcW w:w="10089" w:type="dxa"/>
          </w:tcPr>
          <w:p w:rsidR="007029C1" w:rsidRPr="00DC338B" w:rsidRDefault="007029C1" w:rsidP="005859F7">
            <w:pPr>
              <w:spacing w:before="80" w:line="500" w:lineRule="exact"/>
              <w:jc w:val="right"/>
              <w:rPr>
                <w:rFonts w:ascii="Tahoma" w:hAnsi="Tahoma" w:cs="Tahoma"/>
                <w:b/>
                <w:bCs/>
                <w:iCs/>
                <w:color w:val="243285"/>
                <w:sz w:val="44"/>
                <w:szCs w:val="44"/>
                <w:lang w:val="es-ES_tradnl"/>
              </w:rPr>
            </w:pPr>
          </w:p>
          <w:p w:rsidR="007029C1" w:rsidRPr="00DC338B" w:rsidRDefault="000D6F6E" w:rsidP="00EA5EAA">
            <w:pPr>
              <w:spacing w:before="80" w:line="500" w:lineRule="exact"/>
              <w:jc w:val="right"/>
              <w:rPr>
                <w:rFonts w:ascii="Tahoma" w:hAnsi="Tahoma" w:cs="Tahoma"/>
                <w:b/>
                <w:bCs/>
                <w:color w:val="243285"/>
                <w:sz w:val="44"/>
                <w:szCs w:val="44"/>
                <w:lang w:val="es-ES_tradnl"/>
              </w:rPr>
            </w:pPr>
            <w:r w:rsidRPr="00DC338B">
              <w:rPr>
                <w:rFonts w:ascii="Tahoma" w:hAnsi="Tahoma" w:cs="Tahoma"/>
                <w:b/>
                <w:bCs/>
                <w:color w:val="243285"/>
                <w:sz w:val="44"/>
                <w:szCs w:val="44"/>
                <w:lang w:val="es-ES_tradnl"/>
              </w:rPr>
              <w:t xml:space="preserve">Utilización de sistemas de imagen de </w:t>
            </w:r>
            <w:r w:rsidR="00EA5EAA">
              <w:rPr>
                <w:rFonts w:ascii="Tahoma" w:hAnsi="Tahoma" w:cs="Tahoma"/>
                <w:b/>
                <w:bCs/>
                <w:color w:val="243285"/>
                <w:sz w:val="44"/>
                <w:szCs w:val="44"/>
                <w:lang w:val="es-ES_tradnl"/>
              </w:rPr>
              <w:t>televisión</w:t>
            </w:r>
            <w:r w:rsidRPr="00DC338B">
              <w:rPr>
                <w:rFonts w:ascii="Tahoma" w:hAnsi="Tahoma" w:cs="Tahoma"/>
                <w:b/>
                <w:bCs/>
                <w:color w:val="243285"/>
                <w:sz w:val="44"/>
                <w:szCs w:val="44"/>
                <w:lang w:val="es-ES_tradnl"/>
              </w:rPr>
              <w:t xml:space="preserve"> de</w:t>
            </w:r>
            <w:r w:rsidR="00EA5EAA">
              <w:rPr>
                <w:rFonts w:ascii="Tahoma" w:hAnsi="Tahoma" w:cs="Tahoma"/>
                <w:b/>
                <w:bCs/>
                <w:color w:val="243285"/>
                <w:sz w:val="44"/>
                <w:szCs w:val="44"/>
                <w:lang w:val="es-ES_tradnl"/>
              </w:rPr>
              <w:t xml:space="preserve"> </w:t>
            </w:r>
            <w:r w:rsidRPr="00DC338B">
              <w:rPr>
                <w:rFonts w:ascii="Tahoma" w:hAnsi="Tahoma" w:cs="Tahoma"/>
                <w:b/>
                <w:bCs/>
                <w:color w:val="243285"/>
                <w:sz w:val="44"/>
                <w:szCs w:val="44"/>
                <w:lang w:val="es-ES_tradnl"/>
              </w:rPr>
              <w:t>ultra alta definición para</w:t>
            </w:r>
            <w:r w:rsidR="00EA5EAA">
              <w:rPr>
                <w:rFonts w:ascii="Tahoma" w:hAnsi="Tahoma" w:cs="Tahoma"/>
                <w:b/>
                <w:bCs/>
                <w:color w:val="243285"/>
                <w:sz w:val="44"/>
                <w:szCs w:val="44"/>
                <w:lang w:val="es-ES_tradnl"/>
              </w:rPr>
              <w:br/>
            </w:r>
            <w:r w:rsidRPr="00DC338B">
              <w:rPr>
                <w:rFonts w:ascii="Tahoma" w:hAnsi="Tahoma" w:cs="Tahoma"/>
                <w:b/>
                <w:bCs/>
                <w:color w:val="243285"/>
                <w:sz w:val="44"/>
                <w:szCs w:val="44"/>
                <w:lang w:val="es-ES_tradnl"/>
              </w:rPr>
              <w:t>la captación,</w:t>
            </w:r>
            <w:r w:rsidR="00EA5EAA">
              <w:rPr>
                <w:rFonts w:ascii="Tahoma" w:hAnsi="Tahoma" w:cs="Tahoma"/>
                <w:b/>
                <w:bCs/>
                <w:color w:val="243285"/>
                <w:sz w:val="44"/>
                <w:szCs w:val="44"/>
                <w:lang w:val="es-ES_tradnl"/>
              </w:rPr>
              <w:t xml:space="preserve"> </w:t>
            </w:r>
            <w:r w:rsidRPr="00DC338B">
              <w:rPr>
                <w:rFonts w:ascii="Tahoma" w:hAnsi="Tahoma" w:cs="Tahoma"/>
                <w:b/>
                <w:bCs/>
                <w:color w:val="243285"/>
                <w:sz w:val="44"/>
                <w:szCs w:val="44"/>
                <w:lang w:val="es-ES_tradnl"/>
              </w:rPr>
              <w:t>edición, finalización</w:t>
            </w:r>
            <w:r w:rsidR="00EA5EAA">
              <w:rPr>
                <w:rFonts w:ascii="Tahoma" w:hAnsi="Tahoma" w:cs="Tahoma"/>
                <w:b/>
                <w:bCs/>
                <w:color w:val="243285"/>
                <w:sz w:val="44"/>
                <w:szCs w:val="44"/>
                <w:lang w:val="es-ES_tradnl"/>
              </w:rPr>
              <w:br/>
            </w:r>
            <w:r w:rsidRPr="00DC338B">
              <w:rPr>
                <w:rFonts w:ascii="Tahoma" w:hAnsi="Tahoma" w:cs="Tahoma"/>
                <w:b/>
                <w:bCs/>
                <w:color w:val="243285"/>
                <w:sz w:val="44"/>
                <w:szCs w:val="44"/>
                <w:lang w:val="es-ES_tradnl"/>
              </w:rPr>
              <w:t>y archivo</w:t>
            </w:r>
            <w:r w:rsidR="00EA5EAA">
              <w:rPr>
                <w:rFonts w:ascii="Tahoma" w:hAnsi="Tahoma" w:cs="Tahoma"/>
                <w:b/>
                <w:bCs/>
                <w:color w:val="243285"/>
                <w:sz w:val="44"/>
                <w:szCs w:val="44"/>
                <w:lang w:val="es-ES_tradnl"/>
              </w:rPr>
              <w:t xml:space="preserve"> </w:t>
            </w:r>
            <w:r w:rsidRPr="00DC338B">
              <w:rPr>
                <w:rFonts w:ascii="Tahoma" w:hAnsi="Tahoma" w:cs="Tahoma"/>
                <w:b/>
                <w:bCs/>
                <w:color w:val="243285"/>
                <w:sz w:val="44"/>
                <w:szCs w:val="44"/>
                <w:lang w:val="es-ES_tradnl"/>
              </w:rPr>
              <w:t>de programas</w:t>
            </w:r>
            <w:r w:rsidRPr="00DC338B">
              <w:rPr>
                <w:rFonts w:ascii="Tahoma" w:hAnsi="Tahoma" w:cs="Tahoma"/>
                <w:b/>
                <w:bCs/>
                <w:color w:val="243285"/>
                <w:sz w:val="44"/>
                <w:szCs w:val="44"/>
                <w:lang w:val="es-ES_tradnl"/>
              </w:rPr>
              <w:t xml:space="preserve"> </w:t>
            </w:r>
            <w:r w:rsidRPr="00DC338B">
              <w:rPr>
                <w:rFonts w:ascii="Tahoma" w:hAnsi="Tahoma" w:cs="Tahoma"/>
                <w:b/>
                <w:bCs/>
                <w:color w:val="243285"/>
                <w:sz w:val="44"/>
                <w:szCs w:val="44"/>
                <w:lang w:val="es-ES_tradnl"/>
              </w:rPr>
              <w:t>de TVAD</w:t>
            </w:r>
            <w:r w:rsidRPr="00DC338B">
              <w:rPr>
                <w:rFonts w:ascii="Tahoma" w:hAnsi="Tahoma" w:cs="Tahoma"/>
                <w:b/>
                <w:bCs/>
                <w:color w:val="243285"/>
                <w:sz w:val="44"/>
                <w:szCs w:val="44"/>
                <w:lang w:val="es-ES_tradnl"/>
              </w:rPr>
              <w:br/>
            </w:r>
            <w:r w:rsidRPr="00DC338B">
              <w:rPr>
                <w:rFonts w:ascii="Tahoma" w:hAnsi="Tahoma" w:cs="Tahoma"/>
                <w:b/>
                <w:bCs/>
                <w:color w:val="243285"/>
                <w:sz w:val="44"/>
                <w:szCs w:val="44"/>
                <w:lang w:val="es-ES_tradnl"/>
              </w:rPr>
              <w:t>de alta calidad</w:t>
            </w:r>
          </w:p>
          <w:p w:rsidR="007029C1" w:rsidRPr="00DC338B" w:rsidRDefault="007029C1" w:rsidP="005859F7">
            <w:pPr>
              <w:spacing w:before="80" w:line="500" w:lineRule="exact"/>
              <w:jc w:val="right"/>
              <w:rPr>
                <w:rFonts w:ascii="Tahoma" w:hAnsi="Tahoma" w:cs="Tahoma"/>
                <w:b/>
                <w:bCs/>
                <w:iCs/>
                <w:color w:val="243285"/>
                <w:sz w:val="44"/>
                <w:szCs w:val="44"/>
                <w:lang w:val="es-ES_tradnl"/>
              </w:rPr>
            </w:pPr>
          </w:p>
        </w:tc>
      </w:tr>
      <w:tr w:rsidR="007029C1" w:rsidRPr="00DC338B" w:rsidTr="005859F7">
        <w:tc>
          <w:tcPr>
            <w:tcW w:w="10089" w:type="dxa"/>
          </w:tcPr>
          <w:p w:rsidR="007029C1" w:rsidRPr="00DC338B" w:rsidRDefault="007029C1" w:rsidP="005859F7">
            <w:pPr>
              <w:spacing w:before="80" w:line="280" w:lineRule="exact"/>
              <w:ind w:right="640"/>
              <w:rPr>
                <w:rFonts w:ascii="Tahoma" w:hAnsi="Tahoma" w:cs="Tahoma"/>
                <w:b/>
                <w:bCs/>
                <w:iCs/>
                <w:color w:val="243285"/>
                <w:sz w:val="32"/>
                <w:szCs w:val="32"/>
                <w:lang w:val="es-ES_tradnl"/>
              </w:rPr>
            </w:pPr>
          </w:p>
          <w:p w:rsidR="007029C1" w:rsidRPr="00DC338B" w:rsidRDefault="007029C1" w:rsidP="005859F7">
            <w:pPr>
              <w:spacing w:before="80" w:line="280" w:lineRule="exact"/>
              <w:ind w:right="640"/>
              <w:rPr>
                <w:rFonts w:ascii="Tahoma" w:hAnsi="Tahoma" w:cs="Tahoma"/>
                <w:b/>
                <w:bCs/>
                <w:iCs/>
                <w:color w:val="243285"/>
                <w:sz w:val="32"/>
                <w:szCs w:val="32"/>
                <w:lang w:val="es-ES_tradnl"/>
              </w:rPr>
            </w:pPr>
          </w:p>
          <w:p w:rsidR="007029C1" w:rsidRPr="00DC338B" w:rsidRDefault="007029C1" w:rsidP="005859F7">
            <w:pPr>
              <w:spacing w:before="80" w:after="180" w:line="360" w:lineRule="exact"/>
              <w:ind w:right="720"/>
              <w:rPr>
                <w:rFonts w:ascii="Tahoma" w:hAnsi="Tahoma" w:cs="Tahoma"/>
                <w:b/>
                <w:bCs/>
                <w:iCs/>
                <w:color w:val="243285"/>
                <w:sz w:val="36"/>
                <w:szCs w:val="36"/>
                <w:lang w:val="es-ES_tradnl"/>
              </w:rPr>
            </w:pPr>
          </w:p>
          <w:p w:rsidR="007029C1" w:rsidRPr="00DC338B" w:rsidRDefault="007029C1" w:rsidP="005859F7">
            <w:pPr>
              <w:spacing w:before="80" w:after="180" w:line="360" w:lineRule="exact"/>
              <w:jc w:val="right"/>
              <w:rPr>
                <w:rFonts w:ascii="Tahoma" w:hAnsi="Tahoma" w:cs="Tahoma"/>
                <w:b/>
                <w:bCs/>
                <w:iCs/>
                <w:color w:val="243285"/>
                <w:sz w:val="36"/>
                <w:szCs w:val="36"/>
                <w:lang w:val="es-ES_tradnl"/>
              </w:rPr>
            </w:pPr>
            <w:r w:rsidRPr="00DC338B">
              <w:rPr>
                <w:rFonts w:ascii="Tahoma" w:hAnsi="Tahoma" w:cs="Tahoma"/>
                <w:b/>
                <w:bCs/>
                <w:iCs/>
                <w:color w:val="243285"/>
                <w:sz w:val="36"/>
                <w:szCs w:val="36"/>
                <w:lang w:val="es-ES_tradnl"/>
              </w:rPr>
              <w:t>Serie BT</w:t>
            </w:r>
          </w:p>
          <w:p w:rsidR="007029C1" w:rsidRPr="00DC338B" w:rsidRDefault="007029C1" w:rsidP="005859F7">
            <w:pPr>
              <w:spacing w:before="80" w:line="420" w:lineRule="exact"/>
              <w:jc w:val="right"/>
              <w:rPr>
                <w:rFonts w:ascii="Tahoma" w:hAnsi="Tahoma" w:cs="Tahoma"/>
                <w:b/>
                <w:bCs/>
                <w:iCs/>
                <w:color w:val="243285"/>
                <w:sz w:val="36"/>
                <w:szCs w:val="36"/>
                <w:lang w:val="es-ES_tradnl"/>
              </w:rPr>
            </w:pPr>
            <w:r w:rsidRPr="00DC338B">
              <w:rPr>
                <w:rFonts w:ascii="Tahoma" w:hAnsi="Tahoma" w:cs="Tahoma"/>
                <w:b/>
                <w:bCs/>
                <w:iCs/>
                <w:color w:val="243285"/>
                <w:sz w:val="36"/>
                <w:szCs w:val="36"/>
                <w:lang w:val="es-ES_tradnl"/>
              </w:rPr>
              <w:t>Servicio de radiodifusión</w:t>
            </w:r>
            <w:r w:rsidRPr="00DC338B">
              <w:rPr>
                <w:rFonts w:ascii="Tahoma" w:hAnsi="Tahoma" w:cs="Tahoma"/>
                <w:b/>
                <w:bCs/>
                <w:iCs/>
                <w:color w:val="243285"/>
                <w:sz w:val="36"/>
                <w:szCs w:val="36"/>
                <w:lang w:val="es-ES_tradnl"/>
              </w:rPr>
              <w:br/>
              <w:t>(televisión</w:t>
            </w:r>
            <w:r w:rsidRPr="00DC338B">
              <w:rPr>
                <w:rFonts w:ascii="Tahoma" w:hAnsi="Tahoma" w:cs="Tahoma"/>
                <w:b/>
                <w:bCs/>
                <w:color w:val="000080"/>
                <w:sz w:val="36"/>
                <w:szCs w:val="36"/>
                <w:lang w:val="es-ES_tradnl"/>
              </w:rPr>
              <w:t>)</w:t>
            </w:r>
          </w:p>
        </w:tc>
      </w:tr>
    </w:tbl>
    <w:p w:rsidR="007029C1" w:rsidRPr="00DC338B" w:rsidRDefault="007029C1" w:rsidP="007029C1">
      <w:pPr>
        <w:spacing w:before="80"/>
        <w:rPr>
          <w:i/>
          <w:sz w:val="22"/>
          <w:lang w:val="es-ES_tradnl"/>
        </w:rPr>
      </w:pPr>
    </w:p>
    <w:p w:rsidR="007029C1" w:rsidRPr="00DC338B" w:rsidRDefault="007029C1" w:rsidP="007029C1">
      <w:pPr>
        <w:spacing w:before="80"/>
        <w:rPr>
          <w:i/>
          <w:sz w:val="22"/>
          <w:lang w:val="es-ES_tradnl"/>
        </w:rPr>
      </w:pPr>
    </w:p>
    <w:p w:rsidR="007029C1" w:rsidRPr="00DC338B" w:rsidRDefault="007029C1" w:rsidP="007029C1">
      <w:pPr>
        <w:spacing w:before="80"/>
        <w:rPr>
          <w:i/>
          <w:sz w:val="22"/>
          <w:lang w:val="es-ES_tradnl"/>
        </w:rPr>
      </w:pPr>
    </w:p>
    <w:p w:rsidR="007029C1" w:rsidRPr="00DC338B" w:rsidRDefault="007029C1" w:rsidP="007029C1">
      <w:pPr>
        <w:spacing w:before="80"/>
        <w:rPr>
          <w:i/>
          <w:sz w:val="22"/>
          <w:lang w:val="es-ES_tradnl"/>
        </w:rPr>
      </w:pPr>
    </w:p>
    <w:p w:rsidR="007029C1" w:rsidRPr="00DC338B" w:rsidRDefault="007029C1" w:rsidP="007029C1">
      <w:pPr>
        <w:spacing w:before="80"/>
        <w:rPr>
          <w:i/>
          <w:sz w:val="22"/>
          <w:lang w:val="es-ES_tradnl"/>
        </w:rPr>
      </w:pPr>
    </w:p>
    <w:p w:rsidR="007029C1" w:rsidRPr="00DC338B" w:rsidRDefault="007029C1" w:rsidP="007029C1">
      <w:pPr>
        <w:spacing w:before="80"/>
        <w:rPr>
          <w:i/>
          <w:sz w:val="22"/>
          <w:lang w:val="es-ES_tradnl"/>
        </w:rPr>
      </w:pPr>
    </w:p>
    <w:p w:rsidR="007029C1" w:rsidRPr="00DC338B" w:rsidRDefault="007029C1" w:rsidP="007029C1">
      <w:pPr>
        <w:pStyle w:val="Equation"/>
        <w:tabs>
          <w:tab w:val="clear" w:pos="4820"/>
          <w:tab w:val="clear" w:pos="9639"/>
          <w:tab w:val="left" w:pos="1191"/>
          <w:tab w:val="left" w:pos="1588"/>
          <w:tab w:val="left" w:pos="1985"/>
        </w:tabs>
        <w:rPr>
          <w:rFonts w:ascii="Palatino Linotype" w:hAnsi="Palatino Linotype"/>
          <w:lang w:val="es-ES_tradnl"/>
        </w:rPr>
        <w:sectPr w:rsidR="007029C1" w:rsidRPr="00DC338B" w:rsidSect="009E1F8B">
          <w:headerReference w:type="even" r:id="rId7"/>
          <w:headerReference w:type="default" r:id="rId8"/>
          <w:pgSz w:w="11907" w:h="16834" w:code="9"/>
          <w:pgMar w:top="1418" w:right="1134" w:bottom="1134" w:left="1134" w:header="720" w:footer="482" w:gutter="0"/>
          <w:paperSrc w:first="15" w:other="15"/>
          <w:cols w:space="720"/>
        </w:sectPr>
      </w:pPr>
    </w:p>
    <w:p w:rsidR="007029C1" w:rsidRPr="00DC338B" w:rsidRDefault="007029C1" w:rsidP="00702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DC338B">
        <w:rPr>
          <w:bCs/>
          <w:sz w:val="24"/>
          <w:szCs w:val="24"/>
          <w:lang w:val="es-ES_tradnl"/>
        </w:rPr>
        <w:lastRenderedPageBreak/>
        <w:t>Prólogo</w:t>
      </w:r>
    </w:p>
    <w:p w:rsidR="007029C1" w:rsidRPr="00DC338B" w:rsidRDefault="007029C1" w:rsidP="007029C1">
      <w:pPr>
        <w:spacing w:before="180"/>
        <w:rPr>
          <w:sz w:val="20"/>
          <w:lang w:val="es-ES_tradnl"/>
        </w:rPr>
      </w:pPr>
      <w:r w:rsidRPr="00DC338B">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029C1" w:rsidRPr="00DC338B" w:rsidRDefault="007029C1" w:rsidP="007029C1">
      <w:pPr>
        <w:rPr>
          <w:sz w:val="20"/>
          <w:lang w:val="es-ES_tradnl"/>
        </w:rPr>
      </w:pPr>
      <w:r w:rsidRPr="00DC338B">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7029C1" w:rsidRPr="00DC338B" w:rsidRDefault="007029C1" w:rsidP="007029C1">
      <w:pPr>
        <w:pStyle w:val="Heading1"/>
        <w:spacing w:before="340"/>
        <w:jc w:val="center"/>
        <w:rPr>
          <w:szCs w:val="24"/>
          <w:lang w:val="es-ES_tradnl"/>
        </w:rPr>
      </w:pPr>
      <w:r w:rsidRPr="00DC338B">
        <w:rPr>
          <w:lang w:val="es-ES_tradnl"/>
        </w:rPr>
        <w:t>Política sobre Derechos de Propiedad Intelectual</w:t>
      </w:r>
      <w:r w:rsidRPr="00DC338B">
        <w:rPr>
          <w:szCs w:val="24"/>
          <w:lang w:val="es-ES_tradnl"/>
        </w:rPr>
        <w:t xml:space="preserve"> (IPR)</w:t>
      </w:r>
    </w:p>
    <w:p w:rsidR="007029C1" w:rsidRPr="00DC338B" w:rsidRDefault="007029C1" w:rsidP="007029C1">
      <w:pPr>
        <w:spacing w:before="180"/>
        <w:rPr>
          <w:sz w:val="20"/>
          <w:lang w:val="es-ES_tradnl"/>
        </w:rPr>
      </w:pPr>
      <w:r w:rsidRPr="00DC338B">
        <w:rPr>
          <w:sz w:val="20"/>
          <w:lang w:val="es-ES_tradnl"/>
        </w:rPr>
        <w:t>La política del UIT</w:t>
      </w:r>
      <w:r w:rsidRPr="00DC338B">
        <w:rPr>
          <w:sz w:val="20"/>
          <w:lang w:val="es-ES_tradnl"/>
        </w:rPr>
        <w:noBreakHyphen/>
        <w:t>R sobre Derechos de Propiedad Intelectual se describe en la Política Común de Patentes UIT</w:t>
      </w:r>
      <w:r w:rsidRPr="00DC338B">
        <w:rPr>
          <w:sz w:val="20"/>
          <w:lang w:val="es-ES_tradnl"/>
        </w:rPr>
        <w:noBreakHyphen/>
        <w:t>T/UIT</w:t>
      </w:r>
      <w:r w:rsidRPr="00DC338B">
        <w:rPr>
          <w:sz w:val="20"/>
          <w:lang w:val="es-ES_tradnl"/>
        </w:rPr>
        <w:noBreakHyphen/>
        <w:t>R/ISO/CEI a la que se hace referencia en el Anexo 1 a la Resolución UIT</w:t>
      </w:r>
      <w:r w:rsidRPr="00DC338B">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DC338B">
          <w:rPr>
            <w:rStyle w:val="Hyperlink"/>
            <w:sz w:val="20"/>
            <w:lang w:val="es-ES_tradnl"/>
          </w:rPr>
          <w:t>http://www.itu.int/ITU-R/go/patents/es</w:t>
        </w:r>
      </w:hyperlink>
      <w:r w:rsidRPr="00DC338B">
        <w:rPr>
          <w:sz w:val="20"/>
          <w:lang w:val="es-ES_tradnl"/>
        </w:rPr>
        <w:t>, donde también aparecen las Directrices para la implementación de la Política Común de Patentes UIT</w:t>
      </w:r>
      <w:r w:rsidRPr="00DC338B">
        <w:rPr>
          <w:sz w:val="20"/>
          <w:lang w:val="es-ES_tradnl"/>
        </w:rPr>
        <w:noBreakHyphen/>
        <w:t>T/UIT</w:t>
      </w:r>
      <w:r w:rsidRPr="00DC338B">
        <w:rPr>
          <w:sz w:val="20"/>
          <w:lang w:val="es-ES_tradnl"/>
        </w:rPr>
        <w:noBreakHyphen/>
        <w:t>R/ISO/CEI y la base de datos sobre información de patentes del UIT</w:t>
      </w:r>
      <w:r w:rsidRPr="00DC338B">
        <w:rPr>
          <w:sz w:val="20"/>
          <w:lang w:val="es-ES_tradnl"/>
        </w:rPr>
        <w:noBreakHyphen/>
        <w:t>R sobre este asunto.</w:t>
      </w:r>
    </w:p>
    <w:p w:rsidR="007029C1" w:rsidRPr="00DC338B" w:rsidRDefault="007029C1" w:rsidP="007029C1">
      <w:pPr>
        <w:spacing w:before="0"/>
        <w:jc w:val="center"/>
        <w:rPr>
          <w:sz w:val="22"/>
          <w:lang w:val="es-ES_tradnl"/>
        </w:rPr>
      </w:pPr>
    </w:p>
    <w:p w:rsidR="007029C1" w:rsidRPr="00DC338B" w:rsidRDefault="007029C1" w:rsidP="007029C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029C1" w:rsidRPr="00DC338B" w:rsidTr="005859F7">
        <w:tc>
          <w:tcPr>
            <w:tcW w:w="9360" w:type="dxa"/>
            <w:gridSpan w:val="2"/>
          </w:tcPr>
          <w:p w:rsidR="007029C1" w:rsidRPr="00DC338B" w:rsidRDefault="007029C1" w:rsidP="005859F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DC338B">
              <w:rPr>
                <w:sz w:val="22"/>
                <w:szCs w:val="22"/>
                <w:lang w:val="es-ES_tradnl"/>
              </w:rPr>
              <w:t xml:space="preserve">Series de las Recomendaciones UIT-R </w:t>
            </w:r>
          </w:p>
          <w:p w:rsidR="007029C1" w:rsidRPr="00DC338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DC338B">
              <w:rPr>
                <w:b w:val="0"/>
                <w:sz w:val="18"/>
                <w:szCs w:val="18"/>
                <w:lang w:val="es-ES_tradnl"/>
              </w:rPr>
              <w:t xml:space="preserve">(También disponible en línea en  </w:t>
            </w:r>
            <w:hyperlink r:id="rId10" w:history="1">
              <w:hyperlink r:id="rId11" w:history="1">
                <w:r w:rsidRPr="00DC338B">
                  <w:rPr>
                    <w:rStyle w:val="Hyperlink"/>
                    <w:b w:val="0"/>
                    <w:bCs/>
                    <w:sz w:val="18"/>
                    <w:szCs w:val="18"/>
                    <w:lang w:val="es-ES_tradnl"/>
                  </w:rPr>
                  <w:t>http://www.itu.int/publ/R-REC/es</w:t>
                </w:r>
              </w:hyperlink>
              <w:r w:rsidRPr="00DC338B">
                <w:rPr>
                  <w:rStyle w:val="Hyperlink"/>
                  <w:b w:val="0"/>
                  <w:bCs/>
                  <w:sz w:val="18"/>
                  <w:szCs w:val="18"/>
                  <w:lang w:val="es-ES_tradnl"/>
                </w:rPr>
                <w:t>)</w:t>
              </w:r>
            </w:hyperlink>
          </w:p>
        </w:tc>
      </w:tr>
      <w:tr w:rsidR="007029C1" w:rsidRPr="00DC338B" w:rsidTr="005859F7">
        <w:tc>
          <w:tcPr>
            <w:tcW w:w="1140" w:type="dxa"/>
          </w:tcPr>
          <w:p w:rsidR="007029C1" w:rsidRPr="00DC338B" w:rsidRDefault="007029C1" w:rsidP="005859F7">
            <w:pPr>
              <w:spacing w:before="180" w:after="100"/>
              <w:ind w:left="57"/>
              <w:rPr>
                <w:b/>
                <w:bCs/>
                <w:sz w:val="20"/>
                <w:lang w:val="es-ES_tradnl"/>
              </w:rPr>
            </w:pPr>
            <w:r w:rsidRPr="00DC338B">
              <w:rPr>
                <w:b/>
                <w:bCs/>
                <w:sz w:val="20"/>
                <w:lang w:val="es-ES_tradnl"/>
              </w:rPr>
              <w:t>Series</w:t>
            </w:r>
          </w:p>
        </w:tc>
        <w:tc>
          <w:tcPr>
            <w:tcW w:w="8220" w:type="dxa"/>
          </w:tcPr>
          <w:p w:rsidR="007029C1" w:rsidRPr="00DC338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DC338B">
              <w:rPr>
                <w:bCs/>
                <w:sz w:val="20"/>
                <w:lang w:val="es-ES_tradnl"/>
              </w:rPr>
              <w:t>Título</w:t>
            </w:r>
          </w:p>
        </w:tc>
      </w:tr>
      <w:tr w:rsidR="007029C1" w:rsidRPr="00DC338B" w:rsidTr="005859F7">
        <w:tc>
          <w:tcPr>
            <w:tcW w:w="1140" w:type="dxa"/>
            <w:tcBorders>
              <w:bottom w:val="nil"/>
            </w:tcBorders>
          </w:tcPr>
          <w:p w:rsidR="007029C1" w:rsidRPr="00DC338B" w:rsidRDefault="007029C1" w:rsidP="005859F7">
            <w:pPr>
              <w:spacing w:before="30" w:after="30"/>
              <w:ind w:left="57"/>
              <w:jc w:val="left"/>
              <w:rPr>
                <w:b/>
                <w:bCs/>
                <w:sz w:val="20"/>
                <w:lang w:val="es-ES_tradnl"/>
              </w:rPr>
            </w:pPr>
            <w:r w:rsidRPr="00DC338B">
              <w:rPr>
                <w:b/>
                <w:bCs/>
                <w:sz w:val="20"/>
                <w:lang w:val="es-ES_tradnl"/>
              </w:rPr>
              <w:t>BO</w:t>
            </w:r>
          </w:p>
        </w:tc>
        <w:tc>
          <w:tcPr>
            <w:tcW w:w="8220" w:type="dxa"/>
            <w:tcBorders>
              <w:bottom w:val="nil"/>
            </w:tcBorders>
          </w:tcPr>
          <w:p w:rsidR="007029C1" w:rsidRPr="00DC338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DC338B">
              <w:rPr>
                <w:b w:val="0"/>
                <w:bCs/>
                <w:sz w:val="20"/>
                <w:lang w:val="es-ES_tradnl"/>
              </w:rPr>
              <w:t>Distribución por satélite</w:t>
            </w:r>
          </w:p>
        </w:tc>
      </w:tr>
      <w:tr w:rsidR="007029C1" w:rsidRPr="00DC338B" w:rsidTr="005859F7">
        <w:tc>
          <w:tcPr>
            <w:tcW w:w="1140" w:type="dxa"/>
            <w:tcBorders>
              <w:top w:val="nil"/>
              <w:bottom w:val="nil"/>
            </w:tcBorders>
            <w:shd w:val="clear" w:color="auto" w:fill="auto"/>
          </w:tcPr>
          <w:p w:rsidR="007029C1" w:rsidRPr="00DC338B" w:rsidRDefault="007029C1" w:rsidP="005859F7">
            <w:pPr>
              <w:spacing w:before="30" w:after="30"/>
              <w:ind w:left="57"/>
              <w:jc w:val="left"/>
              <w:rPr>
                <w:rFonts w:hAnsi="Times New Roman Bold"/>
                <w:b/>
                <w:bCs/>
                <w:sz w:val="20"/>
                <w:lang w:val="es-ES_tradnl"/>
              </w:rPr>
            </w:pPr>
            <w:r w:rsidRPr="00DC338B">
              <w:rPr>
                <w:rFonts w:hAnsi="Times New Roman Bold"/>
                <w:b/>
                <w:bCs/>
                <w:sz w:val="20"/>
                <w:lang w:val="es-ES_tradnl"/>
              </w:rPr>
              <w:t>BR</w:t>
            </w:r>
          </w:p>
        </w:tc>
        <w:tc>
          <w:tcPr>
            <w:tcW w:w="8220" w:type="dxa"/>
            <w:tcBorders>
              <w:top w:val="nil"/>
              <w:bottom w:val="nil"/>
            </w:tcBorders>
            <w:shd w:val="clear" w:color="auto" w:fill="auto"/>
          </w:tcPr>
          <w:p w:rsidR="007029C1" w:rsidRPr="00DC338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C338B">
              <w:rPr>
                <w:b w:val="0"/>
                <w:sz w:val="20"/>
                <w:lang w:val="es-ES_tradnl"/>
              </w:rPr>
              <w:t>Registro para producción, archivo y reproducción; películas en televisión</w:t>
            </w:r>
          </w:p>
        </w:tc>
      </w:tr>
      <w:tr w:rsidR="007029C1" w:rsidRPr="00DC338B" w:rsidTr="005859F7">
        <w:tc>
          <w:tcPr>
            <w:tcW w:w="1140" w:type="dxa"/>
            <w:tcBorders>
              <w:top w:val="nil"/>
              <w:bottom w:val="nil"/>
            </w:tcBorders>
          </w:tcPr>
          <w:p w:rsidR="007029C1" w:rsidRPr="00DC338B" w:rsidRDefault="007029C1" w:rsidP="005859F7">
            <w:pPr>
              <w:spacing w:before="30" w:after="30"/>
              <w:ind w:left="57"/>
              <w:jc w:val="left"/>
              <w:rPr>
                <w:b/>
                <w:bCs/>
                <w:sz w:val="20"/>
                <w:lang w:val="es-ES_tradnl"/>
              </w:rPr>
            </w:pPr>
            <w:r w:rsidRPr="00DC338B">
              <w:rPr>
                <w:b/>
                <w:bCs/>
                <w:sz w:val="20"/>
                <w:lang w:val="es-ES_tradnl"/>
              </w:rPr>
              <w:t>BS</w:t>
            </w:r>
          </w:p>
        </w:tc>
        <w:tc>
          <w:tcPr>
            <w:tcW w:w="8220" w:type="dxa"/>
            <w:tcBorders>
              <w:top w:val="nil"/>
              <w:bottom w:val="nil"/>
            </w:tcBorders>
          </w:tcPr>
          <w:p w:rsidR="007029C1" w:rsidRPr="00DC338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DC338B">
              <w:rPr>
                <w:b w:val="0"/>
                <w:bCs/>
                <w:sz w:val="20"/>
                <w:lang w:val="es-ES_tradnl"/>
              </w:rPr>
              <w:t>Servicio de radiodifusión (sonora)</w:t>
            </w:r>
          </w:p>
        </w:tc>
      </w:tr>
      <w:tr w:rsidR="007029C1" w:rsidRPr="00DC338B" w:rsidTr="005859F7">
        <w:tc>
          <w:tcPr>
            <w:tcW w:w="1140" w:type="dxa"/>
            <w:tcBorders>
              <w:top w:val="nil"/>
              <w:bottom w:val="nil"/>
            </w:tcBorders>
            <w:shd w:val="clear" w:color="auto" w:fill="F3F3F3"/>
          </w:tcPr>
          <w:p w:rsidR="007029C1" w:rsidRPr="00DC338B" w:rsidRDefault="007029C1" w:rsidP="005859F7">
            <w:pPr>
              <w:spacing w:before="30" w:after="30"/>
              <w:ind w:left="57"/>
              <w:jc w:val="left"/>
              <w:rPr>
                <w:rFonts w:ascii="Times New Roman Bold" w:hAnsi="Times New Roman Bold" w:cs="Times New Roman Bold"/>
                <w:b/>
                <w:bCs/>
                <w:color w:val="000080"/>
                <w:sz w:val="20"/>
                <w:lang w:val="es-ES_tradnl"/>
              </w:rPr>
            </w:pPr>
            <w:r w:rsidRPr="00DC338B">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7029C1" w:rsidRPr="00DC338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DC338B">
              <w:rPr>
                <w:rFonts w:ascii="Times New Roman Bold" w:hAnsi="Times New Roman Bold" w:cs="Times New Roman Bold"/>
                <w:bCs/>
                <w:color w:val="000080"/>
                <w:sz w:val="20"/>
                <w:lang w:val="es-ES_tradnl"/>
              </w:rPr>
              <w:t>Servicio de radiodifusión (televisión)</w:t>
            </w:r>
          </w:p>
        </w:tc>
      </w:tr>
      <w:tr w:rsidR="007029C1" w:rsidRPr="00DC338B" w:rsidTr="005859F7">
        <w:tc>
          <w:tcPr>
            <w:tcW w:w="1140" w:type="dxa"/>
            <w:tcBorders>
              <w:top w:val="nil"/>
              <w:bottom w:val="nil"/>
            </w:tcBorders>
            <w:shd w:val="clear" w:color="auto" w:fill="auto"/>
          </w:tcPr>
          <w:p w:rsidR="007029C1" w:rsidRPr="00DC338B" w:rsidRDefault="007029C1" w:rsidP="005859F7">
            <w:pPr>
              <w:spacing w:before="30" w:after="30"/>
              <w:ind w:left="57"/>
              <w:jc w:val="left"/>
              <w:rPr>
                <w:b/>
                <w:bCs/>
                <w:sz w:val="20"/>
                <w:lang w:val="es-ES_tradnl"/>
              </w:rPr>
            </w:pPr>
            <w:r w:rsidRPr="00DC338B">
              <w:rPr>
                <w:b/>
                <w:bCs/>
                <w:sz w:val="20"/>
                <w:lang w:val="es-ES_tradnl"/>
              </w:rPr>
              <w:t>F</w:t>
            </w:r>
          </w:p>
        </w:tc>
        <w:tc>
          <w:tcPr>
            <w:tcW w:w="8220" w:type="dxa"/>
            <w:tcBorders>
              <w:top w:val="nil"/>
              <w:bottom w:val="nil"/>
            </w:tcBorders>
            <w:shd w:val="clear" w:color="auto" w:fill="auto"/>
          </w:tcPr>
          <w:p w:rsidR="007029C1" w:rsidRPr="00DC338B" w:rsidRDefault="007029C1" w:rsidP="005859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C338B">
              <w:rPr>
                <w:bCs/>
                <w:sz w:val="20"/>
                <w:lang w:val="es-ES_tradnl"/>
              </w:rPr>
              <w:t>Servicio fijo</w:t>
            </w:r>
          </w:p>
        </w:tc>
      </w:tr>
      <w:tr w:rsidR="007029C1" w:rsidRPr="00DC338B" w:rsidTr="005859F7">
        <w:tc>
          <w:tcPr>
            <w:tcW w:w="1140" w:type="dxa"/>
            <w:tcBorders>
              <w:top w:val="nil"/>
              <w:bottom w:val="nil"/>
            </w:tcBorders>
            <w:shd w:val="clear" w:color="auto" w:fill="auto"/>
          </w:tcPr>
          <w:p w:rsidR="007029C1" w:rsidRPr="00DC338B" w:rsidRDefault="007029C1" w:rsidP="005859F7">
            <w:pPr>
              <w:spacing w:before="30" w:after="30"/>
              <w:ind w:left="57"/>
              <w:jc w:val="left"/>
              <w:rPr>
                <w:rFonts w:hAnsi="Times New Roman Bold"/>
                <w:b/>
                <w:bCs/>
                <w:sz w:val="20"/>
                <w:lang w:val="es-ES_tradnl"/>
              </w:rPr>
            </w:pPr>
            <w:r w:rsidRPr="00DC338B">
              <w:rPr>
                <w:rFonts w:hAnsi="Times New Roman Bold"/>
                <w:b/>
                <w:bCs/>
                <w:sz w:val="20"/>
                <w:lang w:val="es-ES_tradnl"/>
              </w:rPr>
              <w:t>M</w:t>
            </w:r>
          </w:p>
        </w:tc>
        <w:tc>
          <w:tcPr>
            <w:tcW w:w="8220" w:type="dxa"/>
            <w:tcBorders>
              <w:top w:val="nil"/>
              <w:bottom w:val="nil"/>
            </w:tcBorders>
            <w:shd w:val="clear" w:color="auto" w:fill="auto"/>
          </w:tcPr>
          <w:p w:rsidR="007029C1" w:rsidRPr="00DC338B" w:rsidRDefault="007029C1" w:rsidP="005859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DC338B">
              <w:rPr>
                <w:rFonts w:hAnsi="Times New Roman Bold"/>
                <w:b w:val="0"/>
                <w:sz w:val="20"/>
                <w:lang w:val="es-ES_tradnl"/>
              </w:rPr>
              <w:t>Servicios m</w:t>
            </w:r>
            <w:r w:rsidRPr="00DC338B">
              <w:rPr>
                <w:rFonts w:hAnsi="Times New Roman Bold"/>
                <w:b w:val="0"/>
                <w:sz w:val="20"/>
                <w:lang w:val="es-ES_tradnl"/>
              </w:rPr>
              <w:t>ó</w:t>
            </w:r>
            <w:r w:rsidRPr="00DC338B">
              <w:rPr>
                <w:rFonts w:hAnsi="Times New Roman Bold"/>
                <w:b w:val="0"/>
                <w:sz w:val="20"/>
                <w:lang w:val="es-ES_tradnl"/>
              </w:rPr>
              <w:t>viles, de radiodeterminaci</w:t>
            </w:r>
            <w:r w:rsidRPr="00DC338B">
              <w:rPr>
                <w:rFonts w:hAnsi="Times New Roman Bold"/>
                <w:b w:val="0"/>
                <w:sz w:val="20"/>
                <w:lang w:val="es-ES_tradnl"/>
              </w:rPr>
              <w:t>ó</w:t>
            </w:r>
            <w:r w:rsidRPr="00DC338B">
              <w:rPr>
                <w:rFonts w:hAnsi="Times New Roman Bold"/>
                <w:b w:val="0"/>
                <w:sz w:val="20"/>
                <w:lang w:val="es-ES_tradnl"/>
              </w:rPr>
              <w:t>n, de aficionados y otros servicios por sat</w:t>
            </w:r>
            <w:r w:rsidRPr="00DC338B">
              <w:rPr>
                <w:rFonts w:hAnsi="Times New Roman Bold"/>
                <w:b w:val="0"/>
                <w:sz w:val="20"/>
                <w:lang w:val="es-ES_tradnl"/>
              </w:rPr>
              <w:t>é</w:t>
            </w:r>
            <w:r w:rsidRPr="00DC338B">
              <w:rPr>
                <w:rFonts w:hAnsi="Times New Roman Bold"/>
                <w:b w:val="0"/>
                <w:sz w:val="20"/>
                <w:lang w:val="es-ES_tradnl"/>
              </w:rPr>
              <w:t>lite conexos</w:t>
            </w:r>
          </w:p>
        </w:tc>
      </w:tr>
      <w:tr w:rsidR="007029C1" w:rsidRPr="00DC338B" w:rsidTr="005859F7">
        <w:tc>
          <w:tcPr>
            <w:tcW w:w="1140" w:type="dxa"/>
            <w:tcBorders>
              <w:top w:val="nil"/>
            </w:tcBorders>
          </w:tcPr>
          <w:p w:rsidR="007029C1" w:rsidRPr="00DC338B" w:rsidRDefault="007029C1" w:rsidP="005859F7">
            <w:pPr>
              <w:spacing w:before="30" w:after="30"/>
              <w:ind w:left="57"/>
              <w:jc w:val="left"/>
              <w:rPr>
                <w:b/>
                <w:bCs/>
                <w:sz w:val="20"/>
                <w:lang w:val="es-ES_tradnl"/>
              </w:rPr>
            </w:pPr>
            <w:r w:rsidRPr="00DC338B">
              <w:rPr>
                <w:b/>
                <w:bCs/>
                <w:sz w:val="20"/>
                <w:lang w:val="es-ES_tradnl"/>
              </w:rPr>
              <w:t>P</w:t>
            </w:r>
          </w:p>
        </w:tc>
        <w:tc>
          <w:tcPr>
            <w:tcW w:w="8220" w:type="dxa"/>
            <w:tcBorders>
              <w:top w:val="nil"/>
            </w:tcBorders>
          </w:tcPr>
          <w:p w:rsidR="007029C1" w:rsidRPr="00DC338B" w:rsidRDefault="007029C1" w:rsidP="005859F7">
            <w:pPr>
              <w:spacing w:before="30" w:after="30"/>
              <w:jc w:val="left"/>
              <w:rPr>
                <w:bCs/>
                <w:sz w:val="20"/>
                <w:lang w:val="es-ES_tradnl"/>
              </w:rPr>
            </w:pPr>
            <w:r w:rsidRPr="00DC338B">
              <w:rPr>
                <w:bCs/>
                <w:sz w:val="20"/>
                <w:lang w:val="es-ES_tradnl"/>
              </w:rPr>
              <w:t>Propagación de las ondas radioeléctricas</w:t>
            </w:r>
          </w:p>
        </w:tc>
      </w:tr>
      <w:tr w:rsidR="007029C1" w:rsidRPr="00DC338B" w:rsidTr="005859F7">
        <w:tc>
          <w:tcPr>
            <w:tcW w:w="1140" w:type="dxa"/>
          </w:tcPr>
          <w:p w:rsidR="007029C1" w:rsidRPr="00DC338B" w:rsidRDefault="007029C1" w:rsidP="005859F7">
            <w:pPr>
              <w:spacing w:before="30" w:after="30"/>
              <w:ind w:left="57"/>
              <w:jc w:val="left"/>
              <w:rPr>
                <w:b/>
                <w:bCs/>
                <w:sz w:val="20"/>
                <w:lang w:val="es-ES_tradnl"/>
              </w:rPr>
            </w:pPr>
            <w:r w:rsidRPr="00DC338B">
              <w:rPr>
                <w:b/>
                <w:bCs/>
                <w:sz w:val="20"/>
                <w:lang w:val="es-ES_tradnl"/>
              </w:rPr>
              <w:t>RA</w:t>
            </w:r>
          </w:p>
        </w:tc>
        <w:tc>
          <w:tcPr>
            <w:tcW w:w="8220" w:type="dxa"/>
          </w:tcPr>
          <w:p w:rsidR="007029C1" w:rsidRPr="00DC338B" w:rsidRDefault="007029C1" w:rsidP="005859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C338B">
              <w:rPr>
                <w:bCs/>
                <w:sz w:val="20"/>
                <w:lang w:val="es-ES_tradnl"/>
              </w:rPr>
              <w:t>Radioastronomía</w:t>
            </w:r>
          </w:p>
        </w:tc>
      </w:tr>
      <w:tr w:rsidR="007029C1" w:rsidRPr="00DC338B" w:rsidTr="005859F7">
        <w:tc>
          <w:tcPr>
            <w:tcW w:w="1140" w:type="dxa"/>
          </w:tcPr>
          <w:p w:rsidR="007029C1" w:rsidRPr="00DC338B" w:rsidRDefault="007029C1" w:rsidP="005859F7">
            <w:pPr>
              <w:spacing w:before="30" w:after="30"/>
              <w:ind w:left="57"/>
              <w:jc w:val="left"/>
              <w:rPr>
                <w:b/>
                <w:bCs/>
                <w:sz w:val="20"/>
                <w:lang w:val="es-ES_tradnl"/>
              </w:rPr>
            </w:pPr>
            <w:r w:rsidRPr="00DC338B">
              <w:rPr>
                <w:b/>
                <w:bCs/>
                <w:sz w:val="20"/>
                <w:lang w:val="es-ES_tradnl"/>
              </w:rPr>
              <w:t>RS</w:t>
            </w:r>
          </w:p>
        </w:tc>
        <w:tc>
          <w:tcPr>
            <w:tcW w:w="8220" w:type="dxa"/>
          </w:tcPr>
          <w:p w:rsidR="007029C1" w:rsidRPr="00DC338B" w:rsidRDefault="007029C1" w:rsidP="005859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DC338B">
              <w:rPr>
                <w:bCs/>
                <w:sz w:val="20"/>
                <w:lang w:val="es-ES_tradnl"/>
              </w:rPr>
              <w:t>Sistemas de detección a distancia</w:t>
            </w:r>
          </w:p>
        </w:tc>
      </w:tr>
      <w:tr w:rsidR="007029C1" w:rsidRPr="00DC338B" w:rsidTr="005859F7">
        <w:tc>
          <w:tcPr>
            <w:tcW w:w="1140" w:type="dxa"/>
          </w:tcPr>
          <w:p w:rsidR="007029C1" w:rsidRPr="00DC338B" w:rsidRDefault="007029C1" w:rsidP="005859F7">
            <w:pPr>
              <w:spacing w:before="30" w:after="30"/>
              <w:ind w:left="57"/>
              <w:jc w:val="left"/>
              <w:rPr>
                <w:b/>
                <w:bCs/>
                <w:sz w:val="20"/>
                <w:lang w:val="es-ES_tradnl"/>
              </w:rPr>
            </w:pPr>
            <w:r w:rsidRPr="00DC338B">
              <w:rPr>
                <w:b/>
                <w:bCs/>
                <w:sz w:val="20"/>
                <w:lang w:val="es-ES_tradnl"/>
              </w:rPr>
              <w:t>S</w:t>
            </w:r>
          </w:p>
        </w:tc>
        <w:tc>
          <w:tcPr>
            <w:tcW w:w="8220" w:type="dxa"/>
          </w:tcPr>
          <w:p w:rsidR="007029C1" w:rsidRPr="00DC338B" w:rsidRDefault="007029C1" w:rsidP="005859F7">
            <w:pPr>
              <w:spacing w:before="30" w:after="30"/>
              <w:jc w:val="left"/>
              <w:rPr>
                <w:bCs/>
                <w:sz w:val="20"/>
                <w:lang w:val="es-ES_tradnl"/>
              </w:rPr>
            </w:pPr>
            <w:r w:rsidRPr="00DC338B">
              <w:rPr>
                <w:bCs/>
                <w:sz w:val="20"/>
                <w:lang w:val="es-ES_tradnl"/>
              </w:rPr>
              <w:t>Servicio fijo por satélite</w:t>
            </w:r>
          </w:p>
        </w:tc>
      </w:tr>
      <w:tr w:rsidR="007029C1" w:rsidRPr="00DC338B" w:rsidTr="005859F7">
        <w:tc>
          <w:tcPr>
            <w:tcW w:w="1140" w:type="dxa"/>
          </w:tcPr>
          <w:p w:rsidR="007029C1" w:rsidRPr="00DC338B" w:rsidRDefault="007029C1" w:rsidP="005859F7">
            <w:pPr>
              <w:spacing w:before="30" w:after="30"/>
              <w:ind w:left="57"/>
              <w:jc w:val="left"/>
              <w:rPr>
                <w:b/>
                <w:bCs/>
                <w:sz w:val="20"/>
                <w:lang w:val="es-ES_tradnl"/>
              </w:rPr>
            </w:pPr>
            <w:r w:rsidRPr="00DC338B">
              <w:rPr>
                <w:b/>
                <w:bCs/>
                <w:sz w:val="20"/>
                <w:lang w:val="es-ES_tradnl"/>
              </w:rPr>
              <w:t>SA</w:t>
            </w:r>
          </w:p>
        </w:tc>
        <w:tc>
          <w:tcPr>
            <w:tcW w:w="8220" w:type="dxa"/>
          </w:tcPr>
          <w:p w:rsidR="007029C1" w:rsidRPr="00DC338B" w:rsidRDefault="007029C1" w:rsidP="005859F7">
            <w:pPr>
              <w:spacing w:before="30" w:after="30"/>
              <w:jc w:val="left"/>
              <w:rPr>
                <w:bCs/>
                <w:sz w:val="20"/>
                <w:lang w:val="es-ES_tradnl"/>
              </w:rPr>
            </w:pPr>
            <w:r w:rsidRPr="00DC338B">
              <w:rPr>
                <w:bCs/>
                <w:sz w:val="20"/>
                <w:lang w:val="es-ES_tradnl"/>
              </w:rPr>
              <w:t>Aplicaciones espaciales y meteorología</w:t>
            </w:r>
          </w:p>
        </w:tc>
      </w:tr>
      <w:tr w:rsidR="007029C1" w:rsidRPr="00DC338B" w:rsidTr="005859F7">
        <w:tc>
          <w:tcPr>
            <w:tcW w:w="1140" w:type="dxa"/>
          </w:tcPr>
          <w:p w:rsidR="007029C1" w:rsidRPr="00DC338B" w:rsidRDefault="007029C1" w:rsidP="005859F7">
            <w:pPr>
              <w:spacing w:before="30" w:after="30"/>
              <w:ind w:left="57"/>
              <w:jc w:val="left"/>
              <w:rPr>
                <w:b/>
                <w:bCs/>
                <w:sz w:val="20"/>
                <w:lang w:val="es-ES_tradnl"/>
              </w:rPr>
            </w:pPr>
            <w:r w:rsidRPr="00DC338B">
              <w:rPr>
                <w:b/>
                <w:bCs/>
                <w:sz w:val="20"/>
                <w:lang w:val="es-ES_tradnl"/>
              </w:rPr>
              <w:t>SF</w:t>
            </w:r>
          </w:p>
        </w:tc>
        <w:tc>
          <w:tcPr>
            <w:tcW w:w="8220" w:type="dxa"/>
          </w:tcPr>
          <w:p w:rsidR="007029C1" w:rsidRPr="00DC338B" w:rsidRDefault="007029C1" w:rsidP="005859F7">
            <w:pPr>
              <w:spacing w:before="30" w:after="30"/>
              <w:jc w:val="left"/>
              <w:rPr>
                <w:bCs/>
                <w:sz w:val="20"/>
                <w:lang w:val="es-ES_tradnl"/>
              </w:rPr>
            </w:pPr>
            <w:r w:rsidRPr="00DC338B">
              <w:rPr>
                <w:bCs/>
                <w:sz w:val="20"/>
                <w:lang w:val="es-ES_tradnl"/>
              </w:rPr>
              <w:t>Compartición de frecuencias y coordinación entre los sistemas del servicio fijo por satélite y del servicio fijo</w:t>
            </w:r>
          </w:p>
        </w:tc>
      </w:tr>
      <w:tr w:rsidR="007029C1" w:rsidRPr="00DC338B" w:rsidTr="005859F7">
        <w:tc>
          <w:tcPr>
            <w:tcW w:w="1140" w:type="dxa"/>
            <w:shd w:val="clear" w:color="auto" w:fill="auto"/>
          </w:tcPr>
          <w:p w:rsidR="007029C1" w:rsidRPr="00DC338B" w:rsidRDefault="007029C1" w:rsidP="005859F7">
            <w:pPr>
              <w:spacing w:before="30" w:after="30"/>
              <w:ind w:left="57"/>
              <w:jc w:val="left"/>
              <w:rPr>
                <w:b/>
                <w:bCs/>
                <w:sz w:val="20"/>
                <w:lang w:val="es-ES_tradnl"/>
              </w:rPr>
            </w:pPr>
            <w:r w:rsidRPr="00DC338B">
              <w:rPr>
                <w:b/>
                <w:bCs/>
                <w:sz w:val="20"/>
                <w:lang w:val="es-ES_tradnl"/>
              </w:rPr>
              <w:t>SM</w:t>
            </w:r>
          </w:p>
        </w:tc>
        <w:tc>
          <w:tcPr>
            <w:tcW w:w="8220" w:type="dxa"/>
            <w:shd w:val="clear" w:color="auto" w:fill="auto"/>
          </w:tcPr>
          <w:p w:rsidR="007029C1" w:rsidRPr="00DC338B" w:rsidRDefault="007029C1" w:rsidP="005859F7">
            <w:pPr>
              <w:spacing w:before="30" w:after="30"/>
              <w:jc w:val="left"/>
              <w:rPr>
                <w:sz w:val="20"/>
                <w:lang w:val="es-ES_tradnl"/>
              </w:rPr>
            </w:pPr>
            <w:r w:rsidRPr="00DC338B">
              <w:rPr>
                <w:sz w:val="20"/>
                <w:lang w:val="es-ES_tradnl"/>
              </w:rPr>
              <w:t>Gestión del espectro</w:t>
            </w:r>
          </w:p>
        </w:tc>
      </w:tr>
      <w:tr w:rsidR="007029C1" w:rsidRPr="00DC338B" w:rsidTr="005859F7">
        <w:tc>
          <w:tcPr>
            <w:tcW w:w="1140" w:type="dxa"/>
          </w:tcPr>
          <w:p w:rsidR="007029C1" w:rsidRPr="00DC338B" w:rsidRDefault="007029C1" w:rsidP="005859F7">
            <w:pPr>
              <w:spacing w:before="30" w:after="30"/>
              <w:ind w:left="57"/>
              <w:jc w:val="left"/>
              <w:rPr>
                <w:b/>
                <w:bCs/>
                <w:sz w:val="20"/>
                <w:lang w:val="es-ES_tradnl"/>
              </w:rPr>
            </w:pPr>
            <w:r w:rsidRPr="00DC338B">
              <w:rPr>
                <w:b/>
                <w:bCs/>
                <w:sz w:val="20"/>
                <w:lang w:val="es-ES_tradnl"/>
              </w:rPr>
              <w:t>SNG</w:t>
            </w:r>
          </w:p>
        </w:tc>
        <w:tc>
          <w:tcPr>
            <w:tcW w:w="8220" w:type="dxa"/>
          </w:tcPr>
          <w:p w:rsidR="007029C1" w:rsidRPr="00DC338B" w:rsidRDefault="007029C1" w:rsidP="005859F7">
            <w:pPr>
              <w:spacing w:before="30" w:after="30"/>
              <w:jc w:val="left"/>
              <w:rPr>
                <w:bCs/>
                <w:sz w:val="20"/>
                <w:lang w:val="es-ES_tradnl"/>
              </w:rPr>
            </w:pPr>
            <w:r w:rsidRPr="00DC338B">
              <w:rPr>
                <w:bCs/>
                <w:sz w:val="20"/>
                <w:lang w:val="es-ES_tradnl"/>
              </w:rPr>
              <w:t>Periodismo electrónico por satélite</w:t>
            </w:r>
          </w:p>
        </w:tc>
      </w:tr>
      <w:tr w:rsidR="007029C1" w:rsidRPr="00DC338B" w:rsidTr="005859F7">
        <w:tc>
          <w:tcPr>
            <w:tcW w:w="1140" w:type="dxa"/>
          </w:tcPr>
          <w:p w:rsidR="007029C1" w:rsidRPr="00DC338B" w:rsidRDefault="007029C1" w:rsidP="005859F7">
            <w:pPr>
              <w:spacing w:before="30" w:after="30"/>
              <w:ind w:left="57"/>
              <w:jc w:val="left"/>
              <w:rPr>
                <w:b/>
                <w:bCs/>
                <w:sz w:val="20"/>
                <w:lang w:val="es-ES_tradnl"/>
              </w:rPr>
            </w:pPr>
            <w:r w:rsidRPr="00DC338B">
              <w:rPr>
                <w:b/>
                <w:bCs/>
                <w:sz w:val="20"/>
                <w:lang w:val="es-ES_tradnl"/>
              </w:rPr>
              <w:t>TF</w:t>
            </w:r>
          </w:p>
        </w:tc>
        <w:tc>
          <w:tcPr>
            <w:tcW w:w="8220" w:type="dxa"/>
          </w:tcPr>
          <w:p w:rsidR="007029C1" w:rsidRPr="00DC338B" w:rsidRDefault="007029C1" w:rsidP="005859F7">
            <w:pPr>
              <w:spacing w:before="30" w:after="30"/>
              <w:jc w:val="left"/>
              <w:rPr>
                <w:bCs/>
                <w:sz w:val="20"/>
                <w:lang w:val="es-ES_tradnl"/>
              </w:rPr>
            </w:pPr>
            <w:r w:rsidRPr="00DC338B">
              <w:rPr>
                <w:bCs/>
                <w:sz w:val="20"/>
                <w:lang w:val="es-ES_tradnl"/>
              </w:rPr>
              <w:t>Emisiones de frecuencias patrón y señales horarias</w:t>
            </w:r>
          </w:p>
        </w:tc>
      </w:tr>
      <w:tr w:rsidR="007029C1" w:rsidRPr="00DC338B" w:rsidTr="005859F7">
        <w:tc>
          <w:tcPr>
            <w:tcW w:w="1140" w:type="dxa"/>
          </w:tcPr>
          <w:p w:rsidR="007029C1" w:rsidRPr="00DC338B" w:rsidRDefault="007029C1" w:rsidP="005859F7">
            <w:pPr>
              <w:spacing w:before="30" w:after="30"/>
              <w:ind w:left="57"/>
              <w:jc w:val="left"/>
              <w:rPr>
                <w:b/>
                <w:bCs/>
                <w:sz w:val="20"/>
                <w:lang w:val="es-ES_tradnl"/>
              </w:rPr>
            </w:pPr>
            <w:r w:rsidRPr="00DC338B">
              <w:rPr>
                <w:b/>
                <w:bCs/>
                <w:sz w:val="20"/>
                <w:lang w:val="es-ES_tradnl"/>
              </w:rPr>
              <w:t>V</w:t>
            </w:r>
          </w:p>
        </w:tc>
        <w:tc>
          <w:tcPr>
            <w:tcW w:w="8220" w:type="dxa"/>
          </w:tcPr>
          <w:p w:rsidR="007029C1" w:rsidRPr="00DC338B" w:rsidRDefault="007029C1" w:rsidP="005859F7">
            <w:pPr>
              <w:spacing w:before="30" w:after="140"/>
              <w:jc w:val="left"/>
              <w:rPr>
                <w:bCs/>
                <w:sz w:val="20"/>
                <w:lang w:val="es-ES_tradnl"/>
              </w:rPr>
            </w:pPr>
            <w:r w:rsidRPr="00DC338B">
              <w:rPr>
                <w:bCs/>
                <w:sz w:val="20"/>
                <w:lang w:val="es-ES_tradnl"/>
              </w:rPr>
              <w:t>Vocabulario y cuestiones afines</w:t>
            </w:r>
          </w:p>
        </w:tc>
      </w:tr>
    </w:tbl>
    <w:p w:rsidR="007029C1" w:rsidRPr="00DC338B" w:rsidRDefault="007029C1" w:rsidP="007029C1">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7029C1" w:rsidRPr="00DC338B" w:rsidTr="005859F7">
        <w:tc>
          <w:tcPr>
            <w:tcW w:w="720" w:type="dxa"/>
          </w:tcPr>
          <w:p w:rsidR="007029C1" w:rsidRPr="00DC338B" w:rsidRDefault="007029C1" w:rsidP="005859F7">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029C1" w:rsidRPr="00DC338B" w:rsidTr="005859F7">
        <w:tc>
          <w:tcPr>
            <w:tcW w:w="9360" w:type="dxa"/>
          </w:tcPr>
          <w:p w:rsidR="007029C1" w:rsidRPr="00DC338B" w:rsidRDefault="007029C1" w:rsidP="005859F7">
            <w:pPr>
              <w:spacing w:before="92" w:after="92"/>
              <w:jc w:val="left"/>
              <w:rPr>
                <w:i/>
                <w:iCs/>
                <w:sz w:val="20"/>
                <w:lang w:val="es-ES_tradnl"/>
              </w:rPr>
            </w:pPr>
            <w:r w:rsidRPr="00DC338B">
              <w:rPr>
                <w:b/>
                <w:bCs/>
                <w:i/>
                <w:iCs/>
                <w:sz w:val="20"/>
                <w:lang w:val="es-ES_tradnl"/>
              </w:rPr>
              <w:t>Nota</w:t>
            </w:r>
            <w:r w:rsidRPr="00DC338B">
              <w:rPr>
                <w:i/>
                <w:iCs/>
                <w:sz w:val="20"/>
                <w:lang w:val="es-ES_tradnl"/>
              </w:rPr>
              <w:t xml:space="preserve">: Esta Recomendación UIT-R fue aprobada en inglés conforme al procedimiento detallado en la </w:t>
            </w:r>
            <w:r w:rsidRPr="00DC338B">
              <w:rPr>
                <w:i/>
                <w:iCs/>
                <w:sz w:val="20"/>
                <w:lang w:val="es-ES_tradnl"/>
              </w:rPr>
              <w:br/>
              <w:t>Resolución UIT-R 1.</w:t>
            </w:r>
          </w:p>
        </w:tc>
      </w:tr>
    </w:tbl>
    <w:p w:rsidR="007029C1" w:rsidRPr="00DC338B" w:rsidRDefault="007029C1" w:rsidP="007029C1">
      <w:pPr>
        <w:spacing w:before="0"/>
        <w:jc w:val="center"/>
        <w:rPr>
          <w:sz w:val="22"/>
          <w:lang w:val="es-ES_tradnl"/>
        </w:rPr>
      </w:pPr>
    </w:p>
    <w:p w:rsidR="007029C1" w:rsidRPr="00DC338B" w:rsidRDefault="007029C1" w:rsidP="007029C1">
      <w:pPr>
        <w:spacing w:before="60"/>
        <w:jc w:val="right"/>
        <w:rPr>
          <w:i/>
          <w:iCs/>
          <w:sz w:val="20"/>
          <w:lang w:val="es-ES_tradnl"/>
        </w:rPr>
      </w:pPr>
      <w:r w:rsidRPr="00DC338B">
        <w:rPr>
          <w:i/>
          <w:iCs/>
          <w:sz w:val="20"/>
          <w:lang w:val="es-ES_tradnl"/>
        </w:rPr>
        <w:t>Publicación electrónica</w:t>
      </w:r>
    </w:p>
    <w:p w:rsidR="007029C1" w:rsidRPr="00DC338B" w:rsidRDefault="007029C1" w:rsidP="007029C1">
      <w:pPr>
        <w:spacing w:before="0" w:after="40"/>
        <w:jc w:val="right"/>
        <w:rPr>
          <w:sz w:val="20"/>
          <w:lang w:val="es-ES_tradnl"/>
        </w:rPr>
      </w:pPr>
      <w:r w:rsidRPr="00DC338B">
        <w:rPr>
          <w:sz w:val="20"/>
          <w:lang w:val="es-ES_tradnl"/>
        </w:rPr>
        <w:t>Ginebra, 2015</w:t>
      </w:r>
    </w:p>
    <w:p w:rsidR="007029C1" w:rsidRPr="00DC338B" w:rsidRDefault="007029C1" w:rsidP="007029C1">
      <w:pPr>
        <w:spacing w:before="0"/>
        <w:jc w:val="center"/>
        <w:rPr>
          <w:sz w:val="22"/>
          <w:lang w:val="es-ES_tradnl"/>
        </w:rPr>
      </w:pPr>
    </w:p>
    <w:p w:rsidR="007029C1" w:rsidRPr="00DC338B" w:rsidRDefault="007029C1" w:rsidP="007029C1">
      <w:pPr>
        <w:spacing w:before="0"/>
        <w:jc w:val="center"/>
        <w:rPr>
          <w:sz w:val="20"/>
          <w:lang w:val="es-ES_tradnl"/>
        </w:rPr>
      </w:pPr>
      <w:r w:rsidRPr="00DC338B">
        <w:rPr>
          <w:sz w:val="20"/>
          <w:lang w:val="es-ES_tradnl"/>
        </w:rPr>
        <w:sym w:font="Symbol" w:char="F0E3"/>
      </w:r>
      <w:r w:rsidRPr="00DC338B">
        <w:rPr>
          <w:sz w:val="20"/>
          <w:lang w:val="es-ES_tradnl"/>
        </w:rPr>
        <w:t xml:space="preserve"> UIT </w:t>
      </w:r>
      <w:bookmarkStart w:id="1" w:name="iiannee"/>
      <w:bookmarkEnd w:id="1"/>
      <w:r w:rsidRPr="00DC338B">
        <w:rPr>
          <w:sz w:val="20"/>
          <w:lang w:val="es-ES_tradnl"/>
        </w:rPr>
        <w:t>2015</w:t>
      </w:r>
    </w:p>
    <w:p w:rsidR="007029C1" w:rsidRPr="00DC338B" w:rsidRDefault="007029C1" w:rsidP="007029C1">
      <w:pPr>
        <w:spacing w:before="80"/>
        <w:rPr>
          <w:sz w:val="18"/>
          <w:szCs w:val="18"/>
          <w:lang w:val="es-ES_tradnl"/>
        </w:rPr>
      </w:pPr>
      <w:r w:rsidRPr="00DC338B">
        <w:rPr>
          <w:sz w:val="18"/>
          <w:szCs w:val="18"/>
          <w:lang w:val="es-ES_tradnl"/>
        </w:rPr>
        <w:t>Reservados todos los derechos. Ninguna parte de esta publicación puede reproducirse por ningún procedimiento sin previa autorización escrita por parte de la UIT.</w:t>
      </w:r>
    </w:p>
    <w:p w:rsidR="007029C1" w:rsidRPr="00DC338B" w:rsidRDefault="007029C1" w:rsidP="007029C1">
      <w:pPr>
        <w:spacing w:before="160"/>
        <w:rPr>
          <w:i/>
          <w:sz w:val="20"/>
          <w:highlight w:val="yellow"/>
          <w:lang w:val="es-ES_tradnl"/>
        </w:rPr>
        <w:sectPr w:rsidR="007029C1" w:rsidRPr="00DC338B"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7029C1" w:rsidRPr="00DC338B" w:rsidRDefault="007029C1" w:rsidP="000D6F6E">
      <w:pPr>
        <w:pStyle w:val="RecNo"/>
        <w:spacing w:before="0"/>
        <w:rPr>
          <w:lang w:val="es-ES_tradnl"/>
        </w:rPr>
      </w:pPr>
      <w:bookmarkStart w:id="2" w:name="irecnoe"/>
      <w:bookmarkEnd w:id="2"/>
      <w:r w:rsidRPr="00DC338B">
        <w:rPr>
          <w:lang w:val="es-ES_tradnl"/>
        </w:rPr>
        <w:lastRenderedPageBreak/>
        <w:t xml:space="preserve">RECOMENDACIÓN  </w:t>
      </w:r>
      <w:r w:rsidRPr="00DC338B">
        <w:rPr>
          <w:rStyle w:val="href"/>
          <w:lang w:val="es-ES_tradnl"/>
        </w:rPr>
        <w:t>UIT-R  BT.205</w:t>
      </w:r>
      <w:r w:rsidR="000D6F6E" w:rsidRPr="00DC338B">
        <w:rPr>
          <w:rStyle w:val="href"/>
          <w:lang w:val="es-ES_tradnl"/>
        </w:rPr>
        <w:t>0</w:t>
      </w:r>
      <w:r w:rsidRPr="00DC338B">
        <w:rPr>
          <w:rStyle w:val="href"/>
          <w:lang w:val="es-ES_tradnl"/>
        </w:rPr>
        <w:t>-0</w:t>
      </w:r>
    </w:p>
    <w:p w:rsidR="007029C1" w:rsidRPr="00DC338B" w:rsidRDefault="000D6F6E" w:rsidP="00EA5EAA">
      <w:pPr>
        <w:pStyle w:val="Rectitle"/>
        <w:rPr>
          <w:lang w:val="es-ES_tradnl" w:eastAsia="zh-CN"/>
        </w:rPr>
      </w:pPr>
      <w:r w:rsidRPr="00DC338B">
        <w:rPr>
          <w:lang w:val="es-ES_tradnl"/>
        </w:rPr>
        <w:t xml:space="preserve">Utilización de sistemas de imagen de </w:t>
      </w:r>
      <w:r w:rsidR="00EA5EAA">
        <w:rPr>
          <w:lang w:val="es-ES_tradnl"/>
        </w:rPr>
        <w:t>televisión</w:t>
      </w:r>
      <w:r w:rsidRPr="00DC338B">
        <w:rPr>
          <w:lang w:val="es-ES_tradnl"/>
        </w:rPr>
        <w:t xml:space="preserve"> de ultra alta definición</w:t>
      </w:r>
      <w:r w:rsidR="00DC338B" w:rsidRPr="00DC338B">
        <w:rPr>
          <w:rStyle w:val="FootnoteReference"/>
          <w:lang w:val="es-ES_tradnl"/>
        </w:rPr>
        <w:footnoteReference w:id="1"/>
      </w:r>
      <w:r w:rsidRPr="00DC338B">
        <w:rPr>
          <w:lang w:val="es-ES_tradnl"/>
        </w:rPr>
        <w:br/>
      </w:r>
      <w:r w:rsidRPr="00DC338B">
        <w:rPr>
          <w:lang w:val="es-ES_tradnl"/>
        </w:rPr>
        <w:t>para la captación, edición, finalización y archivo</w:t>
      </w:r>
      <w:r w:rsidRPr="00DC338B">
        <w:rPr>
          <w:lang w:val="es-ES_tradnl"/>
        </w:rPr>
        <w:br/>
      </w:r>
      <w:r w:rsidRPr="00DC338B">
        <w:rPr>
          <w:lang w:val="es-ES_tradnl"/>
        </w:rPr>
        <w:t>de programas</w:t>
      </w:r>
      <w:r w:rsidRPr="00DC338B">
        <w:rPr>
          <w:lang w:val="es-ES_tradnl"/>
        </w:rPr>
        <w:t xml:space="preserve"> </w:t>
      </w:r>
      <w:r w:rsidRPr="00DC338B">
        <w:rPr>
          <w:lang w:val="es-ES_tradnl"/>
        </w:rPr>
        <w:t xml:space="preserve">de </w:t>
      </w:r>
      <w:r w:rsidRPr="00DC338B">
        <w:rPr>
          <w:lang w:val="es-ES_tradnl" w:eastAsia="ko-KR"/>
        </w:rPr>
        <w:t>TVAD</w:t>
      </w:r>
      <w:r w:rsidRPr="00DC338B">
        <w:rPr>
          <w:lang w:val="es-ES_tradnl"/>
        </w:rPr>
        <w:t xml:space="preserve"> de alta calidad</w:t>
      </w:r>
    </w:p>
    <w:p w:rsidR="00DC338B" w:rsidRPr="00DC338B" w:rsidRDefault="00DC338B" w:rsidP="00DC338B">
      <w:pPr>
        <w:pStyle w:val="Blanc"/>
        <w:rPr>
          <w:lang w:val="es-ES_tradnl"/>
        </w:rPr>
      </w:pPr>
    </w:p>
    <w:p w:rsidR="007029C1" w:rsidRPr="00DC338B" w:rsidRDefault="007029C1" w:rsidP="00DC338B">
      <w:pPr>
        <w:pStyle w:val="Recdate"/>
        <w:rPr>
          <w:lang w:val="es-ES_tradnl" w:eastAsia="zh-CN"/>
        </w:rPr>
      </w:pPr>
      <w:r w:rsidRPr="00DC338B">
        <w:rPr>
          <w:lang w:val="es-ES_tradnl" w:eastAsia="zh-CN"/>
        </w:rPr>
        <w:t>(2014)</w:t>
      </w:r>
    </w:p>
    <w:p w:rsidR="00DC338B" w:rsidRPr="00DC338B" w:rsidRDefault="00DC338B" w:rsidP="00DC338B">
      <w:pPr>
        <w:pStyle w:val="Blanc"/>
        <w:rPr>
          <w:lang w:val="es-ES_tradnl"/>
        </w:rPr>
      </w:pPr>
    </w:p>
    <w:p w:rsidR="007029C1" w:rsidRPr="00DC338B" w:rsidRDefault="007029C1" w:rsidP="007029C1">
      <w:pPr>
        <w:pStyle w:val="HeadingSum"/>
      </w:pPr>
      <w:r w:rsidRPr="00DC338B">
        <w:t>Cometido</w:t>
      </w:r>
    </w:p>
    <w:p w:rsidR="000D6F6E" w:rsidRPr="00DC338B" w:rsidRDefault="000D6F6E" w:rsidP="00EA5EAA">
      <w:pPr>
        <w:pStyle w:val="Summary"/>
        <w:spacing w:after="0"/>
      </w:pPr>
      <w:r w:rsidRPr="00DC338B">
        <w:t xml:space="preserve">Esta Recomendación trata de la utilización de los sistemas de imagen de </w:t>
      </w:r>
      <w:r w:rsidR="00EA5EAA" w:rsidRPr="00DC338B">
        <w:t xml:space="preserve">Televisión </w:t>
      </w:r>
      <w:r w:rsidRPr="00DC338B">
        <w:t xml:space="preserve">de </w:t>
      </w:r>
      <w:r w:rsidR="00EA5EAA" w:rsidRPr="00DC338B">
        <w:t xml:space="preserve">Ultra Alta Definición </w:t>
      </w:r>
      <w:r w:rsidRPr="00DC338B">
        <w:t>(TVUAD) descritos en la Recomendación UIT-R BT.2020 para la captación, postproducción y archivo de programas con la mayor calidad para el suministro de TVAD.</w:t>
      </w:r>
    </w:p>
    <w:p w:rsidR="007029C1" w:rsidRDefault="000D6F6E" w:rsidP="00B23D7D">
      <w:pPr>
        <w:pStyle w:val="Summary"/>
      </w:pPr>
      <w:r w:rsidRPr="00DC338B">
        <w:t>Los sistemas de imagen de TVUAD especificado</w:t>
      </w:r>
      <w:r w:rsidR="00EA5EAA">
        <w:t>s en la Recomendación UIT-R BT.</w:t>
      </w:r>
      <w:r w:rsidRPr="00DC338B">
        <w:t>20</w:t>
      </w:r>
      <w:r w:rsidR="00B23D7D">
        <w:t>20</w:t>
      </w:r>
      <w:r w:rsidRPr="00DC338B">
        <w:t xml:space="preserve"> ofrecen una imagen de excelente calidad que proporciona más margen, a través de la cadena de producción y postproducción, para su difusión en TVAD (Recomendación UIT-R BT.709). Además, si los programas de televisión así producidos se archivan con su calidad de imagen de TVUAD original, hay más oportunidades de que puedan utilizarse para su difusión por futuros medios que puedan acomodar una calidad de imagen muy elevada.</w:t>
      </w:r>
    </w:p>
    <w:p w:rsidR="000D6F6E" w:rsidRPr="00DC338B" w:rsidRDefault="000D6F6E" w:rsidP="000D6F6E">
      <w:pPr>
        <w:spacing w:before="320"/>
        <w:rPr>
          <w:lang w:val="es-ES_tradnl"/>
        </w:rPr>
      </w:pPr>
      <w:bookmarkStart w:id="3" w:name="_GoBack"/>
      <w:bookmarkEnd w:id="3"/>
      <w:r w:rsidRPr="00DC338B">
        <w:rPr>
          <w:lang w:val="es-ES_tradnl"/>
        </w:rPr>
        <w:t>La Asamblea de Radiocomunicaciones de la UIT,</w:t>
      </w:r>
    </w:p>
    <w:p w:rsidR="000D6F6E" w:rsidRDefault="000D6F6E" w:rsidP="000D6F6E">
      <w:pPr>
        <w:pStyle w:val="Call"/>
        <w:rPr>
          <w:lang w:val="es-ES_tradnl"/>
        </w:rPr>
      </w:pPr>
      <w:r w:rsidRPr="00DC338B">
        <w:rPr>
          <w:lang w:val="es-ES_tradnl"/>
        </w:rPr>
        <w:t>considerando</w:t>
      </w:r>
    </w:p>
    <w:p w:rsidR="000D6F6E" w:rsidRPr="00DC338B" w:rsidRDefault="000D6F6E" w:rsidP="00DC338B">
      <w:pPr>
        <w:rPr>
          <w:lang w:val="es-ES_tradnl"/>
        </w:rPr>
      </w:pPr>
      <w:r w:rsidRPr="00DC338B">
        <w:rPr>
          <w:i/>
          <w:iCs/>
          <w:lang w:val="es-ES_tradnl"/>
        </w:rPr>
        <w:t>a)</w:t>
      </w:r>
      <w:r w:rsidRPr="00DC338B">
        <w:rPr>
          <w:lang w:val="es-ES_tradnl"/>
        </w:rPr>
        <w:tab/>
        <w:t>que la Recomendación UIT-R BT.2020, Valores de los parámetros de los sistemas de TVUAD para la producción y el intercambio internacional de programas, especifica los valores de los parámetros para los sistemas de imagen de televisión de ultra alta definición (TVUAD) que proporcionan una mejora de la resolución espacial y temporal de la imagen, así como de la gama de color de imagen y del número de bits/muestra de la señal de vídeo digital</w:t>
      </w:r>
      <w:r w:rsidR="00DC338B" w:rsidRPr="00DC338B">
        <w:rPr>
          <w:rStyle w:val="FootnoteReference"/>
          <w:lang w:val="es-ES_tradnl"/>
        </w:rPr>
        <w:footnoteReference w:id="2"/>
      </w:r>
      <w:r w:rsidRPr="00DC338B">
        <w:rPr>
          <w:lang w:val="es-ES_tradnl"/>
        </w:rPr>
        <w:t>;</w:t>
      </w:r>
    </w:p>
    <w:p w:rsidR="000D6F6E" w:rsidRPr="00DC338B" w:rsidRDefault="000D6F6E" w:rsidP="000D6F6E">
      <w:pPr>
        <w:rPr>
          <w:lang w:val="es-ES_tradnl" w:eastAsia="ko-KR"/>
        </w:rPr>
      </w:pPr>
      <w:r w:rsidRPr="00DC338B">
        <w:rPr>
          <w:i/>
          <w:iCs/>
          <w:lang w:val="es-ES_tradnl"/>
        </w:rPr>
        <w:lastRenderedPageBreak/>
        <w:t>b)</w:t>
      </w:r>
      <w:r w:rsidRPr="00DC338B">
        <w:rPr>
          <w:lang w:val="es-ES_tradnl"/>
        </w:rPr>
        <w:tab/>
        <w:t>que la Recomendación UIT-R BT</w:t>
      </w:r>
      <w:r w:rsidR="00DC338B">
        <w:rPr>
          <w:lang w:val="es-ES_tradnl"/>
        </w:rPr>
        <w:t>.</w:t>
      </w:r>
      <w:r w:rsidRPr="00DC338B">
        <w:rPr>
          <w:lang w:val="es-ES_tradnl"/>
        </w:rPr>
        <w:t>1662, Cadena de referencia general y gestión del margen de tratamiento ulterior de la esencia del programa en aplicaciones de imágenes digitales en pantalla grande, destaca la forma en que resulta afectada la calidad de las imágenes de TV al pasar a través de una larga cadena de códecs de vídeo por un complejo tratamiento de postproducción;</w:t>
      </w:r>
    </w:p>
    <w:p w:rsidR="000D6F6E" w:rsidRPr="00DC338B" w:rsidRDefault="000D6F6E" w:rsidP="000D6F6E">
      <w:pPr>
        <w:rPr>
          <w:lang w:val="es-ES_tradnl" w:eastAsia="ko-KR"/>
        </w:rPr>
      </w:pPr>
      <w:r w:rsidRPr="00DC338B">
        <w:rPr>
          <w:i/>
          <w:iCs/>
          <w:lang w:val="es-ES_tradnl" w:eastAsia="ko-KR"/>
        </w:rPr>
        <w:t>c)</w:t>
      </w:r>
      <w:r w:rsidRPr="00DC338B">
        <w:rPr>
          <w:lang w:val="es-ES_tradnl" w:eastAsia="ko-KR"/>
        </w:rPr>
        <w:tab/>
        <w:t>que la Recomendación UIT-R BR.785, Difusión de programas en un entorno de medios de difusión múltiples, recomienda que en la producción de programas la calidad corresponda a las posibilidades de calidad del medio de difusión más exigente previsto para el programa;</w:t>
      </w:r>
    </w:p>
    <w:p w:rsidR="000D6F6E" w:rsidRPr="00DC338B" w:rsidRDefault="000D6F6E" w:rsidP="000D6F6E">
      <w:pPr>
        <w:rPr>
          <w:lang w:val="es-ES_tradnl" w:eastAsia="ko-KR"/>
        </w:rPr>
      </w:pPr>
      <w:r w:rsidRPr="00DC338B">
        <w:rPr>
          <w:i/>
          <w:iCs/>
          <w:lang w:val="es-ES_tradnl" w:eastAsia="ko-KR"/>
        </w:rPr>
        <w:t>d</w:t>
      </w:r>
      <w:r w:rsidRPr="00DC338B">
        <w:rPr>
          <w:i/>
          <w:iCs/>
          <w:lang w:val="es-ES_tradnl"/>
        </w:rPr>
        <w:t>)</w:t>
      </w:r>
      <w:r w:rsidRPr="00DC338B">
        <w:rPr>
          <w:lang w:val="es-ES_tradnl"/>
        </w:rPr>
        <w:tab/>
        <w:t>que algunos organismos de radiodifusión y algunos productores de programas de TV de todo el mundo han iniciado la implementación de nuevos procesos de producción y postproducción de programas de TVAD que requieren una compleja postproducción de la imagen basándose en la utilización de cámaras de TVUAD para la captura de imagen, porque el material de programa así obtenido ofrece el adecuado margen en la calidad de imagen para su postprocesamiento, si es necesario, mediante los exigentes procesos de manipulación, y las imágenes del programa principal cuando están adaptadas a la difusión de TVAD pueden lograr una calidad de imagen superior a la de la TVAD original;</w:t>
      </w:r>
    </w:p>
    <w:p w:rsidR="000D6F6E" w:rsidRPr="00DC338B" w:rsidRDefault="000D6F6E" w:rsidP="000D6F6E">
      <w:pPr>
        <w:rPr>
          <w:lang w:val="es-ES_tradnl" w:eastAsia="ko-KR"/>
        </w:rPr>
      </w:pPr>
      <w:r w:rsidRPr="00DC338B">
        <w:rPr>
          <w:i/>
          <w:iCs/>
          <w:lang w:val="es-ES_tradnl" w:eastAsia="ko-KR"/>
        </w:rPr>
        <w:t>e)</w:t>
      </w:r>
      <w:r w:rsidRPr="00DC338B">
        <w:rPr>
          <w:lang w:val="es-ES_tradnl" w:eastAsia="ko-KR"/>
        </w:rPr>
        <w:tab/>
        <w:t xml:space="preserve">que aunque el archivo de programas de TVUAD exige una mayor capacidad de almacenamiento que el archivo de programas de TVAD, ello se compensa considerando que los programas de TV producidos como describe el </w:t>
      </w:r>
      <w:r w:rsidRPr="00DC338B">
        <w:rPr>
          <w:i/>
          <w:iCs/>
          <w:lang w:val="es-ES_tradnl" w:eastAsia="ko-KR"/>
        </w:rPr>
        <w:t>considerando</w:t>
      </w:r>
      <w:r w:rsidRPr="00DC338B">
        <w:rPr>
          <w:lang w:val="es-ES_tradnl" w:eastAsia="ko-KR"/>
        </w:rPr>
        <w:t xml:space="preserve"> </w:t>
      </w:r>
      <w:r w:rsidRPr="00DC338B">
        <w:rPr>
          <w:i/>
          <w:iCs/>
          <w:lang w:val="es-ES_tradnl" w:eastAsia="ko-KR"/>
        </w:rPr>
        <w:t>d)</w:t>
      </w:r>
      <w:r w:rsidRPr="00DC338B">
        <w:rPr>
          <w:lang w:val="es-ES_tradnl" w:eastAsia="ko-KR"/>
        </w:rPr>
        <w:t xml:space="preserve"> si se archivan en sus sistemas de imagen de TVUAD originales tiene más posibilidades de difusión en los futuros medios diseñados para proporcionar una calidad de imagen superior a la de la TVAD;</w:t>
      </w:r>
    </w:p>
    <w:p w:rsidR="000D6F6E" w:rsidRPr="00DC338B" w:rsidRDefault="000D6F6E" w:rsidP="000D6F6E">
      <w:pPr>
        <w:rPr>
          <w:lang w:val="es-ES_tradnl" w:eastAsia="ko-KR"/>
        </w:rPr>
      </w:pPr>
      <w:r w:rsidRPr="00DC338B">
        <w:rPr>
          <w:i/>
          <w:iCs/>
          <w:lang w:val="es-ES_tradnl" w:eastAsia="ko-KR"/>
        </w:rPr>
        <w:t>f)</w:t>
      </w:r>
      <w:r w:rsidRPr="00DC338B">
        <w:rPr>
          <w:lang w:val="es-ES_tradnl" w:eastAsia="ko-KR"/>
        </w:rPr>
        <w:tab/>
        <w:t>que ya se dispone de varias herramientas de producción y postproducción que permiten la producción y postproducción de programas de TV en TVUAD,</w:t>
      </w:r>
    </w:p>
    <w:p w:rsidR="000D6F6E" w:rsidRPr="00DC338B" w:rsidRDefault="000D6F6E" w:rsidP="000D6F6E">
      <w:pPr>
        <w:pStyle w:val="Call"/>
        <w:rPr>
          <w:iCs/>
          <w:lang w:val="es-ES_tradnl" w:eastAsia="ko-KR"/>
        </w:rPr>
      </w:pPr>
      <w:r w:rsidRPr="00DC338B">
        <w:rPr>
          <w:lang w:val="es-ES_tradnl" w:eastAsia="ko-KR"/>
        </w:rPr>
        <w:t>recomienda</w:t>
      </w:r>
    </w:p>
    <w:p w:rsidR="000D6F6E" w:rsidRPr="00DC338B" w:rsidRDefault="000D6F6E" w:rsidP="00DC338B">
      <w:pPr>
        <w:rPr>
          <w:lang w:val="es-ES_tradnl" w:eastAsia="ko-KR"/>
        </w:rPr>
      </w:pPr>
      <w:r w:rsidRPr="00DC338B">
        <w:rPr>
          <w:b/>
          <w:bCs/>
          <w:lang w:val="es-ES_tradnl" w:eastAsia="ko-KR"/>
        </w:rPr>
        <w:t>1</w:t>
      </w:r>
      <w:r w:rsidRPr="00DC338B">
        <w:rPr>
          <w:lang w:val="es-ES_tradnl" w:eastAsia="ko-KR"/>
        </w:rPr>
        <w:tab/>
        <w:t>que los organismos de radiodifusión y los productores de programas hagan uso, siempre que sea posible, de los sistemas de imagen de TVUAD descritos en la Recomendación UIT-R BT.2020 para capturar los programas de TVAD que requieren un complejo proceso de postproducción de imagen, obteniendo así un programa principal de TVUAD al que puede aplicarse una conversión descendente</w:t>
      </w:r>
      <w:r w:rsidR="00DC338B" w:rsidRPr="00DC338B">
        <w:rPr>
          <w:rStyle w:val="FootnoteReference"/>
          <w:lang w:val="es-ES_tradnl" w:eastAsia="ko-KR"/>
        </w:rPr>
        <w:footnoteReference w:id="3"/>
      </w:r>
      <w:r w:rsidRPr="00DC338B">
        <w:rPr>
          <w:lang w:val="es-ES_tradnl" w:eastAsia="ko-KR"/>
        </w:rPr>
        <w:t xml:space="preserve"> para convertirlo en TVAD;</w:t>
      </w:r>
    </w:p>
    <w:p w:rsidR="000D6F6E" w:rsidRPr="00DC338B" w:rsidRDefault="000D6F6E" w:rsidP="000D6F6E">
      <w:pPr>
        <w:rPr>
          <w:lang w:val="es-ES_tradnl" w:eastAsia="ko-KR"/>
        </w:rPr>
      </w:pPr>
      <w:r w:rsidRPr="00DC338B">
        <w:rPr>
          <w:b/>
          <w:bCs/>
          <w:lang w:val="es-ES_tradnl" w:eastAsia="ko-KR"/>
        </w:rPr>
        <w:t>2</w:t>
      </w:r>
      <w:r w:rsidRPr="00DC338B">
        <w:rPr>
          <w:b/>
          <w:bCs/>
          <w:lang w:val="es-ES_tradnl" w:eastAsia="ko-KR"/>
        </w:rPr>
        <w:tab/>
      </w:r>
      <w:r w:rsidRPr="00DC338B">
        <w:rPr>
          <w:lang w:val="es-ES_tradnl" w:eastAsia="ko-KR"/>
        </w:rPr>
        <w:t>que los organismos de radiodifusión y los productores de programas, siempre que sea posible intercambien programas en forma de TVUAD de calidad completa cuando se espera que en el extremo receptor se precise un postprocesamiento de imagen de TVAD más complejo;</w:t>
      </w:r>
    </w:p>
    <w:p w:rsidR="000D6F6E" w:rsidRPr="00DC338B" w:rsidRDefault="000D6F6E" w:rsidP="000D6F6E">
      <w:pPr>
        <w:rPr>
          <w:lang w:val="es-ES_tradnl" w:eastAsia="ko-KR"/>
        </w:rPr>
      </w:pPr>
      <w:r w:rsidRPr="00DC338B">
        <w:rPr>
          <w:b/>
          <w:bCs/>
          <w:lang w:val="es-ES_tradnl" w:eastAsia="ko-KR"/>
        </w:rPr>
        <w:t>3</w:t>
      </w:r>
      <w:r w:rsidRPr="00DC338B">
        <w:rPr>
          <w:lang w:val="es-ES_tradnl" w:eastAsia="ko-KR"/>
        </w:rPr>
        <w:tab/>
        <w:t>que los programas así producidos en TVUAD para TVAD se archiven siempre que sea posible en su forma original permitiendo así su futura difusión en cualquier medio de difusión de TV que pueda requerir una calidad de imagen hasta la de TVUAD;</w:t>
      </w:r>
    </w:p>
    <w:p w:rsidR="000D6F6E" w:rsidRPr="00DC338B" w:rsidRDefault="000D6F6E" w:rsidP="000D6F6E">
      <w:pPr>
        <w:rPr>
          <w:lang w:val="es-ES_tradnl" w:eastAsia="ko-KR"/>
        </w:rPr>
      </w:pPr>
      <w:r w:rsidRPr="00DC338B">
        <w:rPr>
          <w:b/>
          <w:bCs/>
          <w:lang w:val="es-ES_tradnl" w:eastAsia="ko-KR"/>
        </w:rPr>
        <w:t>4</w:t>
      </w:r>
      <w:r w:rsidRPr="00DC338B">
        <w:rPr>
          <w:lang w:val="es-ES_tradnl" w:eastAsia="ko-KR"/>
        </w:rPr>
        <w:tab/>
        <w:t>que se seleccionen los valores de los parámetros de los sistemas de TVUAD dependiendo del margen de calidad necesario y de la tecnología disponible;</w:t>
      </w:r>
    </w:p>
    <w:p w:rsidR="000D6F6E" w:rsidRPr="00DC338B" w:rsidRDefault="000D6F6E" w:rsidP="000D6F6E">
      <w:pPr>
        <w:rPr>
          <w:lang w:val="es-ES_tradnl" w:eastAsia="ko-KR"/>
        </w:rPr>
      </w:pPr>
      <w:r w:rsidRPr="00DC338B">
        <w:rPr>
          <w:b/>
          <w:bCs/>
          <w:lang w:val="es-ES_tradnl" w:eastAsia="ko-KR"/>
        </w:rPr>
        <w:t>5</w:t>
      </w:r>
      <w:r w:rsidRPr="00DC338B">
        <w:rPr>
          <w:lang w:val="es-ES_tradnl" w:eastAsia="ko-KR"/>
        </w:rPr>
        <w:tab/>
        <w:t>que se tomen todas las precauciones necesarias en el proceso de conversión descendente a fin de maximizar la calidad final;</w:t>
      </w:r>
    </w:p>
    <w:p w:rsidR="000D6F6E" w:rsidRPr="00DC338B" w:rsidRDefault="000D6F6E" w:rsidP="000D6F6E">
      <w:pPr>
        <w:rPr>
          <w:lang w:val="es-ES_tradnl" w:eastAsia="ko-KR"/>
        </w:rPr>
      </w:pPr>
      <w:r w:rsidRPr="00DC338B">
        <w:rPr>
          <w:b/>
          <w:bCs/>
          <w:lang w:val="es-ES_tradnl" w:eastAsia="ko-KR"/>
        </w:rPr>
        <w:t>6</w:t>
      </w:r>
      <w:r w:rsidRPr="00DC338B">
        <w:rPr>
          <w:lang w:val="es-ES_tradnl" w:eastAsia="ko-KR"/>
        </w:rPr>
        <w:tab/>
        <w:t xml:space="preserve">que las siguientes </w:t>
      </w:r>
      <w:r w:rsidR="00DC338B" w:rsidRPr="00DC338B">
        <w:rPr>
          <w:lang w:val="es-ES_tradnl" w:eastAsia="ko-KR"/>
        </w:rPr>
        <w:t xml:space="preserve">Notas </w:t>
      </w:r>
      <w:r w:rsidRPr="00DC338B">
        <w:rPr>
          <w:lang w:val="es-ES_tradnl" w:eastAsia="ko-KR"/>
        </w:rPr>
        <w:t>se consideren parte de la Recomendación.</w:t>
      </w:r>
    </w:p>
    <w:p w:rsidR="000D6F6E" w:rsidRPr="00DC338B" w:rsidRDefault="000D6F6E" w:rsidP="004A373B">
      <w:pPr>
        <w:keepNext/>
        <w:keepLines/>
        <w:rPr>
          <w:lang w:val="es-ES_tradnl" w:eastAsia="ko-KR"/>
        </w:rPr>
      </w:pPr>
      <w:r w:rsidRPr="00DC338B">
        <w:rPr>
          <w:lang w:val="es-ES_tradnl" w:eastAsia="ko-KR"/>
        </w:rPr>
        <w:lastRenderedPageBreak/>
        <w:t>NOTA 1 – Para facilitar el intercambio de programas en los formatos indicados en la Recomendación UIT</w:t>
      </w:r>
      <w:r w:rsidRPr="00DC338B">
        <w:rPr>
          <w:lang w:val="es-ES_tradnl" w:eastAsia="ko-KR"/>
        </w:rPr>
        <w:noBreakHyphen/>
        <w:t>R BT.2020 se necesitan más estudios con objeto de desarrollar las interfaces necesarias/</w:t>
      </w:r>
      <w:r w:rsidR="00DC338B" w:rsidRPr="00DC338B">
        <w:rPr>
          <w:lang w:val="es-ES_tradnl" w:eastAsia="ko-KR"/>
        </w:rPr>
        <w:t xml:space="preserve"> </w:t>
      </w:r>
      <w:r w:rsidRPr="00DC338B">
        <w:rPr>
          <w:lang w:val="es-ES_tradnl" w:eastAsia="ko-KR"/>
        </w:rPr>
        <w:t>apropiadas.</w:t>
      </w:r>
    </w:p>
    <w:p w:rsidR="000D6F6E" w:rsidRPr="00DC338B" w:rsidRDefault="000D6F6E" w:rsidP="004A373B">
      <w:pPr>
        <w:rPr>
          <w:lang w:val="es-ES_tradnl" w:eastAsia="ko-KR"/>
        </w:rPr>
      </w:pPr>
      <w:r w:rsidRPr="00DC338B">
        <w:rPr>
          <w:lang w:val="es-ES_tradnl" w:eastAsia="ko-KR"/>
        </w:rPr>
        <w:t>NOTA 2 – Los fabricantes de equipos profesionales de producción de programas de TV deben continuar desarrollando un inventario completo de herramientas de producción y postproducción para uso en la difusión a fin de responder a los requisitos identificados por los organismos de radiodifusión y los productores de programas de televisión, como se desprende de esta Recomendación (véase también el Ruego UIT</w:t>
      </w:r>
      <w:r w:rsidRPr="00DC338B">
        <w:rPr>
          <w:lang w:val="es-ES_tradnl" w:eastAsia="ko-KR"/>
        </w:rPr>
        <w:noBreakHyphen/>
        <w:t>R [Doc. 6/165]).</w:t>
      </w:r>
    </w:p>
    <w:p w:rsidR="007029C1" w:rsidRPr="00DC338B" w:rsidRDefault="007029C1" w:rsidP="001C2E0A">
      <w:pPr>
        <w:spacing w:before="0"/>
        <w:rPr>
          <w:lang w:val="es-ES_tradnl"/>
        </w:rPr>
      </w:pPr>
    </w:p>
    <w:p w:rsidR="000D6F6E" w:rsidRPr="00DC338B" w:rsidRDefault="000D6F6E" w:rsidP="001C2E0A">
      <w:pPr>
        <w:spacing w:before="0"/>
        <w:rPr>
          <w:lang w:val="es-ES_tradnl"/>
        </w:rPr>
      </w:pPr>
    </w:p>
    <w:p w:rsidR="007029C1" w:rsidRPr="00DC338B" w:rsidRDefault="007029C1">
      <w:pPr>
        <w:jc w:val="center"/>
        <w:rPr>
          <w:lang w:val="es-ES_tradnl"/>
        </w:rPr>
      </w:pPr>
      <w:r w:rsidRPr="00DC338B">
        <w:rPr>
          <w:lang w:val="es-ES_tradnl"/>
        </w:rPr>
        <w:t>______________</w:t>
      </w:r>
    </w:p>
    <w:p w:rsidR="007029C1" w:rsidRPr="00DC338B" w:rsidRDefault="007029C1" w:rsidP="007029C1">
      <w:pPr>
        <w:rPr>
          <w:lang w:val="es-ES_tradnl"/>
        </w:rPr>
      </w:pPr>
    </w:p>
    <w:sectPr w:rsidR="007029C1" w:rsidRPr="00DC338B" w:rsidSect="007029C1">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9C1" w:rsidRDefault="007029C1">
      <w:r>
        <w:separator/>
      </w:r>
    </w:p>
  </w:endnote>
  <w:endnote w:type="continuationSeparator" w:id="0">
    <w:p w:rsidR="007029C1" w:rsidRDefault="0070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9C1" w:rsidRDefault="007029C1">
      <w:r>
        <w:separator/>
      </w:r>
    </w:p>
  </w:footnote>
  <w:footnote w:type="continuationSeparator" w:id="0">
    <w:p w:rsidR="007029C1" w:rsidRDefault="007029C1">
      <w:r>
        <w:continuationSeparator/>
      </w:r>
    </w:p>
  </w:footnote>
  <w:footnote w:id="1">
    <w:p w:rsidR="00DC338B" w:rsidRPr="00DC338B" w:rsidRDefault="00DC338B" w:rsidP="00DC338B">
      <w:pPr>
        <w:pStyle w:val="FootnoteText"/>
        <w:rPr>
          <w:szCs w:val="22"/>
          <w:lang w:val="es-ES_tradnl" w:eastAsia="zh-CN"/>
        </w:rPr>
      </w:pPr>
      <w:r>
        <w:rPr>
          <w:rStyle w:val="FootnoteReference"/>
        </w:rPr>
        <w:footnoteRef/>
      </w:r>
      <w:r w:rsidRPr="00DC338B">
        <w:rPr>
          <w:lang w:val="es-ES_tradnl"/>
        </w:rPr>
        <w:t xml:space="preserve"> </w:t>
      </w:r>
      <w:r>
        <w:rPr>
          <w:lang w:val="es-ES_tradnl"/>
        </w:rPr>
        <w:tab/>
      </w:r>
      <w:r w:rsidRPr="00DC338B">
        <w:rPr>
          <w:szCs w:val="22"/>
          <w:lang w:val="es-ES_tradnl"/>
        </w:rPr>
        <w:t>La Recomendación UIT-R BT.2020 define sistemas de TVUAD</w:t>
      </w:r>
      <w:r w:rsidRPr="00DC338B">
        <w:rPr>
          <w:szCs w:val="22"/>
          <w:lang w:val="es-ES_tradnl" w:eastAsia="ja-JP"/>
        </w:rPr>
        <w:t xml:space="preserve"> de </w:t>
      </w:r>
      <w:r w:rsidRPr="00DC338B">
        <w:rPr>
          <w:szCs w:val="22"/>
          <w:lang w:val="es-ES_tradnl" w:eastAsia="zh-CN"/>
        </w:rPr>
        <w:t>3 840 × 2 160 y</w:t>
      </w:r>
      <w:r w:rsidRPr="00DC338B">
        <w:rPr>
          <w:szCs w:val="22"/>
          <w:lang w:val="es-ES_tradnl" w:eastAsia="ja-JP"/>
        </w:rPr>
        <w:t xml:space="preserve"> </w:t>
      </w:r>
      <w:r w:rsidRPr="00DC338B">
        <w:rPr>
          <w:szCs w:val="22"/>
          <w:lang w:val="es-ES_tradnl" w:eastAsia="zh-CN"/>
        </w:rPr>
        <w:t>7 680 × 4 320 que servirán principalmente para la entrega de programas de televisión en los hogares, donde ofrecerán a los espectadores una mayor sensación de «presencia» y de realidad gracias a pantallas muy grandes.</w:t>
      </w:r>
    </w:p>
    <w:p w:rsidR="00DC338B" w:rsidRPr="00DC338B" w:rsidRDefault="00DC338B">
      <w:pPr>
        <w:pStyle w:val="FootnoteText"/>
        <w:rPr>
          <w:szCs w:val="22"/>
          <w:lang w:val="es-ES_tradnl"/>
        </w:rPr>
      </w:pPr>
      <w:r w:rsidRPr="00DC338B">
        <w:rPr>
          <w:szCs w:val="22"/>
          <w:lang w:val="es-ES_tradnl"/>
        </w:rPr>
        <w:tab/>
      </w:r>
      <w:r w:rsidRPr="00DC338B">
        <w:rPr>
          <w:szCs w:val="22"/>
          <w:lang w:val="es-ES_tradnl"/>
        </w:rPr>
        <w:t>La presentación en tabletas con resolución muy alta también será atractiva para los usuarios.</w:t>
      </w:r>
    </w:p>
    <w:p w:rsidR="00DC338B" w:rsidRPr="00DC338B" w:rsidRDefault="00DC338B">
      <w:pPr>
        <w:pStyle w:val="FootnoteText"/>
        <w:rPr>
          <w:szCs w:val="22"/>
          <w:lang w:val="es-ES_tradnl"/>
        </w:rPr>
      </w:pPr>
      <w:r w:rsidRPr="00DC338B">
        <w:rPr>
          <w:szCs w:val="22"/>
          <w:lang w:val="es-ES_tradnl"/>
        </w:rPr>
        <w:tab/>
      </w:r>
      <w:r w:rsidRPr="00DC338B">
        <w:rPr>
          <w:szCs w:val="22"/>
          <w:lang w:val="es-ES_tradnl"/>
        </w:rPr>
        <w:t>El sistema 7 680 × 4 320 ofrecerá una experiencia visual mejor que el sistema 3 840 × 2 160 en muy diversos entornos de visualización.</w:t>
      </w:r>
    </w:p>
    <w:p w:rsidR="00DC338B" w:rsidRPr="00DC338B" w:rsidRDefault="00DC338B">
      <w:pPr>
        <w:pStyle w:val="FootnoteText"/>
        <w:rPr>
          <w:szCs w:val="22"/>
          <w:lang w:val="es-ES_tradnl"/>
        </w:rPr>
      </w:pPr>
      <w:r w:rsidRPr="00DC338B">
        <w:rPr>
          <w:szCs w:val="22"/>
          <w:lang w:val="es-ES_tradnl"/>
        </w:rPr>
        <w:tab/>
      </w:r>
      <w:r w:rsidRPr="00DC338B">
        <w:rPr>
          <w:szCs w:val="22"/>
          <w:lang w:val="es-ES_tradnl"/>
        </w:rPr>
        <w:t>Véase también el Informe UIT-R BT.2246.</w:t>
      </w:r>
    </w:p>
  </w:footnote>
  <w:footnote w:id="2">
    <w:p w:rsidR="00DC338B" w:rsidRDefault="00DC338B">
      <w:pPr>
        <w:pStyle w:val="FootnoteText"/>
        <w:rPr>
          <w:szCs w:val="22"/>
          <w:lang w:val="es-ES_tradnl"/>
        </w:rPr>
      </w:pPr>
      <w:r>
        <w:rPr>
          <w:rStyle w:val="FootnoteReference"/>
        </w:rPr>
        <w:footnoteRef/>
      </w:r>
      <w:r>
        <w:t xml:space="preserve"> </w:t>
      </w:r>
      <w:r>
        <w:rPr>
          <w:lang w:val="es-ES_tradnl"/>
        </w:rPr>
        <w:tab/>
      </w:r>
      <w:r w:rsidRPr="00DC338B">
        <w:rPr>
          <w:szCs w:val="22"/>
          <w:lang w:val="es-ES_tradnl"/>
        </w:rPr>
        <w:t>La TV</w:t>
      </w:r>
      <w:r w:rsidR="00EA5EAA">
        <w:rPr>
          <w:szCs w:val="22"/>
          <w:lang w:val="es-ES_tradnl"/>
        </w:rPr>
        <w:t>U</w:t>
      </w:r>
      <w:r w:rsidRPr="00DC338B">
        <w:rPr>
          <w:szCs w:val="22"/>
          <w:lang w:val="es-ES_tradnl"/>
        </w:rPr>
        <w:t>AD proporciona:</w:t>
      </w:r>
    </w:p>
    <w:p w:rsidR="00DC338B" w:rsidRPr="00DC338B" w:rsidRDefault="00DC338B" w:rsidP="00DC338B">
      <w:pPr>
        <w:pStyle w:val="FootnoteText"/>
        <w:rPr>
          <w:szCs w:val="22"/>
          <w:lang w:val="es-ES_tradnl"/>
        </w:rPr>
      </w:pPr>
      <w:r w:rsidRPr="00DC338B">
        <w:rPr>
          <w:szCs w:val="22"/>
          <w:lang w:val="es-ES_tradnl"/>
        </w:rPr>
        <w:t>–</w:t>
      </w:r>
      <w:r w:rsidRPr="00DC338B">
        <w:rPr>
          <w:szCs w:val="22"/>
          <w:lang w:val="es-ES_tradnl"/>
        </w:rPr>
        <w:tab/>
        <w:t xml:space="preserve">mayor resolución espacial que la TVAD en sentido vertical y horizontal, permitiendo así un recorte de imagen y un </w:t>
      </w:r>
      <w:proofErr w:type="spellStart"/>
      <w:r w:rsidRPr="00DC338B">
        <w:rPr>
          <w:szCs w:val="22"/>
          <w:lang w:val="es-ES_tradnl"/>
        </w:rPr>
        <w:t>reencuadre</w:t>
      </w:r>
      <w:proofErr w:type="spellEnd"/>
      <w:r w:rsidRPr="00DC338B">
        <w:rPr>
          <w:szCs w:val="22"/>
          <w:lang w:val="es-ES_tradnl"/>
        </w:rPr>
        <w:t xml:space="preserve"> hasta la resolución de la TVAD;</w:t>
      </w:r>
    </w:p>
    <w:p w:rsidR="00DC338B" w:rsidRPr="00DC338B" w:rsidRDefault="00DC338B" w:rsidP="00DC338B">
      <w:pPr>
        <w:pStyle w:val="FootnoteText"/>
        <w:rPr>
          <w:szCs w:val="22"/>
          <w:lang w:val="es-ES_tradnl"/>
        </w:rPr>
      </w:pPr>
      <w:r w:rsidRPr="00DC338B">
        <w:rPr>
          <w:szCs w:val="22"/>
          <w:lang w:val="es-ES_tradnl"/>
        </w:rPr>
        <w:t>–</w:t>
      </w:r>
      <w:r w:rsidRPr="00DC338B">
        <w:rPr>
          <w:szCs w:val="22"/>
          <w:lang w:val="es-ES_tradnl"/>
        </w:rPr>
        <w:tab/>
        <w:t>una velocidad de imagen de hasta 120 Hz, permitiendo así la conversión de la velocidad de imagen y la cámara lenta hasta velocidades de imagen de TVAD de 50 Hz y 60 Hz;</w:t>
      </w:r>
    </w:p>
    <w:p w:rsidR="00DC338B" w:rsidRPr="00DC338B" w:rsidRDefault="00DC338B" w:rsidP="00DC338B">
      <w:pPr>
        <w:pStyle w:val="FootnoteText"/>
        <w:rPr>
          <w:szCs w:val="22"/>
          <w:lang w:val="es-ES_tradnl"/>
        </w:rPr>
      </w:pPr>
      <w:r w:rsidRPr="00DC338B">
        <w:rPr>
          <w:szCs w:val="22"/>
          <w:lang w:val="es-ES_tradnl"/>
        </w:rPr>
        <w:t>–</w:t>
      </w:r>
      <w:r w:rsidRPr="00DC338B">
        <w:rPr>
          <w:szCs w:val="22"/>
          <w:lang w:val="es-ES_tradnl"/>
        </w:rPr>
        <w:tab/>
        <w:t>con su sistema de color definido para colores primarios RGB puros, una mayor gama de colores que la TVAD;</w:t>
      </w:r>
    </w:p>
    <w:p w:rsidR="00DC338B" w:rsidRPr="00DC338B" w:rsidRDefault="00DC338B" w:rsidP="00EA5EAA">
      <w:pPr>
        <w:pStyle w:val="FootnoteText"/>
        <w:rPr>
          <w:lang w:val="es-ES_tradnl"/>
        </w:rPr>
      </w:pPr>
      <w:r w:rsidRPr="00DC338B">
        <w:rPr>
          <w:szCs w:val="22"/>
          <w:lang w:val="es-ES_tradnl"/>
        </w:rPr>
        <w:t>–</w:t>
      </w:r>
      <w:r w:rsidRPr="00DC338B">
        <w:rPr>
          <w:szCs w:val="22"/>
          <w:lang w:val="es-ES_tradnl"/>
        </w:rPr>
        <w:tab/>
        <w:t xml:space="preserve">una cuantificación de la señal de imagen de 10 </w:t>
      </w:r>
      <w:proofErr w:type="spellStart"/>
      <w:r w:rsidRPr="00DC338B">
        <w:rPr>
          <w:szCs w:val="22"/>
          <w:lang w:val="es-ES_tradnl"/>
        </w:rPr>
        <w:t>ó</w:t>
      </w:r>
      <w:proofErr w:type="spellEnd"/>
      <w:r w:rsidRPr="00DC338B">
        <w:rPr>
          <w:szCs w:val="22"/>
          <w:lang w:val="es-ES_tradnl"/>
        </w:rPr>
        <w:t xml:space="preserve"> 12 bits/muestra, en comparación con los 8 </w:t>
      </w:r>
      <w:proofErr w:type="spellStart"/>
      <w:r w:rsidRPr="00DC338B">
        <w:rPr>
          <w:szCs w:val="22"/>
          <w:lang w:val="es-ES_tradnl"/>
        </w:rPr>
        <w:t>ó</w:t>
      </w:r>
      <w:proofErr w:type="spellEnd"/>
      <w:r w:rsidRPr="00DC338B">
        <w:rPr>
          <w:szCs w:val="22"/>
          <w:lang w:val="es-ES_tradnl"/>
        </w:rPr>
        <w:t xml:space="preserve"> 10 bits/muestra actualmente especificados para la TVAD en la Recomendación UIT-R BT.709, permitiendo así una amplia manipulación de la imagen mediante la modificación de la pendiente y el codo de la curva de transferencia de la señal de imagen.</w:t>
      </w:r>
    </w:p>
  </w:footnote>
  <w:footnote w:id="3">
    <w:p w:rsidR="00DC338B" w:rsidRPr="00DC338B" w:rsidRDefault="00DC338B">
      <w:pPr>
        <w:pStyle w:val="FootnoteText"/>
        <w:rPr>
          <w:lang w:val="es-ES_tradnl"/>
        </w:rPr>
      </w:pPr>
      <w:r>
        <w:rPr>
          <w:rStyle w:val="FootnoteReference"/>
        </w:rPr>
        <w:footnoteRef/>
      </w:r>
      <w:r w:rsidRPr="00DC338B">
        <w:rPr>
          <w:lang w:val="es-ES_tradnl"/>
        </w:rPr>
        <w:t xml:space="preserve"> </w:t>
      </w:r>
      <w:r>
        <w:rPr>
          <w:lang w:val="es-ES_tradnl"/>
        </w:rPr>
        <w:tab/>
      </w:r>
      <w:r w:rsidRPr="00DC338B">
        <w:rPr>
          <w:szCs w:val="22"/>
          <w:lang w:val="es-ES_tradnl"/>
        </w:rPr>
        <w:t>«Conversión descendente» hace referencia a la conversión de parámetros del sistema de mayor calidad a parámetros del sistema de inferior calidad.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C1" w:rsidRDefault="007029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C1" w:rsidRDefault="007029C1" w:rsidP="009E1F8B">
    <w:pPr>
      <w:pStyle w:val="Header"/>
      <w:ind w:right="360" w:firstLine="360"/>
    </w:pPr>
    <w:r>
      <w:rPr>
        <w:noProof/>
        <w:lang w:val="en-US" w:eastAsia="zh-CN"/>
      </w:rPr>
      <w:drawing>
        <wp:anchor distT="0" distB="0" distL="114300" distR="114300" simplePos="0" relativeHeight="251660288" behindDoc="0" locked="0" layoutInCell="1" allowOverlap="1" wp14:anchorId="2DDD88D0" wp14:editId="26D658B9">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8167DCA" wp14:editId="61E453E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C1" w:rsidRDefault="007029C1"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516502">
      <w:rPr>
        <w:rStyle w:val="PageNumber"/>
        <w:b/>
        <w:bCs/>
        <w:noProof/>
      </w:rPr>
      <w:t>ii</w:t>
    </w:r>
    <w:r>
      <w:rPr>
        <w:rStyle w:val="PageNumber"/>
        <w:b/>
        <w:bCs/>
      </w:rPr>
      <w:fldChar w:fldCharType="end"/>
    </w:r>
    <w:r>
      <w:tab/>
    </w:r>
    <w:fldSimple w:instr=" DOCPROPERTY &quot;Header&quot; \* MERGEFORMAT ">
      <w:r w:rsidR="00EA5EAA" w:rsidRPr="00EA5EA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16502">
      <w:rPr>
        <w:b/>
        <w:bCs/>
        <w:noProof/>
      </w:rPr>
      <w:t>UIT-R  BT.2050-0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C1" w:rsidRDefault="007029C1">
    <w:pPr>
      <w:pStyle w:val="Header"/>
    </w:pPr>
    <w:r>
      <w:tab/>
    </w:r>
    <w:fldSimple w:instr=" DOCPROPERTY &quot;Header&quot; \* MERGEFORMAT ">
      <w:r w:rsidR="00EA5EAA" w:rsidRPr="00EA5EA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A5EAA">
      <w:rPr>
        <w:b/>
        <w:bCs/>
        <w:noProof/>
      </w:rPr>
      <w:t>UIT-R  BT.2050-0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16502">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A5EAA" w:rsidRPr="00EA5EA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16502">
      <w:rPr>
        <w:b/>
        <w:bCs/>
        <w:noProof/>
      </w:rPr>
      <w:t>UIT-R  BT.2050-0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EA5EAA" w:rsidRPr="00EA5EA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16502">
      <w:rPr>
        <w:b/>
        <w:bCs/>
        <w:noProof/>
      </w:rPr>
      <w:t>UIT-R  BT.2050-0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16502">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9C1"/>
    <w:rsid w:val="000D6F6E"/>
    <w:rsid w:val="000E2DB3"/>
    <w:rsid w:val="00157170"/>
    <w:rsid w:val="001B5E19"/>
    <w:rsid w:val="001C2E0A"/>
    <w:rsid w:val="00217EBF"/>
    <w:rsid w:val="00242AEE"/>
    <w:rsid w:val="002D76C4"/>
    <w:rsid w:val="002F3A42"/>
    <w:rsid w:val="00326205"/>
    <w:rsid w:val="004A373B"/>
    <w:rsid w:val="004F4A83"/>
    <w:rsid w:val="00516502"/>
    <w:rsid w:val="0052529D"/>
    <w:rsid w:val="005A7A76"/>
    <w:rsid w:val="005E2EFD"/>
    <w:rsid w:val="00607D68"/>
    <w:rsid w:val="00612B2B"/>
    <w:rsid w:val="006F2AA4"/>
    <w:rsid w:val="007029C1"/>
    <w:rsid w:val="007468DA"/>
    <w:rsid w:val="00747339"/>
    <w:rsid w:val="009E00A8"/>
    <w:rsid w:val="00A6617B"/>
    <w:rsid w:val="00AB0DC8"/>
    <w:rsid w:val="00B23D7D"/>
    <w:rsid w:val="00B44E24"/>
    <w:rsid w:val="00DC338B"/>
    <w:rsid w:val="00DF4176"/>
    <w:rsid w:val="00EA5EAA"/>
    <w:rsid w:val="00FE30AE"/>
    <w:rsid w:val="00FF3729"/>
    <w:rsid w:val="00FF73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222E5B-72E8-4D40-88C6-1DC3C982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3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C338B"/>
    <w:pPr>
      <w:keepNext/>
      <w:keepLines/>
      <w:spacing w:before="480"/>
      <w:ind w:left="794" w:hanging="794"/>
      <w:outlineLvl w:val="0"/>
    </w:pPr>
    <w:rPr>
      <w:b/>
    </w:rPr>
  </w:style>
  <w:style w:type="paragraph" w:styleId="Heading2">
    <w:name w:val="heading 2"/>
    <w:basedOn w:val="Heading1"/>
    <w:next w:val="Normal"/>
    <w:qFormat/>
    <w:rsid w:val="00DC338B"/>
    <w:pPr>
      <w:spacing w:before="320"/>
      <w:outlineLvl w:val="1"/>
    </w:pPr>
  </w:style>
  <w:style w:type="paragraph" w:styleId="Heading3">
    <w:name w:val="heading 3"/>
    <w:basedOn w:val="Heading1"/>
    <w:next w:val="Normal"/>
    <w:qFormat/>
    <w:rsid w:val="00DC338B"/>
    <w:pPr>
      <w:spacing w:before="200"/>
      <w:outlineLvl w:val="2"/>
    </w:pPr>
  </w:style>
  <w:style w:type="paragraph" w:styleId="Heading4">
    <w:name w:val="heading 4"/>
    <w:basedOn w:val="Heading3"/>
    <w:next w:val="Normal"/>
    <w:qFormat/>
    <w:rsid w:val="00DC338B"/>
    <w:pPr>
      <w:tabs>
        <w:tab w:val="clear" w:pos="794"/>
        <w:tab w:val="left" w:pos="992"/>
      </w:tabs>
      <w:ind w:left="992" w:hanging="992"/>
      <w:outlineLvl w:val="3"/>
    </w:pPr>
  </w:style>
  <w:style w:type="paragraph" w:styleId="Heading5">
    <w:name w:val="heading 5"/>
    <w:basedOn w:val="Heading4"/>
    <w:next w:val="Normal"/>
    <w:qFormat/>
    <w:rsid w:val="00DC338B"/>
    <w:pPr>
      <w:outlineLvl w:val="4"/>
    </w:pPr>
  </w:style>
  <w:style w:type="paragraph" w:styleId="Heading6">
    <w:name w:val="heading 6"/>
    <w:basedOn w:val="Heading4"/>
    <w:next w:val="Normal"/>
    <w:qFormat/>
    <w:rsid w:val="00DC338B"/>
    <w:pPr>
      <w:tabs>
        <w:tab w:val="clear" w:pos="992"/>
        <w:tab w:val="clear" w:pos="1191"/>
      </w:tabs>
      <w:ind w:left="1588" w:hanging="1588"/>
      <w:outlineLvl w:val="5"/>
    </w:pPr>
  </w:style>
  <w:style w:type="paragraph" w:styleId="Heading7">
    <w:name w:val="heading 7"/>
    <w:basedOn w:val="Heading6"/>
    <w:next w:val="Normal"/>
    <w:qFormat/>
    <w:rsid w:val="00DC338B"/>
    <w:pPr>
      <w:outlineLvl w:val="6"/>
    </w:pPr>
  </w:style>
  <w:style w:type="paragraph" w:styleId="Heading8">
    <w:name w:val="heading 8"/>
    <w:basedOn w:val="Heading6"/>
    <w:next w:val="Normal"/>
    <w:qFormat/>
    <w:rsid w:val="00DC338B"/>
    <w:pPr>
      <w:outlineLvl w:val="7"/>
    </w:pPr>
  </w:style>
  <w:style w:type="paragraph" w:styleId="Heading9">
    <w:name w:val="heading 9"/>
    <w:basedOn w:val="Heading6"/>
    <w:next w:val="Normal"/>
    <w:qFormat/>
    <w:rsid w:val="00DC338B"/>
    <w:pPr>
      <w:jc w:val="left"/>
      <w:outlineLvl w:val="8"/>
    </w:pPr>
  </w:style>
  <w:style w:type="character" w:default="1" w:styleId="DefaultParagraphFont">
    <w:name w:val="Default Paragraph Font"/>
    <w:uiPriority w:val="1"/>
    <w:semiHidden/>
    <w:unhideWhenUsed/>
    <w:rsid w:val="00DC338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C338B"/>
  </w:style>
  <w:style w:type="paragraph" w:styleId="Header">
    <w:name w:val="header"/>
    <w:basedOn w:val="Normal"/>
    <w:rsid w:val="00DC33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C33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C338B"/>
  </w:style>
  <w:style w:type="paragraph" w:customStyle="1" w:styleId="Headingb">
    <w:name w:val="Heading_b"/>
    <w:basedOn w:val="Heading3"/>
    <w:next w:val="Normal"/>
    <w:rsid w:val="00DC338B"/>
    <w:pPr>
      <w:spacing w:before="160"/>
      <w:ind w:left="0" w:firstLine="0"/>
      <w:outlineLvl w:val="9"/>
    </w:pPr>
  </w:style>
  <w:style w:type="paragraph" w:customStyle="1" w:styleId="Headingi">
    <w:name w:val="Heading_i"/>
    <w:basedOn w:val="Heading3"/>
    <w:next w:val="Normal"/>
    <w:rsid w:val="00DC338B"/>
    <w:pPr>
      <w:spacing w:before="160"/>
      <w:ind w:left="0" w:firstLine="0"/>
    </w:pPr>
    <w:rPr>
      <w:b w:val="0"/>
      <w:i/>
    </w:rPr>
  </w:style>
  <w:style w:type="character" w:customStyle="1" w:styleId="href">
    <w:name w:val="href"/>
    <w:basedOn w:val="DefaultParagraphFont"/>
    <w:rsid w:val="00DC338B"/>
  </w:style>
  <w:style w:type="paragraph" w:customStyle="1" w:styleId="enumlev1">
    <w:name w:val="enumlev1"/>
    <w:basedOn w:val="Normal"/>
    <w:rsid w:val="00DC338B"/>
    <w:pPr>
      <w:spacing w:before="80"/>
      <w:ind w:left="794" w:hanging="794"/>
    </w:pPr>
  </w:style>
  <w:style w:type="paragraph" w:customStyle="1" w:styleId="enumlev2">
    <w:name w:val="enumlev2"/>
    <w:basedOn w:val="enumlev1"/>
    <w:rsid w:val="00DC338B"/>
    <w:pPr>
      <w:ind w:left="1191" w:hanging="397"/>
    </w:pPr>
  </w:style>
  <w:style w:type="paragraph" w:customStyle="1" w:styleId="enumlev3">
    <w:name w:val="enumlev3"/>
    <w:basedOn w:val="enumlev2"/>
    <w:rsid w:val="00DC338B"/>
    <w:pPr>
      <w:ind w:left="1588"/>
    </w:pPr>
  </w:style>
  <w:style w:type="paragraph" w:customStyle="1" w:styleId="Normalaftertitle">
    <w:name w:val="Normal_after_title"/>
    <w:basedOn w:val="Normal"/>
    <w:next w:val="Normal"/>
    <w:rsid w:val="00DC338B"/>
    <w:pPr>
      <w:spacing w:before="320"/>
    </w:pPr>
  </w:style>
  <w:style w:type="paragraph" w:customStyle="1" w:styleId="Note">
    <w:name w:val="Note"/>
    <w:basedOn w:val="Normal"/>
    <w:rsid w:val="00DC33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C338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C338B"/>
    <w:pPr>
      <w:spacing w:before="240"/>
    </w:pPr>
    <w:rPr>
      <w:sz w:val="22"/>
      <w:lang w:val="es-ES_tradnl"/>
    </w:rPr>
  </w:style>
  <w:style w:type="paragraph" w:customStyle="1" w:styleId="Recref">
    <w:name w:val="Rec_ref"/>
    <w:basedOn w:val="Normal"/>
    <w:next w:val="Recdate"/>
    <w:rsid w:val="00DC338B"/>
    <w:pPr>
      <w:jc w:val="center"/>
    </w:pPr>
  </w:style>
  <w:style w:type="paragraph" w:customStyle="1" w:styleId="Recdate">
    <w:name w:val="Rec_date"/>
    <w:basedOn w:val="Recref"/>
    <w:next w:val="Normalaftertitle"/>
    <w:rsid w:val="00DC338B"/>
    <w:pPr>
      <w:jc w:val="right"/>
    </w:pPr>
  </w:style>
  <w:style w:type="paragraph" w:customStyle="1" w:styleId="AnnexNoTitle">
    <w:name w:val="Annex_NoTitle"/>
    <w:basedOn w:val="Normal"/>
    <w:next w:val="Normalaftertitle"/>
    <w:rsid w:val="00DC338B"/>
    <w:pPr>
      <w:keepNext/>
      <w:keepLines/>
      <w:spacing w:before="480" w:after="80"/>
      <w:jc w:val="center"/>
    </w:pPr>
    <w:rPr>
      <w:b/>
      <w:sz w:val="28"/>
    </w:rPr>
  </w:style>
  <w:style w:type="paragraph" w:customStyle="1" w:styleId="AppendixNoTitle">
    <w:name w:val="Appendix_NoTitle"/>
    <w:basedOn w:val="AnnexNoTitle"/>
    <w:next w:val="Normal"/>
    <w:rsid w:val="00DC338B"/>
  </w:style>
  <w:style w:type="paragraph" w:customStyle="1" w:styleId="Tablefin">
    <w:name w:val="Table_fin"/>
    <w:basedOn w:val="Normal"/>
    <w:next w:val="Normal"/>
    <w:rsid w:val="00DC338B"/>
    <w:pPr>
      <w:spacing w:before="0"/>
    </w:pPr>
    <w:rPr>
      <w:sz w:val="20"/>
      <w:lang w:val="en-GB"/>
    </w:rPr>
  </w:style>
  <w:style w:type="paragraph" w:customStyle="1" w:styleId="Tablehead">
    <w:name w:val="Table_head"/>
    <w:basedOn w:val="Normal"/>
    <w:next w:val="Normal"/>
    <w:rsid w:val="00DC33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C33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C338B"/>
    <w:pPr>
      <w:keepNext/>
      <w:spacing w:before="360" w:after="120"/>
      <w:jc w:val="center"/>
    </w:pPr>
  </w:style>
  <w:style w:type="paragraph" w:customStyle="1" w:styleId="Tabletext">
    <w:name w:val="Table_text"/>
    <w:basedOn w:val="Normal"/>
    <w:rsid w:val="00DC33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C338B"/>
    <w:pPr>
      <w:tabs>
        <w:tab w:val="clear" w:pos="1191"/>
        <w:tab w:val="clear" w:pos="1588"/>
        <w:tab w:val="clear" w:pos="1985"/>
        <w:tab w:val="center" w:pos="4820"/>
        <w:tab w:val="right" w:pos="9639"/>
      </w:tabs>
    </w:pPr>
  </w:style>
  <w:style w:type="paragraph" w:customStyle="1" w:styleId="Equationlegend">
    <w:name w:val="Equation_legend"/>
    <w:basedOn w:val="NormalIndent"/>
    <w:rsid w:val="00DC33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C338B"/>
    <w:pPr>
      <w:ind w:left="794"/>
    </w:pPr>
  </w:style>
  <w:style w:type="paragraph" w:customStyle="1" w:styleId="Figurelegend">
    <w:name w:val="Figure_legend"/>
    <w:basedOn w:val="Normal"/>
    <w:rsid w:val="00DC33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C338B"/>
    <w:pPr>
      <w:keepNext/>
      <w:keepLines/>
      <w:spacing w:before="480" w:after="80"/>
      <w:jc w:val="center"/>
    </w:pPr>
    <w:rPr>
      <w:caps/>
      <w:sz w:val="18"/>
    </w:rPr>
  </w:style>
  <w:style w:type="paragraph" w:customStyle="1" w:styleId="tocpart">
    <w:name w:val="tocpart"/>
    <w:basedOn w:val="Normal"/>
    <w:rsid w:val="00DC33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C338B"/>
    <w:pPr>
      <w:keepNext/>
      <w:keepLines/>
      <w:spacing w:before="480"/>
      <w:jc w:val="center"/>
    </w:pPr>
    <w:rPr>
      <w:sz w:val="28"/>
    </w:rPr>
  </w:style>
  <w:style w:type="paragraph" w:customStyle="1" w:styleId="Arttitle">
    <w:name w:val="Art_title"/>
    <w:basedOn w:val="Normal"/>
    <w:next w:val="Normalaftertitle"/>
    <w:rsid w:val="00DC338B"/>
    <w:pPr>
      <w:keepNext/>
      <w:keepLines/>
      <w:spacing w:before="240"/>
      <w:jc w:val="center"/>
    </w:pPr>
    <w:rPr>
      <w:b/>
      <w:sz w:val="28"/>
    </w:rPr>
  </w:style>
  <w:style w:type="paragraph" w:customStyle="1" w:styleId="Blanc">
    <w:name w:val="Blanc"/>
    <w:basedOn w:val="Normal"/>
    <w:next w:val="Tabletext"/>
    <w:rsid w:val="00DC33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C33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C338B"/>
    <w:pPr>
      <w:keepNext/>
      <w:keepLines/>
      <w:spacing w:before="160"/>
      <w:ind w:left="794"/>
    </w:pPr>
    <w:rPr>
      <w:i/>
    </w:rPr>
  </w:style>
  <w:style w:type="paragraph" w:customStyle="1" w:styleId="ChapNo">
    <w:name w:val="Chap_No"/>
    <w:basedOn w:val="ArtNo"/>
    <w:next w:val="Chaptitle"/>
    <w:rsid w:val="00DC338B"/>
    <w:rPr>
      <w:b/>
    </w:rPr>
  </w:style>
  <w:style w:type="paragraph" w:customStyle="1" w:styleId="Chaptitle">
    <w:name w:val="Chap_title"/>
    <w:basedOn w:val="Arttitle"/>
    <w:next w:val="Normalaftertitle"/>
    <w:rsid w:val="00DC338B"/>
  </w:style>
  <w:style w:type="character" w:styleId="FootnoteReference">
    <w:name w:val="footnote reference"/>
    <w:basedOn w:val="DefaultParagraphFont"/>
    <w:rsid w:val="00DC338B"/>
    <w:rPr>
      <w:position w:val="6"/>
      <w:sz w:val="18"/>
    </w:rPr>
  </w:style>
  <w:style w:type="paragraph" w:styleId="FootnoteText">
    <w:name w:val="footnote text"/>
    <w:basedOn w:val="Normal"/>
    <w:link w:val="FootnoteTextChar"/>
    <w:rsid w:val="00DC338B"/>
    <w:pPr>
      <w:keepLines/>
      <w:tabs>
        <w:tab w:val="left" w:pos="255"/>
      </w:tabs>
      <w:ind w:left="255" w:hanging="255"/>
    </w:pPr>
    <w:rPr>
      <w:sz w:val="22"/>
    </w:rPr>
  </w:style>
  <w:style w:type="paragraph" w:styleId="Index1">
    <w:name w:val="index 1"/>
    <w:basedOn w:val="Normal"/>
    <w:next w:val="Normal"/>
    <w:semiHidden/>
    <w:rsid w:val="00DC338B"/>
  </w:style>
  <w:style w:type="paragraph" w:styleId="Index2">
    <w:name w:val="index 2"/>
    <w:basedOn w:val="Normal"/>
    <w:next w:val="Normal"/>
    <w:semiHidden/>
    <w:rsid w:val="00DC338B"/>
    <w:pPr>
      <w:ind w:left="283"/>
    </w:pPr>
  </w:style>
  <w:style w:type="paragraph" w:styleId="Index3">
    <w:name w:val="index 3"/>
    <w:basedOn w:val="Normal"/>
    <w:next w:val="Normal"/>
    <w:semiHidden/>
    <w:rsid w:val="00DC338B"/>
    <w:pPr>
      <w:ind w:left="566"/>
    </w:pPr>
  </w:style>
  <w:style w:type="paragraph" w:styleId="IndexHeading">
    <w:name w:val="index heading"/>
    <w:basedOn w:val="Normal"/>
    <w:next w:val="Index1"/>
    <w:semiHidden/>
    <w:rsid w:val="00DC338B"/>
  </w:style>
  <w:style w:type="paragraph" w:customStyle="1" w:styleId="Line">
    <w:name w:val="Line"/>
    <w:basedOn w:val="Normal"/>
    <w:next w:val="Normal"/>
    <w:rsid w:val="00DC33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C33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C338B"/>
  </w:style>
  <w:style w:type="paragraph" w:customStyle="1" w:styleId="Partref">
    <w:name w:val="Part_ref"/>
    <w:basedOn w:val="Normal"/>
    <w:next w:val="Normal"/>
    <w:rsid w:val="00DC338B"/>
    <w:pPr>
      <w:keepNext/>
      <w:keepLines/>
      <w:spacing w:after="280"/>
      <w:jc w:val="center"/>
    </w:pPr>
  </w:style>
  <w:style w:type="paragraph" w:customStyle="1" w:styleId="Parttitle">
    <w:name w:val="Part_title"/>
    <w:basedOn w:val="Normal"/>
    <w:next w:val="Normalaftertitle"/>
    <w:rsid w:val="00DC33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C338B"/>
  </w:style>
  <w:style w:type="paragraph" w:customStyle="1" w:styleId="QuestionNo">
    <w:name w:val="Question_No"/>
    <w:basedOn w:val="RecNo"/>
    <w:next w:val="Normal"/>
    <w:rsid w:val="00DC338B"/>
  </w:style>
  <w:style w:type="paragraph" w:customStyle="1" w:styleId="Questionref">
    <w:name w:val="Question_ref"/>
    <w:basedOn w:val="Recref"/>
    <w:next w:val="Questiondate"/>
    <w:rsid w:val="00DC338B"/>
  </w:style>
  <w:style w:type="paragraph" w:customStyle="1" w:styleId="Questiontitle">
    <w:name w:val="Question_title"/>
    <w:basedOn w:val="Normal"/>
    <w:next w:val="Questionref"/>
    <w:rsid w:val="00DC338B"/>
  </w:style>
  <w:style w:type="paragraph" w:customStyle="1" w:styleId="Reftext">
    <w:name w:val="Ref_text"/>
    <w:basedOn w:val="Normal"/>
    <w:rsid w:val="00DC338B"/>
    <w:pPr>
      <w:ind w:left="794" w:hanging="794"/>
    </w:pPr>
    <w:rPr>
      <w:sz w:val="22"/>
    </w:rPr>
  </w:style>
  <w:style w:type="paragraph" w:customStyle="1" w:styleId="Reftitle">
    <w:name w:val="Ref_title"/>
    <w:basedOn w:val="Normal"/>
    <w:next w:val="Reftext"/>
    <w:rsid w:val="00DC33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C338B"/>
  </w:style>
  <w:style w:type="paragraph" w:customStyle="1" w:styleId="RepNo">
    <w:name w:val="Rep_No"/>
    <w:basedOn w:val="RecNo"/>
    <w:next w:val="Reptitle"/>
    <w:rsid w:val="00DC338B"/>
  </w:style>
  <w:style w:type="paragraph" w:customStyle="1" w:styleId="Repref">
    <w:name w:val="Rep_ref"/>
    <w:basedOn w:val="Recref"/>
    <w:next w:val="Repdate"/>
    <w:rsid w:val="00DC338B"/>
  </w:style>
  <w:style w:type="paragraph" w:customStyle="1" w:styleId="Reptitle">
    <w:name w:val="Rep_title"/>
    <w:basedOn w:val="Rectitle"/>
    <w:next w:val="Repref"/>
    <w:rsid w:val="00DC338B"/>
  </w:style>
  <w:style w:type="paragraph" w:customStyle="1" w:styleId="Resdate">
    <w:name w:val="Res_date"/>
    <w:basedOn w:val="Recdate"/>
    <w:next w:val="Normalaftertitle"/>
    <w:rsid w:val="00DC338B"/>
  </w:style>
  <w:style w:type="paragraph" w:customStyle="1" w:styleId="ResNo">
    <w:name w:val="Res_No"/>
    <w:basedOn w:val="RecNo"/>
    <w:next w:val="Restitle"/>
    <w:rsid w:val="00DC338B"/>
  </w:style>
  <w:style w:type="paragraph" w:customStyle="1" w:styleId="Resref">
    <w:name w:val="Res_ref"/>
    <w:basedOn w:val="Recref"/>
    <w:next w:val="Resdate"/>
    <w:rsid w:val="00DC338B"/>
  </w:style>
  <w:style w:type="paragraph" w:customStyle="1" w:styleId="Restitle">
    <w:name w:val="Res_title"/>
    <w:basedOn w:val="Normal"/>
    <w:next w:val="Resref"/>
    <w:rsid w:val="00DC338B"/>
    <w:pPr>
      <w:spacing w:before="240"/>
      <w:jc w:val="center"/>
    </w:pPr>
    <w:rPr>
      <w:b/>
      <w:sz w:val="28"/>
    </w:rPr>
  </w:style>
  <w:style w:type="paragraph" w:customStyle="1" w:styleId="SectionNo">
    <w:name w:val="Section_No"/>
    <w:basedOn w:val="Normal"/>
    <w:next w:val="Normal"/>
    <w:rsid w:val="00DC338B"/>
  </w:style>
  <w:style w:type="paragraph" w:customStyle="1" w:styleId="Sectiontitle">
    <w:name w:val="Section_title"/>
    <w:basedOn w:val="Normal"/>
    <w:next w:val="Normalaftertitle"/>
    <w:rsid w:val="00DC33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C338B"/>
    <w:pPr>
      <w:tabs>
        <w:tab w:val="clear" w:pos="794"/>
        <w:tab w:val="clear" w:pos="1191"/>
        <w:tab w:val="clear" w:pos="1588"/>
        <w:tab w:val="clear" w:pos="1985"/>
        <w:tab w:val="right" w:pos="9611"/>
      </w:tabs>
    </w:pPr>
    <w:rPr>
      <w:i/>
    </w:rPr>
  </w:style>
  <w:style w:type="paragraph" w:styleId="TOC1">
    <w:name w:val="toc 1"/>
    <w:basedOn w:val="Normal"/>
    <w:semiHidden/>
    <w:rsid w:val="00DC33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C338B"/>
    <w:pPr>
      <w:tabs>
        <w:tab w:val="clear" w:pos="567"/>
        <w:tab w:val="left" w:pos="1276"/>
      </w:tabs>
      <w:spacing w:before="160"/>
      <w:ind w:left="1276" w:hanging="709"/>
    </w:pPr>
  </w:style>
  <w:style w:type="paragraph" w:styleId="TOC3">
    <w:name w:val="toc 3"/>
    <w:basedOn w:val="TOC2"/>
    <w:semiHidden/>
    <w:rsid w:val="00DC338B"/>
    <w:pPr>
      <w:tabs>
        <w:tab w:val="clear" w:pos="1276"/>
        <w:tab w:val="left" w:pos="2155"/>
      </w:tabs>
      <w:ind w:left="2155" w:hanging="879"/>
    </w:pPr>
  </w:style>
  <w:style w:type="paragraph" w:styleId="TOC4">
    <w:name w:val="toc 4"/>
    <w:basedOn w:val="TOC3"/>
    <w:semiHidden/>
    <w:rsid w:val="00DC338B"/>
    <w:pPr>
      <w:tabs>
        <w:tab w:val="left" w:pos="3261"/>
      </w:tabs>
      <w:spacing w:before="80"/>
      <w:ind w:left="3261" w:hanging="993"/>
    </w:pPr>
  </w:style>
  <w:style w:type="paragraph" w:styleId="TOC5">
    <w:name w:val="toc 5"/>
    <w:basedOn w:val="TOC4"/>
    <w:semiHidden/>
    <w:rsid w:val="00DC338B"/>
  </w:style>
  <w:style w:type="paragraph" w:styleId="TOC6">
    <w:name w:val="toc 6"/>
    <w:basedOn w:val="TOC4"/>
    <w:semiHidden/>
    <w:rsid w:val="00DC338B"/>
  </w:style>
  <w:style w:type="paragraph" w:styleId="TOC7">
    <w:name w:val="toc 7"/>
    <w:basedOn w:val="TOC4"/>
    <w:semiHidden/>
    <w:rsid w:val="00DC338B"/>
  </w:style>
  <w:style w:type="paragraph" w:styleId="TOC8">
    <w:name w:val="toc 8"/>
    <w:basedOn w:val="TOC4"/>
    <w:semiHidden/>
    <w:rsid w:val="00DC338B"/>
  </w:style>
  <w:style w:type="paragraph" w:customStyle="1" w:styleId="Rectitle">
    <w:name w:val="Rec_title"/>
    <w:basedOn w:val="Normal"/>
    <w:next w:val="Recref"/>
    <w:rsid w:val="00DC338B"/>
    <w:pPr>
      <w:keepNext/>
      <w:keepLines/>
      <w:spacing w:before="240"/>
      <w:jc w:val="center"/>
    </w:pPr>
    <w:rPr>
      <w:b/>
      <w:sz w:val="28"/>
    </w:rPr>
  </w:style>
  <w:style w:type="paragraph" w:customStyle="1" w:styleId="Annexref">
    <w:name w:val="Annex_ref"/>
    <w:basedOn w:val="Normal"/>
    <w:next w:val="Normalaftertitle"/>
    <w:rsid w:val="00DC338B"/>
    <w:pPr>
      <w:keepNext/>
      <w:keepLines/>
      <w:spacing w:after="280"/>
      <w:jc w:val="center"/>
    </w:pPr>
  </w:style>
  <w:style w:type="paragraph" w:customStyle="1" w:styleId="Appendixref">
    <w:name w:val="Appendix_ref"/>
    <w:basedOn w:val="Annexref"/>
    <w:next w:val="Normalaftertitle"/>
    <w:rsid w:val="00DC338B"/>
  </w:style>
  <w:style w:type="paragraph" w:customStyle="1" w:styleId="Figuretitle">
    <w:name w:val="Figure_title"/>
    <w:basedOn w:val="Normal"/>
    <w:next w:val="Figure"/>
    <w:rsid w:val="00DC338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C338B"/>
    <w:pPr>
      <w:keepNext/>
      <w:spacing w:before="0" w:after="120"/>
      <w:jc w:val="center"/>
    </w:pPr>
    <w:rPr>
      <w:b/>
    </w:rPr>
  </w:style>
  <w:style w:type="paragraph" w:customStyle="1" w:styleId="Summary">
    <w:name w:val="Summary"/>
    <w:basedOn w:val="Normal"/>
    <w:next w:val="Normalaftertitle"/>
    <w:autoRedefine/>
    <w:rsid w:val="00DC338B"/>
    <w:pPr>
      <w:spacing w:after="480"/>
    </w:pPr>
    <w:rPr>
      <w:sz w:val="22"/>
      <w:lang w:val="es-ES_tradnl"/>
    </w:rPr>
  </w:style>
  <w:style w:type="paragraph" w:customStyle="1" w:styleId="TableLegendNote">
    <w:name w:val="Table_Legend_Note"/>
    <w:basedOn w:val="Tablelegend"/>
    <w:next w:val="Tablelegend"/>
    <w:rsid w:val="00DC338B"/>
    <w:pPr>
      <w:ind w:left="-85" w:firstLine="0"/>
    </w:pPr>
    <w:rPr>
      <w:lang w:val="en-US"/>
    </w:rPr>
  </w:style>
  <w:style w:type="paragraph" w:customStyle="1" w:styleId="Figure">
    <w:name w:val="Figure"/>
    <w:basedOn w:val="FigureNo"/>
    <w:next w:val="Normal"/>
    <w:rsid w:val="00DC338B"/>
    <w:pPr>
      <w:keepNext w:val="0"/>
      <w:spacing w:before="0" w:after="240"/>
    </w:pPr>
  </w:style>
  <w:style w:type="character" w:styleId="Hyperlink">
    <w:name w:val="Hyperlink"/>
    <w:basedOn w:val="DefaultParagraphFont"/>
    <w:rsid w:val="007029C1"/>
    <w:rPr>
      <w:color w:val="0000FF"/>
      <w:u w:val="single"/>
    </w:rPr>
  </w:style>
  <w:style w:type="character" w:customStyle="1" w:styleId="FootnoteTextChar">
    <w:name w:val="Footnote Text Char"/>
    <w:link w:val="FootnoteText"/>
    <w:rsid w:val="007029C1"/>
    <w:rPr>
      <w:sz w:val="22"/>
      <w:lang w:val="fr-FR" w:eastAsia="en-US"/>
    </w:rPr>
  </w:style>
  <w:style w:type="character" w:customStyle="1" w:styleId="CallChar">
    <w:name w:val="Call Char"/>
    <w:link w:val="Call"/>
    <w:rsid w:val="000D6F6E"/>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40DC6-3629-47DF-A1B7-53D62883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TotalTime>
  <Pages>5</Pages>
  <Words>1215</Words>
  <Characters>6977</Characters>
  <Application>Microsoft Office Word</Application>
  <DocSecurity>0</DocSecurity>
  <Lines>465</Lines>
  <Paragraphs>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10</cp:revision>
  <cp:lastPrinted>2015-02-04T13:22:00Z</cp:lastPrinted>
  <dcterms:created xsi:type="dcterms:W3CDTF">2015-02-04T12:58:00Z</dcterms:created>
  <dcterms:modified xsi:type="dcterms:W3CDTF">2015-02-04T14:00:00Z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