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31B3" w:rsidRDefault="001031B3" w:rsidP="001031B3"/>
    <w:p w:rsidR="001031B3" w:rsidRDefault="001031B3" w:rsidP="001031B3"/>
    <w:p w:rsidR="001031B3" w:rsidRDefault="001031B3" w:rsidP="001031B3"/>
    <w:p w:rsidR="001031B3" w:rsidRDefault="001031B3" w:rsidP="001031B3"/>
    <w:p w:rsidR="001031B3" w:rsidRDefault="001031B3" w:rsidP="001031B3"/>
    <w:p w:rsidR="001031B3" w:rsidRDefault="001031B3" w:rsidP="001031B3"/>
    <w:p w:rsidR="001031B3" w:rsidRDefault="001031B3" w:rsidP="001031B3"/>
    <w:p w:rsidR="001031B3" w:rsidRDefault="001031B3" w:rsidP="001031B3"/>
    <w:p w:rsidR="001031B3" w:rsidRDefault="001031B3" w:rsidP="001031B3"/>
    <w:p w:rsidR="001031B3" w:rsidRDefault="001031B3" w:rsidP="001031B3"/>
    <w:p w:rsidR="001031B3" w:rsidRDefault="001031B3" w:rsidP="001031B3"/>
    <w:p w:rsidR="001031B3" w:rsidRDefault="001031B3" w:rsidP="001031B3"/>
    <w:tbl>
      <w:tblPr>
        <w:tblW w:w="10089" w:type="dxa"/>
        <w:tblLook w:val="01E0" w:firstRow="1" w:lastRow="1" w:firstColumn="1" w:lastColumn="1" w:noHBand="0" w:noVBand="0"/>
      </w:tblPr>
      <w:tblGrid>
        <w:gridCol w:w="10089"/>
      </w:tblGrid>
      <w:tr w:rsidR="001031B3" w:rsidRPr="006B55A9" w:rsidTr="00507B18">
        <w:tc>
          <w:tcPr>
            <w:tcW w:w="10089" w:type="dxa"/>
          </w:tcPr>
          <w:p w:rsidR="001031B3" w:rsidRPr="006B55A9" w:rsidRDefault="001031B3" w:rsidP="00507B18">
            <w:pPr>
              <w:spacing w:before="380" w:line="280" w:lineRule="exact"/>
              <w:jc w:val="right"/>
              <w:rPr>
                <w:rFonts w:ascii="Tahoma" w:hAnsi="Tahoma" w:cs="Tahoma"/>
                <w:b/>
                <w:bCs/>
                <w:iCs/>
                <w:color w:val="243285"/>
                <w:sz w:val="32"/>
                <w:szCs w:val="32"/>
                <w:lang w:val="en-US"/>
              </w:rPr>
            </w:pPr>
          </w:p>
          <w:p w:rsidR="001031B3" w:rsidRPr="006B55A9" w:rsidRDefault="001031B3" w:rsidP="00507B18">
            <w:pPr>
              <w:spacing w:before="380" w:line="280" w:lineRule="exact"/>
              <w:jc w:val="right"/>
              <w:rPr>
                <w:rFonts w:ascii="Tahoma" w:hAnsi="Tahoma" w:cs="Tahoma"/>
                <w:b/>
                <w:bCs/>
                <w:iCs/>
                <w:color w:val="243285"/>
                <w:sz w:val="36"/>
                <w:szCs w:val="36"/>
              </w:rPr>
            </w:pPr>
            <w:r w:rsidRPr="006B55A9">
              <w:rPr>
                <w:rFonts w:ascii="Tahoma" w:hAnsi="Tahoma" w:cs="Tahoma"/>
                <w:b/>
                <w:bCs/>
                <w:iCs/>
                <w:color w:val="243285"/>
                <w:sz w:val="36"/>
                <w:szCs w:val="36"/>
              </w:rPr>
              <w:t>Recommendation  ITU-R  BT.</w:t>
            </w:r>
            <w:r>
              <w:rPr>
                <w:rFonts w:ascii="Tahoma" w:hAnsi="Tahoma" w:cs="Tahoma"/>
                <w:b/>
                <w:bCs/>
                <w:iCs/>
                <w:color w:val="243285"/>
                <w:sz w:val="36"/>
                <w:szCs w:val="36"/>
              </w:rPr>
              <w:t>2026</w:t>
            </w:r>
          </w:p>
          <w:p w:rsidR="001031B3" w:rsidRPr="006B55A9" w:rsidRDefault="001031B3" w:rsidP="00507B18">
            <w:pPr>
              <w:spacing w:before="80" w:line="280" w:lineRule="exact"/>
              <w:jc w:val="right"/>
              <w:rPr>
                <w:rFonts w:ascii="Tahoma" w:hAnsi="Tahoma" w:cs="Tahoma"/>
                <w:b/>
                <w:bCs/>
                <w:iCs/>
                <w:color w:val="243285"/>
                <w:szCs w:val="24"/>
              </w:rPr>
            </w:pPr>
            <w:r w:rsidRPr="006B55A9">
              <w:rPr>
                <w:rFonts w:ascii="Tahoma" w:hAnsi="Tahoma" w:cs="Tahoma"/>
                <w:b/>
                <w:bCs/>
                <w:iCs/>
                <w:color w:val="243285"/>
                <w:szCs w:val="24"/>
              </w:rPr>
              <w:t>(</w:t>
            </w:r>
            <w:r>
              <w:rPr>
                <w:rFonts w:ascii="Tahoma" w:hAnsi="Tahoma" w:cs="Tahoma"/>
                <w:b/>
                <w:bCs/>
                <w:iCs/>
                <w:color w:val="243285"/>
                <w:szCs w:val="24"/>
              </w:rPr>
              <w:t>08</w:t>
            </w:r>
            <w:r w:rsidRPr="006B55A9">
              <w:rPr>
                <w:rFonts w:ascii="Tahoma" w:hAnsi="Tahoma" w:cs="Tahoma"/>
                <w:b/>
                <w:bCs/>
                <w:iCs/>
                <w:color w:val="243285"/>
                <w:szCs w:val="24"/>
              </w:rPr>
              <w:t>/</w:t>
            </w:r>
            <w:r>
              <w:rPr>
                <w:rFonts w:ascii="Tahoma" w:hAnsi="Tahoma" w:cs="Tahoma"/>
                <w:b/>
                <w:bCs/>
                <w:iCs/>
                <w:color w:val="243285"/>
                <w:szCs w:val="24"/>
              </w:rPr>
              <w:t>2012</w:t>
            </w:r>
            <w:r w:rsidRPr="006B55A9">
              <w:rPr>
                <w:rFonts w:ascii="Tahoma" w:hAnsi="Tahoma" w:cs="Tahoma"/>
                <w:b/>
                <w:bCs/>
                <w:iCs/>
                <w:color w:val="243285"/>
                <w:szCs w:val="24"/>
              </w:rPr>
              <w:t>)</w:t>
            </w:r>
          </w:p>
        </w:tc>
      </w:tr>
      <w:tr w:rsidR="001031B3" w:rsidRPr="00233F9A" w:rsidTr="00507B18">
        <w:tc>
          <w:tcPr>
            <w:tcW w:w="10089" w:type="dxa"/>
          </w:tcPr>
          <w:p w:rsidR="001031B3" w:rsidRPr="00233F9A" w:rsidRDefault="001031B3" w:rsidP="00507B18">
            <w:pPr>
              <w:spacing w:before="80" w:line="500" w:lineRule="exact"/>
              <w:jc w:val="right"/>
              <w:rPr>
                <w:rFonts w:ascii="Tahoma" w:hAnsi="Tahoma" w:cs="Tahoma"/>
                <w:b/>
                <w:bCs/>
                <w:iCs/>
                <w:color w:val="243285"/>
                <w:sz w:val="44"/>
                <w:szCs w:val="44"/>
                <w:lang w:val="en-US"/>
              </w:rPr>
            </w:pPr>
          </w:p>
          <w:p w:rsidR="001031B3" w:rsidRPr="006B55A9" w:rsidRDefault="001031B3" w:rsidP="004D4FAA">
            <w:pPr>
              <w:spacing w:before="80" w:line="500" w:lineRule="exact"/>
              <w:jc w:val="right"/>
              <w:rPr>
                <w:rFonts w:ascii="Tahoma" w:hAnsi="Tahoma" w:cs="Tahoma"/>
                <w:b/>
                <w:bCs/>
                <w:color w:val="243285"/>
                <w:sz w:val="44"/>
                <w:szCs w:val="44"/>
                <w:lang w:val="en-US"/>
              </w:rPr>
            </w:pPr>
            <w:r>
              <w:rPr>
                <w:rFonts w:ascii="Tahoma" w:hAnsi="Tahoma" w:cs="Tahoma"/>
                <w:b/>
                <w:bCs/>
                <w:color w:val="243285"/>
                <w:sz w:val="44"/>
                <w:szCs w:val="44"/>
                <w:lang w:val="en-US"/>
              </w:rPr>
              <w:t xml:space="preserve">Guidelines on the implementation of systems for in-service </w:t>
            </w:r>
            <w:r w:rsidR="00400E77">
              <w:rPr>
                <w:rFonts w:ascii="Tahoma" w:hAnsi="Tahoma" w:cs="Tahoma"/>
                <w:b/>
                <w:bCs/>
                <w:color w:val="243285"/>
                <w:sz w:val="44"/>
                <w:szCs w:val="44"/>
                <w:lang w:val="en-US"/>
              </w:rPr>
              <w:t xml:space="preserve">objective </w:t>
            </w:r>
            <w:r>
              <w:rPr>
                <w:rFonts w:ascii="Tahoma" w:hAnsi="Tahoma" w:cs="Tahoma"/>
                <w:b/>
                <w:bCs/>
                <w:color w:val="243285"/>
                <w:sz w:val="44"/>
                <w:szCs w:val="44"/>
                <w:lang w:val="en-US"/>
              </w:rPr>
              <w:t xml:space="preserve">measurement and monitoring </w:t>
            </w:r>
            <w:r w:rsidR="00400E77">
              <w:rPr>
                <w:rFonts w:ascii="Tahoma" w:hAnsi="Tahoma" w:cs="Tahoma"/>
                <w:b/>
                <w:bCs/>
                <w:color w:val="243285"/>
                <w:sz w:val="44"/>
                <w:szCs w:val="44"/>
                <w:lang w:val="en-US"/>
              </w:rPr>
              <w:br/>
            </w:r>
            <w:r>
              <w:rPr>
                <w:rFonts w:ascii="Tahoma" w:hAnsi="Tahoma" w:cs="Tahoma"/>
                <w:b/>
                <w:bCs/>
                <w:color w:val="243285"/>
                <w:sz w:val="44"/>
                <w:szCs w:val="44"/>
                <w:lang w:val="en-US"/>
              </w:rPr>
              <w:t xml:space="preserve">of perceptual transparency </w:t>
            </w:r>
            <w:r>
              <w:rPr>
                <w:rFonts w:ascii="Tahoma" w:hAnsi="Tahoma" w:cs="Tahoma"/>
                <w:b/>
                <w:bCs/>
                <w:color w:val="243285"/>
                <w:sz w:val="44"/>
                <w:szCs w:val="44"/>
                <w:lang w:val="en-US"/>
              </w:rPr>
              <w:br/>
              <w:t xml:space="preserve">for the distribution chain of </w:t>
            </w:r>
            <w:r>
              <w:rPr>
                <w:rFonts w:ascii="Tahoma" w:hAnsi="Tahoma" w:cs="Tahoma"/>
                <w:b/>
                <w:bCs/>
                <w:color w:val="243285"/>
                <w:sz w:val="44"/>
                <w:szCs w:val="44"/>
                <w:lang w:val="en-US"/>
              </w:rPr>
              <w:br/>
              <w:t xml:space="preserve">SDTV </w:t>
            </w:r>
            <w:r w:rsidR="004D4FAA">
              <w:rPr>
                <w:rFonts w:ascii="Tahoma" w:hAnsi="Tahoma" w:cs="Tahoma"/>
                <w:b/>
                <w:bCs/>
                <w:color w:val="243285"/>
                <w:sz w:val="44"/>
                <w:szCs w:val="44"/>
                <w:lang w:val="en-US"/>
              </w:rPr>
              <w:t>and</w:t>
            </w:r>
            <w:r>
              <w:rPr>
                <w:rFonts w:ascii="Tahoma" w:hAnsi="Tahoma" w:cs="Tahoma"/>
                <w:b/>
                <w:bCs/>
                <w:color w:val="243285"/>
                <w:sz w:val="44"/>
                <w:szCs w:val="44"/>
                <w:lang w:val="en-US"/>
              </w:rPr>
              <w:t xml:space="preserve"> HDTV programmes</w:t>
            </w:r>
          </w:p>
          <w:p w:rsidR="001031B3" w:rsidRPr="006B55A9" w:rsidRDefault="001031B3" w:rsidP="00507B18">
            <w:pPr>
              <w:spacing w:before="80" w:line="500" w:lineRule="exact"/>
              <w:jc w:val="right"/>
              <w:rPr>
                <w:rFonts w:ascii="Tahoma" w:hAnsi="Tahoma" w:cs="Tahoma"/>
                <w:b/>
                <w:bCs/>
                <w:iCs/>
                <w:color w:val="243285"/>
                <w:sz w:val="44"/>
                <w:szCs w:val="44"/>
                <w:lang w:val="en-US"/>
              </w:rPr>
            </w:pPr>
            <w:r w:rsidRPr="006B55A9">
              <w:rPr>
                <w:rFonts w:ascii="Tahoma" w:hAnsi="Tahoma" w:cs="Tahoma"/>
                <w:b/>
                <w:bCs/>
                <w:iCs/>
                <w:color w:val="243285"/>
                <w:sz w:val="44"/>
                <w:szCs w:val="44"/>
                <w:lang w:val="en-US"/>
              </w:rPr>
              <w:t xml:space="preserve"> </w:t>
            </w:r>
          </w:p>
        </w:tc>
      </w:tr>
      <w:tr w:rsidR="001031B3" w:rsidRPr="00233F9A" w:rsidTr="00507B18">
        <w:tc>
          <w:tcPr>
            <w:tcW w:w="10089" w:type="dxa"/>
          </w:tcPr>
          <w:p w:rsidR="001031B3" w:rsidRPr="00BA7614" w:rsidRDefault="001031B3" w:rsidP="00507B18">
            <w:pPr>
              <w:spacing w:before="80" w:line="280" w:lineRule="exact"/>
              <w:ind w:right="640"/>
              <w:rPr>
                <w:rFonts w:ascii="Tahoma" w:hAnsi="Tahoma" w:cs="Tahoma"/>
                <w:b/>
                <w:bCs/>
                <w:iCs/>
                <w:color w:val="243285"/>
                <w:sz w:val="32"/>
                <w:szCs w:val="32"/>
                <w:lang w:val="en-US"/>
              </w:rPr>
            </w:pPr>
          </w:p>
          <w:p w:rsidR="001031B3" w:rsidRPr="00BA7614" w:rsidRDefault="001031B3" w:rsidP="00507B18">
            <w:pPr>
              <w:spacing w:before="80" w:after="180" w:line="360" w:lineRule="exact"/>
              <w:ind w:right="720"/>
              <w:rPr>
                <w:rFonts w:ascii="Tahoma" w:hAnsi="Tahoma" w:cs="Tahoma"/>
                <w:b/>
                <w:bCs/>
                <w:iCs/>
                <w:color w:val="243285"/>
                <w:sz w:val="36"/>
                <w:szCs w:val="36"/>
                <w:lang w:val="en-US"/>
              </w:rPr>
            </w:pPr>
          </w:p>
          <w:p w:rsidR="001031B3" w:rsidRPr="006B55A9" w:rsidRDefault="001031B3" w:rsidP="00507B18">
            <w:pPr>
              <w:spacing w:before="80" w:after="1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BT Series</w:t>
            </w:r>
          </w:p>
          <w:p w:rsidR="001031B3" w:rsidRPr="006B55A9" w:rsidRDefault="001031B3" w:rsidP="00507B18">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Broadcasting service</w:t>
            </w:r>
          </w:p>
          <w:p w:rsidR="001031B3" w:rsidRPr="006B55A9" w:rsidRDefault="001031B3" w:rsidP="00507B18">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(television)</w:t>
            </w:r>
          </w:p>
          <w:p w:rsidR="001031B3" w:rsidRPr="006B55A9" w:rsidRDefault="001031B3" w:rsidP="00507B18">
            <w:pPr>
              <w:spacing w:before="80" w:line="360" w:lineRule="exact"/>
              <w:jc w:val="right"/>
              <w:rPr>
                <w:rFonts w:ascii="Tahoma" w:hAnsi="Tahoma" w:cs="Tahoma"/>
                <w:b/>
                <w:bCs/>
                <w:iCs/>
                <w:color w:val="243285"/>
                <w:sz w:val="32"/>
                <w:szCs w:val="32"/>
                <w:lang w:val="en-US"/>
              </w:rPr>
            </w:pPr>
          </w:p>
        </w:tc>
      </w:tr>
    </w:tbl>
    <w:p w:rsidR="001031B3" w:rsidRDefault="001031B3" w:rsidP="001031B3">
      <w:pPr>
        <w:spacing w:before="80"/>
        <w:rPr>
          <w:i/>
          <w:sz w:val="22"/>
          <w:lang w:val="en-US"/>
        </w:rPr>
      </w:pPr>
    </w:p>
    <w:p w:rsidR="001031B3" w:rsidRDefault="001031B3" w:rsidP="001031B3">
      <w:pPr>
        <w:spacing w:before="80"/>
        <w:rPr>
          <w:i/>
          <w:sz w:val="22"/>
          <w:lang w:val="en-US"/>
        </w:rPr>
      </w:pPr>
    </w:p>
    <w:p w:rsidR="001031B3" w:rsidRDefault="001031B3" w:rsidP="001031B3">
      <w:pPr>
        <w:spacing w:before="80"/>
        <w:rPr>
          <w:i/>
          <w:sz w:val="22"/>
          <w:lang w:val="en-US"/>
        </w:rPr>
      </w:pPr>
    </w:p>
    <w:p w:rsidR="001031B3" w:rsidRDefault="001031B3" w:rsidP="001031B3">
      <w:pPr>
        <w:spacing w:before="80"/>
        <w:rPr>
          <w:i/>
          <w:sz w:val="22"/>
          <w:lang w:val="en-US"/>
        </w:rPr>
      </w:pPr>
    </w:p>
    <w:p w:rsidR="001031B3" w:rsidRDefault="001031B3" w:rsidP="001031B3">
      <w:pPr>
        <w:spacing w:before="80"/>
        <w:rPr>
          <w:i/>
          <w:sz w:val="22"/>
          <w:lang w:val="en-US"/>
        </w:rPr>
      </w:pPr>
    </w:p>
    <w:p w:rsidR="001031B3" w:rsidRDefault="001031B3" w:rsidP="001031B3">
      <w:pPr>
        <w:spacing w:before="80"/>
        <w:rPr>
          <w:i/>
          <w:sz w:val="22"/>
          <w:lang w:val="en-US"/>
        </w:rPr>
      </w:pPr>
    </w:p>
    <w:p w:rsidR="001031B3" w:rsidRDefault="001031B3" w:rsidP="001031B3">
      <w:pPr>
        <w:pStyle w:val="Equation"/>
        <w:tabs>
          <w:tab w:val="clear" w:pos="4820"/>
          <w:tab w:val="clear" w:pos="9639"/>
          <w:tab w:val="left" w:pos="1191"/>
          <w:tab w:val="left" w:pos="1588"/>
          <w:tab w:val="left" w:pos="1985"/>
        </w:tabs>
        <w:rPr>
          <w:rFonts w:ascii="Palatino Linotype" w:hAnsi="Palatino Linotype"/>
          <w:lang w:val="en-US"/>
        </w:rPr>
        <w:sectPr w:rsidR="001031B3">
          <w:headerReference w:type="even" r:id="rId7"/>
          <w:headerReference w:type="default" r:id="rId8"/>
          <w:pgSz w:w="11907" w:h="16840" w:code="9"/>
          <w:pgMar w:top="1089" w:right="1089" w:bottom="284" w:left="1089" w:header="567" w:footer="284" w:gutter="0"/>
          <w:pgNumType w:start="1"/>
          <w:cols w:space="720"/>
        </w:sectPr>
      </w:pPr>
    </w:p>
    <w:p w:rsidR="001031B3" w:rsidRPr="00586EF8" w:rsidRDefault="001031B3" w:rsidP="001031B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1031B3" w:rsidRDefault="001031B3" w:rsidP="001031B3">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1031B3" w:rsidRDefault="001031B3" w:rsidP="001031B3">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1031B3" w:rsidRPr="00B714F3" w:rsidRDefault="001031B3" w:rsidP="001031B3">
      <w:pPr>
        <w:pStyle w:val="Heading1"/>
        <w:spacing w:before="680"/>
        <w:jc w:val="center"/>
        <w:rPr>
          <w:szCs w:val="24"/>
          <w:lang w:val="en-US"/>
        </w:rPr>
      </w:pPr>
      <w:r w:rsidRPr="00B714F3">
        <w:rPr>
          <w:szCs w:val="24"/>
          <w:lang w:val="en-US"/>
        </w:rPr>
        <w:t>Policy on Intellectual Property Right (IPR)</w:t>
      </w:r>
    </w:p>
    <w:p w:rsidR="001031B3" w:rsidRPr="00B714F3" w:rsidRDefault="001031B3" w:rsidP="001031B3">
      <w:pPr>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1031B3" w:rsidRDefault="001031B3" w:rsidP="001031B3">
      <w:pPr>
        <w:jc w:val="center"/>
        <w:rPr>
          <w:sz w:val="22"/>
          <w:lang w:val="en-US"/>
        </w:rPr>
      </w:pPr>
    </w:p>
    <w:p w:rsidR="001031B3" w:rsidRDefault="001031B3" w:rsidP="001031B3">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1031B3" w:rsidRPr="00233F9A" w:rsidTr="00507B18">
        <w:tc>
          <w:tcPr>
            <w:tcW w:w="9360" w:type="dxa"/>
            <w:gridSpan w:val="2"/>
          </w:tcPr>
          <w:p w:rsidR="001031B3" w:rsidRPr="00036EE3" w:rsidRDefault="001031B3" w:rsidP="00507B18">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1031B3" w:rsidRPr="00036EE3" w:rsidRDefault="001031B3" w:rsidP="00507B1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036EE3">
              <w:rPr>
                <w:bCs/>
                <w:sz w:val="18"/>
                <w:szCs w:val="18"/>
                <w:lang w:val="en-US"/>
              </w:rPr>
              <w:t>(</w:t>
            </w:r>
            <w:r w:rsidRPr="00036EE3">
              <w:rPr>
                <w:b w:val="0"/>
                <w:sz w:val="18"/>
                <w:szCs w:val="18"/>
                <w:lang w:val="en-US"/>
              </w:rPr>
              <w:t xml:space="preserve">Also available online at </w:t>
            </w:r>
            <w:hyperlink r:id="rId10" w:history="1">
              <w:r>
                <w:rPr>
                  <w:rStyle w:val="Hyperlink"/>
                  <w:b w:val="0"/>
                  <w:sz w:val="18"/>
                  <w:szCs w:val="18"/>
                  <w:lang w:val="en-US"/>
                </w:rPr>
                <w:t>http://www.itu.int/publ/R-REC/en</w:t>
              </w:r>
            </w:hyperlink>
            <w:r w:rsidRPr="00036EE3">
              <w:rPr>
                <w:b w:val="0"/>
                <w:sz w:val="18"/>
                <w:szCs w:val="18"/>
                <w:lang w:val="en-US"/>
              </w:rPr>
              <w:t>)</w:t>
            </w:r>
          </w:p>
        </w:tc>
      </w:tr>
      <w:tr w:rsidR="001031B3" w:rsidRPr="00036EE3" w:rsidTr="00507B18">
        <w:tc>
          <w:tcPr>
            <w:tcW w:w="1140" w:type="dxa"/>
          </w:tcPr>
          <w:p w:rsidR="001031B3" w:rsidRPr="00036EE3" w:rsidRDefault="001031B3" w:rsidP="00507B18">
            <w:pPr>
              <w:spacing w:before="200" w:after="100"/>
              <w:ind w:left="57"/>
              <w:rPr>
                <w:b/>
                <w:bCs/>
                <w:sz w:val="20"/>
                <w:lang w:val="en-US"/>
              </w:rPr>
            </w:pPr>
            <w:r w:rsidRPr="00036EE3">
              <w:rPr>
                <w:b/>
                <w:bCs/>
                <w:sz w:val="20"/>
                <w:lang w:val="en-US"/>
              </w:rPr>
              <w:t>Series</w:t>
            </w:r>
          </w:p>
        </w:tc>
        <w:tc>
          <w:tcPr>
            <w:tcW w:w="8220" w:type="dxa"/>
          </w:tcPr>
          <w:p w:rsidR="001031B3" w:rsidRPr="00036EE3" w:rsidRDefault="001031B3" w:rsidP="00507B1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1031B3" w:rsidRPr="00036EE3" w:rsidTr="00507B18">
        <w:tc>
          <w:tcPr>
            <w:tcW w:w="1140" w:type="dxa"/>
          </w:tcPr>
          <w:p w:rsidR="001031B3" w:rsidRPr="00036EE3" w:rsidRDefault="001031B3" w:rsidP="00507B18">
            <w:pPr>
              <w:spacing w:before="30" w:after="30"/>
              <w:ind w:left="57"/>
              <w:rPr>
                <w:b/>
                <w:bCs/>
                <w:sz w:val="20"/>
                <w:lang w:val="en-US"/>
              </w:rPr>
            </w:pPr>
            <w:r w:rsidRPr="00036EE3">
              <w:rPr>
                <w:b/>
                <w:bCs/>
                <w:sz w:val="20"/>
                <w:lang w:val="en-US"/>
              </w:rPr>
              <w:t>BO</w:t>
            </w:r>
          </w:p>
        </w:tc>
        <w:tc>
          <w:tcPr>
            <w:tcW w:w="8220" w:type="dxa"/>
          </w:tcPr>
          <w:p w:rsidR="001031B3" w:rsidRPr="00036EE3" w:rsidRDefault="001031B3" w:rsidP="00507B1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1031B3" w:rsidRPr="00233F9A" w:rsidTr="00507B18">
        <w:tc>
          <w:tcPr>
            <w:tcW w:w="1140" w:type="dxa"/>
          </w:tcPr>
          <w:p w:rsidR="001031B3" w:rsidRPr="00036EE3" w:rsidRDefault="001031B3" w:rsidP="00507B18">
            <w:pPr>
              <w:spacing w:before="30" w:after="30"/>
              <w:ind w:left="57"/>
              <w:rPr>
                <w:b/>
                <w:bCs/>
                <w:sz w:val="20"/>
                <w:lang w:val="en-US"/>
              </w:rPr>
            </w:pPr>
            <w:r w:rsidRPr="00036EE3">
              <w:rPr>
                <w:b/>
                <w:bCs/>
                <w:sz w:val="20"/>
                <w:lang w:val="en-US"/>
              </w:rPr>
              <w:t>BR</w:t>
            </w:r>
          </w:p>
        </w:tc>
        <w:tc>
          <w:tcPr>
            <w:tcW w:w="8220" w:type="dxa"/>
          </w:tcPr>
          <w:p w:rsidR="001031B3" w:rsidRPr="00036EE3" w:rsidRDefault="001031B3" w:rsidP="00507B1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1031B3" w:rsidRPr="00036EE3" w:rsidTr="00507B18">
        <w:tc>
          <w:tcPr>
            <w:tcW w:w="1140" w:type="dxa"/>
            <w:tcBorders>
              <w:bottom w:val="nil"/>
            </w:tcBorders>
          </w:tcPr>
          <w:p w:rsidR="001031B3" w:rsidRPr="00036EE3" w:rsidRDefault="001031B3" w:rsidP="00507B18">
            <w:pPr>
              <w:spacing w:before="30" w:after="30"/>
              <w:ind w:left="57"/>
              <w:rPr>
                <w:b/>
                <w:bCs/>
                <w:sz w:val="20"/>
                <w:lang w:val="en-US"/>
              </w:rPr>
            </w:pPr>
            <w:r w:rsidRPr="00036EE3">
              <w:rPr>
                <w:b/>
                <w:bCs/>
                <w:sz w:val="20"/>
                <w:lang w:val="en-US"/>
              </w:rPr>
              <w:t>BS</w:t>
            </w:r>
          </w:p>
        </w:tc>
        <w:tc>
          <w:tcPr>
            <w:tcW w:w="8220" w:type="dxa"/>
            <w:tcBorders>
              <w:bottom w:val="nil"/>
            </w:tcBorders>
          </w:tcPr>
          <w:p w:rsidR="001031B3" w:rsidRPr="00036EE3" w:rsidRDefault="001031B3" w:rsidP="00507B1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1031B3" w:rsidRPr="00ED2695" w:rsidTr="00507B18">
        <w:tc>
          <w:tcPr>
            <w:tcW w:w="1140" w:type="dxa"/>
            <w:tcBorders>
              <w:top w:val="nil"/>
              <w:bottom w:val="nil"/>
            </w:tcBorders>
            <w:shd w:val="clear" w:color="auto" w:fill="F3F3F3"/>
          </w:tcPr>
          <w:p w:rsidR="001031B3" w:rsidRPr="000F6905" w:rsidRDefault="001031B3" w:rsidP="00507B18">
            <w:pPr>
              <w:spacing w:before="30" w:after="30"/>
              <w:ind w:left="57"/>
              <w:rPr>
                <w:rFonts w:ascii="Times New Roman Bold" w:hAnsi="Times New Roman Bold" w:cs="Times New Roman Bold"/>
                <w:color w:val="000080"/>
                <w:sz w:val="20"/>
                <w:lang w:val="en-US"/>
              </w:rPr>
            </w:pPr>
            <w:r w:rsidRPr="000F6905">
              <w:rPr>
                <w:rFonts w:ascii="Times New Roman Bold" w:hAnsi="Times New Roman Bold" w:cs="Times New Roman Bold"/>
                <w:color w:val="000080"/>
                <w:sz w:val="20"/>
                <w:lang w:val="en-US"/>
              </w:rPr>
              <w:t>BT</w:t>
            </w:r>
          </w:p>
        </w:tc>
        <w:tc>
          <w:tcPr>
            <w:tcW w:w="8220" w:type="dxa"/>
            <w:tcBorders>
              <w:top w:val="nil"/>
              <w:bottom w:val="nil"/>
            </w:tcBorders>
            <w:shd w:val="clear" w:color="auto" w:fill="F3F3F3"/>
          </w:tcPr>
          <w:p w:rsidR="001031B3" w:rsidRPr="000F6905" w:rsidRDefault="001031B3" w:rsidP="00507B1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F6905">
              <w:rPr>
                <w:rFonts w:ascii="Times New Roman Bold" w:hAnsi="Times New Roman Bold" w:cs="Times New Roman Bold"/>
                <w:b w:val="0"/>
                <w:color w:val="000080"/>
                <w:sz w:val="20"/>
                <w:lang w:val="en-US"/>
              </w:rPr>
              <w:t>Broadcasting service (television)</w:t>
            </w:r>
          </w:p>
        </w:tc>
      </w:tr>
      <w:tr w:rsidR="001031B3" w:rsidRPr="00036EE3" w:rsidTr="00507B18">
        <w:tc>
          <w:tcPr>
            <w:tcW w:w="1140" w:type="dxa"/>
            <w:tcBorders>
              <w:top w:val="nil"/>
              <w:bottom w:val="nil"/>
            </w:tcBorders>
            <w:shd w:val="clear" w:color="auto" w:fill="auto"/>
          </w:tcPr>
          <w:p w:rsidR="001031B3" w:rsidRPr="00036EE3" w:rsidRDefault="001031B3" w:rsidP="00507B18">
            <w:pPr>
              <w:spacing w:before="30" w:after="30"/>
              <w:ind w:left="57"/>
              <w:rPr>
                <w:b/>
                <w:bCs/>
                <w:sz w:val="20"/>
                <w:lang w:val="fr-CH"/>
              </w:rPr>
            </w:pPr>
            <w:r w:rsidRPr="00036EE3">
              <w:rPr>
                <w:b/>
                <w:bCs/>
                <w:sz w:val="20"/>
                <w:lang w:val="fr-CH"/>
              </w:rPr>
              <w:t>F</w:t>
            </w:r>
          </w:p>
        </w:tc>
        <w:tc>
          <w:tcPr>
            <w:tcW w:w="8220" w:type="dxa"/>
            <w:tcBorders>
              <w:top w:val="nil"/>
              <w:bottom w:val="nil"/>
            </w:tcBorders>
            <w:shd w:val="clear" w:color="auto" w:fill="auto"/>
          </w:tcPr>
          <w:p w:rsidR="001031B3" w:rsidRPr="00036EE3" w:rsidRDefault="001031B3" w:rsidP="00507B1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1031B3" w:rsidRPr="005E02E1" w:rsidTr="00507B18">
        <w:tc>
          <w:tcPr>
            <w:tcW w:w="1140" w:type="dxa"/>
            <w:tcBorders>
              <w:top w:val="nil"/>
              <w:bottom w:val="nil"/>
            </w:tcBorders>
            <w:shd w:val="clear" w:color="auto" w:fill="auto"/>
          </w:tcPr>
          <w:p w:rsidR="001031B3" w:rsidRPr="007D3B79" w:rsidRDefault="001031B3" w:rsidP="00507B18">
            <w:pPr>
              <w:spacing w:before="30" w:after="30"/>
              <w:ind w:left="57"/>
              <w:rPr>
                <w:rFonts w:ascii="Times New Roman Bold" w:hAnsi="Times New Roman Bold" w:cs="Times New Roman Bold"/>
                <w:b/>
                <w:bCs/>
                <w:sz w:val="20"/>
                <w:lang w:val="en-US"/>
              </w:rPr>
            </w:pPr>
            <w:r w:rsidRPr="007D3B79">
              <w:rPr>
                <w:rFonts w:ascii="Times New Roman Bold" w:hAnsi="Times New Roman Bold" w:cs="Times New Roman Bold"/>
                <w:b/>
                <w:bCs/>
                <w:sz w:val="20"/>
                <w:lang w:val="en-US"/>
              </w:rPr>
              <w:t>M</w:t>
            </w:r>
          </w:p>
        </w:tc>
        <w:tc>
          <w:tcPr>
            <w:tcW w:w="8220" w:type="dxa"/>
            <w:tcBorders>
              <w:top w:val="nil"/>
              <w:bottom w:val="nil"/>
            </w:tcBorders>
            <w:shd w:val="clear" w:color="auto" w:fill="auto"/>
          </w:tcPr>
          <w:p w:rsidR="001031B3" w:rsidRPr="00220899" w:rsidRDefault="001031B3" w:rsidP="00507B1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220899">
              <w:rPr>
                <w:rFonts w:hAnsi="Times New Roman Bold"/>
                <w:b w:val="0"/>
                <w:sz w:val="20"/>
                <w:lang w:val="en-US"/>
              </w:rPr>
              <w:t>Mobile, radiodetermination, amateur and related satellite services</w:t>
            </w:r>
          </w:p>
        </w:tc>
      </w:tr>
      <w:tr w:rsidR="001031B3" w:rsidRPr="00036EE3" w:rsidTr="00507B18">
        <w:tc>
          <w:tcPr>
            <w:tcW w:w="1140" w:type="dxa"/>
            <w:tcBorders>
              <w:top w:val="nil"/>
            </w:tcBorders>
          </w:tcPr>
          <w:p w:rsidR="001031B3" w:rsidRPr="00036EE3" w:rsidRDefault="001031B3" w:rsidP="00507B18">
            <w:pPr>
              <w:spacing w:before="30" w:after="30"/>
              <w:ind w:left="57"/>
              <w:rPr>
                <w:b/>
                <w:bCs/>
                <w:sz w:val="20"/>
                <w:lang w:val="fr-CH"/>
              </w:rPr>
            </w:pPr>
            <w:r w:rsidRPr="00036EE3">
              <w:rPr>
                <w:b/>
                <w:bCs/>
                <w:sz w:val="20"/>
                <w:lang w:val="fr-CH"/>
              </w:rPr>
              <w:t>P</w:t>
            </w:r>
          </w:p>
        </w:tc>
        <w:tc>
          <w:tcPr>
            <w:tcW w:w="8220" w:type="dxa"/>
            <w:tcBorders>
              <w:top w:val="nil"/>
            </w:tcBorders>
          </w:tcPr>
          <w:p w:rsidR="001031B3" w:rsidRPr="00036EE3" w:rsidRDefault="001031B3" w:rsidP="00507B18">
            <w:pPr>
              <w:spacing w:before="30" w:after="30"/>
              <w:rPr>
                <w:sz w:val="20"/>
                <w:lang w:val="fr-CH"/>
              </w:rPr>
            </w:pPr>
            <w:r w:rsidRPr="00036EE3">
              <w:rPr>
                <w:sz w:val="20"/>
                <w:lang w:val="fr-CH"/>
              </w:rPr>
              <w:t>Radiowave propagation</w:t>
            </w:r>
          </w:p>
        </w:tc>
      </w:tr>
      <w:tr w:rsidR="001031B3" w:rsidRPr="00036EE3" w:rsidTr="00507B18">
        <w:tc>
          <w:tcPr>
            <w:tcW w:w="1140" w:type="dxa"/>
          </w:tcPr>
          <w:p w:rsidR="001031B3" w:rsidRPr="00036EE3" w:rsidRDefault="001031B3" w:rsidP="00507B18">
            <w:pPr>
              <w:spacing w:before="30" w:after="30"/>
              <w:ind w:left="57"/>
              <w:rPr>
                <w:b/>
                <w:bCs/>
                <w:sz w:val="20"/>
                <w:lang w:val="en-US"/>
              </w:rPr>
            </w:pPr>
            <w:r w:rsidRPr="00036EE3">
              <w:rPr>
                <w:b/>
                <w:bCs/>
                <w:sz w:val="20"/>
                <w:lang w:val="en-US"/>
              </w:rPr>
              <w:t>RA</w:t>
            </w:r>
          </w:p>
        </w:tc>
        <w:tc>
          <w:tcPr>
            <w:tcW w:w="8220" w:type="dxa"/>
          </w:tcPr>
          <w:p w:rsidR="001031B3" w:rsidRPr="00036EE3" w:rsidRDefault="001031B3" w:rsidP="00507B1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1031B3" w:rsidRPr="00036EE3" w:rsidTr="00507B18">
        <w:tc>
          <w:tcPr>
            <w:tcW w:w="1140" w:type="dxa"/>
          </w:tcPr>
          <w:p w:rsidR="001031B3" w:rsidRPr="00036EE3" w:rsidRDefault="001031B3" w:rsidP="00507B18">
            <w:pPr>
              <w:spacing w:before="30" w:after="30"/>
              <w:ind w:left="57"/>
              <w:rPr>
                <w:b/>
                <w:bCs/>
                <w:sz w:val="20"/>
                <w:lang w:val="en-US"/>
              </w:rPr>
            </w:pPr>
            <w:r w:rsidRPr="00036EE3">
              <w:rPr>
                <w:b/>
                <w:bCs/>
                <w:sz w:val="20"/>
                <w:lang w:val="en-US"/>
              </w:rPr>
              <w:t>RS</w:t>
            </w:r>
          </w:p>
        </w:tc>
        <w:tc>
          <w:tcPr>
            <w:tcW w:w="8220" w:type="dxa"/>
          </w:tcPr>
          <w:p w:rsidR="001031B3" w:rsidRPr="00036EE3" w:rsidRDefault="001031B3" w:rsidP="00507B1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1031B3" w:rsidRPr="00036EE3" w:rsidTr="00507B18">
        <w:tc>
          <w:tcPr>
            <w:tcW w:w="1140" w:type="dxa"/>
          </w:tcPr>
          <w:p w:rsidR="001031B3" w:rsidRPr="00036EE3" w:rsidRDefault="001031B3" w:rsidP="00507B18">
            <w:pPr>
              <w:spacing w:before="30" w:after="30"/>
              <w:ind w:left="57"/>
              <w:rPr>
                <w:b/>
                <w:bCs/>
                <w:sz w:val="20"/>
                <w:lang w:val="en-US"/>
              </w:rPr>
            </w:pPr>
            <w:r w:rsidRPr="00036EE3">
              <w:rPr>
                <w:b/>
                <w:bCs/>
                <w:sz w:val="20"/>
                <w:lang w:val="en-US"/>
              </w:rPr>
              <w:t>S</w:t>
            </w:r>
          </w:p>
        </w:tc>
        <w:tc>
          <w:tcPr>
            <w:tcW w:w="8220" w:type="dxa"/>
          </w:tcPr>
          <w:p w:rsidR="001031B3" w:rsidRPr="00036EE3" w:rsidRDefault="001031B3" w:rsidP="00507B18">
            <w:pPr>
              <w:spacing w:before="30" w:after="30"/>
              <w:rPr>
                <w:sz w:val="20"/>
                <w:lang w:val="en-US"/>
              </w:rPr>
            </w:pPr>
            <w:r w:rsidRPr="00036EE3">
              <w:rPr>
                <w:sz w:val="20"/>
                <w:lang w:val="en-US"/>
              </w:rPr>
              <w:t>Fixed-satellite service</w:t>
            </w:r>
          </w:p>
        </w:tc>
      </w:tr>
      <w:tr w:rsidR="001031B3" w:rsidRPr="00036EE3" w:rsidTr="00507B18">
        <w:tc>
          <w:tcPr>
            <w:tcW w:w="1140" w:type="dxa"/>
          </w:tcPr>
          <w:p w:rsidR="001031B3" w:rsidRPr="00036EE3" w:rsidRDefault="001031B3" w:rsidP="00507B18">
            <w:pPr>
              <w:spacing w:before="30" w:after="30"/>
              <w:ind w:left="57"/>
              <w:rPr>
                <w:b/>
                <w:bCs/>
                <w:sz w:val="20"/>
                <w:lang w:val="en-US"/>
              </w:rPr>
            </w:pPr>
            <w:r w:rsidRPr="00036EE3">
              <w:rPr>
                <w:b/>
                <w:bCs/>
                <w:sz w:val="20"/>
                <w:lang w:val="en-US"/>
              </w:rPr>
              <w:t>SA</w:t>
            </w:r>
          </w:p>
        </w:tc>
        <w:tc>
          <w:tcPr>
            <w:tcW w:w="8220" w:type="dxa"/>
          </w:tcPr>
          <w:p w:rsidR="001031B3" w:rsidRPr="00036EE3" w:rsidRDefault="001031B3" w:rsidP="00507B18">
            <w:pPr>
              <w:spacing w:before="30" w:after="30"/>
              <w:rPr>
                <w:sz w:val="20"/>
                <w:lang w:val="en-US"/>
              </w:rPr>
            </w:pPr>
            <w:r w:rsidRPr="00036EE3">
              <w:rPr>
                <w:sz w:val="20"/>
                <w:lang w:val="en-US"/>
              </w:rPr>
              <w:t>Space applications and meteorology</w:t>
            </w:r>
          </w:p>
        </w:tc>
      </w:tr>
      <w:tr w:rsidR="001031B3" w:rsidRPr="00233F9A" w:rsidTr="00507B18">
        <w:tc>
          <w:tcPr>
            <w:tcW w:w="1140" w:type="dxa"/>
          </w:tcPr>
          <w:p w:rsidR="001031B3" w:rsidRPr="00036EE3" w:rsidRDefault="001031B3" w:rsidP="00507B18">
            <w:pPr>
              <w:spacing w:before="30" w:after="30"/>
              <w:ind w:left="57"/>
              <w:rPr>
                <w:b/>
                <w:bCs/>
                <w:sz w:val="20"/>
                <w:lang w:val="en-US"/>
              </w:rPr>
            </w:pPr>
            <w:r w:rsidRPr="00036EE3">
              <w:rPr>
                <w:b/>
                <w:bCs/>
                <w:sz w:val="20"/>
                <w:lang w:val="en-US"/>
              </w:rPr>
              <w:t>SF</w:t>
            </w:r>
          </w:p>
        </w:tc>
        <w:tc>
          <w:tcPr>
            <w:tcW w:w="8220" w:type="dxa"/>
          </w:tcPr>
          <w:p w:rsidR="001031B3" w:rsidRPr="00036EE3" w:rsidRDefault="001031B3" w:rsidP="00507B18">
            <w:pPr>
              <w:spacing w:before="30" w:after="30"/>
              <w:rPr>
                <w:sz w:val="20"/>
                <w:lang w:val="en-US"/>
              </w:rPr>
            </w:pPr>
            <w:r w:rsidRPr="00036EE3">
              <w:rPr>
                <w:sz w:val="20"/>
                <w:lang w:val="en-US"/>
              </w:rPr>
              <w:t>Frequency sharing and coordination between fixed-satellite and fixed service systems</w:t>
            </w:r>
          </w:p>
        </w:tc>
      </w:tr>
      <w:tr w:rsidR="001031B3" w:rsidRPr="00036EE3" w:rsidTr="00507B18">
        <w:tc>
          <w:tcPr>
            <w:tcW w:w="1140" w:type="dxa"/>
          </w:tcPr>
          <w:p w:rsidR="001031B3" w:rsidRPr="00036EE3" w:rsidRDefault="001031B3" w:rsidP="00507B18">
            <w:pPr>
              <w:spacing w:before="30" w:after="30"/>
              <w:ind w:left="57"/>
              <w:rPr>
                <w:b/>
                <w:bCs/>
                <w:sz w:val="20"/>
                <w:lang w:val="en-US"/>
              </w:rPr>
            </w:pPr>
            <w:r>
              <w:rPr>
                <w:b/>
                <w:bCs/>
                <w:sz w:val="20"/>
                <w:lang w:val="en-US"/>
              </w:rPr>
              <w:t>SM</w:t>
            </w:r>
          </w:p>
        </w:tc>
        <w:tc>
          <w:tcPr>
            <w:tcW w:w="8220" w:type="dxa"/>
          </w:tcPr>
          <w:p w:rsidR="001031B3" w:rsidRPr="00036EE3" w:rsidRDefault="001031B3" w:rsidP="00507B18">
            <w:pPr>
              <w:spacing w:before="30" w:after="30"/>
              <w:rPr>
                <w:sz w:val="20"/>
                <w:lang w:val="en-US"/>
              </w:rPr>
            </w:pPr>
            <w:r>
              <w:rPr>
                <w:sz w:val="20"/>
                <w:lang w:val="en-US"/>
              </w:rPr>
              <w:t>Spectrum management</w:t>
            </w:r>
          </w:p>
        </w:tc>
      </w:tr>
      <w:tr w:rsidR="001031B3" w:rsidRPr="00036EE3" w:rsidTr="00507B18">
        <w:tc>
          <w:tcPr>
            <w:tcW w:w="1140" w:type="dxa"/>
          </w:tcPr>
          <w:p w:rsidR="001031B3" w:rsidRPr="00036EE3" w:rsidRDefault="001031B3" w:rsidP="00507B18">
            <w:pPr>
              <w:spacing w:before="30" w:after="30"/>
              <w:ind w:left="57"/>
              <w:rPr>
                <w:b/>
                <w:bCs/>
                <w:sz w:val="20"/>
                <w:lang w:val="en-US"/>
              </w:rPr>
            </w:pPr>
            <w:r w:rsidRPr="00036EE3">
              <w:rPr>
                <w:b/>
                <w:bCs/>
                <w:sz w:val="20"/>
                <w:lang w:val="en-US"/>
              </w:rPr>
              <w:t>SNG</w:t>
            </w:r>
          </w:p>
        </w:tc>
        <w:tc>
          <w:tcPr>
            <w:tcW w:w="8220" w:type="dxa"/>
          </w:tcPr>
          <w:p w:rsidR="001031B3" w:rsidRPr="00036EE3" w:rsidRDefault="001031B3" w:rsidP="00507B18">
            <w:pPr>
              <w:spacing w:before="30" w:after="30"/>
              <w:rPr>
                <w:sz w:val="20"/>
                <w:lang w:val="en-US"/>
              </w:rPr>
            </w:pPr>
            <w:r w:rsidRPr="00036EE3">
              <w:rPr>
                <w:sz w:val="20"/>
                <w:lang w:val="en-US"/>
              </w:rPr>
              <w:t>Satellite news gathering</w:t>
            </w:r>
          </w:p>
        </w:tc>
      </w:tr>
      <w:tr w:rsidR="001031B3" w:rsidRPr="00233F9A" w:rsidTr="00507B18">
        <w:tc>
          <w:tcPr>
            <w:tcW w:w="1140" w:type="dxa"/>
          </w:tcPr>
          <w:p w:rsidR="001031B3" w:rsidRPr="00036EE3" w:rsidRDefault="001031B3" w:rsidP="00507B18">
            <w:pPr>
              <w:spacing w:before="30" w:after="30"/>
              <w:ind w:left="57"/>
              <w:rPr>
                <w:b/>
                <w:bCs/>
                <w:sz w:val="20"/>
                <w:lang w:val="en-US"/>
              </w:rPr>
            </w:pPr>
            <w:r w:rsidRPr="00036EE3">
              <w:rPr>
                <w:b/>
                <w:bCs/>
                <w:sz w:val="20"/>
                <w:lang w:val="en-US"/>
              </w:rPr>
              <w:t>TF</w:t>
            </w:r>
          </w:p>
        </w:tc>
        <w:tc>
          <w:tcPr>
            <w:tcW w:w="8220" w:type="dxa"/>
          </w:tcPr>
          <w:p w:rsidR="001031B3" w:rsidRPr="00036EE3" w:rsidRDefault="001031B3" w:rsidP="00507B18">
            <w:pPr>
              <w:spacing w:before="30" w:after="30"/>
              <w:rPr>
                <w:sz w:val="20"/>
                <w:lang w:val="en-US"/>
              </w:rPr>
            </w:pPr>
            <w:r w:rsidRPr="00036EE3">
              <w:rPr>
                <w:sz w:val="20"/>
                <w:lang w:val="en-US"/>
              </w:rPr>
              <w:t>Time signals and frequency standards emissions</w:t>
            </w:r>
          </w:p>
        </w:tc>
      </w:tr>
      <w:tr w:rsidR="001031B3" w:rsidRPr="00036EE3" w:rsidTr="00507B18">
        <w:tc>
          <w:tcPr>
            <w:tcW w:w="1140" w:type="dxa"/>
          </w:tcPr>
          <w:p w:rsidR="001031B3" w:rsidRPr="00036EE3" w:rsidRDefault="001031B3" w:rsidP="00507B18">
            <w:pPr>
              <w:spacing w:before="30" w:after="30"/>
              <w:ind w:left="57"/>
              <w:rPr>
                <w:b/>
                <w:bCs/>
                <w:sz w:val="20"/>
                <w:lang w:val="en-US"/>
              </w:rPr>
            </w:pPr>
            <w:r w:rsidRPr="00036EE3">
              <w:rPr>
                <w:b/>
                <w:bCs/>
                <w:sz w:val="20"/>
                <w:lang w:val="en-US"/>
              </w:rPr>
              <w:t>V</w:t>
            </w:r>
          </w:p>
        </w:tc>
        <w:tc>
          <w:tcPr>
            <w:tcW w:w="8220" w:type="dxa"/>
          </w:tcPr>
          <w:p w:rsidR="001031B3" w:rsidRPr="00036EE3" w:rsidRDefault="001031B3" w:rsidP="00507B18">
            <w:pPr>
              <w:spacing w:before="30" w:after="180"/>
              <w:rPr>
                <w:sz w:val="20"/>
                <w:lang w:val="en-US"/>
              </w:rPr>
            </w:pPr>
            <w:r w:rsidRPr="00036EE3">
              <w:rPr>
                <w:sz w:val="20"/>
                <w:lang w:val="en-US"/>
              </w:rPr>
              <w:t>Vocabulary and related subjects</w:t>
            </w:r>
          </w:p>
        </w:tc>
      </w:tr>
    </w:tbl>
    <w:p w:rsidR="001031B3" w:rsidRPr="00036EE3" w:rsidRDefault="001031B3" w:rsidP="001031B3">
      <w:pPr>
        <w:spacing w:before="30" w:after="30"/>
        <w:jc w:val="center"/>
        <w:rPr>
          <w:sz w:val="20"/>
          <w:lang w:val="en-US"/>
        </w:rPr>
      </w:pPr>
    </w:p>
    <w:p w:rsidR="001031B3" w:rsidRDefault="001031B3" w:rsidP="001031B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1031B3" w:rsidRPr="00233F9A" w:rsidTr="00507B18">
        <w:tc>
          <w:tcPr>
            <w:tcW w:w="9360" w:type="dxa"/>
          </w:tcPr>
          <w:p w:rsidR="001031B3" w:rsidRPr="006B55A9" w:rsidRDefault="001031B3" w:rsidP="00507B18">
            <w:pPr>
              <w:spacing w:after="120"/>
              <w:jc w:val="center"/>
              <w:rPr>
                <w:sz w:val="20"/>
                <w:lang w:val="en-US"/>
              </w:rPr>
            </w:pPr>
            <w:r w:rsidRPr="006B55A9">
              <w:rPr>
                <w:b/>
                <w:bCs/>
                <w:i/>
                <w:iCs/>
                <w:sz w:val="20"/>
                <w:lang w:val="en-US"/>
              </w:rPr>
              <w:t>Note</w:t>
            </w:r>
            <w:r w:rsidRPr="006B55A9">
              <w:rPr>
                <w:sz w:val="20"/>
                <w:lang w:val="en-US"/>
              </w:rPr>
              <w:t xml:space="preserve">: </w:t>
            </w:r>
            <w:r w:rsidRPr="006B55A9">
              <w:rPr>
                <w:i/>
                <w:iCs/>
                <w:sz w:val="20"/>
                <w:lang w:val="en-US"/>
              </w:rPr>
              <w:t>This ITU-R Recommendation was approved in English under the procedure detailed in Resolution ITU-R 1.</w:t>
            </w:r>
          </w:p>
        </w:tc>
      </w:tr>
    </w:tbl>
    <w:p w:rsidR="001031B3" w:rsidRDefault="001031B3" w:rsidP="001031B3">
      <w:pPr>
        <w:spacing w:before="0"/>
        <w:jc w:val="center"/>
        <w:rPr>
          <w:sz w:val="22"/>
          <w:lang w:val="en-US"/>
        </w:rPr>
      </w:pPr>
    </w:p>
    <w:p w:rsidR="001031B3" w:rsidRDefault="001031B3" w:rsidP="001031B3">
      <w:pPr>
        <w:spacing w:before="0"/>
        <w:jc w:val="center"/>
        <w:rPr>
          <w:sz w:val="22"/>
          <w:lang w:val="en-US"/>
        </w:rPr>
      </w:pPr>
    </w:p>
    <w:p w:rsidR="001031B3" w:rsidRPr="002F5199" w:rsidRDefault="001031B3" w:rsidP="001031B3">
      <w:pPr>
        <w:spacing w:before="0"/>
        <w:jc w:val="right"/>
        <w:rPr>
          <w:i/>
          <w:iCs/>
          <w:sz w:val="20"/>
          <w:lang w:val="en-US"/>
        </w:rPr>
      </w:pPr>
      <w:r w:rsidRPr="002F5199">
        <w:rPr>
          <w:i/>
          <w:iCs/>
          <w:sz w:val="20"/>
          <w:lang w:val="en-US"/>
        </w:rPr>
        <w:t>Electronic Publication</w:t>
      </w:r>
    </w:p>
    <w:p w:rsidR="001031B3" w:rsidRPr="002F5199" w:rsidRDefault="001031B3" w:rsidP="00400E77">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Pr>
          <w:sz w:val="20"/>
          <w:lang w:val="en-US"/>
        </w:rPr>
        <w:t>1</w:t>
      </w:r>
      <w:r w:rsidR="00400E77">
        <w:rPr>
          <w:sz w:val="20"/>
          <w:lang w:val="en-US"/>
        </w:rPr>
        <w:t>4</w:t>
      </w:r>
    </w:p>
    <w:p w:rsidR="003876BD" w:rsidRDefault="003876BD" w:rsidP="003876BD">
      <w:pPr>
        <w:jc w:val="center"/>
        <w:rPr>
          <w:sz w:val="22"/>
          <w:lang w:val="en-US"/>
        </w:rPr>
      </w:pPr>
      <w:bookmarkStart w:id="1" w:name="_GoBack"/>
      <w:bookmarkEnd w:id="1"/>
    </w:p>
    <w:p w:rsidR="003876BD" w:rsidRPr="00470E28" w:rsidRDefault="003876BD" w:rsidP="003876BD">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Pr>
          <w:sz w:val="20"/>
          <w:lang w:val="en-US"/>
        </w:rPr>
        <w:t>14</w:t>
      </w:r>
    </w:p>
    <w:p w:rsidR="003876BD" w:rsidRPr="00470E28" w:rsidRDefault="003876BD" w:rsidP="003876BD">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1031B3" w:rsidRDefault="001031B3" w:rsidP="001031B3">
      <w:pPr>
        <w:spacing w:before="160"/>
        <w:rPr>
          <w:i/>
          <w:sz w:val="20"/>
          <w:lang w:val="en-US"/>
        </w:rPr>
        <w:sectPr w:rsidR="001031B3" w:rsidSect="007565CC">
          <w:headerReference w:type="even" r:id="rId11"/>
          <w:headerReference w:type="default" r:id="rId12"/>
          <w:pgSz w:w="11907" w:h="16834" w:code="9"/>
          <w:pgMar w:top="1418" w:right="1134" w:bottom="1134" w:left="1134" w:header="720" w:footer="482" w:gutter="0"/>
          <w:pgNumType w:fmt="lowerRoman" w:start="2"/>
          <w:cols w:space="720"/>
        </w:sectPr>
      </w:pPr>
    </w:p>
    <w:p w:rsidR="001031B3" w:rsidRPr="00BF487A" w:rsidRDefault="001031B3" w:rsidP="001031B3">
      <w:pPr>
        <w:pStyle w:val="RecNo"/>
        <w:spacing w:before="0"/>
        <w:rPr>
          <w:lang w:val="en-US"/>
        </w:rPr>
      </w:pPr>
      <w:bookmarkStart w:id="3" w:name="irecnoe"/>
      <w:bookmarkEnd w:id="3"/>
      <w:r w:rsidRPr="00BF487A">
        <w:rPr>
          <w:lang w:val="en-US"/>
        </w:rPr>
        <w:lastRenderedPageBreak/>
        <w:t xml:space="preserve">RECOMMENDATION  </w:t>
      </w:r>
      <w:r w:rsidRPr="00BF487A">
        <w:rPr>
          <w:rStyle w:val="href"/>
          <w:lang w:val="en-US"/>
        </w:rPr>
        <w:t xml:space="preserve">ITU-R  </w:t>
      </w:r>
      <w:r>
        <w:rPr>
          <w:rStyle w:val="href"/>
          <w:lang w:val="en-US"/>
        </w:rPr>
        <w:t>BT</w:t>
      </w:r>
      <w:r w:rsidRPr="00BF487A">
        <w:rPr>
          <w:rStyle w:val="href"/>
          <w:lang w:val="en-US"/>
        </w:rPr>
        <w:t>.</w:t>
      </w:r>
      <w:r>
        <w:rPr>
          <w:rStyle w:val="href"/>
          <w:lang w:val="en-US"/>
        </w:rPr>
        <w:t>2026</w:t>
      </w:r>
    </w:p>
    <w:p w:rsidR="00724B29" w:rsidRPr="00724B29" w:rsidRDefault="00724B29" w:rsidP="00400E77">
      <w:pPr>
        <w:pStyle w:val="Rectitle"/>
        <w:rPr>
          <w:lang w:val="en-US"/>
        </w:rPr>
      </w:pPr>
      <w:r w:rsidRPr="00724B29">
        <w:rPr>
          <w:lang w:val="en-US" w:eastAsia="zh-CN"/>
        </w:rPr>
        <w:t>Guidelines on the implementation of systems for in-service</w:t>
      </w:r>
      <w:r>
        <w:rPr>
          <w:rStyle w:val="FootnoteReference"/>
          <w:lang w:eastAsia="zh-CN"/>
        </w:rPr>
        <w:footnoteReference w:id="1"/>
      </w:r>
      <w:r w:rsidRPr="00724B29">
        <w:rPr>
          <w:lang w:val="en-US" w:eastAsia="zh-CN"/>
        </w:rPr>
        <w:t xml:space="preserve"> </w:t>
      </w:r>
      <w:r w:rsidR="00400E77">
        <w:rPr>
          <w:lang w:val="en-US" w:eastAsia="zh-CN"/>
        </w:rPr>
        <w:t xml:space="preserve">objective </w:t>
      </w:r>
      <w:r w:rsidRPr="00724B29">
        <w:rPr>
          <w:lang w:val="en-US" w:eastAsia="zh-CN"/>
        </w:rPr>
        <w:t>measurement</w:t>
      </w:r>
      <w:r w:rsidR="00400E77">
        <w:rPr>
          <w:lang w:val="en-US" w:eastAsia="zh-CN"/>
        </w:rPr>
        <w:t xml:space="preserve"> </w:t>
      </w:r>
      <w:r w:rsidRPr="00724B29">
        <w:rPr>
          <w:lang w:val="en-US" w:eastAsia="zh-CN"/>
        </w:rPr>
        <w:t>and monitoring of “perceptual transparency</w:t>
      </w:r>
      <w:r w:rsidRPr="00735BA8">
        <w:rPr>
          <w:rStyle w:val="FootnoteReference"/>
          <w:szCs w:val="18"/>
          <w:lang w:eastAsia="zh-CN"/>
        </w:rPr>
        <w:footnoteReference w:id="2"/>
      </w:r>
      <w:r w:rsidRPr="00724B29">
        <w:rPr>
          <w:lang w:val="en-US" w:eastAsia="zh-CN"/>
        </w:rPr>
        <w:t xml:space="preserve">” </w:t>
      </w:r>
      <w:r w:rsidR="00400E77">
        <w:rPr>
          <w:lang w:val="en-US" w:eastAsia="zh-CN"/>
        </w:rPr>
        <w:br/>
      </w:r>
      <w:r w:rsidRPr="00724B29">
        <w:rPr>
          <w:lang w:val="en-US" w:eastAsia="zh-CN"/>
        </w:rPr>
        <w:t>for the distribution chain</w:t>
      </w:r>
      <w:r w:rsidR="00400E77">
        <w:rPr>
          <w:lang w:val="en-US" w:eastAsia="zh-CN"/>
        </w:rPr>
        <w:t xml:space="preserve"> </w:t>
      </w:r>
      <w:r w:rsidRPr="00724B29">
        <w:rPr>
          <w:lang w:val="en-US" w:eastAsia="zh-CN"/>
        </w:rPr>
        <w:t xml:space="preserve">of SDTV </w:t>
      </w:r>
      <w:r w:rsidR="004D4FAA">
        <w:rPr>
          <w:lang w:val="en-US" w:eastAsia="zh-CN"/>
        </w:rPr>
        <w:t>and</w:t>
      </w:r>
      <w:r w:rsidRPr="00724B29">
        <w:rPr>
          <w:lang w:val="en-US" w:eastAsia="zh-CN"/>
        </w:rPr>
        <w:t xml:space="preserve"> HDTV programmes</w:t>
      </w:r>
      <w:r>
        <w:rPr>
          <w:rStyle w:val="FootnoteReference"/>
          <w:lang w:val="en-US" w:eastAsia="zh-CN"/>
        </w:rPr>
        <w:footnoteReference w:id="3"/>
      </w:r>
    </w:p>
    <w:p w:rsidR="00A25CDF" w:rsidRPr="00185729" w:rsidRDefault="00A25CDF" w:rsidP="00A25CDF">
      <w:pPr>
        <w:pStyle w:val="Recdate"/>
        <w:rPr>
          <w:lang w:val="en-US" w:eastAsia="zh-CN"/>
        </w:rPr>
      </w:pPr>
    </w:p>
    <w:p w:rsidR="00B00F13" w:rsidRPr="00185729" w:rsidRDefault="00A25CDF" w:rsidP="00A25CDF">
      <w:pPr>
        <w:pStyle w:val="Recdate"/>
        <w:rPr>
          <w:lang w:val="en-US" w:eastAsia="zh-CN"/>
        </w:rPr>
      </w:pPr>
      <w:r w:rsidRPr="00185729">
        <w:rPr>
          <w:lang w:val="en-US" w:eastAsia="zh-CN"/>
        </w:rPr>
        <w:t>(2012)</w:t>
      </w:r>
    </w:p>
    <w:p w:rsidR="00A25CDF" w:rsidRDefault="00A25CDF" w:rsidP="00B00F13">
      <w:pPr>
        <w:pStyle w:val="HeadingSum"/>
        <w:rPr>
          <w:lang w:val="en-US" w:eastAsia="zh-CN"/>
        </w:rPr>
      </w:pPr>
    </w:p>
    <w:p w:rsidR="00724B29" w:rsidRPr="001031B3" w:rsidRDefault="00724B29" w:rsidP="00B00F13">
      <w:pPr>
        <w:pStyle w:val="HeadingSum"/>
        <w:rPr>
          <w:lang w:val="en-US" w:eastAsia="zh-CN"/>
        </w:rPr>
      </w:pPr>
      <w:r w:rsidRPr="001031B3">
        <w:rPr>
          <w:lang w:val="en-US" w:eastAsia="zh-CN"/>
        </w:rPr>
        <w:t>Scope</w:t>
      </w:r>
    </w:p>
    <w:p w:rsidR="00724B29" w:rsidRPr="001031B3" w:rsidRDefault="00724B29" w:rsidP="00B00F13">
      <w:pPr>
        <w:pStyle w:val="Summary"/>
        <w:rPr>
          <w:lang w:val="en-US" w:eastAsia="zh-CN"/>
        </w:rPr>
      </w:pPr>
      <w:r w:rsidRPr="001031B3">
        <w:rPr>
          <w:lang w:val="en-US" w:eastAsia="zh-CN"/>
        </w:rPr>
        <w:t>This Recommendation specifies provisions to be taken into account when implementing an in</w:t>
      </w:r>
      <w:r w:rsidRPr="001031B3">
        <w:rPr>
          <w:lang w:val="en-US" w:eastAsia="zh-CN"/>
        </w:rPr>
        <w:noBreakHyphen/>
        <w:t>service method to measure and monitor the impairments to the perceptual quality of television programmes introduced in the television distribution chain.</w:t>
      </w:r>
    </w:p>
    <w:p w:rsidR="00724B29" w:rsidRPr="001031B3" w:rsidRDefault="00724B29" w:rsidP="00FF7FE0">
      <w:pPr>
        <w:pStyle w:val="Normalaftertitle"/>
        <w:rPr>
          <w:lang w:val="en-US" w:eastAsia="zh-CN"/>
        </w:rPr>
      </w:pPr>
      <w:r w:rsidRPr="001031B3">
        <w:rPr>
          <w:lang w:val="en-US" w:eastAsia="zh-CN"/>
        </w:rPr>
        <w:t xml:space="preserve">The </w:t>
      </w:r>
      <w:r w:rsidR="00185729">
        <w:rPr>
          <w:lang w:val="en-US" w:eastAsia="zh-CN"/>
        </w:rPr>
        <w:t xml:space="preserve">ITU </w:t>
      </w:r>
      <w:r w:rsidRPr="001031B3">
        <w:rPr>
          <w:lang w:val="en-US" w:eastAsia="zh-CN"/>
        </w:rPr>
        <w:t>Radiocommunication Assembly</w:t>
      </w:r>
      <w:r w:rsidR="00185729">
        <w:rPr>
          <w:lang w:val="en-US" w:eastAsia="zh-CN"/>
        </w:rPr>
        <w:t>,</w:t>
      </w:r>
    </w:p>
    <w:p w:rsidR="00724B29" w:rsidRPr="00041E89" w:rsidRDefault="00724B29" w:rsidP="00724B29">
      <w:pPr>
        <w:pStyle w:val="Call"/>
        <w:rPr>
          <w:lang w:val="en-US" w:eastAsia="zh-CN"/>
        </w:rPr>
      </w:pPr>
      <w:r w:rsidRPr="00041E89">
        <w:rPr>
          <w:lang w:val="en-US" w:eastAsia="zh-CN"/>
        </w:rPr>
        <w:t>considering</w:t>
      </w:r>
    </w:p>
    <w:p w:rsidR="00724B29" w:rsidRPr="00ED61D9" w:rsidRDefault="00724B29" w:rsidP="00400E77">
      <w:pPr>
        <w:tabs>
          <w:tab w:val="left" w:pos="794"/>
        </w:tabs>
        <w:jc w:val="both"/>
        <w:rPr>
          <w:lang w:val="en-US" w:eastAsia="zh-CN"/>
        </w:rPr>
      </w:pPr>
      <w:r w:rsidRPr="009D0F82">
        <w:rPr>
          <w:lang w:val="en-US" w:eastAsia="zh-CN"/>
        </w:rPr>
        <w:t>a)</w:t>
      </w:r>
      <w:r>
        <w:rPr>
          <w:lang w:val="en-US" w:eastAsia="zh-CN"/>
        </w:rPr>
        <w:tab/>
      </w:r>
      <w:r w:rsidRPr="00ED61D9">
        <w:rPr>
          <w:lang w:val="en-US" w:eastAsia="zh-CN"/>
        </w:rPr>
        <w:t>that broadcasters may wish or they may need to confirm that their programmes are delivered to their audiences at an appropriate perceptual quality</w:t>
      </w:r>
      <w:r>
        <w:rPr>
          <w:lang w:val="en-US" w:eastAsia="zh-CN"/>
        </w:rPr>
        <w:t xml:space="preserve"> </w:t>
      </w:r>
      <w:r w:rsidRPr="00ED61D9">
        <w:rPr>
          <w:lang w:val="en-US" w:eastAsia="zh-CN"/>
        </w:rPr>
        <w:t>level</w:t>
      </w:r>
      <w:r>
        <w:rPr>
          <w:lang w:val="en-US" w:eastAsia="zh-CN"/>
        </w:rPr>
        <w:t>;</w:t>
      </w:r>
    </w:p>
    <w:p w:rsidR="00724B29" w:rsidRPr="00ED61D9" w:rsidRDefault="00724B29" w:rsidP="00185729">
      <w:pPr>
        <w:tabs>
          <w:tab w:val="left" w:pos="794"/>
        </w:tabs>
        <w:jc w:val="both"/>
        <w:rPr>
          <w:lang w:val="en-US" w:eastAsia="zh-CN"/>
        </w:rPr>
      </w:pPr>
      <w:r w:rsidRPr="009D0F82">
        <w:rPr>
          <w:lang w:val="en-US" w:eastAsia="zh-CN"/>
        </w:rPr>
        <w:t>b)</w:t>
      </w:r>
      <w:r>
        <w:rPr>
          <w:lang w:val="en-US" w:eastAsia="zh-CN"/>
        </w:rPr>
        <w:tab/>
      </w:r>
      <w:r w:rsidRPr="00ED61D9">
        <w:rPr>
          <w:lang w:val="en-US" w:eastAsia="zh-CN"/>
        </w:rPr>
        <w:t>that such wish or need concerns the distribution of both SDTV and HDTV programmes to broadcasters’ audiences;</w:t>
      </w:r>
    </w:p>
    <w:p w:rsidR="00724B29" w:rsidRDefault="00724B29" w:rsidP="00185729">
      <w:pPr>
        <w:tabs>
          <w:tab w:val="left" w:pos="794"/>
        </w:tabs>
        <w:jc w:val="both"/>
        <w:rPr>
          <w:lang w:val="en-US" w:eastAsia="zh-CN"/>
        </w:rPr>
      </w:pPr>
      <w:r w:rsidRPr="009D0F82">
        <w:rPr>
          <w:lang w:val="en-US" w:eastAsia="zh-CN"/>
        </w:rPr>
        <w:t>c)</w:t>
      </w:r>
      <w:r>
        <w:rPr>
          <w:lang w:val="en-US" w:eastAsia="zh-CN"/>
        </w:rPr>
        <w:tab/>
      </w:r>
      <w:r w:rsidRPr="00ED61D9">
        <w:rPr>
          <w:lang w:val="en-US" w:eastAsia="zh-CN"/>
        </w:rPr>
        <w:t>that the programme distribution chain may impact on the perceptual quality of delivered television programmes through various processes, e.g.: use of downsampling (temporal or spatial), or of inadequate source coding, statistical multiplexing or channel coding, etc</w:t>
      </w:r>
      <w:r>
        <w:rPr>
          <w:lang w:val="en-US" w:eastAsia="zh-CN"/>
        </w:rPr>
        <w:t>.,</w:t>
      </w:r>
    </w:p>
    <w:p w:rsidR="00724B29" w:rsidRPr="001031B3" w:rsidRDefault="00724B29" w:rsidP="00185729">
      <w:pPr>
        <w:pStyle w:val="Call"/>
        <w:rPr>
          <w:lang w:val="en-US" w:eastAsia="zh-CN"/>
        </w:rPr>
      </w:pPr>
      <w:r w:rsidRPr="001031B3">
        <w:rPr>
          <w:lang w:val="en-US" w:eastAsia="zh-CN"/>
        </w:rPr>
        <w:t>recogni</w:t>
      </w:r>
      <w:r w:rsidR="00185729">
        <w:rPr>
          <w:lang w:val="en-US" w:eastAsia="zh-CN"/>
        </w:rPr>
        <w:t>z</w:t>
      </w:r>
      <w:r w:rsidRPr="001031B3">
        <w:rPr>
          <w:lang w:val="en-US" w:eastAsia="zh-CN"/>
        </w:rPr>
        <w:t>ing</w:t>
      </w:r>
    </w:p>
    <w:p w:rsidR="00724B29" w:rsidRPr="00B41045" w:rsidRDefault="00724B29" w:rsidP="00185729">
      <w:pPr>
        <w:tabs>
          <w:tab w:val="left" w:pos="794"/>
        </w:tabs>
        <w:jc w:val="both"/>
        <w:rPr>
          <w:lang w:val="en-US" w:eastAsia="zh-CN"/>
        </w:rPr>
      </w:pPr>
      <w:r w:rsidRPr="009D0F82">
        <w:rPr>
          <w:lang w:val="en-US" w:eastAsia="zh-CN"/>
        </w:rPr>
        <w:t>a)</w:t>
      </w:r>
      <w:r>
        <w:rPr>
          <w:lang w:val="en-US" w:eastAsia="zh-CN"/>
        </w:rPr>
        <w:tab/>
      </w:r>
      <w:r w:rsidRPr="00B41045">
        <w:rPr>
          <w:lang w:val="en-US" w:eastAsia="zh-CN"/>
        </w:rPr>
        <w:t xml:space="preserve">that Recommendation ITU-R BT.1122 </w:t>
      </w:r>
      <w:r w:rsidR="00185729">
        <w:rPr>
          <w:lang w:val="en-US" w:eastAsia="zh-CN"/>
        </w:rPr>
        <w:t xml:space="preserve">– </w:t>
      </w:r>
      <w:r w:rsidRPr="00B41045">
        <w:rPr>
          <w:lang w:val="en-US" w:eastAsia="zh-CN"/>
        </w:rPr>
        <w:t>User requirements for codecs for emission and secondary distribution systems for SDTV and HDTV specifies the maximum tolerable loss of perceived quality caused by source coding applied in a distribution chain, based on an assumed number and types of source codecs in the chain;</w:t>
      </w:r>
    </w:p>
    <w:p w:rsidR="000F499A" w:rsidRDefault="000F499A">
      <w:pPr>
        <w:tabs>
          <w:tab w:val="clear" w:pos="1134"/>
          <w:tab w:val="clear" w:pos="1871"/>
          <w:tab w:val="clear" w:pos="2268"/>
        </w:tabs>
        <w:overflowPunct/>
        <w:autoSpaceDE/>
        <w:autoSpaceDN/>
        <w:adjustRightInd/>
        <w:spacing w:before="0"/>
        <w:textAlignment w:val="auto"/>
        <w:rPr>
          <w:lang w:val="en-US" w:eastAsia="zh-CN"/>
        </w:rPr>
      </w:pPr>
      <w:r>
        <w:rPr>
          <w:lang w:val="en-US" w:eastAsia="zh-CN"/>
        </w:rPr>
        <w:br w:type="page"/>
      </w:r>
    </w:p>
    <w:p w:rsidR="00724B29" w:rsidRPr="00440ED3" w:rsidRDefault="00724B29" w:rsidP="00185729">
      <w:pPr>
        <w:tabs>
          <w:tab w:val="left" w:pos="794"/>
        </w:tabs>
        <w:jc w:val="both"/>
        <w:rPr>
          <w:lang w:val="en-US" w:eastAsia="zh-CN"/>
        </w:rPr>
      </w:pPr>
      <w:r w:rsidRPr="009D0F82">
        <w:rPr>
          <w:lang w:val="en-US" w:eastAsia="zh-CN"/>
        </w:rPr>
        <w:lastRenderedPageBreak/>
        <w:t>b)</w:t>
      </w:r>
      <w:r>
        <w:rPr>
          <w:lang w:val="en-US" w:eastAsia="zh-CN"/>
        </w:rPr>
        <w:tab/>
      </w:r>
      <w:r w:rsidRPr="00440ED3">
        <w:rPr>
          <w:lang w:val="en-US" w:eastAsia="zh-CN"/>
        </w:rPr>
        <w:t xml:space="preserve">that Recommendation ITU-R BT.1203 </w:t>
      </w:r>
      <w:r w:rsidR="00185729">
        <w:rPr>
          <w:lang w:val="en-US" w:eastAsia="zh-CN"/>
        </w:rPr>
        <w:t>–</w:t>
      </w:r>
      <w:r w:rsidR="00185729" w:rsidRPr="00440ED3">
        <w:rPr>
          <w:lang w:val="en-US" w:eastAsia="zh-CN"/>
        </w:rPr>
        <w:t xml:space="preserve"> </w:t>
      </w:r>
      <w:r w:rsidRPr="00440ED3">
        <w:rPr>
          <w:lang w:val="en-US" w:eastAsia="zh-CN"/>
        </w:rPr>
        <w:t>User requirements for generic video bit-rate reduction coding of digital TV signals for an end-to-end television system provides user requirements for video bit-rate reduction coding of digital TV signals for an end-to-end television system (from programme production to programme presentation at the end user premises), with respect to picture formats, coding schemes, picture quality, etc. when using codecs complying with Recommendations ITU-T H.262 (MPEG-2 Video) or H.264 (MPEG-4 AVC);</w:t>
      </w:r>
    </w:p>
    <w:p w:rsidR="00724B29" w:rsidRPr="00440ED3" w:rsidRDefault="00724B29" w:rsidP="00185729">
      <w:pPr>
        <w:tabs>
          <w:tab w:val="left" w:pos="794"/>
        </w:tabs>
        <w:jc w:val="both"/>
        <w:rPr>
          <w:lang w:val="en-US" w:eastAsia="zh-CN"/>
        </w:rPr>
      </w:pPr>
      <w:r w:rsidRPr="009D0F82">
        <w:rPr>
          <w:lang w:val="en-US" w:eastAsia="zh-CN"/>
        </w:rPr>
        <w:t>c)</w:t>
      </w:r>
      <w:r>
        <w:rPr>
          <w:lang w:val="en-US" w:eastAsia="zh-CN"/>
        </w:rPr>
        <w:tab/>
      </w:r>
      <w:r w:rsidRPr="00440ED3">
        <w:rPr>
          <w:lang w:val="en-US" w:eastAsia="zh-CN"/>
        </w:rPr>
        <w:t xml:space="preserve">that Recommendation ITU-R BT.1737 </w:t>
      </w:r>
      <w:r w:rsidR="00185729">
        <w:rPr>
          <w:lang w:val="en-US" w:eastAsia="zh-CN"/>
        </w:rPr>
        <w:t xml:space="preserve">– </w:t>
      </w:r>
      <w:r w:rsidRPr="00440ED3">
        <w:rPr>
          <w:lang w:val="en-US" w:eastAsia="zh-CN"/>
        </w:rPr>
        <w:t>Use of the Recommendation ITU-T H.264 (MPEG-4/AVC) video source-coding method to transport high definition TV programme material provides an indication of the source-coding parameters and minimal tools for various members of the HDTV image family specified in Part 2 of Recommendation ITU-R BT.709, and of the bit rate required to transport programme</w:t>
      </w:r>
      <w:r>
        <w:rPr>
          <w:lang w:val="en-US" w:eastAsia="zh-CN"/>
        </w:rPr>
        <w:t>s</w:t>
      </w:r>
      <w:r w:rsidRPr="00440ED3">
        <w:rPr>
          <w:lang w:val="en-US" w:eastAsia="zh-CN"/>
        </w:rPr>
        <w:t xml:space="preserve"> so coded, in various applications related to broadcasting;</w:t>
      </w:r>
    </w:p>
    <w:p w:rsidR="00724B29" w:rsidRPr="00440ED3" w:rsidRDefault="00724B29" w:rsidP="00185729">
      <w:pPr>
        <w:tabs>
          <w:tab w:val="left" w:pos="794"/>
        </w:tabs>
        <w:jc w:val="both"/>
        <w:rPr>
          <w:lang w:val="en-US" w:eastAsia="zh-CN"/>
        </w:rPr>
      </w:pPr>
      <w:r w:rsidRPr="009D0F82">
        <w:rPr>
          <w:lang w:val="en-US" w:eastAsia="zh-CN"/>
        </w:rPr>
        <w:t>d)</w:t>
      </w:r>
      <w:r w:rsidRPr="0091219E">
        <w:rPr>
          <w:i/>
          <w:iCs/>
          <w:lang w:val="en-US" w:eastAsia="zh-CN"/>
        </w:rPr>
        <w:tab/>
      </w:r>
      <w:r w:rsidRPr="00440ED3">
        <w:rPr>
          <w:lang w:val="en-US" w:eastAsia="zh-CN"/>
        </w:rPr>
        <w:t>tha</w:t>
      </w:r>
      <w:r w:rsidR="00185729">
        <w:rPr>
          <w:lang w:val="en-US" w:eastAsia="zh-CN"/>
        </w:rPr>
        <w:t xml:space="preserve">t Recommendation ITU-R BT.1790 – </w:t>
      </w:r>
      <w:r w:rsidRPr="00440ED3">
        <w:rPr>
          <w:lang w:val="en-US" w:eastAsia="zh-CN"/>
        </w:rPr>
        <w:t>Requirements for monitoring of broadcasting chains during operation provides a useful overview of broadcasters’ requirements for operational monitoring in digital broadcasting chains, identifying the performance areas that should be investigated;</w:t>
      </w:r>
    </w:p>
    <w:p w:rsidR="00724B29" w:rsidRPr="00ED61D9" w:rsidRDefault="00724B29" w:rsidP="00185729">
      <w:pPr>
        <w:tabs>
          <w:tab w:val="left" w:pos="794"/>
        </w:tabs>
        <w:jc w:val="both"/>
        <w:rPr>
          <w:lang w:val="en-US" w:eastAsia="zh-CN"/>
        </w:rPr>
      </w:pPr>
      <w:r w:rsidRPr="009D0F82">
        <w:rPr>
          <w:lang w:val="en-US" w:eastAsia="zh-CN"/>
        </w:rPr>
        <w:t>e)</w:t>
      </w:r>
      <w:r>
        <w:rPr>
          <w:lang w:val="en-US" w:eastAsia="zh-CN"/>
        </w:rPr>
        <w:tab/>
      </w:r>
      <w:r w:rsidRPr="00ED61D9">
        <w:rPr>
          <w:lang w:val="en-US" w:eastAsia="zh-CN"/>
        </w:rPr>
        <w:t xml:space="preserve">that Recommendation ITU-R BT.1865 </w:t>
      </w:r>
      <w:r w:rsidR="00185729">
        <w:rPr>
          <w:lang w:val="en-US" w:eastAsia="zh-CN"/>
        </w:rPr>
        <w:t xml:space="preserve">– </w:t>
      </w:r>
      <w:r w:rsidRPr="00ED61D9">
        <w:rPr>
          <w:lang w:val="en-US" w:eastAsia="zh-CN"/>
        </w:rPr>
        <w:t>Metadata to monitor errors of SDTV and HDTV signals in the broadcasting chain specifies a method to remotely monitor errors of audio, video and data signals at arbitrary monitoring points in an SDTV or HDTV digital broadcasting chain through the use of appropriate metadata packetized into ancillary data packets</w:t>
      </w:r>
      <w:r>
        <w:rPr>
          <w:lang w:val="en-US" w:eastAsia="zh-CN"/>
        </w:rPr>
        <w:t>;</w:t>
      </w:r>
      <w:r w:rsidRPr="00ED61D9">
        <w:rPr>
          <w:lang w:val="en-US" w:eastAsia="zh-CN"/>
        </w:rPr>
        <w:t xml:space="preserve"> </w:t>
      </w:r>
    </w:p>
    <w:p w:rsidR="00724B29" w:rsidRPr="009700D7" w:rsidRDefault="00724B29" w:rsidP="00185729">
      <w:pPr>
        <w:tabs>
          <w:tab w:val="left" w:pos="794"/>
        </w:tabs>
        <w:jc w:val="both"/>
        <w:rPr>
          <w:lang w:val="en-US" w:eastAsia="zh-CN"/>
        </w:rPr>
      </w:pPr>
      <w:r w:rsidRPr="009D0F82">
        <w:rPr>
          <w:lang w:val="en-US" w:eastAsia="zh-CN"/>
        </w:rPr>
        <w:t>f)</w:t>
      </w:r>
      <w:r>
        <w:rPr>
          <w:lang w:val="en-US" w:eastAsia="zh-CN"/>
        </w:rPr>
        <w:tab/>
      </w:r>
      <w:r w:rsidRPr="009700D7">
        <w:rPr>
          <w:lang w:val="en-US" w:eastAsia="zh-CN"/>
        </w:rPr>
        <w:t xml:space="preserve">that Recommendation ITU-R BT.1870 </w:t>
      </w:r>
      <w:r w:rsidR="00185729">
        <w:rPr>
          <w:lang w:val="en-US" w:eastAsia="zh-CN"/>
        </w:rPr>
        <w:t xml:space="preserve">– </w:t>
      </w:r>
      <w:r w:rsidRPr="009700D7">
        <w:rPr>
          <w:lang w:val="en-US" w:eastAsia="zh-CN"/>
        </w:rPr>
        <w:t>Video coding for digital television broadcasting emission specifies that the video source-coding methods specified in Recommendation</w:t>
      </w:r>
      <w:r>
        <w:rPr>
          <w:lang w:val="en-US" w:eastAsia="zh-CN"/>
        </w:rPr>
        <w:t>s</w:t>
      </w:r>
      <w:r w:rsidRPr="009700D7">
        <w:rPr>
          <w:lang w:val="en-US" w:eastAsia="zh-CN"/>
        </w:rPr>
        <w:t xml:space="preserve"> ITU</w:t>
      </w:r>
      <w:r w:rsidR="009D0F82">
        <w:rPr>
          <w:lang w:val="en-US" w:eastAsia="zh-CN"/>
        </w:rPr>
        <w:noBreakHyphen/>
      </w:r>
      <w:r w:rsidRPr="009700D7">
        <w:rPr>
          <w:lang w:val="en-US" w:eastAsia="zh-CN"/>
        </w:rPr>
        <w:t>T</w:t>
      </w:r>
      <w:r w:rsidR="009D0F82">
        <w:rPr>
          <w:lang w:val="en-US" w:eastAsia="zh-CN"/>
        </w:rPr>
        <w:t> </w:t>
      </w:r>
      <w:r w:rsidRPr="009700D7">
        <w:rPr>
          <w:lang w:val="en-US" w:eastAsia="zh-CN"/>
        </w:rPr>
        <w:t>H.262 (MPEG-2 Video) and H.264 (MPEG-4 AVC) should be used for digital broadcasting emission of SDTV or HDTV programmes;</w:t>
      </w:r>
    </w:p>
    <w:p w:rsidR="00724B29" w:rsidRPr="00ED61D9" w:rsidRDefault="00724B29" w:rsidP="00185729">
      <w:pPr>
        <w:tabs>
          <w:tab w:val="left" w:pos="794"/>
        </w:tabs>
        <w:jc w:val="both"/>
        <w:rPr>
          <w:lang w:val="en-US" w:eastAsia="zh-CN"/>
        </w:rPr>
      </w:pPr>
      <w:r w:rsidRPr="009D0F82">
        <w:rPr>
          <w:lang w:val="en-US" w:eastAsia="zh-CN"/>
        </w:rPr>
        <w:t>g)</w:t>
      </w:r>
      <w:r>
        <w:rPr>
          <w:lang w:val="en-US" w:eastAsia="zh-CN"/>
        </w:rPr>
        <w:tab/>
      </w:r>
      <w:r w:rsidRPr="00ED61D9">
        <w:rPr>
          <w:lang w:val="en-US" w:eastAsia="zh-CN"/>
        </w:rPr>
        <w:t>that</w:t>
      </w:r>
      <w:r>
        <w:rPr>
          <w:lang w:val="en-US" w:eastAsia="zh-CN"/>
        </w:rPr>
        <w:t xml:space="preserve"> Recommendation ITU-R BT.1885 </w:t>
      </w:r>
      <w:r w:rsidR="00185729">
        <w:rPr>
          <w:lang w:val="en-US" w:eastAsia="zh-CN"/>
        </w:rPr>
        <w:t xml:space="preserve">– </w:t>
      </w:r>
      <w:r w:rsidRPr="00ED61D9">
        <w:rPr>
          <w:lang w:val="en-US" w:eastAsia="zh-CN"/>
        </w:rPr>
        <w:t xml:space="preserve">Objective perceptual video quality measurement techniques for standard definition digital broadcast television in the presence of a reduced bandwidth reference specifies a </w:t>
      </w:r>
      <w:r>
        <w:rPr>
          <w:lang w:val="en-US" w:eastAsia="zh-CN"/>
        </w:rPr>
        <w:t>model</w:t>
      </w:r>
      <w:r w:rsidRPr="00ED61D9">
        <w:rPr>
          <w:lang w:val="en-US" w:eastAsia="zh-CN"/>
        </w:rPr>
        <w:t xml:space="preserve"> to measure perceptual quality loss due to SDTV programme distribution, based on a comparison of a number of features of the SDTV programme sequences, measured at the input and at the output of the distribution chain;</w:t>
      </w:r>
    </w:p>
    <w:p w:rsidR="00724B29" w:rsidRPr="00ED61D9" w:rsidRDefault="00724B29" w:rsidP="00185729">
      <w:pPr>
        <w:tabs>
          <w:tab w:val="left" w:pos="794"/>
        </w:tabs>
        <w:rPr>
          <w:lang w:val="en-US" w:eastAsia="zh-CN"/>
        </w:rPr>
      </w:pPr>
      <w:r w:rsidRPr="009D0F82">
        <w:rPr>
          <w:lang w:val="en-US" w:eastAsia="zh-CN"/>
        </w:rPr>
        <w:t>h)</w:t>
      </w:r>
      <w:r>
        <w:rPr>
          <w:lang w:val="en-US" w:eastAsia="zh-CN"/>
        </w:rPr>
        <w:tab/>
      </w:r>
      <w:r w:rsidRPr="00ED61D9">
        <w:rPr>
          <w:lang w:val="en-US" w:eastAsia="zh-CN"/>
        </w:rPr>
        <w:t xml:space="preserve">that Recommendation ITU-R BT.1908 </w:t>
      </w:r>
      <w:r w:rsidR="00185729">
        <w:rPr>
          <w:lang w:val="en-US" w:eastAsia="zh-CN"/>
        </w:rPr>
        <w:t xml:space="preserve">– </w:t>
      </w:r>
      <w:r w:rsidRPr="00ED61D9">
        <w:rPr>
          <w:lang w:val="en-US" w:eastAsia="zh-CN"/>
        </w:rPr>
        <w:t xml:space="preserve">Objective video quality measurement techniques for broadcasting applications using HDTV in the presence of a reduced reference signal specifies a </w:t>
      </w:r>
      <w:r>
        <w:rPr>
          <w:lang w:val="en-US" w:eastAsia="zh-CN"/>
        </w:rPr>
        <w:t>model</w:t>
      </w:r>
      <w:r w:rsidRPr="00ED61D9">
        <w:rPr>
          <w:lang w:val="en-US" w:eastAsia="zh-CN"/>
        </w:rPr>
        <w:t xml:space="preserve"> to measure perceptual quality loss due to HDTV programme distribution, based on a comparison of a number of features of the HDTV programme sequences, measured at the input and at the output of the distribution chain,</w:t>
      </w:r>
    </w:p>
    <w:p w:rsidR="00724B29" w:rsidRPr="005977B7" w:rsidRDefault="00724B29" w:rsidP="00724B29">
      <w:pPr>
        <w:pStyle w:val="Call"/>
        <w:rPr>
          <w:lang w:val="en-US" w:eastAsia="zh-CN"/>
        </w:rPr>
      </w:pPr>
      <w:r w:rsidRPr="005977B7">
        <w:rPr>
          <w:lang w:val="en-US" w:eastAsia="zh-CN"/>
        </w:rPr>
        <w:t>recommends</w:t>
      </w:r>
    </w:p>
    <w:p w:rsidR="00724B29" w:rsidRDefault="00724B29" w:rsidP="00F23F89">
      <w:pPr>
        <w:tabs>
          <w:tab w:val="left" w:pos="794"/>
        </w:tabs>
        <w:jc w:val="both"/>
        <w:rPr>
          <w:lang w:val="en-US" w:eastAsia="zh-CN"/>
        </w:rPr>
      </w:pPr>
      <w:r w:rsidRPr="009D0F82">
        <w:rPr>
          <w:b/>
          <w:bCs/>
          <w:lang w:val="en-US" w:eastAsia="zh-CN"/>
        </w:rPr>
        <w:t>1</w:t>
      </w:r>
      <w:r>
        <w:rPr>
          <w:lang w:val="en-US" w:eastAsia="zh-CN"/>
        </w:rPr>
        <w:tab/>
        <w:t>that Recommendations ITU-R BT.</w:t>
      </w:r>
      <w:r w:rsidRPr="00440ED3">
        <w:rPr>
          <w:lang w:val="en-US" w:eastAsia="zh-CN"/>
        </w:rPr>
        <w:t xml:space="preserve">1203 and </w:t>
      </w:r>
      <w:r>
        <w:rPr>
          <w:lang w:val="en-US" w:eastAsia="zh-CN"/>
        </w:rPr>
        <w:t xml:space="preserve">ITU-R </w:t>
      </w:r>
      <w:r w:rsidRPr="00440ED3">
        <w:rPr>
          <w:lang w:val="en-US" w:eastAsia="zh-CN"/>
        </w:rPr>
        <w:t>BT.1790</w:t>
      </w:r>
      <w:r>
        <w:rPr>
          <w:lang w:val="en-US" w:eastAsia="zh-CN"/>
        </w:rPr>
        <w:t xml:space="preserve"> should be taken into account in the design of in-service systems intended to measure and monitor the transparency of SDTV and HDTV distribution chain by measuring the </w:t>
      </w:r>
      <w:r w:rsidR="00400E77">
        <w:rPr>
          <w:lang w:val="en-US" w:eastAsia="zh-CN"/>
        </w:rPr>
        <w:t xml:space="preserve">objective </w:t>
      </w:r>
      <w:r>
        <w:rPr>
          <w:lang w:val="en-US" w:eastAsia="zh-CN"/>
        </w:rPr>
        <w:t>perceptual quality</w:t>
      </w:r>
      <w:r w:rsidR="00400E77">
        <w:rPr>
          <w:rStyle w:val="FootnoteReference"/>
          <w:lang w:val="en-US" w:eastAsia="zh-CN"/>
        </w:rPr>
        <w:footnoteReference w:id="4"/>
      </w:r>
      <w:r>
        <w:rPr>
          <w:lang w:val="en-US" w:eastAsia="zh-CN"/>
        </w:rPr>
        <w:t xml:space="preserve"> of the SDTV or HDTV programmes at appropriate points along the chain;</w:t>
      </w:r>
    </w:p>
    <w:p w:rsidR="00724B29" w:rsidRDefault="00724B29" w:rsidP="00185729">
      <w:pPr>
        <w:tabs>
          <w:tab w:val="left" w:pos="794"/>
        </w:tabs>
        <w:jc w:val="both"/>
        <w:rPr>
          <w:lang w:val="en-US" w:eastAsia="zh-CN"/>
        </w:rPr>
      </w:pPr>
      <w:r w:rsidRPr="009D0F82">
        <w:rPr>
          <w:b/>
          <w:bCs/>
          <w:lang w:val="en-US" w:eastAsia="zh-CN"/>
        </w:rPr>
        <w:t>2</w:t>
      </w:r>
      <w:r>
        <w:rPr>
          <w:lang w:val="en-US" w:eastAsia="zh-CN"/>
        </w:rPr>
        <w:tab/>
        <w:t xml:space="preserve">that the models specified in Recommendations ITU-R BT.1885 and ITU-R BT.1908 should be used to measure the </w:t>
      </w:r>
      <w:r w:rsidR="00400E77">
        <w:rPr>
          <w:lang w:val="en-US" w:eastAsia="zh-CN"/>
        </w:rPr>
        <w:t xml:space="preserve">objective </w:t>
      </w:r>
      <w:r>
        <w:rPr>
          <w:lang w:val="en-US" w:eastAsia="zh-CN"/>
        </w:rPr>
        <w:t>perceptual quality of respectively SDTV and HDTV programmes delivered through distribution chains;</w:t>
      </w:r>
    </w:p>
    <w:p w:rsidR="000F499A" w:rsidRDefault="000F499A" w:rsidP="00185729">
      <w:pPr>
        <w:tabs>
          <w:tab w:val="clear" w:pos="1134"/>
          <w:tab w:val="clear" w:pos="1871"/>
          <w:tab w:val="clear" w:pos="2268"/>
          <w:tab w:val="left" w:pos="794"/>
        </w:tabs>
        <w:overflowPunct/>
        <w:autoSpaceDE/>
        <w:autoSpaceDN/>
        <w:adjustRightInd/>
        <w:spacing w:before="0"/>
        <w:textAlignment w:val="auto"/>
        <w:rPr>
          <w:b/>
          <w:bCs/>
          <w:lang w:val="en-US" w:eastAsia="zh-CN"/>
        </w:rPr>
      </w:pPr>
      <w:r>
        <w:rPr>
          <w:b/>
          <w:bCs/>
          <w:lang w:val="en-US" w:eastAsia="zh-CN"/>
        </w:rPr>
        <w:br w:type="page"/>
      </w:r>
    </w:p>
    <w:p w:rsidR="00724B29" w:rsidRDefault="00724B29" w:rsidP="00185729">
      <w:pPr>
        <w:tabs>
          <w:tab w:val="left" w:pos="794"/>
        </w:tabs>
        <w:jc w:val="both"/>
        <w:rPr>
          <w:lang w:val="en-US" w:eastAsia="zh-CN"/>
        </w:rPr>
      </w:pPr>
      <w:r w:rsidRPr="009D0F82">
        <w:rPr>
          <w:b/>
          <w:bCs/>
          <w:lang w:val="en-US" w:eastAsia="zh-CN"/>
        </w:rPr>
        <w:lastRenderedPageBreak/>
        <w:t>3</w:t>
      </w:r>
      <w:r>
        <w:rPr>
          <w:lang w:val="en-US" w:eastAsia="zh-CN"/>
        </w:rPr>
        <w:tab/>
        <w:t>that, when the results of measurements taken at appropriate points along a distribution chain are sent to a downstream monitoring point in the form of metadata packetized into ancillary data packets, this should be done in compliance with Recommendation ITU-R BT.1865;</w:t>
      </w:r>
    </w:p>
    <w:p w:rsidR="00724B29" w:rsidRDefault="00724B29" w:rsidP="00185729">
      <w:pPr>
        <w:tabs>
          <w:tab w:val="left" w:pos="794"/>
        </w:tabs>
        <w:jc w:val="both"/>
        <w:rPr>
          <w:lang w:val="en-US" w:eastAsia="zh-CN"/>
        </w:rPr>
      </w:pPr>
      <w:r w:rsidRPr="009D0F82">
        <w:rPr>
          <w:b/>
          <w:bCs/>
          <w:lang w:val="en-US" w:eastAsia="zh-CN"/>
        </w:rPr>
        <w:t>4</w:t>
      </w:r>
      <w:r>
        <w:rPr>
          <w:lang w:val="en-US" w:eastAsia="zh-CN"/>
        </w:rPr>
        <w:tab/>
        <w:t>that, in setting acceptance limits for the transparency of distribution chains used for broadcasting, the indications on the transparency required for such chains and of the related data rates given in Recommendations ITU</w:t>
      </w:r>
      <w:r>
        <w:rPr>
          <w:lang w:val="en-US" w:eastAsia="zh-CN"/>
        </w:rPr>
        <w:noBreakHyphen/>
        <w:t>R BT.1122, ITU-R BT.1203</w:t>
      </w:r>
      <w:r w:rsidRPr="00440ED3">
        <w:rPr>
          <w:lang w:val="en-US" w:eastAsia="zh-CN"/>
        </w:rPr>
        <w:t xml:space="preserve"> and</w:t>
      </w:r>
      <w:r>
        <w:rPr>
          <w:lang w:val="en-US" w:eastAsia="zh-CN"/>
        </w:rPr>
        <w:t xml:space="preserve"> ITU-R</w:t>
      </w:r>
      <w:r w:rsidRPr="00440ED3">
        <w:rPr>
          <w:lang w:val="en-US" w:eastAsia="zh-CN"/>
        </w:rPr>
        <w:t xml:space="preserve"> BT.1737</w:t>
      </w:r>
      <w:r>
        <w:rPr>
          <w:lang w:val="en-US" w:eastAsia="zh-CN"/>
        </w:rPr>
        <w:t xml:space="preserve"> should be taken into account.</w:t>
      </w:r>
    </w:p>
    <w:p w:rsidR="009D0F82" w:rsidRPr="00724B29" w:rsidRDefault="009D0F82" w:rsidP="009D0F82">
      <w:pPr>
        <w:pStyle w:val="Line"/>
        <w:rPr>
          <w:lang w:val="en-US"/>
        </w:rPr>
      </w:pPr>
    </w:p>
    <w:sectPr w:rsidR="009D0F82" w:rsidRPr="00724B29" w:rsidSect="00A25CDF">
      <w:headerReference w:type="even" r:id="rId13"/>
      <w:headerReference w:type="default" r:id="rId1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4B29" w:rsidRDefault="00724B29">
      <w:r>
        <w:separator/>
      </w:r>
    </w:p>
  </w:endnote>
  <w:endnote w:type="continuationSeparator" w:id="0">
    <w:p w:rsidR="00724B29" w:rsidRDefault="00724B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4B29" w:rsidRDefault="00724B29">
      <w:r>
        <w:separator/>
      </w:r>
    </w:p>
  </w:footnote>
  <w:footnote w:type="continuationSeparator" w:id="0">
    <w:p w:rsidR="00724B29" w:rsidRDefault="00724B29">
      <w:r>
        <w:continuationSeparator/>
      </w:r>
    </w:p>
  </w:footnote>
  <w:footnote w:id="1">
    <w:p w:rsidR="00724B29" w:rsidRPr="00735BA8" w:rsidRDefault="00724B29" w:rsidP="00724B29">
      <w:pPr>
        <w:pStyle w:val="FootnoteText"/>
        <w:rPr>
          <w:lang w:val="en-US"/>
        </w:rPr>
      </w:pPr>
      <w:r>
        <w:rPr>
          <w:rStyle w:val="FootnoteReference"/>
        </w:rPr>
        <w:footnoteRef/>
      </w:r>
      <w:r w:rsidRPr="00724B29">
        <w:rPr>
          <w:lang w:val="en-US"/>
        </w:rPr>
        <w:tab/>
        <w:t>In-service testing is the ability to measure transmission performance parameters without disrupting normal transmission of programme signals.</w:t>
      </w:r>
    </w:p>
  </w:footnote>
  <w:footnote w:id="2">
    <w:p w:rsidR="00724B29" w:rsidRPr="00724B29" w:rsidRDefault="00724B29" w:rsidP="00724B29">
      <w:pPr>
        <w:pStyle w:val="FootnoteText"/>
        <w:rPr>
          <w:lang w:val="en-US"/>
        </w:rPr>
      </w:pPr>
      <w:r w:rsidRPr="00735BA8">
        <w:rPr>
          <w:rStyle w:val="FootnoteReference"/>
          <w:szCs w:val="18"/>
        </w:rPr>
        <w:footnoteRef/>
      </w:r>
      <w:r w:rsidRPr="00724B29">
        <w:rPr>
          <w:szCs w:val="22"/>
          <w:lang w:val="en-US"/>
        </w:rPr>
        <w:tab/>
      </w:r>
      <w:r w:rsidRPr="00724B29">
        <w:rPr>
          <w:szCs w:val="24"/>
          <w:lang w:val="en-US"/>
        </w:rPr>
        <w:t>For the purpose of this Recommendation, the term “transparent distribution chain” is defined as “a television distribution chain that does not adversely impact on the subjective quality of the television programme sequences that it carries”.</w:t>
      </w:r>
    </w:p>
  </w:footnote>
  <w:footnote w:id="3">
    <w:p w:rsidR="00724B29" w:rsidRPr="00724B29" w:rsidRDefault="00724B29" w:rsidP="00724B29">
      <w:pPr>
        <w:pStyle w:val="FootnoteText"/>
        <w:rPr>
          <w:lang w:val="en-US"/>
        </w:rPr>
      </w:pPr>
      <w:r w:rsidRPr="00735BA8">
        <w:rPr>
          <w:rStyle w:val="FootnoteReference"/>
          <w:szCs w:val="18"/>
        </w:rPr>
        <w:footnoteRef/>
      </w:r>
      <w:r w:rsidRPr="00724B29">
        <w:rPr>
          <w:szCs w:val="22"/>
          <w:lang w:val="en-US"/>
        </w:rPr>
        <w:tab/>
      </w:r>
      <w:r w:rsidRPr="00724B29">
        <w:rPr>
          <w:szCs w:val="24"/>
          <w:lang w:val="en-US"/>
        </w:rPr>
        <w:t xml:space="preserve">The scope of Study Group 6 states, </w:t>
      </w:r>
      <w:r w:rsidRPr="00724B29">
        <w:rPr>
          <w:i/>
          <w:szCs w:val="24"/>
          <w:lang w:val="en-US"/>
        </w:rPr>
        <w:t>inter alia</w:t>
      </w:r>
      <w:r w:rsidRPr="00724B29">
        <w:rPr>
          <w:szCs w:val="24"/>
          <w:lang w:val="en-US"/>
        </w:rPr>
        <w:t>, that “The Study Group, recognizing that radiocommunication broadcasting extends from the production of programmes to their delivery to the general public, as detailed above, studies those aspects related to production and radiocommunication, including the international exchange of programmes as well as the overall quality of service.”</w:t>
      </w:r>
    </w:p>
  </w:footnote>
  <w:footnote w:id="4">
    <w:p w:rsidR="00400E77" w:rsidRPr="006C14C4" w:rsidRDefault="00400E77" w:rsidP="00400E77">
      <w:pPr>
        <w:pStyle w:val="FootnoteText"/>
        <w:rPr>
          <w:lang w:val="en-US"/>
        </w:rPr>
      </w:pPr>
      <w:r>
        <w:rPr>
          <w:rStyle w:val="FootnoteReference"/>
        </w:rPr>
        <w:footnoteRef/>
      </w:r>
      <w:r w:rsidRPr="00724B29">
        <w:rPr>
          <w:lang w:val="en-US"/>
        </w:rPr>
        <w:tab/>
        <w:t>For the purpose of this Recommendation, the term “</w:t>
      </w:r>
      <w:r>
        <w:rPr>
          <w:rFonts w:hint="eastAsia"/>
          <w:lang w:val="en-US" w:eastAsia="ja-JP"/>
        </w:rPr>
        <w:t xml:space="preserve">objective </w:t>
      </w:r>
      <w:r w:rsidRPr="00724B29">
        <w:rPr>
          <w:lang w:val="en-US"/>
        </w:rPr>
        <w:t>perceptual quality” is defined as “the quality of television programme sequences measured by an objective measurement method to obtain an indication that approximates the rating that would be obtained from a subjective assessment test”.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31B3" w:rsidRDefault="001031B3">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31B3" w:rsidRDefault="001031B3" w:rsidP="00B033C8">
    <w:pPr>
      <w:pStyle w:val="Header"/>
      <w:ind w:right="360" w:firstLine="360"/>
    </w:pPr>
    <w:r>
      <w:rPr>
        <w:noProof/>
        <w:lang w:val="en-US" w:eastAsia="zh-CN"/>
      </w:rPr>
      <w:drawing>
        <wp:anchor distT="0" distB="0" distL="114300" distR="114300" simplePos="0" relativeHeight="251659264" behindDoc="1" locked="0" layoutInCell="1" allowOverlap="1" wp14:anchorId="36B85422" wp14:editId="58808014">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31B3" w:rsidRPr="000F6905" w:rsidRDefault="001031B3">
    <w:pPr>
      <w:pStyle w:val="Header"/>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3876BD">
      <w:rPr>
        <w:rStyle w:val="PageNumber"/>
        <w:b/>
        <w:bCs/>
        <w:noProof/>
      </w:rPr>
      <w:t>ii</w:t>
    </w:r>
    <w:r>
      <w:rPr>
        <w:rStyle w:val="PageNumber"/>
        <w:b/>
        <w:bCs/>
      </w:rPr>
      <w:fldChar w:fldCharType="end"/>
    </w:r>
    <w:r w:rsidRPr="000F6905">
      <w:tab/>
    </w:r>
    <w:fldSimple w:instr=" DOCPROPERTY &quot;Header&quot; \* MERGEFORMAT ">
      <w:r w:rsidR="003876BD" w:rsidRPr="003876BD">
        <w:rPr>
          <w:b/>
          <w:bCs/>
        </w:rPr>
        <w:t xml:space="preserve">Rec. </w:t>
      </w:r>
    </w:fldSimple>
    <w:r>
      <w:rPr>
        <w:b/>
        <w:bCs/>
      </w:rPr>
      <w:t xml:space="preserve"> </w:t>
    </w:r>
    <w:r>
      <w:rPr>
        <w:b/>
        <w:bCs/>
      </w:rPr>
      <w:fldChar w:fldCharType="begin"/>
    </w:r>
    <w:r w:rsidRPr="000F6905">
      <w:rPr>
        <w:b/>
        <w:bCs/>
      </w:rPr>
      <w:instrText>styleref href</w:instrText>
    </w:r>
    <w:r>
      <w:rPr>
        <w:b/>
        <w:bCs/>
      </w:rPr>
      <w:fldChar w:fldCharType="separate"/>
    </w:r>
    <w:r w:rsidR="003876BD">
      <w:rPr>
        <w:b/>
        <w:bCs/>
        <w:noProof/>
      </w:rPr>
      <w:t>ITU-R  BT.2026</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31B3" w:rsidRDefault="001031B3">
    <w:pPr>
      <w:pStyle w:val="Header"/>
    </w:pPr>
    <w:r>
      <w:tab/>
    </w:r>
    <w:fldSimple w:instr=" DOCPROPERTY &quot;Header&quot; \* MERGEFORMAT ">
      <w:r w:rsidR="003876BD" w:rsidRPr="003876BD">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3876BD">
      <w:rPr>
        <w:b/>
        <w:bCs/>
        <w:noProof/>
      </w:rPr>
      <w:t>ITU-R  BT.2026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B29" w:rsidRDefault="00724B2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876BD">
      <w:rPr>
        <w:rStyle w:val="PageNumber"/>
        <w:b/>
        <w:bCs/>
        <w:noProof/>
        <w:lang w:val="en-US"/>
      </w:rPr>
      <w:t>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3876BD" w:rsidRPr="003876BD">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3876BD">
      <w:rPr>
        <w:b/>
        <w:bCs/>
        <w:noProof/>
      </w:rPr>
      <w:t>ITU-R  BT.2026</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B29" w:rsidRDefault="00724B29">
    <w:pPr>
      <w:pStyle w:val="Header"/>
    </w:pPr>
    <w:r>
      <w:tab/>
    </w:r>
    <w:fldSimple w:instr=" DOCPROPERTY &quot;Header&quot; \* MERGEFORMAT ">
      <w:r w:rsidR="003876BD" w:rsidRPr="003876BD">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3876BD">
      <w:rPr>
        <w:b/>
        <w:bCs/>
        <w:noProof/>
      </w:rPr>
      <w:t>ITU-R  BT.2026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876BD">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1B89"/>
    <w:rsid w:val="000F499A"/>
    <w:rsid w:val="001031B3"/>
    <w:rsid w:val="00185729"/>
    <w:rsid w:val="001F1B89"/>
    <w:rsid w:val="00217EBF"/>
    <w:rsid w:val="00242AEE"/>
    <w:rsid w:val="002D76C4"/>
    <w:rsid w:val="003876BD"/>
    <w:rsid w:val="00400E77"/>
    <w:rsid w:val="004D4FAA"/>
    <w:rsid w:val="0052529D"/>
    <w:rsid w:val="005861E5"/>
    <w:rsid w:val="00607D68"/>
    <w:rsid w:val="00724B29"/>
    <w:rsid w:val="007468DA"/>
    <w:rsid w:val="009D0F82"/>
    <w:rsid w:val="009E00A8"/>
    <w:rsid w:val="00A25CDF"/>
    <w:rsid w:val="00A6617B"/>
    <w:rsid w:val="00AB0DC8"/>
    <w:rsid w:val="00AF07F8"/>
    <w:rsid w:val="00B00F13"/>
    <w:rsid w:val="00B44E24"/>
    <w:rsid w:val="00BF3F92"/>
    <w:rsid w:val="00DF4176"/>
    <w:rsid w:val="00F23F89"/>
    <w:rsid w:val="00FF7FE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24B29"/>
    <w:pPr>
      <w:tabs>
        <w:tab w:val="left" w:pos="1134"/>
        <w:tab w:val="left" w:pos="1871"/>
        <w:tab w:val="left" w:pos="2268"/>
      </w:tabs>
      <w:overflowPunct w:val="0"/>
      <w:autoSpaceDE w:val="0"/>
      <w:autoSpaceDN w:val="0"/>
      <w:adjustRightInd w:val="0"/>
      <w:spacing w:before="120"/>
      <w:textAlignment w:val="baseline"/>
    </w:pPr>
    <w:rPr>
      <w:sz w:val="24"/>
      <w:lang w:val="en-GB" w:eastAsia="en-US"/>
    </w:rPr>
  </w:style>
  <w:style w:type="paragraph" w:styleId="Heading1">
    <w:name w:val="heading 1"/>
    <w:basedOn w:val="Normal"/>
    <w:next w:val="Normal"/>
    <w:link w:val="Heading1Char"/>
    <w:qFormat/>
    <w:pPr>
      <w:keepNext/>
      <w:keepLines/>
      <w:tabs>
        <w:tab w:val="clear" w:pos="1134"/>
        <w:tab w:val="clear" w:pos="1871"/>
        <w:tab w:val="clear" w:pos="2268"/>
        <w:tab w:val="left" w:pos="794"/>
        <w:tab w:val="left" w:pos="1191"/>
        <w:tab w:val="left" w:pos="1588"/>
        <w:tab w:val="left" w:pos="1985"/>
      </w:tabs>
      <w:spacing w:before="480"/>
      <w:ind w:left="794" w:hanging="794"/>
      <w:jc w:val="both"/>
      <w:outlineLvl w:val="0"/>
    </w:pPr>
    <w:rPr>
      <w:b/>
      <w:lang w:val="fr-FR"/>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1134"/>
        <w:tab w:val="clear" w:pos="1871"/>
        <w:tab w:val="clear" w:pos="2268"/>
        <w:tab w:val="center" w:pos="4848"/>
        <w:tab w:val="right" w:pos="9696"/>
      </w:tabs>
      <w:spacing w:before="0"/>
      <w:jc w:val="center"/>
    </w:pPr>
    <w:rPr>
      <w:lang w:val="fr-FR"/>
    </w:rPr>
  </w:style>
  <w:style w:type="paragraph" w:styleId="Footer">
    <w:name w:val="footer"/>
    <w:basedOn w:val="Normal"/>
    <w:pPr>
      <w:tabs>
        <w:tab w:val="clear" w:pos="1134"/>
        <w:tab w:val="clear" w:pos="1871"/>
        <w:tab w:val="clear" w:pos="2268"/>
      </w:tabs>
      <w:spacing w:before="0"/>
      <w:jc w:val="both"/>
    </w:pPr>
    <w:rPr>
      <w:noProof/>
      <w:sz w:val="18"/>
      <w:lang w:val="fr-FR"/>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tabs>
        <w:tab w:val="clear" w:pos="1134"/>
        <w:tab w:val="clear" w:pos="1871"/>
        <w:tab w:val="clear" w:pos="2268"/>
        <w:tab w:val="left" w:pos="794"/>
        <w:tab w:val="left" w:pos="1191"/>
        <w:tab w:val="left" w:pos="1588"/>
        <w:tab w:val="left" w:pos="1985"/>
      </w:tabs>
      <w:spacing w:before="80"/>
      <w:ind w:left="794" w:hanging="794"/>
      <w:jc w:val="both"/>
    </w:pPr>
    <w:rPr>
      <w:lang w:val="fr-FR"/>
    </w:r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tabs>
        <w:tab w:val="clear" w:pos="1134"/>
        <w:tab w:val="clear" w:pos="1871"/>
        <w:tab w:val="clear" w:pos="2268"/>
        <w:tab w:val="left" w:pos="794"/>
        <w:tab w:val="left" w:pos="1191"/>
        <w:tab w:val="left" w:pos="1588"/>
        <w:tab w:val="left" w:pos="1985"/>
      </w:tabs>
      <w:spacing w:before="320"/>
      <w:jc w:val="both"/>
    </w:pPr>
    <w:rPr>
      <w:lang w:val="fr-FR"/>
    </w:rPr>
  </w:style>
  <w:style w:type="paragraph" w:customStyle="1" w:styleId="Note">
    <w:name w:val="Note"/>
    <w:basedOn w:val="Normal"/>
    <w:pPr>
      <w:tabs>
        <w:tab w:val="clear" w:pos="1134"/>
        <w:tab w:val="clear" w:pos="1871"/>
        <w:tab w:val="clear" w:pos="2268"/>
      </w:tabs>
      <w:spacing w:before="80"/>
      <w:jc w:val="both"/>
    </w:pPr>
    <w:rPr>
      <w:sz w:val="22"/>
      <w:lang w:val="fr-FR"/>
    </w:rPr>
  </w:style>
  <w:style w:type="paragraph" w:customStyle="1" w:styleId="RecNo">
    <w:name w:val="Rec_No"/>
    <w:basedOn w:val="Normal"/>
    <w:next w:val="Rectitle"/>
    <w:pPr>
      <w:keepNext/>
      <w:keepLines/>
      <w:tabs>
        <w:tab w:val="clear" w:pos="1134"/>
        <w:tab w:val="clear" w:pos="1871"/>
        <w:tab w:val="clear" w:pos="2268"/>
      </w:tabs>
      <w:spacing w:before="480"/>
      <w:jc w:val="center"/>
    </w:pPr>
    <w:rPr>
      <w:sz w:val="28"/>
      <w:lang w:val="fr-FR"/>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tabs>
        <w:tab w:val="clear" w:pos="1134"/>
        <w:tab w:val="clear" w:pos="1871"/>
        <w:tab w:val="clear" w:pos="2268"/>
        <w:tab w:val="left" w:pos="794"/>
        <w:tab w:val="left" w:pos="1191"/>
        <w:tab w:val="left" w:pos="1588"/>
        <w:tab w:val="left" w:pos="1985"/>
      </w:tabs>
      <w:jc w:val="center"/>
    </w:pPr>
    <w:rPr>
      <w:lang w:val="fr-FR"/>
    </w:r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fr-FR"/>
    </w:rPr>
  </w:style>
  <w:style w:type="paragraph" w:customStyle="1" w:styleId="AppendixNoTitle">
    <w:name w:val="Appendix_NoTitle"/>
    <w:basedOn w:val="AnnexNoTitle"/>
    <w:next w:val="Normal"/>
  </w:style>
  <w:style w:type="paragraph" w:customStyle="1" w:styleId="Tablefin">
    <w:name w:val="Table_fin"/>
    <w:basedOn w:val="Normal"/>
    <w:next w:val="Normal"/>
    <w:pPr>
      <w:tabs>
        <w:tab w:val="clear" w:pos="1134"/>
        <w:tab w:val="clear" w:pos="1871"/>
        <w:tab w:val="clear" w:pos="2268"/>
        <w:tab w:val="left" w:pos="794"/>
        <w:tab w:val="left" w:pos="1191"/>
        <w:tab w:val="left" w:pos="1588"/>
        <w:tab w:val="left" w:pos="1985"/>
      </w:tabs>
      <w:spacing w:before="0"/>
      <w:jc w:val="both"/>
    </w:pPr>
    <w:rPr>
      <w:sz w:val="20"/>
    </w:rPr>
  </w:style>
  <w:style w:type="paragraph" w:customStyle="1" w:styleId="Tablehead">
    <w:name w:val="Table_head"/>
    <w:basedOn w:val="Normal"/>
    <w:next w:val="Normal"/>
    <w:pPr>
      <w:keepNext/>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pPr>
    <w:rPr>
      <w:b/>
      <w:sz w:val="22"/>
      <w:lang w:val="fr-FR"/>
    </w:rPr>
  </w:style>
  <w:style w:type="paragraph" w:customStyle="1" w:styleId="Tablelegend">
    <w:name w:val="Table_legend"/>
    <w:basedOn w:val="Normal"/>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ind w:left="284" w:right="-85" w:hanging="369"/>
      <w:jc w:val="both"/>
    </w:pPr>
    <w:rPr>
      <w:sz w:val="22"/>
      <w:lang w:val="fr-FR"/>
    </w:rPr>
  </w:style>
  <w:style w:type="paragraph" w:customStyle="1" w:styleId="TableNo">
    <w:name w:val="Table_No"/>
    <w:basedOn w:val="Normal"/>
    <w:next w:val="Normal"/>
    <w:pPr>
      <w:keepNext/>
      <w:tabs>
        <w:tab w:val="clear" w:pos="1134"/>
        <w:tab w:val="clear" w:pos="1871"/>
        <w:tab w:val="clear" w:pos="2268"/>
        <w:tab w:val="left" w:pos="794"/>
        <w:tab w:val="left" w:pos="1191"/>
        <w:tab w:val="left" w:pos="1588"/>
        <w:tab w:val="left" w:pos="1985"/>
      </w:tabs>
      <w:spacing w:before="360" w:after="120"/>
      <w:jc w:val="center"/>
    </w:pPr>
    <w:rPr>
      <w:lang w:val="fr-FR"/>
    </w:rPr>
  </w:style>
  <w:style w:type="paragraph" w:customStyle="1" w:styleId="Tabletext">
    <w:name w:val="Table_text"/>
    <w:basedOn w:val="Normal"/>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pPr>
    <w:rPr>
      <w:sz w:val="22"/>
      <w:lang w:val="fr-FR"/>
    </w:rPr>
  </w:style>
  <w:style w:type="paragraph" w:customStyle="1" w:styleId="Equation">
    <w:name w:val="Equation"/>
    <w:basedOn w:val="Normal"/>
    <w:pPr>
      <w:tabs>
        <w:tab w:val="clear" w:pos="1134"/>
        <w:tab w:val="clear" w:pos="1871"/>
        <w:tab w:val="clear" w:pos="2268"/>
        <w:tab w:val="left" w:pos="794"/>
        <w:tab w:val="center" w:pos="4820"/>
        <w:tab w:val="right" w:pos="9639"/>
      </w:tabs>
      <w:jc w:val="both"/>
    </w:pPr>
    <w:rPr>
      <w:lang w:val="fr-FR"/>
    </w:r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tabs>
        <w:tab w:val="clear" w:pos="1134"/>
        <w:tab w:val="clear" w:pos="1871"/>
        <w:tab w:val="clear" w:pos="2268"/>
        <w:tab w:val="left" w:pos="794"/>
        <w:tab w:val="left" w:pos="1191"/>
        <w:tab w:val="left" w:pos="1588"/>
        <w:tab w:val="left" w:pos="1985"/>
      </w:tabs>
      <w:ind w:left="794"/>
      <w:jc w:val="both"/>
    </w:pPr>
    <w:rPr>
      <w:lang w:val="fr-FR"/>
    </w:rPr>
  </w:style>
  <w:style w:type="paragraph" w:customStyle="1" w:styleId="Figurelegend">
    <w:name w:val="Figure_legend"/>
    <w:basedOn w:val="Normal"/>
    <w:pPr>
      <w:keepNext/>
      <w:keepLines/>
      <w:tabs>
        <w:tab w:val="clear" w:pos="1134"/>
        <w:tab w:val="clear" w:pos="1871"/>
        <w:tab w:val="clear" w:pos="2268"/>
      </w:tabs>
      <w:spacing w:before="20" w:after="20"/>
      <w:jc w:val="both"/>
    </w:pPr>
    <w:rPr>
      <w:sz w:val="18"/>
      <w:lang w:val="fr-FR"/>
    </w:rPr>
  </w:style>
  <w:style w:type="paragraph" w:customStyle="1" w:styleId="FigureNo">
    <w:name w:val="Figure_No"/>
    <w:basedOn w:val="Normal"/>
    <w:next w:val="Figuretitle"/>
    <w:rsid w:val="00DF4176"/>
    <w:pPr>
      <w:keepNext/>
      <w:keepLines/>
      <w:tabs>
        <w:tab w:val="clear" w:pos="1134"/>
        <w:tab w:val="clear" w:pos="1871"/>
        <w:tab w:val="clear" w:pos="2268"/>
        <w:tab w:val="left" w:pos="794"/>
        <w:tab w:val="left" w:pos="1191"/>
        <w:tab w:val="left" w:pos="1588"/>
        <w:tab w:val="left" w:pos="1985"/>
      </w:tabs>
      <w:spacing w:before="480" w:after="80"/>
      <w:jc w:val="center"/>
    </w:pPr>
    <w:rPr>
      <w:caps/>
      <w:sz w:val="18"/>
      <w:lang w:val="fr-FR"/>
    </w:rPr>
  </w:style>
  <w:style w:type="paragraph" w:customStyle="1" w:styleId="tocpart">
    <w:name w:val="tocpart"/>
    <w:basedOn w:val="Normal"/>
    <w:pPr>
      <w:tabs>
        <w:tab w:val="clear" w:pos="1134"/>
        <w:tab w:val="clear" w:pos="1871"/>
        <w:tab w:val="clear" w:pos="2268"/>
        <w:tab w:val="left" w:pos="2693"/>
        <w:tab w:val="left" w:pos="8789"/>
        <w:tab w:val="right" w:pos="9639"/>
      </w:tabs>
      <w:ind w:left="2693" w:hanging="2693"/>
      <w:jc w:val="both"/>
    </w:pPr>
    <w:rPr>
      <w:lang w:val="fr-FR"/>
    </w:rPr>
  </w:style>
  <w:style w:type="paragraph" w:customStyle="1" w:styleId="ArtNo">
    <w:name w:val="Art_No"/>
    <w:basedOn w:val="Normal"/>
    <w:next w:val="Normal"/>
    <w:pPr>
      <w:keepNext/>
      <w:keepLines/>
      <w:tabs>
        <w:tab w:val="clear" w:pos="1134"/>
        <w:tab w:val="clear" w:pos="1871"/>
        <w:tab w:val="clear" w:pos="2268"/>
        <w:tab w:val="left" w:pos="794"/>
        <w:tab w:val="left" w:pos="1191"/>
        <w:tab w:val="left" w:pos="1588"/>
        <w:tab w:val="left" w:pos="1985"/>
      </w:tabs>
      <w:spacing w:before="480"/>
      <w:jc w:val="center"/>
    </w:pPr>
    <w:rPr>
      <w:sz w:val="28"/>
      <w:lang w:val="fr-FR"/>
    </w:rPr>
  </w:style>
  <w:style w:type="paragraph" w:customStyle="1" w:styleId="Arttitle">
    <w:name w:val="Art_title"/>
    <w:basedOn w:val="Normal"/>
    <w:next w:val="Normalaftertitle"/>
    <w:pPr>
      <w:keepNext/>
      <w:keepLines/>
      <w:tabs>
        <w:tab w:val="clear" w:pos="1134"/>
        <w:tab w:val="clear" w:pos="1871"/>
        <w:tab w:val="clear" w:pos="2268"/>
        <w:tab w:val="left" w:pos="794"/>
        <w:tab w:val="left" w:pos="1191"/>
        <w:tab w:val="left" w:pos="1588"/>
        <w:tab w:val="left" w:pos="1985"/>
      </w:tabs>
      <w:spacing w:before="240"/>
      <w:jc w:val="center"/>
    </w:pPr>
    <w:rPr>
      <w:b/>
      <w:sz w:val="28"/>
      <w:lang w:val="fr-FR"/>
    </w:rPr>
  </w:style>
  <w:style w:type="paragraph" w:customStyle="1" w:styleId="Blanc">
    <w:name w:val="Blanc"/>
    <w:basedOn w:val="Normal"/>
    <w:next w:val="Tabletext"/>
    <w:pPr>
      <w:keepNext/>
      <w:keepLines/>
      <w:tabs>
        <w:tab w:val="clear" w:pos="1134"/>
        <w:tab w:val="clear" w:pos="1871"/>
        <w:tab w:val="clear" w:pos="2268"/>
      </w:tabs>
      <w:spacing w:before="0"/>
      <w:jc w:val="both"/>
    </w:pPr>
    <w:rPr>
      <w:sz w:val="16"/>
    </w:rPr>
  </w:style>
  <w:style w:type="paragraph" w:customStyle="1" w:styleId="ASN1">
    <w:name w:val="ASN.1"/>
    <w:basedOn w:val="Normal"/>
    <w:next w:val="Normal"/>
    <w:pPr>
      <w:tabs>
        <w:tab w:val="clear" w:pos="1871"/>
        <w:tab w:val="left" w:pos="567"/>
        <w:tab w:val="left" w:pos="1701"/>
        <w:tab w:val="left" w:pos="2835"/>
        <w:tab w:val="left" w:pos="3402"/>
        <w:tab w:val="left" w:pos="3969"/>
        <w:tab w:val="left" w:pos="4536"/>
        <w:tab w:val="left" w:pos="5103"/>
        <w:tab w:val="left" w:pos="5670"/>
      </w:tabs>
      <w:spacing w:before="0"/>
      <w:jc w:val="both"/>
    </w:pPr>
    <w:rPr>
      <w:b/>
      <w:noProof/>
      <w:sz w:val="20"/>
      <w:lang w:val="fr-FR"/>
    </w:rPr>
  </w:style>
  <w:style w:type="paragraph" w:customStyle="1" w:styleId="Call">
    <w:name w:val="Call"/>
    <w:basedOn w:val="Normal"/>
    <w:next w:val="Normal"/>
    <w:link w:val="CallChar"/>
    <w:uiPriority w:val="99"/>
    <w:pPr>
      <w:keepNext/>
      <w:keepLines/>
      <w:tabs>
        <w:tab w:val="clear" w:pos="1134"/>
        <w:tab w:val="clear" w:pos="1871"/>
        <w:tab w:val="clear" w:pos="2268"/>
        <w:tab w:val="left" w:pos="794"/>
        <w:tab w:val="left" w:pos="1191"/>
        <w:tab w:val="left" w:pos="1588"/>
        <w:tab w:val="left" w:pos="1985"/>
      </w:tabs>
      <w:spacing w:before="160"/>
      <w:ind w:left="794"/>
      <w:jc w:val="both"/>
    </w:pPr>
    <w:rPr>
      <w:i/>
      <w:lang w:val="fr-FR"/>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uiPriority w:val="99"/>
    <w:rPr>
      <w:position w:val="6"/>
      <w:sz w:val="18"/>
    </w:rPr>
  </w:style>
  <w:style w:type="paragraph" w:styleId="FootnoteText">
    <w:name w:val="footnote text"/>
    <w:basedOn w:val="Normal"/>
    <w:link w:val="FootnoteTextChar"/>
    <w:uiPriority w:val="99"/>
    <w:pPr>
      <w:keepLines/>
      <w:tabs>
        <w:tab w:val="clear" w:pos="1134"/>
        <w:tab w:val="clear" w:pos="1871"/>
        <w:tab w:val="clear" w:pos="2268"/>
        <w:tab w:val="left" w:pos="255"/>
        <w:tab w:val="left" w:pos="794"/>
        <w:tab w:val="left" w:pos="1191"/>
        <w:tab w:val="left" w:pos="1588"/>
        <w:tab w:val="left" w:pos="1985"/>
      </w:tabs>
      <w:ind w:left="255" w:hanging="255"/>
      <w:jc w:val="both"/>
    </w:pPr>
    <w:rPr>
      <w:sz w:val="22"/>
      <w:lang w:val="fr-FR"/>
    </w:rPr>
  </w:style>
  <w:style w:type="paragraph" w:styleId="Index1">
    <w:name w:val="index 1"/>
    <w:basedOn w:val="Normal"/>
    <w:next w:val="Normal"/>
    <w:semiHidden/>
    <w:pPr>
      <w:tabs>
        <w:tab w:val="clear" w:pos="1134"/>
        <w:tab w:val="clear" w:pos="1871"/>
        <w:tab w:val="clear" w:pos="2268"/>
        <w:tab w:val="left" w:pos="794"/>
        <w:tab w:val="left" w:pos="1191"/>
        <w:tab w:val="left" w:pos="1588"/>
        <w:tab w:val="left" w:pos="1985"/>
      </w:tabs>
      <w:jc w:val="both"/>
    </w:pPr>
    <w:rPr>
      <w:lang w:val="fr-FR"/>
    </w:rPr>
  </w:style>
  <w:style w:type="paragraph" w:styleId="Index2">
    <w:name w:val="index 2"/>
    <w:basedOn w:val="Normal"/>
    <w:next w:val="Normal"/>
    <w:semiHidden/>
    <w:pPr>
      <w:tabs>
        <w:tab w:val="clear" w:pos="1134"/>
        <w:tab w:val="clear" w:pos="1871"/>
        <w:tab w:val="clear" w:pos="2268"/>
        <w:tab w:val="left" w:pos="794"/>
        <w:tab w:val="left" w:pos="1191"/>
        <w:tab w:val="left" w:pos="1588"/>
        <w:tab w:val="left" w:pos="1985"/>
      </w:tabs>
      <w:ind w:left="283"/>
      <w:jc w:val="both"/>
    </w:pPr>
    <w:rPr>
      <w:lang w:val="fr-FR"/>
    </w:rPr>
  </w:style>
  <w:style w:type="paragraph" w:styleId="Index3">
    <w:name w:val="index 3"/>
    <w:basedOn w:val="Normal"/>
    <w:next w:val="Normal"/>
    <w:semiHidden/>
    <w:pPr>
      <w:tabs>
        <w:tab w:val="clear" w:pos="1134"/>
        <w:tab w:val="clear" w:pos="1871"/>
        <w:tab w:val="clear" w:pos="2268"/>
        <w:tab w:val="left" w:pos="794"/>
        <w:tab w:val="left" w:pos="1191"/>
        <w:tab w:val="left" w:pos="1588"/>
        <w:tab w:val="left" w:pos="1985"/>
      </w:tabs>
      <w:ind w:left="566"/>
      <w:jc w:val="both"/>
    </w:pPr>
    <w:rPr>
      <w:lang w:val="fr-FR"/>
    </w:rPr>
  </w:style>
  <w:style w:type="paragraph" w:styleId="IndexHeading">
    <w:name w:val="index heading"/>
    <w:basedOn w:val="Normal"/>
    <w:next w:val="Index1"/>
    <w:semiHidden/>
    <w:pPr>
      <w:tabs>
        <w:tab w:val="clear" w:pos="1134"/>
        <w:tab w:val="clear" w:pos="1871"/>
        <w:tab w:val="clear" w:pos="2268"/>
        <w:tab w:val="left" w:pos="794"/>
        <w:tab w:val="left" w:pos="1191"/>
        <w:tab w:val="left" w:pos="1588"/>
        <w:tab w:val="left" w:pos="1985"/>
      </w:tabs>
      <w:jc w:val="both"/>
    </w:pPr>
    <w:rPr>
      <w:lang w:val="fr-FR"/>
    </w:rPr>
  </w:style>
  <w:style w:type="paragraph" w:customStyle="1" w:styleId="Line">
    <w:name w:val="Line"/>
    <w:basedOn w:val="Normal"/>
    <w:next w:val="Normal"/>
    <w:pPr>
      <w:pBdr>
        <w:top w:val="single" w:sz="6" w:space="1" w:color="auto"/>
      </w:pBdr>
      <w:tabs>
        <w:tab w:val="clear" w:pos="1134"/>
        <w:tab w:val="clear" w:pos="1871"/>
        <w:tab w:val="clear" w:pos="2268"/>
      </w:tabs>
      <w:spacing w:before="240"/>
      <w:ind w:left="3997" w:right="3997"/>
      <w:jc w:val="center"/>
    </w:pPr>
    <w:rPr>
      <w:sz w:val="20"/>
    </w:rPr>
  </w:style>
  <w:style w:type="paragraph" w:customStyle="1" w:styleId="toctemp">
    <w:name w:val="toctemp"/>
    <w:basedOn w:val="Normal"/>
    <w:pPr>
      <w:tabs>
        <w:tab w:val="clear" w:pos="1134"/>
        <w:tab w:val="clear" w:pos="1871"/>
        <w:tab w:val="clear" w:pos="2268"/>
        <w:tab w:val="left" w:pos="2693"/>
        <w:tab w:val="left" w:leader="dot" w:pos="8789"/>
        <w:tab w:val="right" w:pos="9639"/>
      </w:tabs>
      <w:ind w:left="2693" w:right="964" w:hanging="2693"/>
      <w:jc w:val="both"/>
    </w:pPr>
    <w:rPr>
      <w:lang w:val="fr-FR"/>
    </w:rPr>
  </w:style>
  <w:style w:type="paragraph" w:customStyle="1" w:styleId="PartNo">
    <w:name w:val="Part_No"/>
    <w:basedOn w:val="Normal"/>
    <w:next w:val="Normal"/>
    <w:pPr>
      <w:tabs>
        <w:tab w:val="clear" w:pos="1134"/>
        <w:tab w:val="clear" w:pos="1871"/>
        <w:tab w:val="clear" w:pos="2268"/>
        <w:tab w:val="left" w:pos="794"/>
        <w:tab w:val="left" w:pos="1191"/>
        <w:tab w:val="left" w:pos="1588"/>
        <w:tab w:val="left" w:pos="1985"/>
      </w:tabs>
      <w:jc w:val="both"/>
    </w:pPr>
    <w:rPr>
      <w:lang w:val="fr-FR"/>
    </w:rPr>
  </w:style>
  <w:style w:type="paragraph" w:customStyle="1" w:styleId="Partref">
    <w:name w:val="Part_ref"/>
    <w:basedOn w:val="Normal"/>
    <w:next w:val="Normal"/>
    <w:pPr>
      <w:keepNext/>
      <w:keepLines/>
      <w:tabs>
        <w:tab w:val="clear" w:pos="1134"/>
        <w:tab w:val="clear" w:pos="1871"/>
        <w:tab w:val="clear" w:pos="2268"/>
        <w:tab w:val="left" w:pos="794"/>
        <w:tab w:val="left" w:pos="1191"/>
        <w:tab w:val="left" w:pos="1588"/>
        <w:tab w:val="left" w:pos="1985"/>
      </w:tabs>
      <w:spacing w:after="280"/>
      <w:jc w:val="center"/>
    </w:pPr>
    <w:rPr>
      <w:lang w:val="fr-FR"/>
    </w:rPr>
  </w:style>
  <w:style w:type="paragraph" w:customStyle="1" w:styleId="Parttitle">
    <w:name w:val="Part_title"/>
    <w:basedOn w:val="Normal"/>
    <w:next w:val="Normalaftertitle"/>
    <w:pPr>
      <w:keepNext/>
      <w:keepLines/>
      <w:tabs>
        <w:tab w:val="clear" w:pos="1134"/>
        <w:tab w:val="clear" w:pos="1871"/>
        <w:tab w:val="clear" w:pos="2268"/>
      </w:tabs>
      <w:spacing w:before="280" w:after="40"/>
      <w:jc w:val="center"/>
    </w:pPr>
    <w:rPr>
      <w:b/>
      <w:sz w:val="28"/>
      <w:lang w:val="fr-FR"/>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pPr>
      <w:tabs>
        <w:tab w:val="clear" w:pos="1134"/>
        <w:tab w:val="clear" w:pos="1871"/>
        <w:tab w:val="clear" w:pos="2268"/>
        <w:tab w:val="left" w:pos="794"/>
        <w:tab w:val="left" w:pos="1191"/>
        <w:tab w:val="left" w:pos="1588"/>
        <w:tab w:val="left" w:pos="1985"/>
      </w:tabs>
      <w:jc w:val="both"/>
    </w:pPr>
    <w:rPr>
      <w:lang w:val="fr-FR"/>
    </w:rPr>
  </w:style>
  <w:style w:type="paragraph" w:customStyle="1" w:styleId="Reftext">
    <w:name w:val="Ref_text"/>
    <w:basedOn w:val="Normal"/>
    <w:pPr>
      <w:tabs>
        <w:tab w:val="clear" w:pos="1134"/>
        <w:tab w:val="clear" w:pos="1871"/>
        <w:tab w:val="clear" w:pos="2268"/>
        <w:tab w:val="left" w:pos="794"/>
        <w:tab w:val="left" w:pos="1191"/>
        <w:tab w:val="left" w:pos="1588"/>
        <w:tab w:val="left" w:pos="1985"/>
      </w:tabs>
      <w:ind w:left="794" w:hanging="794"/>
      <w:jc w:val="both"/>
    </w:pPr>
    <w:rPr>
      <w:sz w:val="22"/>
      <w:lang w:val="fr-FR"/>
    </w:rPr>
  </w:style>
  <w:style w:type="paragraph" w:customStyle="1" w:styleId="Reftitle">
    <w:name w:val="Ref_title"/>
    <w:basedOn w:val="Normal"/>
    <w:next w:val="Reftext"/>
    <w:pPr>
      <w:tabs>
        <w:tab w:val="clear" w:pos="1134"/>
        <w:tab w:val="clear" w:pos="1871"/>
        <w:tab w:val="clear" w:pos="2268"/>
      </w:tabs>
      <w:spacing w:before="480"/>
      <w:jc w:val="center"/>
    </w:pPr>
    <w:rPr>
      <w:b/>
      <w:sz w:val="28"/>
      <w:lang w:val="fr-FR"/>
    </w:rPr>
  </w:style>
  <w:style w:type="paragraph" w:customStyle="1" w:styleId="Repdate">
    <w:name w:val="Rep_date"/>
    <w:basedOn w:val="Recdate"/>
    <w:next w:val="Normal"/>
  </w:style>
  <w:style w:type="paragraph" w:customStyle="1" w:styleId="RepNo">
    <w:name w:val="Rep_No"/>
    <w:basedOn w:val="RecNo"/>
    <w:next w:val="Reptitle"/>
    <w:uiPriority w:val="99"/>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tabs>
        <w:tab w:val="clear" w:pos="1134"/>
        <w:tab w:val="clear" w:pos="1871"/>
        <w:tab w:val="clear" w:pos="2268"/>
        <w:tab w:val="left" w:pos="794"/>
        <w:tab w:val="left" w:pos="1191"/>
        <w:tab w:val="left" w:pos="1588"/>
        <w:tab w:val="left" w:pos="1985"/>
      </w:tabs>
      <w:spacing w:before="240"/>
      <w:jc w:val="center"/>
    </w:pPr>
    <w:rPr>
      <w:b/>
      <w:sz w:val="28"/>
      <w:lang w:val="fr-FR"/>
    </w:rPr>
  </w:style>
  <w:style w:type="paragraph" w:customStyle="1" w:styleId="SectionNo">
    <w:name w:val="Section_No"/>
    <w:basedOn w:val="Normal"/>
    <w:next w:val="Normal"/>
    <w:pPr>
      <w:tabs>
        <w:tab w:val="clear" w:pos="1134"/>
        <w:tab w:val="clear" w:pos="1871"/>
        <w:tab w:val="clear" w:pos="2268"/>
        <w:tab w:val="left" w:pos="794"/>
        <w:tab w:val="left" w:pos="1191"/>
        <w:tab w:val="left" w:pos="1588"/>
        <w:tab w:val="left" w:pos="1985"/>
      </w:tabs>
      <w:jc w:val="both"/>
    </w:pPr>
    <w:rPr>
      <w:lang w:val="fr-FR"/>
    </w:rPr>
  </w:style>
  <w:style w:type="paragraph" w:customStyle="1" w:styleId="Sectiontitle">
    <w:name w:val="Section_title"/>
    <w:basedOn w:val="Normal"/>
    <w:next w:val="Normalaftertitle"/>
    <w:pPr>
      <w:keepNext/>
      <w:keepLines/>
      <w:tabs>
        <w:tab w:val="clear" w:pos="1134"/>
        <w:tab w:val="clear" w:pos="1871"/>
        <w:tab w:val="clear" w:pos="2268"/>
      </w:tabs>
      <w:spacing w:before="280" w:after="40"/>
      <w:jc w:val="center"/>
    </w:pPr>
    <w:rPr>
      <w:b/>
      <w:sz w:val="28"/>
      <w:lang w:val="fr-FR"/>
    </w:rPr>
  </w:style>
  <w:style w:type="paragraph" w:customStyle="1" w:styleId="toc0">
    <w:name w:val="toc 0"/>
    <w:basedOn w:val="Normal"/>
    <w:next w:val="TOC1"/>
    <w:pPr>
      <w:tabs>
        <w:tab w:val="clear" w:pos="1134"/>
        <w:tab w:val="clear" w:pos="1871"/>
        <w:tab w:val="clear" w:pos="2268"/>
        <w:tab w:val="right" w:pos="9611"/>
      </w:tabs>
      <w:jc w:val="both"/>
    </w:pPr>
    <w:rPr>
      <w:i/>
      <w:lang w:val="fr-FR"/>
    </w:rPr>
  </w:style>
  <w:style w:type="paragraph" w:styleId="TOC1">
    <w:name w:val="toc 1"/>
    <w:basedOn w:val="Normal"/>
    <w:semiHidden/>
    <w:pPr>
      <w:keepLines/>
      <w:tabs>
        <w:tab w:val="clear" w:pos="1134"/>
        <w:tab w:val="clear" w:pos="1871"/>
        <w:tab w:val="clear" w:pos="2268"/>
        <w:tab w:val="left" w:pos="567"/>
        <w:tab w:val="left" w:leader="dot" w:pos="8789"/>
        <w:tab w:val="right" w:pos="9611"/>
      </w:tabs>
      <w:spacing w:before="240"/>
      <w:ind w:left="567" w:right="851" w:hanging="567"/>
      <w:jc w:val="both"/>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link w:val="RectitleChar"/>
    <w:uiPriority w:val="99"/>
    <w:pPr>
      <w:keepNext/>
      <w:keepLines/>
      <w:tabs>
        <w:tab w:val="clear" w:pos="1134"/>
        <w:tab w:val="clear" w:pos="1871"/>
        <w:tab w:val="clear" w:pos="2268"/>
        <w:tab w:val="left" w:pos="794"/>
        <w:tab w:val="left" w:pos="1191"/>
        <w:tab w:val="left" w:pos="1588"/>
        <w:tab w:val="left" w:pos="1985"/>
      </w:tabs>
      <w:spacing w:before="240"/>
      <w:jc w:val="center"/>
    </w:pPr>
    <w:rPr>
      <w:b/>
      <w:sz w:val="28"/>
      <w:lang w:val="fr-FR"/>
    </w:rPr>
  </w:style>
  <w:style w:type="paragraph" w:customStyle="1" w:styleId="Annexref">
    <w:name w:val="Annex_ref"/>
    <w:basedOn w:val="Normal"/>
    <w:next w:val="Normalaftertitle"/>
    <w:pPr>
      <w:keepNext/>
      <w:keepLines/>
      <w:tabs>
        <w:tab w:val="clear" w:pos="1134"/>
        <w:tab w:val="clear" w:pos="1871"/>
        <w:tab w:val="clear" w:pos="2268"/>
        <w:tab w:val="left" w:pos="794"/>
        <w:tab w:val="left" w:pos="1191"/>
        <w:tab w:val="left" w:pos="1588"/>
        <w:tab w:val="left" w:pos="1985"/>
      </w:tabs>
      <w:spacing w:after="280"/>
      <w:jc w:val="center"/>
    </w:pPr>
    <w:rPr>
      <w:lang w:val="fr-FR"/>
    </w:rPr>
  </w:style>
  <w:style w:type="paragraph" w:customStyle="1" w:styleId="Appendixref">
    <w:name w:val="Appendix_ref"/>
    <w:basedOn w:val="Annexref"/>
    <w:next w:val="Normalaftertitle"/>
  </w:style>
  <w:style w:type="paragraph" w:customStyle="1" w:styleId="Figuretitle">
    <w:name w:val="Figure_title"/>
    <w:basedOn w:val="Normal"/>
    <w:next w:val="Figure"/>
    <w:pPr>
      <w:keepNext/>
      <w:tabs>
        <w:tab w:val="clear" w:pos="1134"/>
        <w:tab w:val="clear" w:pos="1871"/>
        <w:tab w:val="clear" w:pos="2268"/>
        <w:tab w:val="left" w:pos="794"/>
        <w:tab w:val="left" w:pos="1191"/>
        <w:tab w:val="left" w:pos="1588"/>
        <w:tab w:val="left" w:pos="1985"/>
      </w:tabs>
      <w:spacing w:before="0" w:after="120"/>
      <w:jc w:val="center"/>
    </w:pPr>
    <w:rPr>
      <w:rFonts w:ascii="Times New Roman Bold" w:hAnsi="Times New Roman Bold"/>
      <w:b/>
      <w:sz w:val="18"/>
      <w:lang w:val="fr-FR"/>
    </w:rPr>
  </w:style>
  <w:style w:type="paragraph" w:customStyle="1" w:styleId="Tabletitle">
    <w:name w:val="Table_title"/>
    <w:basedOn w:val="Normal"/>
    <w:next w:val="Tablehead"/>
    <w:pPr>
      <w:keepNext/>
      <w:tabs>
        <w:tab w:val="clear" w:pos="1134"/>
        <w:tab w:val="clear" w:pos="1871"/>
        <w:tab w:val="clear" w:pos="2268"/>
        <w:tab w:val="left" w:pos="794"/>
        <w:tab w:val="left" w:pos="1191"/>
        <w:tab w:val="left" w:pos="1588"/>
        <w:tab w:val="left" w:pos="1985"/>
      </w:tabs>
      <w:spacing w:before="0" w:after="120"/>
      <w:jc w:val="center"/>
    </w:pPr>
    <w:rPr>
      <w:b/>
      <w:lang w:val="fr-FR"/>
    </w:rPr>
  </w:style>
  <w:style w:type="paragraph" w:customStyle="1" w:styleId="Summary">
    <w:name w:val="Summary"/>
    <w:basedOn w:val="Normal"/>
    <w:next w:val="Normalaftertitle"/>
    <w:autoRedefine/>
    <w:rsid w:val="00242AEE"/>
    <w:pPr>
      <w:tabs>
        <w:tab w:val="clear" w:pos="1134"/>
        <w:tab w:val="clear" w:pos="1871"/>
        <w:tab w:val="clear" w:pos="2268"/>
        <w:tab w:val="left" w:pos="794"/>
        <w:tab w:val="left" w:pos="1191"/>
        <w:tab w:val="left" w:pos="1588"/>
        <w:tab w:val="left" w:pos="1985"/>
      </w:tabs>
      <w:spacing w:after="480"/>
      <w:jc w:val="both"/>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paragraph" w:customStyle="1" w:styleId="Normalaftertitle0">
    <w:name w:val="Normal after title"/>
    <w:basedOn w:val="Normal"/>
    <w:next w:val="Normal"/>
    <w:rsid w:val="00724B29"/>
    <w:pPr>
      <w:spacing w:before="280"/>
    </w:pPr>
  </w:style>
  <w:style w:type="character" w:customStyle="1" w:styleId="FootnoteTextChar">
    <w:name w:val="Footnote Text Char"/>
    <w:basedOn w:val="DefaultParagraphFont"/>
    <w:link w:val="FootnoteText"/>
    <w:uiPriority w:val="99"/>
    <w:locked/>
    <w:rsid w:val="00724B29"/>
    <w:rPr>
      <w:sz w:val="22"/>
      <w:lang w:val="fr-FR" w:eastAsia="en-US"/>
    </w:rPr>
  </w:style>
  <w:style w:type="character" w:customStyle="1" w:styleId="RectitleChar">
    <w:name w:val="Rec_title Char"/>
    <w:link w:val="Rectitle"/>
    <w:uiPriority w:val="99"/>
    <w:locked/>
    <w:rsid w:val="00724B29"/>
    <w:rPr>
      <w:b/>
      <w:sz w:val="28"/>
      <w:lang w:val="fr-FR" w:eastAsia="en-US"/>
    </w:rPr>
  </w:style>
  <w:style w:type="character" w:customStyle="1" w:styleId="CallChar">
    <w:name w:val="Call Char"/>
    <w:link w:val="Call"/>
    <w:uiPriority w:val="99"/>
    <w:locked/>
    <w:rsid w:val="00724B29"/>
    <w:rPr>
      <w:i/>
      <w:sz w:val="24"/>
      <w:lang w:val="fr-FR" w:eastAsia="en-US"/>
    </w:rPr>
  </w:style>
  <w:style w:type="character" w:customStyle="1" w:styleId="Heading1Char">
    <w:name w:val="Heading 1 Char"/>
    <w:basedOn w:val="DefaultParagraphFont"/>
    <w:link w:val="Heading1"/>
    <w:rsid w:val="001031B3"/>
    <w:rPr>
      <w:b/>
      <w:sz w:val="24"/>
      <w:lang w:val="fr-FR" w:eastAsia="en-US"/>
    </w:rPr>
  </w:style>
  <w:style w:type="character" w:customStyle="1" w:styleId="HeaderChar">
    <w:name w:val="Header Char"/>
    <w:basedOn w:val="DefaultParagraphFont"/>
    <w:link w:val="Header"/>
    <w:rsid w:val="001031B3"/>
    <w:rPr>
      <w:sz w:val="24"/>
      <w:lang w:val="fr-FR" w:eastAsia="en-US"/>
    </w:rPr>
  </w:style>
  <w:style w:type="character" w:styleId="Hyperlink">
    <w:name w:val="Hyperlink"/>
    <w:basedOn w:val="DefaultParagraphFont"/>
    <w:rsid w:val="001031B3"/>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24B29"/>
    <w:pPr>
      <w:tabs>
        <w:tab w:val="left" w:pos="1134"/>
        <w:tab w:val="left" w:pos="1871"/>
        <w:tab w:val="left" w:pos="2268"/>
      </w:tabs>
      <w:overflowPunct w:val="0"/>
      <w:autoSpaceDE w:val="0"/>
      <w:autoSpaceDN w:val="0"/>
      <w:adjustRightInd w:val="0"/>
      <w:spacing w:before="120"/>
      <w:textAlignment w:val="baseline"/>
    </w:pPr>
    <w:rPr>
      <w:sz w:val="24"/>
      <w:lang w:val="en-GB" w:eastAsia="en-US"/>
    </w:rPr>
  </w:style>
  <w:style w:type="paragraph" w:styleId="Heading1">
    <w:name w:val="heading 1"/>
    <w:basedOn w:val="Normal"/>
    <w:next w:val="Normal"/>
    <w:link w:val="Heading1Char"/>
    <w:qFormat/>
    <w:pPr>
      <w:keepNext/>
      <w:keepLines/>
      <w:tabs>
        <w:tab w:val="clear" w:pos="1134"/>
        <w:tab w:val="clear" w:pos="1871"/>
        <w:tab w:val="clear" w:pos="2268"/>
        <w:tab w:val="left" w:pos="794"/>
        <w:tab w:val="left" w:pos="1191"/>
        <w:tab w:val="left" w:pos="1588"/>
        <w:tab w:val="left" w:pos="1985"/>
      </w:tabs>
      <w:spacing w:before="480"/>
      <w:ind w:left="794" w:hanging="794"/>
      <w:jc w:val="both"/>
      <w:outlineLvl w:val="0"/>
    </w:pPr>
    <w:rPr>
      <w:b/>
      <w:lang w:val="fr-FR"/>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1134"/>
        <w:tab w:val="clear" w:pos="1871"/>
        <w:tab w:val="clear" w:pos="2268"/>
        <w:tab w:val="center" w:pos="4848"/>
        <w:tab w:val="right" w:pos="9696"/>
      </w:tabs>
      <w:spacing w:before="0"/>
      <w:jc w:val="center"/>
    </w:pPr>
    <w:rPr>
      <w:lang w:val="fr-FR"/>
    </w:rPr>
  </w:style>
  <w:style w:type="paragraph" w:styleId="Footer">
    <w:name w:val="footer"/>
    <w:basedOn w:val="Normal"/>
    <w:pPr>
      <w:tabs>
        <w:tab w:val="clear" w:pos="1134"/>
        <w:tab w:val="clear" w:pos="1871"/>
        <w:tab w:val="clear" w:pos="2268"/>
      </w:tabs>
      <w:spacing w:before="0"/>
      <w:jc w:val="both"/>
    </w:pPr>
    <w:rPr>
      <w:noProof/>
      <w:sz w:val="18"/>
      <w:lang w:val="fr-FR"/>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tabs>
        <w:tab w:val="clear" w:pos="1134"/>
        <w:tab w:val="clear" w:pos="1871"/>
        <w:tab w:val="clear" w:pos="2268"/>
        <w:tab w:val="left" w:pos="794"/>
        <w:tab w:val="left" w:pos="1191"/>
        <w:tab w:val="left" w:pos="1588"/>
        <w:tab w:val="left" w:pos="1985"/>
      </w:tabs>
      <w:spacing w:before="80"/>
      <w:ind w:left="794" w:hanging="794"/>
      <w:jc w:val="both"/>
    </w:pPr>
    <w:rPr>
      <w:lang w:val="fr-FR"/>
    </w:r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tabs>
        <w:tab w:val="clear" w:pos="1134"/>
        <w:tab w:val="clear" w:pos="1871"/>
        <w:tab w:val="clear" w:pos="2268"/>
        <w:tab w:val="left" w:pos="794"/>
        <w:tab w:val="left" w:pos="1191"/>
        <w:tab w:val="left" w:pos="1588"/>
        <w:tab w:val="left" w:pos="1985"/>
      </w:tabs>
      <w:spacing w:before="320"/>
      <w:jc w:val="both"/>
    </w:pPr>
    <w:rPr>
      <w:lang w:val="fr-FR"/>
    </w:rPr>
  </w:style>
  <w:style w:type="paragraph" w:customStyle="1" w:styleId="Note">
    <w:name w:val="Note"/>
    <w:basedOn w:val="Normal"/>
    <w:pPr>
      <w:tabs>
        <w:tab w:val="clear" w:pos="1134"/>
        <w:tab w:val="clear" w:pos="1871"/>
        <w:tab w:val="clear" w:pos="2268"/>
      </w:tabs>
      <w:spacing w:before="80"/>
      <w:jc w:val="both"/>
    </w:pPr>
    <w:rPr>
      <w:sz w:val="22"/>
      <w:lang w:val="fr-FR"/>
    </w:rPr>
  </w:style>
  <w:style w:type="paragraph" w:customStyle="1" w:styleId="RecNo">
    <w:name w:val="Rec_No"/>
    <w:basedOn w:val="Normal"/>
    <w:next w:val="Rectitle"/>
    <w:pPr>
      <w:keepNext/>
      <w:keepLines/>
      <w:tabs>
        <w:tab w:val="clear" w:pos="1134"/>
        <w:tab w:val="clear" w:pos="1871"/>
        <w:tab w:val="clear" w:pos="2268"/>
      </w:tabs>
      <w:spacing w:before="480"/>
      <w:jc w:val="center"/>
    </w:pPr>
    <w:rPr>
      <w:sz w:val="28"/>
      <w:lang w:val="fr-FR"/>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tabs>
        <w:tab w:val="clear" w:pos="1134"/>
        <w:tab w:val="clear" w:pos="1871"/>
        <w:tab w:val="clear" w:pos="2268"/>
        <w:tab w:val="left" w:pos="794"/>
        <w:tab w:val="left" w:pos="1191"/>
        <w:tab w:val="left" w:pos="1588"/>
        <w:tab w:val="left" w:pos="1985"/>
      </w:tabs>
      <w:jc w:val="center"/>
    </w:pPr>
    <w:rPr>
      <w:lang w:val="fr-FR"/>
    </w:r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fr-FR"/>
    </w:rPr>
  </w:style>
  <w:style w:type="paragraph" w:customStyle="1" w:styleId="AppendixNoTitle">
    <w:name w:val="Appendix_NoTitle"/>
    <w:basedOn w:val="AnnexNoTitle"/>
    <w:next w:val="Normal"/>
  </w:style>
  <w:style w:type="paragraph" w:customStyle="1" w:styleId="Tablefin">
    <w:name w:val="Table_fin"/>
    <w:basedOn w:val="Normal"/>
    <w:next w:val="Normal"/>
    <w:pPr>
      <w:tabs>
        <w:tab w:val="clear" w:pos="1134"/>
        <w:tab w:val="clear" w:pos="1871"/>
        <w:tab w:val="clear" w:pos="2268"/>
        <w:tab w:val="left" w:pos="794"/>
        <w:tab w:val="left" w:pos="1191"/>
        <w:tab w:val="left" w:pos="1588"/>
        <w:tab w:val="left" w:pos="1985"/>
      </w:tabs>
      <w:spacing w:before="0"/>
      <w:jc w:val="both"/>
    </w:pPr>
    <w:rPr>
      <w:sz w:val="20"/>
    </w:rPr>
  </w:style>
  <w:style w:type="paragraph" w:customStyle="1" w:styleId="Tablehead">
    <w:name w:val="Table_head"/>
    <w:basedOn w:val="Normal"/>
    <w:next w:val="Normal"/>
    <w:pPr>
      <w:keepNext/>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pPr>
    <w:rPr>
      <w:b/>
      <w:sz w:val="22"/>
      <w:lang w:val="fr-FR"/>
    </w:rPr>
  </w:style>
  <w:style w:type="paragraph" w:customStyle="1" w:styleId="Tablelegend">
    <w:name w:val="Table_legend"/>
    <w:basedOn w:val="Normal"/>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ind w:left="284" w:right="-85" w:hanging="369"/>
      <w:jc w:val="both"/>
    </w:pPr>
    <w:rPr>
      <w:sz w:val="22"/>
      <w:lang w:val="fr-FR"/>
    </w:rPr>
  </w:style>
  <w:style w:type="paragraph" w:customStyle="1" w:styleId="TableNo">
    <w:name w:val="Table_No"/>
    <w:basedOn w:val="Normal"/>
    <w:next w:val="Normal"/>
    <w:pPr>
      <w:keepNext/>
      <w:tabs>
        <w:tab w:val="clear" w:pos="1134"/>
        <w:tab w:val="clear" w:pos="1871"/>
        <w:tab w:val="clear" w:pos="2268"/>
        <w:tab w:val="left" w:pos="794"/>
        <w:tab w:val="left" w:pos="1191"/>
        <w:tab w:val="left" w:pos="1588"/>
        <w:tab w:val="left" w:pos="1985"/>
      </w:tabs>
      <w:spacing w:before="360" w:after="120"/>
      <w:jc w:val="center"/>
    </w:pPr>
    <w:rPr>
      <w:lang w:val="fr-FR"/>
    </w:rPr>
  </w:style>
  <w:style w:type="paragraph" w:customStyle="1" w:styleId="Tabletext">
    <w:name w:val="Table_text"/>
    <w:basedOn w:val="Normal"/>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pPr>
    <w:rPr>
      <w:sz w:val="22"/>
      <w:lang w:val="fr-FR"/>
    </w:rPr>
  </w:style>
  <w:style w:type="paragraph" w:customStyle="1" w:styleId="Equation">
    <w:name w:val="Equation"/>
    <w:basedOn w:val="Normal"/>
    <w:pPr>
      <w:tabs>
        <w:tab w:val="clear" w:pos="1134"/>
        <w:tab w:val="clear" w:pos="1871"/>
        <w:tab w:val="clear" w:pos="2268"/>
        <w:tab w:val="left" w:pos="794"/>
        <w:tab w:val="center" w:pos="4820"/>
        <w:tab w:val="right" w:pos="9639"/>
      </w:tabs>
      <w:jc w:val="both"/>
    </w:pPr>
    <w:rPr>
      <w:lang w:val="fr-FR"/>
    </w:r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tabs>
        <w:tab w:val="clear" w:pos="1134"/>
        <w:tab w:val="clear" w:pos="1871"/>
        <w:tab w:val="clear" w:pos="2268"/>
        <w:tab w:val="left" w:pos="794"/>
        <w:tab w:val="left" w:pos="1191"/>
        <w:tab w:val="left" w:pos="1588"/>
        <w:tab w:val="left" w:pos="1985"/>
      </w:tabs>
      <w:ind w:left="794"/>
      <w:jc w:val="both"/>
    </w:pPr>
    <w:rPr>
      <w:lang w:val="fr-FR"/>
    </w:rPr>
  </w:style>
  <w:style w:type="paragraph" w:customStyle="1" w:styleId="Figurelegend">
    <w:name w:val="Figure_legend"/>
    <w:basedOn w:val="Normal"/>
    <w:pPr>
      <w:keepNext/>
      <w:keepLines/>
      <w:tabs>
        <w:tab w:val="clear" w:pos="1134"/>
        <w:tab w:val="clear" w:pos="1871"/>
        <w:tab w:val="clear" w:pos="2268"/>
      </w:tabs>
      <w:spacing w:before="20" w:after="20"/>
      <w:jc w:val="both"/>
    </w:pPr>
    <w:rPr>
      <w:sz w:val="18"/>
      <w:lang w:val="fr-FR"/>
    </w:rPr>
  </w:style>
  <w:style w:type="paragraph" w:customStyle="1" w:styleId="FigureNo">
    <w:name w:val="Figure_No"/>
    <w:basedOn w:val="Normal"/>
    <w:next w:val="Figuretitle"/>
    <w:rsid w:val="00DF4176"/>
    <w:pPr>
      <w:keepNext/>
      <w:keepLines/>
      <w:tabs>
        <w:tab w:val="clear" w:pos="1134"/>
        <w:tab w:val="clear" w:pos="1871"/>
        <w:tab w:val="clear" w:pos="2268"/>
        <w:tab w:val="left" w:pos="794"/>
        <w:tab w:val="left" w:pos="1191"/>
        <w:tab w:val="left" w:pos="1588"/>
        <w:tab w:val="left" w:pos="1985"/>
      </w:tabs>
      <w:spacing w:before="480" w:after="80"/>
      <w:jc w:val="center"/>
    </w:pPr>
    <w:rPr>
      <w:caps/>
      <w:sz w:val="18"/>
      <w:lang w:val="fr-FR"/>
    </w:rPr>
  </w:style>
  <w:style w:type="paragraph" w:customStyle="1" w:styleId="tocpart">
    <w:name w:val="tocpart"/>
    <w:basedOn w:val="Normal"/>
    <w:pPr>
      <w:tabs>
        <w:tab w:val="clear" w:pos="1134"/>
        <w:tab w:val="clear" w:pos="1871"/>
        <w:tab w:val="clear" w:pos="2268"/>
        <w:tab w:val="left" w:pos="2693"/>
        <w:tab w:val="left" w:pos="8789"/>
        <w:tab w:val="right" w:pos="9639"/>
      </w:tabs>
      <w:ind w:left="2693" w:hanging="2693"/>
      <w:jc w:val="both"/>
    </w:pPr>
    <w:rPr>
      <w:lang w:val="fr-FR"/>
    </w:rPr>
  </w:style>
  <w:style w:type="paragraph" w:customStyle="1" w:styleId="ArtNo">
    <w:name w:val="Art_No"/>
    <w:basedOn w:val="Normal"/>
    <w:next w:val="Normal"/>
    <w:pPr>
      <w:keepNext/>
      <w:keepLines/>
      <w:tabs>
        <w:tab w:val="clear" w:pos="1134"/>
        <w:tab w:val="clear" w:pos="1871"/>
        <w:tab w:val="clear" w:pos="2268"/>
        <w:tab w:val="left" w:pos="794"/>
        <w:tab w:val="left" w:pos="1191"/>
        <w:tab w:val="left" w:pos="1588"/>
        <w:tab w:val="left" w:pos="1985"/>
      </w:tabs>
      <w:spacing w:before="480"/>
      <w:jc w:val="center"/>
    </w:pPr>
    <w:rPr>
      <w:sz w:val="28"/>
      <w:lang w:val="fr-FR"/>
    </w:rPr>
  </w:style>
  <w:style w:type="paragraph" w:customStyle="1" w:styleId="Arttitle">
    <w:name w:val="Art_title"/>
    <w:basedOn w:val="Normal"/>
    <w:next w:val="Normalaftertitle"/>
    <w:pPr>
      <w:keepNext/>
      <w:keepLines/>
      <w:tabs>
        <w:tab w:val="clear" w:pos="1134"/>
        <w:tab w:val="clear" w:pos="1871"/>
        <w:tab w:val="clear" w:pos="2268"/>
        <w:tab w:val="left" w:pos="794"/>
        <w:tab w:val="left" w:pos="1191"/>
        <w:tab w:val="left" w:pos="1588"/>
        <w:tab w:val="left" w:pos="1985"/>
      </w:tabs>
      <w:spacing w:before="240"/>
      <w:jc w:val="center"/>
    </w:pPr>
    <w:rPr>
      <w:b/>
      <w:sz w:val="28"/>
      <w:lang w:val="fr-FR"/>
    </w:rPr>
  </w:style>
  <w:style w:type="paragraph" w:customStyle="1" w:styleId="Blanc">
    <w:name w:val="Blanc"/>
    <w:basedOn w:val="Normal"/>
    <w:next w:val="Tabletext"/>
    <w:pPr>
      <w:keepNext/>
      <w:keepLines/>
      <w:tabs>
        <w:tab w:val="clear" w:pos="1134"/>
        <w:tab w:val="clear" w:pos="1871"/>
        <w:tab w:val="clear" w:pos="2268"/>
      </w:tabs>
      <w:spacing w:before="0"/>
      <w:jc w:val="both"/>
    </w:pPr>
    <w:rPr>
      <w:sz w:val="16"/>
    </w:rPr>
  </w:style>
  <w:style w:type="paragraph" w:customStyle="1" w:styleId="ASN1">
    <w:name w:val="ASN.1"/>
    <w:basedOn w:val="Normal"/>
    <w:next w:val="Normal"/>
    <w:pPr>
      <w:tabs>
        <w:tab w:val="clear" w:pos="1871"/>
        <w:tab w:val="left" w:pos="567"/>
        <w:tab w:val="left" w:pos="1701"/>
        <w:tab w:val="left" w:pos="2835"/>
        <w:tab w:val="left" w:pos="3402"/>
        <w:tab w:val="left" w:pos="3969"/>
        <w:tab w:val="left" w:pos="4536"/>
        <w:tab w:val="left" w:pos="5103"/>
        <w:tab w:val="left" w:pos="5670"/>
      </w:tabs>
      <w:spacing w:before="0"/>
      <w:jc w:val="both"/>
    </w:pPr>
    <w:rPr>
      <w:b/>
      <w:noProof/>
      <w:sz w:val="20"/>
      <w:lang w:val="fr-FR"/>
    </w:rPr>
  </w:style>
  <w:style w:type="paragraph" w:customStyle="1" w:styleId="Call">
    <w:name w:val="Call"/>
    <w:basedOn w:val="Normal"/>
    <w:next w:val="Normal"/>
    <w:link w:val="CallChar"/>
    <w:uiPriority w:val="99"/>
    <w:pPr>
      <w:keepNext/>
      <w:keepLines/>
      <w:tabs>
        <w:tab w:val="clear" w:pos="1134"/>
        <w:tab w:val="clear" w:pos="1871"/>
        <w:tab w:val="clear" w:pos="2268"/>
        <w:tab w:val="left" w:pos="794"/>
        <w:tab w:val="left" w:pos="1191"/>
        <w:tab w:val="left" w:pos="1588"/>
        <w:tab w:val="left" w:pos="1985"/>
      </w:tabs>
      <w:spacing w:before="160"/>
      <w:ind w:left="794"/>
      <w:jc w:val="both"/>
    </w:pPr>
    <w:rPr>
      <w:i/>
      <w:lang w:val="fr-FR"/>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uiPriority w:val="99"/>
    <w:rPr>
      <w:position w:val="6"/>
      <w:sz w:val="18"/>
    </w:rPr>
  </w:style>
  <w:style w:type="paragraph" w:styleId="FootnoteText">
    <w:name w:val="footnote text"/>
    <w:basedOn w:val="Normal"/>
    <w:link w:val="FootnoteTextChar"/>
    <w:uiPriority w:val="99"/>
    <w:pPr>
      <w:keepLines/>
      <w:tabs>
        <w:tab w:val="clear" w:pos="1134"/>
        <w:tab w:val="clear" w:pos="1871"/>
        <w:tab w:val="clear" w:pos="2268"/>
        <w:tab w:val="left" w:pos="255"/>
        <w:tab w:val="left" w:pos="794"/>
        <w:tab w:val="left" w:pos="1191"/>
        <w:tab w:val="left" w:pos="1588"/>
        <w:tab w:val="left" w:pos="1985"/>
      </w:tabs>
      <w:ind w:left="255" w:hanging="255"/>
      <w:jc w:val="both"/>
    </w:pPr>
    <w:rPr>
      <w:sz w:val="22"/>
      <w:lang w:val="fr-FR"/>
    </w:rPr>
  </w:style>
  <w:style w:type="paragraph" w:styleId="Index1">
    <w:name w:val="index 1"/>
    <w:basedOn w:val="Normal"/>
    <w:next w:val="Normal"/>
    <w:semiHidden/>
    <w:pPr>
      <w:tabs>
        <w:tab w:val="clear" w:pos="1134"/>
        <w:tab w:val="clear" w:pos="1871"/>
        <w:tab w:val="clear" w:pos="2268"/>
        <w:tab w:val="left" w:pos="794"/>
        <w:tab w:val="left" w:pos="1191"/>
        <w:tab w:val="left" w:pos="1588"/>
        <w:tab w:val="left" w:pos="1985"/>
      </w:tabs>
      <w:jc w:val="both"/>
    </w:pPr>
    <w:rPr>
      <w:lang w:val="fr-FR"/>
    </w:rPr>
  </w:style>
  <w:style w:type="paragraph" w:styleId="Index2">
    <w:name w:val="index 2"/>
    <w:basedOn w:val="Normal"/>
    <w:next w:val="Normal"/>
    <w:semiHidden/>
    <w:pPr>
      <w:tabs>
        <w:tab w:val="clear" w:pos="1134"/>
        <w:tab w:val="clear" w:pos="1871"/>
        <w:tab w:val="clear" w:pos="2268"/>
        <w:tab w:val="left" w:pos="794"/>
        <w:tab w:val="left" w:pos="1191"/>
        <w:tab w:val="left" w:pos="1588"/>
        <w:tab w:val="left" w:pos="1985"/>
      </w:tabs>
      <w:ind w:left="283"/>
      <w:jc w:val="both"/>
    </w:pPr>
    <w:rPr>
      <w:lang w:val="fr-FR"/>
    </w:rPr>
  </w:style>
  <w:style w:type="paragraph" w:styleId="Index3">
    <w:name w:val="index 3"/>
    <w:basedOn w:val="Normal"/>
    <w:next w:val="Normal"/>
    <w:semiHidden/>
    <w:pPr>
      <w:tabs>
        <w:tab w:val="clear" w:pos="1134"/>
        <w:tab w:val="clear" w:pos="1871"/>
        <w:tab w:val="clear" w:pos="2268"/>
        <w:tab w:val="left" w:pos="794"/>
        <w:tab w:val="left" w:pos="1191"/>
        <w:tab w:val="left" w:pos="1588"/>
        <w:tab w:val="left" w:pos="1985"/>
      </w:tabs>
      <w:ind w:left="566"/>
      <w:jc w:val="both"/>
    </w:pPr>
    <w:rPr>
      <w:lang w:val="fr-FR"/>
    </w:rPr>
  </w:style>
  <w:style w:type="paragraph" w:styleId="IndexHeading">
    <w:name w:val="index heading"/>
    <w:basedOn w:val="Normal"/>
    <w:next w:val="Index1"/>
    <w:semiHidden/>
    <w:pPr>
      <w:tabs>
        <w:tab w:val="clear" w:pos="1134"/>
        <w:tab w:val="clear" w:pos="1871"/>
        <w:tab w:val="clear" w:pos="2268"/>
        <w:tab w:val="left" w:pos="794"/>
        <w:tab w:val="left" w:pos="1191"/>
        <w:tab w:val="left" w:pos="1588"/>
        <w:tab w:val="left" w:pos="1985"/>
      </w:tabs>
      <w:jc w:val="both"/>
    </w:pPr>
    <w:rPr>
      <w:lang w:val="fr-FR"/>
    </w:rPr>
  </w:style>
  <w:style w:type="paragraph" w:customStyle="1" w:styleId="Line">
    <w:name w:val="Line"/>
    <w:basedOn w:val="Normal"/>
    <w:next w:val="Normal"/>
    <w:pPr>
      <w:pBdr>
        <w:top w:val="single" w:sz="6" w:space="1" w:color="auto"/>
      </w:pBdr>
      <w:tabs>
        <w:tab w:val="clear" w:pos="1134"/>
        <w:tab w:val="clear" w:pos="1871"/>
        <w:tab w:val="clear" w:pos="2268"/>
      </w:tabs>
      <w:spacing w:before="240"/>
      <w:ind w:left="3997" w:right="3997"/>
      <w:jc w:val="center"/>
    </w:pPr>
    <w:rPr>
      <w:sz w:val="20"/>
    </w:rPr>
  </w:style>
  <w:style w:type="paragraph" w:customStyle="1" w:styleId="toctemp">
    <w:name w:val="toctemp"/>
    <w:basedOn w:val="Normal"/>
    <w:pPr>
      <w:tabs>
        <w:tab w:val="clear" w:pos="1134"/>
        <w:tab w:val="clear" w:pos="1871"/>
        <w:tab w:val="clear" w:pos="2268"/>
        <w:tab w:val="left" w:pos="2693"/>
        <w:tab w:val="left" w:leader="dot" w:pos="8789"/>
        <w:tab w:val="right" w:pos="9639"/>
      </w:tabs>
      <w:ind w:left="2693" w:right="964" w:hanging="2693"/>
      <w:jc w:val="both"/>
    </w:pPr>
    <w:rPr>
      <w:lang w:val="fr-FR"/>
    </w:rPr>
  </w:style>
  <w:style w:type="paragraph" w:customStyle="1" w:styleId="PartNo">
    <w:name w:val="Part_No"/>
    <w:basedOn w:val="Normal"/>
    <w:next w:val="Normal"/>
    <w:pPr>
      <w:tabs>
        <w:tab w:val="clear" w:pos="1134"/>
        <w:tab w:val="clear" w:pos="1871"/>
        <w:tab w:val="clear" w:pos="2268"/>
        <w:tab w:val="left" w:pos="794"/>
        <w:tab w:val="left" w:pos="1191"/>
        <w:tab w:val="left" w:pos="1588"/>
        <w:tab w:val="left" w:pos="1985"/>
      </w:tabs>
      <w:jc w:val="both"/>
    </w:pPr>
    <w:rPr>
      <w:lang w:val="fr-FR"/>
    </w:rPr>
  </w:style>
  <w:style w:type="paragraph" w:customStyle="1" w:styleId="Partref">
    <w:name w:val="Part_ref"/>
    <w:basedOn w:val="Normal"/>
    <w:next w:val="Normal"/>
    <w:pPr>
      <w:keepNext/>
      <w:keepLines/>
      <w:tabs>
        <w:tab w:val="clear" w:pos="1134"/>
        <w:tab w:val="clear" w:pos="1871"/>
        <w:tab w:val="clear" w:pos="2268"/>
        <w:tab w:val="left" w:pos="794"/>
        <w:tab w:val="left" w:pos="1191"/>
        <w:tab w:val="left" w:pos="1588"/>
        <w:tab w:val="left" w:pos="1985"/>
      </w:tabs>
      <w:spacing w:after="280"/>
      <w:jc w:val="center"/>
    </w:pPr>
    <w:rPr>
      <w:lang w:val="fr-FR"/>
    </w:rPr>
  </w:style>
  <w:style w:type="paragraph" w:customStyle="1" w:styleId="Parttitle">
    <w:name w:val="Part_title"/>
    <w:basedOn w:val="Normal"/>
    <w:next w:val="Normalaftertitle"/>
    <w:pPr>
      <w:keepNext/>
      <w:keepLines/>
      <w:tabs>
        <w:tab w:val="clear" w:pos="1134"/>
        <w:tab w:val="clear" w:pos="1871"/>
        <w:tab w:val="clear" w:pos="2268"/>
      </w:tabs>
      <w:spacing w:before="280" w:after="40"/>
      <w:jc w:val="center"/>
    </w:pPr>
    <w:rPr>
      <w:b/>
      <w:sz w:val="28"/>
      <w:lang w:val="fr-FR"/>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pPr>
      <w:tabs>
        <w:tab w:val="clear" w:pos="1134"/>
        <w:tab w:val="clear" w:pos="1871"/>
        <w:tab w:val="clear" w:pos="2268"/>
        <w:tab w:val="left" w:pos="794"/>
        <w:tab w:val="left" w:pos="1191"/>
        <w:tab w:val="left" w:pos="1588"/>
        <w:tab w:val="left" w:pos="1985"/>
      </w:tabs>
      <w:jc w:val="both"/>
    </w:pPr>
    <w:rPr>
      <w:lang w:val="fr-FR"/>
    </w:rPr>
  </w:style>
  <w:style w:type="paragraph" w:customStyle="1" w:styleId="Reftext">
    <w:name w:val="Ref_text"/>
    <w:basedOn w:val="Normal"/>
    <w:pPr>
      <w:tabs>
        <w:tab w:val="clear" w:pos="1134"/>
        <w:tab w:val="clear" w:pos="1871"/>
        <w:tab w:val="clear" w:pos="2268"/>
        <w:tab w:val="left" w:pos="794"/>
        <w:tab w:val="left" w:pos="1191"/>
        <w:tab w:val="left" w:pos="1588"/>
        <w:tab w:val="left" w:pos="1985"/>
      </w:tabs>
      <w:ind w:left="794" w:hanging="794"/>
      <w:jc w:val="both"/>
    </w:pPr>
    <w:rPr>
      <w:sz w:val="22"/>
      <w:lang w:val="fr-FR"/>
    </w:rPr>
  </w:style>
  <w:style w:type="paragraph" w:customStyle="1" w:styleId="Reftitle">
    <w:name w:val="Ref_title"/>
    <w:basedOn w:val="Normal"/>
    <w:next w:val="Reftext"/>
    <w:pPr>
      <w:tabs>
        <w:tab w:val="clear" w:pos="1134"/>
        <w:tab w:val="clear" w:pos="1871"/>
        <w:tab w:val="clear" w:pos="2268"/>
      </w:tabs>
      <w:spacing w:before="480"/>
      <w:jc w:val="center"/>
    </w:pPr>
    <w:rPr>
      <w:b/>
      <w:sz w:val="28"/>
      <w:lang w:val="fr-FR"/>
    </w:rPr>
  </w:style>
  <w:style w:type="paragraph" w:customStyle="1" w:styleId="Repdate">
    <w:name w:val="Rep_date"/>
    <w:basedOn w:val="Recdate"/>
    <w:next w:val="Normal"/>
  </w:style>
  <w:style w:type="paragraph" w:customStyle="1" w:styleId="RepNo">
    <w:name w:val="Rep_No"/>
    <w:basedOn w:val="RecNo"/>
    <w:next w:val="Reptitle"/>
    <w:uiPriority w:val="99"/>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tabs>
        <w:tab w:val="clear" w:pos="1134"/>
        <w:tab w:val="clear" w:pos="1871"/>
        <w:tab w:val="clear" w:pos="2268"/>
        <w:tab w:val="left" w:pos="794"/>
        <w:tab w:val="left" w:pos="1191"/>
        <w:tab w:val="left" w:pos="1588"/>
        <w:tab w:val="left" w:pos="1985"/>
      </w:tabs>
      <w:spacing w:before="240"/>
      <w:jc w:val="center"/>
    </w:pPr>
    <w:rPr>
      <w:b/>
      <w:sz w:val="28"/>
      <w:lang w:val="fr-FR"/>
    </w:rPr>
  </w:style>
  <w:style w:type="paragraph" w:customStyle="1" w:styleId="SectionNo">
    <w:name w:val="Section_No"/>
    <w:basedOn w:val="Normal"/>
    <w:next w:val="Normal"/>
    <w:pPr>
      <w:tabs>
        <w:tab w:val="clear" w:pos="1134"/>
        <w:tab w:val="clear" w:pos="1871"/>
        <w:tab w:val="clear" w:pos="2268"/>
        <w:tab w:val="left" w:pos="794"/>
        <w:tab w:val="left" w:pos="1191"/>
        <w:tab w:val="left" w:pos="1588"/>
        <w:tab w:val="left" w:pos="1985"/>
      </w:tabs>
      <w:jc w:val="both"/>
    </w:pPr>
    <w:rPr>
      <w:lang w:val="fr-FR"/>
    </w:rPr>
  </w:style>
  <w:style w:type="paragraph" w:customStyle="1" w:styleId="Sectiontitle">
    <w:name w:val="Section_title"/>
    <w:basedOn w:val="Normal"/>
    <w:next w:val="Normalaftertitle"/>
    <w:pPr>
      <w:keepNext/>
      <w:keepLines/>
      <w:tabs>
        <w:tab w:val="clear" w:pos="1134"/>
        <w:tab w:val="clear" w:pos="1871"/>
        <w:tab w:val="clear" w:pos="2268"/>
      </w:tabs>
      <w:spacing w:before="280" w:after="40"/>
      <w:jc w:val="center"/>
    </w:pPr>
    <w:rPr>
      <w:b/>
      <w:sz w:val="28"/>
      <w:lang w:val="fr-FR"/>
    </w:rPr>
  </w:style>
  <w:style w:type="paragraph" w:customStyle="1" w:styleId="toc0">
    <w:name w:val="toc 0"/>
    <w:basedOn w:val="Normal"/>
    <w:next w:val="TOC1"/>
    <w:pPr>
      <w:tabs>
        <w:tab w:val="clear" w:pos="1134"/>
        <w:tab w:val="clear" w:pos="1871"/>
        <w:tab w:val="clear" w:pos="2268"/>
        <w:tab w:val="right" w:pos="9611"/>
      </w:tabs>
      <w:jc w:val="both"/>
    </w:pPr>
    <w:rPr>
      <w:i/>
      <w:lang w:val="fr-FR"/>
    </w:rPr>
  </w:style>
  <w:style w:type="paragraph" w:styleId="TOC1">
    <w:name w:val="toc 1"/>
    <w:basedOn w:val="Normal"/>
    <w:semiHidden/>
    <w:pPr>
      <w:keepLines/>
      <w:tabs>
        <w:tab w:val="clear" w:pos="1134"/>
        <w:tab w:val="clear" w:pos="1871"/>
        <w:tab w:val="clear" w:pos="2268"/>
        <w:tab w:val="left" w:pos="567"/>
        <w:tab w:val="left" w:leader="dot" w:pos="8789"/>
        <w:tab w:val="right" w:pos="9611"/>
      </w:tabs>
      <w:spacing w:before="240"/>
      <w:ind w:left="567" w:right="851" w:hanging="567"/>
      <w:jc w:val="both"/>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link w:val="RectitleChar"/>
    <w:uiPriority w:val="99"/>
    <w:pPr>
      <w:keepNext/>
      <w:keepLines/>
      <w:tabs>
        <w:tab w:val="clear" w:pos="1134"/>
        <w:tab w:val="clear" w:pos="1871"/>
        <w:tab w:val="clear" w:pos="2268"/>
        <w:tab w:val="left" w:pos="794"/>
        <w:tab w:val="left" w:pos="1191"/>
        <w:tab w:val="left" w:pos="1588"/>
        <w:tab w:val="left" w:pos="1985"/>
      </w:tabs>
      <w:spacing w:before="240"/>
      <w:jc w:val="center"/>
    </w:pPr>
    <w:rPr>
      <w:b/>
      <w:sz w:val="28"/>
      <w:lang w:val="fr-FR"/>
    </w:rPr>
  </w:style>
  <w:style w:type="paragraph" w:customStyle="1" w:styleId="Annexref">
    <w:name w:val="Annex_ref"/>
    <w:basedOn w:val="Normal"/>
    <w:next w:val="Normalaftertitle"/>
    <w:pPr>
      <w:keepNext/>
      <w:keepLines/>
      <w:tabs>
        <w:tab w:val="clear" w:pos="1134"/>
        <w:tab w:val="clear" w:pos="1871"/>
        <w:tab w:val="clear" w:pos="2268"/>
        <w:tab w:val="left" w:pos="794"/>
        <w:tab w:val="left" w:pos="1191"/>
        <w:tab w:val="left" w:pos="1588"/>
        <w:tab w:val="left" w:pos="1985"/>
      </w:tabs>
      <w:spacing w:after="280"/>
      <w:jc w:val="center"/>
    </w:pPr>
    <w:rPr>
      <w:lang w:val="fr-FR"/>
    </w:rPr>
  </w:style>
  <w:style w:type="paragraph" w:customStyle="1" w:styleId="Appendixref">
    <w:name w:val="Appendix_ref"/>
    <w:basedOn w:val="Annexref"/>
    <w:next w:val="Normalaftertitle"/>
  </w:style>
  <w:style w:type="paragraph" w:customStyle="1" w:styleId="Figuretitle">
    <w:name w:val="Figure_title"/>
    <w:basedOn w:val="Normal"/>
    <w:next w:val="Figure"/>
    <w:pPr>
      <w:keepNext/>
      <w:tabs>
        <w:tab w:val="clear" w:pos="1134"/>
        <w:tab w:val="clear" w:pos="1871"/>
        <w:tab w:val="clear" w:pos="2268"/>
        <w:tab w:val="left" w:pos="794"/>
        <w:tab w:val="left" w:pos="1191"/>
        <w:tab w:val="left" w:pos="1588"/>
        <w:tab w:val="left" w:pos="1985"/>
      </w:tabs>
      <w:spacing w:before="0" w:after="120"/>
      <w:jc w:val="center"/>
    </w:pPr>
    <w:rPr>
      <w:rFonts w:ascii="Times New Roman Bold" w:hAnsi="Times New Roman Bold"/>
      <w:b/>
      <w:sz w:val="18"/>
      <w:lang w:val="fr-FR"/>
    </w:rPr>
  </w:style>
  <w:style w:type="paragraph" w:customStyle="1" w:styleId="Tabletitle">
    <w:name w:val="Table_title"/>
    <w:basedOn w:val="Normal"/>
    <w:next w:val="Tablehead"/>
    <w:pPr>
      <w:keepNext/>
      <w:tabs>
        <w:tab w:val="clear" w:pos="1134"/>
        <w:tab w:val="clear" w:pos="1871"/>
        <w:tab w:val="clear" w:pos="2268"/>
        <w:tab w:val="left" w:pos="794"/>
        <w:tab w:val="left" w:pos="1191"/>
        <w:tab w:val="left" w:pos="1588"/>
        <w:tab w:val="left" w:pos="1985"/>
      </w:tabs>
      <w:spacing w:before="0" w:after="120"/>
      <w:jc w:val="center"/>
    </w:pPr>
    <w:rPr>
      <w:b/>
      <w:lang w:val="fr-FR"/>
    </w:rPr>
  </w:style>
  <w:style w:type="paragraph" w:customStyle="1" w:styleId="Summary">
    <w:name w:val="Summary"/>
    <w:basedOn w:val="Normal"/>
    <w:next w:val="Normalaftertitle"/>
    <w:autoRedefine/>
    <w:rsid w:val="00242AEE"/>
    <w:pPr>
      <w:tabs>
        <w:tab w:val="clear" w:pos="1134"/>
        <w:tab w:val="clear" w:pos="1871"/>
        <w:tab w:val="clear" w:pos="2268"/>
        <w:tab w:val="left" w:pos="794"/>
        <w:tab w:val="left" w:pos="1191"/>
        <w:tab w:val="left" w:pos="1588"/>
        <w:tab w:val="left" w:pos="1985"/>
      </w:tabs>
      <w:spacing w:after="480"/>
      <w:jc w:val="both"/>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paragraph" w:customStyle="1" w:styleId="Normalaftertitle0">
    <w:name w:val="Normal after title"/>
    <w:basedOn w:val="Normal"/>
    <w:next w:val="Normal"/>
    <w:rsid w:val="00724B29"/>
    <w:pPr>
      <w:spacing w:before="280"/>
    </w:pPr>
  </w:style>
  <w:style w:type="character" w:customStyle="1" w:styleId="FootnoteTextChar">
    <w:name w:val="Footnote Text Char"/>
    <w:basedOn w:val="DefaultParagraphFont"/>
    <w:link w:val="FootnoteText"/>
    <w:uiPriority w:val="99"/>
    <w:locked/>
    <w:rsid w:val="00724B29"/>
    <w:rPr>
      <w:sz w:val="22"/>
      <w:lang w:val="fr-FR" w:eastAsia="en-US"/>
    </w:rPr>
  </w:style>
  <w:style w:type="character" w:customStyle="1" w:styleId="RectitleChar">
    <w:name w:val="Rec_title Char"/>
    <w:link w:val="Rectitle"/>
    <w:uiPriority w:val="99"/>
    <w:locked/>
    <w:rsid w:val="00724B29"/>
    <w:rPr>
      <w:b/>
      <w:sz w:val="28"/>
      <w:lang w:val="fr-FR" w:eastAsia="en-US"/>
    </w:rPr>
  </w:style>
  <w:style w:type="character" w:customStyle="1" w:styleId="CallChar">
    <w:name w:val="Call Char"/>
    <w:link w:val="Call"/>
    <w:uiPriority w:val="99"/>
    <w:locked/>
    <w:rsid w:val="00724B29"/>
    <w:rPr>
      <w:i/>
      <w:sz w:val="24"/>
      <w:lang w:val="fr-FR" w:eastAsia="en-US"/>
    </w:rPr>
  </w:style>
  <w:style w:type="character" w:customStyle="1" w:styleId="Heading1Char">
    <w:name w:val="Heading 1 Char"/>
    <w:basedOn w:val="DefaultParagraphFont"/>
    <w:link w:val="Heading1"/>
    <w:rsid w:val="001031B3"/>
    <w:rPr>
      <w:b/>
      <w:sz w:val="24"/>
      <w:lang w:val="fr-FR" w:eastAsia="en-US"/>
    </w:rPr>
  </w:style>
  <w:style w:type="character" w:customStyle="1" w:styleId="HeaderChar">
    <w:name w:val="Header Char"/>
    <w:basedOn w:val="DefaultParagraphFont"/>
    <w:link w:val="Header"/>
    <w:rsid w:val="001031B3"/>
    <w:rPr>
      <w:sz w:val="24"/>
      <w:lang w:val="fr-FR" w:eastAsia="en-US"/>
    </w:rPr>
  </w:style>
  <w:style w:type="character" w:styleId="Hyperlink">
    <w:name w:val="Hyperlink"/>
    <w:basedOn w:val="DefaultParagraphFont"/>
    <w:rsid w:val="001031B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tu.int/publ/R-REC/en" TargetMode="Externa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uli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TotalTime>
  <Pages>5</Pages>
  <Words>1067</Words>
  <Characters>6639</Characters>
  <Application>Microsoft Office Word</Application>
  <DocSecurity>0</DocSecurity>
  <Lines>207</Lines>
  <Paragraphs>14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7692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Julia Marquez, Mari Carmen</dc:creator>
  <cp:keywords/>
  <dc:description/>
  <cp:lastModifiedBy>Gachet, Christelle</cp:lastModifiedBy>
  <cp:revision>4</cp:revision>
  <cp:lastPrinted>2005-02-10T15:54:00Z</cp:lastPrinted>
  <dcterms:created xsi:type="dcterms:W3CDTF">2014-01-09T14:12:00Z</dcterms:created>
  <dcterms:modified xsi:type="dcterms:W3CDTF">2014-01-09T14:16:00Z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