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949" w:rsidRPr="00575CB8" w:rsidRDefault="00B01949" w:rsidP="009E1F8B">
      <w:pPr>
        <w:rPr>
          <w:lang w:val="en-US"/>
        </w:rPr>
      </w:pPr>
      <w:bookmarkStart w:id="0" w:name="dbreak"/>
      <w:bookmarkEnd w:id="0"/>
    </w:p>
    <w:p w:rsidR="00B01949" w:rsidRDefault="00B01949" w:rsidP="009E1F8B"/>
    <w:p w:rsidR="00B01949" w:rsidRDefault="00B01949" w:rsidP="009E1F8B"/>
    <w:p w:rsidR="00B01949" w:rsidRDefault="00B01949" w:rsidP="009E1F8B"/>
    <w:p w:rsidR="00B01949" w:rsidRDefault="00B01949" w:rsidP="009E1F8B"/>
    <w:p w:rsidR="00B01949" w:rsidRDefault="00B01949" w:rsidP="009E1F8B"/>
    <w:p w:rsidR="00B01949" w:rsidRDefault="00B01949" w:rsidP="009E1F8B"/>
    <w:p w:rsidR="00B01949" w:rsidRDefault="00B01949" w:rsidP="009E1F8B"/>
    <w:p w:rsidR="00B01949" w:rsidRDefault="00B01949" w:rsidP="009E1F8B"/>
    <w:p w:rsidR="00B01949" w:rsidRDefault="00B01949" w:rsidP="009E1F8B"/>
    <w:p w:rsidR="00B01949" w:rsidRDefault="00B01949" w:rsidP="009E1F8B"/>
    <w:p w:rsidR="00B01949" w:rsidRDefault="00B01949" w:rsidP="009E1F8B"/>
    <w:tbl>
      <w:tblPr>
        <w:tblW w:w="10089" w:type="dxa"/>
        <w:tblLook w:val="01E0" w:firstRow="1" w:lastRow="1" w:firstColumn="1" w:lastColumn="1" w:noHBand="0" w:noVBand="0"/>
      </w:tblPr>
      <w:tblGrid>
        <w:gridCol w:w="10089"/>
      </w:tblGrid>
      <w:tr w:rsidR="00B01949" w:rsidRPr="00B01949" w:rsidTr="009E1F8B">
        <w:tc>
          <w:tcPr>
            <w:tcW w:w="10089" w:type="dxa"/>
          </w:tcPr>
          <w:p w:rsidR="00B01949" w:rsidRPr="0010336F" w:rsidRDefault="00B01949" w:rsidP="009E1F8B">
            <w:pPr>
              <w:spacing w:before="380" w:line="280" w:lineRule="exact"/>
              <w:jc w:val="right"/>
              <w:rPr>
                <w:rFonts w:ascii="Tahoma" w:hAnsi="Tahoma" w:cs="Tahoma"/>
                <w:b/>
                <w:bCs/>
                <w:iCs/>
                <w:color w:val="243285"/>
                <w:sz w:val="32"/>
                <w:szCs w:val="32"/>
                <w:lang w:val="en-US"/>
              </w:rPr>
            </w:pPr>
          </w:p>
          <w:p w:rsidR="00B01949" w:rsidRPr="0010336F" w:rsidRDefault="00B01949" w:rsidP="004156D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3C2FBA">
              <w:rPr>
                <w:rFonts w:ascii="Tahoma" w:hAnsi="Tahoma" w:cs="Tahoma"/>
                <w:b/>
                <w:bCs/>
                <w:iCs/>
                <w:color w:val="243285"/>
                <w:sz w:val="36"/>
                <w:szCs w:val="36"/>
                <w:lang w:val="es-ES_tradnl"/>
              </w:rPr>
              <w:t>2023</w:t>
            </w:r>
          </w:p>
          <w:p w:rsidR="00B01949" w:rsidRPr="0010336F" w:rsidRDefault="00B01949" w:rsidP="009E1F8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w:t>
            </w:r>
            <w:r w:rsidR="003C2FBA">
              <w:rPr>
                <w:rFonts w:ascii="Tahoma" w:hAnsi="Tahoma" w:cs="Tahoma"/>
                <w:b/>
                <w:bCs/>
                <w:iCs/>
                <w:color w:val="243285"/>
                <w:szCs w:val="24"/>
                <w:lang w:val="es-ES_tradnl"/>
              </w:rPr>
              <w:t>8</w:t>
            </w:r>
            <w:r w:rsidRPr="0010336F">
              <w:rPr>
                <w:rFonts w:ascii="Tahoma" w:hAnsi="Tahoma" w:cs="Tahoma"/>
                <w:b/>
                <w:bCs/>
                <w:iCs/>
                <w:color w:val="243285"/>
                <w:szCs w:val="24"/>
                <w:lang w:val="es-ES_tradnl"/>
              </w:rPr>
              <w:t>/</w:t>
            </w:r>
            <w:r w:rsidR="003C2FBA">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B01949" w:rsidRPr="00703102" w:rsidTr="009E1F8B">
        <w:tc>
          <w:tcPr>
            <w:tcW w:w="10089" w:type="dxa"/>
          </w:tcPr>
          <w:p w:rsidR="00B01949" w:rsidRPr="00703102" w:rsidRDefault="00B01949" w:rsidP="009E1F8B">
            <w:pPr>
              <w:spacing w:before="80" w:line="500" w:lineRule="exact"/>
              <w:jc w:val="right"/>
              <w:rPr>
                <w:rFonts w:ascii="Tahoma" w:hAnsi="Tahoma" w:cs="Tahoma"/>
                <w:b/>
                <w:bCs/>
                <w:iCs/>
                <w:color w:val="243285"/>
                <w:sz w:val="44"/>
                <w:szCs w:val="44"/>
              </w:rPr>
            </w:pPr>
          </w:p>
          <w:p w:rsidR="00B01949" w:rsidRPr="00703102" w:rsidRDefault="000F2DC7" w:rsidP="009F74C9">
            <w:pPr>
              <w:spacing w:before="80" w:line="500" w:lineRule="exact"/>
              <w:jc w:val="right"/>
              <w:rPr>
                <w:rFonts w:ascii="Tahoma" w:hAnsi="Tahoma" w:cs="Tahoma"/>
                <w:b/>
                <w:bCs/>
                <w:color w:val="243285"/>
                <w:sz w:val="44"/>
                <w:szCs w:val="44"/>
              </w:rPr>
            </w:pPr>
            <w:r w:rsidRPr="00703102">
              <w:rPr>
                <w:rFonts w:ascii="Tahoma" w:hAnsi="Tahoma" w:cs="Tahoma"/>
                <w:b/>
                <w:bCs/>
                <w:color w:val="243285"/>
                <w:sz w:val="44"/>
                <w:szCs w:val="44"/>
              </w:rPr>
              <w:t>Requisitos de rendimiento para</w:t>
            </w:r>
            <w:r w:rsidR="009F74C9">
              <w:rPr>
                <w:rFonts w:ascii="Tahoma" w:hAnsi="Tahoma" w:cs="Tahoma"/>
                <w:b/>
                <w:bCs/>
                <w:color w:val="243285"/>
                <w:sz w:val="44"/>
                <w:szCs w:val="44"/>
              </w:rPr>
              <w:br/>
            </w:r>
            <w:r w:rsidRPr="00703102">
              <w:rPr>
                <w:rFonts w:ascii="Tahoma" w:hAnsi="Tahoma" w:cs="Tahoma"/>
                <w:b/>
                <w:bCs/>
                <w:color w:val="243285"/>
                <w:sz w:val="44"/>
                <w:szCs w:val="44"/>
              </w:rPr>
              <w:t>la</w:t>
            </w:r>
            <w:r w:rsidR="003C2FBA" w:rsidRPr="00703102">
              <w:rPr>
                <w:rFonts w:ascii="Tahoma" w:hAnsi="Tahoma" w:cs="Tahoma"/>
                <w:b/>
                <w:bCs/>
                <w:color w:val="243285"/>
                <w:sz w:val="44"/>
                <w:szCs w:val="44"/>
              </w:rPr>
              <w:t xml:space="preserve"> producción,</w:t>
            </w:r>
            <w:r w:rsidRPr="00703102">
              <w:rPr>
                <w:rFonts w:ascii="Tahoma" w:hAnsi="Tahoma" w:cs="Tahoma"/>
                <w:b/>
                <w:bCs/>
                <w:color w:val="243285"/>
                <w:sz w:val="44"/>
                <w:szCs w:val="44"/>
              </w:rPr>
              <w:t xml:space="preserve"> el intercambio</w:t>
            </w:r>
            <w:r w:rsidR="009F74C9">
              <w:rPr>
                <w:rFonts w:ascii="Tahoma" w:hAnsi="Tahoma" w:cs="Tahoma"/>
                <w:b/>
                <w:bCs/>
                <w:color w:val="243285"/>
                <w:sz w:val="44"/>
                <w:szCs w:val="44"/>
              </w:rPr>
              <w:br/>
            </w:r>
            <w:r w:rsidR="003C2FBA" w:rsidRPr="00703102">
              <w:rPr>
                <w:rFonts w:ascii="Tahoma" w:hAnsi="Tahoma" w:cs="Tahoma"/>
                <w:b/>
                <w:bCs/>
                <w:color w:val="243285"/>
                <w:sz w:val="44"/>
                <w:szCs w:val="44"/>
              </w:rPr>
              <w:t>internacional</w:t>
            </w:r>
            <w:r w:rsidR="009F74C9">
              <w:rPr>
                <w:rFonts w:ascii="Tahoma" w:hAnsi="Tahoma" w:cs="Tahoma"/>
                <w:b/>
                <w:bCs/>
                <w:color w:val="243285"/>
                <w:sz w:val="44"/>
                <w:szCs w:val="44"/>
              </w:rPr>
              <w:t xml:space="preserve"> </w:t>
            </w:r>
            <w:r w:rsidR="003C2FBA" w:rsidRPr="00703102">
              <w:rPr>
                <w:rFonts w:ascii="Tahoma" w:hAnsi="Tahoma" w:cs="Tahoma"/>
                <w:b/>
                <w:bCs/>
                <w:color w:val="243285"/>
                <w:sz w:val="44"/>
                <w:szCs w:val="44"/>
              </w:rPr>
              <w:t xml:space="preserve">y la </w:t>
            </w:r>
            <w:r w:rsidRPr="00703102">
              <w:rPr>
                <w:rFonts w:ascii="Tahoma" w:hAnsi="Tahoma" w:cs="Tahoma"/>
                <w:b/>
                <w:bCs/>
                <w:color w:val="243285"/>
                <w:sz w:val="44"/>
                <w:szCs w:val="44"/>
              </w:rPr>
              <w:t>radiodifusión</w:t>
            </w:r>
            <w:r w:rsidR="009F74C9">
              <w:rPr>
                <w:rFonts w:ascii="Tahoma" w:hAnsi="Tahoma" w:cs="Tahoma"/>
                <w:b/>
                <w:bCs/>
                <w:color w:val="243285"/>
                <w:sz w:val="44"/>
                <w:szCs w:val="44"/>
              </w:rPr>
              <w:br/>
            </w:r>
            <w:r w:rsidRPr="00703102">
              <w:rPr>
                <w:rFonts w:ascii="Tahoma" w:hAnsi="Tahoma" w:cs="Tahoma"/>
                <w:b/>
                <w:bCs/>
                <w:color w:val="243285"/>
                <w:sz w:val="44"/>
                <w:szCs w:val="44"/>
              </w:rPr>
              <w:t>de</w:t>
            </w:r>
            <w:r w:rsidR="003C2FBA" w:rsidRPr="00703102">
              <w:rPr>
                <w:rFonts w:ascii="Tahoma" w:hAnsi="Tahoma" w:cs="Tahoma"/>
                <w:b/>
                <w:bCs/>
                <w:color w:val="243285"/>
                <w:sz w:val="44"/>
                <w:szCs w:val="44"/>
              </w:rPr>
              <w:t xml:space="preserve"> </w:t>
            </w:r>
            <w:r w:rsidRPr="00703102">
              <w:rPr>
                <w:rFonts w:ascii="Tahoma" w:hAnsi="Tahoma" w:cs="Tahoma"/>
                <w:b/>
                <w:bCs/>
                <w:color w:val="243285"/>
                <w:sz w:val="44"/>
                <w:szCs w:val="44"/>
              </w:rPr>
              <w:t>programas</w:t>
            </w:r>
            <w:r w:rsidR="009F74C9">
              <w:rPr>
                <w:rFonts w:ascii="Tahoma" w:hAnsi="Tahoma" w:cs="Tahoma"/>
                <w:b/>
                <w:bCs/>
                <w:color w:val="243285"/>
                <w:sz w:val="44"/>
                <w:szCs w:val="44"/>
              </w:rPr>
              <w:t xml:space="preserve"> </w:t>
            </w:r>
            <w:r w:rsidRPr="00703102">
              <w:rPr>
                <w:rFonts w:ascii="Tahoma" w:hAnsi="Tahoma" w:cs="Tahoma"/>
                <w:b/>
                <w:bCs/>
                <w:color w:val="243285"/>
                <w:sz w:val="44"/>
                <w:szCs w:val="44"/>
              </w:rPr>
              <w:t>de televisión 3D</w:t>
            </w:r>
          </w:p>
          <w:p w:rsidR="00B01949" w:rsidRPr="00703102" w:rsidRDefault="00B01949" w:rsidP="009E1F8B">
            <w:pPr>
              <w:spacing w:before="80" w:line="500" w:lineRule="exact"/>
              <w:jc w:val="right"/>
              <w:rPr>
                <w:rFonts w:ascii="Tahoma" w:hAnsi="Tahoma" w:cs="Tahoma"/>
                <w:b/>
                <w:bCs/>
                <w:iCs/>
                <w:color w:val="243285"/>
                <w:sz w:val="44"/>
                <w:szCs w:val="44"/>
              </w:rPr>
            </w:pPr>
          </w:p>
        </w:tc>
      </w:tr>
      <w:tr w:rsidR="00B01949" w:rsidRPr="00703102" w:rsidTr="009E1F8B">
        <w:tc>
          <w:tcPr>
            <w:tcW w:w="10089" w:type="dxa"/>
          </w:tcPr>
          <w:p w:rsidR="00B01949" w:rsidRPr="00703102" w:rsidRDefault="00B01949" w:rsidP="009E1F8B">
            <w:pPr>
              <w:spacing w:before="80" w:line="280" w:lineRule="exact"/>
              <w:ind w:right="640"/>
              <w:rPr>
                <w:rFonts w:ascii="Tahoma" w:hAnsi="Tahoma" w:cs="Tahoma"/>
                <w:b/>
                <w:bCs/>
                <w:iCs/>
                <w:color w:val="243285"/>
                <w:sz w:val="32"/>
                <w:szCs w:val="32"/>
              </w:rPr>
            </w:pPr>
          </w:p>
          <w:p w:rsidR="00B01949" w:rsidRPr="00703102" w:rsidRDefault="00B01949" w:rsidP="009E1F8B">
            <w:pPr>
              <w:spacing w:before="80" w:line="280" w:lineRule="exact"/>
              <w:ind w:right="640"/>
              <w:rPr>
                <w:rFonts w:ascii="Tahoma" w:hAnsi="Tahoma" w:cs="Tahoma"/>
                <w:b/>
                <w:bCs/>
                <w:iCs/>
                <w:color w:val="243285"/>
                <w:sz w:val="32"/>
                <w:szCs w:val="32"/>
              </w:rPr>
            </w:pPr>
          </w:p>
          <w:p w:rsidR="00B01949" w:rsidRPr="00703102" w:rsidRDefault="00B01949" w:rsidP="009E1F8B">
            <w:pPr>
              <w:spacing w:before="80" w:after="180" w:line="360" w:lineRule="exact"/>
              <w:ind w:right="720"/>
              <w:rPr>
                <w:rFonts w:ascii="Tahoma" w:hAnsi="Tahoma" w:cs="Tahoma"/>
                <w:b/>
                <w:bCs/>
                <w:iCs/>
                <w:color w:val="243285"/>
                <w:sz w:val="36"/>
                <w:szCs w:val="36"/>
              </w:rPr>
            </w:pPr>
          </w:p>
          <w:p w:rsidR="00B01949" w:rsidRPr="00703102" w:rsidRDefault="00B01949" w:rsidP="009E1F8B">
            <w:pPr>
              <w:spacing w:before="80" w:after="180" w:line="360" w:lineRule="exact"/>
              <w:jc w:val="right"/>
              <w:rPr>
                <w:rFonts w:ascii="Tahoma" w:hAnsi="Tahoma" w:cs="Tahoma"/>
                <w:b/>
                <w:bCs/>
                <w:iCs/>
                <w:color w:val="243285"/>
                <w:sz w:val="36"/>
                <w:szCs w:val="36"/>
              </w:rPr>
            </w:pPr>
            <w:r w:rsidRPr="00703102">
              <w:rPr>
                <w:rFonts w:ascii="Tahoma" w:hAnsi="Tahoma" w:cs="Tahoma"/>
                <w:b/>
                <w:bCs/>
                <w:iCs/>
                <w:color w:val="243285"/>
                <w:sz w:val="36"/>
                <w:szCs w:val="36"/>
              </w:rPr>
              <w:t>Serie BT</w:t>
            </w:r>
          </w:p>
          <w:p w:rsidR="00B01949" w:rsidRPr="00703102" w:rsidRDefault="00B01949" w:rsidP="009E1F8B">
            <w:pPr>
              <w:spacing w:before="80" w:line="420" w:lineRule="exact"/>
              <w:jc w:val="right"/>
              <w:rPr>
                <w:rFonts w:ascii="Tahoma" w:hAnsi="Tahoma" w:cs="Tahoma"/>
                <w:b/>
                <w:bCs/>
                <w:iCs/>
                <w:color w:val="243285"/>
                <w:sz w:val="36"/>
                <w:szCs w:val="36"/>
              </w:rPr>
            </w:pPr>
            <w:r w:rsidRPr="00703102">
              <w:rPr>
                <w:rFonts w:ascii="Tahoma" w:hAnsi="Tahoma" w:cs="Tahoma"/>
                <w:b/>
                <w:bCs/>
                <w:iCs/>
                <w:color w:val="243285"/>
                <w:sz w:val="36"/>
                <w:szCs w:val="36"/>
              </w:rPr>
              <w:t>Servicio de radiodifusión (televisión</w:t>
            </w:r>
            <w:r w:rsidRPr="00703102">
              <w:rPr>
                <w:rFonts w:ascii="Tahoma" w:hAnsi="Tahoma" w:cs="Tahoma"/>
                <w:b/>
                <w:bCs/>
                <w:color w:val="000080"/>
                <w:sz w:val="36"/>
                <w:szCs w:val="36"/>
              </w:rPr>
              <w:t>)</w:t>
            </w:r>
          </w:p>
        </w:tc>
      </w:tr>
    </w:tbl>
    <w:p w:rsidR="00B01949" w:rsidRPr="00703102" w:rsidRDefault="00B01949" w:rsidP="009E1F8B">
      <w:pPr>
        <w:spacing w:before="80"/>
        <w:rPr>
          <w:i/>
          <w:sz w:val="22"/>
        </w:rPr>
      </w:pPr>
    </w:p>
    <w:p w:rsidR="00B01949" w:rsidRPr="00703102" w:rsidRDefault="00B01949" w:rsidP="009E1F8B">
      <w:pPr>
        <w:spacing w:before="80"/>
        <w:rPr>
          <w:i/>
          <w:sz w:val="22"/>
        </w:rPr>
      </w:pPr>
    </w:p>
    <w:p w:rsidR="00B01949" w:rsidRPr="00703102" w:rsidRDefault="00B01949" w:rsidP="009E1F8B">
      <w:pPr>
        <w:spacing w:before="80"/>
        <w:rPr>
          <w:i/>
          <w:sz w:val="22"/>
        </w:rPr>
      </w:pPr>
    </w:p>
    <w:p w:rsidR="00B01949" w:rsidRPr="00703102" w:rsidRDefault="00B01949" w:rsidP="009E1F8B">
      <w:pPr>
        <w:spacing w:before="80"/>
        <w:rPr>
          <w:i/>
          <w:sz w:val="22"/>
        </w:rPr>
      </w:pPr>
    </w:p>
    <w:p w:rsidR="00B01949" w:rsidRPr="00703102" w:rsidRDefault="00B01949" w:rsidP="009E1F8B">
      <w:pPr>
        <w:spacing w:before="80"/>
        <w:rPr>
          <w:i/>
          <w:sz w:val="22"/>
        </w:rPr>
      </w:pPr>
    </w:p>
    <w:p w:rsidR="00B01949" w:rsidRPr="00703102" w:rsidRDefault="00B01949" w:rsidP="009E1F8B">
      <w:pPr>
        <w:spacing w:before="80"/>
        <w:rPr>
          <w:i/>
          <w:sz w:val="22"/>
        </w:rPr>
      </w:pPr>
    </w:p>
    <w:p w:rsidR="00B01949" w:rsidRPr="00703102" w:rsidRDefault="00B01949" w:rsidP="009E1F8B">
      <w:pPr>
        <w:pStyle w:val="Equation"/>
        <w:tabs>
          <w:tab w:val="clear" w:pos="4820"/>
          <w:tab w:val="clear" w:pos="9639"/>
          <w:tab w:val="left" w:pos="1191"/>
          <w:tab w:val="left" w:pos="1588"/>
          <w:tab w:val="left" w:pos="1985"/>
        </w:tabs>
        <w:rPr>
          <w:rFonts w:ascii="Palatino Linotype" w:hAnsi="Palatino Linotype"/>
        </w:rPr>
        <w:sectPr w:rsidR="00B01949" w:rsidRPr="00703102" w:rsidSect="009E1F8B">
          <w:headerReference w:type="even" r:id="rId8"/>
          <w:headerReference w:type="default" r:id="rId9"/>
          <w:pgSz w:w="11907" w:h="16834" w:code="9"/>
          <w:pgMar w:top="1418" w:right="1134" w:bottom="1134" w:left="1134" w:header="720" w:footer="482" w:gutter="0"/>
          <w:paperSrc w:first="15" w:other="15"/>
          <w:cols w:space="720"/>
        </w:sectPr>
      </w:pPr>
    </w:p>
    <w:p w:rsidR="00B01949" w:rsidRPr="00703102" w:rsidRDefault="00B01949"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rPr>
      </w:pPr>
      <w:bookmarkStart w:id="1" w:name="c2tope"/>
      <w:bookmarkEnd w:id="1"/>
      <w:r w:rsidRPr="00703102">
        <w:rPr>
          <w:bCs/>
          <w:sz w:val="24"/>
          <w:szCs w:val="24"/>
        </w:rPr>
        <w:lastRenderedPageBreak/>
        <w:t>Prólogo</w:t>
      </w:r>
    </w:p>
    <w:p w:rsidR="00B01949" w:rsidRPr="00703102" w:rsidRDefault="00B01949" w:rsidP="009E1F8B">
      <w:pPr>
        <w:spacing w:before="180"/>
        <w:rPr>
          <w:sz w:val="20"/>
        </w:rPr>
      </w:pPr>
      <w:r w:rsidRPr="00703102">
        <w:rPr>
          <w:sz w:val="20"/>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01949" w:rsidRPr="00703102" w:rsidRDefault="00B01949" w:rsidP="009E1F8B">
      <w:pPr>
        <w:rPr>
          <w:sz w:val="20"/>
        </w:rPr>
      </w:pPr>
      <w:r w:rsidRPr="00703102">
        <w:rPr>
          <w:sz w:val="20"/>
        </w:rPr>
        <w:t>Las Conferencias Mundiales y Regionales de Radiocomunicaciones y las Asambleas de Radiocomunicaciones, con la colaboración de las Comisiones de Estudio, cumplen las funciones reglamentarias y políticas del Sector de Radiocomunicaciones.</w:t>
      </w:r>
    </w:p>
    <w:p w:rsidR="00B01949" w:rsidRPr="00703102" w:rsidRDefault="00B01949" w:rsidP="009E1F8B">
      <w:pPr>
        <w:pStyle w:val="Heading1"/>
        <w:spacing w:before="340"/>
        <w:jc w:val="center"/>
        <w:rPr>
          <w:szCs w:val="24"/>
        </w:rPr>
      </w:pPr>
      <w:r w:rsidRPr="00703102">
        <w:t>Política sobre Derechos de Propiedad Intelectual</w:t>
      </w:r>
      <w:r w:rsidRPr="00703102">
        <w:rPr>
          <w:szCs w:val="24"/>
        </w:rPr>
        <w:t xml:space="preserve"> (IPR)</w:t>
      </w:r>
    </w:p>
    <w:p w:rsidR="00B01949" w:rsidRPr="00703102" w:rsidRDefault="00B01949" w:rsidP="009E1F8B">
      <w:pPr>
        <w:spacing w:before="180"/>
        <w:rPr>
          <w:sz w:val="20"/>
        </w:rPr>
      </w:pPr>
      <w:r w:rsidRPr="00703102">
        <w:rPr>
          <w:sz w:val="20"/>
        </w:rPr>
        <w:t>La política del UIT</w:t>
      </w:r>
      <w:r w:rsidRPr="00703102">
        <w:rPr>
          <w:sz w:val="20"/>
        </w:rPr>
        <w:noBreakHyphen/>
        <w:t>R sobre Derechos de Propiedad Intelectual se describe en la Política Común de Patentes UIT</w:t>
      </w:r>
      <w:r w:rsidRPr="00703102">
        <w:rPr>
          <w:sz w:val="20"/>
        </w:rPr>
        <w:noBreakHyphen/>
        <w:t>T/UIT</w:t>
      </w:r>
      <w:r w:rsidRPr="00703102">
        <w:rPr>
          <w:sz w:val="20"/>
        </w:rPr>
        <w:noBreakHyphen/>
        <w:t>R/ISO/CEI a la que se hace referencia en el Anexo 1 a la Resolución UIT</w:t>
      </w:r>
      <w:r w:rsidRPr="00703102">
        <w:rPr>
          <w:sz w:val="20"/>
        </w:rPr>
        <w:noBreakHyphen/>
        <w:t xml:space="preserve">R 1. Los formularios que deben utilizarse en la declaración sobre patentes y utilización de patentes por los titulares de las mismas figuran en la dirección web </w:t>
      </w:r>
      <w:hyperlink r:id="rId10" w:history="1">
        <w:r w:rsidRPr="00703102">
          <w:rPr>
            <w:rStyle w:val="Hyperlink"/>
            <w:sz w:val="20"/>
          </w:rPr>
          <w:t>http://www.itu.int/ITU-R/go/patents/es</w:t>
        </w:r>
      </w:hyperlink>
      <w:r w:rsidRPr="00703102">
        <w:rPr>
          <w:sz w:val="20"/>
        </w:rPr>
        <w:t>, donde también aparecen las Directrices para la implementación de la Política Común de Patentes UIT</w:t>
      </w:r>
      <w:r w:rsidRPr="00703102">
        <w:rPr>
          <w:sz w:val="20"/>
        </w:rPr>
        <w:noBreakHyphen/>
        <w:t>T/UIT</w:t>
      </w:r>
      <w:r w:rsidRPr="00703102">
        <w:rPr>
          <w:sz w:val="20"/>
        </w:rPr>
        <w:noBreakHyphen/>
        <w:t>R/ISO/CEI y la base de datos sobre información de patentes del UIT</w:t>
      </w:r>
      <w:r w:rsidRPr="00703102">
        <w:rPr>
          <w:sz w:val="20"/>
        </w:rPr>
        <w:noBreakHyphen/>
        <w:t>R sobre este asunto.</w:t>
      </w:r>
    </w:p>
    <w:p w:rsidR="00B01949" w:rsidRPr="00703102" w:rsidRDefault="00B01949" w:rsidP="009E1F8B">
      <w:pPr>
        <w:spacing w:before="0"/>
        <w:jc w:val="center"/>
        <w:rPr>
          <w:sz w:val="22"/>
        </w:rPr>
      </w:pPr>
    </w:p>
    <w:p w:rsidR="00B01949" w:rsidRPr="00703102" w:rsidRDefault="00B01949" w:rsidP="009E1F8B">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01949" w:rsidRPr="00703102" w:rsidTr="009E1F8B">
        <w:tc>
          <w:tcPr>
            <w:tcW w:w="9360" w:type="dxa"/>
            <w:gridSpan w:val="2"/>
          </w:tcPr>
          <w:p w:rsidR="00B01949" w:rsidRPr="00703102" w:rsidRDefault="00B01949" w:rsidP="009E1F8B">
            <w:pPr>
              <w:pStyle w:val="Chaptitle"/>
              <w:keepLines w:val="0"/>
              <w:tabs>
                <w:tab w:val="clear" w:pos="794"/>
                <w:tab w:val="clear" w:pos="1191"/>
                <w:tab w:val="clear" w:pos="1588"/>
                <w:tab w:val="clear" w:pos="1985"/>
              </w:tabs>
              <w:overflowPunct/>
              <w:spacing w:before="140"/>
              <w:textAlignment w:val="auto"/>
              <w:rPr>
                <w:sz w:val="22"/>
                <w:szCs w:val="22"/>
              </w:rPr>
            </w:pPr>
            <w:r w:rsidRPr="00703102">
              <w:rPr>
                <w:sz w:val="22"/>
                <w:szCs w:val="22"/>
              </w:rPr>
              <w:t xml:space="preserve">Series de las Recomendaciones UIT-R </w:t>
            </w:r>
          </w:p>
          <w:p w:rsidR="00B01949" w:rsidRPr="00703102" w:rsidRDefault="00B01949"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03102">
              <w:rPr>
                <w:b w:val="0"/>
                <w:sz w:val="18"/>
                <w:szCs w:val="18"/>
              </w:rPr>
              <w:t xml:space="preserve">(También disponible en línea en  </w:t>
            </w:r>
            <w:hyperlink r:id="rId11" w:history="1">
              <w:hyperlink r:id="rId12" w:history="1">
                <w:r w:rsidRPr="00703102">
                  <w:rPr>
                    <w:rStyle w:val="Hyperlink"/>
                    <w:b w:val="0"/>
                    <w:bCs/>
                    <w:sz w:val="18"/>
                    <w:szCs w:val="18"/>
                  </w:rPr>
                  <w:t>http://www.itu.int/publ/R-REC/es</w:t>
                </w:r>
              </w:hyperlink>
              <w:r w:rsidRPr="00703102">
                <w:rPr>
                  <w:rStyle w:val="Hyperlink"/>
                  <w:b w:val="0"/>
                  <w:bCs/>
                  <w:sz w:val="18"/>
                  <w:szCs w:val="18"/>
                </w:rPr>
                <w:t>)</w:t>
              </w:r>
            </w:hyperlink>
          </w:p>
        </w:tc>
      </w:tr>
      <w:tr w:rsidR="00B01949" w:rsidRPr="00703102" w:rsidTr="009E1F8B">
        <w:tc>
          <w:tcPr>
            <w:tcW w:w="1140" w:type="dxa"/>
          </w:tcPr>
          <w:p w:rsidR="00B01949" w:rsidRPr="00703102" w:rsidRDefault="00B01949" w:rsidP="009E1F8B">
            <w:pPr>
              <w:spacing w:before="180" w:after="100"/>
              <w:ind w:left="57"/>
              <w:rPr>
                <w:b/>
                <w:bCs/>
                <w:sz w:val="20"/>
              </w:rPr>
            </w:pPr>
            <w:r w:rsidRPr="00703102">
              <w:rPr>
                <w:b/>
                <w:bCs/>
                <w:sz w:val="20"/>
              </w:rPr>
              <w:t>Series</w:t>
            </w:r>
          </w:p>
        </w:tc>
        <w:tc>
          <w:tcPr>
            <w:tcW w:w="8220" w:type="dxa"/>
          </w:tcPr>
          <w:p w:rsidR="00B01949" w:rsidRPr="00703102" w:rsidRDefault="00B01949"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rPr>
            </w:pPr>
            <w:r w:rsidRPr="00703102">
              <w:rPr>
                <w:bCs/>
                <w:sz w:val="20"/>
              </w:rPr>
              <w:t>Título</w:t>
            </w:r>
          </w:p>
        </w:tc>
      </w:tr>
      <w:tr w:rsidR="00B01949" w:rsidRPr="00703102" w:rsidTr="009E1F8B">
        <w:tc>
          <w:tcPr>
            <w:tcW w:w="1140" w:type="dxa"/>
            <w:tcBorders>
              <w:bottom w:val="nil"/>
            </w:tcBorders>
          </w:tcPr>
          <w:p w:rsidR="00B01949" w:rsidRPr="00703102" w:rsidRDefault="00B01949" w:rsidP="009E1F8B">
            <w:pPr>
              <w:spacing w:before="30" w:after="30"/>
              <w:ind w:left="57"/>
              <w:jc w:val="left"/>
              <w:rPr>
                <w:b/>
                <w:bCs/>
                <w:sz w:val="20"/>
              </w:rPr>
            </w:pPr>
            <w:r w:rsidRPr="00703102">
              <w:rPr>
                <w:b/>
                <w:bCs/>
                <w:sz w:val="20"/>
              </w:rPr>
              <w:t>BO</w:t>
            </w:r>
          </w:p>
        </w:tc>
        <w:tc>
          <w:tcPr>
            <w:tcW w:w="8220" w:type="dxa"/>
            <w:tcBorders>
              <w:bottom w:val="nil"/>
            </w:tcBorders>
          </w:tcPr>
          <w:p w:rsidR="00B01949" w:rsidRPr="00703102" w:rsidRDefault="00B01949"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03102">
              <w:rPr>
                <w:b w:val="0"/>
                <w:bCs/>
                <w:sz w:val="20"/>
              </w:rPr>
              <w:t>Distribución por satélite</w:t>
            </w:r>
          </w:p>
        </w:tc>
      </w:tr>
      <w:tr w:rsidR="00B01949" w:rsidRPr="00703102" w:rsidTr="009E1F8B">
        <w:tc>
          <w:tcPr>
            <w:tcW w:w="1140" w:type="dxa"/>
            <w:tcBorders>
              <w:top w:val="nil"/>
              <w:bottom w:val="nil"/>
            </w:tcBorders>
            <w:shd w:val="clear" w:color="auto" w:fill="auto"/>
          </w:tcPr>
          <w:p w:rsidR="00B01949" w:rsidRPr="00703102" w:rsidRDefault="00B01949" w:rsidP="009E1F8B">
            <w:pPr>
              <w:spacing w:before="30" w:after="30"/>
              <w:ind w:left="57"/>
              <w:jc w:val="left"/>
              <w:rPr>
                <w:rFonts w:hAnsi="Times New Roman Bold"/>
                <w:b/>
                <w:bCs/>
                <w:sz w:val="20"/>
              </w:rPr>
            </w:pPr>
            <w:r w:rsidRPr="00703102">
              <w:rPr>
                <w:rFonts w:hAnsi="Times New Roman Bold"/>
                <w:b/>
                <w:bCs/>
                <w:sz w:val="20"/>
              </w:rPr>
              <w:t>BR</w:t>
            </w:r>
          </w:p>
        </w:tc>
        <w:tc>
          <w:tcPr>
            <w:tcW w:w="8220" w:type="dxa"/>
            <w:tcBorders>
              <w:top w:val="nil"/>
              <w:bottom w:val="nil"/>
            </w:tcBorders>
            <w:shd w:val="clear" w:color="auto" w:fill="auto"/>
          </w:tcPr>
          <w:p w:rsidR="00B01949" w:rsidRPr="00703102" w:rsidRDefault="00B01949"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03102">
              <w:rPr>
                <w:b w:val="0"/>
                <w:sz w:val="20"/>
              </w:rPr>
              <w:t>Registro para producción, archivo y reproducción; películas en televisión</w:t>
            </w:r>
          </w:p>
        </w:tc>
      </w:tr>
      <w:tr w:rsidR="00B01949" w:rsidRPr="00703102" w:rsidTr="009E1F8B">
        <w:tc>
          <w:tcPr>
            <w:tcW w:w="1140" w:type="dxa"/>
            <w:tcBorders>
              <w:top w:val="nil"/>
              <w:bottom w:val="nil"/>
            </w:tcBorders>
          </w:tcPr>
          <w:p w:rsidR="00B01949" w:rsidRPr="00703102" w:rsidRDefault="00B01949" w:rsidP="009E1F8B">
            <w:pPr>
              <w:spacing w:before="30" w:after="30"/>
              <w:ind w:left="57"/>
              <w:jc w:val="left"/>
              <w:rPr>
                <w:b/>
                <w:bCs/>
                <w:sz w:val="20"/>
              </w:rPr>
            </w:pPr>
            <w:r w:rsidRPr="00703102">
              <w:rPr>
                <w:b/>
                <w:bCs/>
                <w:sz w:val="20"/>
              </w:rPr>
              <w:t>BS</w:t>
            </w:r>
          </w:p>
        </w:tc>
        <w:tc>
          <w:tcPr>
            <w:tcW w:w="8220" w:type="dxa"/>
            <w:tcBorders>
              <w:top w:val="nil"/>
              <w:bottom w:val="nil"/>
            </w:tcBorders>
          </w:tcPr>
          <w:p w:rsidR="00B01949" w:rsidRPr="00703102" w:rsidRDefault="00B01949"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03102">
              <w:rPr>
                <w:b w:val="0"/>
                <w:bCs/>
                <w:sz w:val="20"/>
              </w:rPr>
              <w:t>Servicio de radiodifusión (sonora)</w:t>
            </w:r>
          </w:p>
        </w:tc>
      </w:tr>
      <w:tr w:rsidR="00B01949" w:rsidRPr="00703102" w:rsidTr="009E1F8B">
        <w:tc>
          <w:tcPr>
            <w:tcW w:w="1140" w:type="dxa"/>
            <w:tcBorders>
              <w:top w:val="nil"/>
              <w:bottom w:val="nil"/>
            </w:tcBorders>
            <w:shd w:val="clear" w:color="auto" w:fill="F3F3F3"/>
          </w:tcPr>
          <w:p w:rsidR="00B01949" w:rsidRPr="00703102" w:rsidRDefault="00B01949" w:rsidP="009E1F8B">
            <w:pPr>
              <w:spacing w:before="30" w:after="30"/>
              <w:ind w:left="57"/>
              <w:jc w:val="left"/>
              <w:rPr>
                <w:rFonts w:ascii="Times New Roman Bold" w:hAnsi="Times New Roman Bold" w:cs="Times New Roman Bold"/>
                <w:b/>
                <w:bCs/>
                <w:color w:val="000080"/>
                <w:sz w:val="20"/>
              </w:rPr>
            </w:pPr>
            <w:r w:rsidRPr="00703102">
              <w:rPr>
                <w:rFonts w:ascii="Times New Roman Bold" w:hAnsi="Times New Roman Bold" w:cs="Times New Roman Bold"/>
                <w:b/>
                <w:bCs/>
                <w:color w:val="000080"/>
                <w:sz w:val="20"/>
              </w:rPr>
              <w:t>BT</w:t>
            </w:r>
          </w:p>
        </w:tc>
        <w:tc>
          <w:tcPr>
            <w:tcW w:w="8220" w:type="dxa"/>
            <w:tcBorders>
              <w:top w:val="nil"/>
              <w:bottom w:val="nil"/>
            </w:tcBorders>
            <w:shd w:val="clear" w:color="auto" w:fill="F3F3F3"/>
          </w:tcPr>
          <w:p w:rsidR="00B01949" w:rsidRPr="00703102" w:rsidRDefault="00B01949"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rPr>
            </w:pPr>
            <w:r w:rsidRPr="00703102">
              <w:rPr>
                <w:rFonts w:ascii="Times New Roman Bold" w:hAnsi="Times New Roman Bold" w:cs="Times New Roman Bold"/>
                <w:bCs/>
                <w:color w:val="000080"/>
                <w:sz w:val="20"/>
              </w:rPr>
              <w:t>Servicio de radiodifusión (televisión)</w:t>
            </w:r>
          </w:p>
        </w:tc>
      </w:tr>
      <w:tr w:rsidR="00B01949" w:rsidRPr="00703102" w:rsidTr="009E1F8B">
        <w:tc>
          <w:tcPr>
            <w:tcW w:w="1140" w:type="dxa"/>
            <w:tcBorders>
              <w:top w:val="nil"/>
              <w:bottom w:val="nil"/>
            </w:tcBorders>
            <w:shd w:val="clear" w:color="auto" w:fill="auto"/>
          </w:tcPr>
          <w:p w:rsidR="00B01949" w:rsidRPr="00703102" w:rsidRDefault="00B01949" w:rsidP="009E1F8B">
            <w:pPr>
              <w:spacing w:before="30" w:after="30"/>
              <w:ind w:left="57"/>
              <w:jc w:val="left"/>
              <w:rPr>
                <w:b/>
                <w:bCs/>
                <w:sz w:val="20"/>
              </w:rPr>
            </w:pPr>
            <w:r w:rsidRPr="00703102">
              <w:rPr>
                <w:b/>
                <w:bCs/>
                <w:sz w:val="20"/>
              </w:rPr>
              <w:t>F</w:t>
            </w:r>
          </w:p>
        </w:tc>
        <w:tc>
          <w:tcPr>
            <w:tcW w:w="8220" w:type="dxa"/>
            <w:tcBorders>
              <w:top w:val="nil"/>
              <w:bottom w:val="nil"/>
            </w:tcBorders>
            <w:shd w:val="clear" w:color="auto" w:fill="auto"/>
          </w:tcPr>
          <w:p w:rsidR="00B01949" w:rsidRPr="00703102" w:rsidRDefault="00B01949"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703102">
              <w:rPr>
                <w:bCs/>
                <w:sz w:val="20"/>
              </w:rPr>
              <w:t>Servicio fijo</w:t>
            </w:r>
          </w:p>
        </w:tc>
      </w:tr>
      <w:tr w:rsidR="00B01949" w:rsidRPr="00703102" w:rsidTr="009E1F8B">
        <w:tc>
          <w:tcPr>
            <w:tcW w:w="1140" w:type="dxa"/>
            <w:tcBorders>
              <w:top w:val="nil"/>
              <w:bottom w:val="nil"/>
            </w:tcBorders>
            <w:shd w:val="clear" w:color="auto" w:fill="auto"/>
          </w:tcPr>
          <w:p w:rsidR="00B01949" w:rsidRPr="00703102" w:rsidRDefault="00B01949" w:rsidP="009E1F8B">
            <w:pPr>
              <w:spacing w:before="30" w:after="30"/>
              <w:ind w:left="57"/>
              <w:jc w:val="left"/>
              <w:rPr>
                <w:rFonts w:hAnsi="Times New Roman Bold"/>
                <w:b/>
                <w:bCs/>
                <w:sz w:val="20"/>
              </w:rPr>
            </w:pPr>
            <w:r w:rsidRPr="00703102">
              <w:rPr>
                <w:rFonts w:hAnsi="Times New Roman Bold"/>
                <w:b/>
                <w:bCs/>
                <w:sz w:val="20"/>
              </w:rPr>
              <w:t>M</w:t>
            </w:r>
          </w:p>
        </w:tc>
        <w:tc>
          <w:tcPr>
            <w:tcW w:w="8220" w:type="dxa"/>
            <w:tcBorders>
              <w:top w:val="nil"/>
              <w:bottom w:val="nil"/>
            </w:tcBorders>
            <w:shd w:val="clear" w:color="auto" w:fill="auto"/>
          </w:tcPr>
          <w:p w:rsidR="00B01949" w:rsidRPr="00703102" w:rsidRDefault="00B01949"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703102">
              <w:rPr>
                <w:rFonts w:hAnsi="Times New Roman Bold"/>
                <w:b w:val="0"/>
                <w:sz w:val="20"/>
              </w:rPr>
              <w:t>Servicios m</w:t>
            </w:r>
            <w:r w:rsidRPr="00703102">
              <w:rPr>
                <w:rFonts w:hAnsi="Times New Roman Bold"/>
                <w:b w:val="0"/>
                <w:sz w:val="20"/>
              </w:rPr>
              <w:t>ó</w:t>
            </w:r>
            <w:r w:rsidRPr="00703102">
              <w:rPr>
                <w:rFonts w:hAnsi="Times New Roman Bold"/>
                <w:b w:val="0"/>
                <w:sz w:val="20"/>
              </w:rPr>
              <w:t>viles, de radiodeterminaci</w:t>
            </w:r>
            <w:r w:rsidRPr="00703102">
              <w:rPr>
                <w:rFonts w:hAnsi="Times New Roman Bold"/>
                <w:b w:val="0"/>
                <w:sz w:val="20"/>
              </w:rPr>
              <w:t>ó</w:t>
            </w:r>
            <w:r w:rsidRPr="00703102">
              <w:rPr>
                <w:rFonts w:hAnsi="Times New Roman Bold"/>
                <w:b w:val="0"/>
                <w:sz w:val="20"/>
              </w:rPr>
              <w:t>n, de aficionados y otros servicios por sat</w:t>
            </w:r>
            <w:r w:rsidRPr="00703102">
              <w:rPr>
                <w:rFonts w:hAnsi="Times New Roman Bold"/>
                <w:b w:val="0"/>
                <w:sz w:val="20"/>
              </w:rPr>
              <w:t>é</w:t>
            </w:r>
            <w:r w:rsidRPr="00703102">
              <w:rPr>
                <w:rFonts w:hAnsi="Times New Roman Bold"/>
                <w:b w:val="0"/>
                <w:sz w:val="20"/>
              </w:rPr>
              <w:t>lite conexos</w:t>
            </w:r>
          </w:p>
        </w:tc>
      </w:tr>
      <w:tr w:rsidR="00B01949" w:rsidRPr="00703102" w:rsidTr="009E1F8B">
        <w:tc>
          <w:tcPr>
            <w:tcW w:w="1140" w:type="dxa"/>
            <w:tcBorders>
              <w:top w:val="nil"/>
            </w:tcBorders>
          </w:tcPr>
          <w:p w:rsidR="00B01949" w:rsidRPr="00703102" w:rsidRDefault="00B01949" w:rsidP="009E1F8B">
            <w:pPr>
              <w:spacing w:before="30" w:after="30"/>
              <w:ind w:left="57"/>
              <w:jc w:val="left"/>
              <w:rPr>
                <w:b/>
                <w:bCs/>
                <w:sz w:val="20"/>
              </w:rPr>
            </w:pPr>
            <w:r w:rsidRPr="00703102">
              <w:rPr>
                <w:b/>
                <w:bCs/>
                <w:sz w:val="20"/>
              </w:rPr>
              <w:t>P</w:t>
            </w:r>
          </w:p>
        </w:tc>
        <w:tc>
          <w:tcPr>
            <w:tcW w:w="8220" w:type="dxa"/>
            <w:tcBorders>
              <w:top w:val="nil"/>
            </w:tcBorders>
          </w:tcPr>
          <w:p w:rsidR="00B01949" w:rsidRPr="00703102" w:rsidRDefault="00B01949" w:rsidP="009E1F8B">
            <w:pPr>
              <w:spacing w:before="30" w:after="30"/>
              <w:jc w:val="left"/>
              <w:rPr>
                <w:bCs/>
                <w:sz w:val="20"/>
              </w:rPr>
            </w:pPr>
            <w:r w:rsidRPr="00703102">
              <w:rPr>
                <w:bCs/>
                <w:sz w:val="20"/>
              </w:rPr>
              <w:t>Propagación de las ondas radioeléctricas</w:t>
            </w:r>
          </w:p>
        </w:tc>
      </w:tr>
      <w:tr w:rsidR="00B01949" w:rsidRPr="00703102" w:rsidTr="009E1F8B">
        <w:tc>
          <w:tcPr>
            <w:tcW w:w="1140" w:type="dxa"/>
          </w:tcPr>
          <w:p w:rsidR="00B01949" w:rsidRPr="00703102" w:rsidRDefault="00B01949" w:rsidP="009E1F8B">
            <w:pPr>
              <w:spacing w:before="30" w:after="30"/>
              <w:ind w:left="57"/>
              <w:jc w:val="left"/>
              <w:rPr>
                <w:b/>
                <w:bCs/>
                <w:sz w:val="20"/>
              </w:rPr>
            </w:pPr>
            <w:r w:rsidRPr="00703102">
              <w:rPr>
                <w:b/>
                <w:bCs/>
                <w:sz w:val="20"/>
              </w:rPr>
              <w:t>RA</w:t>
            </w:r>
          </w:p>
        </w:tc>
        <w:tc>
          <w:tcPr>
            <w:tcW w:w="8220" w:type="dxa"/>
          </w:tcPr>
          <w:p w:rsidR="00B01949" w:rsidRPr="00703102" w:rsidRDefault="00B01949"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703102">
              <w:rPr>
                <w:bCs/>
                <w:sz w:val="20"/>
              </w:rPr>
              <w:t>Radio astronomía</w:t>
            </w:r>
          </w:p>
        </w:tc>
      </w:tr>
      <w:tr w:rsidR="00B01949" w:rsidRPr="00703102" w:rsidTr="009E1F8B">
        <w:tc>
          <w:tcPr>
            <w:tcW w:w="1140" w:type="dxa"/>
          </w:tcPr>
          <w:p w:rsidR="00B01949" w:rsidRPr="00703102" w:rsidRDefault="00B01949" w:rsidP="009E1F8B">
            <w:pPr>
              <w:spacing w:before="30" w:after="30"/>
              <w:ind w:left="57"/>
              <w:jc w:val="left"/>
              <w:rPr>
                <w:b/>
                <w:bCs/>
                <w:sz w:val="20"/>
              </w:rPr>
            </w:pPr>
            <w:r w:rsidRPr="00703102">
              <w:rPr>
                <w:b/>
                <w:bCs/>
                <w:sz w:val="20"/>
              </w:rPr>
              <w:t>RS</w:t>
            </w:r>
          </w:p>
        </w:tc>
        <w:tc>
          <w:tcPr>
            <w:tcW w:w="8220" w:type="dxa"/>
          </w:tcPr>
          <w:p w:rsidR="00B01949" w:rsidRPr="00703102" w:rsidRDefault="00B01949"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703102">
              <w:rPr>
                <w:bCs/>
                <w:sz w:val="20"/>
              </w:rPr>
              <w:t>Sistemas de detección a distancia</w:t>
            </w:r>
          </w:p>
        </w:tc>
      </w:tr>
      <w:tr w:rsidR="00B01949" w:rsidRPr="00703102" w:rsidTr="009E1F8B">
        <w:tc>
          <w:tcPr>
            <w:tcW w:w="1140" w:type="dxa"/>
          </w:tcPr>
          <w:p w:rsidR="00B01949" w:rsidRPr="00703102" w:rsidRDefault="00B01949" w:rsidP="009E1F8B">
            <w:pPr>
              <w:spacing w:before="30" w:after="30"/>
              <w:ind w:left="57"/>
              <w:jc w:val="left"/>
              <w:rPr>
                <w:b/>
                <w:bCs/>
                <w:sz w:val="20"/>
              </w:rPr>
            </w:pPr>
            <w:r w:rsidRPr="00703102">
              <w:rPr>
                <w:b/>
                <w:bCs/>
                <w:sz w:val="20"/>
              </w:rPr>
              <w:t>S</w:t>
            </w:r>
          </w:p>
        </w:tc>
        <w:tc>
          <w:tcPr>
            <w:tcW w:w="8220" w:type="dxa"/>
          </w:tcPr>
          <w:p w:rsidR="00B01949" w:rsidRPr="00703102" w:rsidRDefault="00B01949" w:rsidP="009E1F8B">
            <w:pPr>
              <w:spacing w:before="30" w:after="30"/>
              <w:jc w:val="left"/>
              <w:rPr>
                <w:bCs/>
                <w:sz w:val="20"/>
              </w:rPr>
            </w:pPr>
            <w:r w:rsidRPr="00703102">
              <w:rPr>
                <w:bCs/>
                <w:sz w:val="20"/>
              </w:rPr>
              <w:t>Servicio fijo por satélite</w:t>
            </w:r>
          </w:p>
        </w:tc>
      </w:tr>
      <w:tr w:rsidR="00B01949" w:rsidRPr="00703102" w:rsidTr="009E1F8B">
        <w:tc>
          <w:tcPr>
            <w:tcW w:w="1140" w:type="dxa"/>
          </w:tcPr>
          <w:p w:rsidR="00B01949" w:rsidRPr="00703102" w:rsidRDefault="00B01949" w:rsidP="009E1F8B">
            <w:pPr>
              <w:spacing w:before="30" w:after="30"/>
              <w:ind w:left="57"/>
              <w:jc w:val="left"/>
              <w:rPr>
                <w:b/>
                <w:bCs/>
                <w:sz w:val="20"/>
              </w:rPr>
            </w:pPr>
            <w:r w:rsidRPr="00703102">
              <w:rPr>
                <w:b/>
                <w:bCs/>
                <w:sz w:val="20"/>
              </w:rPr>
              <w:t>SA</w:t>
            </w:r>
          </w:p>
        </w:tc>
        <w:tc>
          <w:tcPr>
            <w:tcW w:w="8220" w:type="dxa"/>
          </w:tcPr>
          <w:p w:rsidR="00B01949" w:rsidRPr="00703102" w:rsidRDefault="00B01949" w:rsidP="009E1F8B">
            <w:pPr>
              <w:spacing w:before="30" w:after="30"/>
              <w:jc w:val="left"/>
              <w:rPr>
                <w:bCs/>
                <w:sz w:val="20"/>
              </w:rPr>
            </w:pPr>
            <w:r w:rsidRPr="00703102">
              <w:rPr>
                <w:bCs/>
                <w:sz w:val="20"/>
              </w:rPr>
              <w:t>Aplicaciones espaciales y meteorología</w:t>
            </w:r>
          </w:p>
        </w:tc>
      </w:tr>
      <w:tr w:rsidR="00B01949" w:rsidRPr="00703102" w:rsidTr="009E1F8B">
        <w:tc>
          <w:tcPr>
            <w:tcW w:w="1140" w:type="dxa"/>
          </w:tcPr>
          <w:p w:rsidR="00B01949" w:rsidRPr="00703102" w:rsidRDefault="00B01949" w:rsidP="009E1F8B">
            <w:pPr>
              <w:spacing w:before="30" w:after="30"/>
              <w:ind w:left="57"/>
              <w:jc w:val="left"/>
              <w:rPr>
                <w:b/>
                <w:bCs/>
                <w:sz w:val="20"/>
              </w:rPr>
            </w:pPr>
            <w:r w:rsidRPr="00703102">
              <w:rPr>
                <w:b/>
                <w:bCs/>
                <w:sz w:val="20"/>
              </w:rPr>
              <w:t>SF</w:t>
            </w:r>
          </w:p>
        </w:tc>
        <w:tc>
          <w:tcPr>
            <w:tcW w:w="8220" w:type="dxa"/>
          </w:tcPr>
          <w:p w:rsidR="00B01949" w:rsidRPr="00703102" w:rsidRDefault="00B01949" w:rsidP="009E1F8B">
            <w:pPr>
              <w:spacing w:before="30" w:after="30"/>
              <w:jc w:val="left"/>
              <w:rPr>
                <w:bCs/>
                <w:sz w:val="20"/>
              </w:rPr>
            </w:pPr>
            <w:r w:rsidRPr="00703102">
              <w:rPr>
                <w:bCs/>
                <w:sz w:val="20"/>
              </w:rPr>
              <w:t>Compartición de frecuencias y coordinación entre los sistemas del servicio fijo por satélite y del servicio fijo</w:t>
            </w:r>
          </w:p>
        </w:tc>
      </w:tr>
      <w:tr w:rsidR="00B01949" w:rsidRPr="00703102" w:rsidTr="009E1F8B">
        <w:tc>
          <w:tcPr>
            <w:tcW w:w="1140" w:type="dxa"/>
            <w:shd w:val="clear" w:color="auto" w:fill="auto"/>
          </w:tcPr>
          <w:p w:rsidR="00B01949" w:rsidRPr="00703102" w:rsidRDefault="00B01949" w:rsidP="009E1F8B">
            <w:pPr>
              <w:spacing w:before="30" w:after="30"/>
              <w:ind w:left="57"/>
              <w:jc w:val="left"/>
              <w:rPr>
                <w:b/>
                <w:bCs/>
                <w:sz w:val="20"/>
              </w:rPr>
            </w:pPr>
            <w:r w:rsidRPr="00703102">
              <w:rPr>
                <w:b/>
                <w:bCs/>
                <w:sz w:val="20"/>
              </w:rPr>
              <w:t>SM</w:t>
            </w:r>
          </w:p>
        </w:tc>
        <w:tc>
          <w:tcPr>
            <w:tcW w:w="8220" w:type="dxa"/>
            <w:shd w:val="clear" w:color="auto" w:fill="auto"/>
          </w:tcPr>
          <w:p w:rsidR="00B01949" w:rsidRPr="00703102" w:rsidRDefault="00B01949" w:rsidP="009E1F8B">
            <w:pPr>
              <w:spacing w:before="30" w:after="30"/>
              <w:jc w:val="left"/>
              <w:rPr>
                <w:sz w:val="20"/>
              </w:rPr>
            </w:pPr>
            <w:r w:rsidRPr="00703102">
              <w:rPr>
                <w:sz w:val="20"/>
              </w:rPr>
              <w:t>Gestión del espectro</w:t>
            </w:r>
          </w:p>
        </w:tc>
      </w:tr>
      <w:tr w:rsidR="00B01949" w:rsidRPr="00703102" w:rsidTr="009E1F8B">
        <w:tc>
          <w:tcPr>
            <w:tcW w:w="1140" w:type="dxa"/>
          </w:tcPr>
          <w:p w:rsidR="00B01949" w:rsidRPr="00703102" w:rsidRDefault="00B01949" w:rsidP="009E1F8B">
            <w:pPr>
              <w:spacing w:before="30" w:after="30"/>
              <w:ind w:left="57"/>
              <w:jc w:val="left"/>
              <w:rPr>
                <w:b/>
                <w:bCs/>
                <w:sz w:val="20"/>
              </w:rPr>
            </w:pPr>
            <w:r w:rsidRPr="00703102">
              <w:rPr>
                <w:b/>
                <w:bCs/>
                <w:sz w:val="20"/>
              </w:rPr>
              <w:t>SNG</w:t>
            </w:r>
          </w:p>
        </w:tc>
        <w:tc>
          <w:tcPr>
            <w:tcW w:w="8220" w:type="dxa"/>
          </w:tcPr>
          <w:p w:rsidR="00B01949" w:rsidRPr="00703102" w:rsidRDefault="00B01949" w:rsidP="009E1F8B">
            <w:pPr>
              <w:spacing w:before="30" w:after="30"/>
              <w:jc w:val="left"/>
              <w:rPr>
                <w:bCs/>
                <w:sz w:val="20"/>
              </w:rPr>
            </w:pPr>
            <w:r w:rsidRPr="00703102">
              <w:rPr>
                <w:bCs/>
                <w:sz w:val="20"/>
              </w:rPr>
              <w:t>Periodismo electrónico por satélite</w:t>
            </w:r>
          </w:p>
        </w:tc>
      </w:tr>
      <w:tr w:rsidR="00B01949" w:rsidRPr="00703102" w:rsidTr="009E1F8B">
        <w:tc>
          <w:tcPr>
            <w:tcW w:w="1140" w:type="dxa"/>
          </w:tcPr>
          <w:p w:rsidR="00B01949" w:rsidRPr="00703102" w:rsidRDefault="00B01949" w:rsidP="009E1F8B">
            <w:pPr>
              <w:spacing w:before="30" w:after="30"/>
              <w:ind w:left="57"/>
              <w:jc w:val="left"/>
              <w:rPr>
                <w:b/>
                <w:bCs/>
                <w:sz w:val="20"/>
              </w:rPr>
            </w:pPr>
            <w:r w:rsidRPr="00703102">
              <w:rPr>
                <w:b/>
                <w:bCs/>
                <w:sz w:val="20"/>
              </w:rPr>
              <w:t>TF</w:t>
            </w:r>
          </w:p>
        </w:tc>
        <w:tc>
          <w:tcPr>
            <w:tcW w:w="8220" w:type="dxa"/>
          </w:tcPr>
          <w:p w:rsidR="00B01949" w:rsidRPr="00703102" w:rsidRDefault="00B01949" w:rsidP="009E1F8B">
            <w:pPr>
              <w:spacing w:before="30" w:after="30"/>
              <w:jc w:val="left"/>
              <w:rPr>
                <w:bCs/>
                <w:sz w:val="20"/>
              </w:rPr>
            </w:pPr>
            <w:r w:rsidRPr="00703102">
              <w:rPr>
                <w:bCs/>
                <w:sz w:val="20"/>
              </w:rPr>
              <w:t>Emisiones de frecuencias patrón y señales horarias</w:t>
            </w:r>
          </w:p>
        </w:tc>
      </w:tr>
      <w:tr w:rsidR="00B01949" w:rsidRPr="00703102" w:rsidTr="009E1F8B">
        <w:tc>
          <w:tcPr>
            <w:tcW w:w="1140" w:type="dxa"/>
          </w:tcPr>
          <w:p w:rsidR="00B01949" w:rsidRPr="00703102" w:rsidRDefault="00B01949" w:rsidP="009E1F8B">
            <w:pPr>
              <w:spacing w:before="30" w:after="30"/>
              <w:ind w:left="57"/>
              <w:jc w:val="left"/>
              <w:rPr>
                <w:b/>
                <w:bCs/>
                <w:sz w:val="20"/>
              </w:rPr>
            </w:pPr>
            <w:r w:rsidRPr="00703102">
              <w:rPr>
                <w:b/>
                <w:bCs/>
                <w:sz w:val="20"/>
              </w:rPr>
              <w:t>V</w:t>
            </w:r>
          </w:p>
        </w:tc>
        <w:tc>
          <w:tcPr>
            <w:tcW w:w="8220" w:type="dxa"/>
          </w:tcPr>
          <w:p w:rsidR="00B01949" w:rsidRPr="00703102" w:rsidRDefault="00B01949" w:rsidP="009E1F8B">
            <w:pPr>
              <w:spacing w:before="30" w:after="140"/>
              <w:jc w:val="left"/>
              <w:rPr>
                <w:bCs/>
                <w:sz w:val="20"/>
              </w:rPr>
            </w:pPr>
            <w:r w:rsidRPr="00703102">
              <w:rPr>
                <w:bCs/>
                <w:sz w:val="20"/>
              </w:rPr>
              <w:t>Vocabulario y cuestiones afines</w:t>
            </w:r>
          </w:p>
        </w:tc>
      </w:tr>
    </w:tbl>
    <w:p w:rsidR="00B01949" w:rsidRPr="00703102" w:rsidRDefault="00B01949" w:rsidP="009E1F8B">
      <w:pPr>
        <w:spacing w:before="0" w:after="14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B01949" w:rsidRPr="00703102" w:rsidTr="009E1F8B">
        <w:tc>
          <w:tcPr>
            <w:tcW w:w="720" w:type="dxa"/>
          </w:tcPr>
          <w:p w:rsidR="00B01949" w:rsidRPr="00703102" w:rsidRDefault="00B01949" w:rsidP="009E1F8B">
            <w:pPr>
              <w:spacing w:before="0"/>
              <w:jc w:val="center"/>
              <w:rPr>
                <w:sz w:val="22"/>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01949" w:rsidRPr="00703102" w:rsidTr="009E1F8B">
        <w:tc>
          <w:tcPr>
            <w:tcW w:w="9360" w:type="dxa"/>
          </w:tcPr>
          <w:p w:rsidR="00B01949" w:rsidRPr="00703102" w:rsidRDefault="00B01949" w:rsidP="00B37FDF">
            <w:pPr>
              <w:spacing w:before="92" w:after="92"/>
              <w:jc w:val="left"/>
              <w:rPr>
                <w:i/>
                <w:iCs/>
                <w:sz w:val="20"/>
              </w:rPr>
            </w:pPr>
            <w:r w:rsidRPr="00703102">
              <w:rPr>
                <w:b/>
                <w:bCs/>
                <w:i/>
                <w:iCs/>
                <w:sz w:val="20"/>
              </w:rPr>
              <w:t>Nota</w:t>
            </w:r>
            <w:r w:rsidRPr="00703102">
              <w:rPr>
                <w:i/>
                <w:iCs/>
                <w:sz w:val="20"/>
              </w:rPr>
              <w:t xml:space="preserve">: Esta Recomendación UIT-R fue aprobada en inglés conforme al procedimiento detallado en la </w:t>
            </w:r>
            <w:r w:rsidRPr="00703102">
              <w:rPr>
                <w:i/>
                <w:iCs/>
                <w:sz w:val="20"/>
              </w:rPr>
              <w:br/>
              <w:t>Resolución UIT-R 1.</w:t>
            </w:r>
          </w:p>
        </w:tc>
      </w:tr>
    </w:tbl>
    <w:p w:rsidR="00B01949" w:rsidRPr="00703102" w:rsidRDefault="00B01949" w:rsidP="009E1F8B">
      <w:pPr>
        <w:spacing w:before="0"/>
        <w:jc w:val="center"/>
        <w:rPr>
          <w:sz w:val="22"/>
        </w:rPr>
      </w:pPr>
    </w:p>
    <w:p w:rsidR="00B01949" w:rsidRPr="00703102" w:rsidRDefault="00B01949" w:rsidP="009E1F8B">
      <w:pPr>
        <w:spacing w:before="60"/>
        <w:jc w:val="right"/>
        <w:rPr>
          <w:i/>
          <w:iCs/>
          <w:sz w:val="20"/>
        </w:rPr>
      </w:pPr>
      <w:r w:rsidRPr="00703102">
        <w:rPr>
          <w:i/>
          <w:iCs/>
          <w:sz w:val="20"/>
        </w:rPr>
        <w:t>Publicación electrónica</w:t>
      </w:r>
    </w:p>
    <w:p w:rsidR="00B01949" w:rsidRPr="00703102" w:rsidRDefault="00B01949" w:rsidP="000878FF">
      <w:pPr>
        <w:spacing w:before="0" w:after="40"/>
        <w:jc w:val="right"/>
        <w:rPr>
          <w:sz w:val="20"/>
        </w:rPr>
      </w:pPr>
      <w:r w:rsidRPr="00703102">
        <w:rPr>
          <w:sz w:val="20"/>
        </w:rPr>
        <w:t>Ginebra, 2013</w:t>
      </w:r>
    </w:p>
    <w:p w:rsidR="00B01949" w:rsidRPr="00703102" w:rsidRDefault="00B01949" w:rsidP="009E1F8B">
      <w:pPr>
        <w:spacing w:before="0"/>
        <w:jc w:val="center"/>
        <w:rPr>
          <w:sz w:val="22"/>
        </w:rPr>
      </w:pPr>
    </w:p>
    <w:p w:rsidR="00B01949" w:rsidRPr="00703102" w:rsidRDefault="00B01949" w:rsidP="004B5CC6">
      <w:pPr>
        <w:spacing w:before="0"/>
        <w:jc w:val="center"/>
        <w:rPr>
          <w:sz w:val="20"/>
        </w:rPr>
      </w:pPr>
      <w:r w:rsidRPr="00703102">
        <w:rPr>
          <w:sz w:val="20"/>
        </w:rPr>
        <w:sym w:font="Symbol" w:char="F0E3"/>
      </w:r>
      <w:r w:rsidRPr="00703102">
        <w:rPr>
          <w:sz w:val="20"/>
        </w:rPr>
        <w:t xml:space="preserve"> UIT </w:t>
      </w:r>
      <w:bookmarkStart w:id="2" w:name="iiannee"/>
      <w:bookmarkEnd w:id="2"/>
      <w:r w:rsidRPr="00703102">
        <w:rPr>
          <w:sz w:val="20"/>
        </w:rPr>
        <w:t>2013</w:t>
      </w:r>
    </w:p>
    <w:p w:rsidR="00B01949" w:rsidRPr="00703102" w:rsidRDefault="00B01949" w:rsidP="009E1F8B">
      <w:pPr>
        <w:spacing w:before="80"/>
        <w:rPr>
          <w:sz w:val="18"/>
          <w:szCs w:val="18"/>
        </w:rPr>
      </w:pPr>
      <w:r w:rsidRPr="00703102">
        <w:rPr>
          <w:sz w:val="18"/>
          <w:szCs w:val="18"/>
        </w:rPr>
        <w:t>Reservados todos los derechos. Ninguna parte de esta publicación puede reproducirse por ningún procedimiento sin previa autorización escrita por parte de la UIT.</w:t>
      </w:r>
    </w:p>
    <w:p w:rsidR="00B01949" w:rsidRPr="00703102" w:rsidRDefault="00B01949" w:rsidP="009E1F8B">
      <w:pPr>
        <w:spacing w:before="160"/>
        <w:rPr>
          <w:i/>
          <w:sz w:val="20"/>
          <w:highlight w:val="yellow"/>
        </w:rPr>
        <w:sectPr w:rsidR="00B01949" w:rsidRPr="00703102" w:rsidSect="009E1F8B">
          <w:headerReference w:type="even" r:id="rId13"/>
          <w:headerReference w:type="default" r:id="rId14"/>
          <w:pgSz w:w="11907" w:h="16834" w:code="9"/>
          <w:pgMar w:top="1418" w:right="1134" w:bottom="1134" w:left="1134" w:header="720" w:footer="482" w:gutter="0"/>
          <w:pgNumType w:fmt="lowerRoman" w:start="2"/>
          <w:cols w:space="720"/>
        </w:sectPr>
      </w:pPr>
    </w:p>
    <w:p w:rsidR="00B01949" w:rsidRPr="00703102" w:rsidRDefault="00B01949" w:rsidP="00344123">
      <w:pPr>
        <w:pStyle w:val="RecNo"/>
        <w:spacing w:before="0"/>
      </w:pPr>
      <w:bookmarkStart w:id="3" w:name="irecnoe"/>
      <w:bookmarkEnd w:id="3"/>
      <w:r w:rsidRPr="00703102">
        <w:lastRenderedPageBreak/>
        <w:t xml:space="preserve">RECOMENDACIÓN  </w:t>
      </w:r>
      <w:r w:rsidRPr="00703102">
        <w:rPr>
          <w:rStyle w:val="href"/>
        </w:rPr>
        <w:t>UIT-R  BT.2023</w:t>
      </w:r>
    </w:p>
    <w:p w:rsidR="00A6617B" w:rsidRPr="00703102" w:rsidRDefault="000F2DC7" w:rsidP="000F2DC7">
      <w:pPr>
        <w:pStyle w:val="Rectitle"/>
      </w:pPr>
      <w:r w:rsidRPr="00703102">
        <w:t>Requisitos de rendimiento para la producción, el intercambio internacional</w:t>
      </w:r>
      <w:r w:rsidRPr="00703102">
        <w:br/>
        <w:t>y la radiodifusión de programas de televisión 3D</w:t>
      </w:r>
    </w:p>
    <w:p w:rsidR="00726954" w:rsidRPr="00703102" w:rsidRDefault="00726954" w:rsidP="00726954">
      <w:pPr>
        <w:pStyle w:val="Blanc"/>
        <w:rPr>
          <w:lang w:val="es-ES"/>
        </w:rPr>
      </w:pPr>
    </w:p>
    <w:p w:rsidR="000F2DC7" w:rsidRPr="00703102" w:rsidRDefault="00713846" w:rsidP="00713846">
      <w:pPr>
        <w:pStyle w:val="Resdate"/>
      </w:pPr>
      <w:bookmarkStart w:id="4" w:name="Revision_history"/>
      <w:r w:rsidRPr="00703102">
        <w:t>(2012)</w:t>
      </w:r>
      <w:bookmarkEnd w:id="4"/>
    </w:p>
    <w:p w:rsidR="00726954" w:rsidRPr="00703102" w:rsidRDefault="00726954" w:rsidP="00726954">
      <w:pPr>
        <w:pStyle w:val="Blanc"/>
        <w:rPr>
          <w:lang w:val="es-ES"/>
        </w:rPr>
      </w:pPr>
    </w:p>
    <w:p w:rsidR="00726954" w:rsidRPr="00703102" w:rsidRDefault="0068394D" w:rsidP="0068394D">
      <w:pPr>
        <w:pStyle w:val="HeadingSum"/>
        <w:rPr>
          <w:lang w:val="es-ES"/>
        </w:rPr>
      </w:pPr>
      <w:r>
        <w:rPr>
          <w:lang w:val="es-ES"/>
        </w:rPr>
        <w:t>Cometido</w:t>
      </w:r>
    </w:p>
    <w:p w:rsidR="00726954" w:rsidRPr="00703102" w:rsidRDefault="00726954" w:rsidP="00726954">
      <w:pPr>
        <w:pStyle w:val="Summary"/>
        <w:rPr>
          <w:lang w:val="es-ES"/>
        </w:rPr>
      </w:pPr>
      <w:r w:rsidRPr="00703102">
        <w:rPr>
          <w:lang w:val="es-ES"/>
        </w:rPr>
        <w:t>Esta Recomendación especifica los requisitos y criterios de rendimiento que se deben utilizar a escala mundial para la producción, el intercambio internacional y la radiodifusión de programas de TV 3D</w:t>
      </w:r>
      <w:r w:rsidRPr="00703102">
        <w:rPr>
          <w:rStyle w:val="FootnoteReference"/>
          <w:lang w:val="es-ES"/>
        </w:rPr>
        <w:footnoteReference w:id="1"/>
      </w:r>
      <w:r w:rsidRPr="00703102">
        <w:rPr>
          <w:lang w:val="es-ES"/>
        </w:rPr>
        <w:t xml:space="preserve"> estereoscópica. La Recomendación incluye referencias a algunos de los requisitos de producción necesarios para obtener una experiencia de observación de la TV 3D confortable y de alta calidad.</w:t>
      </w:r>
    </w:p>
    <w:p w:rsidR="00726954" w:rsidRPr="00703102" w:rsidRDefault="00726954" w:rsidP="00726954">
      <w:pPr>
        <w:pStyle w:val="Normalaftertitle"/>
      </w:pPr>
      <w:r w:rsidRPr="00703102">
        <w:t>La Asamblea de Radiocomunicaciones de la UIT,</w:t>
      </w:r>
    </w:p>
    <w:p w:rsidR="00726954" w:rsidRPr="00703102" w:rsidRDefault="00726954" w:rsidP="00726954">
      <w:pPr>
        <w:pStyle w:val="Call"/>
      </w:pPr>
      <w:r w:rsidRPr="00703102">
        <w:t>considerando</w:t>
      </w:r>
    </w:p>
    <w:p w:rsidR="00726954" w:rsidRPr="00703102" w:rsidRDefault="00726954" w:rsidP="00726954">
      <w:r w:rsidRPr="00703102">
        <w:t>a)</w:t>
      </w:r>
      <w:r w:rsidRPr="00703102">
        <w:tab/>
        <w:t>que como los productores de programas y los radiodifusores elaboran programas de TV 3D para la radiodifusión nacional y para el intercambio internacional de programas utilizando las actuales Recomendaciones UIT-R sobre TV monoscópica contenidas en las normas existentes, es necesario desarrollar un conjunto de Recomendaciones UIT-R que puedan emplearse en todo el mundo en la producción de programas de TV 3D para la radiodifusión a fin de facilitar su intercambio internacional;</w:t>
      </w:r>
    </w:p>
    <w:p w:rsidR="00726954" w:rsidRPr="00703102" w:rsidRDefault="00726954" w:rsidP="00726954">
      <w:r w:rsidRPr="00703102">
        <w:t>b)</w:t>
      </w:r>
      <w:r w:rsidRPr="00703102">
        <w:tab/>
        <w:t>que los organismos de radiodifusión de TV 3D, los productores de programas y los distribuidores necesitan a menudo preservar el valor y la calidad de sus programas para la radiodifusión de TV y, por tanto, tienen interés en proteger sus programas contra la obsolescencia técnica;</w:t>
      </w:r>
    </w:p>
    <w:p w:rsidR="00726954" w:rsidRPr="00703102" w:rsidRDefault="00726954" w:rsidP="00726954">
      <w:r w:rsidRPr="00703102">
        <w:t>c)</w:t>
      </w:r>
      <w:r w:rsidRPr="00703102">
        <w:tab/>
        <w:t>que los espectadores de TV 3D con visión binocular</w:t>
      </w:r>
      <w:r w:rsidRPr="00703102">
        <w:rPr>
          <w:rStyle w:val="FootnoteReference"/>
        </w:rPr>
        <w:footnoteReference w:id="2"/>
      </w:r>
      <w:r w:rsidRPr="00703102">
        <w:t xml:space="preserve"> normal desean una experiencia de observación confortable mientras dura el programa;</w:t>
      </w:r>
    </w:p>
    <w:p w:rsidR="00726954" w:rsidRPr="00703102" w:rsidRDefault="00726954" w:rsidP="00726954">
      <w:r w:rsidRPr="00703102">
        <w:t>d)</w:t>
      </w:r>
      <w:r w:rsidRPr="00703102">
        <w:tab/>
        <w:t>que el confort y la calidad vis</w:t>
      </w:r>
      <w:r w:rsidR="0068394D">
        <w:t>ual de las imágenes de TV 3D vien</w:t>
      </w:r>
      <w:r w:rsidRPr="00703102">
        <w:t>en influenciados por las gamas de distribuciones de paralaje así como por otros factores entre los que puede citarse las técnicas de producción del programa, los dispositivos de presentación, las gafas 3D y las condiciones de observación;</w:t>
      </w:r>
    </w:p>
    <w:p w:rsidR="00726954" w:rsidRPr="00703102" w:rsidRDefault="00726954" w:rsidP="00726954">
      <w:r w:rsidRPr="00703102">
        <w:t>e)</w:t>
      </w:r>
      <w:r w:rsidRPr="00703102">
        <w:tab/>
        <w:t>que los requisitos globales del rendimiento para un sistema de TV 3D deben identificarse con suficiente detalle a fin de orientar la elección de las tecnologías adecuadas para su implementación;</w:t>
      </w:r>
    </w:p>
    <w:p w:rsidR="00726954" w:rsidRPr="00703102" w:rsidRDefault="00726954" w:rsidP="00726954">
      <w:r w:rsidRPr="00703102">
        <w:t>f)</w:t>
      </w:r>
      <w:r w:rsidRPr="00703102">
        <w:tab/>
        <w:t>que los programas de TV 3D deben convertirse en TV monoscópica con calidad adecuada para la distribución,</w:t>
      </w:r>
    </w:p>
    <w:p w:rsidR="00726954" w:rsidRPr="00703102" w:rsidRDefault="00726954" w:rsidP="00B46540">
      <w:pPr>
        <w:pStyle w:val="Call"/>
      </w:pPr>
      <w:r w:rsidRPr="00703102">
        <w:lastRenderedPageBreak/>
        <w:t>observando</w:t>
      </w:r>
    </w:p>
    <w:p w:rsidR="00726954" w:rsidRPr="00703102" w:rsidRDefault="00726954" w:rsidP="00B46540">
      <w:pPr>
        <w:keepNext/>
        <w:keepLines/>
      </w:pPr>
      <w:r w:rsidRPr="00703102">
        <w:t>a)</w:t>
      </w:r>
      <w:r w:rsidRPr="00703102">
        <w:tab/>
        <w:t>que se han desarrollado técnicas de procesamiento de la imagen hasta el punto de que las soluciones técnicas aplicables a la señal de vídeo en la producción de programas de TV 3D para el intercambio internacional no tienen por qué coincidir necesariamente con las soluciones aplicables a la emisión de los programas de TV 3D dirigida a los telespectadores;</w:t>
      </w:r>
    </w:p>
    <w:p w:rsidR="00726954" w:rsidRPr="00703102" w:rsidRDefault="00726954" w:rsidP="00726954">
      <w:r w:rsidRPr="00703102">
        <w:t>b)</w:t>
      </w:r>
      <w:r w:rsidRPr="00703102">
        <w:tab/>
        <w:t>que la TV 3D requiere actualmente dos observaciones separadas del mismo sujeto: el ojo izquierdo (Oi) y el ojo derecho (Od) y que una vez capturadas, deben procesarse, transportarse y almacenarse de manera que no se introduzcan errores que puedan afectar a una señal más que a otra o que puedan afectarlas de forma distinta, incluida la temporización relativa de las dos señales,</w:t>
      </w:r>
    </w:p>
    <w:p w:rsidR="00726954" w:rsidRPr="00703102" w:rsidRDefault="00726954" w:rsidP="00726954">
      <w:pPr>
        <w:pStyle w:val="Call"/>
      </w:pPr>
      <w:r w:rsidRPr="00703102">
        <w:t>recomienda</w:t>
      </w:r>
    </w:p>
    <w:p w:rsidR="00726954" w:rsidRPr="00703102" w:rsidRDefault="00726954" w:rsidP="00726954">
      <w:r w:rsidRPr="00703102">
        <w:rPr>
          <w:b/>
        </w:rPr>
        <w:t>1</w:t>
      </w:r>
      <w:r w:rsidRPr="00703102">
        <w:tab/>
        <w:t>que los requisitos y los criterios de rendimiento indicados en el Anexo 1 se tengan en cuenta a la hora de determinar las tecnologías apropiadas a un sistema de TV 3D para la producción, el intercambio internacional de programas y la radiodifusión.</w:t>
      </w:r>
    </w:p>
    <w:p w:rsidR="00726954" w:rsidRPr="00703102" w:rsidRDefault="00726954" w:rsidP="00D9351F">
      <w:r w:rsidRPr="00703102">
        <w:t>NOTA – La lista de requisitos y criterios de rendimiento del Anexo 1, aun siendo bastante completa, debe revisarse y posiblemente ampliarse de la forma necesaria para reflejar los progresos tecnológicos, la mejora en el conocimiento de la percepción visual humana y las preferencias de los telespectadores en cuanto a las implementaciones de las presentaciones de TV 3D.</w:t>
      </w:r>
    </w:p>
    <w:p w:rsidR="00726954" w:rsidRDefault="00726954" w:rsidP="00726954"/>
    <w:p w:rsidR="00203635" w:rsidRPr="00703102" w:rsidRDefault="00203635" w:rsidP="00203635">
      <w:pPr>
        <w:spacing w:before="0"/>
      </w:pPr>
      <w:bookmarkStart w:id="5" w:name="_GoBack"/>
      <w:bookmarkEnd w:id="5"/>
    </w:p>
    <w:p w:rsidR="00726954" w:rsidRPr="00703102" w:rsidRDefault="00726954" w:rsidP="00203635">
      <w:pPr>
        <w:pStyle w:val="AnnexNoTitle"/>
      </w:pPr>
      <w:r w:rsidRPr="00703102">
        <w:t>Anexo 1</w:t>
      </w:r>
      <w:r w:rsidRPr="00703102">
        <w:br/>
      </w:r>
      <w:r w:rsidRPr="00703102">
        <w:br/>
        <w:t>Requisitos de rendimiento para la producción, el intercambio internacional</w:t>
      </w:r>
      <w:r w:rsidRPr="00703102">
        <w:br/>
        <w:t>y la radiodifusión de programas de televisión 3D</w:t>
      </w:r>
    </w:p>
    <w:p w:rsidR="00726954" w:rsidRPr="00703102" w:rsidRDefault="00726954" w:rsidP="00726954">
      <w:pPr>
        <w:pStyle w:val="Normalaftertitle"/>
      </w:pPr>
      <w:r w:rsidRPr="00703102">
        <w:t>Los requisitos y criterios de rendimiento indicados a continuación deben tenerse en cuenta cuando se determinen las tecnologías adecuadas para un sistema de radiodifusión de TV 3D.</w:t>
      </w:r>
    </w:p>
    <w:p w:rsidR="00726954" w:rsidRPr="00703102" w:rsidRDefault="00726954" w:rsidP="00726954">
      <w:r w:rsidRPr="00703102">
        <w:t>1</w:t>
      </w:r>
      <w:r w:rsidRPr="00703102">
        <w:tab/>
        <w:t>La experiencia de observación proporcionada por un servicio de radiodifusión de TV 3D debe ser al menos igual, y preferiblemente mejor, que la experiencia ofrecida por la radiodifusión monoscópica de plena calidad sin que sea inferior a ella en ningún aspecto.</w:t>
      </w:r>
    </w:p>
    <w:p w:rsidR="00726954" w:rsidRPr="00703102" w:rsidRDefault="00726954" w:rsidP="00726954">
      <w:r w:rsidRPr="00703102">
        <w:t>2</w:t>
      </w:r>
      <w:r w:rsidRPr="00703102">
        <w:tab/>
        <w:t>Debe alentarse el uso de soluciones técnicas existentes, siempre que sea posible, cuando se identifiquen las especificaciones óptimas para un sistema de producción y radiodifusión de programas de TV 3D basado en las actuales Recomendaciones UIT-R.</w:t>
      </w:r>
    </w:p>
    <w:p w:rsidR="00726954" w:rsidRPr="00703102" w:rsidRDefault="00726954" w:rsidP="00726954">
      <w:r w:rsidRPr="00703102">
        <w:t>3</w:t>
      </w:r>
      <w:r w:rsidRPr="00703102">
        <w:tab/>
        <w:t>En la producción de programas de TV 3D para el intercambio internacional:</w:t>
      </w:r>
    </w:p>
    <w:p w:rsidR="00726954" w:rsidRPr="00703102" w:rsidRDefault="00726954" w:rsidP="00726954">
      <w:pPr>
        <w:pStyle w:val="enumlev1"/>
      </w:pPr>
      <w:r w:rsidRPr="00703102">
        <w:t>–</w:t>
      </w:r>
      <w:r w:rsidRPr="00703102">
        <w:tab/>
        <w:t>es conveniente que haya un solo conjunto de especificaciones de imagen y sonido en cada sistema de televisión del UIT-R utilizado en la producción de programas de TV 3D para el intercambio internacional;</w:t>
      </w:r>
    </w:p>
    <w:p w:rsidR="00726954" w:rsidRPr="00703102" w:rsidRDefault="00726954" w:rsidP="00726954">
      <w:pPr>
        <w:pStyle w:val="enumlev1"/>
      </w:pPr>
      <w:r w:rsidRPr="00703102">
        <w:t>–</w:t>
      </w:r>
      <w:r w:rsidRPr="00703102">
        <w:tab/>
        <w:t>es importante que los organismos de radiodifusión, los productores de programas y los distribuidores empleen sistemas de audio y vídeo seleccionados entre los que proporcionan la mejor calidad técnica y perceptual del sonido y la imagen, manteniendo de esa forma el valor y la calidad técnica de sus programas con vistas a su futura reutilización;</w:t>
      </w:r>
    </w:p>
    <w:p w:rsidR="00726954" w:rsidRPr="00703102" w:rsidRDefault="00726954" w:rsidP="00203635">
      <w:pPr>
        <w:pStyle w:val="enumlev1"/>
      </w:pPr>
      <w:r w:rsidRPr="00703102">
        <w:t>–</w:t>
      </w:r>
      <w:r w:rsidRPr="00703102">
        <w:tab/>
        <w:t>sería beneficioso que los programas producidos para la radiodifusión de TV 3D puedan adaptarse fácilmente para su radiodifusión como programas monoscópicos sin más pérdida que la información de profundidad (relieve), con una calidad técnica adecuada a esas formas de distribución.</w:t>
      </w:r>
    </w:p>
    <w:p w:rsidR="00726954" w:rsidRPr="00703102" w:rsidRDefault="00726954" w:rsidP="00726954">
      <w:pPr>
        <w:keepNext/>
      </w:pPr>
      <w:r w:rsidRPr="00703102">
        <w:lastRenderedPageBreak/>
        <w:t>4</w:t>
      </w:r>
      <w:r w:rsidRPr="00703102">
        <w:tab/>
        <w:t>Para la radiodifusión de programas de TV 3D al público en general:</w:t>
      </w:r>
    </w:p>
    <w:p w:rsidR="00726954" w:rsidRPr="00703102" w:rsidRDefault="00726954" w:rsidP="00726954">
      <w:pPr>
        <w:pStyle w:val="enumlev1"/>
      </w:pPr>
      <w:r w:rsidRPr="00703102">
        <w:t>–</w:t>
      </w:r>
      <w:r w:rsidRPr="00703102">
        <w:tab/>
        <w:t>es conveniente preservar un cierto grado de interoperabilidad hacia atrás</w:t>
      </w:r>
      <w:r w:rsidRPr="00703102">
        <w:rPr>
          <w:rStyle w:val="FootnoteReference"/>
        </w:rPr>
        <w:footnoteReference w:id="3"/>
      </w:r>
      <w:r w:rsidRPr="00703102">
        <w:t xml:space="preserve"> de un nuevo servicio de radiodifusión de TV 3D con los actuales servicios de radiodifusión de TV digital;</w:t>
      </w:r>
    </w:p>
    <w:p w:rsidR="00726954" w:rsidRPr="00703102" w:rsidRDefault="00726954" w:rsidP="00726954">
      <w:pPr>
        <w:pStyle w:val="enumlev1"/>
      </w:pPr>
      <w:r w:rsidRPr="00703102">
        <w:t>–</w:t>
      </w:r>
      <w:r w:rsidRPr="00703102">
        <w:tab/>
        <w:t>dada la actual escasez de espectro para la radiodifusión, la codificación de la fuente y la codificación de canal utilizadas para la emisión de un sistema de radiodifusión de TV 3D deben hacer un uso eficaz de la capacidad de canal y del espectro con objeto de ofrecer un servicio de radiodifusión de TV 3D de la mayor calidad posible dentro de las anchuras de banda de emisión y la capacidad de canal actualmente atribuidas a los servicios de radiodifusión terrenal por satélite;</w:t>
      </w:r>
    </w:p>
    <w:p w:rsidR="00726954" w:rsidRPr="00703102" w:rsidRDefault="00726954" w:rsidP="00726954">
      <w:pPr>
        <w:pStyle w:val="enumlev1"/>
      </w:pPr>
      <w:r w:rsidRPr="00703102">
        <w:t>–</w:t>
      </w:r>
      <w:r w:rsidRPr="00703102">
        <w:tab/>
        <w:t>en el caso de un sistema de radiodifusión de TV 3D destinado a permitir la recepción compatible de señales monofónicas, la codificación de la señal adicional necesaria para cursar la información adicional requerida por la TV 3D no debe provocar, en la medida de lo posible, una degradación perceptible a la presentación de la televisión monoscópica.</w:t>
      </w:r>
    </w:p>
    <w:p w:rsidR="001D5E3C" w:rsidRDefault="001D5E3C" w:rsidP="00726954">
      <w:pPr>
        <w:pStyle w:val="enumlev1"/>
      </w:pPr>
    </w:p>
    <w:p w:rsidR="00203635" w:rsidRPr="00703102" w:rsidRDefault="00203635" w:rsidP="00203635">
      <w:pPr>
        <w:pStyle w:val="enumlev1"/>
        <w:spacing w:before="0"/>
      </w:pPr>
    </w:p>
    <w:p w:rsidR="00D9351F" w:rsidRPr="00703102" w:rsidRDefault="00D9351F" w:rsidP="001D5E3C">
      <w:pPr>
        <w:pStyle w:val="Line"/>
        <w:rPr>
          <w:lang w:val="es-ES"/>
        </w:rPr>
      </w:pPr>
    </w:p>
    <w:sectPr w:rsidR="00D9351F" w:rsidRPr="00703102" w:rsidSect="004C77C1">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949" w:rsidRDefault="00B01949">
      <w:r>
        <w:separator/>
      </w:r>
    </w:p>
  </w:endnote>
  <w:endnote w:type="continuationSeparator" w:id="0">
    <w:p w:rsidR="00B01949" w:rsidRDefault="00B01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949" w:rsidRDefault="00B01949">
      <w:r>
        <w:separator/>
      </w:r>
    </w:p>
  </w:footnote>
  <w:footnote w:type="continuationSeparator" w:id="0">
    <w:p w:rsidR="00B01949" w:rsidRDefault="00B01949">
      <w:r>
        <w:continuationSeparator/>
      </w:r>
    </w:p>
  </w:footnote>
  <w:footnote w:id="1">
    <w:p w:rsidR="00726954" w:rsidRPr="00F95A81" w:rsidRDefault="00726954" w:rsidP="00726954">
      <w:pPr>
        <w:pStyle w:val="FootnoteText"/>
        <w:rPr>
          <w:lang w:val="es-ES_tradnl"/>
        </w:rPr>
      </w:pPr>
      <w:r>
        <w:rPr>
          <w:rStyle w:val="FootnoteReference"/>
        </w:rPr>
        <w:footnoteRef/>
      </w:r>
      <w:r w:rsidRPr="00726954">
        <w:rPr>
          <w:lang w:val="es-ES_tradnl"/>
        </w:rPr>
        <w:t xml:space="preserve"> </w:t>
      </w:r>
      <w:r>
        <w:rPr>
          <w:lang w:val="es-ES_tradnl"/>
        </w:rPr>
        <w:tab/>
        <w:t>En esta Recomendación, el término TV</w:t>
      </w:r>
      <w:r w:rsidR="0068394D">
        <w:rPr>
          <w:lang w:val="es-ES_tradnl"/>
        </w:rPr>
        <w:t> </w:t>
      </w:r>
      <w:r>
        <w:rPr>
          <w:lang w:val="es-ES_tradnl"/>
        </w:rPr>
        <w:t>3D se emplea para referirse a una imagen estereoscópica o una pareja de imágenes.</w:t>
      </w:r>
    </w:p>
  </w:footnote>
  <w:footnote w:id="2">
    <w:p w:rsidR="00726954" w:rsidRPr="00F95A81" w:rsidRDefault="00726954" w:rsidP="00726954">
      <w:pPr>
        <w:pStyle w:val="FootnoteText"/>
        <w:rPr>
          <w:lang w:val="es-ES_tradnl"/>
        </w:rPr>
      </w:pPr>
      <w:r>
        <w:rPr>
          <w:rStyle w:val="FootnoteReference"/>
        </w:rPr>
        <w:footnoteRef/>
      </w:r>
      <w:r w:rsidRPr="00726954">
        <w:rPr>
          <w:lang w:val="es-ES_tradnl"/>
        </w:rPr>
        <w:t xml:space="preserve"> </w:t>
      </w:r>
      <w:r>
        <w:rPr>
          <w:lang w:val="es-ES_tradnl"/>
        </w:rPr>
        <w:tab/>
        <w:t>La visión binocular puede variar dependiendo de las características físicas de los distintos observadores.</w:t>
      </w:r>
    </w:p>
  </w:footnote>
  <w:footnote w:id="3">
    <w:p w:rsidR="00726954" w:rsidRPr="00A723C1" w:rsidRDefault="00726954" w:rsidP="00726954">
      <w:pPr>
        <w:pStyle w:val="FootnoteText"/>
        <w:rPr>
          <w:lang w:val="es-ES_tradnl"/>
        </w:rPr>
      </w:pPr>
      <w:r>
        <w:rPr>
          <w:rStyle w:val="FootnoteReference"/>
        </w:rPr>
        <w:footnoteRef/>
      </w:r>
      <w:r w:rsidRPr="00726954">
        <w:rPr>
          <w:lang w:val="es-ES_tradnl"/>
        </w:rPr>
        <w:t xml:space="preserve"> </w:t>
      </w:r>
      <w:r>
        <w:rPr>
          <w:lang w:val="es-ES_tradnl"/>
        </w:rPr>
        <w:tab/>
        <w:t>Probablemente ésta sería la consideración principal en la fase inicial de introducción del servicio de radiodifusión de TV</w:t>
      </w:r>
      <w:r w:rsidR="0068394D">
        <w:rPr>
          <w:lang w:val="es-ES_tradnl"/>
        </w:rPr>
        <w:t> 3D.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49" w:rsidRDefault="00B0194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49" w:rsidRDefault="00B01949" w:rsidP="009E1F8B">
    <w:pPr>
      <w:pStyle w:val="Header"/>
      <w:ind w:right="360" w:firstLine="360"/>
    </w:pPr>
    <w:r>
      <w:rPr>
        <w:noProof/>
        <w:lang w:val="en-US" w:eastAsia="zh-CN"/>
      </w:rPr>
      <w:drawing>
        <wp:anchor distT="0" distB="0" distL="114300" distR="114300" simplePos="0" relativeHeight="251659264" behindDoc="1" locked="0" layoutInCell="1" allowOverlap="1" wp14:anchorId="11281D76" wp14:editId="4AFEF26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49" w:rsidRDefault="00B01949"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203635">
      <w:rPr>
        <w:rStyle w:val="PageNumber"/>
        <w:b/>
        <w:bCs/>
        <w:noProof/>
      </w:rPr>
      <w:t>ii</w:t>
    </w:r>
    <w:r>
      <w:rPr>
        <w:rStyle w:val="PageNumber"/>
        <w:b/>
        <w:bCs/>
      </w:rPr>
      <w:fldChar w:fldCharType="end"/>
    </w:r>
    <w:r>
      <w:tab/>
    </w:r>
    <w:fldSimple w:instr=" DOCPROPERTY &quot;Header&quot; \* MERGEFORMAT ">
      <w:r w:rsidR="00203635" w:rsidRPr="0020363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03635">
      <w:rPr>
        <w:b/>
        <w:bCs/>
        <w:noProof/>
      </w:rPr>
      <w:t>UIT-R  BT.2023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49" w:rsidRDefault="00B01949">
    <w:pPr>
      <w:pStyle w:val="Header"/>
    </w:pPr>
    <w:r>
      <w:tab/>
    </w:r>
    <w:fldSimple w:instr=" DOCPROPERTY &quot;Header&quot; \* MERGEFORMAT ">
      <w:r w:rsidR="00203635" w:rsidRPr="0020363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03635">
      <w:rPr>
        <w:b/>
        <w:bCs/>
        <w:noProof/>
      </w:rPr>
      <w:t>UIT-R  BT.2023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03635">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203635" w:rsidRPr="0020363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03635">
      <w:rPr>
        <w:b/>
        <w:bCs/>
        <w:noProof/>
      </w:rPr>
      <w:t>UIT-R  BT.2023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203635">
      <w:fldChar w:fldCharType="begin"/>
    </w:r>
    <w:r w:rsidR="00203635">
      <w:instrText xml:space="preserve"> DOCPROPERTY "Header" \* MERGEFORMAT </w:instrText>
    </w:r>
    <w:r w:rsidR="00203635">
      <w:fldChar w:fldCharType="separate"/>
    </w:r>
    <w:r w:rsidR="00203635" w:rsidRPr="00203635">
      <w:rPr>
        <w:b/>
        <w:bCs/>
      </w:rPr>
      <w:t xml:space="preserve">Rec. </w:t>
    </w:r>
    <w:r w:rsidR="00203635">
      <w:rPr>
        <w:b/>
        <w:bCs/>
      </w:rPr>
      <w:fldChar w:fldCharType="end"/>
    </w:r>
    <w:r>
      <w:rPr>
        <w:b/>
        <w:bCs/>
      </w:rPr>
      <w:t xml:space="preserve"> </w:t>
    </w:r>
    <w:r>
      <w:rPr>
        <w:b/>
        <w:bCs/>
      </w:rPr>
      <w:fldChar w:fldCharType="begin"/>
    </w:r>
    <w:r>
      <w:rPr>
        <w:b/>
        <w:bCs/>
      </w:rPr>
      <w:instrText>styleref href</w:instrText>
    </w:r>
    <w:r>
      <w:rPr>
        <w:b/>
        <w:bCs/>
      </w:rPr>
      <w:fldChar w:fldCharType="separate"/>
    </w:r>
    <w:r w:rsidR="00203635">
      <w:rPr>
        <w:b/>
        <w:bCs/>
        <w:noProof/>
      </w:rPr>
      <w:t>UIT-R  BT.2023</w:t>
    </w:r>
    <w:r>
      <w:rPr>
        <w:b/>
        <w:bCs/>
      </w:rPr>
      <w:fldChar w:fldCharType="end"/>
    </w:r>
    <w:r>
      <w:tab/>
    </w:r>
    <w:r w:rsidR="004C77C1" w:rsidRPr="004C77C1">
      <w:rPr>
        <w:b/>
        <w:bCs/>
      </w:rPr>
      <w:fldChar w:fldCharType="begin"/>
    </w:r>
    <w:r w:rsidR="004C77C1" w:rsidRPr="004C77C1">
      <w:rPr>
        <w:b/>
        <w:bCs/>
      </w:rPr>
      <w:instrText>PAGE   \* MERGEFORMAT</w:instrText>
    </w:r>
    <w:r w:rsidR="004C77C1" w:rsidRPr="004C77C1">
      <w:rPr>
        <w:b/>
        <w:bCs/>
      </w:rPr>
      <w:fldChar w:fldCharType="separate"/>
    </w:r>
    <w:r w:rsidR="00203635" w:rsidRPr="00203635">
      <w:rPr>
        <w:b/>
        <w:bCs/>
        <w:noProof/>
        <w:lang w:val="fr-FR"/>
      </w:rPr>
      <w:t>3</w:t>
    </w:r>
    <w:r w:rsidR="004C77C1" w:rsidRPr="004C77C1">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949"/>
    <w:rsid w:val="000F2DC7"/>
    <w:rsid w:val="001D5E3C"/>
    <w:rsid w:val="001E0CD8"/>
    <w:rsid w:val="00203635"/>
    <w:rsid w:val="00217EBF"/>
    <w:rsid w:val="00242AEE"/>
    <w:rsid w:val="002D76C4"/>
    <w:rsid w:val="003C2FBA"/>
    <w:rsid w:val="004C77C1"/>
    <w:rsid w:val="0052529D"/>
    <w:rsid w:val="00607D68"/>
    <w:rsid w:val="0068394D"/>
    <w:rsid w:val="00703102"/>
    <w:rsid w:val="00713846"/>
    <w:rsid w:val="00726954"/>
    <w:rsid w:val="007468DA"/>
    <w:rsid w:val="009E00A8"/>
    <w:rsid w:val="009F74C9"/>
    <w:rsid w:val="00A6617B"/>
    <w:rsid w:val="00AB0DC8"/>
    <w:rsid w:val="00B01949"/>
    <w:rsid w:val="00B44E24"/>
    <w:rsid w:val="00B46540"/>
    <w:rsid w:val="00D9351F"/>
    <w:rsid w:val="00DF4176"/>
    <w:rsid w:val="00FF28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2DC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0F2DC7"/>
    <w:pPr>
      <w:keepNext/>
      <w:keepLines/>
      <w:spacing w:before="480"/>
      <w:ind w:left="794" w:hanging="794"/>
      <w:outlineLvl w:val="0"/>
    </w:pPr>
    <w:rPr>
      <w:b/>
    </w:rPr>
  </w:style>
  <w:style w:type="paragraph" w:styleId="Heading2">
    <w:name w:val="heading 2"/>
    <w:basedOn w:val="Heading1"/>
    <w:next w:val="Normal"/>
    <w:qFormat/>
    <w:rsid w:val="000F2DC7"/>
    <w:pPr>
      <w:spacing w:before="320"/>
      <w:outlineLvl w:val="1"/>
    </w:pPr>
  </w:style>
  <w:style w:type="paragraph" w:styleId="Heading3">
    <w:name w:val="heading 3"/>
    <w:basedOn w:val="Heading1"/>
    <w:next w:val="Normal"/>
    <w:qFormat/>
    <w:rsid w:val="000F2DC7"/>
    <w:pPr>
      <w:spacing w:before="200"/>
      <w:outlineLvl w:val="2"/>
    </w:pPr>
  </w:style>
  <w:style w:type="paragraph" w:styleId="Heading4">
    <w:name w:val="heading 4"/>
    <w:basedOn w:val="Heading3"/>
    <w:next w:val="Normal"/>
    <w:qFormat/>
    <w:rsid w:val="000F2DC7"/>
    <w:pPr>
      <w:tabs>
        <w:tab w:val="clear" w:pos="794"/>
        <w:tab w:val="left" w:pos="992"/>
      </w:tabs>
      <w:ind w:left="992" w:hanging="992"/>
      <w:outlineLvl w:val="3"/>
    </w:pPr>
  </w:style>
  <w:style w:type="paragraph" w:styleId="Heading5">
    <w:name w:val="heading 5"/>
    <w:basedOn w:val="Heading4"/>
    <w:next w:val="Normal"/>
    <w:qFormat/>
    <w:rsid w:val="000F2DC7"/>
    <w:pPr>
      <w:outlineLvl w:val="4"/>
    </w:pPr>
  </w:style>
  <w:style w:type="paragraph" w:styleId="Heading6">
    <w:name w:val="heading 6"/>
    <w:basedOn w:val="Heading4"/>
    <w:next w:val="Normal"/>
    <w:qFormat/>
    <w:rsid w:val="000F2DC7"/>
    <w:pPr>
      <w:tabs>
        <w:tab w:val="clear" w:pos="992"/>
        <w:tab w:val="clear" w:pos="1191"/>
      </w:tabs>
      <w:ind w:left="1588" w:hanging="1588"/>
      <w:outlineLvl w:val="5"/>
    </w:pPr>
  </w:style>
  <w:style w:type="paragraph" w:styleId="Heading7">
    <w:name w:val="heading 7"/>
    <w:basedOn w:val="Heading6"/>
    <w:next w:val="Normal"/>
    <w:qFormat/>
    <w:rsid w:val="000F2DC7"/>
    <w:pPr>
      <w:outlineLvl w:val="6"/>
    </w:pPr>
  </w:style>
  <w:style w:type="paragraph" w:styleId="Heading8">
    <w:name w:val="heading 8"/>
    <w:basedOn w:val="Heading6"/>
    <w:next w:val="Normal"/>
    <w:qFormat/>
    <w:rsid w:val="000F2DC7"/>
    <w:pPr>
      <w:outlineLvl w:val="7"/>
    </w:pPr>
  </w:style>
  <w:style w:type="paragraph" w:styleId="Heading9">
    <w:name w:val="heading 9"/>
    <w:basedOn w:val="Heading6"/>
    <w:next w:val="Normal"/>
    <w:qFormat/>
    <w:rsid w:val="000F2DC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F2DC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F2DC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F2DC7"/>
  </w:style>
  <w:style w:type="paragraph" w:customStyle="1" w:styleId="Headingb">
    <w:name w:val="Heading_b"/>
    <w:basedOn w:val="Heading3"/>
    <w:next w:val="Normal"/>
    <w:rsid w:val="000F2DC7"/>
    <w:pPr>
      <w:spacing w:before="160"/>
      <w:ind w:left="0" w:firstLine="0"/>
      <w:outlineLvl w:val="9"/>
    </w:pPr>
  </w:style>
  <w:style w:type="paragraph" w:customStyle="1" w:styleId="Headingi">
    <w:name w:val="Heading_i"/>
    <w:basedOn w:val="Heading3"/>
    <w:next w:val="Normal"/>
    <w:rsid w:val="000F2DC7"/>
    <w:pPr>
      <w:spacing w:before="160"/>
      <w:ind w:left="0" w:firstLine="0"/>
    </w:pPr>
    <w:rPr>
      <w:b w:val="0"/>
      <w:i/>
    </w:rPr>
  </w:style>
  <w:style w:type="character" w:customStyle="1" w:styleId="href">
    <w:name w:val="href"/>
    <w:basedOn w:val="DefaultParagraphFont"/>
    <w:rsid w:val="000F2DC7"/>
  </w:style>
  <w:style w:type="paragraph" w:customStyle="1" w:styleId="enumlev1">
    <w:name w:val="enumlev1"/>
    <w:basedOn w:val="Normal"/>
    <w:rsid w:val="000F2DC7"/>
    <w:pPr>
      <w:spacing w:before="80"/>
      <w:ind w:left="794" w:hanging="794"/>
    </w:pPr>
  </w:style>
  <w:style w:type="paragraph" w:customStyle="1" w:styleId="enumlev2">
    <w:name w:val="enumlev2"/>
    <w:basedOn w:val="enumlev1"/>
    <w:rsid w:val="000F2DC7"/>
    <w:pPr>
      <w:ind w:left="1191" w:hanging="397"/>
    </w:pPr>
  </w:style>
  <w:style w:type="paragraph" w:customStyle="1" w:styleId="enumlev3">
    <w:name w:val="enumlev3"/>
    <w:basedOn w:val="enumlev2"/>
    <w:rsid w:val="000F2DC7"/>
    <w:pPr>
      <w:ind w:left="1588"/>
    </w:pPr>
  </w:style>
  <w:style w:type="paragraph" w:customStyle="1" w:styleId="Normalaftertitle">
    <w:name w:val="Normal_after_title"/>
    <w:basedOn w:val="Normal"/>
    <w:next w:val="Normal"/>
    <w:rsid w:val="000F2DC7"/>
    <w:pPr>
      <w:spacing w:before="320"/>
    </w:pPr>
  </w:style>
  <w:style w:type="paragraph" w:customStyle="1" w:styleId="Note">
    <w:name w:val="Note"/>
    <w:basedOn w:val="Normal"/>
    <w:rsid w:val="000F2DC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F2DC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F2DC7"/>
    <w:pPr>
      <w:spacing w:before="240"/>
    </w:pPr>
    <w:rPr>
      <w:sz w:val="22"/>
      <w:lang w:val="es-ES_tradnl"/>
    </w:rPr>
  </w:style>
  <w:style w:type="paragraph" w:customStyle="1" w:styleId="Recref">
    <w:name w:val="Rec_ref"/>
    <w:basedOn w:val="Normal"/>
    <w:next w:val="Recdate"/>
    <w:rsid w:val="000F2DC7"/>
    <w:pPr>
      <w:jc w:val="center"/>
    </w:pPr>
  </w:style>
  <w:style w:type="paragraph" w:customStyle="1" w:styleId="Recdate">
    <w:name w:val="Rec_date"/>
    <w:basedOn w:val="Recref"/>
    <w:next w:val="Normalaftertitle"/>
    <w:rsid w:val="000F2DC7"/>
    <w:pPr>
      <w:jc w:val="right"/>
    </w:pPr>
  </w:style>
  <w:style w:type="paragraph" w:customStyle="1" w:styleId="AnnexNoTitle">
    <w:name w:val="Annex_NoTitle"/>
    <w:basedOn w:val="Normal"/>
    <w:next w:val="Normalaftertitle"/>
    <w:rsid w:val="000F2DC7"/>
    <w:pPr>
      <w:keepNext/>
      <w:keepLines/>
      <w:spacing w:before="480" w:after="80"/>
      <w:jc w:val="center"/>
    </w:pPr>
    <w:rPr>
      <w:b/>
      <w:sz w:val="28"/>
    </w:rPr>
  </w:style>
  <w:style w:type="paragraph" w:customStyle="1" w:styleId="AppendixNoTitle">
    <w:name w:val="Appendix_NoTitle"/>
    <w:basedOn w:val="AnnexNoTitle"/>
    <w:next w:val="Normal"/>
    <w:rsid w:val="000F2DC7"/>
  </w:style>
  <w:style w:type="paragraph" w:customStyle="1" w:styleId="Tablefin">
    <w:name w:val="Table_fin"/>
    <w:basedOn w:val="Normal"/>
    <w:next w:val="Normal"/>
    <w:rsid w:val="000F2DC7"/>
    <w:pPr>
      <w:spacing w:before="0"/>
    </w:pPr>
    <w:rPr>
      <w:sz w:val="20"/>
      <w:lang w:val="en-GB"/>
    </w:rPr>
  </w:style>
  <w:style w:type="paragraph" w:customStyle="1" w:styleId="Tablehead">
    <w:name w:val="Table_head"/>
    <w:basedOn w:val="Normal"/>
    <w:next w:val="Normal"/>
    <w:rsid w:val="000F2DC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F2D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F2DC7"/>
    <w:pPr>
      <w:keepNext/>
      <w:spacing w:before="360" w:after="120"/>
      <w:jc w:val="center"/>
    </w:pPr>
  </w:style>
  <w:style w:type="paragraph" w:customStyle="1" w:styleId="Tabletext">
    <w:name w:val="Table_text"/>
    <w:basedOn w:val="Normal"/>
    <w:rsid w:val="000F2D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F2DC7"/>
    <w:pPr>
      <w:tabs>
        <w:tab w:val="clear" w:pos="1191"/>
        <w:tab w:val="clear" w:pos="1588"/>
        <w:tab w:val="clear" w:pos="1985"/>
        <w:tab w:val="center" w:pos="4820"/>
        <w:tab w:val="right" w:pos="9639"/>
      </w:tabs>
    </w:pPr>
  </w:style>
  <w:style w:type="paragraph" w:customStyle="1" w:styleId="Equationlegend">
    <w:name w:val="Equation_legend"/>
    <w:basedOn w:val="NormalIndent"/>
    <w:rsid w:val="000F2DC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F2DC7"/>
    <w:pPr>
      <w:ind w:left="794"/>
    </w:pPr>
  </w:style>
  <w:style w:type="paragraph" w:customStyle="1" w:styleId="Figurelegend">
    <w:name w:val="Figure_legend"/>
    <w:basedOn w:val="Normal"/>
    <w:rsid w:val="000F2DC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F2DC7"/>
    <w:pPr>
      <w:keepNext/>
      <w:keepLines/>
      <w:spacing w:before="480" w:after="80"/>
      <w:jc w:val="center"/>
    </w:pPr>
    <w:rPr>
      <w:caps/>
      <w:sz w:val="18"/>
    </w:rPr>
  </w:style>
  <w:style w:type="paragraph" w:customStyle="1" w:styleId="tocpart">
    <w:name w:val="tocpart"/>
    <w:basedOn w:val="Normal"/>
    <w:rsid w:val="000F2DC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F2DC7"/>
    <w:pPr>
      <w:keepNext/>
      <w:keepLines/>
      <w:spacing w:before="480"/>
      <w:jc w:val="center"/>
    </w:pPr>
    <w:rPr>
      <w:sz w:val="28"/>
    </w:rPr>
  </w:style>
  <w:style w:type="paragraph" w:customStyle="1" w:styleId="Arttitle">
    <w:name w:val="Art_title"/>
    <w:basedOn w:val="Normal"/>
    <w:next w:val="Normalaftertitle"/>
    <w:rsid w:val="000F2DC7"/>
    <w:pPr>
      <w:keepNext/>
      <w:keepLines/>
      <w:spacing w:before="240"/>
      <w:jc w:val="center"/>
    </w:pPr>
    <w:rPr>
      <w:b/>
      <w:sz w:val="28"/>
    </w:rPr>
  </w:style>
  <w:style w:type="paragraph" w:customStyle="1" w:styleId="Blanc">
    <w:name w:val="Blanc"/>
    <w:basedOn w:val="Normal"/>
    <w:next w:val="Tabletext"/>
    <w:rsid w:val="000F2DC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F2DC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F2DC7"/>
    <w:pPr>
      <w:keepNext/>
      <w:keepLines/>
      <w:spacing w:before="160"/>
      <w:ind w:left="794"/>
    </w:pPr>
    <w:rPr>
      <w:i/>
    </w:rPr>
  </w:style>
  <w:style w:type="paragraph" w:customStyle="1" w:styleId="ChapNo">
    <w:name w:val="Chap_No"/>
    <w:basedOn w:val="ArtNo"/>
    <w:next w:val="Chaptitle"/>
    <w:rsid w:val="000F2DC7"/>
    <w:rPr>
      <w:b/>
    </w:rPr>
  </w:style>
  <w:style w:type="paragraph" w:customStyle="1" w:styleId="Chaptitle">
    <w:name w:val="Chap_title"/>
    <w:basedOn w:val="Arttitle"/>
    <w:next w:val="Normalaftertitle"/>
    <w:rsid w:val="000F2DC7"/>
  </w:style>
  <w:style w:type="character" w:styleId="FootnoteReference">
    <w:name w:val="footnote reference"/>
    <w:basedOn w:val="DefaultParagraphFont"/>
    <w:semiHidden/>
    <w:rsid w:val="000F2DC7"/>
    <w:rPr>
      <w:position w:val="6"/>
      <w:sz w:val="18"/>
    </w:rPr>
  </w:style>
  <w:style w:type="paragraph" w:styleId="FootnoteText">
    <w:name w:val="footnote text"/>
    <w:basedOn w:val="Normal"/>
    <w:link w:val="FootnoteTextChar"/>
    <w:semiHidden/>
    <w:rsid w:val="000F2DC7"/>
    <w:pPr>
      <w:keepLines/>
      <w:tabs>
        <w:tab w:val="left" w:pos="255"/>
      </w:tabs>
      <w:ind w:left="255" w:hanging="255"/>
    </w:pPr>
    <w:rPr>
      <w:sz w:val="22"/>
    </w:rPr>
  </w:style>
  <w:style w:type="paragraph" w:styleId="Index1">
    <w:name w:val="index 1"/>
    <w:basedOn w:val="Normal"/>
    <w:next w:val="Normal"/>
    <w:semiHidden/>
    <w:rsid w:val="000F2DC7"/>
  </w:style>
  <w:style w:type="paragraph" w:styleId="Index2">
    <w:name w:val="index 2"/>
    <w:basedOn w:val="Normal"/>
    <w:next w:val="Normal"/>
    <w:semiHidden/>
    <w:rsid w:val="000F2DC7"/>
    <w:pPr>
      <w:ind w:left="283"/>
    </w:pPr>
  </w:style>
  <w:style w:type="paragraph" w:styleId="Index3">
    <w:name w:val="index 3"/>
    <w:basedOn w:val="Normal"/>
    <w:next w:val="Normal"/>
    <w:semiHidden/>
    <w:rsid w:val="000F2DC7"/>
    <w:pPr>
      <w:ind w:left="566"/>
    </w:pPr>
  </w:style>
  <w:style w:type="paragraph" w:styleId="IndexHeading">
    <w:name w:val="index heading"/>
    <w:basedOn w:val="Normal"/>
    <w:next w:val="Index1"/>
    <w:semiHidden/>
    <w:rsid w:val="000F2DC7"/>
  </w:style>
  <w:style w:type="paragraph" w:customStyle="1" w:styleId="Line">
    <w:name w:val="Line"/>
    <w:basedOn w:val="Normal"/>
    <w:next w:val="Normal"/>
    <w:rsid w:val="000F2DC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F2DC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F2DC7"/>
  </w:style>
  <w:style w:type="paragraph" w:customStyle="1" w:styleId="Partref">
    <w:name w:val="Part_ref"/>
    <w:basedOn w:val="Normal"/>
    <w:next w:val="Normal"/>
    <w:rsid w:val="000F2DC7"/>
    <w:pPr>
      <w:keepNext/>
      <w:keepLines/>
      <w:spacing w:after="280"/>
      <w:jc w:val="center"/>
    </w:pPr>
  </w:style>
  <w:style w:type="paragraph" w:customStyle="1" w:styleId="Parttitle">
    <w:name w:val="Part_title"/>
    <w:basedOn w:val="Normal"/>
    <w:next w:val="Normalaftertitle"/>
    <w:rsid w:val="000F2DC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F2DC7"/>
  </w:style>
  <w:style w:type="paragraph" w:customStyle="1" w:styleId="QuestionNo">
    <w:name w:val="Question_No"/>
    <w:basedOn w:val="RecNo"/>
    <w:next w:val="Normal"/>
    <w:rsid w:val="000F2DC7"/>
  </w:style>
  <w:style w:type="paragraph" w:customStyle="1" w:styleId="Questionref">
    <w:name w:val="Question_ref"/>
    <w:basedOn w:val="Recref"/>
    <w:next w:val="Questiondate"/>
    <w:rsid w:val="000F2DC7"/>
  </w:style>
  <w:style w:type="paragraph" w:customStyle="1" w:styleId="Questiontitle">
    <w:name w:val="Question_title"/>
    <w:basedOn w:val="Normal"/>
    <w:next w:val="Questionref"/>
    <w:rsid w:val="000F2DC7"/>
  </w:style>
  <w:style w:type="paragraph" w:customStyle="1" w:styleId="Reftext">
    <w:name w:val="Ref_text"/>
    <w:basedOn w:val="Normal"/>
    <w:rsid w:val="000F2DC7"/>
    <w:pPr>
      <w:ind w:left="794" w:hanging="794"/>
    </w:pPr>
    <w:rPr>
      <w:sz w:val="22"/>
    </w:rPr>
  </w:style>
  <w:style w:type="paragraph" w:customStyle="1" w:styleId="Reftitle">
    <w:name w:val="Ref_title"/>
    <w:basedOn w:val="Normal"/>
    <w:next w:val="Reftext"/>
    <w:rsid w:val="000F2DC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F2DC7"/>
  </w:style>
  <w:style w:type="paragraph" w:customStyle="1" w:styleId="RepNo">
    <w:name w:val="Rep_No"/>
    <w:basedOn w:val="RecNo"/>
    <w:next w:val="Reptitle"/>
    <w:rsid w:val="000F2DC7"/>
  </w:style>
  <w:style w:type="paragraph" w:customStyle="1" w:styleId="Repref">
    <w:name w:val="Rep_ref"/>
    <w:basedOn w:val="Recref"/>
    <w:next w:val="Repdate"/>
    <w:rsid w:val="000F2DC7"/>
  </w:style>
  <w:style w:type="paragraph" w:customStyle="1" w:styleId="Reptitle">
    <w:name w:val="Rep_title"/>
    <w:basedOn w:val="Rectitle"/>
    <w:next w:val="Repref"/>
    <w:rsid w:val="000F2DC7"/>
  </w:style>
  <w:style w:type="paragraph" w:customStyle="1" w:styleId="Resdate">
    <w:name w:val="Res_date"/>
    <w:basedOn w:val="Recdate"/>
    <w:next w:val="Normalaftertitle"/>
    <w:rsid w:val="000F2DC7"/>
  </w:style>
  <w:style w:type="paragraph" w:customStyle="1" w:styleId="ResNo">
    <w:name w:val="Res_No"/>
    <w:basedOn w:val="RecNo"/>
    <w:next w:val="Restitle"/>
    <w:rsid w:val="000F2DC7"/>
  </w:style>
  <w:style w:type="paragraph" w:customStyle="1" w:styleId="Resref">
    <w:name w:val="Res_ref"/>
    <w:basedOn w:val="Recref"/>
    <w:next w:val="Resdate"/>
    <w:rsid w:val="000F2DC7"/>
  </w:style>
  <w:style w:type="paragraph" w:customStyle="1" w:styleId="Restitle">
    <w:name w:val="Res_title"/>
    <w:basedOn w:val="Normal"/>
    <w:next w:val="Resref"/>
    <w:rsid w:val="000F2DC7"/>
    <w:pPr>
      <w:spacing w:before="240"/>
      <w:jc w:val="center"/>
    </w:pPr>
    <w:rPr>
      <w:b/>
      <w:sz w:val="28"/>
    </w:rPr>
  </w:style>
  <w:style w:type="paragraph" w:customStyle="1" w:styleId="SectionNo">
    <w:name w:val="Section_No"/>
    <w:basedOn w:val="Normal"/>
    <w:next w:val="Normal"/>
    <w:rsid w:val="000F2DC7"/>
  </w:style>
  <w:style w:type="paragraph" w:customStyle="1" w:styleId="Sectiontitle">
    <w:name w:val="Section_title"/>
    <w:basedOn w:val="Normal"/>
    <w:next w:val="Normalaftertitle"/>
    <w:rsid w:val="000F2DC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F2DC7"/>
    <w:pPr>
      <w:tabs>
        <w:tab w:val="clear" w:pos="794"/>
        <w:tab w:val="clear" w:pos="1191"/>
        <w:tab w:val="clear" w:pos="1588"/>
        <w:tab w:val="clear" w:pos="1985"/>
        <w:tab w:val="right" w:pos="9611"/>
      </w:tabs>
    </w:pPr>
    <w:rPr>
      <w:i/>
    </w:rPr>
  </w:style>
  <w:style w:type="paragraph" w:styleId="TOC1">
    <w:name w:val="toc 1"/>
    <w:basedOn w:val="Normal"/>
    <w:semiHidden/>
    <w:rsid w:val="000F2DC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F2DC7"/>
    <w:pPr>
      <w:tabs>
        <w:tab w:val="clear" w:pos="567"/>
        <w:tab w:val="left" w:pos="1276"/>
      </w:tabs>
      <w:spacing w:before="160"/>
      <w:ind w:left="1276" w:hanging="709"/>
    </w:pPr>
  </w:style>
  <w:style w:type="paragraph" w:styleId="TOC3">
    <w:name w:val="toc 3"/>
    <w:basedOn w:val="TOC2"/>
    <w:semiHidden/>
    <w:rsid w:val="000F2DC7"/>
    <w:pPr>
      <w:tabs>
        <w:tab w:val="clear" w:pos="1276"/>
        <w:tab w:val="left" w:pos="2155"/>
      </w:tabs>
      <w:ind w:left="2155" w:hanging="879"/>
    </w:pPr>
  </w:style>
  <w:style w:type="paragraph" w:styleId="TOC4">
    <w:name w:val="toc 4"/>
    <w:basedOn w:val="TOC3"/>
    <w:semiHidden/>
    <w:rsid w:val="000F2DC7"/>
    <w:pPr>
      <w:tabs>
        <w:tab w:val="left" w:pos="3261"/>
      </w:tabs>
      <w:spacing w:before="80"/>
      <w:ind w:left="3261" w:hanging="993"/>
    </w:pPr>
  </w:style>
  <w:style w:type="paragraph" w:styleId="TOC5">
    <w:name w:val="toc 5"/>
    <w:basedOn w:val="TOC4"/>
    <w:semiHidden/>
    <w:rsid w:val="000F2DC7"/>
  </w:style>
  <w:style w:type="paragraph" w:styleId="TOC6">
    <w:name w:val="toc 6"/>
    <w:basedOn w:val="TOC4"/>
    <w:semiHidden/>
    <w:rsid w:val="000F2DC7"/>
  </w:style>
  <w:style w:type="paragraph" w:styleId="TOC7">
    <w:name w:val="toc 7"/>
    <w:basedOn w:val="TOC4"/>
    <w:semiHidden/>
    <w:rsid w:val="000F2DC7"/>
  </w:style>
  <w:style w:type="paragraph" w:styleId="TOC8">
    <w:name w:val="toc 8"/>
    <w:basedOn w:val="TOC4"/>
    <w:semiHidden/>
    <w:rsid w:val="000F2DC7"/>
  </w:style>
  <w:style w:type="paragraph" w:customStyle="1" w:styleId="Rectitle">
    <w:name w:val="Rec_title"/>
    <w:basedOn w:val="Normal"/>
    <w:next w:val="Recref"/>
    <w:rsid w:val="000F2DC7"/>
    <w:pPr>
      <w:keepNext/>
      <w:keepLines/>
      <w:spacing w:before="240"/>
      <w:jc w:val="center"/>
    </w:pPr>
    <w:rPr>
      <w:b/>
      <w:sz w:val="28"/>
    </w:rPr>
  </w:style>
  <w:style w:type="paragraph" w:customStyle="1" w:styleId="Annexref">
    <w:name w:val="Annex_ref"/>
    <w:basedOn w:val="Normal"/>
    <w:next w:val="Normalaftertitle"/>
    <w:rsid w:val="000F2DC7"/>
    <w:pPr>
      <w:keepNext/>
      <w:keepLines/>
      <w:spacing w:after="280"/>
      <w:jc w:val="center"/>
    </w:pPr>
  </w:style>
  <w:style w:type="paragraph" w:customStyle="1" w:styleId="Appendixref">
    <w:name w:val="Appendix_ref"/>
    <w:basedOn w:val="Annexref"/>
    <w:next w:val="Normalaftertitle"/>
    <w:rsid w:val="000F2DC7"/>
  </w:style>
  <w:style w:type="paragraph" w:customStyle="1" w:styleId="Figuretitle">
    <w:name w:val="Figure_title"/>
    <w:basedOn w:val="Normal"/>
    <w:next w:val="Figure"/>
    <w:rsid w:val="000F2DC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F2DC7"/>
    <w:pPr>
      <w:keepNext/>
      <w:spacing w:before="0" w:after="120"/>
      <w:jc w:val="center"/>
    </w:pPr>
    <w:rPr>
      <w:b/>
    </w:rPr>
  </w:style>
  <w:style w:type="paragraph" w:customStyle="1" w:styleId="Summary">
    <w:name w:val="Summary"/>
    <w:basedOn w:val="Normal"/>
    <w:next w:val="Normalaftertitle"/>
    <w:autoRedefine/>
    <w:rsid w:val="000F2DC7"/>
    <w:pPr>
      <w:spacing w:after="480"/>
    </w:pPr>
    <w:rPr>
      <w:sz w:val="22"/>
      <w:lang w:val="es-ES_tradnl"/>
    </w:rPr>
  </w:style>
  <w:style w:type="paragraph" w:customStyle="1" w:styleId="TableLegendNote">
    <w:name w:val="Table_Legend_Note"/>
    <w:basedOn w:val="Tablelegend"/>
    <w:next w:val="Tablelegend"/>
    <w:rsid w:val="000F2DC7"/>
    <w:pPr>
      <w:ind w:left="-85" w:firstLine="0"/>
    </w:pPr>
    <w:rPr>
      <w:lang w:val="en-US"/>
    </w:rPr>
  </w:style>
  <w:style w:type="paragraph" w:customStyle="1" w:styleId="Figure">
    <w:name w:val="Figure"/>
    <w:basedOn w:val="FigureNo"/>
    <w:next w:val="Normal"/>
    <w:rsid w:val="000F2DC7"/>
    <w:pPr>
      <w:keepNext w:val="0"/>
      <w:spacing w:before="0" w:after="240"/>
    </w:pPr>
  </w:style>
  <w:style w:type="character" w:styleId="Hyperlink">
    <w:name w:val="Hyperlink"/>
    <w:basedOn w:val="DefaultParagraphFont"/>
    <w:rsid w:val="00B01949"/>
    <w:rPr>
      <w:color w:val="0000FF"/>
      <w:u w:val="single"/>
    </w:rPr>
  </w:style>
  <w:style w:type="character" w:customStyle="1" w:styleId="FootnoteTextChar">
    <w:name w:val="Footnote Text Char"/>
    <w:basedOn w:val="DefaultParagraphFont"/>
    <w:link w:val="FootnoteText"/>
    <w:semiHidden/>
    <w:rsid w:val="00726954"/>
    <w:rPr>
      <w:sz w:val="22"/>
      <w:lang w:val="fr-FR" w:eastAsia="en-US"/>
    </w:rPr>
  </w:style>
  <w:style w:type="paragraph" w:customStyle="1" w:styleId="Reasons">
    <w:name w:val="Reasons"/>
    <w:basedOn w:val="Normal"/>
    <w:qFormat/>
    <w:rsid w:val="00726954"/>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2DC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0F2DC7"/>
    <w:pPr>
      <w:keepNext/>
      <w:keepLines/>
      <w:spacing w:before="480"/>
      <w:ind w:left="794" w:hanging="794"/>
      <w:outlineLvl w:val="0"/>
    </w:pPr>
    <w:rPr>
      <w:b/>
    </w:rPr>
  </w:style>
  <w:style w:type="paragraph" w:styleId="Heading2">
    <w:name w:val="heading 2"/>
    <w:basedOn w:val="Heading1"/>
    <w:next w:val="Normal"/>
    <w:qFormat/>
    <w:rsid w:val="000F2DC7"/>
    <w:pPr>
      <w:spacing w:before="320"/>
      <w:outlineLvl w:val="1"/>
    </w:pPr>
  </w:style>
  <w:style w:type="paragraph" w:styleId="Heading3">
    <w:name w:val="heading 3"/>
    <w:basedOn w:val="Heading1"/>
    <w:next w:val="Normal"/>
    <w:qFormat/>
    <w:rsid w:val="000F2DC7"/>
    <w:pPr>
      <w:spacing w:before="200"/>
      <w:outlineLvl w:val="2"/>
    </w:pPr>
  </w:style>
  <w:style w:type="paragraph" w:styleId="Heading4">
    <w:name w:val="heading 4"/>
    <w:basedOn w:val="Heading3"/>
    <w:next w:val="Normal"/>
    <w:qFormat/>
    <w:rsid w:val="000F2DC7"/>
    <w:pPr>
      <w:tabs>
        <w:tab w:val="clear" w:pos="794"/>
        <w:tab w:val="left" w:pos="992"/>
      </w:tabs>
      <w:ind w:left="992" w:hanging="992"/>
      <w:outlineLvl w:val="3"/>
    </w:pPr>
  </w:style>
  <w:style w:type="paragraph" w:styleId="Heading5">
    <w:name w:val="heading 5"/>
    <w:basedOn w:val="Heading4"/>
    <w:next w:val="Normal"/>
    <w:qFormat/>
    <w:rsid w:val="000F2DC7"/>
    <w:pPr>
      <w:outlineLvl w:val="4"/>
    </w:pPr>
  </w:style>
  <w:style w:type="paragraph" w:styleId="Heading6">
    <w:name w:val="heading 6"/>
    <w:basedOn w:val="Heading4"/>
    <w:next w:val="Normal"/>
    <w:qFormat/>
    <w:rsid w:val="000F2DC7"/>
    <w:pPr>
      <w:tabs>
        <w:tab w:val="clear" w:pos="992"/>
        <w:tab w:val="clear" w:pos="1191"/>
      </w:tabs>
      <w:ind w:left="1588" w:hanging="1588"/>
      <w:outlineLvl w:val="5"/>
    </w:pPr>
  </w:style>
  <w:style w:type="paragraph" w:styleId="Heading7">
    <w:name w:val="heading 7"/>
    <w:basedOn w:val="Heading6"/>
    <w:next w:val="Normal"/>
    <w:qFormat/>
    <w:rsid w:val="000F2DC7"/>
    <w:pPr>
      <w:outlineLvl w:val="6"/>
    </w:pPr>
  </w:style>
  <w:style w:type="paragraph" w:styleId="Heading8">
    <w:name w:val="heading 8"/>
    <w:basedOn w:val="Heading6"/>
    <w:next w:val="Normal"/>
    <w:qFormat/>
    <w:rsid w:val="000F2DC7"/>
    <w:pPr>
      <w:outlineLvl w:val="7"/>
    </w:pPr>
  </w:style>
  <w:style w:type="paragraph" w:styleId="Heading9">
    <w:name w:val="heading 9"/>
    <w:basedOn w:val="Heading6"/>
    <w:next w:val="Normal"/>
    <w:qFormat/>
    <w:rsid w:val="000F2DC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F2DC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F2DC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F2DC7"/>
  </w:style>
  <w:style w:type="paragraph" w:customStyle="1" w:styleId="Headingb">
    <w:name w:val="Heading_b"/>
    <w:basedOn w:val="Heading3"/>
    <w:next w:val="Normal"/>
    <w:rsid w:val="000F2DC7"/>
    <w:pPr>
      <w:spacing w:before="160"/>
      <w:ind w:left="0" w:firstLine="0"/>
      <w:outlineLvl w:val="9"/>
    </w:pPr>
  </w:style>
  <w:style w:type="paragraph" w:customStyle="1" w:styleId="Headingi">
    <w:name w:val="Heading_i"/>
    <w:basedOn w:val="Heading3"/>
    <w:next w:val="Normal"/>
    <w:rsid w:val="000F2DC7"/>
    <w:pPr>
      <w:spacing w:before="160"/>
      <w:ind w:left="0" w:firstLine="0"/>
    </w:pPr>
    <w:rPr>
      <w:b w:val="0"/>
      <w:i/>
    </w:rPr>
  </w:style>
  <w:style w:type="character" w:customStyle="1" w:styleId="href">
    <w:name w:val="href"/>
    <w:basedOn w:val="DefaultParagraphFont"/>
    <w:rsid w:val="000F2DC7"/>
  </w:style>
  <w:style w:type="paragraph" w:customStyle="1" w:styleId="enumlev1">
    <w:name w:val="enumlev1"/>
    <w:basedOn w:val="Normal"/>
    <w:rsid w:val="000F2DC7"/>
    <w:pPr>
      <w:spacing w:before="80"/>
      <w:ind w:left="794" w:hanging="794"/>
    </w:pPr>
  </w:style>
  <w:style w:type="paragraph" w:customStyle="1" w:styleId="enumlev2">
    <w:name w:val="enumlev2"/>
    <w:basedOn w:val="enumlev1"/>
    <w:rsid w:val="000F2DC7"/>
    <w:pPr>
      <w:ind w:left="1191" w:hanging="397"/>
    </w:pPr>
  </w:style>
  <w:style w:type="paragraph" w:customStyle="1" w:styleId="enumlev3">
    <w:name w:val="enumlev3"/>
    <w:basedOn w:val="enumlev2"/>
    <w:rsid w:val="000F2DC7"/>
    <w:pPr>
      <w:ind w:left="1588"/>
    </w:pPr>
  </w:style>
  <w:style w:type="paragraph" w:customStyle="1" w:styleId="Normalaftertitle">
    <w:name w:val="Normal_after_title"/>
    <w:basedOn w:val="Normal"/>
    <w:next w:val="Normal"/>
    <w:rsid w:val="000F2DC7"/>
    <w:pPr>
      <w:spacing w:before="320"/>
    </w:pPr>
  </w:style>
  <w:style w:type="paragraph" w:customStyle="1" w:styleId="Note">
    <w:name w:val="Note"/>
    <w:basedOn w:val="Normal"/>
    <w:rsid w:val="000F2DC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F2DC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F2DC7"/>
    <w:pPr>
      <w:spacing w:before="240"/>
    </w:pPr>
    <w:rPr>
      <w:sz w:val="22"/>
      <w:lang w:val="es-ES_tradnl"/>
    </w:rPr>
  </w:style>
  <w:style w:type="paragraph" w:customStyle="1" w:styleId="Recref">
    <w:name w:val="Rec_ref"/>
    <w:basedOn w:val="Normal"/>
    <w:next w:val="Recdate"/>
    <w:rsid w:val="000F2DC7"/>
    <w:pPr>
      <w:jc w:val="center"/>
    </w:pPr>
  </w:style>
  <w:style w:type="paragraph" w:customStyle="1" w:styleId="Recdate">
    <w:name w:val="Rec_date"/>
    <w:basedOn w:val="Recref"/>
    <w:next w:val="Normalaftertitle"/>
    <w:rsid w:val="000F2DC7"/>
    <w:pPr>
      <w:jc w:val="right"/>
    </w:pPr>
  </w:style>
  <w:style w:type="paragraph" w:customStyle="1" w:styleId="AnnexNoTitle">
    <w:name w:val="Annex_NoTitle"/>
    <w:basedOn w:val="Normal"/>
    <w:next w:val="Normalaftertitle"/>
    <w:rsid w:val="000F2DC7"/>
    <w:pPr>
      <w:keepNext/>
      <w:keepLines/>
      <w:spacing w:before="480" w:after="80"/>
      <w:jc w:val="center"/>
    </w:pPr>
    <w:rPr>
      <w:b/>
      <w:sz w:val="28"/>
    </w:rPr>
  </w:style>
  <w:style w:type="paragraph" w:customStyle="1" w:styleId="AppendixNoTitle">
    <w:name w:val="Appendix_NoTitle"/>
    <w:basedOn w:val="AnnexNoTitle"/>
    <w:next w:val="Normal"/>
    <w:rsid w:val="000F2DC7"/>
  </w:style>
  <w:style w:type="paragraph" w:customStyle="1" w:styleId="Tablefin">
    <w:name w:val="Table_fin"/>
    <w:basedOn w:val="Normal"/>
    <w:next w:val="Normal"/>
    <w:rsid w:val="000F2DC7"/>
    <w:pPr>
      <w:spacing w:before="0"/>
    </w:pPr>
    <w:rPr>
      <w:sz w:val="20"/>
      <w:lang w:val="en-GB"/>
    </w:rPr>
  </w:style>
  <w:style w:type="paragraph" w:customStyle="1" w:styleId="Tablehead">
    <w:name w:val="Table_head"/>
    <w:basedOn w:val="Normal"/>
    <w:next w:val="Normal"/>
    <w:rsid w:val="000F2DC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F2D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F2DC7"/>
    <w:pPr>
      <w:keepNext/>
      <w:spacing w:before="360" w:after="120"/>
      <w:jc w:val="center"/>
    </w:pPr>
  </w:style>
  <w:style w:type="paragraph" w:customStyle="1" w:styleId="Tabletext">
    <w:name w:val="Table_text"/>
    <w:basedOn w:val="Normal"/>
    <w:rsid w:val="000F2D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F2DC7"/>
    <w:pPr>
      <w:tabs>
        <w:tab w:val="clear" w:pos="1191"/>
        <w:tab w:val="clear" w:pos="1588"/>
        <w:tab w:val="clear" w:pos="1985"/>
        <w:tab w:val="center" w:pos="4820"/>
        <w:tab w:val="right" w:pos="9639"/>
      </w:tabs>
    </w:pPr>
  </w:style>
  <w:style w:type="paragraph" w:customStyle="1" w:styleId="Equationlegend">
    <w:name w:val="Equation_legend"/>
    <w:basedOn w:val="NormalIndent"/>
    <w:rsid w:val="000F2DC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F2DC7"/>
    <w:pPr>
      <w:ind w:left="794"/>
    </w:pPr>
  </w:style>
  <w:style w:type="paragraph" w:customStyle="1" w:styleId="Figurelegend">
    <w:name w:val="Figure_legend"/>
    <w:basedOn w:val="Normal"/>
    <w:rsid w:val="000F2DC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F2DC7"/>
    <w:pPr>
      <w:keepNext/>
      <w:keepLines/>
      <w:spacing w:before="480" w:after="80"/>
      <w:jc w:val="center"/>
    </w:pPr>
    <w:rPr>
      <w:caps/>
      <w:sz w:val="18"/>
    </w:rPr>
  </w:style>
  <w:style w:type="paragraph" w:customStyle="1" w:styleId="tocpart">
    <w:name w:val="tocpart"/>
    <w:basedOn w:val="Normal"/>
    <w:rsid w:val="000F2DC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F2DC7"/>
    <w:pPr>
      <w:keepNext/>
      <w:keepLines/>
      <w:spacing w:before="480"/>
      <w:jc w:val="center"/>
    </w:pPr>
    <w:rPr>
      <w:sz w:val="28"/>
    </w:rPr>
  </w:style>
  <w:style w:type="paragraph" w:customStyle="1" w:styleId="Arttitle">
    <w:name w:val="Art_title"/>
    <w:basedOn w:val="Normal"/>
    <w:next w:val="Normalaftertitle"/>
    <w:rsid w:val="000F2DC7"/>
    <w:pPr>
      <w:keepNext/>
      <w:keepLines/>
      <w:spacing w:before="240"/>
      <w:jc w:val="center"/>
    </w:pPr>
    <w:rPr>
      <w:b/>
      <w:sz w:val="28"/>
    </w:rPr>
  </w:style>
  <w:style w:type="paragraph" w:customStyle="1" w:styleId="Blanc">
    <w:name w:val="Blanc"/>
    <w:basedOn w:val="Normal"/>
    <w:next w:val="Tabletext"/>
    <w:rsid w:val="000F2DC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F2DC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F2DC7"/>
    <w:pPr>
      <w:keepNext/>
      <w:keepLines/>
      <w:spacing w:before="160"/>
      <w:ind w:left="794"/>
    </w:pPr>
    <w:rPr>
      <w:i/>
    </w:rPr>
  </w:style>
  <w:style w:type="paragraph" w:customStyle="1" w:styleId="ChapNo">
    <w:name w:val="Chap_No"/>
    <w:basedOn w:val="ArtNo"/>
    <w:next w:val="Chaptitle"/>
    <w:rsid w:val="000F2DC7"/>
    <w:rPr>
      <w:b/>
    </w:rPr>
  </w:style>
  <w:style w:type="paragraph" w:customStyle="1" w:styleId="Chaptitle">
    <w:name w:val="Chap_title"/>
    <w:basedOn w:val="Arttitle"/>
    <w:next w:val="Normalaftertitle"/>
    <w:rsid w:val="000F2DC7"/>
  </w:style>
  <w:style w:type="character" w:styleId="FootnoteReference">
    <w:name w:val="footnote reference"/>
    <w:basedOn w:val="DefaultParagraphFont"/>
    <w:semiHidden/>
    <w:rsid w:val="000F2DC7"/>
    <w:rPr>
      <w:position w:val="6"/>
      <w:sz w:val="18"/>
    </w:rPr>
  </w:style>
  <w:style w:type="paragraph" w:styleId="FootnoteText">
    <w:name w:val="footnote text"/>
    <w:basedOn w:val="Normal"/>
    <w:link w:val="FootnoteTextChar"/>
    <w:semiHidden/>
    <w:rsid w:val="000F2DC7"/>
    <w:pPr>
      <w:keepLines/>
      <w:tabs>
        <w:tab w:val="left" w:pos="255"/>
      </w:tabs>
      <w:ind w:left="255" w:hanging="255"/>
    </w:pPr>
    <w:rPr>
      <w:sz w:val="22"/>
    </w:rPr>
  </w:style>
  <w:style w:type="paragraph" w:styleId="Index1">
    <w:name w:val="index 1"/>
    <w:basedOn w:val="Normal"/>
    <w:next w:val="Normal"/>
    <w:semiHidden/>
    <w:rsid w:val="000F2DC7"/>
  </w:style>
  <w:style w:type="paragraph" w:styleId="Index2">
    <w:name w:val="index 2"/>
    <w:basedOn w:val="Normal"/>
    <w:next w:val="Normal"/>
    <w:semiHidden/>
    <w:rsid w:val="000F2DC7"/>
    <w:pPr>
      <w:ind w:left="283"/>
    </w:pPr>
  </w:style>
  <w:style w:type="paragraph" w:styleId="Index3">
    <w:name w:val="index 3"/>
    <w:basedOn w:val="Normal"/>
    <w:next w:val="Normal"/>
    <w:semiHidden/>
    <w:rsid w:val="000F2DC7"/>
    <w:pPr>
      <w:ind w:left="566"/>
    </w:pPr>
  </w:style>
  <w:style w:type="paragraph" w:styleId="IndexHeading">
    <w:name w:val="index heading"/>
    <w:basedOn w:val="Normal"/>
    <w:next w:val="Index1"/>
    <w:semiHidden/>
    <w:rsid w:val="000F2DC7"/>
  </w:style>
  <w:style w:type="paragraph" w:customStyle="1" w:styleId="Line">
    <w:name w:val="Line"/>
    <w:basedOn w:val="Normal"/>
    <w:next w:val="Normal"/>
    <w:rsid w:val="000F2DC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F2DC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F2DC7"/>
  </w:style>
  <w:style w:type="paragraph" w:customStyle="1" w:styleId="Partref">
    <w:name w:val="Part_ref"/>
    <w:basedOn w:val="Normal"/>
    <w:next w:val="Normal"/>
    <w:rsid w:val="000F2DC7"/>
    <w:pPr>
      <w:keepNext/>
      <w:keepLines/>
      <w:spacing w:after="280"/>
      <w:jc w:val="center"/>
    </w:pPr>
  </w:style>
  <w:style w:type="paragraph" w:customStyle="1" w:styleId="Parttitle">
    <w:name w:val="Part_title"/>
    <w:basedOn w:val="Normal"/>
    <w:next w:val="Normalaftertitle"/>
    <w:rsid w:val="000F2DC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F2DC7"/>
  </w:style>
  <w:style w:type="paragraph" w:customStyle="1" w:styleId="QuestionNo">
    <w:name w:val="Question_No"/>
    <w:basedOn w:val="RecNo"/>
    <w:next w:val="Normal"/>
    <w:rsid w:val="000F2DC7"/>
  </w:style>
  <w:style w:type="paragraph" w:customStyle="1" w:styleId="Questionref">
    <w:name w:val="Question_ref"/>
    <w:basedOn w:val="Recref"/>
    <w:next w:val="Questiondate"/>
    <w:rsid w:val="000F2DC7"/>
  </w:style>
  <w:style w:type="paragraph" w:customStyle="1" w:styleId="Questiontitle">
    <w:name w:val="Question_title"/>
    <w:basedOn w:val="Normal"/>
    <w:next w:val="Questionref"/>
    <w:rsid w:val="000F2DC7"/>
  </w:style>
  <w:style w:type="paragraph" w:customStyle="1" w:styleId="Reftext">
    <w:name w:val="Ref_text"/>
    <w:basedOn w:val="Normal"/>
    <w:rsid w:val="000F2DC7"/>
    <w:pPr>
      <w:ind w:left="794" w:hanging="794"/>
    </w:pPr>
    <w:rPr>
      <w:sz w:val="22"/>
    </w:rPr>
  </w:style>
  <w:style w:type="paragraph" w:customStyle="1" w:styleId="Reftitle">
    <w:name w:val="Ref_title"/>
    <w:basedOn w:val="Normal"/>
    <w:next w:val="Reftext"/>
    <w:rsid w:val="000F2DC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F2DC7"/>
  </w:style>
  <w:style w:type="paragraph" w:customStyle="1" w:styleId="RepNo">
    <w:name w:val="Rep_No"/>
    <w:basedOn w:val="RecNo"/>
    <w:next w:val="Reptitle"/>
    <w:rsid w:val="000F2DC7"/>
  </w:style>
  <w:style w:type="paragraph" w:customStyle="1" w:styleId="Repref">
    <w:name w:val="Rep_ref"/>
    <w:basedOn w:val="Recref"/>
    <w:next w:val="Repdate"/>
    <w:rsid w:val="000F2DC7"/>
  </w:style>
  <w:style w:type="paragraph" w:customStyle="1" w:styleId="Reptitle">
    <w:name w:val="Rep_title"/>
    <w:basedOn w:val="Rectitle"/>
    <w:next w:val="Repref"/>
    <w:rsid w:val="000F2DC7"/>
  </w:style>
  <w:style w:type="paragraph" w:customStyle="1" w:styleId="Resdate">
    <w:name w:val="Res_date"/>
    <w:basedOn w:val="Recdate"/>
    <w:next w:val="Normalaftertitle"/>
    <w:rsid w:val="000F2DC7"/>
  </w:style>
  <w:style w:type="paragraph" w:customStyle="1" w:styleId="ResNo">
    <w:name w:val="Res_No"/>
    <w:basedOn w:val="RecNo"/>
    <w:next w:val="Restitle"/>
    <w:rsid w:val="000F2DC7"/>
  </w:style>
  <w:style w:type="paragraph" w:customStyle="1" w:styleId="Resref">
    <w:name w:val="Res_ref"/>
    <w:basedOn w:val="Recref"/>
    <w:next w:val="Resdate"/>
    <w:rsid w:val="000F2DC7"/>
  </w:style>
  <w:style w:type="paragraph" w:customStyle="1" w:styleId="Restitle">
    <w:name w:val="Res_title"/>
    <w:basedOn w:val="Normal"/>
    <w:next w:val="Resref"/>
    <w:rsid w:val="000F2DC7"/>
    <w:pPr>
      <w:spacing w:before="240"/>
      <w:jc w:val="center"/>
    </w:pPr>
    <w:rPr>
      <w:b/>
      <w:sz w:val="28"/>
    </w:rPr>
  </w:style>
  <w:style w:type="paragraph" w:customStyle="1" w:styleId="SectionNo">
    <w:name w:val="Section_No"/>
    <w:basedOn w:val="Normal"/>
    <w:next w:val="Normal"/>
    <w:rsid w:val="000F2DC7"/>
  </w:style>
  <w:style w:type="paragraph" w:customStyle="1" w:styleId="Sectiontitle">
    <w:name w:val="Section_title"/>
    <w:basedOn w:val="Normal"/>
    <w:next w:val="Normalaftertitle"/>
    <w:rsid w:val="000F2DC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F2DC7"/>
    <w:pPr>
      <w:tabs>
        <w:tab w:val="clear" w:pos="794"/>
        <w:tab w:val="clear" w:pos="1191"/>
        <w:tab w:val="clear" w:pos="1588"/>
        <w:tab w:val="clear" w:pos="1985"/>
        <w:tab w:val="right" w:pos="9611"/>
      </w:tabs>
    </w:pPr>
    <w:rPr>
      <w:i/>
    </w:rPr>
  </w:style>
  <w:style w:type="paragraph" w:styleId="TOC1">
    <w:name w:val="toc 1"/>
    <w:basedOn w:val="Normal"/>
    <w:semiHidden/>
    <w:rsid w:val="000F2DC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F2DC7"/>
    <w:pPr>
      <w:tabs>
        <w:tab w:val="clear" w:pos="567"/>
        <w:tab w:val="left" w:pos="1276"/>
      </w:tabs>
      <w:spacing w:before="160"/>
      <w:ind w:left="1276" w:hanging="709"/>
    </w:pPr>
  </w:style>
  <w:style w:type="paragraph" w:styleId="TOC3">
    <w:name w:val="toc 3"/>
    <w:basedOn w:val="TOC2"/>
    <w:semiHidden/>
    <w:rsid w:val="000F2DC7"/>
    <w:pPr>
      <w:tabs>
        <w:tab w:val="clear" w:pos="1276"/>
        <w:tab w:val="left" w:pos="2155"/>
      </w:tabs>
      <w:ind w:left="2155" w:hanging="879"/>
    </w:pPr>
  </w:style>
  <w:style w:type="paragraph" w:styleId="TOC4">
    <w:name w:val="toc 4"/>
    <w:basedOn w:val="TOC3"/>
    <w:semiHidden/>
    <w:rsid w:val="000F2DC7"/>
    <w:pPr>
      <w:tabs>
        <w:tab w:val="left" w:pos="3261"/>
      </w:tabs>
      <w:spacing w:before="80"/>
      <w:ind w:left="3261" w:hanging="993"/>
    </w:pPr>
  </w:style>
  <w:style w:type="paragraph" w:styleId="TOC5">
    <w:name w:val="toc 5"/>
    <w:basedOn w:val="TOC4"/>
    <w:semiHidden/>
    <w:rsid w:val="000F2DC7"/>
  </w:style>
  <w:style w:type="paragraph" w:styleId="TOC6">
    <w:name w:val="toc 6"/>
    <w:basedOn w:val="TOC4"/>
    <w:semiHidden/>
    <w:rsid w:val="000F2DC7"/>
  </w:style>
  <w:style w:type="paragraph" w:styleId="TOC7">
    <w:name w:val="toc 7"/>
    <w:basedOn w:val="TOC4"/>
    <w:semiHidden/>
    <w:rsid w:val="000F2DC7"/>
  </w:style>
  <w:style w:type="paragraph" w:styleId="TOC8">
    <w:name w:val="toc 8"/>
    <w:basedOn w:val="TOC4"/>
    <w:semiHidden/>
    <w:rsid w:val="000F2DC7"/>
  </w:style>
  <w:style w:type="paragraph" w:customStyle="1" w:styleId="Rectitle">
    <w:name w:val="Rec_title"/>
    <w:basedOn w:val="Normal"/>
    <w:next w:val="Recref"/>
    <w:rsid w:val="000F2DC7"/>
    <w:pPr>
      <w:keepNext/>
      <w:keepLines/>
      <w:spacing w:before="240"/>
      <w:jc w:val="center"/>
    </w:pPr>
    <w:rPr>
      <w:b/>
      <w:sz w:val="28"/>
    </w:rPr>
  </w:style>
  <w:style w:type="paragraph" w:customStyle="1" w:styleId="Annexref">
    <w:name w:val="Annex_ref"/>
    <w:basedOn w:val="Normal"/>
    <w:next w:val="Normalaftertitle"/>
    <w:rsid w:val="000F2DC7"/>
    <w:pPr>
      <w:keepNext/>
      <w:keepLines/>
      <w:spacing w:after="280"/>
      <w:jc w:val="center"/>
    </w:pPr>
  </w:style>
  <w:style w:type="paragraph" w:customStyle="1" w:styleId="Appendixref">
    <w:name w:val="Appendix_ref"/>
    <w:basedOn w:val="Annexref"/>
    <w:next w:val="Normalaftertitle"/>
    <w:rsid w:val="000F2DC7"/>
  </w:style>
  <w:style w:type="paragraph" w:customStyle="1" w:styleId="Figuretitle">
    <w:name w:val="Figure_title"/>
    <w:basedOn w:val="Normal"/>
    <w:next w:val="Figure"/>
    <w:rsid w:val="000F2DC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F2DC7"/>
    <w:pPr>
      <w:keepNext/>
      <w:spacing w:before="0" w:after="120"/>
      <w:jc w:val="center"/>
    </w:pPr>
    <w:rPr>
      <w:b/>
    </w:rPr>
  </w:style>
  <w:style w:type="paragraph" w:customStyle="1" w:styleId="Summary">
    <w:name w:val="Summary"/>
    <w:basedOn w:val="Normal"/>
    <w:next w:val="Normalaftertitle"/>
    <w:autoRedefine/>
    <w:rsid w:val="000F2DC7"/>
    <w:pPr>
      <w:spacing w:after="480"/>
    </w:pPr>
    <w:rPr>
      <w:sz w:val="22"/>
      <w:lang w:val="es-ES_tradnl"/>
    </w:rPr>
  </w:style>
  <w:style w:type="paragraph" w:customStyle="1" w:styleId="TableLegendNote">
    <w:name w:val="Table_Legend_Note"/>
    <w:basedOn w:val="Tablelegend"/>
    <w:next w:val="Tablelegend"/>
    <w:rsid w:val="000F2DC7"/>
    <w:pPr>
      <w:ind w:left="-85" w:firstLine="0"/>
    </w:pPr>
    <w:rPr>
      <w:lang w:val="en-US"/>
    </w:rPr>
  </w:style>
  <w:style w:type="paragraph" w:customStyle="1" w:styleId="Figure">
    <w:name w:val="Figure"/>
    <w:basedOn w:val="FigureNo"/>
    <w:next w:val="Normal"/>
    <w:rsid w:val="000F2DC7"/>
    <w:pPr>
      <w:keepNext w:val="0"/>
      <w:spacing w:before="0" w:after="240"/>
    </w:pPr>
  </w:style>
  <w:style w:type="character" w:styleId="Hyperlink">
    <w:name w:val="Hyperlink"/>
    <w:basedOn w:val="DefaultParagraphFont"/>
    <w:rsid w:val="00B01949"/>
    <w:rPr>
      <w:color w:val="0000FF"/>
      <w:u w:val="single"/>
    </w:rPr>
  </w:style>
  <w:style w:type="character" w:customStyle="1" w:styleId="FootnoteTextChar">
    <w:name w:val="Footnote Text Char"/>
    <w:basedOn w:val="DefaultParagraphFont"/>
    <w:link w:val="FootnoteText"/>
    <w:semiHidden/>
    <w:rsid w:val="00726954"/>
    <w:rPr>
      <w:sz w:val="22"/>
      <w:lang w:val="fr-FR" w:eastAsia="en-US"/>
    </w:rPr>
  </w:style>
  <w:style w:type="paragraph" w:customStyle="1" w:styleId="Reasons">
    <w:name w:val="Reasons"/>
    <w:basedOn w:val="Normal"/>
    <w:qFormat/>
    <w:rsid w:val="00726954"/>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34DD6-E034-4355-9CFE-0189C38D2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22</TotalTime>
  <Pages>5</Pages>
  <Words>1368</Words>
  <Characters>7864</Characters>
  <Application>Microsoft Office Word</Application>
  <DocSecurity>0</DocSecurity>
  <Lines>341</Lines>
  <Paragraphs>109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14</cp:revision>
  <cp:lastPrinted>2005-02-10T15:54:00Z</cp:lastPrinted>
  <dcterms:created xsi:type="dcterms:W3CDTF">2013-02-13T14:13:00Z</dcterms:created>
  <dcterms:modified xsi:type="dcterms:W3CDTF">2013-02-25T08:16:00Z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