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BC1" w:rsidRDefault="00FA2BC1" w:rsidP="00FA2BC1"/>
    <w:p w:rsidR="00FA2BC1" w:rsidRDefault="00FA2BC1" w:rsidP="00FA2BC1"/>
    <w:p w:rsidR="00FA2BC1" w:rsidRDefault="00FA2BC1" w:rsidP="00FA2BC1"/>
    <w:p w:rsidR="00FA2BC1" w:rsidRDefault="00FA2BC1" w:rsidP="00FA2BC1"/>
    <w:p w:rsidR="00FA2BC1" w:rsidRDefault="00FA2BC1" w:rsidP="00FA2BC1"/>
    <w:p w:rsidR="00FA2BC1" w:rsidRDefault="00FA2BC1" w:rsidP="00FA2BC1"/>
    <w:p w:rsidR="00FA2BC1" w:rsidRDefault="00FA2BC1" w:rsidP="00FA2BC1"/>
    <w:p w:rsidR="00FA2BC1" w:rsidRDefault="00FA2BC1" w:rsidP="00FA2BC1"/>
    <w:p w:rsidR="00FA2BC1" w:rsidRDefault="00FA2BC1" w:rsidP="00FA2BC1"/>
    <w:p w:rsidR="00FA2BC1" w:rsidRDefault="00FA2BC1" w:rsidP="00FA2BC1"/>
    <w:p w:rsidR="00FA2BC1" w:rsidRDefault="00FA2BC1" w:rsidP="00FA2BC1"/>
    <w:p w:rsidR="00FA2BC1" w:rsidRDefault="00FA2BC1" w:rsidP="00FA2BC1"/>
    <w:tbl>
      <w:tblPr>
        <w:tblW w:w="10089" w:type="dxa"/>
        <w:tblLook w:val="01E0" w:firstRow="1" w:lastRow="1" w:firstColumn="1" w:lastColumn="1" w:noHBand="0" w:noVBand="0"/>
      </w:tblPr>
      <w:tblGrid>
        <w:gridCol w:w="10089"/>
      </w:tblGrid>
      <w:tr w:rsidR="00FA2BC1" w:rsidRPr="006B55A9" w:rsidTr="00A26111">
        <w:tc>
          <w:tcPr>
            <w:tcW w:w="10089" w:type="dxa"/>
          </w:tcPr>
          <w:p w:rsidR="00FA2BC1" w:rsidRPr="006B55A9" w:rsidRDefault="00FA2BC1" w:rsidP="00A26111">
            <w:pPr>
              <w:spacing w:before="380" w:line="280" w:lineRule="exact"/>
              <w:jc w:val="right"/>
              <w:rPr>
                <w:rFonts w:ascii="Tahoma" w:hAnsi="Tahoma" w:cs="Tahoma"/>
                <w:b/>
                <w:bCs/>
                <w:iCs/>
                <w:color w:val="243285"/>
                <w:sz w:val="32"/>
                <w:szCs w:val="32"/>
                <w:lang w:val="en-US"/>
              </w:rPr>
            </w:pPr>
          </w:p>
          <w:p w:rsidR="00FA2BC1" w:rsidRPr="006B55A9" w:rsidRDefault="00FA2BC1" w:rsidP="00FA2BC1">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2023</w:t>
            </w:r>
          </w:p>
          <w:p w:rsidR="00FA2BC1" w:rsidRPr="006B55A9" w:rsidRDefault="00FA2BC1" w:rsidP="00FA2BC1">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08</w:t>
            </w:r>
            <w:r w:rsidRPr="006B55A9">
              <w:rPr>
                <w:rFonts w:ascii="Tahoma" w:hAnsi="Tahoma" w:cs="Tahoma"/>
                <w:b/>
                <w:bCs/>
                <w:iCs/>
                <w:color w:val="243285"/>
                <w:szCs w:val="24"/>
              </w:rPr>
              <w:t>/</w:t>
            </w:r>
            <w:r>
              <w:rPr>
                <w:rFonts w:ascii="Tahoma" w:hAnsi="Tahoma" w:cs="Tahoma"/>
                <w:b/>
                <w:bCs/>
                <w:iCs/>
                <w:color w:val="243285"/>
                <w:szCs w:val="24"/>
              </w:rPr>
              <w:t>2012</w:t>
            </w:r>
            <w:r w:rsidRPr="006B55A9">
              <w:rPr>
                <w:rFonts w:ascii="Tahoma" w:hAnsi="Tahoma" w:cs="Tahoma"/>
                <w:b/>
                <w:bCs/>
                <w:iCs/>
                <w:color w:val="243285"/>
                <w:szCs w:val="24"/>
              </w:rPr>
              <w:t>)</w:t>
            </w:r>
          </w:p>
        </w:tc>
      </w:tr>
      <w:tr w:rsidR="00FA2BC1" w:rsidRPr="007D44BC" w:rsidTr="00A26111">
        <w:tc>
          <w:tcPr>
            <w:tcW w:w="10089" w:type="dxa"/>
          </w:tcPr>
          <w:p w:rsidR="00FA2BC1" w:rsidRPr="00FA2BC1" w:rsidRDefault="00FA2BC1" w:rsidP="00A26111">
            <w:pPr>
              <w:spacing w:before="80" w:line="500" w:lineRule="exact"/>
              <w:jc w:val="right"/>
              <w:rPr>
                <w:rFonts w:ascii="Tahoma" w:hAnsi="Tahoma" w:cs="Tahoma"/>
                <w:b/>
                <w:bCs/>
                <w:iCs/>
                <w:color w:val="243285"/>
                <w:sz w:val="44"/>
                <w:szCs w:val="44"/>
                <w:lang w:val="en-US"/>
              </w:rPr>
            </w:pPr>
          </w:p>
          <w:p w:rsidR="00FA2BC1" w:rsidRPr="006B55A9" w:rsidRDefault="00FA2BC1" w:rsidP="00FA2BC1">
            <w:pPr>
              <w:spacing w:before="80" w:line="500" w:lineRule="exact"/>
              <w:jc w:val="right"/>
              <w:rPr>
                <w:rFonts w:ascii="Tahoma" w:hAnsi="Tahoma" w:cs="Tahoma"/>
                <w:b/>
                <w:bCs/>
                <w:color w:val="243285"/>
                <w:sz w:val="44"/>
                <w:szCs w:val="44"/>
                <w:lang w:val="en-US"/>
              </w:rPr>
            </w:pPr>
            <w:r w:rsidRPr="00FA2BC1">
              <w:rPr>
                <w:rFonts w:ascii="Tahoma" w:hAnsi="Tahoma" w:cs="Tahoma"/>
                <w:b/>
                <w:bCs/>
                <w:color w:val="243285"/>
                <w:sz w:val="44"/>
                <w:szCs w:val="44"/>
                <w:lang w:val="en-GB"/>
              </w:rPr>
              <w:t>Performance requirements for the production, international exc</w:t>
            </w:r>
            <w:r w:rsidR="00C00E89">
              <w:rPr>
                <w:rFonts w:ascii="Tahoma" w:hAnsi="Tahoma" w:cs="Tahoma"/>
                <w:b/>
                <w:bCs/>
                <w:color w:val="243285"/>
                <w:sz w:val="44"/>
                <w:szCs w:val="44"/>
                <w:lang w:val="en-GB"/>
              </w:rPr>
              <w:t>hange</w:t>
            </w:r>
            <w:r w:rsidR="00C00E89">
              <w:rPr>
                <w:rFonts w:ascii="Tahoma" w:hAnsi="Tahoma" w:cs="Tahoma"/>
                <w:b/>
                <w:bCs/>
                <w:color w:val="243285"/>
                <w:sz w:val="44"/>
                <w:szCs w:val="44"/>
                <w:lang w:val="en-GB"/>
              </w:rPr>
              <w:br/>
              <w:t>and broadcasting of 3DTV p</w:t>
            </w:r>
            <w:r w:rsidRPr="00FA2BC1">
              <w:rPr>
                <w:rFonts w:ascii="Tahoma" w:hAnsi="Tahoma" w:cs="Tahoma"/>
                <w:b/>
                <w:bCs/>
                <w:color w:val="243285"/>
                <w:sz w:val="44"/>
                <w:szCs w:val="44"/>
                <w:lang w:val="en-GB"/>
              </w:rPr>
              <w:t>rogrammes</w:t>
            </w:r>
          </w:p>
          <w:p w:rsidR="00FA2BC1" w:rsidRPr="006B55A9" w:rsidRDefault="00FA2BC1" w:rsidP="00A26111">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A2BC1" w:rsidRPr="007D44BC" w:rsidTr="00A26111">
        <w:tc>
          <w:tcPr>
            <w:tcW w:w="10089" w:type="dxa"/>
          </w:tcPr>
          <w:p w:rsidR="00FA2BC1" w:rsidRPr="00BA7614" w:rsidRDefault="00FA2BC1" w:rsidP="00A26111">
            <w:pPr>
              <w:spacing w:before="80" w:line="280" w:lineRule="exact"/>
              <w:ind w:right="640"/>
              <w:rPr>
                <w:rFonts w:ascii="Tahoma" w:hAnsi="Tahoma" w:cs="Tahoma"/>
                <w:b/>
                <w:bCs/>
                <w:iCs/>
                <w:color w:val="243285"/>
                <w:sz w:val="32"/>
                <w:szCs w:val="32"/>
                <w:lang w:val="en-US"/>
              </w:rPr>
            </w:pPr>
          </w:p>
          <w:p w:rsidR="00FA2BC1" w:rsidRPr="00BA7614" w:rsidRDefault="00FA2BC1" w:rsidP="00A26111">
            <w:pPr>
              <w:spacing w:before="80" w:line="280" w:lineRule="exact"/>
              <w:ind w:right="640"/>
              <w:rPr>
                <w:rFonts w:ascii="Tahoma" w:hAnsi="Tahoma" w:cs="Tahoma"/>
                <w:b/>
                <w:bCs/>
                <w:iCs/>
                <w:color w:val="243285"/>
                <w:sz w:val="32"/>
                <w:szCs w:val="32"/>
                <w:lang w:val="en-US"/>
              </w:rPr>
            </w:pPr>
          </w:p>
          <w:p w:rsidR="00FA2BC1" w:rsidRPr="00BA7614" w:rsidRDefault="00FA2BC1" w:rsidP="00A26111">
            <w:pPr>
              <w:spacing w:before="80" w:after="180" w:line="360" w:lineRule="exact"/>
              <w:ind w:right="720"/>
              <w:rPr>
                <w:rFonts w:ascii="Tahoma" w:hAnsi="Tahoma" w:cs="Tahoma"/>
                <w:b/>
                <w:bCs/>
                <w:iCs/>
                <w:color w:val="243285"/>
                <w:sz w:val="36"/>
                <w:szCs w:val="36"/>
                <w:lang w:val="en-US"/>
              </w:rPr>
            </w:pPr>
          </w:p>
          <w:p w:rsidR="00FA2BC1" w:rsidRPr="006B55A9" w:rsidRDefault="00FA2BC1" w:rsidP="00A26111">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FA2BC1" w:rsidRPr="006B55A9" w:rsidRDefault="00FA2BC1" w:rsidP="00A2611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FA2BC1" w:rsidRPr="006B55A9" w:rsidRDefault="00FA2BC1" w:rsidP="00A2611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A2BC1" w:rsidRPr="006B55A9" w:rsidRDefault="00FA2BC1" w:rsidP="00A26111">
            <w:pPr>
              <w:spacing w:before="80" w:line="360" w:lineRule="exact"/>
              <w:jc w:val="right"/>
              <w:rPr>
                <w:rFonts w:ascii="Tahoma" w:hAnsi="Tahoma" w:cs="Tahoma"/>
                <w:b/>
                <w:bCs/>
                <w:iCs/>
                <w:color w:val="243285"/>
                <w:sz w:val="32"/>
                <w:szCs w:val="32"/>
                <w:lang w:val="en-US"/>
              </w:rPr>
            </w:pPr>
          </w:p>
        </w:tc>
      </w:tr>
    </w:tbl>
    <w:p w:rsidR="00FA2BC1" w:rsidRDefault="00FA2BC1" w:rsidP="00FA2BC1">
      <w:pPr>
        <w:spacing w:before="80"/>
        <w:rPr>
          <w:i/>
          <w:sz w:val="22"/>
          <w:lang w:val="en-US"/>
        </w:rPr>
      </w:pPr>
    </w:p>
    <w:p w:rsidR="00FA2BC1" w:rsidRDefault="00FA2BC1" w:rsidP="00FA2BC1">
      <w:pPr>
        <w:spacing w:before="80"/>
        <w:rPr>
          <w:i/>
          <w:sz w:val="22"/>
          <w:lang w:val="en-US"/>
        </w:rPr>
      </w:pPr>
    </w:p>
    <w:p w:rsidR="00FA2BC1" w:rsidRDefault="00FA2BC1" w:rsidP="00FA2BC1">
      <w:pPr>
        <w:spacing w:before="80"/>
        <w:rPr>
          <w:i/>
          <w:sz w:val="22"/>
          <w:lang w:val="en-US"/>
        </w:rPr>
      </w:pPr>
    </w:p>
    <w:p w:rsidR="00FA2BC1" w:rsidRDefault="00FA2BC1" w:rsidP="00FA2BC1">
      <w:pPr>
        <w:spacing w:before="80"/>
        <w:rPr>
          <w:i/>
          <w:sz w:val="22"/>
          <w:lang w:val="en-US"/>
        </w:rPr>
      </w:pPr>
    </w:p>
    <w:p w:rsidR="00FA2BC1" w:rsidRDefault="00FA2BC1" w:rsidP="00FA2BC1">
      <w:pPr>
        <w:spacing w:before="80"/>
        <w:rPr>
          <w:i/>
          <w:sz w:val="22"/>
          <w:lang w:val="en-US"/>
        </w:rPr>
      </w:pPr>
    </w:p>
    <w:p w:rsidR="00FA2BC1" w:rsidRDefault="00FA2BC1" w:rsidP="00FA2BC1">
      <w:pPr>
        <w:spacing w:before="80"/>
        <w:rPr>
          <w:i/>
          <w:sz w:val="22"/>
          <w:lang w:val="en-US"/>
        </w:rPr>
      </w:pPr>
    </w:p>
    <w:p w:rsidR="00FA2BC1" w:rsidRDefault="00FA2BC1" w:rsidP="00FA2BC1">
      <w:pPr>
        <w:pStyle w:val="Equation"/>
        <w:tabs>
          <w:tab w:val="clear" w:pos="4820"/>
          <w:tab w:val="clear" w:pos="9639"/>
          <w:tab w:val="left" w:pos="1191"/>
          <w:tab w:val="left" w:pos="1588"/>
          <w:tab w:val="left" w:pos="1985"/>
        </w:tabs>
        <w:rPr>
          <w:rFonts w:ascii="Palatino Linotype" w:hAnsi="Palatino Linotype"/>
          <w:lang w:val="en-US"/>
        </w:rPr>
        <w:sectPr w:rsidR="00FA2BC1">
          <w:headerReference w:type="even" r:id="rId7"/>
          <w:headerReference w:type="default" r:id="rId8"/>
          <w:pgSz w:w="11907" w:h="16840" w:code="9"/>
          <w:pgMar w:top="1089" w:right="1089" w:bottom="284" w:left="1089" w:header="567" w:footer="284" w:gutter="0"/>
          <w:pgNumType w:start="1"/>
          <w:cols w:space="720"/>
        </w:sectPr>
      </w:pPr>
    </w:p>
    <w:p w:rsidR="00FA2BC1" w:rsidRPr="00586EF8" w:rsidRDefault="00FA2BC1" w:rsidP="00FA2B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FA2BC1" w:rsidRDefault="00FA2BC1" w:rsidP="00FA2BC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A2BC1" w:rsidRDefault="00FA2BC1" w:rsidP="00FA2BC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A2BC1" w:rsidRPr="00B714F3" w:rsidRDefault="00FA2BC1" w:rsidP="00FA2BC1">
      <w:pPr>
        <w:pStyle w:val="Heading1"/>
        <w:spacing w:before="680"/>
        <w:jc w:val="center"/>
        <w:rPr>
          <w:szCs w:val="24"/>
          <w:lang w:val="en-US"/>
        </w:rPr>
      </w:pPr>
      <w:r w:rsidRPr="00B714F3">
        <w:rPr>
          <w:szCs w:val="24"/>
          <w:lang w:val="en-US"/>
        </w:rPr>
        <w:t>Policy on Intellectual Property Right (IPR)</w:t>
      </w:r>
    </w:p>
    <w:p w:rsidR="00FA2BC1" w:rsidRPr="00B714F3" w:rsidRDefault="00FA2BC1" w:rsidP="00FA2BC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A2BC1" w:rsidRDefault="00FA2BC1" w:rsidP="00FA2BC1">
      <w:pPr>
        <w:jc w:val="center"/>
        <w:rPr>
          <w:sz w:val="22"/>
          <w:lang w:val="en-US"/>
        </w:rPr>
      </w:pPr>
    </w:p>
    <w:p w:rsidR="00FA2BC1" w:rsidRDefault="00FA2BC1" w:rsidP="00FA2BC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A2BC1" w:rsidRPr="007D44BC" w:rsidTr="00A26111">
        <w:tc>
          <w:tcPr>
            <w:tcW w:w="9360" w:type="dxa"/>
            <w:gridSpan w:val="2"/>
          </w:tcPr>
          <w:p w:rsidR="00FA2BC1" w:rsidRPr="00036EE3" w:rsidRDefault="00FA2BC1" w:rsidP="00A2611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A2BC1" w:rsidRPr="00036EE3" w:rsidRDefault="00FA2BC1"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FA2BC1" w:rsidRPr="00036EE3" w:rsidTr="00A26111">
        <w:tc>
          <w:tcPr>
            <w:tcW w:w="1140" w:type="dxa"/>
          </w:tcPr>
          <w:p w:rsidR="00FA2BC1" w:rsidRPr="00036EE3" w:rsidRDefault="00FA2BC1" w:rsidP="00A26111">
            <w:pPr>
              <w:spacing w:before="200" w:after="100"/>
              <w:ind w:left="57"/>
              <w:rPr>
                <w:b/>
                <w:bCs/>
                <w:sz w:val="20"/>
                <w:lang w:val="en-US"/>
              </w:rPr>
            </w:pPr>
            <w:r w:rsidRPr="00036EE3">
              <w:rPr>
                <w:b/>
                <w:bCs/>
                <w:sz w:val="20"/>
                <w:lang w:val="en-US"/>
              </w:rPr>
              <w:t>Series</w:t>
            </w:r>
          </w:p>
        </w:tc>
        <w:tc>
          <w:tcPr>
            <w:tcW w:w="8220" w:type="dxa"/>
          </w:tcPr>
          <w:p w:rsidR="00FA2BC1" w:rsidRPr="00036EE3" w:rsidRDefault="00FA2BC1"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A2BC1" w:rsidRPr="00036EE3"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BO</w:t>
            </w:r>
          </w:p>
        </w:tc>
        <w:tc>
          <w:tcPr>
            <w:tcW w:w="8220" w:type="dxa"/>
          </w:tcPr>
          <w:p w:rsidR="00FA2BC1" w:rsidRPr="00036EE3" w:rsidRDefault="00FA2BC1"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A2BC1" w:rsidRPr="007D44BC"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BR</w:t>
            </w:r>
          </w:p>
        </w:tc>
        <w:tc>
          <w:tcPr>
            <w:tcW w:w="8220" w:type="dxa"/>
          </w:tcPr>
          <w:p w:rsidR="00FA2BC1" w:rsidRPr="00036EE3" w:rsidRDefault="00FA2BC1"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A2BC1" w:rsidRPr="00036EE3" w:rsidTr="00A26111">
        <w:tc>
          <w:tcPr>
            <w:tcW w:w="1140" w:type="dxa"/>
            <w:tcBorders>
              <w:bottom w:val="nil"/>
            </w:tcBorders>
          </w:tcPr>
          <w:p w:rsidR="00FA2BC1" w:rsidRPr="00036EE3" w:rsidRDefault="00FA2BC1" w:rsidP="00A26111">
            <w:pPr>
              <w:spacing w:before="30" w:after="30"/>
              <w:ind w:left="57"/>
              <w:jc w:val="left"/>
              <w:rPr>
                <w:b/>
                <w:bCs/>
                <w:sz w:val="20"/>
                <w:lang w:val="en-US"/>
              </w:rPr>
            </w:pPr>
            <w:r w:rsidRPr="00036EE3">
              <w:rPr>
                <w:b/>
                <w:bCs/>
                <w:sz w:val="20"/>
                <w:lang w:val="en-US"/>
              </w:rPr>
              <w:t>BS</w:t>
            </w:r>
          </w:p>
        </w:tc>
        <w:tc>
          <w:tcPr>
            <w:tcW w:w="8220" w:type="dxa"/>
            <w:tcBorders>
              <w:bottom w:val="nil"/>
            </w:tcBorders>
          </w:tcPr>
          <w:p w:rsidR="00FA2BC1" w:rsidRPr="00036EE3" w:rsidRDefault="00FA2BC1"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FA2BC1" w:rsidRPr="00ED2695" w:rsidTr="00A26111">
        <w:tc>
          <w:tcPr>
            <w:tcW w:w="1140" w:type="dxa"/>
            <w:tcBorders>
              <w:top w:val="nil"/>
              <w:bottom w:val="nil"/>
            </w:tcBorders>
            <w:shd w:val="clear" w:color="auto" w:fill="F3F3F3"/>
          </w:tcPr>
          <w:p w:rsidR="00FA2BC1" w:rsidRPr="000F6905" w:rsidRDefault="00FA2BC1" w:rsidP="00A26111">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FA2BC1" w:rsidRPr="000F6905" w:rsidRDefault="00FA2BC1"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FA2BC1" w:rsidRPr="00036EE3" w:rsidTr="00A26111">
        <w:tc>
          <w:tcPr>
            <w:tcW w:w="1140" w:type="dxa"/>
            <w:tcBorders>
              <w:top w:val="nil"/>
              <w:bottom w:val="nil"/>
            </w:tcBorders>
            <w:shd w:val="clear" w:color="auto" w:fill="auto"/>
          </w:tcPr>
          <w:p w:rsidR="00FA2BC1" w:rsidRPr="00036EE3" w:rsidRDefault="00FA2BC1" w:rsidP="00A26111">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FA2BC1" w:rsidRPr="00036EE3" w:rsidRDefault="00FA2BC1" w:rsidP="00A261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FA2BC1" w:rsidRPr="005E02E1" w:rsidTr="00A26111">
        <w:tc>
          <w:tcPr>
            <w:tcW w:w="1140" w:type="dxa"/>
            <w:tcBorders>
              <w:top w:val="nil"/>
              <w:bottom w:val="nil"/>
            </w:tcBorders>
            <w:shd w:val="clear" w:color="auto" w:fill="auto"/>
          </w:tcPr>
          <w:p w:rsidR="00FA2BC1" w:rsidRPr="007D3B79" w:rsidRDefault="00FA2BC1" w:rsidP="00A26111">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FA2BC1" w:rsidRPr="00220899" w:rsidRDefault="00FA2BC1"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FA2BC1" w:rsidRPr="00036EE3" w:rsidTr="00A26111">
        <w:tc>
          <w:tcPr>
            <w:tcW w:w="1140" w:type="dxa"/>
            <w:tcBorders>
              <w:top w:val="nil"/>
            </w:tcBorders>
          </w:tcPr>
          <w:p w:rsidR="00FA2BC1" w:rsidRPr="00036EE3" w:rsidRDefault="00FA2BC1" w:rsidP="00A26111">
            <w:pPr>
              <w:spacing w:before="30" w:after="30"/>
              <w:ind w:left="57"/>
              <w:jc w:val="left"/>
              <w:rPr>
                <w:b/>
                <w:bCs/>
                <w:sz w:val="20"/>
                <w:lang w:val="fr-CH"/>
              </w:rPr>
            </w:pPr>
            <w:r w:rsidRPr="00036EE3">
              <w:rPr>
                <w:b/>
                <w:bCs/>
                <w:sz w:val="20"/>
                <w:lang w:val="fr-CH"/>
              </w:rPr>
              <w:t>P</w:t>
            </w:r>
          </w:p>
        </w:tc>
        <w:tc>
          <w:tcPr>
            <w:tcW w:w="8220" w:type="dxa"/>
            <w:tcBorders>
              <w:top w:val="nil"/>
            </w:tcBorders>
          </w:tcPr>
          <w:p w:rsidR="00FA2BC1" w:rsidRPr="00036EE3" w:rsidRDefault="00FA2BC1" w:rsidP="00A26111">
            <w:pPr>
              <w:spacing w:before="30" w:after="30"/>
              <w:jc w:val="left"/>
              <w:rPr>
                <w:sz w:val="20"/>
                <w:lang w:val="fr-CH"/>
              </w:rPr>
            </w:pPr>
            <w:r w:rsidRPr="00036EE3">
              <w:rPr>
                <w:sz w:val="20"/>
                <w:lang w:val="fr-CH"/>
              </w:rPr>
              <w:t>Radiowave propagation</w:t>
            </w:r>
          </w:p>
        </w:tc>
      </w:tr>
      <w:tr w:rsidR="00FA2BC1" w:rsidRPr="00036EE3"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RA</w:t>
            </w:r>
          </w:p>
        </w:tc>
        <w:tc>
          <w:tcPr>
            <w:tcW w:w="8220" w:type="dxa"/>
          </w:tcPr>
          <w:p w:rsidR="00FA2BC1" w:rsidRPr="00036EE3" w:rsidRDefault="00FA2BC1" w:rsidP="00A261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A2BC1" w:rsidRPr="00036EE3"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RS</w:t>
            </w:r>
          </w:p>
        </w:tc>
        <w:tc>
          <w:tcPr>
            <w:tcW w:w="8220" w:type="dxa"/>
          </w:tcPr>
          <w:p w:rsidR="00FA2BC1" w:rsidRPr="00036EE3" w:rsidRDefault="00FA2BC1" w:rsidP="00A261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A2BC1" w:rsidRPr="00036EE3"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S</w:t>
            </w:r>
          </w:p>
        </w:tc>
        <w:tc>
          <w:tcPr>
            <w:tcW w:w="8220" w:type="dxa"/>
          </w:tcPr>
          <w:p w:rsidR="00FA2BC1" w:rsidRPr="00036EE3" w:rsidRDefault="00FA2BC1" w:rsidP="00A26111">
            <w:pPr>
              <w:spacing w:before="30" w:after="30"/>
              <w:jc w:val="left"/>
              <w:rPr>
                <w:sz w:val="20"/>
                <w:lang w:val="en-US"/>
              </w:rPr>
            </w:pPr>
            <w:r w:rsidRPr="00036EE3">
              <w:rPr>
                <w:sz w:val="20"/>
                <w:lang w:val="en-US"/>
              </w:rPr>
              <w:t>Fixed-satellite service</w:t>
            </w:r>
          </w:p>
        </w:tc>
      </w:tr>
      <w:tr w:rsidR="00FA2BC1" w:rsidRPr="00036EE3"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SA</w:t>
            </w:r>
          </w:p>
        </w:tc>
        <w:tc>
          <w:tcPr>
            <w:tcW w:w="8220" w:type="dxa"/>
          </w:tcPr>
          <w:p w:rsidR="00FA2BC1" w:rsidRPr="00036EE3" w:rsidRDefault="00FA2BC1" w:rsidP="00A26111">
            <w:pPr>
              <w:spacing w:before="30" w:after="30"/>
              <w:jc w:val="left"/>
              <w:rPr>
                <w:sz w:val="20"/>
                <w:lang w:val="en-US"/>
              </w:rPr>
            </w:pPr>
            <w:r w:rsidRPr="00036EE3">
              <w:rPr>
                <w:sz w:val="20"/>
                <w:lang w:val="en-US"/>
              </w:rPr>
              <w:t>Space applications and meteorology</w:t>
            </w:r>
          </w:p>
        </w:tc>
      </w:tr>
      <w:tr w:rsidR="00FA2BC1" w:rsidRPr="007D44BC"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SF</w:t>
            </w:r>
          </w:p>
        </w:tc>
        <w:tc>
          <w:tcPr>
            <w:tcW w:w="8220" w:type="dxa"/>
          </w:tcPr>
          <w:p w:rsidR="00FA2BC1" w:rsidRPr="00036EE3" w:rsidRDefault="00FA2BC1" w:rsidP="00A26111">
            <w:pPr>
              <w:spacing w:before="30" w:after="30"/>
              <w:jc w:val="left"/>
              <w:rPr>
                <w:sz w:val="20"/>
                <w:lang w:val="en-US"/>
              </w:rPr>
            </w:pPr>
            <w:r w:rsidRPr="00036EE3">
              <w:rPr>
                <w:sz w:val="20"/>
                <w:lang w:val="en-US"/>
              </w:rPr>
              <w:t>Frequency sharing and coordination between fixed-satellite and fixed service systems</w:t>
            </w:r>
          </w:p>
        </w:tc>
      </w:tr>
      <w:tr w:rsidR="00FA2BC1" w:rsidRPr="00036EE3" w:rsidTr="00A26111">
        <w:tc>
          <w:tcPr>
            <w:tcW w:w="1140" w:type="dxa"/>
          </w:tcPr>
          <w:p w:rsidR="00FA2BC1" w:rsidRPr="00036EE3" w:rsidRDefault="00FA2BC1" w:rsidP="00A26111">
            <w:pPr>
              <w:spacing w:before="30" w:after="30"/>
              <w:ind w:left="57"/>
              <w:jc w:val="left"/>
              <w:rPr>
                <w:b/>
                <w:bCs/>
                <w:sz w:val="20"/>
                <w:lang w:val="en-US"/>
              </w:rPr>
            </w:pPr>
            <w:r>
              <w:rPr>
                <w:b/>
                <w:bCs/>
                <w:sz w:val="20"/>
                <w:lang w:val="en-US"/>
              </w:rPr>
              <w:t>SM</w:t>
            </w:r>
          </w:p>
        </w:tc>
        <w:tc>
          <w:tcPr>
            <w:tcW w:w="8220" w:type="dxa"/>
          </w:tcPr>
          <w:p w:rsidR="00FA2BC1" w:rsidRPr="00036EE3" w:rsidRDefault="00FA2BC1" w:rsidP="00A26111">
            <w:pPr>
              <w:spacing w:before="30" w:after="30"/>
              <w:jc w:val="left"/>
              <w:rPr>
                <w:sz w:val="20"/>
                <w:lang w:val="en-US"/>
              </w:rPr>
            </w:pPr>
            <w:r>
              <w:rPr>
                <w:sz w:val="20"/>
                <w:lang w:val="en-US"/>
              </w:rPr>
              <w:t>Spectrum management</w:t>
            </w:r>
          </w:p>
        </w:tc>
      </w:tr>
      <w:tr w:rsidR="00FA2BC1" w:rsidRPr="00036EE3"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SNG</w:t>
            </w:r>
          </w:p>
        </w:tc>
        <w:tc>
          <w:tcPr>
            <w:tcW w:w="8220" w:type="dxa"/>
          </w:tcPr>
          <w:p w:rsidR="00FA2BC1" w:rsidRPr="00036EE3" w:rsidRDefault="00FA2BC1" w:rsidP="00A26111">
            <w:pPr>
              <w:spacing w:before="30" w:after="30"/>
              <w:jc w:val="left"/>
              <w:rPr>
                <w:sz w:val="20"/>
                <w:lang w:val="en-US"/>
              </w:rPr>
            </w:pPr>
            <w:r w:rsidRPr="00036EE3">
              <w:rPr>
                <w:sz w:val="20"/>
                <w:lang w:val="en-US"/>
              </w:rPr>
              <w:t>Satellite news gathering</w:t>
            </w:r>
          </w:p>
        </w:tc>
      </w:tr>
      <w:tr w:rsidR="00FA2BC1" w:rsidRPr="007D44BC"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TF</w:t>
            </w:r>
          </w:p>
        </w:tc>
        <w:tc>
          <w:tcPr>
            <w:tcW w:w="8220" w:type="dxa"/>
          </w:tcPr>
          <w:p w:rsidR="00FA2BC1" w:rsidRPr="00036EE3" w:rsidRDefault="00FA2BC1" w:rsidP="00A26111">
            <w:pPr>
              <w:spacing w:before="30" w:after="30"/>
              <w:jc w:val="left"/>
              <w:rPr>
                <w:sz w:val="20"/>
                <w:lang w:val="en-US"/>
              </w:rPr>
            </w:pPr>
            <w:r w:rsidRPr="00036EE3">
              <w:rPr>
                <w:sz w:val="20"/>
                <w:lang w:val="en-US"/>
              </w:rPr>
              <w:t>Time signals and frequency standards emissions</w:t>
            </w:r>
          </w:p>
        </w:tc>
      </w:tr>
      <w:tr w:rsidR="00FA2BC1" w:rsidRPr="00036EE3" w:rsidTr="00A26111">
        <w:tc>
          <w:tcPr>
            <w:tcW w:w="1140" w:type="dxa"/>
          </w:tcPr>
          <w:p w:rsidR="00FA2BC1" w:rsidRPr="00036EE3" w:rsidRDefault="00FA2BC1" w:rsidP="00A26111">
            <w:pPr>
              <w:spacing w:before="30" w:after="30"/>
              <w:ind w:left="57"/>
              <w:jc w:val="left"/>
              <w:rPr>
                <w:b/>
                <w:bCs/>
                <w:sz w:val="20"/>
                <w:lang w:val="en-US"/>
              </w:rPr>
            </w:pPr>
            <w:r w:rsidRPr="00036EE3">
              <w:rPr>
                <w:b/>
                <w:bCs/>
                <w:sz w:val="20"/>
                <w:lang w:val="en-US"/>
              </w:rPr>
              <w:t>V</w:t>
            </w:r>
          </w:p>
        </w:tc>
        <w:tc>
          <w:tcPr>
            <w:tcW w:w="8220" w:type="dxa"/>
          </w:tcPr>
          <w:p w:rsidR="00FA2BC1" w:rsidRPr="00036EE3" w:rsidRDefault="00FA2BC1" w:rsidP="00A26111">
            <w:pPr>
              <w:spacing w:before="30" w:after="180"/>
              <w:jc w:val="left"/>
              <w:rPr>
                <w:sz w:val="20"/>
                <w:lang w:val="en-US"/>
              </w:rPr>
            </w:pPr>
            <w:r w:rsidRPr="00036EE3">
              <w:rPr>
                <w:sz w:val="20"/>
                <w:lang w:val="en-US"/>
              </w:rPr>
              <w:t>Vocabulary and related subjects</w:t>
            </w:r>
          </w:p>
        </w:tc>
      </w:tr>
    </w:tbl>
    <w:p w:rsidR="00FA2BC1" w:rsidRPr="00036EE3" w:rsidRDefault="00FA2BC1" w:rsidP="00FA2BC1">
      <w:pPr>
        <w:spacing w:before="30" w:after="30"/>
        <w:jc w:val="center"/>
        <w:rPr>
          <w:sz w:val="20"/>
          <w:lang w:val="en-US"/>
        </w:rPr>
      </w:pPr>
    </w:p>
    <w:p w:rsidR="00FA2BC1" w:rsidRDefault="00FA2BC1" w:rsidP="00FA2BC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A2BC1" w:rsidRPr="007D44BC" w:rsidTr="00A26111">
        <w:tc>
          <w:tcPr>
            <w:tcW w:w="9360" w:type="dxa"/>
          </w:tcPr>
          <w:p w:rsidR="00FA2BC1" w:rsidRPr="006B55A9" w:rsidRDefault="00FA2BC1" w:rsidP="00A26111">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FA2BC1" w:rsidRDefault="00FA2BC1" w:rsidP="00FA2BC1">
      <w:pPr>
        <w:spacing w:before="0"/>
        <w:jc w:val="center"/>
        <w:rPr>
          <w:sz w:val="22"/>
          <w:lang w:val="en-US"/>
        </w:rPr>
      </w:pPr>
    </w:p>
    <w:p w:rsidR="00FA2BC1" w:rsidRDefault="00FA2BC1" w:rsidP="00FA2BC1">
      <w:pPr>
        <w:spacing w:before="0"/>
        <w:jc w:val="center"/>
        <w:rPr>
          <w:sz w:val="22"/>
          <w:lang w:val="en-US"/>
        </w:rPr>
      </w:pPr>
    </w:p>
    <w:p w:rsidR="00FA2BC1" w:rsidRPr="002F5199" w:rsidRDefault="00FA2BC1" w:rsidP="00FA2BC1">
      <w:pPr>
        <w:spacing w:before="0"/>
        <w:jc w:val="right"/>
        <w:rPr>
          <w:i/>
          <w:iCs/>
          <w:sz w:val="20"/>
          <w:lang w:val="en-US"/>
        </w:rPr>
      </w:pPr>
      <w:r w:rsidRPr="002F5199">
        <w:rPr>
          <w:i/>
          <w:iCs/>
          <w:sz w:val="20"/>
          <w:lang w:val="en-US"/>
        </w:rPr>
        <w:t>Electronic Publication</w:t>
      </w:r>
    </w:p>
    <w:p w:rsidR="00FA2BC1" w:rsidRPr="002F5199" w:rsidRDefault="00FA2BC1" w:rsidP="00FA2BC1">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FA2BC1" w:rsidRDefault="00FA2BC1" w:rsidP="00FA2BC1">
      <w:pPr>
        <w:jc w:val="center"/>
        <w:rPr>
          <w:sz w:val="22"/>
          <w:lang w:val="en-US"/>
        </w:rPr>
      </w:pPr>
    </w:p>
    <w:p w:rsidR="00FA2BC1" w:rsidRPr="00470E28" w:rsidRDefault="00FA2BC1" w:rsidP="00FA2BC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FA2BC1" w:rsidRPr="00470E28" w:rsidRDefault="00FA2BC1" w:rsidP="00FA2BC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A2BC1" w:rsidRDefault="00FA2BC1" w:rsidP="00FA2BC1">
      <w:pPr>
        <w:spacing w:before="160"/>
        <w:rPr>
          <w:i/>
          <w:sz w:val="20"/>
          <w:lang w:val="en-US"/>
        </w:rPr>
        <w:sectPr w:rsidR="00FA2BC1"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FA2BC1" w:rsidRPr="00BF487A" w:rsidRDefault="00FA2BC1" w:rsidP="006F7CA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6F7CA4">
        <w:rPr>
          <w:rStyle w:val="href"/>
          <w:lang w:val="en-US"/>
        </w:rPr>
        <w:t>2023</w:t>
      </w:r>
    </w:p>
    <w:p w:rsidR="00FA2BC1" w:rsidRDefault="00FA2BC1" w:rsidP="003F2FEB">
      <w:pPr>
        <w:pStyle w:val="Rectitle"/>
        <w:rPr>
          <w:lang w:val="en-US"/>
        </w:rPr>
      </w:pPr>
      <w:r w:rsidRPr="00FA2BC1">
        <w:rPr>
          <w:lang w:val="en-US"/>
        </w:rPr>
        <w:t>Performance requirements for the production, international exchange</w:t>
      </w:r>
      <w:r w:rsidRPr="00FA2BC1">
        <w:rPr>
          <w:lang w:val="en-US" w:eastAsia="zh-CN"/>
        </w:rPr>
        <w:br/>
        <w:t xml:space="preserve">and </w:t>
      </w:r>
      <w:r w:rsidRPr="00FA2BC1">
        <w:rPr>
          <w:lang w:val="en-US"/>
        </w:rPr>
        <w:t>broadcasting</w:t>
      </w:r>
      <w:r w:rsidRPr="00FA2BC1">
        <w:rPr>
          <w:lang w:val="en-US" w:eastAsia="zh-CN"/>
        </w:rPr>
        <w:t xml:space="preserve"> of</w:t>
      </w:r>
      <w:r w:rsidRPr="00FA2BC1">
        <w:rPr>
          <w:lang w:val="en-US"/>
        </w:rPr>
        <w:t xml:space="preserve"> </w:t>
      </w:r>
      <w:r w:rsidRPr="00FA2BC1">
        <w:rPr>
          <w:bCs/>
          <w:lang w:val="en-US"/>
        </w:rPr>
        <w:t>3DTV</w:t>
      </w:r>
      <w:r w:rsidRPr="00FA2BC1">
        <w:rPr>
          <w:lang w:val="en-US"/>
        </w:rPr>
        <w:t xml:space="preserve"> programmes</w:t>
      </w:r>
    </w:p>
    <w:p w:rsidR="00227DCF" w:rsidRPr="00227DCF" w:rsidRDefault="00227DCF" w:rsidP="00227DCF">
      <w:pPr>
        <w:pStyle w:val="Recdate"/>
        <w:rPr>
          <w:lang w:val="en-US"/>
        </w:rPr>
      </w:pPr>
      <w:r>
        <w:rPr>
          <w:lang w:val="en-US"/>
        </w:rPr>
        <w:t>(2012)</w:t>
      </w:r>
    </w:p>
    <w:p w:rsidR="00FA2BC1" w:rsidRPr="00C00E89" w:rsidRDefault="00FA2BC1" w:rsidP="00227DCF">
      <w:pPr>
        <w:pStyle w:val="HeadingSum"/>
        <w:rPr>
          <w:lang w:val="en-US" w:eastAsia="zh-CN"/>
        </w:rPr>
      </w:pPr>
      <w:r w:rsidRPr="00C00E89">
        <w:rPr>
          <w:lang w:val="en-US" w:eastAsia="zh-CN"/>
        </w:rPr>
        <w:t>Scope</w:t>
      </w:r>
    </w:p>
    <w:p w:rsidR="00FA2BC1" w:rsidRPr="003F2FEB" w:rsidRDefault="00FA2BC1" w:rsidP="003F2FEB">
      <w:pPr>
        <w:pStyle w:val="Summary"/>
        <w:rPr>
          <w:lang w:val="en-US" w:eastAsia="zh-CN"/>
        </w:rPr>
      </w:pPr>
      <w:r w:rsidRPr="00C00E89">
        <w:rPr>
          <w:lang w:val="en-US" w:eastAsia="zh-CN"/>
        </w:rPr>
        <w:t>This Recommendation specifies the performance requirements and criteria that should be used worldwide for the production, international exchange and broadcasting of stereoscopic 3DTV</w:t>
      </w:r>
      <w:r w:rsidR="00227DCF" w:rsidRPr="00265BE8">
        <w:rPr>
          <w:rStyle w:val="FootnoteReference"/>
          <w:bCs/>
          <w:caps/>
          <w:szCs w:val="28"/>
        </w:rPr>
        <w:footnoteReference w:id="1"/>
      </w:r>
      <w:r w:rsidRPr="00C00E89">
        <w:rPr>
          <w:lang w:val="en-US" w:eastAsia="zh-CN"/>
        </w:rPr>
        <w:t xml:space="preserve"> programmes. </w:t>
      </w:r>
      <w:r w:rsidRPr="003F2FEB">
        <w:rPr>
          <w:lang w:val="en-US" w:eastAsia="zh-CN"/>
        </w:rPr>
        <w:t xml:space="preserve">This Recommendation includes references to some of the production requirements necessary to achieve a comfortable, high quality </w:t>
      </w:r>
      <w:r w:rsidRPr="003F2FEB">
        <w:rPr>
          <w:lang w:val="en-US"/>
        </w:rPr>
        <w:t>3DTV viewing experience</w:t>
      </w:r>
      <w:r w:rsidRPr="003F2FEB">
        <w:rPr>
          <w:lang w:val="en-US" w:eastAsia="zh-CN"/>
        </w:rPr>
        <w:t>.</w:t>
      </w:r>
    </w:p>
    <w:p w:rsidR="00FA2BC1" w:rsidRPr="00C00E89" w:rsidRDefault="00FA2BC1" w:rsidP="003F2FEB">
      <w:pPr>
        <w:pStyle w:val="Normalaftertitle"/>
        <w:rPr>
          <w:lang w:val="en-US" w:eastAsia="zh-CN"/>
        </w:rPr>
      </w:pPr>
      <w:r w:rsidRPr="00C00E89">
        <w:rPr>
          <w:lang w:val="en-US" w:eastAsia="zh-CN"/>
        </w:rPr>
        <w:t>The ITU Radiocommunication Assembly</w:t>
      </w:r>
      <w:r w:rsidR="003F2FEB" w:rsidRPr="00C00E89">
        <w:rPr>
          <w:lang w:val="en-US" w:eastAsia="zh-CN"/>
        </w:rPr>
        <w:t>,</w:t>
      </w:r>
    </w:p>
    <w:p w:rsidR="00FA2BC1" w:rsidRPr="00FA2BC1" w:rsidRDefault="00FA2BC1" w:rsidP="003F2FEB">
      <w:pPr>
        <w:pStyle w:val="Call"/>
        <w:rPr>
          <w:lang w:val="en-US"/>
        </w:rPr>
      </w:pPr>
      <w:r w:rsidRPr="00FA2BC1">
        <w:rPr>
          <w:lang w:val="en-US"/>
        </w:rPr>
        <w:t>considering</w:t>
      </w:r>
    </w:p>
    <w:p w:rsidR="00FA2BC1" w:rsidRPr="00FA2BC1" w:rsidRDefault="00FA2BC1" w:rsidP="003F2FEB">
      <w:pPr>
        <w:rPr>
          <w:lang w:val="en-US"/>
        </w:rPr>
      </w:pPr>
      <w:r w:rsidRPr="003F2FEB">
        <w:rPr>
          <w:lang w:val="en-US"/>
        </w:rPr>
        <w:t>a)</w:t>
      </w:r>
      <w:r w:rsidRPr="00FA2BC1">
        <w:rPr>
          <w:lang w:val="en-US"/>
        </w:rPr>
        <w:tab/>
      </w:r>
      <w:r w:rsidRPr="00FA2BC1">
        <w:rPr>
          <w:lang w:val="en-US" w:eastAsia="zh-CN"/>
        </w:rPr>
        <w:t xml:space="preserve">that since programme producers and broadcasters are producing 3DTV programmes for domestic broadcasting and for international programme exchange </w:t>
      </w:r>
      <w:r w:rsidRPr="00FA2BC1">
        <w:rPr>
          <w:lang w:val="en-US"/>
        </w:rPr>
        <w:t xml:space="preserve">using existing ITU-R monoscopic Recommendations contained in the current standards, there is a need to develop </w:t>
      </w:r>
      <w:r w:rsidRPr="00FA2BC1">
        <w:rPr>
          <w:lang w:val="en-US" w:eastAsia="zh-CN"/>
        </w:rPr>
        <w:t>a set of ITU-R Recommendations to be used worldwide in the production of 3DTV programmes for broadcasting, to facilitate their international exchange;</w:t>
      </w:r>
    </w:p>
    <w:p w:rsidR="00FA2BC1" w:rsidRPr="00FA2BC1" w:rsidRDefault="00FA2BC1" w:rsidP="00FA2BC1">
      <w:pPr>
        <w:rPr>
          <w:lang w:val="en-US" w:eastAsia="zh-CN"/>
        </w:rPr>
      </w:pPr>
      <w:r w:rsidRPr="003F2FEB">
        <w:rPr>
          <w:iCs/>
          <w:lang w:val="en-US" w:eastAsia="zh-CN"/>
        </w:rPr>
        <w:t>b)</w:t>
      </w:r>
      <w:r w:rsidRPr="00FA2BC1">
        <w:rPr>
          <w:lang w:val="en-US" w:eastAsia="zh-CN"/>
        </w:rPr>
        <w:tab/>
        <w:t>that 3DTV broadcasters, programme producers and distributors often need to preserve the value and quality of their programmes for television</w:t>
      </w:r>
      <w:r w:rsidRPr="00FA2BC1" w:rsidDel="008B2E5F">
        <w:rPr>
          <w:lang w:val="en-US" w:eastAsia="zh-CN"/>
        </w:rPr>
        <w:t xml:space="preserve"> </w:t>
      </w:r>
      <w:r w:rsidRPr="00FA2BC1">
        <w:rPr>
          <w:lang w:val="en-US" w:eastAsia="zh-CN"/>
        </w:rPr>
        <w:t>broadcast use and therefore they have an interest in protecting their programmes from technical obsolescence;</w:t>
      </w:r>
    </w:p>
    <w:p w:rsidR="00FA2BC1" w:rsidRPr="00FA2BC1" w:rsidRDefault="00FA2BC1" w:rsidP="003F2FEB">
      <w:pPr>
        <w:rPr>
          <w:lang w:val="en-US"/>
        </w:rPr>
      </w:pPr>
      <w:r w:rsidRPr="003F2FEB">
        <w:rPr>
          <w:lang w:val="en-US"/>
        </w:rPr>
        <w:t>c)</w:t>
      </w:r>
      <w:r w:rsidRPr="00FA2BC1">
        <w:rPr>
          <w:lang w:val="en-US"/>
        </w:rPr>
        <w:tab/>
        <w:t>that a 3DTV audience with normal binocular</w:t>
      </w:r>
      <w:r>
        <w:rPr>
          <w:rStyle w:val="FootnoteReference"/>
        </w:rPr>
        <w:footnoteReference w:id="2"/>
      </w:r>
      <w:r w:rsidRPr="00FA2BC1">
        <w:rPr>
          <w:lang w:val="en-US"/>
        </w:rPr>
        <w:t xml:space="preserve"> vision expects to have a </w:t>
      </w:r>
      <w:r w:rsidRPr="00FA2BC1">
        <w:rPr>
          <w:lang w:val="en-US" w:eastAsia="fr-CH"/>
        </w:rPr>
        <w:t>comfortable viewing experience for the duration of the programme;</w:t>
      </w:r>
    </w:p>
    <w:p w:rsidR="00FA2BC1" w:rsidRPr="00FA2BC1" w:rsidRDefault="00FA2BC1" w:rsidP="003F2FEB">
      <w:pPr>
        <w:rPr>
          <w:lang w:val="en-US"/>
        </w:rPr>
      </w:pPr>
      <w:r w:rsidRPr="003F2FEB">
        <w:rPr>
          <w:lang w:val="en-US"/>
        </w:rPr>
        <w:t>d)</w:t>
      </w:r>
      <w:r w:rsidRPr="00FA2BC1">
        <w:rPr>
          <w:lang w:val="en-US"/>
        </w:rPr>
        <w:tab/>
      </w:r>
      <w:r w:rsidRPr="00FA2BC1">
        <w:rPr>
          <w:lang w:val="en-US" w:eastAsia="zh-CN"/>
        </w:rPr>
        <w:t>that visual comfort and quality of 3DTV images is influenced by</w:t>
      </w:r>
      <w:r w:rsidRPr="00FA2BC1">
        <w:rPr>
          <w:rFonts w:hint="eastAsia"/>
          <w:lang w:val="en-US" w:eastAsia="ja-JP"/>
        </w:rPr>
        <w:t xml:space="preserve"> ranges of parallax distributions,</w:t>
      </w:r>
      <w:r w:rsidRPr="00FA2BC1">
        <w:rPr>
          <w:lang w:val="en-US" w:eastAsia="zh-CN"/>
        </w:rPr>
        <w:t xml:space="preserve"> </w:t>
      </w:r>
      <w:r w:rsidRPr="00FA2BC1">
        <w:rPr>
          <w:rFonts w:hint="eastAsia"/>
          <w:lang w:val="en-US" w:eastAsia="ja-JP"/>
        </w:rPr>
        <w:t>as well as other factors including</w:t>
      </w:r>
      <w:r w:rsidRPr="00FA2BC1">
        <w:rPr>
          <w:lang w:val="en-US" w:eastAsia="zh-CN"/>
        </w:rPr>
        <w:t xml:space="preserve"> programme production techniques, display devices, 3D glasses and viewing conditions</w:t>
      </w:r>
      <w:r w:rsidRPr="00FA2BC1">
        <w:rPr>
          <w:rFonts w:hint="eastAsia"/>
          <w:lang w:val="en-US" w:eastAsia="ja-JP"/>
        </w:rPr>
        <w:t>;</w:t>
      </w:r>
    </w:p>
    <w:p w:rsidR="00FA2BC1" w:rsidRPr="00FA2BC1" w:rsidRDefault="00FA2BC1" w:rsidP="003F2FEB">
      <w:pPr>
        <w:rPr>
          <w:lang w:val="en-US" w:eastAsia="zh-CN"/>
        </w:rPr>
      </w:pPr>
      <w:r w:rsidRPr="003F2FEB">
        <w:rPr>
          <w:lang w:val="en-US" w:eastAsia="zh-CN"/>
        </w:rPr>
        <w:t>e)</w:t>
      </w:r>
      <w:r w:rsidRPr="00FA2BC1">
        <w:rPr>
          <w:lang w:val="en-US" w:eastAsia="zh-CN"/>
        </w:rPr>
        <w:tab/>
        <w:t>that the overall performance requirements for a 3DTV system need to be identified in sufficient detail in order to orient the choice of the appropriate technologies for its implementation;</w:t>
      </w:r>
    </w:p>
    <w:p w:rsidR="00FA2BC1" w:rsidRPr="00FA2BC1" w:rsidRDefault="00FA2BC1" w:rsidP="003F2FEB">
      <w:pPr>
        <w:rPr>
          <w:lang w:val="en-US" w:eastAsia="zh-CN"/>
        </w:rPr>
      </w:pPr>
      <w:r w:rsidRPr="003F2FEB">
        <w:rPr>
          <w:lang w:val="en-US" w:eastAsia="zh-CN"/>
        </w:rPr>
        <w:t>f)</w:t>
      </w:r>
      <w:r w:rsidRPr="00FA2BC1">
        <w:rPr>
          <w:lang w:val="en-US" w:eastAsia="zh-CN"/>
        </w:rPr>
        <w:tab/>
        <w:t>that 3DTV programmes need to be converted to monoscopic TV with a quality adequate for distribution,</w:t>
      </w:r>
    </w:p>
    <w:p w:rsidR="00FA2BC1" w:rsidRPr="00FA2BC1" w:rsidRDefault="00FA2BC1" w:rsidP="00FA2BC1">
      <w:pPr>
        <w:pStyle w:val="Call"/>
        <w:spacing w:before="120" w:after="60"/>
        <w:rPr>
          <w:lang w:val="en-US" w:eastAsia="zh-CN"/>
        </w:rPr>
      </w:pPr>
      <w:r w:rsidRPr="00FA2BC1">
        <w:rPr>
          <w:lang w:val="en-US" w:eastAsia="zh-CN"/>
        </w:rPr>
        <w:t>noting</w:t>
      </w:r>
    </w:p>
    <w:p w:rsidR="00FA2BC1" w:rsidRPr="00FA2BC1" w:rsidRDefault="00FA2BC1" w:rsidP="003F2FEB">
      <w:pPr>
        <w:rPr>
          <w:lang w:val="en-US" w:eastAsia="zh-CN"/>
        </w:rPr>
      </w:pPr>
      <w:r w:rsidRPr="003F2FEB">
        <w:rPr>
          <w:lang w:val="en-US" w:eastAsia="zh-CN"/>
        </w:rPr>
        <w:t>a)</w:t>
      </w:r>
      <w:r w:rsidRPr="00FA2BC1">
        <w:rPr>
          <w:lang w:val="en-US" w:eastAsia="zh-CN"/>
        </w:rPr>
        <w:tab/>
        <w:t>that television image processing techniques have developed to the point where the technical solutions applicable to the video signal in the production of 3DTV television programmes for international exchange do not need to necessarily coincide with the solutions applicable to the broadcast emission of 3DTV television programmes to a television audience;</w:t>
      </w:r>
    </w:p>
    <w:p w:rsidR="00FA2BC1" w:rsidRPr="00FA2BC1" w:rsidRDefault="00FA2BC1" w:rsidP="00FA2BC1">
      <w:pPr>
        <w:rPr>
          <w:lang w:val="en-US"/>
        </w:rPr>
      </w:pPr>
      <w:r w:rsidRPr="003F2FEB">
        <w:rPr>
          <w:lang w:val="en-US"/>
        </w:rPr>
        <w:t>b)</w:t>
      </w:r>
      <w:r w:rsidRPr="00FA2BC1">
        <w:rPr>
          <w:lang w:val="en-US"/>
        </w:rPr>
        <w:tab/>
        <w:t>that 3DTV presently requires two separate views of the same subject: the Left eye (Le) and Right eye (Re), and that once captured, they must be processed, carried and stored in such a way that no errors are introduced that might affect one signal more than, or differently from the other, including the relative timing of the two signals,</w:t>
      </w:r>
    </w:p>
    <w:p w:rsidR="00FA2BC1" w:rsidRPr="00FA2BC1" w:rsidRDefault="00FA2BC1" w:rsidP="00FA2BC1">
      <w:pPr>
        <w:pStyle w:val="Call"/>
        <w:rPr>
          <w:lang w:val="en-US"/>
        </w:rPr>
      </w:pPr>
      <w:r w:rsidRPr="00FA2BC1">
        <w:rPr>
          <w:lang w:val="en-US"/>
        </w:rPr>
        <w:lastRenderedPageBreak/>
        <w:t>recommends</w:t>
      </w:r>
    </w:p>
    <w:p w:rsidR="00FA2BC1" w:rsidRPr="00FA2BC1" w:rsidRDefault="00C00E89" w:rsidP="003F2FEB">
      <w:pPr>
        <w:rPr>
          <w:lang w:val="en-US"/>
        </w:rPr>
      </w:pPr>
      <w:r w:rsidRPr="00C00E89">
        <w:rPr>
          <w:b/>
          <w:bCs/>
          <w:lang w:val="en-US"/>
        </w:rPr>
        <w:t>1</w:t>
      </w:r>
      <w:r>
        <w:rPr>
          <w:lang w:val="en-US"/>
        </w:rPr>
        <w:tab/>
      </w:r>
      <w:r w:rsidR="00FA2BC1" w:rsidRPr="00FA2BC1">
        <w:rPr>
          <w:lang w:val="en-US"/>
        </w:rPr>
        <w:t>that the performance requirements and criteria listed in Annex 1 should be taken into account when determining the appropriate technologies for a 3DTV system for production, international programme exchange and broadcasting.</w:t>
      </w:r>
    </w:p>
    <w:p w:rsidR="00FA2BC1" w:rsidRPr="00FA2BC1" w:rsidRDefault="00FA2BC1" w:rsidP="00FA2BC1">
      <w:pPr>
        <w:rPr>
          <w:lang w:val="en-US"/>
        </w:rPr>
      </w:pPr>
      <w:r w:rsidRPr="00FA2BC1">
        <w:rPr>
          <w:bCs/>
          <w:lang w:val="en-US"/>
        </w:rPr>
        <w:t xml:space="preserve">NOTE − </w:t>
      </w:r>
      <w:r w:rsidRPr="00FA2BC1">
        <w:rPr>
          <w:lang w:val="en-US"/>
        </w:rPr>
        <w:t>The list of performance requirements and criteria in Annex 1, albeit quite comprehensive, should be reviewed and possibly extended as necessary to reflect technological progress, improved knowledge of human visual perception and audience preferences concerning implementations of 3DTV presentations.</w:t>
      </w:r>
    </w:p>
    <w:p w:rsidR="00FA2BC1" w:rsidRDefault="00FA2BC1" w:rsidP="003F2FEB">
      <w:pPr>
        <w:rPr>
          <w:lang w:val="en-US"/>
        </w:rPr>
      </w:pPr>
    </w:p>
    <w:p w:rsidR="003F2FEB" w:rsidRPr="00FA2BC1" w:rsidRDefault="003F2FEB" w:rsidP="003F2FEB">
      <w:pPr>
        <w:rPr>
          <w:lang w:val="en-US"/>
        </w:rPr>
      </w:pPr>
    </w:p>
    <w:p w:rsidR="00FA2BC1" w:rsidRPr="003F2FEB" w:rsidRDefault="00FA2BC1" w:rsidP="003F2FEB">
      <w:pPr>
        <w:pStyle w:val="AnnexNoTitle"/>
        <w:rPr>
          <w:lang w:val="en-US"/>
        </w:rPr>
      </w:pPr>
      <w:r w:rsidRPr="003F2FEB">
        <w:rPr>
          <w:lang w:val="en-US"/>
        </w:rPr>
        <w:t>Annex 1</w:t>
      </w:r>
      <w:r w:rsidR="003F2FEB" w:rsidRPr="003F2FEB">
        <w:rPr>
          <w:lang w:val="en-US"/>
        </w:rPr>
        <w:br/>
      </w:r>
      <w:r w:rsidR="003F2FEB" w:rsidRPr="003F2FEB">
        <w:rPr>
          <w:lang w:val="en-US"/>
        </w:rPr>
        <w:br/>
      </w:r>
      <w:r w:rsidRPr="003F2FEB">
        <w:rPr>
          <w:lang w:val="en-US"/>
        </w:rPr>
        <w:t>Performance requirements for the production, international exchange</w:t>
      </w:r>
      <w:r w:rsidRPr="003F2FEB">
        <w:rPr>
          <w:lang w:val="en-US"/>
        </w:rPr>
        <w:br/>
        <w:t>and broadcasting of 3DTV programmes</w:t>
      </w:r>
    </w:p>
    <w:p w:rsidR="00FA2BC1" w:rsidRPr="00C00E89" w:rsidRDefault="00FA2BC1" w:rsidP="003F2FEB">
      <w:pPr>
        <w:pStyle w:val="Normalaftertitle"/>
        <w:rPr>
          <w:lang w:val="en-US" w:eastAsia="zh-CN"/>
        </w:rPr>
      </w:pPr>
      <w:r w:rsidRPr="00C00E89">
        <w:rPr>
          <w:lang w:val="en-US" w:eastAsia="zh-CN"/>
        </w:rPr>
        <w:t>The performance requirements and criteria listed below should be taken into account when determining the appropriate technologies for a 3DTV broadcasting system.</w:t>
      </w:r>
    </w:p>
    <w:p w:rsidR="00FA2BC1" w:rsidRPr="00FA2BC1" w:rsidRDefault="00FA2BC1" w:rsidP="003F2FEB">
      <w:pPr>
        <w:rPr>
          <w:lang w:val="en-US"/>
        </w:rPr>
      </w:pPr>
      <w:r w:rsidRPr="00FA2BC1">
        <w:rPr>
          <w:lang w:val="en-US"/>
        </w:rPr>
        <w:t>1</w:t>
      </w:r>
      <w:r w:rsidRPr="00FA2BC1">
        <w:rPr>
          <w:lang w:val="en-US"/>
        </w:rPr>
        <w:tab/>
        <w:t>The viewing experience provided by a 3DTV broadcasting service should be at least equal to, and preferably represent an improvement over, the experience provided by full-quality monoscopic broadcasting without being inferior to it in any aspect.</w:t>
      </w:r>
    </w:p>
    <w:p w:rsidR="00FA2BC1" w:rsidRPr="00FA2BC1" w:rsidRDefault="00FA2BC1" w:rsidP="00FA2BC1">
      <w:pPr>
        <w:rPr>
          <w:lang w:val="en-US"/>
        </w:rPr>
      </w:pPr>
      <w:r w:rsidRPr="00FA2BC1">
        <w:rPr>
          <w:lang w:val="en-US"/>
        </w:rPr>
        <w:t>2</w:t>
      </w:r>
      <w:r w:rsidRPr="00FA2BC1">
        <w:rPr>
          <w:lang w:val="en-US"/>
        </w:rPr>
        <w:tab/>
        <w:t>The use of existing technical solutions should be encouraged where feasible, when identifying optimal specifications for a 3DTV television programme production and broadcasting system based on existing ITU-R Recommendations.</w:t>
      </w:r>
    </w:p>
    <w:p w:rsidR="00FA2BC1" w:rsidRPr="00FA2BC1" w:rsidRDefault="00FA2BC1" w:rsidP="007D44BC">
      <w:pPr>
        <w:rPr>
          <w:lang w:val="en-US"/>
        </w:rPr>
      </w:pPr>
      <w:r w:rsidRPr="00FA2BC1">
        <w:rPr>
          <w:lang w:val="en-US"/>
        </w:rPr>
        <w:t>3</w:t>
      </w:r>
      <w:r w:rsidRPr="00FA2BC1">
        <w:rPr>
          <w:lang w:val="en-US"/>
        </w:rPr>
        <w:tab/>
      </w:r>
      <w:r w:rsidR="007D44BC">
        <w:rPr>
          <w:lang w:val="en-US"/>
        </w:rPr>
        <w:t>F</w:t>
      </w:r>
      <w:bookmarkStart w:id="3" w:name="_GoBack"/>
      <w:bookmarkEnd w:id="3"/>
      <w:r w:rsidRPr="00FA2BC1">
        <w:rPr>
          <w:lang w:val="en-US"/>
        </w:rPr>
        <w:t>or the production of 3DTV television programmes for international exchange:</w:t>
      </w:r>
    </w:p>
    <w:p w:rsidR="00FA2BC1" w:rsidRPr="00FA2BC1" w:rsidRDefault="00FA2BC1" w:rsidP="00FA2BC1">
      <w:pPr>
        <w:pStyle w:val="enumlev1"/>
        <w:spacing w:before="120"/>
        <w:rPr>
          <w:lang w:val="en-US"/>
        </w:rPr>
      </w:pPr>
      <w:r w:rsidRPr="00FA2BC1">
        <w:rPr>
          <w:lang w:val="en-US"/>
        </w:rPr>
        <w:t>–</w:t>
      </w:r>
      <w:r w:rsidRPr="00FA2BC1">
        <w:rPr>
          <w:lang w:val="en-US"/>
        </w:rPr>
        <w:tab/>
        <w:t>it is desirable that there is a single set of image and sound specifications for each ITU-R television system used for the production of 3DTV television programmes for international exchange;</w:t>
      </w:r>
    </w:p>
    <w:p w:rsidR="00FA2BC1" w:rsidRPr="00FA2BC1" w:rsidRDefault="00FA2BC1" w:rsidP="00FA2BC1">
      <w:pPr>
        <w:pStyle w:val="enumlev1"/>
        <w:spacing w:before="120"/>
        <w:rPr>
          <w:lang w:val="en-US" w:eastAsia="zh-CN"/>
        </w:rPr>
      </w:pPr>
      <w:r w:rsidRPr="00FA2BC1">
        <w:rPr>
          <w:lang w:val="en-US"/>
        </w:rPr>
        <w:t>–</w:t>
      </w:r>
      <w:r w:rsidRPr="00FA2BC1">
        <w:rPr>
          <w:lang w:val="en-US"/>
        </w:rPr>
        <w:tab/>
        <w:t>it is important for broadcasters, programme producers and distributors to use audio and video systems selected among those that provide the best technical and perceptual sound and picture quality, thus preserving the value and technical quality of their programmes in view of their future re-use;</w:t>
      </w:r>
      <w:r w:rsidRPr="00FA2BC1">
        <w:rPr>
          <w:lang w:val="en-US" w:eastAsia="zh-CN"/>
        </w:rPr>
        <w:t xml:space="preserve"> </w:t>
      </w:r>
    </w:p>
    <w:p w:rsidR="00FA2BC1" w:rsidRPr="00FA2BC1" w:rsidRDefault="00FA2BC1" w:rsidP="00FA2BC1">
      <w:pPr>
        <w:pStyle w:val="enumlev1"/>
        <w:spacing w:before="120"/>
        <w:rPr>
          <w:lang w:val="en-US" w:eastAsia="zh-CN"/>
        </w:rPr>
      </w:pPr>
      <w:r w:rsidRPr="00FA2BC1">
        <w:rPr>
          <w:lang w:val="en-US" w:eastAsia="zh-CN"/>
        </w:rPr>
        <w:t>–</w:t>
      </w:r>
      <w:r w:rsidRPr="00FA2BC1">
        <w:rPr>
          <w:lang w:val="en-US" w:eastAsia="zh-CN"/>
        </w:rPr>
        <w:tab/>
        <w:t>it would be beneficial if programmes produced for 3DTV television broadcasting could be easily adapted for broadcasting as monoscopic programmes without a loss other than depth information, at a technical quality adequate to those forms of distribution.</w:t>
      </w:r>
    </w:p>
    <w:p w:rsidR="00FA2BC1" w:rsidRPr="00FA2BC1" w:rsidRDefault="00FA2BC1" w:rsidP="00FA2BC1">
      <w:pPr>
        <w:rPr>
          <w:lang w:val="en-US" w:eastAsia="zh-CN"/>
        </w:rPr>
      </w:pPr>
      <w:r w:rsidRPr="00FA2BC1">
        <w:rPr>
          <w:lang w:val="en-US" w:eastAsia="zh-CN"/>
        </w:rPr>
        <w:t>4</w:t>
      </w:r>
      <w:r w:rsidRPr="00FA2BC1">
        <w:rPr>
          <w:lang w:val="en-US" w:eastAsia="zh-CN"/>
        </w:rPr>
        <w:tab/>
        <w:t>For the broadcasting of 3DTV television programmes to the general public:</w:t>
      </w:r>
    </w:p>
    <w:p w:rsidR="00FA2BC1" w:rsidRPr="00FA2BC1" w:rsidRDefault="00FA2BC1" w:rsidP="00FA2BC1">
      <w:pPr>
        <w:pStyle w:val="enumlev1"/>
        <w:spacing w:before="120"/>
        <w:rPr>
          <w:lang w:val="en-US" w:eastAsia="zh-CN"/>
        </w:rPr>
      </w:pPr>
      <w:r w:rsidRPr="00FA2BC1">
        <w:rPr>
          <w:lang w:val="en-US" w:eastAsia="zh-CN"/>
        </w:rPr>
        <w:t>–</w:t>
      </w:r>
      <w:r w:rsidRPr="00FA2BC1">
        <w:rPr>
          <w:lang w:val="en-US" w:eastAsia="zh-CN"/>
        </w:rPr>
        <w:tab/>
        <w:t>a certain degree of backward interoperability of a new 3DTV broadcasting service with existing digital television broadcasting services should desirably be preserved</w:t>
      </w:r>
      <w:r w:rsidRPr="00637588">
        <w:rPr>
          <w:rStyle w:val="FootnoteReference"/>
          <w:lang w:eastAsia="zh-CN"/>
        </w:rPr>
        <w:footnoteReference w:id="3"/>
      </w:r>
      <w:r w:rsidRPr="00FA2BC1">
        <w:rPr>
          <w:lang w:val="en-US" w:eastAsia="zh-CN"/>
        </w:rPr>
        <w:t xml:space="preserve">; </w:t>
      </w:r>
    </w:p>
    <w:p w:rsidR="00FA2BC1" w:rsidRPr="00FA2BC1" w:rsidRDefault="00FA2BC1" w:rsidP="003F2FEB">
      <w:pPr>
        <w:pStyle w:val="enumlev1"/>
        <w:keepNext/>
        <w:keepLines/>
        <w:spacing w:before="120"/>
        <w:rPr>
          <w:lang w:val="en-US"/>
        </w:rPr>
      </w:pPr>
      <w:r w:rsidRPr="00FA2BC1">
        <w:rPr>
          <w:lang w:val="en-US" w:eastAsia="zh-CN"/>
        </w:rPr>
        <w:lastRenderedPageBreak/>
        <w:t>–</w:t>
      </w:r>
      <w:r w:rsidRPr="00FA2BC1">
        <w:rPr>
          <w:lang w:val="en-US" w:eastAsia="zh-CN"/>
        </w:rPr>
        <w:tab/>
        <w:t xml:space="preserve">in the current scarcity of broadcast spectrum, the source coding and the channel coding used for the emission of a 3DTV television broadcasting system should make efficient use of channel capacity and spectrum, with the aim to </w:t>
      </w:r>
      <w:r w:rsidRPr="00FA2BC1">
        <w:rPr>
          <w:lang w:val="en-US"/>
        </w:rPr>
        <w:t>accommodate the highest possible quality 3DTV broadcasting service within the emission bandwidths and channel capacity currently allocated to terrestrial and satellite broadcasting services;</w:t>
      </w:r>
    </w:p>
    <w:p w:rsidR="00FA2BC1" w:rsidRPr="00FA2BC1" w:rsidRDefault="00FA2BC1" w:rsidP="00FA2BC1">
      <w:pPr>
        <w:pStyle w:val="enumlev1"/>
        <w:spacing w:before="120"/>
        <w:rPr>
          <w:lang w:val="en-US"/>
        </w:rPr>
      </w:pPr>
      <w:r w:rsidRPr="00FA2BC1">
        <w:rPr>
          <w:lang w:val="en-US"/>
        </w:rPr>
        <w:t>–</w:t>
      </w:r>
      <w:r w:rsidRPr="00FA2BC1">
        <w:rPr>
          <w:lang w:val="en-US"/>
        </w:rPr>
        <w:tab/>
        <w:t>in the case of a 3DTV broadcasting system that is intended to allow for the compatible reception of monoscopic signals, the additional signal coding required to convey the extra information needed for 3DTV should as far as possible, cause no perceivable degradation to the monoscopic television presentation.</w:t>
      </w:r>
    </w:p>
    <w:p w:rsidR="00FA2BC1" w:rsidRPr="00FA2BC1" w:rsidRDefault="00FA2BC1" w:rsidP="00FA2BC1">
      <w:pPr>
        <w:pStyle w:val="enumlev1"/>
        <w:spacing w:before="120"/>
        <w:rPr>
          <w:lang w:val="en-US"/>
        </w:rPr>
      </w:pPr>
    </w:p>
    <w:p w:rsidR="00A6617B" w:rsidRPr="00FA2BC1" w:rsidRDefault="00FA2BC1" w:rsidP="003F2FEB">
      <w:pPr>
        <w:jc w:val="center"/>
        <w:rPr>
          <w:lang w:val="en-US"/>
        </w:rPr>
      </w:pPr>
      <w:r>
        <w:t>_______________</w:t>
      </w:r>
    </w:p>
    <w:sectPr w:rsidR="00A6617B" w:rsidRPr="00FA2BC1" w:rsidSect="006F7CA4">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BC1" w:rsidRDefault="00FA2BC1">
      <w:r>
        <w:separator/>
      </w:r>
    </w:p>
  </w:endnote>
  <w:endnote w:type="continuationSeparator" w:id="0">
    <w:p w:rsidR="00FA2BC1" w:rsidRDefault="00FA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BC1" w:rsidRDefault="00FA2BC1">
      <w:r>
        <w:separator/>
      </w:r>
    </w:p>
  </w:footnote>
  <w:footnote w:type="continuationSeparator" w:id="0">
    <w:p w:rsidR="00FA2BC1" w:rsidRDefault="00FA2BC1">
      <w:r>
        <w:continuationSeparator/>
      </w:r>
    </w:p>
  </w:footnote>
  <w:footnote w:id="1">
    <w:p w:rsidR="00227DCF" w:rsidRPr="00FA2BC1" w:rsidRDefault="00227DCF" w:rsidP="00227DCF">
      <w:pPr>
        <w:pStyle w:val="FootnoteText"/>
        <w:rPr>
          <w:lang w:val="en-US"/>
        </w:rPr>
      </w:pPr>
      <w:r>
        <w:rPr>
          <w:rStyle w:val="FootnoteReference"/>
        </w:rPr>
        <w:footnoteRef/>
      </w:r>
      <w:r w:rsidRPr="00FA2BC1">
        <w:rPr>
          <w:lang w:val="en-US"/>
        </w:rPr>
        <w:tab/>
        <w:t>In the context of this Recommendation</w:t>
      </w:r>
      <w:r w:rsidR="00C00E89">
        <w:rPr>
          <w:lang w:val="en-US"/>
        </w:rPr>
        <w:t>,</w:t>
      </w:r>
      <w:r w:rsidRPr="00FA2BC1">
        <w:rPr>
          <w:lang w:val="en-US"/>
        </w:rPr>
        <w:t xml:space="preserve"> the term 3DTV is used to convey a stereoscopic image or image pair.</w:t>
      </w:r>
    </w:p>
  </w:footnote>
  <w:footnote w:id="2">
    <w:p w:rsidR="00FA2BC1" w:rsidRPr="005E3DDF" w:rsidRDefault="00FA2BC1" w:rsidP="00FA2BC1">
      <w:pPr>
        <w:pStyle w:val="FootnoteText"/>
        <w:rPr>
          <w:lang w:val="en-US"/>
        </w:rPr>
      </w:pPr>
      <w:r>
        <w:rPr>
          <w:rStyle w:val="FootnoteReference"/>
        </w:rPr>
        <w:footnoteRef/>
      </w:r>
      <w:r w:rsidRPr="00FA2BC1">
        <w:rPr>
          <w:lang w:val="en-US"/>
        </w:rPr>
        <w:tab/>
      </w:r>
      <w:r>
        <w:rPr>
          <w:lang w:val="en-US"/>
        </w:rPr>
        <w:t>Binocular vision can vary depending on the physical characteristics of individual viewers.</w:t>
      </w:r>
    </w:p>
  </w:footnote>
  <w:footnote w:id="3">
    <w:p w:rsidR="00FA2BC1" w:rsidRPr="00FA2BC1" w:rsidRDefault="00FA2BC1" w:rsidP="00FA2BC1">
      <w:pPr>
        <w:pStyle w:val="FootnoteText"/>
        <w:tabs>
          <w:tab w:val="clear" w:pos="255"/>
          <w:tab w:val="left" w:pos="284"/>
        </w:tabs>
        <w:rPr>
          <w:lang w:val="en-US"/>
        </w:rPr>
      </w:pPr>
      <w:r>
        <w:rPr>
          <w:rStyle w:val="FootnoteReference"/>
        </w:rPr>
        <w:footnoteRef/>
      </w:r>
      <w:r w:rsidRPr="00FA2BC1">
        <w:rPr>
          <w:lang w:val="en-US"/>
        </w:rPr>
        <w:tab/>
        <w:t>This is likely to be the overriding consideration in the initial phase of introduction of a 3DTV television broadcasting service.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BC1" w:rsidRDefault="00FA2B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BC1" w:rsidRDefault="00FA2BC1" w:rsidP="00B033C8">
    <w:pPr>
      <w:pStyle w:val="Header"/>
      <w:ind w:right="360" w:firstLine="360"/>
    </w:pPr>
    <w:r>
      <w:rPr>
        <w:noProof/>
        <w:lang w:val="en-US" w:eastAsia="zh-CN"/>
      </w:rPr>
      <w:drawing>
        <wp:anchor distT="0" distB="0" distL="114300" distR="114300" simplePos="0" relativeHeight="251659264" behindDoc="1" locked="0" layoutInCell="1" allowOverlap="1" wp14:anchorId="20576A0B" wp14:editId="548BF40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BC1" w:rsidRPr="000F6905" w:rsidRDefault="00FA2BC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7D44BC">
      <w:rPr>
        <w:rStyle w:val="PageNumber"/>
        <w:b/>
        <w:bCs/>
        <w:noProof/>
      </w:rPr>
      <w:t>ii</w:t>
    </w:r>
    <w:r>
      <w:rPr>
        <w:rStyle w:val="PageNumber"/>
        <w:b/>
        <w:bCs/>
      </w:rPr>
      <w:fldChar w:fldCharType="end"/>
    </w:r>
    <w:r w:rsidRPr="000F6905">
      <w:tab/>
    </w:r>
    <w:r w:rsidR="007D44BC">
      <w:fldChar w:fldCharType="begin"/>
    </w:r>
    <w:r w:rsidR="007D44BC">
      <w:instrText xml:space="preserve"> DOCPROPERTY "Header" \* MERGEFORMAT </w:instrText>
    </w:r>
    <w:r w:rsidR="007D44BC">
      <w:fldChar w:fldCharType="separate"/>
    </w:r>
    <w:r w:rsidR="0021740A" w:rsidRPr="0021740A">
      <w:rPr>
        <w:b/>
        <w:bCs/>
      </w:rPr>
      <w:t xml:space="preserve">Rec. </w:t>
    </w:r>
    <w:r w:rsidR="007D44BC">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7D44BC">
      <w:rPr>
        <w:b/>
        <w:bCs/>
        <w:noProof/>
      </w:rPr>
      <w:t>ITU-R  BT.2023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BC1" w:rsidRDefault="00FA2BC1">
    <w:pPr>
      <w:pStyle w:val="Header"/>
    </w:pPr>
    <w:r>
      <w:tab/>
    </w:r>
    <w:r w:rsidR="007D44BC">
      <w:fldChar w:fldCharType="begin"/>
    </w:r>
    <w:r w:rsidR="007D44BC">
      <w:instrText xml:space="preserve"> DOCPROPERTY "Header" \* MERGEFORMAT </w:instrText>
    </w:r>
    <w:r w:rsidR="007D44BC">
      <w:fldChar w:fldCharType="separate"/>
    </w:r>
    <w:r w:rsidR="0021740A" w:rsidRPr="0021740A">
      <w:rPr>
        <w:b/>
        <w:bCs/>
      </w:rPr>
      <w:t xml:space="preserve">Rec. </w:t>
    </w:r>
    <w:r w:rsidR="007D44BC">
      <w:rPr>
        <w:b/>
        <w:bCs/>
      </w:rPr>
      <w:fldChar w:fldCharType="end"/>
    </w:r>
    <w:r>
      <w:rPr>
        <w:b/>
        <w:bCs/>
      </w:rPr>
      <w:t xml:space="preserve"> </w:t>
    </w:r>
    <w:r>
      <w:rPr>
        <w:b/>
        <w:bCs/>
      </w:rPr>
      <w:fldChar w:fldCharType="begin"/>
    </w:r>
    <w:r>
      <w:rPr>
        <w:b/>
        <w:bCs/>
      </w:rPr>
      <w:instrText>styleref href</w:instrText>
    </w:r>
    <w:r>
      <w:rPr>
        <w:b/>
        <w:bCs/>
      </w:rPr>
      <w:fldChar w:fldCharType="separate"/>
    </w:r>
    <w:r w:rsidR="0021740A">
      <w:rPr>
        <w:b/>
        <w:bCs/>
        <w:noProof/>
      </w:rPr>
      <w:t>ITU-R  BT.2023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D44B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1740A" w:rsidRPr="0021740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D44BC">
      <w:rPr>
        <w:b/>
        <w:bCs/>
        <w:noProof/>
      </w:rPr>
      <w:t>ITU-R  BT.2023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7D44BC">
      <w:fldChar w:fldCharType="begin"/>
    </w:r>
    <w:r w:rsidR="007D44BC">
      <w:instrText xml:space="preserve"> DOCPROPERTY "Header" \* MERGEFORMAT </w:instrText>
    </w:r>
    <w:r w:rsidR="007D44BC">
      <w:fldChar w:fldCharType="separate"/>
    </w:r>
    <w:r w:rsidR="0021740A" w:rsidRPr="0021740A">
      <w:rPr>
        <w:b/>
        <w:bCs/>
      </w:rPr>
      <w:t xml:space="preserve">Rec. </w:t>
    </w:r>
    <w:r w:rsidR="007D44BC">
      <w:rPr>
        <w:b/>
        <w:bCs/>
      </w:rPr>
      <w:fldChar w:fldCharType="end"/>
    </w:r>
    <w:r>
      <w:rPr>
        <w:b/>
        <w:bCs/>
      </w:rPr>
      <w:t xml:space="preserve"> </w:t>
    </w:r>
    <w:r>
      <w:rPr>
        <w:b/>
        <w:bCs/>
      </w:rPr>
      <w:fldChar w:fldCharType="begin"/>
    </w:r>
    <w:r>
      <w:rPr>
        <w:b/>
        <w:bCs/>
      </w:rPr>
      <w:instrText>styleref href</w:instrText>
    </w:r>
    <w:r>
      <w:rPr>
        <w:b/>
        <w:bCs/>
      </w:rPr>
      <w:fldChar w:fldCharType="separate"/>
    </w:r>
    <w:r w:rsidR="007D44BC">
      <w:rPr>
        <w:b/>
        <w:bCs/>
        <w:noProof/>
      </w:rPr>
      <w:t>ITU-R  BT.2023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44B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BC1"/>
    <w:rsid w:val="0021740A"/>
    <w:rsid w:val="00217EBF"/>
    <w:rsid w:val="00227DCF"/>
    <w:rsid w:val="00242AEE"/>
    <w:rsid w:val="002D76C4"/>
    <w:rsid w:val="003F2FEB"/>
    <w:rsid w:val="0052529D"/>
    <w:rsid w:val="00607D68"/>
    <w:rsid w:val="006F7CA4"/>
    <w:rsid w:val="007468DA"/>
    <w:rsid w:val="007D44BC"/>
    <w:rsid w:val="009E00A8"/>
    <w:rsid w:val="00A6617B"/>
    <w:rsid w:val="00AB0DC8"/>
    <w:rsid w:val="00B44E24"/>
    <w:rsid w:val="00C00E89"/>
    <w:rsid w:val="00DF4176"/>
    <w:rsid w:val="00FA2B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2B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27DCF"/>
    <w:pPr>
      <w:spacing w:before="240"/>
      <w:jc w:val="left"/>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A2BC1"/>
    <w:rPr>
      <w:color w:val="0000FF"/>
      <w:u w:val="single"/>
    </w:rPr>
  </w:style>
  <w:style w:type="character" w:customStyle="1" w:styleId="FootnoteTextChar">
    <w:name w:val="Footnote Text Char"/>
    <w:basedOn w:val="DefaultParagraphFont"/>
    <w:link w:val="FootnoteText"/>
    <w:uiPriority w:val="99"/>
    <w:rsid w:val="00FA2BC1"/>
    <w:rPr>
      <w:sz w:val="22"/>
      <w:lang w:val="fr-FR" w:eastAsia="en-US"/>
    </w:rPr>
  </w:style>
  <w:style w:type="character" w:customStyle="1" w:styleId="CallChar">
    <w:name w:val="Call Char"/>
    <w:link w:val="Call"/>
    <w:uiPriority w:val="99"/>
    <w:rsid w:val="00FA2BC1"/>
    <w:rPr>
      <w:i/>
      <w:sz w:val="24"/>
      <w:lang w:val="fr-FR" w:eastAsia="en-US"/>
    </w:rPr>
  </w:style>
  <w:style w:type="character" w:customStyle="1" w:styleId="enumlev1Char">
    <w:name w:val="enumlev1 Char"/>
    <w:link w:val="enumlev1"/>
    <w:rsid w:val="00FA2BC1"/>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2B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27DCF"/>
    <w:pPr>
      <w:spacing w:before="240"/>
      <w:jc w:val="left"/>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A2BC1"/>
    <w:rPr>
      <w:color w:val="0000FF"/>
      <w:u w:val="single"/>
    </w:rPr>
  </w:style>
  <w:style w:type="character" w:customStyle="1" w:styleId="FootnoteTextChar">
    <w:name w:val="Footnote Text Char"/>
    <w:basedOn w:val="DefaultParagraphFont"/>
    <w:link w:val="FootnoteText"/>
    <w:uiPriority w:val="99"/>
    <w:rsid w:val="00FA2BC1"/>
    <w:rPr>
      <w:sz w:val="22"/>
      <w:lang w:val="fr-FR" w:eastAsia="en-US"/>
    </w:rPr>
  </w:style>
  <w:style w:type="character" w:customStyle="1" w:styleId="CallChar">
    <w:name w:val="Call Char"/>
    <w:link w:val="Call"/>
    <w:uiPriority w:val="99"/>
    <w:rsid w:val="00FA2BC1"/>
    <w:rPr>
      <w:i/>
      <w:sz w:val="24"/>
      <w:lang w:val="fr-FR" w:eastAsia="en-US"/>
    </w:rPr>
  </w:style>
  <w:style w:type="character" w:customStyle="1" w:styleId="enumlev1Char">
    <w:name w:val="enumlev1 Char"/>
    <w:link w:val="enumlev1"/>
    <w:rsid w:val="00FA2BC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5</Pages>
  <Words>1109</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7</cp:revision>
  <cp:lastPrinted>2005-02-10T15:54:00Z</cp:lastPrinted>
  <dcterms:created xsi:type="dcterms:W3CDTF">2012-06-28T08:18:00Z</dcterms:created>
  <dcterms:modified xsi:type="dcterms:W3CDTF">2012-07-18T05:24:00Z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