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652E" w:rsidRPr="004203DA" w:rsidRDefault="002F652E" w:rsidP="009E1F8B">
      <w:bookmarkStart w:id="0" w:name="dbreak"/>
      <w:bookmarkEnd w:id="0"/>
    </w:p>
    <w:p w:rsidR="002F652E" w:rsidRPr="004203DA" w:rsidRDefault="002F652E" w:rsidP="009E1F8B"/>
    <w:p w:rsidR="002F652E" w:rsidRPr="004203DA" w:rsidRDefault="002F652E" w:rsidP="009E1F8B"/>
    <w:p w:rsidR="002F652E" w:rsidRPr="004203DA" w:rsidRDefault="002F652E" w:rsidP="009E1F8B"/>
    <w:p w:rsidR="002F652E" w:rsidRPr="004203DA" w:rsidRDefault="002F652E" w:rsidP="009E1F8B"/>
    <w:p w:rsidR="002F652E" w:rsidRPr="004203DA" w:rsidRDefault="002F652E" w:rsidP="009E1F8B"/>
    <w:p w:rsidR="002F652E" w:rsidRPr="004203DA" w:rsidRDefault="002F652E" w:rsidP="009E1F8B"/>
    <w:p w:rsidR="002F652E" w:rsidRPr="004203DA" w:rsidRDefault="002F652E" w:rsidP="009E1F8B"/>
    <w:p w:rsidR="002F652E" w:rsidRPr="004203DA" w:rsidRDefault="002F652E" w:rsidP="009E1F8B"/>
    <w:p w:rsidR="002F652E" w:rsidRPr="004203DA" w:rsidRDefault="002F652E" w:rsidP="009E1F8B"/>
    <w:p w:rsidR="002F652E" w:rsidRPr="004203DA" w:rsidRDefault="002F652E" w:rsidP="009E1F8B"/>
    <w:tbl>
      <w:tblPr>
        <w:tblW w:w="10089" w:type="dxa"/>
        <w:tblLook w:val="01E0" w:firstRow="1" w:lastRow="1" w:firstColumn="1" w:lastColumn="1" w:noHBand="0" w:noVBand="0"/>
      </w:tblPr>
      <w:tblGrid>
        <w:gridCol w:w="10089"/>
      </w:tblGrid>
      <w:tr w:rsidR="002F652E" w:rsidRPr="004203DA" w:rsidTr="009E1F8B">
        <w:tc>
          <w:tcPr>
            <w:tcW w:w="10089" w:type="dxa"/>
          </w:tcPr>
          <w:p w:rsidR="002F652E" w:rsidRPr="004203DA" w:rsidRDefault="002F652E" w:rsidP="009E1F8B">
            <w:pPr>
              <w:spacing w:before="380" w:line="280" w:lineRule="exact"/>
              <w:jc w:val="right"/>
              <w:rPr>
                <w:rFonts w:ascii="Tahoma" w:hAnsi="Tahoma" w:cs="Tahoma"/>
                <w:b/>
                <w:bCs/>
                <w:iCs/>
                <w:color w:val="243285"/>
                <w:sz w:val="32"/>
                <w:szCs w:val="32"/>
              </w:rPr>
            </w:pPr>
          </w:p>
          <w:p w:rsidR="002F652E" w:rsidRPr="004203DA" w:rsidRDefault="002F652E" w:rsidP="004156D2">
            <w:pPr>
              <w:spacing w:before="380" w:line="280" w:lineRule="exact"/>
              <w:jc w:val="right"/>
              <w:rPr>
                <w:rFonts w:ascii="Tahoma" w:hAnsi="Tahoma" w:cs="Tahoma"/>
                <w:b/>
                <w:bCs/>
                <w:iCs/>
                <w:color w:val="243285"/>
                <w:sz w:val="36"/>
                <w:szCs w:val="36"/>
              </w:rPr>
            </w:pPr>
            <w:r w:rsidRPr="004203DA">
              <w:rPr>
                <w:rFonts w:ascii="Tahoma" w:hAnsi="Tahoma" w:cs="Tahoma"/>
                <w:b/>
                <w:bCs/>
                <w:iCs/>
                <w:color w:val="243285"/>
                <w:sz w:val="36"/>
                <w:szCs w:val="36"/>
              </w:rPr>
              <w:t>Recomendación  UIT-R  BT.</w:t>
            </w:r>
            <w:r w:rsidR="00241BD4" w:rsidRPr="004203DA">
              <w:rPr>
                <w:rFonts w:ascii="Tahoma" w:hAnsi="Tahoma" w:cs="Tahoma"/>
                <w:b/>
                <w:bCs/>
                <w:iCs/>
                <w:color w:val="243285"/>
                <w:sz w:val="36"/>
                <w:szCs w:val="36"/>
              </w:rPr>
              <w:t>2022</w:t>
            </w:r>
          </w:p>
          <w:p w:rsidR="002F652E" w:rsidRPr="004203DA" w:rsidRDefault="002F652E" w:rsidP="009E1F8B">
            <w:pPr>
              <w:spacing w:before="80" w:line="280" w:lineRule="exact"/>
              <w:jc w:val="right"/>
              <w:rPr>
                <w:rFonts w:ascii="Tahoma" w:hAnsi="Tahoma" w:cs="Tahoma"/>
                <w:b/>
                <w:bCs/>
                <w:iCs/>
                <w:color w:val="243285"/>
                <w:szCs w:val="24"/>
              </w:rPr>
            </w:pPr>
            <w:r w:rsidRPr="004203DA">
              <w:rPr>
                <w:rFonts w:ascii="Tahoma" w:hAnsi="Tahoma" w:cs="Tahoma"/>
                <w:b/>
                <w:bCs/>
                <w:iCs/>
                <w:color w:val="243285"/>
                <w:szCs w:val="24"/>
              </w:rPr>
              <w:t>(0</w:t>
            </w:r>
            <w:r w:rsidR="00241BD4" w:rsidRPr="004203DA">
              <w:rPr>
                <w:rFonts w:ascii="Tahoma" w:hAnsi="Tahoma" w:cs="Tahoma"/>
                <w:b/>
                <w:bCs/>
                <w:iCs/>
                <w:color w:val="243285"/>
                <w:szCs w:val="24"/>
              </w:rPr>
              <w:t>8</w:t>
            </w:r>
            <w:r w:rsidRPr="004203DA">
              <w:rPr>
                <w:rFonts w:ascii="Tahoma" w:hAnsi="Tahoma" w:cs="Tahoma"/>
                <w:b/>
                <w:bCs/>
                <w:iCs/>
                <w:color w:val="243285"/>
                <w:szCs w:val="24"/>
              </w:rPr>
              <w:t>/</w:t>
            </w:r>
            <w:r w:rsidR="00241BD4" w:rsidRPr="004203DA">
              <w:rPr>
                <w:rFonts w:ascii="Tahoma" w:hAnsi="Tahoma" w:cs="Tahoma"/>
                <w:b/>
                <w:bCs/>
                <w:iCs/>
                <w:color w:val="243285"/>
                <w:szCs w:val="24"/>
              </w:rPr>
              <w:t>2012</w:t>
            </w:r>
            <w:r w:rsidRPr="004203DA">
              <w:rPr>
                <w:rFonts w:ascii="Tahoma" w:hAnsi="Tahoma" w:cs="Tahoma"/>
                <w:b/>
                <w:bCs/>
                <w:iCs/>
                <w:color w:val="243285"/>
                <w:szCs w:val="24"/>
              </w:rPr>
              <w:t>)</w:t>
            </w:r>
          </w:p>
        </w:tc>
      </w:tr>
      <w:tr w:rsidR="002F652E" w:rsidRPr="004203DA" w:rsidTr="009E1F8B">
        <w:tc>
          <w:tcPr>
            <w:tcW w:w="10089" w:type="dxa"/>
          </w:tcPr>
          <w:p w:rsidR="002F652E" w:rsidRPr="004203DA" w:rsidRDefault="002F652E" w:rsidP="009E1F8B">
            <w:pPr>
              <w:spacing w:before="80" w:line="500" w:lineRule="exact"/>
              <w:jc w:val="right"/>
              <w:rPr>
                <w:rFonts w:ascii="Tahoma" w:hAnsi="Tahoma" w:cs="Tahoma"/>
                <w:b/>
                <w:bCs/>
                <w:iCs/>
                <w:color w:val="243285"/>
                <w:sz w:val="44"/>
                <w:szCs w:val="44"/>
              </w:rPr>
            </w:pPr>
          </w:p>
          <w:p w:rsidR="002F652E" w:rsidRPr="004203DA" w:rsidRDefault="00E36B78" w:rsidP="00D85A91">
            <w:pPr>
              <w:spacing w:before="80" w:line="500" w:lineRule="exact"/>
              <w:jc w:val="right"/>
              <w:rPr>
                <w:rFonts w:ascii="Tahoma" w:hAnsi="Tahoma" w:cs="Tahoma"/>
                <w:b/>
                <w:bCs/>
                <w:color w:val="243285"/>
                <w:sz w:val="44"/>
                <w:szCs w:val="44"/>
              </w:rPr>
            </w:pPr>
            <w:r w:rsidRPr="004203DA">
              <w:rPr>
                <w:rFonts w:ascii="Tahoma" w:hAnsi="Tahoma" w:cs="Tahoma"/>
                <w:b/>
                <w:bCs/>
                <w:color w:val="243285"/>
                <w:sz w:val="44"/>
                <w:szCs w:val="44"/>
              </w:rPr>
              <w:t>Condiciones generales de observación</w:t>
            </w:r>
            <w:r w:rsidR="00D85A91">
              <w:rPr>
                <w:rFonts w:ascii="Tahoma" w:hAnsi="Tahoma" w:cs="Tahoma"/>
                <w:b/>
                <w:bCs/>
                <w:color w:val="243285"/>
                <w:sz w:val="44"/>
                <w:szCs w:val="44"/>
              </w:rPr>
              <w:t xml:space="preserve"> </w:t>
            </w:r>
            <w:r w:rsidRPr="004203DA">
              <w:rPr>
                <w:rFonts w:ascii="Tahoma" w:hAnsi="Tahoma" w:cs="Tahoma"/>
                <w:b/>
                <w:bCs/>
                <w:color w:val="243285"/>
                <w:sz w:val="44"/>
                <w:szCs w:val="44"/>
              </w:rPr>
              <w:t>para la evaluación subjetiva</w:t>
            </w:r>
            <w:r w:rsidR="00B9498D" w:rsidRPr="004203DA">
              <w:rPr>
                <w:rFonts w:ascii="Tahoma" w:hAnsi="Tahoma" w:cs="Tahoma"/>
                <w:b/>
                <w:bCs/>
                <w:color w:val="243285"/>
                <w:sz w:val="44"/>
                <w:szCs w:val="44"/>
              </w:rPr>
              <w:t xml:space="preserve"> de la</w:t>
            </w:r>
            <w:r w:rsidR="00D85A91">
              <w:rPr>
                <w:rFonts w:ascii="Tahoma" w:hAnsi="Tahoma" w:cs="Tahoma"/>
                <w:b/>
                <w:bCs/>
                <w:color w:val="243285"/>
                <w:sz w:val="44"/>
                <w:szCs w:val="44"/>
              </w:rPr>
              <w:t xml:space="preserve"> </w:t>
            </w:r>
            <w:r w:rsidRPr="004203DA">
              <w:rPr>
                <w:rFonts w:ascii="Tahoma" w:hAnsi="Tahoma" w:cs="Tahoma"/>
                <w:b/>
                <w:bCs/>
                <w:color w:val="243285"/>
                <w:sz w:val="44"/>
                <w:szCs w:val="44"/>
              </w:rPr>
              <w:t>calidad</w:t>
            </w:r>
            <w:r w:rsidR="00D85A91">
              <w:rPr>
                <w:rFonts w:ascii="Tahoma" w:hAnsi="Tahoma" w:cs="Tahoma"/>
                <w:b/>
                <w:bCs/>
                <w:color w:val="243285"/>
                <w:sz w:val="44"/>
                <w:szCs w:val="44"/>
              </w:rPr>
              <w:t xml:space="preserve"> </w:t>
            </w:r>
            <w:r w:rsidR="00D85A91">
              <w:rPr>
                <w:rFonts w:ascii="Tahoma" w:hAnsi="Tahoma" w:cs="Tahoma"/>
                <w:b/>
                <w:bCs/>
                <w:color w:val="243285"/>
                <w:sz w:val="44"/>
                <w:szCs w:val="44"/>
              </w:rPr>
              <w:br/>
              <w:t xml:space="preserve">de las </w:t>
            </w:r>
            <w:r w:rsidRPr="004203DA">
              <w:rPr>
                <w:rFonts w:ascii="Tahoma" w:hAnsi="Tahoma" w:cs="Tahoma"/>
                <w:b/>
                <w:bCs/>
                <w:color w:val="243285"/>
                <w:sz w:val="44"/>
                <w:szCs w:val="44"/>
              </w:rPr>
              <w:t>imágenes de TV</w:t>
            </w:r>
            <w:r w:rsidR="00D85A91">
              <w:rPr>
                <w:rFonts w:ascii="Tahoma" w:hAnsi="Tahoma" w:cs="Tahoma"/>
                <w:b/>
                <w:bCs/>
                <w:color w:val="243285"/>
                <w:sz w:val="44"/>
                <w:szCs w:val="44"/>
              </w:rPr>
              <w:t xml:space="preserve"> </w:t>
            </w:r>
            <w:r w:rsidRPr="004203DA">
              <w:rPr>
                <w:rFonts w:ascii="Tahoma" w:hAnsi="Tahoma" w:cs="Tahoma"/>
                <w:b/>
                <w:bCs/>
                <w:color w:val="243285"/>
                <w:sz w:val="44"/>
                <w:szCs w:val="44"/>
              </w:rPr>
              <w:t>de definición</w:t>
            </w:r>
            <w:r w:rsidR="00D85A91">
              <w:rPr>
                <w:rFonts w:ascii="Tahoma" w:hAnsi="Tahoma" w:cs="Tahoma"/>
                <w:b/>
                <w:bCs/>
                <w:color w:val="243285"/>
                <w:sz w:val="44"/>
                <w:szCs w:val="44"/>
              </w:rPr>
              <w:t xml:space="preserve"> </w:t>
            </w:r>
            <w:r w:rsidRPr="004203DA">
              <w:rPr>
                <w:rFonts w:ascii="Tahoma" w:hAnsi="Tahoma" w:cs="Tahoma"/>
                <w:b/>
                <w:bCs/>
                <w:color w:val="243285"/>
                <w:sz w:val="44"/>
                <w:szCs w:val="44"/>
              </w:rPr>
              <w:t>convencional</w:t>
            </w:r>
            <w:r w:rsidR="00D85A91">
              <w:rPr>
                <w:rFonts w:ascii="Tahoma" w:hAnsi="Tahoma" w:cs="Tahoma"/>
                <w:b/>
                <w:bCs/>
                <w:color w:val="243285"/>
                <w:sz w:val="44"/>
                <w:szCs w:val="44"/>
              </w:rPr>
              <w:t xml:space="preserve"> </w:t>
            </w:r>
            <w:r w:rsidR="00B9498D" w:rsidRPr="004203DA">
              <w:rPr>
                <w:rFonts w:ascii="Tahoma" w:hAnsi="Tahoma" w:cs="Tahoma"/>
                <w:b/>
                <w:bCs/>
                <w:color w:val="243285"/>
                <w:sz w:val="44"/>
                <w:szCs w:val="44"/>
              </w:rPr>
              <w:t>y</w:t>
            </w:r>
            <w:r w:rsidR="00D85A91">
              <w:rPr>
                <w:rFonts w:ascii="Tahoma" w:hAnsi="Tahoma" w:cs="Tahoma"/>
                <w:b/>
                <w:bCs/>
                <w:color w:val="243285"/>
                <w:sz w:val="44"/>
                <w:szCs w:val="44"/>
              </w:rPr>
              <w:t xml:space="preserve"> </w:t>
            </w:r>
            <w:r w:rsidRPr="004203DA">
              <w:rPr>
                <w:rFonts w:ascii="Tahoma" w:hAnsi="Tahoma" w:cs="Tahoma"/>
                <w:b/>
                <w:bCs/>
                <w:color w:val="243285"/>
                <w:sz w:val="44"/>
                <w:szCs w:val="44"/>
              </w:rPr>
              <w:t>de TVAD en</w:t>
            </w:r>
            <w:r w:rsidR="00D85A91">
              <w:rPr>
                <w:rFonts w:ascii="Tahoma" w:hAnsi="Tahoma" w:cs="Tahoma"/>
                <w:b/>
                <w:bCs/>
                <w:color w:val="243285"/>
                <w:sz w:val="44"/>
                <w:szCs w:val="44"/>
              </w:rPr>
              <w:t xml:space="preserve"> </w:t>
            </w:r>
            <w:r w:rsidRPr="004203DA">
              <w:rPr>
                <w:rFonts w:ascii="Tahoma" w:hAnsi="Tahoma" w:cs="Tahoma"/>
                <w:b/>
                <w:bCs/>
                <w:color w:val="243285"/>
                <w:sz w:val="44"/>
                <w:szCs w:val="44"/>
              </w:rPr>
              <w:t>monitores</w:t>
            </w:r>
            <w:r w:rsidR="00D85A91">
              <w:rPr>
                <w:rFonts w:ascii="Tahoma" w:hAnsi="Tahoma" w:cs="Tahoma"/>
                <w:b/>
                <w:bCs/>
                <w:color w:val="243285"/>
                <w:sz w:val="44"/>
                <w:szCs w:val="44"/>
              </w:rPr>
              <w:br/>
            </w:r>
            <w:r w:rsidRPr="004203DA">
              <w:rPr>
                <w:rFonts w:ascii="Tahoma" w:hAnsi="Tahoma" w:cs="Tahoma"/>
                <w:b/>
                <w:bCs/>
                <w:color w:val="243285"/>
                <w:sz w:val="44"/>
                <w:szCs w:val="44"/>
              </w:rPr>
              <w:t>de pantalla plana</w:t>
            </w:r>
          </w:p>
          <w:p w:rsidR="002F652E" w:rsidRPr="004203DA" w:rsidRDefault="002F652E" w:rsidP="009E1F8B">
            <w:pPr>
              <w:spacing w:before="80" w:line="500" w:lineRule="exact"/>
              <w:jc w:val="right"/>
              <w:rPr>
                <w:rFonts w:ascii="Tahoma" w:hAnsi="Tahoma" w:cs="Tahoma"/>
                <w:b/>
                <w:bCs/>
                <w:iCs/>
                <w:color w:val="243285"/>
                <w:sz w:val="44"/>
                <w:szCs w:val="44"/>
              </w:rPr>
            </w:pPr>
          </w:p>
        </w:tc>
      </w:tr>
      <w:tr w:rsidR="002F652E" w:rsidRPr="004203DA" w:rsidTr="009E1F8B">
        <w:tc>
          <w:tcPr>
            <w:tcW w:w="10089" w:type="dxa"/>
          </w:tcPr>
          <w:p w:rsidR="002F652E" w:rsidRPr="004203DA" w:rsidRDefault="002F652E" w:rsidP="009E1F8B">
            <w:pPr>
              <w:spacing w:before="80" w:line="280" w:lineRule="exact"/>
              <w:ind w:right="640"/>
              <w:rPr>
                <w:rFonts w:ascii="Tahoma" w:hAnsi="Tahoma" w:cs="Tahoma"/>
                <w:b/>
                <w:bCs/>
                <w:iCs/>
                <w:color w:val="243285"/>
                <w:sz w:val="32"/>
                <w:szCs w:val="32"/>
              </w:rPr>
            </w:pPr>
          </w:p>
          <w:p w:rsidR="002F652E" w:rsidRPr="004203DA" w:rsidRDefault="002F652E" w:rsidP="009E1F8B">
            <w:pPr>
              <w:spacing w:before="80" w:line="280" w:lineRule="exact"/>
              <w:ind w:right="640"/>
              <w:rPr>
                <w:rFonts w:ascii="Tahoma" w:hAnsi="Tahoma" w:cs="Tahoma"/>
                <w:b/>
                <w:bCs/>
                <w:iCs/>
                <w:color w:val="243285"/>
                <w:sz w:val="32"/>
                <w:szCs w:val="32"/>
              </w:rPr>
            </w:pPr>
          </w:p>
          <w:p w:rsidR="002F652E" w:rsidRPr="004203DA" w:rsidRDefault="002F652E" w:rsidP="009E1F8B">
            <w:pPr>
              <w:spacing w:before="80" w:after="180" w:line="360" w:lineRule="exact"/>
              <w:ind w:right="720"/>
              <w:rPr>
                <w:rFonts w:ascii="Tahoma" w:hAnsi="Tahoma" w:cs="Tahoma"/>
                <w:b/>
                <w:bCs/>
                <w:iCs/>
                <w:color w:val="243285"/>
                <w:sz w:val="36"/>
                <w:szCs w:val="36"/>
              </w:rPr>
            </w:pPr>
          </w:p>
          <w:p w:rsidR="002F652E" w:rsidRPr="004203DA" w:rsidRDefault="002F652E" w:rsidP="009E1F8B">
            <w:pPr>
              <w:spacing w:before="80" w:after="180" w:line="360" w:lineRule="exact"/>
              <w:jc w:val="right"/>
              <w:rPr>
                <w:rFonts w:ascii="Tahoma" w:hAnsi="Tahoma" w:cs="Tahoma"/>
                <w:b/>
                <w:bCs/>
                <w:iCs/>
                <w:color w:val="243285"/>
                <w:sz w:val="36"/>
                <w:szCs w:val="36"/>
              </w:rPr>
            </w:pPr>
            <w:r w:rsidRPr="004203DA">
              <w:rPr>
                <w:rFonts w:ascii="Tahoma" w:hAnsi="Tahoma" w:cs="Tahoma"/>
                <w:b/>
                <w:bCs/>
                <w:iCs/>
                <w:color w:val="243285"/>
                <w:sz w:val="36"/>
                <w:szCs w:val="36"/>
              </w:rPr>
              <w:t>Serie BT</w:t>
            </w:r>
          </w:p>
          <w:p w:rsidR="002F652E" w:rsidRPr="004203DA" w:rsidRDefault="002F652E" w:rsidP="009E1F8B">
            <w:pPr>
              <w:spacing w:before="80" w:line="420" w:lineRule="exact"/>
              <w:jc w:val="right"/>
              <w:rPr>
                <w:rFonts w:ascii="Tahoma" w:hAnsi="Tahoma" w:cs="Tahoma"/>
                <w:b/>
                <w:bCs/>
                <w:iCs/>
                <w:color w:val="243285"/>
                <w:sz w:val="36"/>
                <w:szCs w:val="36"/>
              </w:rPr>
            </w:pPr>
            <w:r w:rsidRPr="004203DA">
              <w:rPr>
                <w:rFonts w:ascii="Tahoma" w:hAnsi="Tahoma" w:cs="Tahoma"/>
                <w:b/>
                <w:bCs/>
                <w:iCs/>
                <w:color w:val="243285"/>
                <w:sz w:val="36"/>
                <w:szCs w:val="36"/>
              </w:rPr>
              <w:t>Servicio de radiodifusión (televisión</w:t>
            </w:r>
            <w:r w:rsidRPr="004203DA">
              <w:rPr>
                <w:rFonts w:ascii="Tahoma" w:hAnsi="Tahoma" w:cs="Tahoma"/>
                <w:b/>
                <w:bCs/>
                <w:color w:val="000080"/>
                <w:sz w:val="36"/>
                <w:szCs w:val="36"/>
              </w:rPr>
              <w:t>)</w:t>
            </w:r>
          </w:p>
        </w:tc>
      </w:tr>
    </w:tbl>
    <w:p w:rsidR="002F652E" w:rsidRPr="004203DA" w:rsidRDefault="002F652E" w:rsidP="009E1F8B">
      <w:pPr>
        <w:spacing w:before="80"/>
        <w:rPr>
          <w:i/>
          <w:sz w:val="22"/>
        </w:rPr>
      </w:pPr>
    </w:p>
    <w:p w:rsidR="002F652E" w:rsidRPr="004203DA" w:rsidRDefault="002F652E" w:rsidP="009E1F8B">
      <w:pPr>
        <w:spacing w:before="80"/>
        <w:rPr>
          <w:i/>
          <w:sz w:val="22"/>
        </w:rPr>
      </w:pPr>
    </w:p>
    <w:p w:rsidR="002F652E" w:rsidRPr="004203DA" w:rsidRDefault="002F652E" w:rsidP="009E1F8B">
      <w:pPr>
        <w:spacing w:before="80"/>
        <w:rPr>
          <w:i/>
          <w:sz w:val="22"/>
        </w:rPr>
      </w:pPr>
    </w:p>
    <w:p w:rsidR="002F652E" w:rsidRPr="004203DA" w:rsidRDefault="002F652E" w:rsidP="009E1F8B">
      <w:pPr>
        <w:pStyle w:val="Equation"/>
        <w:tabs>
          <w:tab w:val="clear" w:pos="4820"/>
          <w:tab w:val="clear" w:pos="9639"/>
          <w:tab w:val="left" w:pos="1191"/>
          <w:tab w:val="left" w:pos="1588"/>
          <w:tab w:val="left" w:pos="1985"/>
        </w:tabs>
        <w:rPr>
          <w:rFonts w:ascii="Palatino Linotype" w:hAnsi="Palatino Linotype"/>
        </w:rPr>
        <w:sectPr w:rsidR="002F652E" w:rsidRPr="004203DA" w:rsidSect="009E1F8B">
          <w:headerReference w:type="even" r:id="rId9"/>
          <w:headerReference w:type="default" r:id="rId10"/>
          <w:pgSz w:w="11907" w:h="16834" w:code="9"/>
          <w:pgMar w:top="1418" w:right="1134" w:bottom="1134" w:left="1134" w:header="720" w:footer="482" w:gutter="0"/>
          <w:paperSrc w:first="15" w:other="15"/>
          <w:cols w:space="720"/>
        </w:sectPr>
      </w:pPr>
    </w:p>
    <w:p w:rsidR="002F652E" w:rsidRPr="004203DA" w:rsidRDefault="002F652E"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rPr>
      </w:pPr>
      <w:bookmarkStart w:id="1" w:name="c2tope"/>
      <w:bookmarkEnd w:id="1"/>
      <w:r w:rsidRPr="004203DA">
        <w:rPr>
          <w:bCs/>
          <w:sz w:val="24"/>
          <w:szCs w:val="24"/>
        </w:rPr>
        <w:lastRenderedPageBreak/>
        <w:t>Prólogo</w:t>
      </w:r>
    </w:p>
    <w:p w:rsidR="002F652E" w:rsidRPr="004203DA" w:rsidRDefault="002F652E" w:rsidP="009E1F8B">
      <w:pPr>
        <w:spacing w:before="180"/>
        <w:rPr>
          <w:sz w:val="20"/>
        </w:rPr>
      </w:pPr>
      <w:r w:rsidRPr="004203DA">
        <w:rPr>
          <w:sz w:val="20"/>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F652E" w:rsidRPr="004203DA" w:rsidRDefault="002F652E" w:rsidP="009E1F8B">
      <w:pPr>
        <w:rPr>
          <w:sz w:val="20"/>
        </w:rPr>
      </w:pPr>
      <w:r w:rsidRPr="004203DA">
        <w:rPr>
          <w:sz w:val="20"/>
        </w:rPr>
        <w:t>Las Conferencias Mundiales y Regionales de Radiocomunicaciones y las Asambleas de Radiocomunicaciones, con la colaboración de las Comisiones de Estudio, cumplen las funciones reglamentarias y políticas del Sector de Radiocomunicaciones.</w:t>
      </w:r>
    </w:p>
    <w:p w:rsidR="002F652E" w:rsidRPr="004203DA" w:rsidRDefault="002F652E" w:rsidP="009E1F8B">
      <w:pPr>
        <w:pStyle w:val="Heading1"/>
        <w:spacing w:before="340"/>
        <w:jc w:val="center"/>
        <w:rPr>
          <w:szCs w:val="24"/>
        </w:rPr>
      </w:pPr>
      <w:r w:rsidRPr="004203DA">
        <w:t>Política sobre Derechos de Propiedad Intelectual</w:t>
      </w:r>
      <w:r w:rsidRPr="004203DA">
        <w:rPr>
          <w:szCs w:val="24"/>
        </w:rPr>
        <w:t xml:space="preserve"> (IPR)</w:t>
      </w:r>
    </w:p>
    <w:p w:rsidR="002F652E" w:rsidRPr="004203DA" w:rsidRDefault="002F652E" w:rsidP="009E1F8B">
      <w:pPr>
        <w:spacing w:before="180"/>
        <w:rPr>
          <w:sz w:val="20"/>
        </w:rPr>
      </w:pPr>
      <w:r w:rsidRPr="004203DA">
        <w:rPr>
          <w:sz w:val="20"/>
        </w:rPr>
        <w:t>La política del UIT</w:t>
      </w:r>
      <w:r w:rsidRPr="004203DA">
        <w:rPr>
          <w:sz w:val="20"/>
        </w:rPr>
        <w:noBreakHyphen/>
        <w:t>R sobre Derechos de Propiedad Intelectual se describe en la Política Común de Patentes UIT</w:t>
      </w:r>
      <w:r w:rsidRPr="004203DA">
        <w:rPr>
          <w:sz w:val="20"/>
        </w:rPr>
        <w:noBreakHyphen/>
        <w:t>T/UIT</w:t>
      </w:r>
      <w:r w:rsidRPr="004203DA">
        <w:rPr>
          <w:sz w:val="20"/>
        </w:rPr>
        <w:noBreakHyphen/>
        <w:t>R/ISO/CEI a la que se hace referencia en el Anexo 1 a la Resolución UIT</w:t>
      </w:r>
      <w:r w:rsidRPr="004203DA">
        <w:rPr>
          <w:sz w:val="20"/>
        </w:rPr>
        <w:noBreakHyphen/>
        <w:t xml:space="preserve">R 1. Los formularios que deben utilizarse en la declaración sobre patentes y utilización de patentes por los titulares de las mismas figuran en la dirección web </w:t>
      </w:r>
      <w:hyperlink r:id="rId11" w:history="1">
        <w:r w:rsidRPr="004203DA">
          <w:rPr>
            <w:rStyle w:val="Hyperlink"/>
            <w:sz w:val="20"/>
          </w:rPr>
          <w:t>http://www.itu.int/ITU-R/go/patents/es</w:t>
        </w:r>
      </w:hyperlink>
      <w:r w:rsidRPr="004203DA">
        <w:rPr>
          <w:sz w:val="20"/>
        </w:rPr>
        <w:t>, donde también aparecen las Directrices para la implementación de la Política Común de Patentes UIT</w:t>
      </w:r>
      <w:r w:rsidRPr="004203DA">
        <w:rPr>
          <w:sz w:val="20"/>
        </w:rPr>
        <w:noBreakHyphen/>
        <w:t>T/UIT</w:t>
      </w:r>
      <w:r w:rsidRPr="004203DA">
        <w:rPr>
          <w:sz w:val="20"/>
        </w:rPr>
        <w:noBreakHyphen/>
        <w:t>R/ISO/CEI y la base de datos sobre información de patentes del UIT</w:t>
      </w:r>
      <w:r w:rsidRPr="004203DA">
        <w:rPr>
          <w:sz w:val="20"/>
        </w:rPr>
        <w:noBreakHyphen/>
        <w:t>R sobre este asunto.</w:t>
      </w:r>
    </w:p>
    <w:p w:rsidR="002F652E" w:rsidRPr="004203DA" w:rsidRDefault="002F652E" w:rsidP="009E1F8B">
      <w:pPr>
        <w:spacing w:before="0"/>
        <w:jc w:val="center"/>
        <w:rPr>
          <w:sz w:val="22"/>
        </w:rPr>
      </w:pPr>
    </w:p>
    <w:p w:rsidR="002F652E" w:rsidRPr="004203DA" w:rsidRDefault="002F652E" w:rsidP="009E1F8B">
      <w:pPr>
        <w:spacing w:before="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F652E" w:rsidRPr="004203DA" w:rsidTr="009E1F8B">
        <w:tc>
          <w:tcPr>
            <w:tcW w:w="9360" w:type="dxa"/>
            <w:gridSpan w:val="2"/>
          </w:tcPr>
          <w:p w:rsidR="002F652E" w:rsidRPr="004203DA" w:rsidRDefault="002F652E" w:rsidP="009E1F8B">
            <w:pPr>
              <w:pStyle w:val="Chaptitle"/>
              <w:keepLines w:val="0"/>
              <w:tabs>
                <w:tab w:val="clear" w:pos="794"/>
                <w:tab w:val="clear" w:pos="1191"/>
                <w:tab w:val="clear" w:pos="1588"/>
                <w:tab w:val="clear" w:pos="1985"/>
              </w:tabs>
              <w:overflowPunct/>
              <w:spacing w:before="140"/>
              <w:textAlignment w:val="auto"/>
              <w:rPr>
                <w:sz w:val="22"/>
                <w:szCs w:val="22"/>
              </w:rPr>
            </w:pPr>
            <w:r w:rsidRPr="004203DA">
              <w:rPr>
                <w:sz w:val="22"/>
                <w:szCs w:val="22"/>
              </w:rPr>
              <w:t xml:space="preserve">Series de las Recomendaciones UIT-R </w:t>
            </w:r>
          </w:p>
          <w:p w:rsidR="002F652E" w:rsidRPr="004203DA" w:rsidRDefault="002F652E"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4203DA">
              <w:rPr>
                <w:b w:val="0"/>
                <w:sz w:val="18"/>
                <w:szCs w:val="18"/>
              </w:rPr>
              <w:t xml:space="preserve">(También disponible en línea en  </w:t>
            </w:r>
            <w:hyperlink r:id="rId12" w:history="1">
              <w:hyperlink r:id="rId13" w:history="1">
                <w:r w:rsidRPr="004203DA">
                  <w:rPr>
                    <w:rStyle w:val="Hyperlink"/>
                    <w:bCs/>
                    <w:sz w:val="18"/>
                    <w:szCs w:val="18"/>
                  </w:rPr>
                  <w:t>http://www.itu.int/publ/R-REC/es</w:t>
                </w:r>
              </w:hyperlink>
              <w:r w:rsidRPr="004203DA">
                <w:rPr>
                  <w:rStyle w:val="Hyperlink"/>
                  <w:bCs/>
                  <w:sz w:val="18"/>
                  <w:szCs w:val="18"/>
                </w:rPr>
                <w:t>)</w:t>
              </w:r>
            </w:hyperlink>
          </w:p>
        </w:tc>
      </w:tr>
      <w:tr w:rsidR="002F652E" w:rsidRPr="004203DA" w:rsidTr="009E1F8B">
        <w:tc>
          <w:tcPr>
            <w:tcW w:w="1140" w:type="dxa"/>
          </w:tcPr>
          <w:p w:rsidR="002F652E" w:rsidRPr="004203DA" w:rsidRDefault="002F652E" w:rsidP="009E1F8B">
            <w:pPr>
              <w:spacing w:before="180" w:after="100"/>
              <w:ind w:left="57"/>
              <w:rPr>
                <w:b/>
                <w:bCs/>
                <w:sz w:val="20"/>
              </w:rPr>
            </w:pPr>
            <w:r w:rsidRPr="004203DA">
              <w:rPr>
                <w:b/>
                <w:bCs/>
                <w:sz w:val="20"/>
              </w:rPr>
              <w:t>Series</w:t>
            </w:r>
          </w:p>
        </w:tc>
        <w:tc>
          <w:tcPr>
            <w:tcW w:w="8220" w:type="dxa"/>
          </w:tcPr>
          <w:p w:rsidR="002F652E" w:rsidRPr="004203DA" w:rsidRDefault="002F652E"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rPr>
            </w:pPr>
            <w:r w:rsidRPr="004203DA">
              <w:rPr>
                <w:bCs/>
                <w:sz w:val="20"/>
              </w:rPr>
              <w:t>Título</w:t>
            </w:r>
          </w:p>
        </w:tc>
      </w:tr>
      <w:tr w:rsidR="002F652E" w:rsidRPr="004203DA" w:rsidTr="009E1F8B">
        <w:tc>
          <w:tcPr>
            <w:tcW w:w="1140" w:type="dxa"/>
            <w:tcBorders>
              <w:bottom w:val="nil"/>
            </w:tcBorders>
          </w:tcPr>
          <w:p w:rsidR="002F652E" w:rsidRPr="004203DA" w:rsidRDefault="002F652E" w:rsidP="009E1F8B">
            <w:pPr>
              <w:spacing w:before="30" w:after="30"/>
              <w:ind w:left="57"/>
              <w:jc w:val="left"/>
              <w:rPr>
                <w:b/>
                <w:bCs/>
                <w:sz w:val="20"/>
              </w:rPr>
            </w:pPr>
            <w:r w:rsidRPr="004203DA">
              <w:rPr>
                <w:b/>
                <w:bCs/>
                <w:sz w:val="20"/>
              </w:rPr>
              <w:t>BO</w:t>
            </w:r>
          </w:p>
        </w:tc>
        <w:tc>
          <w:tcPr>
            <w:tcW w:w="8220" w:type="dxa"/>
            <w:tcBorders>
              <w:bottom w:val="nil"/>
            </w:tcBorders>
          </w:tcPr>
          <w:p w:rsidR="002F652E" w:rsidRPr="004203DA" w:rsidRDefault="002F652E"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4203DA">
              <w:rPr>
                <w:b w:val="0"/>
                <w:bCs/>
                <w:sz w:val="20"/>
              </w:rPr>
              <w:t>Distribución por satélite</w:t>
            </w:r>
          </w:p>
        </w:tc>
      </w:tr>
      <w:tr w:rsidR="002F652E" w:rsidRPr="004203DA" w:rsidTr="009E1F8B">
        <w:tc>
          <w:tcPr>
            <w:tcW w:w="1140" w:type="dxa"/>
            <w:tcBorders>
              <w:top w:val="nil"/>
              <w:bottom w:val="nil"/>
            </w:tcBorders>
            <w:shd w:val="clear" w:color="auto" w:fill="auto"/>
          </w:tcPr>
          <w:p w:rsidR="002F652E" w:rsidRPr="004203DA" w:rsidRDefault="002F652E" w:rsidP="009E1F8B">
            <w:pPr>
              <w:spacing w:before="30" w:after="30"/>
              <w:ind w:left="57"/>
              <w:jc w:val="left"/>
              <w:rPr>
                <w:rFonts w:hAnsi="Times New Roman Bold"/>
                <w:b/>
                <w:bCs/>
                <w:sz w:val="20"/>
              </w:rPr>
            </w:pPr>
            <w:r w:rsidRPr="004203DA">
              <w:rPr>
                <w:rFonts w:hAnsi="Times New Roman Bold"/>
                <w:b/>
                <w:bCs/>
                <w:sz w:val="20"/>
              </w:rPr>
              <w:t>BR</w:t>
            </w:r>
          </w:p>
        </w:tc>
        <w:tc>
          <w:tcPr>
            <w:tcW w:w="8220" w:type="dxa"/>
            <w:tcBorders>
              <w:top w:val="nil"/>
              <w:bottom w:val="nil"/>
            </w:tcBorders>
            <w:shd w:val="clear" w:color="auto" w:fill="auto"/>
          </w:tcPr>
          <w:p w:rsidR="002F652E" w:rsidRPr="004203DA" w:rsidRDefault="002F652E"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4203DA">
              <w:rPr>
                <w:b w:val="0"/>
                <w:sz w:val="20"/>
              </w:rPr>
              <w:t>Registro para producción, archivo y reproducción; películas en televisión</w:t>
            </w:r>
          </w:p>
        </w:tc>
      </w:tr>
      <w:tr w:rsidR="002F652E" w:rsidRPr="004203DA" w:rsidTr="009E1F8B">
        <w:tc>
          <w:tcPr>
            <w:tcW w:w="1140" w:type="dxa"/>
            <w:tcBorders>
              <w:top w:val="nil"/>
              <w:bottom w:val="nil"/>
            </w:tcBorders>
          </w:tcPr>
          <w:p w:rsidR="002F652E" w:rsidRPr="004203DA" w:rsidRDefault="002F652E" w:rsidP="009E1F8B">
            <w:pPr>
              <w:spacing w:before="30" w:after="30"/>
              <w:ind w:left="57"/>
              <w:jc w:val="left"/>
              <w:rPr>
                <w:b/>
                <w:bCs/>
                <w:sz w:val="20"/>
              </w:rPr>
            </w:pPr>
            <w:r w:rsidRPr="004203DA">
              <w:rPr>
                <w:b/>
                <w:bCs/>
                <w:sz w:val="20"/>
              </w:rPr>
              <w:t>BS</w:t>
            </w:r>
          </w:p>
        </w:tc>
        <w:tc>
          <w:tcPr>
            <w:tcW w:w="8220" w:type="dxa"/>
            <w:tcBorders>
              <w:top w:val="nil"/>
              <w:bottom w:val="nil"/>
            </w:tcBorders>
          </w:tcPr>
          <w:p w:rsidR="002F652E" w:rsidRPr="004203DA" w:rsidRDefault="002F652E"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4203DA">
              <w:rPr>
                <w:b w:val="0"/>
                <w:bCs/>
                <w:sz w:val="20"/>
              </w:rPr>
              <w:t>Servicio de radiodifusión (sonora)</w:t>
            </w:r>
          </w:p>
        </w:tc>
      </w:tr>
      <w:tr w:rsidR="002F652E" w:rsidRPr="004203DA" w:rsidTr="009E1F8B">
        <w:tc>
          <w:tcPr>
            <w:tcW w:w="1140" w:type="dxa"/>
            <w:tcBorders>
              <w:top w:val="nil"/>
              <w:bottom w:val="nil"/>
            </w:tcBorders>
            <w:shd w:val="clear" w:color="auto" w:fill="F3F3F3"/>
          </w:tcPr>
          <w:p w:rsidR="002F652E" w:rsidRPr="004203DA" w:rsidRDefault="002F652E" w:rsidP="009E1F8B">
            <w:pPr>
              <w:spacing w:before="30" w:after="30"/>
              <w:ind w:left="57"/>
              <w:jc w:val="left"/>
              <w:rPr>
                <w:rFonts w:ascii="Times New Roman Bold" w:hAnsi="Times New Roman Bold" w:cs="Times New Roman Bold"/>
                <w:b/>
                <w:bCs/>
                <w:color w:val="000080"/>
                <w:sz w:val="20"/>
              </w:rPr>
            </w:pPr>
            <w:r w:rsidRPr="004203DA">
              <w:rPr>
                <w:rFonts w:ascii="Times New Roman Bold" w:hAnsi="Times New Roman Bold" w:cs="Times New Roman Bold"/>
                <w:b/>
                <w:bCs/>
                <w:color w:val="000080"/>
                <w:sz w:val="20"/>
              </w:rPr>
              <w:t>BT</w:t>
            </w:r>
          </w:p>
        </w:tc>
        <w:tc>
          <w:tcPr>
            <w:tcW w:w="8220" w:type="dxa"/>
            <w:tcBorders>
              <w:top w:val="nil"/>
              <w:bottom w:val="nil"/>
            </w:tcBorders>
            <w:shd w:val="clear" w:color="auto" w:fill="F3F3F3"/>
          </w:tcPr>
          <w:p w:rsidR="002F652E" w:rsidRPr="004203DA" w:rsidRDefault="002F652E"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rPr>
            </w:pPr>
            <w:r w:rsidRPr="004203DA">
              <w:rPr>
                <w:rFonts w:ascii="Times New Roman Bold" w:hAnsi="Times New Roman Bold" w:cs="Times New Roman Bold"/>
                <w:bCs/>
                <w:color w:val="000080"/>
                <w:sz w:val="20"/>
              </w:rPr>
              <w:t>Servicio de radiodifusión (televisión)</w:t>
            </w:r>
          </w:p>
        </w:tc>
      </w:tr>
      <w:tr w:rsidR="002F652E" w:rsidRPr="004203DA" w:rsidTr="009E1F8B">
        <w:tc>
          <w:tcPr>
            <w:tcW w:w="1140" w:type="dxa"/>
            <w:tcBorders>
              <w:top w:val="nil"/>
              <w:bottom w:val="nil"/>
            </w:tcBorders>
            <w:shd w:val="clear" w:color="auto" w:fill="auto"/>
          </w:tcPr>
          <w:p w:rsidR="002F652E" w:rsidRPr="004203DA" w:rsidRDefault="002F652E" w:rsidP="009E1F8B">
            <w:pPr>
              <w:spacing w:before="30" w:after="30"/>
              <w:ind w:left="57"/>
              <w:jc w:val="left"/>
              <w:rPr>
                <w:b/>
                <w:bCs/>
                <w:sz w:val="20"/>
              </w:rPr>
            </w:pPr>
            <w:r w:rsidRPr="004203DA">
              <w:rPr>
                <w:b/>
                <w:bCs/>
                <w:sz w:val="20"/>
              </w:rPr>
              <w:t>F</w:t>
            </w:r>
          </w:p>
        </w:tc>
        <w:tc>
          <w:tcPr>
            <w:tcW w:w="8220" w:type="dxa"/>
            <w:tcBorders>
              <w:top w:val="nil"/>
              <w:bottom w:val="nil"/>
            </w:tcBorders>
            <w:shd w:val="clear" w:color="auto" w:fill="auto"/>
          </w:tcPr>
          <w:p w:rsidR="002F652E" w:rsidRPr="004203DA" w:rsidRDefault="002F652E"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rPr>
            </w:pPr>
            <w:r w:rsidRPr="004203DA">
              <w:rPr>
                <w:bCs/>
                <w:sz w:val="20"/>
              </w:rPr>
              <w:t>Servicio fijo</w:t>
            </w:r>
          </w:p>
        </w:tc>
      </w:tr>
      <w:tr w:rsidR="002F652E" w:rsidRPr="004203DA" w:rsidTr="009E1F8B">
        <w:tc>
          <w:tcPr>
            <w:tcW w:w="1140" w:type="dxa"/>
            <w:tcBorders>
              <w:top w:val="nil"/>
              <w:bottom w:val="nil"/>
            </w:tcBorders>
            <w:shd w:val="clear" w:color="auto" w:fill="auto"/>
          </w:tcPr>
          <w:p w:rsidR="002F652E" w:rsidRPr="004203DA" w:rsidRDefault="002F652E" w:rsidP="009E1F8B">
            <w:pPr>
              <w:spacing w:before="30" w:after="30"/>
              <w:ind w:left="57"/>
              <w:jc w:val="left"/>
              <w:rPr>
                <w:rFonts w:hAnsi="Times New Roman Bold"/>
                <w:b/>
                <w:bCs/>
                <w:sz w:val="20"/>
              </w:rPr>
            </w:pPr>
            <w:r w:rsidRPr="004203DA">
              <w:rPr>
                <w:rFonts w:hAnsi="Times New Roman Bold"/>
                <w:b/>
                <w:bCs/>
                <w:sz w:val="20"/>
              </w:rPr>
              <w:t>M</w:t>
            </w:r>
          </w:p>
        </w:tc>
        <w:tc>
          <w:tcPr>
            <w:tcW w:w="8220" w:type="dxa"/>
            <w:tcBorders>
              <w:top w:val="nil"/>
              <w:bottom w:val="nil"/>
            </w:tcBorders>
            <w:shd w:val="clear" w:color="auto" w:fill="auto"/>
          </w:tcPr>
          <w:p w:rsidR="002F652E" w:rsidRPr="004203DA" w:rsidRDefault="002F652E"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4203DA">
              <w:rPr>
                <w:rFonts w:hAnsi="Times New Roman Bold"/>
                <w:b w:val="0"/>
                <w:sz w:val="20"/>
              </w:rPr>
              <w:t>Servicios m</w:t>
            </w:r>
            <w:r w:rsidRPr="004203DA">
              <w:rPr>
                <w:rFonts w:hAnsi="Times New Roman Bold"/>
                <w:b w:val="0"/>
                <w:sz w:val="20"/>
              </w:rPr>
              <w:t>ó</w:t>
            </w:r>
            <w:r w:rsidRPr="004203DA">
              <w:rPr>
                <w:rFonts w:hAnsi="Times New Roman Bold"/>
                <w:b w:val="0"/>
                <w:sz w:val="20"/>
              </w:rPr>
              <w:t>viles, de radiodeterminaci</w:t>
            </w:r>
            <w:r w:rsidRPr="004203DA">
              <w:rPr>
                <w:rFonts w:hAnsi="Times New Roman Bold"/>
                <w:b w:val="0"/>
                <w:sz w:val="20"/>
              </w:rPr>
              <w:t>ó</w:t>
            </w:r>
            <w:r w:rsidRPr="004203DA">
              <w:rPr>
                <w:rFonts w:hAnsi="Times New Roman Bold"/>
                <w:b w:val="0"/>
                <w:sz w:val="20"/>
              </w:rPr>
              <w:t>n, de aficionados y otros servicios por sat</w:t>
            </w:r>
            <w:r w:rsidRPr="004203DA">
              <w:rPr>
                <w:rFonts w:hAnsi="Times New Roman Bold"/>
                <w:b w:val="0"/>
                <w:sz w:val="20"/>
              </w:rPr>
              <w:t>é</w:t>
            </w:r>
            <w:r w:rsidRPr="004203DA">
              <w:rPr>
                <w:rFonts w:hAnsi="Times New Roman Bold"/>
                <w:b w:val="0"/>
                <w:sz w:val="20"/>
              </w:rPr>
              <w:t>lite conexos</w:t>
            </w:r>
          </w:p>
        </w:tc>
      </w:tr>
      <w:tr w:rsidR="002F652E" w:rsidRPr="004203DA" w:rsidTr="009E1F8B">
        <w:tc>
          <w:tcPr>
            <w:tcW w:w="1140" w:type="dxa"/>
            <w:tcBorders>
              <w:top w:val="nil"/>
            </w:tcBorders>
          </w:tcPr>
          <w:p w:rsidR="002F652E" w:rsidRPr="004203DA" w:rsidRDefault="002F652E" w:rsidP="009E1F8B">
            <w:pPr>
              <w:spacing w:before="30" w:after="30"/>
              <w:ind w:left="57"/>
              <w:jc w:val="left"/>
              <w:rPr>
                <w:b/>
                <w:bCs/>
                <w:sz w:val="20"/>
              </w:rPr>
            </w:pPr>
            <w:r w:rsidRPr="004203DA">
              <w:rPr>
                <w:b/>
                <w:bCs/>
                <w:sz w:val="20"/>
              </w:rPr>
              <w:t>P</w:t>
            </w:r>
          </w:p>
        </w:tc>
        <w:tc>
          <w:tcPr>
            <w:tcW w:w="8220" w:type="dxa"/>
            <w:tcBorders>
              <w:top w:val="nil"/>
            </w:tcBorders>
          </w:tcPr>
          <w:p w:rsidR="002F652E" w:rsidRPr="004203DA" w:rsidRDefault="002F652E" w:rsidP="009E1F8B">
            <w:pPr>
              <w:spacing w:before="30" w:after="30"/>
              <w:jc w:val="left"/>
              <w:rPr>
                <w:bCs/>
                <w:sz w:val="20"/>
              </w:rPr>
            </w:pPr>
            <w:r w:rsidRPr="004203DA">
              <w:rPr>
                <w:bCs/>
                <w:sz w:val="20"/>
              </w:rPr>
              <w:t>Propagación de las ondas radioeléctricas</w:t>
            </w:r>
          </w:p>
        </w:tc>
      </w:tr>
      <w:tr w:rsidR="002F652E" w:rsidRPr="004203DA" w:rsidTr="009E1F8B">
        <w:tc>
          <w:tcPr>
            <w:tcW w:w="1140" w:type="dxa"/>
          </w:tcPr>
          <w:p w:rsidR="002F652E" w:rsidRPr="004203DA" w:rsidRDefault="002F652E" w:rsidP="009E1F8B">
            <w:pPr>
              <w:spacing w:before="30" w:after="30"/>
              <w:ind w:left="57"/>
              <w:jc w:val="left"/>
              <w:rPr>
                <w:b/>
                <w:bCs/>
                <w:sz w:val="20"/>
              </w:rPr>
            </w:pPr>
            <w:r w:rsidRPr="004203DA">
              <w:rPr>
                <w:b/>
                <w:bCs/>
                <w:sz w:val="20"/>
              </w:rPr>
              <w:t>RA</w:t>
            </w:r>
          </w:p>
        </w:tc>
        <w:tc>
          <w:tcPr>
            <w:tcW w:w="8220" w:type="dxa"/>
          </w:tcPr>
          <w:p w:rsidR="002F652E" w:rsidRPr="004203DA" w:rsidRDefault="002F652E"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rPr>
            </w:pPr>
            <w:r w:rsidRPr="004203DA">
              <w:rPr>
                <w:bCs/>
                <w:sz w:val="20"/>
              </w:rPr>
              <w:t>Radio astronomía</w:t>
            </w:r>
          </w:p>
        </w:tc>
      </w:tr>
      <w:tr w:rsidR="002F652E" w:rsidRPr="004203DA" w:rsidTr="009E1F8B">
        <w:tc>
          <w:tcPr>
            <w:tcW w:w="1140" w:type="dxa"/>
          </w:tcPr>
          <w:p w:rsidR="002F652E" w:rsidRPr="004203DA" w:rsidRDefault="002F652E" w:rsidP="009E1F8B">
            <w:pPr>
              <w:spacing w:before="30" w:after="30"/>
              <w:ind w:left="57"/>
              <w:jc w:val="left"/>
              <w:rPr>
                <w:b/>
                <w:bCs/>
                <w:sz w:val="20"/>
              </w:rPr>
            </w:pPr>
            <w:r w:rsidRPr="004203DA">
              <w:rPr>
                <w:b/>
                <w:bCs/>
                <w:sz w:val="20"/>
              </w:rPr>
              <w:t>RS</w:t>
            </w:r>
          </w:p>
        </w:tc>
        <w:tc>
          <w:tcPr>
            <w:tcW w:w="8220" w:type="dxa"/>
          </w:tcPr>
          <w:p w:rsidR="002F652E" w:rsidRPr="004203DA" w:rsidRDefault="002F652E"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rPr>
            </w:pPr>
            <w:r w:rsidRPr="004203DA">
              <w:rPr>
                <w:bCs/>
                <w:sz w:val="20"/>
              </w:rPr>
              <w:t>Sistemas de detección a distancia</w:t>
            </w:r>
          </w:p>
        </w:tc>
      </w:tr>
      <w:tr w:rsidR="002F652E" w:rsidRPr="004203DA" w:rsidTr="009E1F8B">
        <w:tc>
          <w:tcPr>
            <w:tcW w:w="1140" w:type="dxa"/>
          </w:tcPr>
          <w:p w:rsidR="002F652E" w:rsidRPr="004203DA" w:rsidRDefault="002F652E" w:rsidP="009E1F8B">
            <w:pPr>
              <w:spacing w:before="30" w:after="30"/>
              <w:ind w:left="57"/>
              <w:jc w:val="left"/>
              <w:rPr>
                <w:b/>
                <w:bCs/>
                <w:sz w:val="20"/>
              </w:rPr>
            </w:pPr>
            <w:r w:rsidRPr="004203DA">
              <w:rPr>
                <w:b/>
                <w:bCs/>
                <w:sz w:val="20"/>
              </w:rPr>
              <w:t>S</w:t>
            </w:r>
          </w:p>
        </w:tc>
        <w:tc>
          <w:tcPr>
            <w:tcW w:w="8220" w:type="dxa"/>
          </w:tcPr>
          <w:p w:rsidR="002F652E" w:rsidRPr="004203DA" w:rsidRDefault="002F652E" w:rsidP="009E1F8B">
            <w:pPr>
              <w:spacing w:before="30" w:after="30"/>
              <w:jc w:val="left"/>
              <w:rPr>
                <w:bCs/>
                <w:sz w:val="20"/>
              </w:rPr>
            </w:pPr>
            <w:r w:rsidRPr="004203DA">
              <w:rPr>
                <w:bCs/>
                <w:sz w:val="20"/>
              </w:rPr>
              <w:t>Servicio fijo por satélite</w:t>
            </w:r>
          </w:p>
        </w:tc>
      </w:tr>
      <w:tr w:rsidR="002F652E" w:rsidRPr="004203DA" w:rsidTr="009E1F8B">
        <w:tc>
          <w:tcPr>
            <w:tcW w:w="1140" w:type="dxa"/>
          </w:tcPr>
          <w:p w:rsidR="002F652E" w:rsidRPr="004203DA" w:rsidRDefault="002F652E" w:rsidP="009E1F8B">
            <w:pPr>
              <w:spacing w:before="30" w:after="30"/>
              <w:ind w:left="57"/>
              <w:jc w:val="left"/>
              <w:rPr>
                <w:b/>
                <w:bCs/>
                <w:sz w:val="20"/>
              </w:rPr>
            </w:pPr>
            <w:r w:rsidRPr="004203DA">
              <w:rPr>
                <w:b/>
                <w:bCs/>
                <w:sz w:val="20"/>
              </w:rPr>
              <w:t>SA</w:t>
            </w:r>
          </w:p>
        </w:tc>
        <w:tc>
          <w:tcPr>
            <w:tcW w:w="8220" w:type="dxa"/>
          </w:tcPr>
          <w:p w:rsidR="002F652E" w:rsidRPr="004203DA" w:rsidRDefault="002F652E" w:rsidP="009E1F8B">
            <w:pPr>
              <w:spacing w:before="30" w:after="30"/>
              <w:jc w:val="left"/>
              <w:rPr>
                <w:bCs/>
                <w:sz w:val="20"/>
              </w:rPr>
            </w:pPr>
            <w:r w:rsidRPr="004203DA">
              <w:rPr>
                <w:bCs/>
                <w:sz w:val="20"/>
              </w:rPr>
              <w:t>Aplicaciones espaciales y meteorología</w:t>
            </w:r>
          </w:p>
        </w:tc>
      </w:tr>
      <w:tr w:rsidR="002F652E" w:rsidRPr="004203DA" w:rsidTr="009E1F8B">
        <w:tc>
          <w:tcPr>
            <w:tcW w:w="1140" w:type="dxa"/>
          </w:tcPr>
          <w:p w:rsidR="002F652E" w:rsidRPr="004203DA" w:rsidRDefault="002F652E" w:rsidP="009E1F8B">
            <w:pPr>
              <w:spacing w:before="30" w:after="30"/>
              <w:ind w:left="57"/>
              <w:jc w:val="left"/>
              <w:rPr>
                <w:b/>
                <w:bCs/>
                <w:sz w:val="20"/>
              </w:rPr>
            </w:pPr>
            <w:r w:rsidRPr="004203DA">
              <w:rPr>
                <w:b/>
                <w:bCs/>
                <w:sz w:val="20"/>
              </w:rPr>
              <w:t>SF</w:t>
            </w:r>
          </w:p>
        </w:tc>
        <w:tc>
          <w:tcPr>
            <w:tcW w:w="8220" w:type="dxa"/>
          </w:tcPr>
          <w:p w:rsidR="002F652E" w:rsidRPr="004203DA" w:rsidRDefault="002F652E" w:rsidP="009E1F8B">
            <w:pPr>
              <w:spacing w:before="30" w:after="30"/>
              <w:jc w:val="left"/>
              <w:rPr>
                <w:bCs/>
                <w:sz w:val="20"/>
              </w:rPr>
            </w:pPr>
            <w:r w:rsidRPr="004203DA">
              <w:rPr>
                <w:bCs/>
                <w:sz w:val="20"/>
              </w:rPr>
              <w:t>Compartición de frecuencias y coordinación entre los sistemas del servicio fijo por satélite y del servicio fijo</w:t>
            </w:r>
          </w:p>
        </w:tc>
      </w:tr>
      <w:tr w:rsidR="002F652E" w:rsidRPr="004203DA" w:rsidTr="009E1F8B">
        <w:tc>
          <w:tcPr>
            <w:tcW w:w="1140" w:type="dxa"/>
            <w:shd w:val="clear" w:color="auto" w:fill="auto"/>
          </w:tcPr>
          <w:p w:rsidR="002F652E" w:rsidRPr="004203DA" w:rsidRDefault="002F652E" w:rsidP="009E1F8B">
            <w:pPr>
              <w:spacing w:before="30" w:after="30"/>
              <w:ind w:left="57"/>
              <w:jc w:val="left"/>
              <w:rPr>
                <w:b/>
                <w:bCs/>
                <w:sz w:val="20"/>
              </w:rPr>
            </w:pPr>
            <w:r w:rsidRPr="004203DA">
              <w:rPr>
                <w:b/>
                <w:bCs/>
                <w:sz w:val="20"/>
              </w:rPr>
              <w:t>SM</w:t>
            </w:r>
          </w:p>
        </w:tc>
        <w:tc>
          <w:tcPr>
            <w:tcW w:w="8220" w:type="dxa"/>
            <w:shd w:val="clear" w:color="auto" w:fill="auto"/>
          </w:tcPr>
          <w:p w:rsidR="002F652E" w:rsidRPr="004203DA" w:rsidRDefault="002F652E" w:rsidP="009E1F8B">
            <w:pPr>
              <w:spacing w:before="30" w:after="30"/>
              <w:jc w:val="left"/>
              <w:rPr>
                <w:sz w:val="20"/>
              </w:rPr>
            </w:pPr>
            <w:r w:rsidRPr="004203DA">
              <w:rPr>
                <w:sz w:val="20"/>
              </w:rPr>
              <w:t>Gestión del espectro</w:t>
            </w:r>
          </w:p>
        </w:tc>
      </w:tr>
      <w:tr w:rsidR="002F652E" w:rsidRPr="004203DA" w:rsidTr="009E1F8B">
        <w:tc>
          <w:tcPr>
            <w:tcW w:w="1140" w:type="dxa"/>
          </w:tcPr>
          <w:p w:rsidR="002F652E" w:rsidRPr="004203DA" w:rsidRDefault="002F652E" w:rsidP="009E1F8B">
            <w:pPr>
              <w:spacing w:before="30" w:after="30"/>
              <w:ind w:left="57"/>
              <w:jc w:val="left"/>
              <w:rPr>
                <w:b/>
                <w:bCs/>
                <w:sz w:val="20"/>
              </w:rPr>
            </w:pPr>
            <w:r w:rsidRPr="004203DA">
              <w:rPr>
                <w:b/>
                <w:bCs/>
                <w:sz w:val="20"/>
              </w:rPr>
              <w:t>SNG</w:t>
            </w:r>
          </w:p>
        </w:tc>
        <w:tc>
          <w:tcPr>
            <w:tcW w:w="8220" w:type="dxa"/>
          </w:tcPr>
          <w:p w:rsidR="002F652E" w:rsidRPr="004203DA" w:rsidRDefault="002F652E" w:rsidP="009E1F8B">
            <w:pPr>
              <w:spacing w:before="30" w:after="30"/>
              <w:jc w:val="left"/>
              <w:rPr>
                <w:bCs/>
                <w:sz w:val="20"/>
              </w:rPr>
            </w:pPr>
            <w:r w:rsidRPr="004203DA">
              <w:rPr>
                <w:bCs/>
                <w:sz w:val="20"/>
              </w:rPr>
              <w:t>Periodismo electrónico por satélite</w:t>
            </w:r>
          </w:p>
        </w:tc>
      </w:tr>
      <w:tr w:rsidR="002F652E" w:rsidRPr="004203DA" w:rsidTr="009E1F8B">
        <w:tc>
          <w:tcPr>
            <w:tcW w:w="1140" w:type="dxa"/>
          </w:tcPr>
          <w:p w:rsidR="002F652E" w:rsidRPr="004203DA" w:rsidRDefault="002F652E" w:rsidP="009E1F8B">
            <w:pPr>
              <w:spacing w:before="30" w:after="30"/>
              <w:ind w:left="57"/>
              <w:jc w:val="left"/>
              <w:rPr>
                <w:b/>
                <w:bCs/>
                <w:sz w:val="20"/>
              </w:rPr>
            </w:pPr>
            <w:r w:rsidRPr="004203DA">
              <w:rPr>
                <w:b/>
                <w:bCs/>
                <w:sz w:val="20"/>
              </w:rPr>
              <w:t>TF</w:t>
            </w:r>
          </w:p>
        </w:tc>
        <w:tc>
          <w:tcPr>
            <w:tcW w:w="8220" w:type="dxa"/>
          </w:tcPr>
          <w:p w:rsidR="002F652E" w:rsidRPr="004203DA" w:rsidRDefault="002F652E" w:rsidP="009E1F8B">
            <w:pPr>
              <w:spacing w:before="30" w:after="30"/>
              <w:jc w:val="left"/>
              <w:rPr>
                <w:bCs/>
                <w:sz w:val="20"/>
              </w:rPr>
            </w:pPr>
            <w:r w:rsidRPr="004203DA">
              <w:rPr>
                <w:bCs/>
                <w:sz w:val="20"/>
              </w:rPr>
              <w:t>Emisiones de frecuencias patrón y señales horarias</w:t>
            </w:r>
          </w:p>
        </w:tc>
      </w:tr>
      <w:tr w:rsidR="002F652E" w:rsidRPr="004203DA" w:rsidTr="009E1F8B">
        <w:tc>
          <w:tcPr>
            <w:tcW w:w="1140" w:type="dxa"/>
          </w:tcPr>
          <w:p w:rsidR="002F652E" w:rsidRPr="004203DA" w:rsidRDefault="002F652E" w:rsidP="009E1F8B">
            <w:pPr>
              <w:spacing w:before="30" w:after="30"/>
              <w:ind w:left="57"/>
              <w:jc w:val="left"/>
              <w:rPr>
                <w:b/>
                <w:bCs/>
                <w:sz w:val="20"/>
              </w:rPr>
            </w:pPr>
            <w:r w:rsidRPr="004203DA">
              <w:rPr>
                <w:b/>
                <w:bCs/>
                <w:sz w:val="20"/>
              </w:rPr>
              <w:t>V</w:t>
            </w:r>
          </w:p>
        </w:tc>
        <w:tc>
          <w:tcPr>
            <w:tcW w:w="8220" w:type="dxa"/>
          </w:tcPr>
          <w:p w:rsidR="002F652E" w:rsidRPr="004203DA" w:rsidRDefault="002F652E" w:rsidP="009E1F8B">
            <w:pPr>
              <w:spacing w:before="30" w:after="140"/>
              <w:jc w:val="left"/>
              <w:rPr>
                <w:bCs/>
                <w:sz w:val="20"/>
              </w:rPr>
            </w:pPr>
            <w:r w:rsidRPr="004203DA">
              <w:rPr>
                <w:bCs/>
                <w:sz w:val="20"/>
              </w:rPr>
              <w:t>Vocabulario y cuestiones afines</w:t>
            </w:r>
          </w:p>
        </w:tc>
      </w:tr>
    </w:tbl>
    <w:p w:rsidR="002F652E" w:rsidRPr="004203DA" w:rsidRDefault="002F652E" w:rsidP="009E1F8B">
      <w:pPr>
        <w:spacing w:before="0" w:after="140"/>
        <w:jc w:val="center"/>
        <w:rPr>
          <w:sz w:val="20"/>
        </w:rPr>
      </w:pPr>
    </w:p>
    <w:tbl>
      <w:tblPr>
        <w:tblpPr w:leftFromText="180" w:rightFromText="180" w:vertAnchor="text" w:tblpX="-5771" w:tblpY="-4031"/>
        <w:tblW w:w="0" w:type="auto"/>
        <w:tblLook w:val="0000" w:firstRow="0" w:lastRow="0" w:firstColumn="0" w:lastColumn="0" w:noHBand="0" w:noVBand="0"/>
      </w:tblPr>
      <w:tblGrid>
        <w:gridCol w:w="720"/>
      </w:tblGrid>
      <w:tr w:rsidR="002F652E" w:rsidRPr="004203DA" w:rsidTr="009E1F8B">
        <w:tc>
          <w:tcPr>
            <w:tcW w:w="720" w:type="dxa"/>
          </w:tcPr>
          <w:p w:rsidR="002F652E" w:rsidRPr="004203DA" w:rsidRDefault="002F652E" w:rsidP="009E1F8B">
            <w:pPr>
              <w:spacing w:before="0"/>
              <w:jc w:val="center"/>
              <w:rPr>
                <w:sz w:val="22"/>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F652E" w:rsidRPr="004203DA" w:rsidTr="009E1F8B">
        <w:tc>
          <w:tcPr>
            <w:tcW w:w="9360" w:type="dxa"/>
          </w:tcPr>
          <w:p w:rsidR="002F652E" w:rsidRPr="004203DA" w:rsidRDefault="002F652E" w:rsidP="00D85A91">
            <w:pPr>
              <w:spacing w:before="92" w:after="92"/>
              <w:jc w:val="left"/>
              <w:rPr>
                <w:i/>
                <w:iCs/>
                <w:sz w:val="20"/>
              </w:rPr>
            </w:pPr>
            <w:r w:rsidRPr="004203DA">
              <w:rPr>
                <w:b/>
                <w:bCs/>
                <w:i/>
                <w:iCs/>
                <w:sz w:val="20"/>
              </w:rPr>
              <w:t>Nota</w:t>
            </w:r>
            <w:r w:rsidRPr="004203DA">
              <w:rPr>
                <w:i/>
                <w:iCs/>
                <w:sz w:val="20"/>
              </w:rPr>
              <w:t>: Esta Recomendación UIT-R fue aprobada en inglés conforme al procedimiento detallado en la Resolución UIT-R 1.</w:t>
            </w:r>
          </w:p>
        </w:tc>
      </w:tr>
    </w:tbl>
    <w:p w:rsidR="002F652E" w:rsidRPr="004203DA" w:rsidRDefault="002F652E" w:rsidP="009E1F8B">
      <w:pPr>
        <w:spacing w:before="0"/>
        <w:jc w:val="center"/>
        <w:rPr>
          <w:sz w:val="22"/>
        </w:rPr>
      </w:pPr>
    </w:p>
    <w:p w:rsidR="002F652E" w:rsidRPr="004203DA" w:rsidRDefault="002F652E" w:rsidP="009E1F8B">
      <w:pPr>
        <w:spacing w:before="60"/>
        <w:jc w:val="right"/>
        <w:rPr>
          <w:i/>
          <w:iCs/>
          <w:sz w:val="20"/>
        </w:rPr>
      </w:pPr>
      <w:r w:rsidRPr="004203DA">
        <w:rPr>
          <w:i/>
          <w:iCs/>
          <w:sz w:val="20"/>
        </w:rPr>
        <w:t>Publicación electrónica</w:t>
      </w:r>
    </w:p>
    <w:p w:rsidR="002F652E" w:rsidRPr="004203DA" w:rsidRDefault="002F652E" w:rsidP="000878FF">
      <w:pPr>
        <w:spacing w:before="0" w:after="40"/>
        <w:jc w:val="right"/>
        <w:rPr>
          <w:sz w:val="20"/>
        </w:rPr>
      </w:pPr>
      <w:r w:rsidRPr="004203DA">
        <w:rPr>
          <w:sz w:val="20"/>
        </w:rPr>
        <w:t>Ginebra, 2013</w:t>
      </w:r>
    </w:p>
    <w:p w:rsidR="002F652E" w:rsidRPr="004203DA" w:rsidRDefault="002F652E" w:rsidP="009E1F8B">
      <w:pPr>
        <w:spacing w:before="0"/>
        <w:jc w:val="center"/>
        <w:rPr>
          <w:sz w:val="22"/>
        </w:rPr>
      </w:pPr>
    </w:p>
    <w:p w:rsidR="002F652E" w:rsidRPr="004203DA" w:rsidRDefault="002F652E" w:rsidP="004B5CC6">
      <w:pPr>
        <w:spacing w:before="0"/>
        <w:jc w:val="center"/>
        <w:rPr>
          <w:sz w:val="20"/>
        </w:rPr>
      </w:pPr>
      <w:r w:rsidRPr="004203DA">
        <w:rPr>
          <w:sz w:val="20"/>
        </w:rPr>
        <w:sym w:font="Symbol" w:char="F0E3"/>
      </w:r>
      <w:r w:rsidRPr="004203DA">
        <w:rPr>
          <w:sz w:val="20"/>
        </w:rPr>
        <w:t xml:space="preserve"> UIT </w:t>
      </w:r>
      <w:bookmarkStart w:id="2" w:name="iiannee"/>
      <w:bookmarkEnd w:id="2"/>
      <w:r w:rsidRPr="004203DA">
        <w:rPr>
          <w:sz w:val="20"/>
        </w:rPr>
        <w:t>2013</w:t>
      </w:r>
    </w:p>
    <w:p w:rsidR="002F652E" w:rsidRPr="004203DA" w:rsidRDefault="002F652E" w:rsidP="009E1F8B">
      <w:pPr>
        <w:spacing w:before="80"/>
        <w:rPr>
          <w:sz w:val="18"/>
          <w:szCs w:val="18"/>
        </w:rPr>
      </w:pPr>
      <w:r w:rsidRPr="004203DA">
        <w:rPr>
          <w:sz w:val="18"/>
          <w:szCs w:val="18"/>
        </w:rPr>
        <w:t>Reservados todos los derechos. Ninguna parte de esta publicación puede reproducirse por ningún procedimiento sin previa autorización escrita por parte de la UIT.</w:t>
      </w:r>
    </w:p>
    <w:p w:rsidR="002F652E" w:rsidRPr="004203DA" w:rsidRDefault="002F652E" w:rsidP="009E1F8B">
      <w:pPr>
        <w:spacing w:before="160"/>
        <w:rPr>
          <w:i/>
          <w:sz w:val="20"/>
          <w:highlight w:val="yellow"/>
        </w:rPr>
        <w:sectPr w:rsidR="002F652E" w:rsidRPr="004203DA" w:rsidSect="009E1F8B">
          <w:headerReference w:type="even" r:id="rId14"/>
          <w:headerReference w:type="default" r:id="rId15"/>
          <w:pgSz w:w="11907" w:h="16834" w:code="9"/>
          <w:pgMar w:top="1418" w:right="1134" w:bottom="1134" w:left="1134" w:header="720" w:footer="482" w:gutter="0"/>
          <w:pgNumType w:fmt="lowerRoman" w:start="2"/>
          <w:cols w:space="720"/>
        </w:sectPr>
      </w:pPr>
    </w:p>
    <w:p w:rsidR="002F652E" w:rsidRPr="004203DA" w:rsidRDefault="002F652E" w:rsidP="00344123">
      <w:pPr>
        <w:pStyle w:val="RecNo"/>
        <w:spacing w:before="0"/>
      </w:pPr>
      <w:bookmarkStart w:id="3" w:name="irecnoe"/>
      <w:bookmarkEnd w:id="3"/>
      <w:r w:rsidRPr="004203DA">
        <w:lastRenderedPageBreak/>
        <w:t xml:space="preserve">RECOMENDACIÓN  </w:t>
      </w:r>
      <w:r w:rsidRPr="004203DA">
        <w:rPr>
          <w:rStyle w:val="href"/>
        </w:rPr>
        <w:t>UIT-R  BT.2022</w:t>
      </w:r>
    </w:p>
    <w:p w:rsidR="00A6617B" w:rsidRPr="004203DA" w:rsidRDefault="00E36B78" w:rsidP="00E36B78">
      <w:pPr>
        <w:pStyle w:val="Reftitle"/>
      </w:pPr>
      <w:r w:rsidRPr="004203DA">
        <w:t>Condiciones generales de observación para la evaluación subjetiva</w:t>
      </w:r>
      <w:r w:rsidRPr="004203DA">
        <w:br/>
        <w:t>de la calidad de las imágenes de TV de definición convencional</w:t>
      </w:r>
      <w:r w:rsidRPr="004203DA">
        <w:br/>
        <w:t>y de TVAD en monitores de pantalla plana</w:t>
      </w:r>
    </w:p>
    <w:p w:rsidR="00E468FF" w:rsidRPr="004203DA" w:rsidRDefault="00E468FF" w:rsidP="00E468FF">
      <w:pPr>
        <w:pStyle w:val="Recref"/>
      </w:pPr>
      <w:r w:rsidRPr="004203DA">
        <w:t>(Cuestión UIT-R 81-1/6)</w:t>
      </w:r>
    </w:p>
    <w:p w:rsidR="005B71C7" w:rsidRPr="004203DA" w:rsidRDefault="005B71C7" w:rsidP="005B71C7">
      <w:pPr>
        <w:pStyle w:val="Blanc"/>
      </w:pPr>
    </w:p>
    <w:p w:rsidR="00E468FF" w:rsidRPr="004203DA" w:rsidRDefault="00E468FF" w:rsidP="00E468FF">
      <w:pPr>
        <w:pStyle w:val="Recdate"/>
      </w:pPr>
      <w:r w:rsidRPr="004203DA">
        <w:t>(2012)</w:t>
      </w:r>
    </w:p>
    <w:p w:rsidR="005B71C7" w:rsidRPr="004203DA" w:rsidRDefault="005B71C7" w:rsidP="005B71C7">
      <w:pPr>
        <w:pStyle w:val="Blanc"/>
      </w:pPr>
    </w:p>
    <w:p w:rsidR="00996F2E" w:rsidRPr="004203DA" w:rsidRDefault="00996F2E" w:rsidP="00996F2E">
      <w:pPr>
        <w:pStyle w:val="HeadingSum"/>
        <w:rPr>
          <w:lang w:val="es-ES"/>
        </w:rPr>
      </w:pPr>
      <w:r w:rsidRPr="004203DA">
        <w:rPr>
          <w:lang w:val="es-ES"/>
        </w:rPr>
        <w:t>Cometido</w:t>
      </w:r>
    </w:p>
    <w:p w:rsidR="00996F2E" w:rsidRDefault="00996F2E" w:rsidP="00996F2E">
      <w:pPr>
        <w:pStyle w:val="Summary"/>
        <w:rPr>
          <w:lang w:val="es-ES"/>
        </w:rPr>
      </w:pPr>
      <w:r w:rsidRPr="004203DA">
        <w:rPr>
          <w:lang w:val="es-ES"/>
        </w:rPr>
        <w:t>La presente Recomendación especifica las condiciones generales de observación para la evaluación subjetiva de las imágenes de televisión de definición convencional y de televisión de alta definición (TVAD) en monitores de pantalla plana.</w:t>
      </w:r>
    </w:p>
    <w:p w:rsidR="00996F2E" w:rsidRPr="004203DA" w:rsidRDefault="00996F2E" w:rsidP="00996F2E">
      <w:pPr>
        <w:pStyle w:val="Normalaftertitle"/>
      </w:pPr>
      <w:bookmarkStart w:id="4" w:name="_GoBack"/>
      <w:bookmarkEnd w:id="4"/>
      <w:r w:rsidRPr="004203DA">
        <w:t>La Asamblea de Radiocomunicaciones de la UIT,</w:t>
      </w:r>
    </w:p>
    <w:p w:rsidR="00996F2E" w:rsidRPr="004203DA" w:rsidRDefault="00996F2E" w:rsidP="00996F2E">
      <w:pPr>
        <w:pStyle w:val="Call"/>
      </w:pPr>
      <w:r w:rsidRPr="004203DA">
        <w:t>considerando</w:t>
      </w:r>
    </w:p>
    <w:p w:rsidR="00996F2E" w:rsidRPr="004203DA" w:rsidRDefault="00996F2E" w:rsidP="00996F2E">
      <w:r w:rsidRPr="004203DA">
        <w:t>a)</w:t>
      </w:r>
      <w:r w:rsidRPr="004203DA">
        <w:tab/>
        <w:t>que la Recomendación UIT-R BT.500 se elaboró suponiendo la utilización de monitores con tubo de rayos catódicos (TRC) en la evaluación subjetiva;</w:t>
      </w:r>
    </w:p>
    <w:p w:rsidR="00996F2E" w:rsidRPr="004203DA" w:rsidRDefault="00996F2E" w:rsidP="00996F2E">
      <w:pPr>
        <w:spacing w:before="80"/>
      </w:pPr>
      <w:r w:rsidRPr="004203DA">
        <w:t>b)</w:t>
      </w:r>
      <w:r w:rsidRPr="004203DA">
        <w:tab/>
        <w:t>que la transición de monitores con TRC a monitores sin TRC exige la utilización de monitores sin TRC para la evaluación subjetiva;</w:t>
      </w:r>
    </w:p>
    <w:p w:rsidR="00996F2E" w:rsidRPr="004203DA" w:rsidRDefault="00996F2E" w:rsidP="00996F2E">
      <w:pPr>
        <w:spacing w:before="80"/>
      </w:pPr>
      <w:r w:rsidRPr="004203DA">
        <w:t>c)</w:t>
      </w:r>
      <w:r w:rsidRPr="004203DA">
        <w:tab/>
        <w:t>que las características de la presentación de imágenes pueden diferir entre monitores con y sin TRC;</w:t>
      </w:r>
    </w:p>
    <w:p w:rsidR="00996F2E" w:rsidRPr="004203DA" w:rsidRDefault="00996F2E" w:rsidP="00996F2E">
      <w:pPr>
        <w:spacing w:before="80"/>
      </w:pPr>
      <w:r w:rsidRPr="004203DA">
        <w:t>d)</w:t>
      </w:r>
      <w:r w:rsidRPr="004203DA">
        <w:tab/>
        <w:t>que para la evaluación de la calidad subjetiva de las imágenes de televisión cada vez se utilizan con más frecuencia monitores de pantalla plana para la TV convencional y la TVAD,</w:t>
      </w:r>
    </w:p>
    <w:p w:rsidR="00996F2E" w:rsidRPr="004203DA" w:rsidRDefault="00996F2E" w:rsidP="00996F2E">
      <w:pPr>
        <w:pStyle w:val="Call"/>
      </w:pPr>
      <w:r w:rsidRPr="004203DA">
        <w:t>reconociendo</w:t>
      </w:r>
    </w:p>
    <w:p w:rsidR="00996F2E" w:rsidRPr="004203DA" w:rsidRDefault="00996F2E" w:rsidP="00996F2E">
      <w:r w:rsidRPr="004203DA">
        <w:t>a)</w:t>
      </w:r>
      <w:r w:rsidRPr="004203DA">
        <w:rPr>
          <w:i/>
          <w:iCs/>
        </w:rPr>
        <w:tab/>
      </w:r>
      <w:r w:rsidRPr="004203DA">
        <w:t>que las Recomendaciones UIT-R BT.814 y BT.815 proporcionan especificaciones y procedimientos de ajuste para establecer el brillo y el contraste en las pantallas;</w:t>
      </w:r>
    </w:p>
    <w:p w:rsidR="00996F2E" w:rsidRPr="004203DA" w:rsidRDefault="00996F2E" w:rsidP="00996F2E">
      <w:r w:rsidRPr="004203DA">
        <w:t>b)</w:t>
      </w:r>
      <w:r w:rsidRPr="004203DA">
        <w:rPr>
          <w:i/>
          <w:iCs/>
        </w:rPr>
        <w:tab/>
      </w:r>
      <w:r w:rsidRPr="004203DA">
        <w:t>que la Recomendación UIT-R BT.1848 proporciona directrices sobre las zonas de seguridad en los formatos de 625 líneas, 720 líneas y 1 080 líneas de las producciones digitales para pantalla grande con formato de imagen 16:9;</w:t>
      </w:r>
    </w:p>
    <w:p w:rsidR="00996F2E" w:rsidRPr="004203DA" w:rsidRDefault="00996F2E" w:rsidP="00996F2E">
      <w:r w:rsidRPr="004203DA">
        <w:t>c)</w:t>
      </w:r>
      <w:r w:rsidRPr="004203DA">
        <w:rPr>
          <w:i/>
          <w:iCs/>
        </w:rPr>
        <w:tab/>
      </w:r>
      <w:r w:rsidRPr="004203DA">
        <w:t>que la Recomendación UIT-R BT.1886 especifica la función de transferencia electroóptica de referencia que deben seguir las pantallas utilizadas en la producción de programas de TVAD para facilitar una presentación de imágenes coherente;</w:t>
      </w:r>
    </w:p>
    <w:p w:rsidR="00996F2E" w:rsidRPr="004203DA" w:rsidRDefault="00996F2E" w:rsidP="00996F2E">
      <w:r w:rsidRPr="004203DA">
        <w:t>d)</w:t>
      </w:r>
      <w:r w:rsidRPr="004203DA">
        <w:rPr>
          <w:i/>
          <w:iCs/>
        </w:rPr>
        <w:tab/>
      </w:r>
      <w:r w:rsidRPr="004203DA">
        <w:t>que el Informe UIT-R B.2129 presenta los requisitos de usuario de los monitores de pantalla plana como monitor principal en un entorno de producción de programas de TVAD,</w:t>
      </w:r>
    </w:p>
    <w:p w:rsidR="00996F2E" w:rsidRPr="004203DA" w:rsidRDefault="00996F2E" w:rsidP="00340745">
      <w:pPr>
        <w:pStyle w:val="Call"/>
        <w:keepNext w:val="0"/>
        <w:keepLines w:val="0"/>
        <w:widowControl w:val="0"/>
      </w:pPr>
      <w:r w:rsidRPr="004203DA">
        <w:t>observando</w:t>
      </w:r>
    </w:p>
    <w:p w:rsidR="00996F2E" w:rsidRPr="004203DA" w:rsidRDefault="00996F2E" w:rsidP="00340745">
      <w:pPr>
        <w:widowControl w:val="0"/>
      </w:pPr>
      <w:r w:rsidRPr="004203DA">
        <w:rPr>
          <w:b/>
          <w:bCs/>
        </w:rPr>
        <w:t>1</w:t>
      </w:r>
      <w:r w:rsidRPr="004203DA">
        <w:rPr>
          <w:b/>
          <w:bCs/>
        </w:rPr>
        <w:tab/>
      </w:r>
      <w:r w:rsidRPr="004203DA">
        <w:t>que las condiciones de observación específicas para la evaluación subjetiva de sistemas concretos aparecen en las Recomendaciones correspondientes (por ejemplo, la Recomendación UIT</w:t>
      </w:r>
      <w:r w:rsidRPr="004203DA">
        <w:noBreakHyphen/>
        <w:t>R BT.710 para TV</w:t>
      </w:r>
      <w:r w:rsidR="00382506">
        <w:t>AD y la Recomendación UIT-T BT.</w:t>
      </w:r>
      <w:r w:rsidRPr="004203DA">
        <w:t>1129 para la TV de definición convencional);</w:t>
      </w:r>
    </w:p>
    <w:p w:rsidR="00996F2E" w:rsidRPr="004203DA" w:rsidRDefault="00996F2E" w:rsidP="00340745">
      <w:pPr>
        <w:widowControl w:val="0"/>
      </w:pPr>
      <w:r w:rsidRPr="004203DA">
        <w:rPr>
          <w:b/>
          <w:bCs/>
        </w:rPr>
        <w:t>2</w:t>
      </w:r>
      <w:r w:rsidRPr="004203DA">
        <w:rPr>
          <w:b/>
          <w:bCs/>
        </w:rPr>
        <w:tab/>
      </w:r>
      <w:r w:rsidRPr="004203DA">
        <w:t>que las Recomendaciones UIT-R BT.710 y BT.1129 entraron en vigor antes del desarrollo de los monitores de pantalla grande plana,</w:t>
      </w:r>
    </w:p>
    <w:p w:rsidR="00996F2E" w:rsidRPr="004203DA" w:rsidRDefault="00996F2E" w:rsidP="00340745">
      <w:pPr>
        <w:pStyle w:val="Call"/>
        <w:keepNext w:val="0"/>
        <w:keepLines w:val="0"/>
        <w:widowControl w:val="0"/>
      </w:pPr>
      <w:r w:rsidRPr="004203DA">
        <w:lastRenderedPageBreak/>
        <w:t>recomienda</w:t>
      </w:r>
    </w:p>
    <w:p w:rsidR="00996F2E" w:rsidRPr="004203DA" w:rsidRDefault="00996F2E" w:rsidP="00996F2E">
      <w:r w:rsidRPr="004203DA">
        <w:rPr>
          <w:b/>
        </w:rPr>
        <w:t>1</w:t>
      </w:r>
      <w:r w:rsidRPr="004203DA">
        <w:tab/>
        <w:t>que para la evaluación subjetiva de la calidad de imagen se utilicen las condiciones generales de observación descritas en el Anexo 1.</w:t>
      </w:r>
    </w:p>
    <w:p w:rsidR="005B71C7" w:rsidRPr="004203DA" w:rsidRDefault="005B71C7" w:rsidP="00996F2E"/>
    <w:p w:rsidR="005B71C7" w:rsidRPr="004203DA" w:rsidRDefault="005B71C7" w:rsidP="0062075E">
      <w:pPr>
        <w:spacing w:before="0"/>
      </w:pPr>
    </w:p>
    <w:p w:rsidR="00996F2E" w:rsidRPr="004203DA" w:rsidRDefault="00355466" w:rsidP="00996F2E">
      <w:pPr>
        <w:pStyle w:val="AnnexNoTitle"/>
      </w:pPr>
      <w:r>
        <w:t xml:space="preserve">Anexo </w:t>
      </w:r>
      <w:r w:rsidR="00996F2E" w:rsidRPr="004203DA">
        <w:t>1</w:t>
      </w:r>
    </w:p>
    <w:p w:rsidR="00996F2E" w:rsidRPr="004203DA" w:rsidRDefault="00996F2E" w:rsidP="00996F2E">
      <w:pPr>
        <w:pStyle w:val="Heading1"/>
      </w:pPr>
      <w:r w:rsidRPr="004203DA">
        <w:t>1</w:t>
      </w:r>
      <w:r w:rsidRPr="004203DA">
        <w:tab/>
        <w:t>Condiciones generales de observación</w:t>
      </w:r>
    </w:p>
    <w:p w:rsidR="00996F2E" w:rsidRPr="004203DA" w:rsidRDefault="00996F2E" w:rsidP="00996F2E">
      <w:r w:rsidRPr="004203DA">
        <w:t>Se describen distintos entornos con diferentes condiciones de observación.</w:t>
      </w:r>
    </w:p>
    <w:p w:rsidR="00996F2E" w:rsidRPr="004203DA" w:rsidRDefault="00996F2E" w:rsidP="00996F2E">
      <w:pPr>
        <w:spacing w:before="100"/>
      </w:pPr>
      <w:r w:rsidRPr="004203DA">
        <w:t>El entorno de observación de laboratorio tiene por objeto proporcionar condiciones críticas para comprobar el funcionamiento de los sistemas. En el §</w:t>
      </w:r>
      <w:r w:rsidRPr="004203DA">
        <w:rPr>
          <w:position w:val="-2"/>
        </w:rPr>
        <w:t> </w:t>
      </w:r>
      <w:r w:rsidRPr="004203DA">
        <w:t>1.1 se indican las condiciones generales de observación para efectuar evaluaciones subjetivas en el entorno del laboratorio.</w:t>
      </w:r>
    </w:p>
    <w:p w:rsidR="00996F2E" w:rsidRPr="004203DA" w:rsidRDefault="00996F2E" w:rsidP="00996F2E">
      <w:pPr>
        <w:spacing w:before="100"/>
      </w:pPr>
      <w:r w:rsidRPr="004203DA">
        <w:t>El entorno de observación doméstico tiene por objeto proporcionar los medios para evaluar la calidad en el lado de usuario de toda la cadena de transmisión de televisión. Las condiciones generales de observación señaladas en el §</w:t>
      </w:r>
      <w:r w:rsidRPr="004203DA">
        <w:rPr>
          <w:position w:val="-2"/>
        </w:rPr>
        <w:t> </w:t>
      </w:r>
      <w:r w:rsidRPr="004203DA">
        <w:t>1.2 reproducen un entorno doméstico. Estos parámetros se han seleccionado para definir un entorno ligeramente más crítico que las situaciones normales de observación en los hogares.</w:t>
      </w:r>
    </w:p>
    <w:p w:rsidR="00996F2E" w:rsidRPr="004203DA" w:rsidRDefault="00996F2E" w:rsidP="00996F2E">
      <w:pPr>
        <w:spacing w:before="100"/>
      </w:pPr>
      <w:r w:rsidRPr="004203DA">
        <w:t>Se discuten algunos aspectos relativos a las características del monitor.</w:t>
      </w:r>
    </w:p>
    <w:p w:rsidR="00996F2E" w:rsidRPr="004203DA" w:rsidRDefault="00996F2E" w:rsidP="00996F2E">
      <w:pPr>
        <w:pStyle w:val="Heading2"/>
      </w:pPr>
      <w:r w:rsidRPr="004203DA">
        <w:t>1.1</w:t>
      </w:r>
      <w:r w:rsidRPr="004203DA">
        <w:tab/>
        <w:t>Condiciones generales de observación para efectuar evaluaciones subjetivas en el entorno de laboratorio</w:t>
      </w:r>
    </w:p>
    <w:p w:rsidR="00996F2E" w:rsidRPr="004203DA" w:rsidRDefault="00996F2E" w:rsidP="00996F2E">
      <w:r w:rsidRPr="004203DA">
        <w:t>Las condiciones de observación de los evaluadores deben organizarse como sigue:</w:t>
      </w:r>
    </w:p>
    <w:p w:rsidR="0062075E" w:rsidRPr="004203DA" w:rsidRDefault="0062075E" w:rsidP="0062075E">
      <w:pPr>
        <w:pStyle w:val="Blanc"/>
      </w:pPr>
    </w:p>
    <w:p w:rsidR="00996F2E" w:rsidRPr="004203DA" w:rsidRDefault="00996F2E" w:rsidP="00392AF5">
      <w:pPr>
        <w:pStyle w:val="enumlev1"/>
        <w:tabs>
          <w:tab w:val="clear" w:pos="794"/>
          <w:tab w:val="clear" w:pos="1191"/>
          <w:tab w:val="clear" w:pos="1588"/>
          <w:tab w:val="clear" w:pos="1985"/>
          <w:tab w:val="left" w:pos="7229"/>
          <w:tab w:val="left" w:pos="7655"/>
        </w:tabs>
        <w:spacing w:before="60"/>
        <w:jc w:val="left"/>
      </w:pPr>
      <w:r w:rsidRPr="004203DA">
        <w:t>a)</w:t>
      </w:r>
      <w:r w:rsidRPr="004203DA">
        <w:tab/>
        <w:t>Iluminación de la sala:</w:t>
      </w:r>
      <w:r w:rsidRPr="004203DA">
        <w:tab/>
      </w:r>
      <w:r w:rsidR="00392AF5">
        <w:tab/>
      </w:r>
      <w:r w:rsidRPr="004203DA">
        <w:t>baja</w:t>
      </w:r>
    </w:p>
    <w:p w:rsidR="00996F2E" w:rsidRPr="004203DA" w:rsidRDefault="00996F2E" w:rsidP="00392AF5">
      <w:pPr>
        <w:pStyle w:val="enumlev1"/>
        <w:tabs>
          <w:tab w:val="clear" w:pos="794"/>
          <w:tab w:val="clear" w:pos="1191"/>
          <w:tab w:val="clear" w:pos="1588"/>
          <w:tab w:val="clear" w:pos="1985"/>
          <w:tab w:val="left" w:pos="7229"/>
          <w:tab w:val="left" w:pos="7655"/>
        </w:tabs>
        <w:spacing w:before="60"/>
        <w:jc w:val="left"/>
      </w:pPr>
      <w:r w:rsidRPr="004203DA">
        <w:t>b)</w:t>
      </w:r>
      <w:r w:rsidRPr="004203DA">
        <w:tab/>
        <w:t>Cromaticidad del fondo:</w:t>
      </w:r>
      <w:r w:rsidRPr="004203DA">
        <w:tab/>
      </w:r>
      <w:r w:rsidR="00392AF5">
        <w:tab/>
      </w:r>
      <w:r w:rsidRPr="00340745">
        <w:rPr>
          <w:i/>
          <w:iCs/>
        </w:rPr>
        <w:t>D</w:t>
      </w:r>
      <w:r w:rsidRPr="004203DA">
        <w:rPr>
          <w:vertAlign w:val="subscript"/>
        </w:rPr>
        <w:t>65</w:t>
      </w:r>
    </w:p>
    <w:p w:rsidR="00996F2E" w:rsidRPr="004203DA" w:rsidRDefault="00996F2E" w:rsidP="00392AF5">
      <w:pPr>
        <w:pStyle w:val="enumlev1"/>
        <w:tabs>
          <w:tab w:val="left" w:pos="7655"/>
        </w:tabs>
        <w:spacing w:before="60"/>
        <w:ind w:left="7655" w:hanging="7655"/>
        <w:jc w:val="left"/>
      </w:pPr>
      <w:r w:rsidRPr="004203DA">
        <w:t>c)</w:t>
      </w:r>
      <w:r w:rsidRPr="004203DA">
        <w:tab/>
        <w:t>Luminancia de cresta</w:t>
      </w:r>
      <w:r w:rsidRPr="004203DA">
        <w:rPr>
          <w:rStyle w:val="FootnoteReference"/>
        </w:rPr>
        <w:footnoteReference w:id="1"/>
      </w:r>
      <w:r w:rsidRPr="004203DA">
        <w:t>:</w:t>
      </w:r>
      <w:r w:rsidRPr="004203DA">
        <w:tab/>
        <w:t>70-250 cd/m</w:t>
      </w:r>
      <w:r w:rsidRPr="004203DA">
        <w:rPr>
          <w:vertAlign w:val="superscript"/>
        </w:rPr>
        <w:t>2</w:t>
      </w:r>
      <w:r w:rsidRPr="004203DA">
        <w:rPr>
          <w:vertAlign w:val="superscript"/>
        </w:rPr>
        <w:br/>
      </w:r>
      <w:r w:rsidRPr="004203DA">
        <w:t>(véase el § 1.7.2)</w:t>
      </w:r>
    </w:p>
    <w:p w:rsidR="00996F2E" w:rsidRPr="004203DA" w:rsidRDefault="00996F2E" w:rsidP="00392AF5">
      <w:pPr>
        <w:pStyle w:val="enumlev1"/>
        <w:tabs>
          <w:tab w:val="clear" w:pos="794"/>
          <w:tab w:val="clear" w:pos="1191"/>
          <w:tab w:val="clear" w:pos="1588"/>
          <w:tab w:val="clear" w:pos="1985"/>
          <w:tab w:val="left" w:pos="7229"/>
          <w:tab w:val="left" w:pos="7655"/>
        </w:tabs>
        <w:spacing w:before="60"/>
        <w:jc w:val="left"/>
      </w:pPr>
      <w:r w:rsidRPr="004203DA">
        <w:t>d)</w:t>
      </w:r>
      <w:r w:rsidRPr="004203DA">
        <w:tab/>
        <w:t>Relación de contraste del monitor:</w:t>
      </w:r>
      <w:r w:rsidRPr="004203DA">
        <w:tab/>
      </w:r>
      <w:r w:rsidR="00392AF5">
        <w:tab/>
      </w:r>
      <w:r w:rsidRPr="004203DA">
        <w:sym w:font="Symbol" w:char="F0A3"/>
      </w:r>
      <w:r w:rsidRPr="004203DA">
        <w:t xml:space="preserve"> 0,02</w:t>
      </w:r>
      <w:r w:rsidR="000160BD">
        <w:br/>
      </w:r>
      <w:r w:rsidR="000160BD">
        <w:tab/>
      </w:r>
      <w:r w:rsidR="00392AF5">
        <w:tab/>
      </w:r>
      <w:r w:rsidRPr="004203DA">
        <w:t>(véase el § 1.7.1)</w:t>
      </w:r>
    </w:p>
    <w:p w:rsidR="00996F2E" w:rsidRPr="004203DA" w:rsidRDefault="00996F2E" w:rsidP="00392AF5">
      <w:pPr>
        <w:pStyle w:val="enumlev1"/>
        <w:tabs>
          <w:tab w:val="clear" w:pos="794"/>
          <w:tab w:val="clear" w:pos="1191"/>
          <w:tab w:val="clear" w:pos="1588"/>
          <w:tab w:val="clear" w:pos="1985"/>
          <w:tab w:val="left" w:pos="7229"/>
          <w:tab w:val="left" w:pos="7655"/>
        </w:tabs>
        <w:spacing w:before="60"/>
        <w:jc w:val="left"/>
      </w:pPr>
      <w:r w:rsidRPr="004203DA">
        <w:t>e)</w:t>
      </w:r>
      <w:r w:rsidRPr="004203DA">
        <w:tab/>
        <w:t xml:space="preserve">Relación entre la luminancia de fondo detrás del receptor </w:t>
      </w:r>
      <w:r w:rsidRPr="004203DA">
        <w:br/>
        <w:t>de imágenes y el valor de cresta de luminancia de la imagen:</w:t>
      </w:r>
      <w:r w:rsidRPr="004203DA">
        <w:tab/>
      </w:r>
      <w:r w:rsidR="00392AF5">
        <w:tab/>
      </w:r>
      <w:r w:rsidRPr="004203DA">
        <w:sym w:font="Symbol" w:char="F0BB"/>
      </w:r>
      <w:r w:rsidRPr="004203DA">
        <w:t xml:space="preserve"> 0,15</w:t>
      </w:r>
    </w:p>
    <w:p w:rsidR="00996F2E" w:rsidRPr="004203DA" w:rsidRDefault="00996F2E" w:rsidP="00996F2E">
      <w:pPr>
        <w:pStyle w:val="Heading2"/>
      </w:pPr>
      <w:r w:rsidRPr="004203DA">
        <w:t>1.2</w:t>
      </w:r>
      <w:r w:rsidRPr="004203DA">
        <w:tab/>
        <w:t>Condiciones generales de observación para efectuar evaluaciones subjetivas en el entorno doméstico</w:t>
      </w:r>
    </w:p>
    <w:p w:rsidR="00996F2E" w:rsidRPr="004203DA" w:rsidRDefault="00996F2E" w:rsidP="00392AF5">
      <w:pPr>
        <w:pStyle w:val="enumlev1"/>
        <w:tabs>
          <w:tab w:val="clear" w:pos="794"/>
          <w:tab w:val="clear" w:pos="1191"/>
          <w:tab w:val="clear" w:pos="1588"/>
          <w:tab w:val="clear" w:pos="1985"/>
          <w:tab w:val="left" w:pos="7229"/>
          <w:tab w:val="left" w:pos="7655"/>
        </w:tabs>
        <w:spacing w:before="60"/>
        <w:jc w:val="left"/>
      </w:pPr>
      <w:r w:rsidRPr="004203DA">
        <w:t>a)</w:t>
      </w:r>
      <w:r w:rsidRPr="004203DA">
        <w:tab/>
        <w:t xml:space="preserve">Luminancia del medio ambiente en la pantalla (la luz </w:t>
      </w:r>
      <w:r w:rsidRPr="004203DA">
        <w:br/>
      </w:r>
      <w:r w:rsidR="000160BD" w:rsidRPr="004203DA">
        <w:t xml:space="preserve">incidente </w:t>
      </w:r>
      <w:r w:rsidRPr="004203DA">
        <w:t xml:space="preserve">del entorno proyectada sobre la pantalla debe </w:t>
      </w:r>
      <w:r w:rsidRPr="004203DA">
        <w:br/>
      </w:r>
      <w:r w:rsidR="000160BD" w:rsidRPr="004203DA">
        <w:t xml:space="preserve">medirse </w:t>
      </w:r>
      <w:r w:rsidRPr="004203DA">
        <w:t>perpendicularmente a la misma):</w:t>
      </w:r>
      <w:r w:rsidRPr="004203DA">
        <w:tab/>
      </w:r>
      <w:r w:rsidR="00392AF5">
        <w:tab/>
      </w:r>
      <w:r w:rsidRPr="004203DA">
        <w:t>200 lux</w:t>
      </w:r>
    </w:p>
    <w:p w:rsidR="00996F2E" w:rsidRPr="004203DA" w:rsidRDefault="00996F2E" w:rsidP="00392AF5">
      <w:pPr>
        <w:pStyle w:val="enumlev1"/>
        <w:keepNext/>
        <w:keepLines/>
        <w:tabs>
          <w:tab w:val="left" w:pos="7229"/>
          <w:tab w:val="left" w:pos="7655"/>
        </w:tabs>
        <w:spacing w:before="60"/>
        <w:ind w:left="7655" w:hanging="7655"/>
        <w:jc w:val="left"/>
      </w:pPr>
      <w:r w:rsidRPr="004203DA">
        <w:t>b)</w:t>
      </w:r>
      <w:r w:rsidRPr="004203DA">
        <w:tab/>
        <w:t>Luminación de cresta</w:t>
      </w:r>
      <w:r w:rsidRPr="004203DA">
        <w:rPr>
          <w:vertAlign w:val="superscript"/>
        </w:rPr>
        <w:t>1</w:t>
      </w:r>
      <w:r w:rsidRPr="004203DA">
        <w:t>:</w:t>
      </w:r>
      <w:r w:rsidRPr="004203DA">
        <w:tab/>
      </w:r>
      <w:r w:rsidR="00392AF5">
        <w:tab/>
      </w:r>
      <w:r w:rsidRPr="004203DA">
        <w:t>70-500 cd/m</w:t>
      </w:r>
      <w:r w:rsidRPr="004203DA">
        <w:rPr>
          <w:vertAlign w:val="superscript"/>
        </w:rPr>
        <w:t>2</w:t>
      </w:r>
      <w:r w:rsidRPr="004203DA">
        <w:rPr>
          <w:vertAlign w:val="superscript"/>
        </w:rPr>
        <w:br/>
      </w:r>
      <w:r w:rsidRPr="004203DA">
        <w:t>(véase el § 1.7.2)</w:t>
      </w:r>
    </w:p>
    <w:p w:rsidR="00996F2E" w:rsidRPr="004203DA" w:rsidRDefault="00996F2E" w:rsidP="00392AF5">
      <w:pPr>
        <w:pStyle w:val="enumlev1"/>
        <w:tabs>
          <w:tab w:val="clear" w:pos="794"/>
          <w:tab w:val="clear" w:pos="1191"/>
          <w:tab w:val="clear" w:pos="1588"/>
          <w:tab w:val="clear" w:pos="1985"/>
          <w:tab w:val="left" w:pos="7229"/>
          <w:tab w:val="left" w:pos="7655"/>
        </w:tabs>
        <w:spacing w:before="60"/>
        <w:jc w:val="left"/>
      </w:pPr>
      <w:r w:rsidRPr="004203DA">
        <w:t>c)</w:t>
      </w:r>
      <w:r w:rsidRPr="004203DA">
        <w:tab/>
        <w:t>Relación entre la luminancia de pantalla inactiva y el valor</w:t>
      </w:r>
      <w:r w:rsidR="000160BD">
        <w:tab/>
      </w:r>
      <w:r w:rsidR="00392AF5">
        <w:tab/>
      </w:r>
      <w:r w:rsidR="000160BD" w:rsidRPr="004203DA">
        <w:sym w:font="Symbol" w:char="F0A3"/>
      </w:r>
      <w:r w:rsidR="000160BD" w:rsidRPr="004203DA">
        <w:t xml:space="preserve"> 0,02</w:t>
      </w:r>
      <w:r w:rsidRPr="004203DA">
        <w:br/>
      </w:r>
      <w:r w:rsidR="000160BD" w:rsidRPr="004203DA">
        <w:t xml:space="preserve">de </w:t>
      </w:r>
      <w:r w:rsidRPr="004203DA">
        <w:t>cresta de la luminancia de monitor:</w:t>
      </w:r>
      <w:r w:rsidRPr="004203DA">
        <w:tab/>
      </w:r>
      <w:r w:rsidR="00392AF5">
        <w:tab/>
      </w:r>
      <w:r w:rsidRPr="004203DA">
        <w:t>(véase el § 1.7.1)</w:t>
      </w:r>
    </w:p>
    <w:p w:rsidR="00996F2E" w:rsidRPr="004203DA" w:rsidRDefault="00996F2E" w:rsidP="00996F2E">
      <w:pPr>
        <w:pStyle w:val="Heading2"/>
      </w:pPr>
      <w:r w:rsidRPr="004203DA">
        <w:lastRenderedPageBreak/>
        <w:t>1.3</w:t>
      </w:r>
      <w:r w:rsidRPr="004203DA">
        <w:tab/>
        <w:t>Distancia de observación</w:t>
      </w:r>
    </w:p>
    <w:p w:rsidR="00996F2E" w:rsidRPr="004203DA" w:rsidRDefault="00996F2E" w:rsidP="00996F2E">
      <w:r w:rsidRPr="004203DA">
        <w:t xml:space="preserve">La distancia de observación se basa en el tamaño de la pantalla y puede elegirse según dos criterios distintos: la distancia de observación preferida (PVD, </w:t>
      </w:r>
      <w:r w:rsidRPr="004203DA">
        <w:rPr>
          <w:i/>
          <w:iCs/>
        </w:rPr>
        <w:t>preferred viewing distance</w:t>
      </w:r>
      <w:r w:rsidRPr="004203DA">
        <w:t xml:space="preserve">) y la distancia de observación de diseño (DVD, </w:t>
      </w:r>
      <w:r w:rsidRPr="004203DA">
        <w:rPr>
          <w:i/>
          <w:iCs/>
        </w:rPr>
        <w:t>design viewing distance</w:t>
      </w:r>
      <w:r w:rsidRPr="004203DA">
        <w:t>). La selección de uno u otro criterio dependerá del objeto del estudio.</w:t>
      </w:r>
    </w:p>
    <w:p w:rsidR="00996F2E" w:rsidRPr="004203DA" w:rsidRDefault="00996F2E" w:rsidP="00996F2E">
      <w:pPr>
        <w:pStyle w:val="Heading3"/>
      </w:pPr>
      <w:r w:rsidRPr="004203DA">
        <w:t>1.3.1</w:t>
      </w:r>
      <w:r w:rsidRPr="004203DA">
        <w:tab/>
        <w:t>Distancia de observación preferida</w:t>
      </w:r>
    </w:p>
    <w:p w:rsidR="00996F2E" w:rsidRDefault="00996F2E" w:rsidP="00996F2E">
      <w:r w:rsidRPr="004203DA">
        <w:t>La distancia de observación preferida (PVD) se basa en las preferencias de los usuarios que se han determinado empíricamente. La PVD (en función de los tamaños de pantalla) se presenta en la Fig. 1, que contiene un cierto número de conjuntos de datos recopilados de las fuentes disponibles. Esta información puede utilizarse para diseñar una prueba de evaluación subjetiva.</w:t>
      </w:r>
    </w:p>
    <w:p w:rsidR="00355466" w:rsidRPr="004203DA" w:rsidRDefault="00355466" w:rsidP="00581541"/>
    <w:p w:rsidR="00996F2E" w:rsidRPr="004203DA" w:rsidRDefault="00996F2E" w:rsidP="00996F2E">
      <w:pPr>
        <w:pStyle w:val="FigureNo"/>
      </w:pPr>
      <w:r w:rsidRPr="004203DA">
        <w:t>figura 1</w:t>
      </w:r>
    </w:p>
    <w:p w:rsidR="00996F2E" w:rsidRDefault="00996F2E" w:rsidP="00996F2E">
      <w:pPr>
        <w:pStyle w:val="Figuretitle"/>
      </w:pPr>
      <w:r w:rsidRPr="004203DA">
        <w:t>Distancia de observación preferida en función de los tamaños de pantalla</w:t>
      </w:r>
    </w:p>
    <w:p w:rsidR="00581541" w:rsidRPr="00355466" w:rsidRDefault="00581541" w:rsidP="00581541">
      <w:pPr>
        <w:pStyle w:val="Blanc"/>
      </w:pPr>
    </w:p>
    <w:p w:rsidR="00996F2E" w:rsidRPr="004203DA" w:rsidRDefault="00725A77" w:rsidP="00725A77">
      <w:pPr>
        <w:jc w:val="center"/>
        <w:rPr>
          <w:lang w:eastAsia="zh-CN"/>
        </w:rPr>
      </w:pPr>
      <w:r>
        <w:rPr>
          <w:lang w:eastAsia="zh-CN"/>
        </w:rPr>
        <w:object w:dxaOrig="6779" w:dyaOrig="40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pt;height:239.5pt" o:ole="">
            <v:imagedata r:id="rId16" o:title=""/>
          </v:shape>
          <o:OLEObject Type="Embed" ProgID="CorelDRAW.Graphic.14" ShapeID="_x0000_i1025" DrawAspect="Content" ObjectID="_1420443651" r:id="rId17"/>
        </w:object>
      </w:r>
    </w:p>
    <w:p w:rsidR="00355466" w:rsidRPr="004203DA" w:rsidRDefault="00355466" w:rsidP="00581541">
      <w:pPr>
        <w:spacing w:before="0"/>
      </w:pPr>
    </w:p>
    <w:p w:rsidR="00996F2E" w:rsidRPr="004203DA" w:rsidRDefault="00996F2E" w:rsidP="00996F2E">
      <w:pPr>
        <w:pStyle w:val="Heading3"/>
        <w:rPr>
          <w:lang w:eastAsia="zh-CN"/>
        </w:rPr>
      </w:pPr>
      <w:r w:rsidRPr="004203DA">
        <w:rPr>
          <w:lang w:eastAsia="zh-CN"/>
        </w:rPr>
        <w:t>1.3.2</w:t>
      </w:r>
      <w:r w:rsidRPr="004203DA">
        <w:rPr>
          <w:lang w:eastAsia="zh-CN"/>
        </w:rPr>
        <w:tab/>
        <w:t>Distancia de observación de diseño</w:t>
      </w:r>
    </w:p>
    <w:p w:rsidR="00996F2E" w:rsidRPr="004203DA" w:rsidRDefault="00996F2E" w:rsidP="00996F2E">
      <w:pPr>
        <w:rPr>
          <w:lang w:eastAsia="zh-CN"/>
        </w:rPr>
      </w:pPr>
      <w:r w:rsidRPr="004203DA">
        <w:rPr>
          <w:lang w:eastAsia="zh-CN"/>
        </w:rPr>
        <w:t>La distancia de observación de diseño (DVD), o distancia de observación óptima, en un sistema digital es la distancia a la cual dos píxeles adyacentes subtienden un ángulo de 1 arc-minuto en el ojo del observador; y el ángulo de observación horizontal óptimo es el ángulo bajo el cual se ve una imagen a su distancia de observación óptima.</w:t>
      </w:r>
    </w:p>
    <w:p w:rsidR="00996F2E" w:rsidRPr="004203DA" w:rsidRDefault="00996F2E" w:rsidP="00996F2E">
      <w:pPr>
        <w:rPr>
          <w:lang w:eastAsia="zh-CN"/>
        </w:rPr>
      </w:pPr>
      <w:r w:rsidRPr="004203DA">
        <w:rPr>
          <w:lang w:eastAsia="zh-CN"/>
        </w:rPr>
        <w:t>El Cuadro 1 presenta las distancias de observación óptimas (y los ángulos de observación horizontal óptimos) para varios sistemas de resolución de imagen, expresadas en múltiplos de la altura de la imagen.</w:t>
      </w:r>
    </w:p>
    <w:p w:rsidR="00996F2E" w:rsidRPr="004203DA" w:rsidRDefault="00996F2E" w:rsidP="00996F2E">
      <w:pPr>
        <w:pStyle w:val="TableNo"/>
      </w:pPr>
      <w:r w:rsidRPr="004203DA">
        <w:lastRenderedPageBreak/>
        <w:t>CUADRO 1</w:t>
      </w:r>
    </w:p>
    <w:p w:rsidR="00996F2E" w:rsidRDefault="00996F2E" w:rsidP="00355466">
      <w:pPr>
        <w:pStyle w:val="Tabletitle"/>
      </w:pPr>
      <w:r w:rsidRPr="004203DA">
        <w:t>Ángulo de observación horizontal óptimo,</w:t>
      </w:r>
      <w:r w:rsidR="00355466">
        <w:br/>
      </w:r>
      <w:r w:rsidRPr="004203DA">
        <w:t>distancia</w:t>
      </w:r>
      <w:r w:rsidR="00355466">
        <w:t xml:space="preserve"> </w:t>
      </w:r>
      <w:r w:rsidRPr="004203DA">
        <w:t>de observación óptima</w:t>
      </w:r>
      <w:r w:rsidR="00355466">
        <w:br/>
      </w:r>
      <w:r w:rsidRPr="004203DA">
        <w:t>en alturas de imagen (H)</w:t>
      </w:r>
    </w:p>
    <w:p w:rsidR="00355466" w:rsidRPr="00355466" w:rsidRDefault="00355466" w:rsidP="00355466">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4"/>
        <w:gridCol w:w="2324"/>
        <w:gridCol w:w="1361"/>
        <w:gridCol w:w="1361"/>
        <w:gridCol w:w="1417"/>
        <w:gridCol w:w="1531"/>
      </w:tblGrid>
      <w:tr w:rsidR="00996F2E" w:rsidRPr="004203DA" w:rsidTr="00533455">
        <w:trPr>
          <w:jc w:val="center"/>
        </w:trPr>
        <w:tc>
          <w:tcPr>
            <w:tcW w:w="1644" w:type="dxa"/>
            <w:tcBorders>
              <w:top w:val="single" w:sz="4" w:space="0" w:color="auto"/>
              <w:left w:val="single" w:sz="4" w:space="0" w:color="auto"/>
              <w:bottom w:val="single" w:sz="4" w:space="0" w:color="auto"/>
              <w:right w:val="single" w:sz="4" w:space="0" w:color="auto"/>
            </w:tcBorders>
            <w:vAlign w:val="center"/>
            <w:hideMark/>
          </w:tcPr>
          <w:p w:rsidR="00996F2E" w:rsidRPr="004203DA" w:rsidRDefault="00996F2E" w:rsidP="00CE40DF">
            <w:pPr>
              <w:pStyle w:val="Tablehead"/>
            </w:pPr>
            <w:r w:rsidRPr="004203DA">
              <w:t>Sistema de imagen</w:t>
            </w:r>
          </w:p>
        </w:tc>
        <w:tc>
          <w:tcPr>
            <w:tcW w:w="2324" w:type="dxa"/>
            <w:tcBorders>
              <w:top w:val="single" w:sz="4" w:space="0" w:color="auto"/>
              <w:left w:val="single" w:sz="4" w:space="0" w:color="auto"/>
              <w:bottom w:val="single" w:sz="4" w:space="0" w:color="auto"/>
              <w:right w:val="single" w:sz="4" w:space="0" w:color="auto"/>
            </w:tcBorders>
            <w:vAlign w:val="center"/>
            <w:hideMark/>
          </w:tcPr>
          <w:p w:rsidR="00996F2E" w:rsidRPr="004203DA" w:rsidRDefault="00996F2E" w:rsidP="00CE40DF">
            <w:pPr>
              <w:pStyle w:val="Tablehead"/>
            </w:pPr>
            <w:r w:rsidRPr="004203DA">
              <w:t>Referencia</w:t>
            </w:r>
          </w:p>
        </w:tc>
        <w:tc>
          <w:tcPr>
            <w:tcW w:w="1361" w:type="dxa"/>
            <w:tcBorders>
              <w:top w:val="single" w:sz="4" w:space="0" w:color="auto"/>
              <w:left w:val="single" w:sz="4" w:space="0" w:color="auto"/>
              <w:bottom w:val="single" w:sz="4" w:space="0" w:color="auto"/>
              <w:right w:val="single" w:sz="4" w:space="0" w:color="auto"/>
            </w:tcBorders>
            <w:vAlign w:val="center"/>
            <w:hideMark/>
          </w:tcPr>
          <w:p w:rsidR="00996F2E" w:rsidRPr="004203DA" w:rsidRDefault="00996F2E" w:rsidP="00CE40DF">
            <w:pPr>
              <w:pStyle w:val="Tablehead"/>
            </w:pPr>
            <w:r w:rsidRPr="004203DA">
              <w:t>Formato de imagen</w:t>
            </w:r>
          </w:p>
        </w:tc>
        <w:tc>
          <w:tcPr>
            <w:tcW w:w="1361" w:type="dxa"/>
            <w:tcBorders>
              <w:top w:val="single" w:sz="4" w:space="0" w:color="auto"/>
              <w:left w:val="single" w:sz="4" w:space="0" w:color="auto"/>
              <w:bottom w:val="single" w:sz="4" w:space="0" w:color="auto"/>
              <w:right w:val="single" w:sz="4" w:space="0" w:color="auto"/>
            </w:tcBorders>
            <w:vAlign w:val="center"/>
            <w:hideMark/>
          </w:tcPr>
          <w:p w:rsidR="00996F2E" w:rsidRPr="004203DA" w:rsidRDefault="00996F2E" w:rsidP="00CE40DF">
            <w:pPr>
              <w:pStyle w:val="Tablehead"/>
            </w:pPr>
            <w:r w:rsidRPr="004203DA">
              <w:t>Formato de imagen del píxel</w:t>
            </w:r>
          </w:p>
        </w:tc>
        <w:tc>
          <w:tcPr>
            <w:tcW w:w="1417" w:type="dxa"/>
            <w:tcBorders>
              <w:top w:val="single" w:sz="4" w:space="0" w:color="auto"/>
              <w:left w:val="single" w:sz="4" w:space="0" w:color="auto"/>
              <w:bottom w:val="single" w:sz="4" w:space="0" w:color="auto"/>
              <w:right w:val="single" w:sz="4" w:space="0" w:color="auto"/>
            </w:tcBorders>
            <w:vAlign w:val="center"/>
            <w:hideMark/>
          </w:tcPr>
          <w:p w:rsidR="00996F2E" w:rsidRPr="004203DA" w:rsidRDefault="00996F2E" w:rsidP="00CE40DF">
            <w:pPr>
              <w:pStyle w:val="Tablehead"/>
            </w:pPr>
            <w:r w:rsidRPr="004203DA">
              <w:t>Ángulo de observación horizontal óptimo</w:t>
            </w:r>
          </w:p>
        </w:tc>
        <w:tc>
          <w:tcPr>
            <w:tcW w:w="1531" w:type="dxa"/>
            <w:tcBorders>
              <w:top w:val="single" w:sz="4" w:space="0" w:color="auto"/>
              <w:left w:val="single" w:sz="4" w:space="0" w:color="auto"/>
              <w:bottom w:val="single" w:sz="4" w:space="0" w:color="auto"/>
              <w:right w:val="single" w:sz="4" w:space="0" w:color="auto"/>
            </w:tcBorders>
            <w:vAlign w:val="center"/>
            <w:hideMark/>
          </w:tcPr>
          <w:p w:rsidR="00996F2E" w:rsidRPr="004203DA" w:rsidRDefault="00996F2E" w:rsidP="00CE40DF">
            <w:pPr>
              <w:pStyle w:val="Tablehead"/>
            </w:pPr>
            <w:r w:rsidRPr="004203DA">
              <w:t>Distancia de observación óptima</w:t>
            </w:r>
          </w:p>
        </w:tc>
      </w:tr>
      <w:tr w:rsidR="00996F2E" w:rsidRPr="004203DA" w:rsidTr="00533455">
        <w:trPr>
          <w:jc w:val="center"/>
        </w:trPr>
        <w:tc>
          <w:tcPr>
            <w:tcW w:w="1644"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jc w:val="center"/>
            </w:pPr>
            <w:r w:rsidRPr="004203DA">
              <w:t xml:space="preserve">720 </w:t>
            </w:r>
            <w:r w:rsidRPr="004203DA">
              <w:sym w:font="Symbol" w:char="00B4"/>
            </w:r>
            <w:r w:rsidRPr="004203DA">
              <w:t xml:space="preserve"> 483</w:t>
            </w:r>
          </w:p>
        </w:tc>
        <w:tc>
          <w:tcPr>
            <w:tcW w:w="2324"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pPr>
            <w:r w:rsidRPr="004203DA">
              <w:t>Rec. UIT-R BT.601</w:t>
            </w:r>
          </w:p>
        </w:tc>
        <w:tc>
          <w:tcPr>
            <w:tcW w:w="1361"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jc w:val="center"/>
            </w:pPr>
            <w:r w:rsidRPr="004203DA">
              <w:t>4:3</w:t>
            </w:r>
          </w:p>
        </w:tc>
        <w:tc>
          <w:tcPr>
            <w:tcW w:w="1361"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jc w:val="center"/>
              <w:rPr>
                <w:lang w:eastAsia="ja-JP"/>
              </w:rPr>
            </w:pPr>
            <w:r w:rsidRPr="004203DA">
              <w:rPr>
                <w:lang w:eastAsia="ja-JP"/>
              </w:rPr>
              <w:t>0,89</w:t>
            </w:r>
          </w:p>
        </w:tc>
        <w:tc>
          <w:tcPr>
            <w:tcW w:w="1417"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jc w:val="center"/>
              <w:rPr>
                <w:i/>
              </w:rPr>
            </w:pPr>
            <w:r w:rsidRPr="004203DA">
              <w:t>11°</w:t>
            </w:r>
          </w:p>
        </w:tc>
        <w:tc>
          <w:tcPr>
            <w:tcW w:w="1531"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jc w:val="center"/>
            </w:pPr>
            <w:r w:rsidRPr="004203DA">
              <w:t xml:space="preserve">7 </w:t>
            </w:r>
            <w:r w:rsidRPr="004203DA">
              <w:rPr>
                <w:i/>
                <w:iCs/>
              </w:rPr>
              <w:t>H</w:t>
            </w:r>
          </w:p>
        </w:tc>
      </w:tr>
      <w:tr w:rsidR="00996F2E" w:rsidRPr="004203DA" w:rsidTr="00533455">
        <w:trPr>
          <w:jc w:val="center"/>
        </w:trPr>
        <w:tc>
          <w:tcPr>
            <w:tcW w:w="1644"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jc w:val="center"/>
            </w:pPr>
            <w:r w:rsidRPr="004203DA">
              <w:t xml:space="preserve">640 </w:t>
            </w:r>
            <w:r w:rsidRPr="004203DA">
              <w:sym w:font="Symbol" w:char="00B4"/>
            </w:r>
            <w:r w:rsidRPr="004203DA">
              <w:t xml:space="preserve"> 480</w:t>
            </w:r>
          </w:p>
        </w:tc>
        <w:tc>
          <w:tcPr>
            <w:tcW w:w="2324"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pPr>
            <w:r w:rsidRPr="004203DA">
              <w:t>VGA</w:t>
            </w:r>
          </w:p>
        </w:tc>
        <w:tc>
          <w:tcPr>
            <w:tcW w:w="1361"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jc w:val="center"/>
            </w:pPr>
            <w:r w:rsidRPr="004203DA">
              <w:t>4:3</w:t>
            </w:r>
          </w:p>
        </w:tc>
        <w:tc>
          <w:tcPr>
            <w:tcW w:w="1361"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jc w:val="center"/>
            </w:pPr>
            <w:r w:rsidRPr="004203DA">
              <w:t>1</w:t>
            </w:r>
          </w:p>
        </w:tc>
        <w:tc>
          <w:tcPr>
            <w:tcW w:w="1417"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jc w:val="center"/>
            </w:pPr>
            <w:r w:rsidRPr="004203DA">
              <w:t>11°</w:t>
            </w:r>
          </w:p>
        </w:tc>
        <w:tc>
          <w:tcPr>
            <w:tcW w:w="1531"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jc w:val="center"/>
            </w:pPr>
            <w:r w:rsidRPr="004203DA">
              <w:t xml:space="preserve">7 </w:t>
            </w:r>
            <w:r w:rsidRPr="004203DA">
              <w:rPr>
                <w:i/>
                <w:iCs/>
              </w:rPr>
              <w:t>H</w:t>
            </w:r>
          </w:p>
        </w:tc>
      </w:tr>
      <w:tr w:rsidR="00996F2E" w:rsidRPr="004203DA" w:rsidTr="00533455">
        <w:trPr>
          <w:jc w:val="center"/>
        </w:trPr>
        <w:tc>
          <w:tcPr>
            <w:tcW w:w="1644"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jc w:val="center"/>
            </w:pPr>
            <w:r w:rsidRPr="004203DA">
              <w:t xml:space="preserve">720 </w:t>
            </w:r>
            <w:r w:rsidRPr="004203DA">
              <w:sym w:font="Symbol" w:char="00B4"/>
            </w:r>
            <w:r w:rsidRPr="004203DA">
              <w:t xml:space="preserve"> 576</w:t>
            </w:r>
          </w:p>
        </w:tc>
        <w:tc>
          <w:tcPr>
            <w:tcW w:w="2324"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pPr>
            <w:r w:rsidRPr="004203DA">
              <w:t>Rec. UIT-R BT.601</w:t>
            </w:r>
          </w:p>
        </w:tc>
        <w:tc>
          <w:tcPr>
            <w:tcW w:w="1361"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jc w:val="center"/>
            </w:pPr>
            <w:r w:rsidRPr="004203DA">
              <w:t>4:3</w:t>
            </w:r>
          </w:p>
        </w:tc>
        <w:tc>
          <w:tcPr>
            <w:tcW w:w="1361"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jc w:val="center"/>
            </w:pPr>
            <w:r w:rsidRPr="004203DA">
              <w:t>1,07</w:t>
            </w:r>
          </w:p>
        </w:tc>
        <w:tc>
          <w:tcPr>
            <w:tcW w:w="1417"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jc w:val="center"/>
            </w:pPr>
            <w:r w:rsidRPr="004203DA">
              <w:t>13°</w:t>
            </w:r>
          </w:p>
        </w:tc>
        <w:tc>
          <w:tcPr>
            <w:tcW w:w="1531"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jc w:val="center"/>
            </w:pPr>
            <w:r w:rsidRPr="004203DA">
              <w:t xml:space="preserve">6 </w:t>
            </w:r>
            <w:r w:rsidRPr="004203DA">
              <w:rPr>
                <w:i/>
                <w:iCs/>
              </w:rPr>
              <w:t>H</w:t>
            </w:r>
          </w:p>
        </w:tc>
      </w:tr>
      <w:tr w:rsidR="00996F2E" w:rsidRPr="004203DA" w:rsidTr="00533455">
        <w:trPr>
          <w:jc w:val="center"/>
        </w:trPr>
        <w:tc>
          <w:tcPr>
            <w:tcW w:w="1644"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jc w:val="center"/>
            </w:pPr>
            <w:r w:rsidRPr="004203DA">
              <w:t xml:space="preserve">1 024 </w:t>
            </w:r>
            <w:r w:rsidRPr="004203DA">
              <w:sym w:font="Symbol" w:char="00B4"/>
            </w:r>
            <w:r w:rsidRPr="004203DA">
              <w:t xml:space="preserve"> 768</w:t>
            </w:r>
          </w:p>
        </w:tc>
        <w:tc>
          <w:tcPr>
            <w:tcW w:w="2324"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pPr>
            <w:r w:rsidRPr="004203DA">
              <w:t>XGA</w:t>
            </w:r>
          </w:p>
        </w:tc>
        <w:tc>
          <w:tcPr>
            <w:tcW w:w="1361"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jc w:val="center"/>
            </w:pPr>
            <w:r w:rsidRPr="004203DA">
              <w:t>4:3</w:t>
            </w:r>
          </w:p>
        </w:tc>
        <w:tc>
          <w:tcPr>
            <w:tcW w:w="1361"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jc w:val="center"/>
            </w:pPr>
            <w:r w:rsidRPr="004203DA">
              <w:t>1</w:t>
            </w:r>
          </w:p>
        </w:tc>
        <w:tc>
          <w:tcPr>
            <w:tcW w:w="1417"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jc w:val="center"/>
            </w:pPr>
            <w:r w:rsidRPr="004203DA">
              <w:t>17°</w:t>
            </w:r>
          </w:p>
        </w:tc>
        <w:tc>
          <w:tcPr>
            <w:tcW w:w="1531"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jc w:val="center"/>
            </w:pPr>
            <w:r w:rsidRPr="004203DA">
              <w:rPr>
                <w:lang w:eastAsia="ja-JP"/>
              </w:rPr>
              <w:t>4,5</w:t>
            </w:r>
            <w:r w:rsidRPr="004203DA">
              <w:t xml:space="preserve"> </w:t>
            </w:r>
            <w:r w:rsidRPr="004203DA">
              <w:rPr>
                <w:i/>
                <w:iCs/>
              </w:rPr>
              <w:t>H</w:t>
            </w:r>
          </w:p>
        </w:tc>
      </w:tr>
      <w:tr w:rsidR="00996F2E" w:rsidRPr="004203DA" w:rsidTr="00533455">
        <w:trPr>
          <w:jc w:val="center"/>
        </w:trPr>
        <w:tc>
          <w:tcPr>
            <w:tcW w:w="1644"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jc w:val="center"/>
            </w:pPr>
            <w:r w:rsidRPr="004203DA">
              <w:t xml:space="preserve">1 280 </w:t>
            </w:r>
            <w:r w:rsidRPr="004203DA">
              <w:sym w:font="Symbol" w:char="00B4"/>
            </w:r>
            <w:r w:rsidRPr="004203DA">
              <w:t xml:space="preserve"> 720</w:t>
            </w:r>
          </w:p>
        </w:tc>
        <w:tc>
          <w:tcPr>
            <w:tcW w:w="2324"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rPr>
                <w:lang w:eastAsia="ja-JP"/>
              </w:rPr>
            </w:pPr>
            <w:r w:rsidRPr="004203DA">
              <w:t>Rec. UIT-R BT.1543</w:t>
            </w:r>
          </w:p>
          <w:p w:rsidR="00996F2E" w:rsidRPr="004203DA" w:rsidRDefault="00996F2E" w:rsidP="00CE40DF">
            <w:pPr>
              <w:pStyle w:val="Tabletext"/>
              <w:rPr>
                <w:lang w:eastAsia="ja-JP"/>
              </w:rPr>
            </w:pPr>
            <w:r w:rsidRPr="004203DA">
              <w:rPr>
                <w:lang w:eastAsia="ja-JP"/>
              </w:rPr>
              <w:t xml:space="preserve">Rec. </w:t>
            </w:r>
            <w:r w:rsidRPr="004203DA">
              <w:t>UIT</w:t>
            </w:r>
            <w:r w:rsidRPr="004203DA">
              <w:rPr>
                <w:lang w:eastAsia="ja-JP"/>
              </w:rPr>
              <w:t>-R BT.1847</w:t>
            </w:r>
          </w:p>
        </w:tc>
        <w:tc>
          <w:tcPr>
            <w:tcW w:w="1361"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jc w:val="center"/>
            </w:pPr>
            <w:r w:rsidRPr="004203DA">
              <w:t>16:9</w:t>
            </w:r>
          </w:p>
        </w:tc>
        <w:tc>
          <w:tcPr>
            <w:tcW w:w="1361"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jc w:val="center"/>
            </w:pPr>
            <w:r w:rsidRPr="004203DA">
              <w:t>1</w:t>
            </w:r>
          </w:p>
        </w:tc>
        <w:tc>
          <w:tcPr>
            <w:tcW w:w="1417"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jc w:val="center"/>
            </w:pPr>
            <w:r w:rsidRPr="004203DA">
              <w:t>21°</w:t>
            </w:r>
          </w:p>
        </w:tc>
        <w:tc>
          <w:tcPr>
            <w:tcW w:w="1531"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jc w:val="center"/>
            </w:pPr>
            <w:r w:rsidRPr="004203DA">
              <w:t xml:space="preserve">4,8 </w:t>
            </w:r>
            <w:r w:rsidRPr="004203DA">
              <w:rPr>
                <w:i/>
                <w:iCs/>
              </w:rPr>
              <w:t>H</w:t>
            </w:r>
          </w:p>
        </w:tc>
      </w:tr>
      <w:tr w:rsidR="00996F2E" w:rsidRPr="004203DA" w:rsidTr="00533455">
        <w:trPr>
          <w:jc w:val="center"/>
        </w:trPr>
        <w:tc>
          <w:tcPr>
            <w:tcW w:w="1644"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jc w:val="center"/>
            </w:pPr>
            <w:r w:rsidRPr="004203DA">
              <w:t xml:space="preserve">1 400 </w:t>
            </w:r>
            <w:r w:rsidRPr="004203DA">
              <w:sym w:font="Symbol" w:char="00B4"/>
            </w:r>
            <w:r w:rsidRPr="004203DA">
              <w:t xml:space="preserve"> 1 050</w:t>
            </w:r>
          </w:p>
        </w:tc>
        <w:tc>
          <w:tcPr>
            <w:tcW w:w="2324"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pPr>
            <w:r w:rsidRPr="004203DA">
              <w:t>SXGA+</w:t>
            </w:r>
          </w:p>
        </w:tc>
        <w:tc>
          <w:tcPr>
            <w:tcW w:w="1361"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jc w:val="center"/>
            </w:pPr>
            <w:r w:rsidRPr="004203DA">
              <w:t>4:3</w:t>
            </w:r>
          </w:p>
        </w:tc>
        <w:tc>
          <w:tcPr>
            <w:tcW w:w="1361"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jc w:val="center"/>
            </w:pPr>
            <w:r w:rsidRPr="004203DA">
              <w:t>1</w:t>
            </w:r>
          </w:p>
        </w:tc>
        <w:tc>
          <w:tcPr>
            <w:tcW w:w="1417"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jc w:val="center"/>
            </w:pPr>
            <w:r w:rsidRPr="004203DA">
              <w:t>23°</w:t>
            </w:r>
          </w:p>
        </w:tc>
        <w:tc>
          <w:tcPr>
            <w:tcW w:w="1531"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jc w:val="center"/>
            </w:pPr>
            <w:r w:rsidRPr="004203DA">
              <w:rPr>
                <w:lang w:eastAsia="ja-JP"/>
              </w:rPr>
              <w:t>3,3</w:t>
            </w:r>
            <w:r w:rsidRPr="004203DA">
              <w:t xml:space="preserve"> </w:t>
            </w:r>
            <w:r w:rsidRPr="004203DA">
              <w:rPr>
                <w:i/>
                <w:iCs/>
              </w:rPr>
              <w:t>H</w:t>
            </w:r>
          </w:p>
        </w:tc>
      </w:tr>
      <w:tr w:rsidR="00996F2E" w:rsidRPr="004203DA" w:rsidTr="00533455">
        <w:trPr>
          <w:jc w:val="center"/>
        </w:trPr>
        <w:tc>
          <w:tcPr>
            <w:tcW w:w="1644"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jc w:val="center"/>
            </w:pPr>
            <w:r w:rsidRPr="004203DA">
              <w:t xml:space="preserve">1 920 </w:t>
            </w:r>
            <w:r w:rsidRPr="004203DA">
              <w:sym w:font="Symbol" w:char="00B4"/>
            </w:r>
            <w:r w:rsidRPr="004203DA">
              <w:t xml:space="preserve"> 1 080</w:t>
            </w:r>
          </w:p>
        </w:tc>
        <w:tc>
          <w:tcPr>
            <w:tcW w:w="2324"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pPr>
            <w:r w:rsidRPr="004203DA">
              <w:t>Rec. UIT-R BT.709</w:t>
            </w:r>
          </w:p>
        </w:tc>
        <w:tc>
          <w:tcPr>
            <w:tcW w:w="1361"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jc w:val="center"/>
            </w:pPr>
            <w:r w:rsidRPr="004203DA">
              <w:t>16:9</w:t>
            </w:r>
          </w:p>
        </w:tc>
        <w:tc>
          <w:tcPr>
            <w:tcW w:w="1361"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jc w:val="center"/>
            </w:pPr>
            <w:r w:rsidRPr="004203DA">
              <w:t>1</w:t>
            </w:r>
          </w:p>
        </w:tc>
        <w:tc>
          <w:tcPr>
            <w:tcW w:w="1417"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jc w:val="center"/>
            </w:pPr>
            <w:r w:rsidRPr="004203DA">
              <w:rPr>
                <w:lang w:eastAsia="ja-JP"/>
              </w:rPr>
              <w:t>31</w:t>
            </w:r>
            <w:r w:rsidRPr="004203DA">
              <w:t>°</w:t>
            </w:r>
          </w:p>
        </w:tc>
        <w:tc>
          <w:tcPr>
            <w:tcW w:w="1531"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jc w:val="center"/>
            </w:pPr>
            <w:r w:rsidRPr="004203DA">
              <w:rPr>
                <w:lang w:eastAsia="ja-JP"/>
              </w:rPr>
              <w:t>3,2</w:t>
            </w:r>
            <w:r w:rsidRPr="004203DA">
              <w:t xml:space="preserve"> </w:t>
            </w:r>
            <w:r w:rsidRPr="004203DA">
              <w:rPr>
                <w:i/>
                <w:iCs/>
              </w:rPr>
              <w:t>H</w:t>
            </w:r>
          </w:p>
        </w:tc>
      </w:tr>
      <w:tr w:rsidR="00996F2E" w:rsidRPr="004203DA" w:rsidTr="00533455">
        <w:trPr>
          <w:jc w:val="center"/>
        </w:trPr>
        <w:tc>
          <w:tcPr>
            <w:tcW w:w="1644"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jc w:val="center"/>
            </w:pPr>
            <w:r w:rsidRPr="004203DA">
              <w:t xml:space="preserve">3 840 </w:t>
            </w:r>
            <w:r w:rsidRPr="004203DA">
              <w:sym w:font="Symbol" w:char="00B4"/>
            </w:r>
            <w:r w:rsidRPr="004203DA">
              <w:t xml:space="preserve"> 2 160</w:t>
            </w:r>
          </w:p>
        </w:tc>
        <w:tc>
          <w:tcPr>
            <w:tcW w:w="2324"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pPr>
            <w:r w:rsidRPr="004203DA">
              <w:t>Rec. UIT-R BT.1769</w:t>
            </w:r>
          </w:p>
        </w:tc>
        <w:tc>
          <w:tcPr>
            <w:tcW w:w="1361"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jc w:val="center"/>
            </w:pPr>
            <w:r w:rsidRPr="004203DA">
              <w:t>16:9</w:t>
            </w:r>
          </w:p>
        </w:tc>
        <w:tc>
          <w:tcPr>
            <w:tcW w:w="1361"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jc w:val="center"/>
            </w:pPr>
            <w:r w:rsidRPr="004203DA">
              <w:t>1</w:t>
            </w:r>
          </w:p>
        </w:tc>
        <w:tc>
          <w:tcPr>
            <w:tcW w:w="1417"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jc w:val="center"/>
            </w:pPr>
            <w:r w:rsidRPr="004203DA">
              <w:t>58°</w:t>
            </w:r>
          </w:p>
        </w:tc>
        <w:tc>
          <w:tcPr>
            <w:tcW w:w="1531"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jc w:val="center"/>
            </w:pPr>
            <w:r w:rsidRPr="004203DA">
              <w:rPr>
                <w:lang w:eastAsia="ja-JP"/>
              </w:rPr>
              <w:t>1,6</w:t>
            </w:r>
            <w:r w:rsidRPr="004203DA">
              <w:t xml:space="preserve"> </w:t>
            </w:r>
            <w:r w:rsidRPr="004203DA">
              <w:rPr>
                <w:i/>
                <w:iCs/>
              </w:rPr>
              <w:t>H</w:t>
            </w:r>
          </w:p>
        </w:tc>
      </w:tr>
      <w:tr w:rsidR="00996F2E" w:rsidRPr="004203DA" w:rsidTr="00533455">
        <w:trPr>
          <w:jc w:val="center"/>
        </w:trPr>
        <w:tc>
          <w:tcPr>
            <w:tcW w:w="1644"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jc w:val="center"/>
            </w:pPr>
            <w:r w:rsidRPr="004203DA">
              <w:t xml:space="preserve">7 680 </w:t>
            </w:r>
            <w:r w:rsidRPr="004203DA">
              <w:sym w:font="Symbol" w:char="00B4"/>
            </w:r>
            <w:r w:rsidRPr="004203DA">
              <w:t xml:space="preserve"> 4 320</w:t>
            </w:r>
          </w:p>
        </w:tc>
        <w:tc>
          <w:tcPr>
            <w:tcW w:w="2324"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pPr>
            <w:r w:rsidRPr="004203DA">
              <w:t>Rec. UIT-R BT.1769</w:t>
            </w:r>
          </w:p>
        </w:tc>
        <w:tc>
          <w:tcPr>
            <w:tcW w:w="1361"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jc w:val="center"/>
            </w:pPr>
            <w:r w:rsidRPr="004203DA">
              <w:t>16:9</w:t>
            </w:r>
          </w:p>
        </w:tc>
        <w:tc>
          <w:tcPr>
            <w:tcW w:w="1361"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jc w:val="center"/>
            </w:pPr>
            <w:r w:rsidRPr="004203DA">
              <w:t>1</w:t>
            </w:r>
          </w:p>
        </w:tc>
        <w:tc>
          <w:tcPr>
            <w:tcW w:w="1417"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jc w:val="center"/>
            </w:pPr>
            <w:r w:rsidRPr="004203DA">
              <w:t>96°</w:t>
            </w:r>
          </w:p>
        </w:tc>
        <w:tc>
          <w:tcPr>
            <w:tcW w:w="1531" w:type="dxa"/>
            <w:tcBorders>
              <w:top w:val="single" w:sz="4" w:space="0" w:color="auto"/>
              <w:left w:val="single" w:sz="4" w:space="0" w:color="auto"/>
              <w:bottom w:val="single" w:sz="4" w:space="0" w:color="auto"/>
              <w:right w:val="single" w:sz="4" w:space="0" w:color="auto"/>
            </w:tcBorders>
            <w:hideMark/>
          </w:tcPr>
          <w:p w:rsidR="00996F2E" w:rsidRPr="004203DA" w:rsidRDefault="00996F2E" w:rsidP="00CE40DF">
            <w:pPr>
              <w:pStyle w:val="Tabletext"/>
              <w:jc w:val="center"/>
            </w:pPr>
            <w:r w:rsidRPr="004203DA">
              <w:rPr>
                <w:lang w:eastAsia="ja-JP"/>
              </w:rPr>
              <w:t>0,8</w:t>
            </w:r>
            <w:r w:rsidRPr="004203DA">
              <w:t xml:space="preserve"> </w:t>
            </w:r>
            <w:r w:rsidRPr="004203DA">
              <w:rPr>
                <w:i/>
                <w:iCs/>
              </w:rPr>
              <w:t>H</w:t>
            </w:r>
          </w:p>
        </w:tc>
      </w:tr>
    </w:tbl>
    <w:p w:rsidR="00355466" w:rsidRDefault="00355466" w:rsidP="00355466">
      <w:pPr>
        <w:pStyle w:val="Tablefin"/>
      </w:pPr>
    </w:p>
    <w:p w:rsidR="00996F2E" w:rsidRPr="004203DA" w:rsidRDefault="00996F2E" w:rsidP="00996F2E">
      <w:pPr>
        <w:pStyle w:val="Heading2"/>
      </w:pPr>
      <w:r w:rsidRPr="004203DA">
        <w:t>1.4</w:t>
      </w:r>
      <w:r w:rsidRPr="004203DA">
        <w:tab/>
        <w:t>Ángulo de observación</w:t>
      </w:r>
    </w:p>
    <w:p w:rsidR="00996F2E" w:rsidRPr="004203DA" w:rsidRDefault="00996F2E" w:rsidP="00996F2E">
      <w:r w:rsidRPr="004203DA">
        <w:t>El máximo ángulo de observación con respecto al ángulo de observación normal debe limitarse de forma que las desviaciones en el color reproducido en la pantalla no sean visibles al observador. Para determinar el ángulo de observación, también debe considerarse el ángulo de observación horizontal óptimo de un sistema de imágenes sometido a prueba.</w:t>
      </w:r>
    </w:p>
    <w:p w:rsidR="00996F2E" w:rsidRPr="004203DA" w:rsidRDefault="00996F2E" w:rsidP="00CA59D8">
      <w:pPr>
        <w:pStyle w:val="Heading2"/>
      </w:pPr>
      <w:r w:rsidRPr="004203DA">
        <w:t>1.5</w:t>
      </w:r>
      <w:r w:rsidRPr="004203DA">
        <w:tab/>
        <w:t>Procesamiento en el monitor</w:t>
      </w:r>
    </w:p>
    <w:p w:rsidR="00996F2E" w:rsidRPr="004203DA" w:rsidRDefault="00996F2E" w:rsidP="00996F2E">
      <w:r w:rsidRPr="004203DA">
        <w:t>Si se lleva a cabo un procesamiento en el monitor, tal como cambio de escala de la imagen, conversión de velocidad de trama o potenciación de imagen, debe realizarse de forma que no se introduzcan perturbaciones. Un informe de prueba debe indicar si se utiliza desentrelazador o no para las señales entrelazadas. Es preferible no emplearlo si pueden mostrarse dichas señales sin someterlas a ese proceso.</w:t>
      </w:r>
    </w:p>
    <w:p w:rsidR="00996F2E" w:rsidRPr="004203DA" w:rsidRDefault="00996F2E" w:rsidP="00996F2E">
      <w:pPr>
        <w:pStyle w:val="Heading2"/>
      </w:pPr>
      <w:r w:rsidRPr="004203DA">
        <w:t>1.6</w:t>
      </w:r>
      <w:r w:rsidRPr="004203DA">
        <w:tab/>
        <w:t>Resolución del monitor</w:t>
      </w:r>
    </w:p>
    <w:p w:rsidR="00996F2E" w:rsidRPr="004203DA" w:rsidRDefault="00996F2E" w:rsidP="00996F2E">
      <w:r w:rsidRPr="004203DA">
        <w:t>La resolución de los monitores profesionales normalmente satisface las normas requeridas para realizar evaluaciones subjetivas en su gama de funcionamiento de luminancia.</w:t>
      </w:r>
    </w:p>
    <w:p w:rsidR="00996F2E" w:rsidRPr="004203DA" w:rsidRDefault="00996F2E" w:rsidP="00996F2E">
      <w:r w:rsidRPr="004203DA">
        <w:t>A fin de verificar y constatar las resoluciones máxima y mínima (en el centro y en las esquinas de la pantalla) puede sugerirse el empleo de un valor de luminancia determinado.</w:t>
      </w:r>
    </w:p>
    <w:p w:rsidR="00996F2E" w:rsidRPr="004203DA" w:rsidRDefault="00996F2E" w:rsidP="00996F2E">
      <w:r w:rsidRPr="004203DA">
        <w:t>Si se utilizan aparatos de TV domésticos con pantalla plana para efectuar evaluaciones subjetivas, se recomienda encarecidamente verificar e informar sobre las resoluciones máxima y mínima (en el centro y en las esquinas de la pantalla) para el valor de luminancia utilizado.</w:t>
      </w:r>
    </w:p>
    <w:p w:rsidR="00996F2E" w:rsidRPr="004203DA" w:rsidRDefault="00996F2E" w:rsidP="00996F2E">
      <w:r w:rsidRPr="004203DA">
        <w:t>Actualmente, la mayoría de los sistemas prácticos disponibles para realizar evaluaciones subjetivas, a fin de comprobar la resolución de los monitores o de los aparatos de TV domésticos, utilizan un diagrama de prueba de barrida generado electrónicamente.</w:t>
      </w:r>
    </w:p>
    <w:p w:rsidR="00996F2E" w:rsidRPr="004203DA" w:rsidRDefault="00996F2E" w:rsidP="00996F2E">
      <w:pPr>
        <w:pStyle w:val="Heading2"/>
      </w:pPr>
      <w:r w:rsidRPr="004203DA">
        <w:lastRenderedPageBreak/>
        <w:t>1.7</w:t>
      </w:r>
      <w:r w:rsidRPr="004203DA">
        <w:tab/>
        <w:t>Ajuste del monitor</w:t>
      </w:r>
    </w:p>
    <w:p w:rsidR="00996F2E" w:rsidRPr="004203DA" w:rsidRDefault="00996F2E" w:rsidP="00996F2E">
      <w:r w:rsidRPr="004203DA">
        <w:t>El brillo y el contraste de un monitor deben ajustarse bajo la luminancia del entorno utilizando las formas de onda PLUGE de conformidad con la Recomendación UIT-R BT.814.</w:t>
      </w:r>
    </w:p>
    <w:p w:rsidR="00996F2E" w:rsidRPr="004203DA" w:rsidRDefault="00996F2E" w:rsidP="00996F2E">
      <w:r w:rsidRPr="004203DA">
        <w:t>Debe medirse la relación de contraste del monitor de acuerdo con la Recomendación UIT</w:t>
      </w:r>
      <w:r w:rsidRPr="004203DA">
        <w:noBreakHyphen/>
        <w:t>R BT.815.</w:t>
      </w:r>
    </w:p>
    <w:p w:rsidR="00996F2E" w:rsidRPr="004203DA" w:rsidRDefault="00996F2E" w:rsidP="00996F2E">
      <w:pPr>
        <w:pStyle w:val="Heading3"/>
      </w:pPr>
      <w:r w:rsidRPr="004203DA">
        <w:t>1.7.1</w:t>
      </w:r>
      <w:r w:rsidRPr="004203DA">
        <w:tab/>
        <w:t>Contraste del monitor</w:t>
      </w:r>
    </w:p>
    <w:p w:rsidR="00996F2E" w:rsidRPr="004203DA" w:rsidRDefault="00996F2E" w:rsidP="00996F2E">
      <w:r w:rsidRPr="004203DA">
        <w:t>El contraste puede venir fuertemente influenciado por la luminancia del entorno.</w:t>
      </w:r>
    </w:p>
    <w:p w:rsidR="00996F2E" w:rsidRPr="004203DA" w:rsidRDefault="00996F2E" w:rsidP="00996F2E">
      <w:r w:rsidRPr="004203DA">
        <w:t>Los monitores profesionales raramente utilizan tecnologías para mejorar su contraste en un entorno de alta luminancia por lo que es posible que no cumplan la norma de contraste necesaria si se utilizan en dichos entornos de alta luminancia.</w:t>
      </w:r>
    </w:p>
    <w:p w:rsidR="00996F2E" w:rsidRPr="004203DA" w:rsidRDefault="00996F2E" w:rsidP="00996F2E">
      <w:r w:rsidRPr="004203DA">
        <w:t>Los monitores domésticos generalmente hacen uso de tecnologías para lograr un mejor contraste en un entorno de alta luminancia.</w:t>
      </w:r>
    </w:p>
    <w:p w:rsidR="00996F2E" w:rsidRPr="004203DA" w:rsidRDefault="00996F2E" w:rsidP="00996F2E">
      <w:pPr>
        <w:pStyle w:val="Heading3"/>
      </w:pPr>
      <w:r w:rsidRPr="004203DA">
        <w:t>1.7.2</w:t>
      </w:r>
      <w:r w:rsidRPr="004203DA">
        <w:tab/>
        <w:t>Brillo del monitor</w:t>
      </w:r>
    </w:p>
    <w:p w:rsidR="00996F2E" w:rsidRPr="004203DA" w:rsidRDefault="00996F2E" w:rsidP="00996F2E">
      <w:r w:rsidRPr="004203DA">
        <w:t>Al ajustar el brillo de los monitores LCD (pantallas de cristal líquido) es preferible utilizar un control de intensidad de la iluminación de fondo en vez de un nivel de señal para mantener la precisión de bit. En el caso de otras tecnologías de presentación que no utilizan iluminación de fondo, el nivel de blanco debe ajustarse por medio de mecanismos distintos al de escala de nivel de la señal. Obsérvese que el PDP (panel de visualización de plasma) controla el brillo mediante el número de radiaciones de luz y si se fija un valor de brillo menor se degradará la reproducción del tono.</w:t>
      </w:r>
    </w:p>
    <w:p w:rsidR="00996F2E" w:rsidRPr="004203DA" w:rsidRDefault="00996F2E" w:rsidP="00996F2E">
      <w:pPr>
        <w:pStyle w:val="Heading2"/>
      </w:pPr>
      <w:r w:rsidRPr="004203DA">
        <w:t>1.8</w:t>
      </w:r>
      <w:r w:rsidRPr="004203DA">
        <w:tab/>
        <w:t>Perturbaciones de movimiento</w:t>
      </w:r>
    </w:p>
    <w:p w:rsidR="00996F2E" w:rsidRPr="004203DA" w:rsidRDefault="00996F2E" w:rsidP="00996F2E">
      <w:r w:rsidRPr="004203DA">
        <w:t>El monitor debe introducir perturbaciones del movimiento producidas por tecnologías de presentación específicas. Por otro lado, los efectos del movimiento, incluida la señal de entrada, deben representarse en el monitor.</w:t>
      </w:r>
    </w:p>
    <w:p w:rsidR="00996F2E" w:rsidRPr="004203DA" w:rsidRDefault="00996F2E" w:rsidP="00996F2E">
      <w:pPr>
        <w:pStyle w:val="Heading2"/>
      </w:pPr>
      <w:r w:rsidRPr="004203DA">
        <w:t>1.9</w:t>
      </w:r>
      <w:r w:rsidRPr="004203DA">
        <w:tab/>
        <w:t>Características del monitor en general</w:t>
      </w:r>
    </w:p>
    <w:p w:rsidR="00996F2E" w:rsidRPr="004203DA" w:rsidRDefault="00996F2E" w:rsidP="00D5370F">
      <w:r w:rsidRPr="004203DA">
        <w:t>Obsérvese que utilizando características distintas en los monitores se obtiene diferentes calidades de imagen. Por consiguiente, se recomienda encarecidamente verificar de antemano las características de los monitores utilizados. Cuando se utilicen monitores de pantalla plana profesionales para la evaluación subjetiva puede consultarse la Recomendación</w:t>
      </w:r>
      <w:r w:rsidR="004179A3">
        <w:t xml:space="preserve"> </w:t>
      </w:r>
      <w:r w:rsidRPr="004203DA">
        <w:t>UIT-R</w:t>
      </w:r>
      <w:r w:rsidR="00921DAE">
        <w:t> </w:t>
      </w:r>
      <w:r w:rsidRPr="004203DA">
        <w:t>BT.1886, Función de transferencia electroóptica de referencia para las pantallas planas utilizadas en la producción de</w:t>
      </w:r>
      <w:r w:rsidR="00D5370F">
        <w:t xml:space="preserve"> </w:t>
      </w:r>
      <w:r w:rsidRPr="004203DA">
        <w:t>TVAD en estudio, y el Informe UIT-R BT.2129, Requisitos de usuario para un monitor de pantalla plana empleado como monitor principal en un entorno de producción de programas de TVAD.</w:t>
      </w:r>
    </w:p>
    <w:p w:rsidR="00996F2E" w:rsidRPr="004203DA" w:rsidRDefault="00996F2E" w:rsidP="00D5370F">
      <w:pPr>
        <w:pStyle w:val="Heading2"/>
      </w:pPr>
      <w:r w:rsidRPr="004203DA">
        <w:t>1.10</w:t>
      </w:r>
      <w:r w:rsidRPr="004203DA">
        <w:tab/>
        <w:t>Zonas de seguridad de monitores de imágenes de TV de definición convencional y de</w:t>
      </w:r>
      <w:r w:rsidR="00D5370F">
        <w:t xml:space="preserve"> </w:t>
      </w:r>
      <w:r w:rsidRPr="004203DA">
        <w:t>TVAD con pantalla grande y formato de imagen 16:9</w:t>
      </w:r>
    </w:p>
    <w:p w:rsidR="00996F2E" w:rsidRPr="004203DA" w:rsidRDefault="00996F2E" w:rsidP="00996F2E">
      <w:r w:rsidRPr="004203DA">
        <w:t>En la Recomendación UIT-R BT.1848 se indican las zonas de seguridad para monitores de imagen de 625, 720 y 1 080 líneas.</w:t>
      </w:r>
    </w:p>
    <w:p w:rsidR="00996F2E" w:rsidRDefault="00996F2E" w:rsidP="00355466"/>
    <w:p w:rsidR="00355466" w:rsidRPr="004203DA" w:rsidRDefault="00355466" w:rsidP="00996F2E">
      <w:pPr>
        <w:pStyle w:val="Reasons"/>
        <w:rPr>
          <w:lang w:val="es-ES"/>
        </w:rPr>
      </w:pPr>
    </w:p>
    <w:p w:rsidR="00996F2E" w:rsidRPr="00A31B53" w:rsidRDefault="00996F2E" w:rsidP="00996F2E">
      <w:pPr>
        <w:jc w:val="center"/>
        <w:rPr>
          <w:lang w:val="es-ES_tradnl"/>
        </w:rPr>
      </w:pPr>
      <w:r w:rsidRPr="004203DA">
        <w:t>______________</w:t>
      </w:r>
    </w:p>
    <w:sectPr w:rsidR="00996F2E" w:rsidRPr="00A31B53" w:rsidSect="00A64392">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652E" w:rsidRDefault="002F652E">
      <w:r>
        <w:separator/>
      </w:r>
    </w:p>
  </w:endnote>
  <w:endnote w:type="continuationSeparator" w:id="0">
    <w:p w:rsidR="002F652E" w:rsidRDefault="002F65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652E" w:rsidRDefault="002F652E">
      <w:r>
        <w:separator/>
      </w:r>
    </w:p>
  </w:footnote>
  <w:footnote w:type="continuationSeparator" w:id="0">
    <w:p w:rsidR="002F652E" w:rsidRDefault="002F652E">
      <w:r>
        <w:continuationSeparator/>
      </w:r>
    </w:p>
  </w:footnote>
  <w:footnote w:id="1">
    <w:p w:rsidR="00996F2E" w:rsidRPr="00987C36" w:rsidRDefault="00996F2E" w:rsidP="00996F2E">
      <w:pPr>
        <w:pStyle w:val="FootnoteText"/>
        <w:rPr>
          <w:lang w:val="es-ES_tradnl"/>
        </w:rPr>
      </w:pPr>
      <w:r>
        <w:rPr>
          <w:rStyle w:val="FootnoteReference"/>
        </w:rPr>
        <w:footnoteRef/>
      </w:r>
      <w:r w:rsidRPr="00987C36">
        <w:rPr>
          <w:lang w:val="es-ES_tradnl"/>
        </w:rPr>
        <w:t xml:space="preserve"> </w:t>
      </w:r>
      <w:r>
        <w:rPr>
          <w:lang w:val="es-ES_tradnl"/>
        </w:rPr>
        <w:tab/>
        <w:t>La luminación de cresta debe ajustarse de acuerdo con la iluminación de la sala.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52E" w:rsidRDefault="002F652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52E" w:rsidRDefault="002F652E" w:rsidP="009E1F8B">
    <w:pPr>
      <w:pStyle w:val="Header"/>
      <w:ind w:right="360" w:firstLine="360"/>
    </w:pPr>
    <w:r>
      <w:rPr>
        <w:noProof/>
        <w:lang w:val="en-US" w:eastAsia="zh-CN"/>
      </w:rPr>
      <w:drawing>
        <wp:anchor distT="0" distB="0" distL="114300" distR="114300" simplePos="0" relativeHeight="251659264" behindDoc="1" locked="0" layoutInCell="1" allowOverlap="1" wp14:anchorId="10B86987" wp14:editId="0DB5291A">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52E" w:rsidRDefault="002F652E" w:rsidP="00091138">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DA0121">
      <w:rPr>
        <w:rStyle w:val="PageNumber"/>
        <w:b/>
        <w:bCs/>
        <w:noProof/>
      </w:rPr>
      <w:t>ii</w:t>
    </w:r>
    <w:r>
      <w:rPr>
        <w:rStyle w:val="PageNumber"/>
        <w:b/>
        <w:bCs/>
      </w:rPr>
      <w:fldChar w:fldCharType="end"/>
    </w:r>
    <w:r>
      <w:tab/>
    </w:r>
    <w:r w:rsidR="00DA0121">
      <w:fldChar w:fldCharType="begin"/>
    </w:r>
    <w:r w:rsidR="00DA0121">
      <w:instrText xml:space="preserve"> DOCPROPERTY "Header" \* MERGEFORMAT </w:instrText>
    </w:r>
    <w:r w:rsidR="00DA0121">
      <w:fldChar w:fldCharType="separate"/>
    </w:r>
    <w:r w:rsidR="00DA0121" w:rsidRPr="00DA0121">
      <w:rPr>
        <w:b/>
        <w:bCs/>
      </w:rPr>
      <w:t xml:space="preserve">Rec. </w:t>
    </w:r>
    <w:r w:rsidR="00DA0121">
      <w:rPr>
        <w:b/>
        <w:bCs/>
      </w:rPr>
      <w:fldChar w:fldCharType="end"/>
    </w:r>
    <w:r>
      <w:rPr>
        <w:b/>
        <w:bCs/>
      </w:rPr>
      <w:t xml:space="preserve"> </w:t>
    </w:r>
    <w:r>
      <w:rPr>
        <w:b/>
        <w:bCs/>
      </w:rPr>
      <w:fldChar w:fldCharType="begin"/>
    </w:r>
    <w:r>
      <w:rPr>
        <w:b/>
        <w:bCs/>
      </w:rPr>
      <w:instrText>styleref href</w:instrText>
    </w:r>
    <w:r>
      <w:rPr>
        <w:b/>
        <w:bCs/>
      </w:rPr>
      <w:fldChar w:fldCharType="separate"/>
    </w:r>
    <w:r w:rsidR="00DA0121">
      <w:rPr>
        <w:b/>
        <w:bCs/>
        <w:noProof/>
      </w:rPr>
      <w:t>UIT-R  BT.2022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52E" w:rsidRDefault="002F652E">
    <w:pPr>
      <w:pStyle w:val="Header"/>
    </w:pPr>
    <w:r>
      <w:tab/>
    </w:r>
    <w:r w:rsidR="00DA0121">
      <w:fldChar w:fldCharType="begin"/>
    </w:r>
    <w:r w:rsidR="00DA0121">
      <w:instrText xml:space="preserve"> DOCPROPERTY "Header" \* MERGEFORMAT </w:instrText>
    </w:r>
    <w:r w:rsidR="00DA0121">
      <w:fldChar w:fldCharType="separate"/>
    </w:r>
    <w:r w:rsidR="00DA0121" w:rsidRPr="00DA0121">
      <w:rPr>
        <w:b/>
        <w:bCs/>
      </w:rPr>
      <w:t xml:space="preserve">Rec. </w:t>
    </w:r>
    <w:r w:rsidR="00DA0121">
      <w:rPr>
        <w:b/>
        <w:bCs/>
      </w:rPr>
      <w:fldChar w:fldCharType="end"/>
    </w:r>
    <w:r>
      <w:rPr>
        <w:b/>
        <w:bCs/>
      </w:rPr>
      <w:t xml:space="preserve"> </w:t>
    </w:r>
    <w:r>
      <w:rPr>
        <w:b/>
        <w:bCs/>
      </w:rPr>
      <w:fldChar w:fldCharType="begin"/>
    </w:r>
    <w:r>
      <w:rPr>
        <w:b/>
        <w:bCs/>
      </w:rPr>
      <w:instrText>styleref href</w:instrText>
    </w:r>
    <w:r>
      <w:rPr>
        <w:b/>
        <w:bCs/>
      </w:rPr>
      <w:fldChar w:fldCharType="separate"/>
    </w:r>
    <w:r w:rsidR="00DA0121">
      <w:rPr>
        <w:b/>
        <w:bCs/>
        <w:noProof/>
      </w:rPr>
      <w:t>UIT-R  BT.2022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A0121">
      <w:rPr>
        <w:rStyle w:val="PageNumber"/>
        <w:b/>
        <w:bCs/>
        <w:noProof/>
        <w:lang w:val="en-US"/>
      </w:rPr>
      <w:t>4</w:t>
    </w:r>
    <w:r>
      <w:rPr>
        <w:rStyle w:val="PageNumber"/>
        <w:b/>
        <w:bCs/>
      </w:rPr>
      <w:fldChar w:fldCharType="end"/>
    </w:r>
    <w:r>
      <w:rPr>
        <w:lang w:val="en-US"/>
      </w:rPr>
      <w:tab/>
    </w:r>
    <w:r w:rsidR="009E00A8">
      <w:rPr>
        <w:lang w:val="fr-FR"/>
      </w:rPr>
      <w:fldChar w:fldCharType="begin"/>
    </w:r>
    <w:r w:rsidR="009E00A8" w:rsidRPr="009E00A8">
      <w:rPr>
        <w:lang w:val="en-US"/>
      </w:rPr>
      <w:instrText xml:space="preserve"> DOCPROPERTY "Header" \* MERGEFORMAT </w:instrText>
    </w:r>
    <w:r w:rsidR="009E00A8">
      <w:rPr>
        <w:lang w:val="fr-FR"/>
      </w:rPr>
      <w:fldChar w:fldCharType="separate"/>
    </w:r>
    <w:r w:rsidR="00DA0121" w:rsidRPr="00DA0121">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A0121">
      <w:rPr>
        <w:b/>
        <w:bCs/>
        <w:noProof/>
      </w:rPr>
      <w:t>UIT-R  BT.2022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DA0121">
      <w:fldChar w:fldCharType="begin"/>
    </w:r>
    <w:r w:rsidR="00DA0121">
      <w:instrText xml:space="preserve"> DOCPROPERTY "Header" \* MERGEFORMAT </w:instrText>
    </w:r>
    <w:r w:rsidR="00DA0121">
      <w:fldChar w:fldCharType="separate"/>
    </w:r>
    <w:r w:rsidR="00DA0121" w:rsidRPr="00DA0121">
      <w:rPr>
        <w:b/>
        <w:bCs/>
      </w:rPr>
      <w:t xml:space="preserve">Rec. </w:t>
    </w:r>
    <w:r w:rsidR="00DA0121">
      <w:rPr>
        <w:b/>
        <w:bCs/>
      </w:rPr>
      <w:fldChar w:fldCharType="end"/>
    </w:r>
    <w:r>
      <w:rPr>
        <w:b/>
        <w:bCs/>
      </w:rPr>
      <w:t xml:space="preserve"> </w:t>
    </w:r>
    <w:r>
      <w:rPr>
        <w:b/>
        <w:bCs/>
      </w:rPr>
      <w:fldChar w:fldCharType="begin"/>
    </w:r>
    <w:r>
      <w:rPr>
        <w:b/>
        <w:bCs/>
      </w:rPr>
      <w:instrText>styleref href</w:instrText>
    </w:r>
    <w:r>
      <w:rPr>
        <w:b/>
        <w:bCs/>
      </w:rPr>
      <w:fldChar w:fldCharType="separate"/>
    </w:r>
    <w:r w:rsidR="00DA0121">
      <w:rPr>
        <w:b/>
        <w:bCs/>
        <w:noProof/>
      </w:rPr>
      <w:t>UIT-R  BT.2022</w:t>
    </w:r>
    <w:r>
      <w:rPr>
        <w:b/>
        <w:bCs/>
      </w:rPr>
      <w:fldChar w:fldCharType="end"/>
    </w:r>
    <w:r>
      <w:tab/>
    </w:r>
    <w:r w:rsidR="00A64392" w:rsidRPr="00A64392">
      <w:rPr>
        <w:b/>
        <w:bCs/>
      </w:rPr>
      <w:fldChar w:fldCharType="begin"/>
    </w:r>
    <w:r w:rsidR="00A64392" w:rsidRPr="00A64392">
      <w:rPr>
        <w:b/>
        <w:bCs/>
      </w:rPr>
      <w:instrText>PAGE   \* MERGEFORMAT</w:instrText>
    </w:r>
    <w:r w:rsidR="00A64392" w:rsidRPr="00A64392">
      <w:rPr>
        <w:b/>
        <w:bCs/>
      </w:rPr>
      <w:fldChar w:fldCharType="separate"/>
    </w:r>
    <w:r w:rsidR="00DA0121" w:rsidRPr="00DA0121">
      <w:rPr>
        <w:b/>
        <w:bCs/>
        <w:noProof/>
        <w:lang w:val="fr-FR"/>
      </w:rPr>
      <w:t>1</w:t>
    </w:r>
    <w:r w:rsidR="00A64392" w:rsidRPr="00A64392">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746487C"/>
    <w:lvl w:ilvl="0">
      <w:start w:val="1"/>
      <w:numFmt w:val="decimal"/>
      <w:lvlText w:val="%1."/>
      <w:lvlJc w:val="left"/>
      <w:pPr>
        <w:tabs>
          <w:tab w:val="num" w:pos="1492"/>
        </w:tabs>
        <w:ind w:left="1492" w:hanging="360"/>
      </w:pPr>
    </w:lvl>
  </w:abstractNum>
  <w:abstractNum w:abstractNumId="1">
    <w:nsid w:val="FFFFFF7D"/>
    <w:multiLevelType w:val="singleLevel"/>
    <w:tmpl w:val="A18C1290"/>
    <w:lvl w:ilvl="0">
      <w:start w:val="1"/>
      <w:numFmt w:val="decimal"/>
      <w:lvlText w:val="%1."/>
      <w:lvlJc w:val="left"/>
      <w:pPr>
        <w:tabs>
          <w:tab w:val="num" w:pos="1209"/>
        </w:tabs>
        <w:ind w:left="1209" w:hanging="360"/>
      </w:pPr>
    </w:lvl>
  </w:abstractNum>
  <w:abstractNum w:abstractNumId="2">
    <w:nsid w:val="FFFFFF7E"/>
    <w:multiLevelType w:val="singleLevel"/>
    <w:tmpl w:val="3F143D58"/>
    <w:lvl w:ilvl="0">
      <w:start w:val="1"/>
      <w:numFmt w:val="decimal"/>
      <w:lvlText w:val="%1."/>
      <w:lvlJc w:val="left"/>
      <w:pPr>
        <w:tabs>
          <w:tab w:val="num" w:pos="926"/>
        </w:tabs>
        <w:ind w:left="926" w:hanging="360"/>
      </w:pPr>
    </w:lvl>
  </w:abstractNum>
  <w:abstractNum w:abstractNumId="3">
    <w:nsid w:val="FFFFFF7F"/>
    <w:multiLevelType w:val="singleLevel"/>
    <w:tmpl w:val="8B20C65C"/>
    <w:lvl w:ilvl="0">
      <w:start w:val="1"/>
      <w:numFmt w:val="decimal"/>
      <w:lvlText w:val="%1."/>
      <w:lvlJc w:val="left"/>
      <w:pPr>
        <w:tabs>
          <w:tab w:val="num" w:pos="643"/>
        </w:tabs>
        <w:ind w:left="643" w:hanging="360"/>
      </w:pPr>
    </w:lvl>
  </w:abstractNum>
  <w:abstractNum w:abstractNumId="4">
    <w:nsid w:val="FFFFFF80"/>
    <w:multiLevelType w:val="singleLevel"/>
    <w:tmpl w:val="661231B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CE28EC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93A4C4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AD4018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D1E408C"/>
    <w:lvl w:ilvl="0">
      <w:start w:val="1"/>
      <w:numFmt w:val="decimal"/>
      <w:lvlText w:val="%1."/>
      <w:lvlJc w:val="left"/>
      <w:pPr>
        <w:tabs>
          <w:tab w:val="num" w:pos="360"/>
        </w:tabs>
        <w:ind w:left="360" w:hanging="360"/>
      </w:pPr>
    </w:lvl>
  </w:abstractNum>
  <w:abstractNum w:abstractNumId="9">
    <w:nsid w:val="FFFFFF89"/>
    <w:multiLevelType w:val="singleLevel"/>
    <w:tmpl w:val="CE4A6A4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52E"/>
    <w:rsid w:val="000160BD"/>
    <w:rsid w:val="0005709A"/>
    <w:rsid w:val="00101C5A"/>
    <w:rsid w:val="00217EBF"/>
    <w:rsid w:val="00241BD4"/>
    <w:rsid w:val="00242AEE"/>
    <w:rsid w:val="002D76C4"/>
    <w:rsid w:val="002F652E"/>
    <w:rsid w:val="00340745"/>
    <w:rsid w:val="00355466"/>
    <w:rsid w:val="00382506"/>
    <w:rsid w:val="00392AF5"/>
    <w:rsid w:val="00402267"/>
    <w:rsid w:val="004179A3"/>
    <w:rsid w:val="004203DA"/>
    <w:rsid w:val="00460C64"/>
    <w:rsid w:val="0052529D"/>
    <w:rsid w:val="00533455"/>
    <w:rsid w:val="00581541"/>
    <w:rsid w:val="005B33D2"/>
    <w:rsid w:val="005B71C7"/>
    <w:rsid w:val="00607D68"/>
    <w:rsid w:val="0062075E"/>
    <w:rsid w:val="00725A77"/>
    <w:rsid w:val="007468DA"/>
    <w:rsid w:val="00790431"/>
    <w:rsid w:val="00921DAE"/>
    <w:rsid w:val="00943CB1"/>
    <w:rsid w:val="00996F2E"/>
    <w:rsid w:val="009E00A8"/>
    <w:rsid w:val="00A30B93"/>
    <w:rsid w:val="00A31187"/>
    <w:rsid w:val="00A64392"/>
    <w:rsid w:val="00A6617B"/>
    <w:rsid w:val="00AB0DC8"/>
    <w:rsid w:val="00B02335"/>
    <w:rsid w:val="00B44E24"/>
    <w:rsid w:val="00B9498D"/>
    <w:rsid w:val="00C31EA4"/>
    <w:rsid w:val="00CA59D8"/>
    <w:rsid w:val="00D5370F"/>
    <w:rsid w:val="00D85A91"/>
    <w:rsid w:val="00DA0121"/>
    <w:rsid w:val="00DF4176"/>
    <w:rsid w:val="00E312CF"/>
    <w:rsid w:val="00E36B78"/>
    <w:rsid w:val="00E468FF"/>
    <w:rsid w:val="00E567D1"/>
    <w:rsid w:val="00F526E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6439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link w:val="Heading1Char"/>
    <w:qFormat/>
    <w:rsid w:val="00A64392"/>
    <w:pPr>
      <w:keepNext/>
      <w:keepLines/>
      <w:spacing w:before="480"/>
      <w:ind w:left="794" w:hanging="794"/>
      <w:outlineLvl w:val="0"/>
    </w:pPr>
    <w:rPr>
      <w:b/>
    </w:rPr>
  </w:style>
  <w:style w:type="paragraph" w:styleId="Heading2">
    <w:name w:val="heading 2"/>
    <w:basedOn w:val="Heading1"/>
    <w:next w:val="Normal"/>
    <w:link w:val="Heading2Char"/>
    <w:qFormat/>
    <w:rsid w:val="00A64392"/>
    <w:pPr>
      <w:spacing w:before="320"/>
      <w:outlineLvl w:val="1"/>
    </w:pPr>
  </w:style>
  <w:style w:type="paragraph" w:styleId="Heading3">
    <w:name w:val="heading 3"/>
    <w:basedOn w:val="Heading1"/>
    <w:next w:val="Normal"/>
    <w:link w:val="Heading3Char"/>
    <w:qFormat/>
    <w:rsid w:val="00A64392"/>
    <w:pPr>
      <w:spacing w:before="200"/>
      <w:outlineLvl w:val="2"/>
    </w:pPr>
  </w:style>
  <w:style w:type="paragraph" w:styleId="Heading4">
    <w:name w:val="heading 4"/>
    <w:basedOn w:val="Heading3"/>
    <w:next w:val="Normal"/>
    <w:qFormat/>
    <w:rsid w:val="00A64392"/>
    <w:pPr>
      <w:tabs>
        <w:tab w:val="clear" w:pos="794"/>
        <w:tab w:val="left" w:pos="992"/>
      </w:tabs>
      <w:ind w:left="992" w:hanging="992"/>
      <w:outlineLvl w:val="3"/>
    </w:pPr>
  </w:style>
  <w:style w:type="paragraph" w:styleId="Heading5">
    <w:name w:val="heading 5"/>
    <w:basedOn w:val="Heading4"/>
    <w:next w:val="Normal"/>
    <w:qFormat/>
    <w:rsid w:val="00A64392"/>
    <w:pPr>
      <w:outlineLvl w:val="4"/>
    </w:pPr>
  </w:style>
  <w:style w:type="paragraph" w:styleId="Heading6">
    <w:name w:val="heading 6"/>
    <w:basedOn w:val="Heading4"/>
    <w:next w:val="Normal"/>
    <w:qFormat/>
    <w:rsid w:val="00A64392"/>
    <w:pPr>
      <w:tabs>
        <w:tab w:val="clear" w:pos="992"/>
        <w:tab w:val="clear" w:pos="1191"/>
      </w:tabs>
      <w:ind w:left="1588" w:hanging="1588"/>
      <w:outlineLvl w:val="5"/>
    </w:pPr>
  </w:style>
  <w:style w:type="paragraph" w:styleId="Heading7">
    <w:name w:val="heading 7"/>
    <w:basedOn w:val="Heading6"/>
    <w:next w:val="Normal"/>
    <w:qFormat/>
    <w:rsid w:val="00A64392"/>
    <w:pPr>
      <w:outlineLvl w:val="6"/>
    </w:pPr>
  </w:style>
  <w:style w:type="paragraph" w:styleId="Heading8">
    <w:name w:val="heading 8"/>
    <w:basedOn w:val="Heading6"/>
    <w:next w:val="Normal"/>
    <w:qFormat/>
    <w:rsid w:val="00A64392"/>
    <w:pPr>
      <w:outlineLvl w:val="7"/>
    </w:pPr>
  </w:style>
  <w:style w:type="paragraph" w:styleId="Heading9">
    <w:name w:val="heading 9"/>
    <w:basedOn w:val="Heading6"/>
    <w:next w:val="Normal"/>
    <w:qFormat/>
    <w:rsid w:val="00A6439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6439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6439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64392"/>
  </w:style>
  <w:style w:type="paragraph" w:customStyle="1" w:styleId="Headingb">
    <w:name w:val="Heading_b"/>
    <w:basedOn w:val="Heading3"/>
    <w:next w:val="Normal"/>
    <w:rsid w:val="00A64392"/>
    <w:pPr>
      <w:spacing w:before="160"/>
      <w:ind w:left="0" w:firstLine="0"/>
      <w:outlineLvl w:val="9"/>
    </w:pPr>
  </w:style>
  <w:style w:type="paragraph" w:customStyle="1" w:styleId="Headingi">
    <w:name w:val="Heading_i"/>
    <w:basedOn w:val="Heading3"/>
    <w:next w:val="Normal"/>
    <w:rsid w:val="00A64392"/>
    <w:pPr>
      <w:spacing w:before="160"/>
      <w:ind w:left="0" w:firstLine="0"/>
    </w:pPr>
    <w:rPr>
      <w:b w:val="0"/>
      <w:i/>
    </w:rPr>
  </w:style>
  <w:style w:type="character" w:customStyle="1" w:styleId="href">
    <w:name w:val="href"/>
    <w:basedOn w:val="DefaultParagraphFont"/>
    <w:rsid w:val="00A64392"/>
  </w:style>
  <w:style w:type="paragraph" w:customStyle="1" w:styleId="enumlev1">
    <w:name w:val="enumlev1"/>
    <w:basedOn w:val="Normal"/>
    <w:rsid w:val="00A64392"/>
    <w:pPr>
      <w:spacing w:before="80"/>
      <w:ind w:left="794" w:hanging="794"/>
    </w:pPr>
  </w:style>
  <w:style w:type="paragraph" w:customStyle="1" w:styleId="enumlev2">
    <w:name w:val="enumlev2"/>
    <w:basedOn w:val="enumlev1"/>
    <w:rsid w:val="00A64392"/>
    <w:pPr>
      <w:ind w:left="1191" w:hanging="397"/>
    </w:pPr>
  </w:style>
  <w:style w:type="paragraph" w:customStyle="1" w:styleId="enumlev3">
    <w:name w:val="enumlev3"/>
    <w:basedOn w:val="enumlev2"/>
    <w:rsid w:val="00A64392"/>
    <w:pPr>
      <w:ind w:left="1588"/>
    </w:pPr>
  </w:style>
  <w:style w:type="paragraph" w:customStyle="1" w:styleId="Normalaftertitle">
    <w:name w:val="Normal_after_title"/>
    <w:basedOn w:val="Normal"/>
    <w:next w:val="Normal"/>
    <w:rsid w:val="00A64392"/>
    <w:pPr>
      <w:spacing w:before="320"/>
    </w:pPr>
  </w:style>
  <w:style w:type="paragraph" w:customStyle="1" w:styleId="Note">
    <w:name w:val="Note"/>
    <w:basedOn w:val="Normal"/>
    <w:rsid w:val="00A6439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6439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64392"/>
    <w:pPr>
      <w:spacing w:before="240"/>
    </w:pPr>
    <w:rPr>
      <w:sz w:val="22"/>
      <w:lang w:val="es-ES_tradnl"/>
    </w:rPr>
  </w:style>
  <w:style w:type="paragraph" w:customStyle="1" w:styleId="Recref">
    <w:name w:val="Rec_ref"/>
    <w:basedOn w:val="Normal"/>
    <w:next w:val="Recdate"/>
    <w:rsid w:val="00A64392"/>
    <w:pPr>
      <w:jc w:val="center"/>
    </w:pPr>
  </w:style>
  <w:style w:type="paragraph" w:customStyle="1" w:styleId="Recdate">
    <w:name w:val="Rec_date"/>
    <w:basedOn w:val="Recref"/>
    <w:next w:val="Normalaftertitle"/>
    <w:rsid w:val="00A64392"/>
    <w:pPr>
      <w:jc w:val="right"/>
    </w:pPr>
  </w:style>
  <w:style w:type="paragraph" w:customStyle="1" w:styleId="AnnexNoTitle">
    <w:name w:val="Annex_NoTitle"/>
    <w:basedOn w:val="Normal"/>
    <w:next w:val="Normalaftertitle"/>
    <w:rsid w:val="00A64392"/>
    <w:pPr>
      <w:keepNext/>
      <w:keepLines/>
      <w:spacing w:before="480" w:after="80"/>
      <w:jc w:val="center"/>
    </w:pPr>
    <w:rPr>
      <w:b/>
      <w:sz w:val="28"/>
    </w:rPr>
  </w:style>
  <w:style w:type="paragraph" w:customStyle="1" w:styleId="AppendixNoTitle">
    <w:name w:val="Appendix_NoTitle"/>
    <w:basedOn w:val="AnnexNoTitle"/>
    <w:next w:val="Normal"/>
    <w:rsid w:val="00A64392"/>
  </w:style>
  <w:style w:type="paragraph" w:customStyle="1" w:styleId="Tablefin">
    <w:name w:val="Table_fin"/>
    <w:basedOn w:val="Normal"/>
    <w:next w:val="Normal"/>
    <w:rsid w:val="00A64392"/>
    <w:pPr>
      <w:spacing w:before="0"/>
    </w:pPr>
    <w:rPr>
      <w:sz w:val="20"/>
    </w:rPr>
  </w:style>
  <w:style w:type="paragraph" w:customStyle="1" w:styleId="Tablehead">
    <w:name w:val="Table_head"/>
    <w:basedOn w:val="Normal"/>
    <w:next w:val="Normal"/>
    <w:rsid w:val="00A6439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6439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64392"/>
    <w:pPr>
      <w:keepNext/>
      <w:spacing w:before="360" w:after="120"/>
      <w:jc w:val="center"/>
    </w:pPr>
  </w:style>
  <w:style w:type="paragraph" w:customStyle="1" w:styleId="Tabletext">
    <w:name w:val="Table_text"/>
    <w:basedOn w:val="Normal"/>
    <w:rsid w:val="00A6439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64392"/>
    <w:pPr>
      <w:tabs>
        <w:tab w:val="clear" w:pos="1191"/>
        <w:tab w:val="clear" w:pos="1588"/>
        <w:tab w:val="clear" w:pos="1985"/>
        <w:tab w:val="center" w:pos="4820"/>
        <w:tab w:val="right" w:pos="9639"/>
      </w:tabs>
    </w:pPr>
  </w:style>
  <w:style w:type="paragraph" w:customStyle="1" w:styleId="Equationlegend">
    <w:name w:val="Equation_legend"/>
    <w:basedOn w:val="NormalIndent"/>
    <w:rsid w:val="00A6439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64392"/>
    <w:pPr>
      <w:ind w:left="794"/>
    </w:pPr>
  </w:style>
  <w:style w:type="paragraph" w:customStyle="1" w:styleId="Figurelegend">
    <w:name w:val="Figure_legend"/>
    <w:basedOn w:val="Normal"/>
    <w:rsid w:val="00A6439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64392"/>
    <w:pPr>
      <w:keepNext/>
      <w:keepLines/>
      <w:spacing w:before="480" w:after="80"/>
      <w:jc w:val="center"/>
    </w:pPr>
    <w:rPr>
      <w:caps/>
      <w:sz w:val="18"/>
    </w:rPr>
  </w:style>
  <w:style w:type="paragraph" w:customStyle="1" w:styleId="tocpart">
    <w:name w:val="tocpart"/>
    <w:basedOn w:val="Normal"/>
    <w:rsid w:val="00A6439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64392"/>
    <w:pPr>
      <w:keepNext/>
      <w:keepLines/>
      <w:spacing w:before="480"/>
      <w:jc w:val="center"/>
    </w:pPr>
    <w:rPr>
      <w:sz w:val="28"/>
    </w:rPr>
  </w:style>
  <w:style w:type="paragraph" w:customStyle="1" w:styleId="Arttitle">
    <w:name w:val="Art_title"/>
    <w:basedOn w:val="Normal"/>
    <w:next w:val="Normalaftertitle"/>
    <w:rsid w:val="00A64392"/>
    <w:pPr>
      <w:keepNext/>
      <w:keepLines/>
      <w:spacing w:before="240"/>
      <w:jc w:val="center"/>
    </w:pPr>
    <w:rPr>
      <w:b/>
      <w:sz w:val="28"/>
    </w:rPr>
  </w:style>
  <w:style w:type="paragraph" w:customStyle="1" w:styleId="Blanc">
    <w:name w:val="Blanc"/>
    <w:basedOn w:val="Normal"/>
    <w:next w:val="Tabletext"/>
    <w:rsid w:val="00A64392"/>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A6439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64392"/>
    <w:pPr>
      <w:keepNext/>
      <w:keepLines/>
      <w:spacing w:before="160"/>
      <w:ind w:left="794"/>
    </w:pPr>
    <w:rPr>
      <w:i/>
    </w:rPr>
  </w:style>
  <w:style w:type="paragraph" w:customStyle="1" w:styleId="ChapNo">
    <w:name w:val="Chap_No"/>
    <w:basedOn w:val="ArtNo"/>
    <w:next w:val="Chaptitle"/>
    <w:rsid w:val="00A64392"/>
    <w:rPr>
      <w:b/>
    </w:rPr>
  </w:style>
  <w:style w:type="paragraph" w:customStyle="1" w:styleId="Chaptitle">
    <w:name w:val="Chap_title"/>
    <w:basedOn w:val="Arttitle"/>
    <w:next w:val="Normalaftertitle"/>
    <w:rsid w:val="00A64392"/>
  </w:style>
  <w:style w:type="character" w:styleId="FootnoteReference">
    <w:name w:val="footnote reference"/>
    <w:basedOn w:val="DefaultParagraphFont"/>
    <w:semiHidden/>
    <w:rsid w:val="00A64392"/>
    <w:rPr>
      <w:position w:val="6"/>
      <w:sz w:val="18"/>
    </w:rPr>
  </w:style>
  <w:style w:type="paragraph" w:styleId="FootnoteText">
    <w:name w:val="footnote text"/>
    <w:basedOn w:val="Normal"/>
    <w:link w:val="FootnoteTextChar"/>
    <w:semiHidden/>
    <w:rsid w:val="00A64392"/>
    <w:pPr>
      <w:keepLines/>
      <w:tabs>
        <w:tab w:val="left" w:pos="255"/>
      </w:tabs>
      <w:ind w:left="255" w:hanging="255"/>
    </w:pPr>
    <w:rPr>
      <w:sz w:val="22"/>
    </w:rPr>
  </w:style>
  <w:style w:type="paragraph" w:styleId="Index1">
    <w:name w:val="index 1"/>
    <w:basedOn w:val="Normal"/>
    <w:next w:val="Normal"/>
    <w:semiHidden/>
    <w:rsid w:val="00A64392"/>
  </w:style>
  <w:style w:type="paragraph" w:styleId="Index2">
    <w:name w:val="index 2"/>
    <w:basedOn w:val="Normal"/>
    <w:next w:val="Normal"/>
    <w:semiHidden/>
    <w:rsid w:val="00A64392"/>
    <w:pPr>
      <w:ind w:left="283"/>
    </w:pPr>
  </w:style>
  <w:style w:type="paragraph" w:styleId="Index3">
    <w:name w:val="index 3"/>
    <w:basedOn w:val="Normal"/>
    <w:next w:val="Normal"/>
    <w:semiHidden/>
    <w:rsid w:val="00A64392"/>
    <w:pPr>
      <w:ind w:left="566"/>
    </w:pPr>
  </w:style>
  <w:style w:type="paragraph" w:styleId="IndexHeading">
    <w:name w:val="index heading"/>
    <w:basedOn w:val="Normal"/>
    <w:next w:val="Index1"/>
    <w:semiHidden/>
    <w:rsid w:val="00A64392"/>
  </w:style>
  <w:style w:type="paragraph" w:customStyle="1" w:styleId="Line">
    <w:name w:val="Line"/>
    <w:basedOn w:val="Normal"/>
    <w:next w:val="Normal"/>
    <w:rsid w:val="00A64392"/>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A6439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64392"/>
  </w:style>
  <w:style w:type="paragraph" w:customStyle="1" w:styleId="Partref">
    <w:name w:val="Part_ref"/>
    <w:basedOn w:val="Normal"/>
    <w:next w:val="Normal"/>
    <w:rsid w:val="00A64392"/>
    <w:pPr>
      <w:keepNext/>
      <w:keepLines/>
      <w:spacing w:after="280"/>
      <w:jc w:val="center"/>
    </w:pPr>
  </w:style>
  <w:style w:type="paragraph" w:customStyle="1" w:styleId="Parttitle">
    <w:name w:val="Part_title"/>
    <w:basedOn w:val="Normal"/>
    <w:next w:val="Normalaftertitle"/>
    <w:rsid w:val="00A6439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64392"/>
  </w:style>
  <w:style w:type="paragraph" w:customStyle="1" w:styleId="QuestionNo">
    <w:name w:val="Question_No"/>
    <w:basedOn w:val="RecNo"/>
    <w:next w:val="Normal"/>
    <w:rsid w:val="00A64392"/>
  </w:style>
  <w:style w:type="paragraph" w:customStyle="1" w:styleId="Questionref">
    <w:name w:val="Question_ref"/>
    <w:basedOn w:val="Recref"/>
    <w:next w:val="Questiondate"/>
    <w:rsid w:val="00A64392"/>
  </w:style>
  <w:style w:type="paragraph" w:customStyle="1" w:styleId="Questiontitle">
    <w:name w:val="Question_title"/>
    <w:basedOn w:val="Normal"/>
    <w:next w:val="Questionref"/>
    <w:rsid w:val="00A64392"/>
  </w:style>
  <w:style w:type="paragraph" w:customStyle="1" w:styleId="Reftext">
    <w:name w:val="Ref_text"/>
    <w:basedOn w:val="Normal"/>
    <w:rsid w:val="00A64392"/>
    <w:pPr>
      <w:ind w:left="794" w:hanging="794"/>
    </w:pPr>
    <w:rPr>
      <w:sz w:val="22"/>
    </w:rPr>
  </w:style>
  <w:style w:type="paragraph" w:customStyle="1" w:styleId="Reftitle">
    <w:name w:val="Ref_title"/>
    <w:basedOn w:val="Normal"/>
    <w:next w:val="Reftext"/>
    <w:rsid w:val="00A6439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64392"/>
  </w:style>
  <w:style w:type="paragraph" w:customStyle="1" w:styleId="RepNo">
    <w:name w:val="Rep_No"/>
    <w:basedOn w:val="RecNo"/>
    <w:next w:val="Reptitle"/>
    <w:rsid w:val="00A64392"/>
  </w:style>
  <w:style w:type="paragraph" w:customStyle="1" w:styleId="Repref">
    <w:name w:val="Rep_ref"/>
    <w:basedOn w:val="Recref"/>
    <w:next w:val="Repdate"/>
    <w:rsid w:val="00A64392"/>
  </w:style>
  <w:style w:type="paragraph" w:customStyle="1" w:styleId="Reptitle">
    <w:name w:val="Rep_title"/>
    <w:basedOn w:val="Rectitle"/>
    <w:next w:val="Repref"/>
    <w:rsid w:val="00A64392"/>
  </w:style>
  <w:style w:type="paragraph" w:customStyle="1" w:styleId="Resdate">
    <w:name w:val="Res_date"/>
    <w:basedOn w:val="Recdate"/>
    <w:next w:val="Normalaftertitle"/>
    <w:rsid w:val="00A64392"/>
  </w:style>
  <w:style w:type="paragraph" w:customStyle="1" w:styleId="ResNo">
    <w:name w:val="Res_No"/>
    <w:basedOn w:val="RecNo"/>
    <w:next w:val="Restitle"/>
    <w:rsid w:val="00A64392"/>
  </w:style>
  <w:style w:type="paragraph" w:customStyle="1" w:styleId="Resref">
    <w:name w:val="Res_ref"/>
    <w:basedOn w:val="Recref"/>
    <w:next w:val="Resdate"/>
    <w:rsid w:val="00A64392"/>
  </w:style>
  <w:style w:type="paragraph" w:customStyle="1" w:styleId="Restitle">
    <w:name w:val="Res_title"/>
    <w:basedOn w:val="Normal"/>
    <w:next w:val="Resref"/>
    <w:rsid w:val="00A64392"/>
    <w:pPr>
      <w:spacing w:before="240"/>
      <w:jc w:val="center"/>
    </w:pPr>
    <w:rPr>
      <w:b/>
      <w:sz w:val="28"/>
    </w:rPr>
  </w:style>
  <w:style w:type="paragraph" w:customStyle="1" w:styleId="SectionNo">
    <w:name w:val="Section_No"/>
    <w:basedOn w:val="Normal"/>
    <w:next w:val="Normal"/>
    <w:rsid w:val="00A64392"/>
  </w:style>
  <w:style w:type="paragraph" w:customStyle="1" w:styleId="Sectiontitle">
    <w:name w:val="Section_title"/>
    <w:basedOn w:val="Normal"/>
    <w:next w:val="Normalaftertitle"/>
    <w:rsid w:val="00A6439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64392"/>
    <w:pPr>
      <w:tabs>
        <w:tab w:val="clear" w:pos="794"/>
        <w:tab w:val="clear" w:pos="1191"/>
        <w:tab w:val="clear" w:pos="1588"/>
        <w:tab w:val="clear" w:pos="1985"/>
        <w:tab w:val="right" w:pos="9611"/>
      </w:tabs>
    </w:pPr>
    <w:rPr>
      <w:i/>
    </w:rPr>
  </w:style>
  <w:style w:type="paragraph" w:styleId="TOC1">
    <w:name w:val="toc 1"/>
    <w:basedOn w:val="Normal"/>
    <w:semiHidden/>
    <w:rsid w:val="00A6439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64392"/>
    <w:pPr>
      <w:tabs>
        <w:tab w:val="clear" w:pos="567"/>
        <w:tab w:val="left" w:pos="1276"/>
      </w:tabs>
      <w:spacing w:before="160"/>
      <w:ind w:left="1276" w:hanging="709"/>
    </w:pPr>
  </w:style>
  <w:style w:type="paragraph" w:styleId="TOC3">
    <w:name w:val="toc 3"/>
    <w:basedOn w:val="TOC2"/>
    <w:semiHidden/>
    <w:rsid w:val="00A64392"/>
    <w:pPr>
      <w:tabs>
        <w:tab w:val="clear" w:pos="1276"/>
        <w:tab w:val="left" w:pos="2155"/>
      </w:tabs>
      <w:ind w:left="2155" w:hanging="879"/>
    </w:pPr>
  </w:style>
  <w:style w:type="paragraph" w:styleId="TOC4">
    <w:name w:val="toc 4"/>
    <w:basedOn w:val="TOC3"/>
    <w:semiHidden/>
    <w:rsid w:val="00A64392"/>
    <w:pPr>
      <w:tabs>
        <w:tab w:val="left" w:pos="3261"/>
      </w:tabs>
      <w:spacing w:before="80"/>
      <w:ind w:left="3261" w:hanging="993"/>
    </w:pPr>
  </w:style>
  <w:style w:type="paragraph" w:styleId="TOC5">
    <w:name w:val="toc 5"/>
    <w:basedOn w:val="TOC4"/>
    <w:semiHidden/>
    <w:rsid w:val="00A64392"/>
  </w:style>
  <w:style w:type="paragraph" w:styleId="TOC6">
    <w:name w:val="toc 6"/>
    <w:basedOn w:val="TOC4"/>
    <w:semiHidden/>
    <w:rsid w:val="00A64392"/>
  </w:style>
  <w:style w:type="paragraph" w:styleId="TOC7">
    <w:name w:val="toc 7"/>
    <w:basedOn w:val="TOC4"/>
    <w:semiHidden/>
    <w:rsid w:val="00A64392"/>
  </w:style>
  <w:style w:type="paragraph" w:styleId="TOC8">
    <w:name w:val="toc 8"/>
    <w:basedOn w:val="TOC4"/>
    <w:semiHidden/>
    <w:rsid w:val="00A64392"/>
  </w:style>
  <w:style w:type="paragraph" w:customStyle="1" w:styleId="Rectitle">
    <w:name w:val="Rec_title"/>
    <w:basedOn w:val="Normal"/>
    <w:next w:val="Recref"/>
    <w:rsid w:val="00A64392"/>
    <w:pPr>
      <w:keepNext/>
      <w:keepLines/>
      <w:spacing w:before="240"/>
      <w:jc w:val="center"/>
    </w:pPr>
    <w:rPr>
      <w:b/>
      <w:sz w:val="28"/>
    </w:rPr>
  </w:style>
  <w:style w:type="paragraph" w:customStyle="1" w:styleId="Annexref">
    <w:name w:val="Annex_ref"/>
    <w:basedOn w:val="Normal"/>
    <w:next w:val="Normalaftertitle"/>
    <w:rsid w:val="00A64392"/>
    <w:pPr>
      <w:keepNext/>
      <w:keepLines/>
      <w:spacing w:after="280"/>
      <w:jc w:val="center"/>
    </w:pPr>
  </w:style>
  <w:style w:type="paragraph" w:customStyle="1" w:styleId="Appendixref">
    <w:name w:val="Appendix_ref"/>
    <w:basedOn w:val="Annexref"/>
    <w:next w:val="Normalaftertitle"/>
    <w:rsid w:val="00A64392"/>
  </w:style>
  <w:style w:type="paragraph" w:customStyle="1" w:styleId="Figuretitle">
    <w:name w:val="Figure_title"/>
    <w:basedOn w:val="Normal"/>
    <w:next w:val="Figure"/>
    <w:rsid w:val="00A64392"/>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64392"/>
    <w:pPr>
      <w:keepNext/>
      <w:spacing w:before="0" w:after="120"/>
      <w:jc w:val="center"/>
    </w:pPr>
    <w:rPr>
      <w:b/>
    </w:rPr>
  </w:style>
  <w:style w:type="paragraph" w:customStyle="1" w:styleId="Summary">
    <w:name w:val="Summary"/>
    <w:basedOn w:val="Normal"/>
    <w:next w:val="Normalaftertitle"/>
    <w:autoRedefine/>
    <w:rsid w:val="00A64392"/>
    <w:pPr>
      <w:spacing w:after="480"/>
    </w:pPr>
    <w:rPr>
      <w:sz w:val="22"/>
      <w:lang w:val="es-ES_tradnl"/>
    </w:rPr>
  </w:style>
  <w:style w:type="paragraph" w:customStyle="1" w:styleId="TableLegendNote">
    <w:name w:val="Table_Legend_Note"/>
    <w:basedOn w:val="Tablelegend"/>
    <w:next w:val="Tablelegend"/>
    <w:rsid w:val="00A64392"/>
    <w:pPr>
      <w:ind w:left="-85" w:firstLine="0"/>
    </w:pPr>
    <w:rPr>
      <w:lang w:val="en-US"/>
    </w:rPr>
  </w:style>
  <w:style w:type="paragraph" w:customStyle="1" w:styleId="Figure">
    <w:name w:val="Figure"/>
    <w:basedOn w:val="FigureNo"/>
    <w:next w:val="Normal"/>
    <w:rsid w:val="00A64392"/>
    <w:pPr>
      <w:keepNext w:val="0"/>
      <w:spacing w:before="0" w:after="240"/>
    </w:pPr>
  </w:style>
  <w:style w:type="character" w:styleId="Hyperlink">
    <w:name w:val="Hyperlink"/>
    <w:basedOn w:val="DefaultParagraphFont"/>
    <w:rsid w:val="002F652E"/>
    <w:rPr>
      <w:color w:val="0000FF"/>
      <w:u w:val="single"/>
    </w:rPr>
  </w:style>
  <w:style w:type="character" w:customStyle="1" w:styleId="Heading1Char">
    <w:name w:val="Heading 1 Char"/>
    <w:basedOn w:val="DefaultParagraphFont"/>
    <w:link w:val="Heading1"/>
    <w:rsid w:val="00996F2E"/>
    <w:rPr>
      <w:b/>
      <w:sz w:val="24"/>
      <w:lang w:val="en-GB" w:eastAsia="en-US"/>
    </w:rPr>
  </w:style>
  <w:style w:type="character" w:customStyle="1" w:styleId="Heading2Char">
    <w:name w:val="Heading 2 Char"/>
    <w:basedOn w:val="DefaultParagraphFont"/>
    <w:link w:val="Heading2"/>
    <w:rsid w:val="00996F2E"/>
    <w:rPr>
      <w:b/>
      <w:sz w:val="24"/>
      <w:lang w:val="en-GB" w:eastAsia="en-US"/>
    </w:rPr>
  </w:style>
  <w:style w:type="character" w:customStyle="1" w:styleId="Heading3Char">
    <w:name w:val="Heading 3 Char"/>
    <w:basedOn w:val="DefaultParagraphFont"/>
    <w:link w:val="Heading3"/>
    <w:rsid w:val="00996F2E"/>
    <w:rPr>
      <w:b/>
      <w:sz w:val="24"/>
      <w:lang w:val="en-GB" w:eastAsia="en-US"/>
    </w:rPr>
  </w:style>
  <w:style w:type="character" w:customStyle="1" w:styleId="FootnoteTextChar">
    <w:name w:val="Footnote Text Char"/>
    <w:basedOn w:val="DefaultParagraphFont"/>
    <w:link w:val="FootnoteText"/>
    <w:semiHidden/>
    <w:rsid w:val="00996F2E"/>
    <w:rPr>
      <w:sz w:val="22"/>
      <w:lang w:val="en-GB" w:eastAsia="en-US"/>
    </w:rPr>
  </w:style>
  <w:style w:type="paragraph" w:customStyle="1" w:styleId="Reasons">
    <w:name w:val="Reasons"/>
    <w:basedOn w:val="Normal"/>
    <w:qFormat/>
    <w:rsid w:val="00996F2E"/>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6439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link w:val="Heading1Char"/>
    <w:qFormat/>
    <w:rsid w:val="00A64392"/>
    <w:pPr>
      <w:keepNext/>
      <w:keepLines/>
      <w:spacing w:before="480"/>
      <w:ind w:left="794" w:hanging="794"/>
      <w:outlineLvl w:val="0"/>
    </w:pPr>
    <w:rPr>
      <w:b/>
    </w:rPr>
  </w:style>
  <w:style w:type="paragraph" w:styleId="Heading2">
    <w:name w:val="heading 2"/>
    <w:basedOn w:val="Heading1"/>
    <w:next w:val="Normal"/>
    <w:link w:val="Heading2Char"/>
    <w:qFormat/>
    <w:rsid w:val="00A64392"/>
    <w:pPr>
      <w:spacing w:before="320"/>
      <w:outlineLvl w:val="1"/>
    </w:pPr>
  </w:style>
  <w:style w:type="paragraph" w:styleId="Heading3">
    <w:name w:val="heading 3"/>
    <w:basedOn w:val="Heading1"/>
    <w:next w:val="Normal"/>
    <w:link w:val="Heading3Char"/>
    <w:qFormat/>
    <w:rsid w:val="00A64392"/>
    <w:pPr>
      <w:spacing w:before="200"/>
      <w:outlineLvl w:val="2"/>
    </w:pPr>
  </w:style>
  <w:style w:type="paragraph" w:styleId="Heading4">
    <w:name w:val="heading 4"/>
    <w:basedOn w:val="Heading3"/>
    <w:next w:val="Normal"/>
    <w:qFormat/>
    <w:rsid w:val="00A64392"/>
    <w:pPr>
      <w:tabs>
        <w:tab w:val="clear" w:pos="794"/>
        <w:tab w:val="left" w:pos="992"/>
      </w:tabs>
      <w:ind w:left="992" w:hanging="992"/>
      <w:outlineLvl w:val="3"/>
    </w:pPr>
  </w:style>
  <w:style w:type="paragraph" w:styleId="Heading5">
    <w:name w:val="heading 5"/>
    <w:basedOn w:val="Heading4"/>
    <w:next w:val="Normal"/>
    <w:qFormat/>
    <w:rsid w:val="00A64392"/>
    <w:pPr>
      <w:outlineLvl w:val="4"/>
    </w:pPr>
  </w:style>
  <w:style w:type="paragraph" w:styleId="Heading6">
    <w:name w:val="heading 6"/>
    <w:basedOn w:val="Heading4"/>
    <w:next w:val="Normal"/>
    <w:qFormat/>
    <w:rsid w:val="00A64392"/>
    <w:pPr>
      <w:tabs>
        <w:tab w:val="clear" w:pos="992"/>
        <w:tab w:val="clear" w:pos="1191"/>
      </w:tabs>
      <w:ind w:left="1588" w:hanging="1588"/>
      <w:outlineLvl w:val="5"/>
    </w:pPr>
  </w:style>
  <w:style w:type="paragraph" w:styleId="Heading7">
    <w:name w:val="heading 7"/>
    <w:basedOn w:val="Heading6"/>
    <w:next w:val="Normal"/>
    <w:qFormat/>
    <w:rsid w:val="00A64392"/>
    <w:pPr>
      <w:outlineLvl w:val="6"/>
    </w:pPr>
  </w:style>
  <w:style w:type="paragraph" w:styleId="Heading8">
    <w:name w:val="heading 8"/>
    <w:basedOn w:val="Heading6"/>
    <w:next w:val="Normal"/>
    <w:qFormat/>
    <w:rsid w:val="00A64392"/>
    <w:pPr>
      <w:outlineLvl w:val="7"/>
    </w:pPr>
  </w:style>
  <w:style w:type="paragraph" w:styleId="Heading9">
    <w:name w:val="heading 9"/>
    <w:basedOn w:val="Heading6"/>
    <w:next w:val="Normal"/>
    <w:qFormat/>
    <w:rsid w:val="00A6439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6439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6439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64392"/>
  </w:style>
  <w:style w:type="paragraph" w:customStyle="1" w:styleId="Headingb">
    <w:name w:val="Heading_b"/>
    <w:basedOn w:val="Heading3"/>
    <w:next w:val="Normal"/>
    <w:rsid w:val="00A64392"/>
    <w:pPr>
      <w:spacing w:before="160"/>
      <w:ind w:left="0" w:firstLine="0"/>
      <w:outlineLvl w:val="9"/>
    </w:pPr>
  </w:style>
  <w:style w:type="paragraph" w:customStyle="1" w:styleId="Headingi">
    <w:name w:val="Heading_i"/>
    <w:basedOn w:val="Heading3"/>
    <w:next w:val="Normal"/>
    <w:rsid w:val="00A64392"/>
    <w:pPr>
      <w:spacing w:before="160"/>
      <w:ind w:left="0" w:firstLine="0"/>
    </w:pPr>
    <w:rPr>
      <w:b w:val="0"/>
      <w:i/>
    </w:rPr>
  </w:style>
  <w:style w:type="character" w:customStyle="1" w:styleId="href">
    <w:name w:val="href"/>
    <w:basedOn w:val="DefaultParagraphFont"/>
    <w:rsid w:val="00A64392"/>
  </w:style>
  <w:style w:type="paragraph" w:customStyle="1" w:styleId="enumlev1">
    <w:name w:val="enumlev1"/>
    <w:basedOn w:val="Normal"/>
    <w:rsid w:val="00A64392"/>
    <w:pPr>
      <w:spacing w:before="80"/>
      <w:ind w:left="794" w:hanging="794"/>
    </w:pPr>
  </w:style>
  <w:style w:type="paragraph" w:customStyle="1" w:styleId="enumlev2">
    <w:name w:val="enumlev2"/>
    <w:basedOn w:val="enumlev1"/>
    <w:rsid w:val="00A64392"/>
    <w:pPr>
      <w:ind w:left="1191" w:hanging="397"/>
    </w:pPr>
  </w:style>
  <w:style w:type="paragraph" w:customStyle="1" w:styleId="enumlev3">
    <w:name w:val="enumlev3"/>
    <w:basedOn w:val="enumlev2"/>
    <w:rsid w:val="00A64392"/>
    <w:pPr>
      <w:ind w:left="1588"/>
    </w:pPr>
  </w:style>
  <w:style w:type="paragraph" w:customStyle="1" w:styleId="Normalaftertitle">
    <w:name w:val="Normal_after_title"/>
    <w:basedOn w:val="Normal"/>
    <w:next w:val="Normal"/>
    <w:rsid w:val="00A64392"/>
    <w:pPr>
      <w:spacing w:before="320"/>
    </w:pPr>
  </w:style>
  <w:style w:type="paragraph" w:customStyle="1" w:styleId="Note">
    <w:name w:val="Note"/>
    <w:basedOn w:val="Normal"/>
    <w:rsid w:val="00A6439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6439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64392"/>
    <w:pPr>
      <w:spacing w:before="240"/>
    </w:pPr>
    <w:rPr>
      <w:sz w:val="22"/>
      <w:lang w:val="es-ES_tradnl"/>
    </w:rPr>
  </w:style>
  <w:style w:type="paragraph" w:customStyle="1" w:styleId="Recref">
    <w:name w:val="Rec_ref"/>
    <w:basedOn w:val="Normal"/>
    <w:next w:val="Recdate"/>
    <w:rsid w:val="00A64392"/>
    <w:pPr>
      <w:jc w:val="center"/>
    </w:pPr>
  </w:style>
  <w:style w:type="paragraph" w:customStyle="1" w:styleId="Recdate">
    <w:name w:val="Rec_date"/>
    <w:basedOn w:val="Recref"/>
    <w:next w:val="Normalaftertitle"/>
    <w:rsid w:val="00A64392"/>
    <w:pPr>
      <w:jc w:val="right"/>
    </w:pPr>
  </w:style>
  <w:style w:type="paragraph" w:customStyle="1" w:styleId="AnnexNoTitle">
    <w:name w:val="Annex_NoTitle"/>
    <w:basedOn w:val="Normal"/>
    <w:next w:val="Normalaftertitle"/>
    <w:rsid w:val="00A64392"/>
    <w:pPr>
      <w:keepNext/>
      <w:keepLines/>
      <w:spacing w:before="480" w:after="80"/>
      <w:jc w:val="center"/>
    </w:pPr>
    <w:rPr>
      <w:b/>
      <w:sz w:val="28"/>
    </w:rPr>
  </w:style>
  <w:style w:type="paragraph" w:customStyle="1" w:styleId="AppendixNoTitle">
    <w:name w:val="Appendix_NoTitle"/>
    <w:basedOn w:val="AnnexNoTitle"/>
    <w:next w:val="Normal"/>
    <w:rsid w:val="00A64392"/>
  </w:style>
  <w:style w:type="paragraph" w:customStyle="1" w:styleId="Tablefin">
    <w:name w:val="Table_fin"/>
    <w:basedOn w:val="Normal"/>
    <w:next w:val="Normal"/>
    <w:rsid w:val="00A64392"/>
    <w:pPr>
      <w:spacing w:before="0"/>
    </w:pPr>
    <w:rPr>
      <w:sz w:val="20"/>
    </w:rPr>
  </w:style>
  <w:style w:type="paragraph" w:customStyle="1" w:styleId="Tablehead">
    <w:name w:val="Table_head"/>
    <w:basedOn w:val="Normal"/>
    <w:next w:val="Normal"/>
    <w:rsid w:val="00A6439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6439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64392"/>
    <w:pPr>
      <w:keepNext/>
      <w:spacing w:before="360" w:after="120"/>
      <w:jc w:val="center"/>
    </w:pPr>
  </w:style>
  <w:style w:type="paragraph" w:customStyle="1" w:styleId="Tabletext">
    <w:name w:val="Table_text"/>
    <w:basedOn w:val="Normal"/>
    <w:rsid w:val="00A6439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64392"/>
    <w:pPr>
      <w:tabs>
        <w:tab w:val="clear" w:pos="1191"/>
        <w:tab w:val="clear" w:pos="1588"/>
        <w:tab w:val="clear" w:pos="1985"/>
        <w:tab w:val="center" w:pos="4820"/>
        <w:tab w:val="right" w:pos="9639"/>
      </w:tabs>
    </w:pPr>
  </w:style>
  <w:style w:type="paragraph" w:customStyle="1" w:styleId="Equationlegend">
    <w:name w:val="Equation_legend"/>
    <w:basedOn w:val="NormalIndent"/>
    <w:rsid w:val="00A6439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64392"/>
    <w:pPr>
      <w:ind w:left="794"/>
    </w:pPr>
  </w:style>
  <w:style w:type="paragraph" w:customStyle="1" w:styleId="Figurelegend">
    <w:name w:val="Figure_legend"/>
    <w:basedOn w:val="Normal"/>
    <w:rsid w:val="00A6439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64392"/>
    <w:pPr>
      <w:keepNext/>
      <w:keepLines/>
      <w:spacing w:before="480" w:after="80"/>
      <w:jc w:val="center"/>
    </w:pPr>
    <w:rPr>
      <w:caps/>
      <w:sz w:val="18"/>
    </w:rPr>
  </w:style>
  <w:style w:type="paragraph" w:customStyle="1" w:styleId="tocpart">
    <w:name w:val="tocpart"/>
    <w:basedOn w:val="Normal"/>
    <w:rsid w:val="00A6439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64392"/>
    <w:pPr>
      <w:keepNext/>
      <w:keepLines/>
      <w:spacing w:before="480"/>
      <w:jc w:val="center"/>
    </w:pPr>
    <w:rPr>
      <w:sz w:val="28"/>
    </w:rPr>
  </w:style>
  <w:style w:type="paragraph" w:customStyle="1" w:styleId="Arttitle">
    <w:name w:val="Art_title"/>
    <w:basedOn w:val="Normal"/>
    <w:next w:val="Normalaftertitle"/>
    <w:rsid w:val="00A64392"/>
    <w:pPr>
      <w:keepNext/>
      <w:keepLines/>
      <w:spacing w:before="240"/>
      <w:jc w:val="center"/>
    </w:pPr>
    <w:rPr>
      <w:b/>
      <w:sz w:val="28"/>
    </w:rPr>
  </w:style>
  <w:style w:type="paragraph" w:customStyle="1" w:styleId="Blanc">
    <w:name w:val="Blanc"/>
    <w:basedOn w:val="Normal"/>
    <w:next w:val="Tabletext"/>
    <w:rsid w:val="00A64392"/>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A6439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64392"/>
    <w:pPr>
      <w:keepNext/>
      <w:keepLines/>
      <w:spacing w:before="160"/>
      <w:ind w:left="794"/>
    </w:pPr>
    <w:rPr>
      <w:i/>
    </w:rPr>
  </w:style>
  <w:style w:type="paragraph" w:customStyle="1" w:styleId="ChapNo">
    <w:name w:val="Chap_No"/>
    <w:basedOn w:val="ArtNo"/>
    <w:next w:val="Chaptitle"/>
    <w:rsid w:val="00A64392"/>
    <w:rPr>
      <w:b/>
    </w:rPr>
  </w:style>
  <w:style w:type="paragraph" w:customStyle="1" w:styleId="Chaptitle">
    <w:name w:val="Chap_title"/>
    <w:basedOn w:val="Arttitle"/>
    <w:next w:val="Normalaftertitle"/>
    <w:rsid w:val="00A64392"/>
  </w:style>
  <w:style w:type="character" w:styleId="FootnoteReference">
    <w:name w:val="footnote reference"/>
    <w:basedOn w:val="DefaultParagraphFont"/>
    <w:semiHidden/>
    <w:rsid w:val="00A64392"/>
    <w:rPr>
      <w:position w:val="6"/>
      <w:sz w:val="18"/>
    </w:rPr>
  </w:style>
  <w:style w:type="paragraph" w:styleId="FootnoteText">
    <w:name w:val="footnote text"/>
    <w:basedOn w:val="Normal"/>
    <w:link w:val="FootnoteTextChar"/>
    <w:semiHidden/>
    <w:rsid w:val="00A64392"/>
    <w:pPr>
      <w:keepLines/>
      <w:tabs>
        <w:tab w:val="left" w:pos="255"/>
      </w:tabs>
      <w:ind w:left="255" w:hanging="255"/>
    </w:pPr>
    <w:rPr>
      <w:sz w:val="22"/>
    </w:rPr>
  </w:style>
  <w:style w:type="paragraph" w:styleId="Index1">
    <w:name w:val="index 1"/>
    <w:basedOn w:val="Normal"/>
    <w:next w:val="Normal"/>
    <w:semiHidden/>
    <w:rsid w:val="00A64392"/>
  </w:style>
  <w:style w:type="paragraph" w:styleId="Index2">
    <w:name w:val="index 2"/>
    <w:basedOn w:val="Normal"/>
    <w:next w:val="Normal"/>
    <w:semiHidden/>
    <w:rsid w:val="00A64392"/>
    <w:pPr>
      <w:ind w:left="283"/>
    </w:pPr>
  </w:style>
  <w:style w:type="paragraph" w:styleId="Index3">
    <w:name w:val="index 3"/>
    <w:basedOn w:val="Normal"/>
    <w:next w:val="Normal"/>
    <w:semiHidden/>
    <w:rsid w:val="00A64392"/>
    <w:pPr>
      <w:ind w:left="566"/>
    </w:pPr>
  </w:style>
  <w:style w:type="paragraph" w:styleId="IndexHeading">
    <w:name w:val="index heading"/>
    <w:basedOn w:val="Normal"/>
    <w:next w:val="Index1"/>
    <w:semiHidden/>
    <w:rsid w:val="00A64392"/>
  </w:style>
  <w:style w:type="paragraph" w:customStyle="1" w:styleId="Line">
    <w:name w:val="Line"/>
    <w:basedOn w:val="Normal"/>
    <w:next w:val="Normal"/>
    <w:rsid w:val="00A64392"/>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A6439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64392"/>
  </w:style>
  <w:style w:type="paragraph" w:customStyle="1" w:styleId="Partref">
    <w:name w:val="Part_ref"/>
    <w:basedOn w:val="Normal"/>
    <w:next w:val="Normal"/>
    <w:rsid w:val="00A64392"/>
    <w:pPr>
      <w:keepNext/>
      <w:keepLines/>
      <w:spacing w:after="280"/>
      <w:jc w:val="center"/>
    </w:pPr>
  </w:style>
  <w:style w:type="paragraph" w:customStyle="1" w:styleId="Parttitle">
    <w:name w:val="Part_title"/>
    <w:basedOn w:val="Normal"/>
    <w:next w:val="Normalaftertitle"/>
    <w:rsid w:val="00A6439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64392"/>
  </w:style>
  <w:style w:type="paragraph" w:customStyle="1" w:styleId="QuestionNo">
    <w:name w:val="Question_No"/>
    <w:basedOn w:val="RecNo"/>
    <w:next w:val="Normal"/>
    <w:rsid w:val="00A64392"/>
  </w:style>
  <w:style w:type="paragraph" w:customStyle="1" w:styleId="Questionref">
    <w:name w:val="Question_ref"/>
    <w:basedOn w:val="Recref"/>
    <w:next w:val="Questiondate"/>
    <w:rsid w:val="00A64392"/>
  </w:style>
  <w:style w:type="paragraph" w:customStyle="1" w:styleId="Questiontitle">
    <w:name w:val="Question_title"/>
    <w:basedOn w:val="Normal"/>
    <w:next w:val="Questionref"/>
    <w:rsid w:val="00A64392"/>
  </w:style>
  <w:style w:type="paragraph" w:customStyle="1" w:styleId="Reftext">
    <w:name w:val="Ref_text"/>
    <w:basedOn w:val="Normal"/>
    <w:rsid w:val="00A64392"/>
    <w:pPr>
      <w:ind w:left="794" w:hanging="794"/>
    </w:pPr>
    <w:rPr>
      <w:sz w:val="22"/>
    </w:rPr>
  </w:style>
  <w:style w:type="paragraph" w:customStyle="1" w:styleId="Reftitle">
    <w:name w:val="Ref_title"/>
    <w:basedOn w:val="Normal"/>
    <w:next w:val="Reftext"/>
    <w:rsid w:val="00A6439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64392"/>
  </w:style>
  <w:style w:type="paragraph" w:customStyle="1" w:styleId="RepNo">
    <w:name w:val="Rep_No"/>
    <w:basedOn w:val="RecNo"/>
    <w:next w:val="Reptitle"/>
    <w:rsid w:val="00A64392"/>
  </w:style>
  <w:style w:type="paragraph" w:customStyle="1" w:styleId="Repref">
    <w:name w:val="Rep_ref"/>
    <w:basedOn w:val="Recref"/>
    <w:next w:val="Repdate"/>
    <w:rsid w:val="00A64392"/>
  </w:style>
  <w:style w:type="paragraph" w:customStyle="1" w:styleId="Reptitle">
    <w:name w:val="Rep_title"/>
    <w:basedOn w:val="Rectitle"/>
    <w:next w:val="Repref"/>
    <w:rsid w:val="00A64392"/>
  </w:style>
  <w:style w:type="paragraph" w:customStyle="1" w:styleId="Resdate">
    <w:name w:val="Res_date"/>
    <w:basedOn w:val="Recdate"/>
    <w:next w:val="Normalaftertitle"/>
    <w:rsid w:val="00A64392"/>
  </w:style>
  <w:style w:type="paragraph" w:customStyle="1" w:styleId="ResNo">
    <w:name w:val="Res_No"/>
    <w:basedOn w:val="RecNo"/>
    <w:next w:val="Restitle"/>
    <w:rsid w:val="00A64392"/>
  </w:style>
  <w:style w:type="paragraph" w:customStyle="1" w:styleId="Resref">
    <w:name w:val="Res_ref"/>
    <w:basedOn w:val="Recref"/>
    <w:next w:val="Resdate"/>
    <w:rsid w:val="00A64392"/>
  </w:style>
  <w:style w:type="paragraph" w:customStyle="1" w:styleId="Restitle">
    <w:name w:val="Res_title"/>
    <w:basedOn w:val="Normal"/>
    <w:next w:val="Resref"/>
    <w:rsid w:val="00A64392"/>
    <w:pPr>
      <w:spacing w:before="240"/>
      <w:jc w:val="center"/>
    </w:pPr>
    <w:rPr>
      <w:b/>
      <w:sz w:val="28"/>
    </w:rPr>
  </w:style>
  <w:style w:type="paragraph" w:customStyle="1" w:styleId="SectionNo">
    <w:name w:val="Section_No"/>
    <w:basedOn w:val="Normal"/>
    <w:next w:val="Normal"/>
    <w:rsid w:val="00A64392"/>
  </w:style>
  <w:style w:type="paragraph" w:customStyle="1" w:styleId="Sectiontitle">
    <w:name w:val="Section_title"/>
    <w:basedOn w:val="Normal"/>
    <w:next w:val="Normalaftertitle"/>
    <w:rsid w:val="00A6439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64392"/>
    <w:pPr>
      <w:tabs>
        <w:tab w:val="clear" w:pos="794"/>
        <w:tab w:val="clear" w:pos="1191"/>
        <w:tab w:val="clear" w:pos="1588"/>
        <w:tab w:val="clear" w:pos="1985"/>
        <w:tab w:val="right" w:pos="9611"/>
      </w:tabs>
    </w:pPr>
    <w:rPr>
      <w:i/>
    </w:rPr>
  </w:style>
  <w:style w:type="paragraph" w:styleId="TOC1">
    <w:name w:val="toc 1"/>
    <w:basedOn w:val="Normal"/>
    <w:semiHidden/>
    <w:rsid w:val="00A6439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64392"/>
    <w:pPr>
      <w:tabs>
        <w:tab w:val="clear" w:pos="567"/>
        <w:tab w:val="left" w:pos="1276"/>
      </w:tabs>
      <w:spacing w:before="160"/>
      <w:ind w:left="1276" w:hanging="709"/>
    </w:pPr>
  </w:style>
  <w:style w:type="paragraph" w:styleId="TOC3">
    <w:name w:val="toc 3"/>
    <w:basedOn w:val="TOC2"/>
    <w:semiHidden/>
    <w:rsid w:val="00A64392"/>
    <w:pPr>
      <w:tabs>
        <w:tab w:val="clear" w:pos="1276"/>
        <w:tab w:val="left" w:pos="2155"/>
      </w:tabs>
      <w:ind w:left="2155" w:hanging="879"/>
    </w:pPr>
  </w:style>
  <w:style w:type="paragraph" w:styleId="TOC4">
    <w:name w:val="toc 4"/>
    <w:basedOn w:val="TOC3"/>
    <w:semiHidden/>
    <w:rsid w:val="00A64392"/>
    <w:pPr>
      <w:tabs>
        <w:tab w:val="left" w:pos="3261"/>
      </w:tabs>
      <w:spacing w:before="80"/>
      <w:ind w:left="3261" w:hanging="993"/>
    </w:pPr>
  </w:style>
  <w:style w:type="paragraph" w:styleId="TOC5">
    <w:name w:val="toc 5"/>
    <w:basedOn w:val="TOC4"/>
    <w:semiHidden/>
    <w:rsid w:val="00A64392"/>
  </w:style>
  <w:style w:type="paragraph" w:styleId="TOC6">
    <w:name w:val="toc 6"/>
    <w:basedOn w:val="TOC4"/>
    <w:semiHidden/>
    <w:rsid w:val="00A64392"/>
  </w:style>
  <w:style w:type="paragraph" w:styleId="TOC7">
    <w:name w:val="toc 7"/>
    <w:basedOn w:val="TOC4"/>
    <w:semiHidden/>
    <w:rsid w:val="00A64392"/>
  </w:style>
  <w:style w:type="paragraph" w:styleId="TOC8">
    <w:name w:val="toc 8"/>
    <w:basedOn w:val="TOC4"/>
    <w:semiHidden/>
    <w:rsid w:val="00A64392"/>
  </w:style>
  <w:style w:type="paragraph" w:customStyle="1" w:styleId="Rectitle">
    <w:name w:val="Rec_title"/>
    <w:basedOn w:val="Normal"/>
    <w:next w:val="Recref"/>
    <w:rsid w:val="00A64392"/>
    <w:pPr>
      <w:keepNext/>
      <w:keepLines/>
      <w:spacing w:before="240"/>
      <w:jc w:val="center"/>
    </w:pPr>
    <w:rPr>
      <w:b/>
      <w:sz w:val="28"/>
    </w:rPr>
  </w:style>
  <w:style w:type="paragraph" w:customStyle="1" w:styleId="Annexref">
    <w:name w:val="Annex_ref"/>
    <w:basedOn w:val="Normal"/>
    <w:next w:val="Normalaftertitle"/>
    <w:rsid w:val="00A64392"/>
    <w:pPr>
      <w:keepNext/>
      <w:keepLines/>
      <w:spacing w:after="280"/>
      <w:jc w:val="center"/>
    </w:pPr>
  </w:style>
  <w:style w:type="paragraph" w:customStyle="1" w:styleId="Appendixref">
    <w:name w:val="Appendix_ref"/>
    <w:basedOn w:val="Annexref"/>
    <w:next w:val="Normalaftertitle"/>
    <w:rsid w:val="00A64392"/>
  </w:style>
  <w:style w:type="paragraph" w:customStyle="1" w:styleId="Figuretitle">
    <w:name w:val="Figure_title"/>
    <w:basedOn w:val="Normal"/>
    <w:next w:val="Figure"/>
    <w:rsid w:val="00A64392"/>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64392"/>
    <w:pPr>
      <w:keepNext/>
      <w:spacing w:before="0" w:after="120"/>
      <w:jc w:val="center"/>
    </w:pPr>
    <w:rPr>
      <w:b/>
    </w:rPr>
  </w:style>
  <w:style w:type="paragraph" w:customStyle="1" w:styleId="Summary">
    <w:name w:val="Summary"/>
    <w:basedOn w:val="Normal"/>
    <w:next w:val="Normalaftertitle"/>
    <w:autoRedefine/>
    <w:rsid w:val="00A64392"/>
    <w:pPr>
      <w:spacing w:after="480"/>
    </w:pPr>
    <w:rPr>
      <w:sz w:val="22"/>
      <w:lang w:val="es-ES_tradnl"/>
    </w:rPr>
  </w:style>
  <w:style w:type="paragraph" w:customStyle="1" w:styleId="TableLegendNote">
    <w:name w:val="Table_Legend_Note"/>
    <w:basedOn w:val="Tablelegend"/>
    <w:next w:val="Tablelegend"/>
    <w:rsid w:val="00A64392"/>
    <w:pPr>
      <w:ind w:left="-85" w:firstLine="0"/>
    </w:pPr>
    <w:rPr>
      <w:lang w:val="en-US"/>
    </w:rPr>
  </w:style>
  <w:style w:type="paragraph" w:customStyle="1" w:styleId="Figure">
    <w:name w:val="Figure"/>
    <w:basedOn w:val="FigureNo"/>
    <w:next w:val="Normal"/>
    <w:rsid w:val="00A64392"/>
    <w:pPr>
      <w:keepNext w:val="0"/>
      <w:spacing w:before="0" w:after="240"/>
    </w:pPr>
  </w:style>
  <w:style w:type="character" w:styleId="Hyperlink">
    <w:name w:val="Hyperlink"/>
    <w:basedOn w:val="DefaultParagraphFont"/>
    <w:rsid w:val="002F652E"/>
    <w:rPr>
      <w:color w:val="0000FF"/>
      <w:u w:val="single"/>
    </w:rPr>
  </w:style>
  <w:style w:type="character" w:customStyle="1" w:styleId="Heading1Char">
    <w:name w:val="Heading 1 Char"/>
    <w:basedOn w:val="DefaultParagraphFont"/>
    <w:link w:val="Heading1"/>
    <w:rsid w:val="00996F2E"/>
    <w:rPr>
      <w:b/>
      <w:sz w:val="24"/>
      <w:lang w:val="en-GB" w:eastAsia="en-US"/>
    </w:rPr>
  </w:style>
  <w:style w:type="character" w:customStyle="1" w:styleId="Heading2Char">
    <w:name w:val="Heading 2 Char"/>
    <w:basedOn w:val="DefaultParagraphFont"/>
    <w:link w:val="Heading2"/>
    <w:rsid w:val="00996F2E"/>
    <w:rPr>
      <w:b/>
      <w:sz w:val="24"/>
      <w:lang w:val="en-GB" w:eastAsia="en-US"/>
    </w:rPr>
  </w:style>
  <w:style w:type="character" w:customStyle="1" w:styleId="Heading3Char">
    <w:name w:val="Heading 3 Char"/>
    <w:basedOn w:val="DefaultParagraphFont"/>
    <w:link w:val="Heading3"/>
    <w:rsid w:val="00996F2E"/>
    <w:rPr>
      <w:b/>
      <w:sz w:val="24"/>
      <w:lang w:val="en-GB" w:eastAsia="en-US"/>
    </w:rPr>
  </w:style>
  <w:style w:type="character" w:customStyle="1" w:styleId="FootnoteTextChar">
    <w:name w:val="Footnote Text Char"/>
    <w:basedOn w:val="DefaultParagraphFont"/>
    <w:link w:val="FootnoteText"/>
    <w:semiHidden/>
    <w:rsid w:val="00996F2E"/>
    <w:rPr>
      <w:sz w:val="22"/>
      <w:lang w:val="en-GB" w:eastAsia="en-US"/>
    </w:rPr>
  </w:style>
  <w:style w:type="paragraph" w:customStyle="1" w:styleId="Reasons">
    <w:name w:val="Reasons"/>
    <w:basedOn w:val="Normal"/>
    <w:qFormat/>
    <w:rsid w:val="00996F2E"/>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publ/R-REC/es" TargetMode="Externa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tu.int/publ/R-REC/es)"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rquizul\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AB40B8-E9F8-45A5-9DE9-F824A620C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142</TotalTime>
  <Pages>7</Pages>
  <Words>2084</Words>
  <Characters>11653</Characters>
  <Application>Microsoft Office Word</Application>
  <DocSecurity>0</DocSecurity>
  <Lines>401</Lines>
  <Paragraphs>39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BT.2022 - </dc:title>
  <dc:subject>Serie BT = Servicio de radiodifusión (televisión)</dc:subject>
  <dc:creator>Oficina de Radiocomunicaciones del UIT (BR)</dc:creator>
  <cp:keywords>BT,2022</cp:keywords>
  <dc:description>Martiner, 22/01/2013, ITU51007786</dc:description>
  <cp:lastModifiedBy>Martinez Romera, Angel</cp:lastModifiedBy>
  <cp:revision>37</cp:revision>
  <cp:lastPrinted>2013-01-22T13:23:00Z</cp:lastPrinted>
  <dcterms:created xsi:type="dcterms:W3CDTF">2013-01-21T14:52:00Z</dcterms:created>
  <dcterms:modified xsi:type="dcterms:W3CDTF">2013-01-23T09:53:00Z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mardi, 22. janvier 2013</vt:lpwstr>
  </property>
</Properties>
</file>