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315EFA"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E57C3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E57C34">
              <w:rPr>
                <w:rFonts w:ascii="Tahoma" w:hAnsi="Tahoma" w:cs="Tahoma"/>
                <w:b/>
                <w:bCs/>
                <w:iCs/>
                <w:color w:val="243285"/>
                <w:sz w:val="36"/>
                <w:szCs w:val="36"/>
                <w:lang w:val="es-ES_tradnl"/>
              </w:rPr>
              <w:t>2021-1</w:t>
            </w:r>
          </w:p>
          <w:p w:rsidR="00227CED" w:rsidRPr="0010336F" w:rsidRDefault="00227CED" w:rsidP="00E57C3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E57C34">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E57C34">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227CED" w:rsidRPr="00315EFA"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315EFA" w:rsidP="00315EFA">
            <w:pPr>
              <w:spacing w:before="80" w:line="500" w:lineRule="exact"/>
              <w:jc w:val="right"/>
              <w:rPr>
                <w:rFonts w:ascii="Tahoma" w:hAnsi="Tahoma" w:cs="Tahoma"/>
                <w:b/>
                <w:bCs/>
                <w:color w:val="243285"/>
                <w:sz w:val="44"/>
                <w:szCs w:val="44"/>
                <w:lang w:val="es-ES_tradnl"/>
              </w:rPr>
            </w:pPr>
            <w:r w:rsidRPr="00315EFA">
              <w:rPr>
                <w:rFonts w:ascii="Tahoma" w:hAnsi="Tahoma" w:cs="Tahoma"/>
                <w:b/>
                <w:bCs/>
                <w:color w:val="243285"/>
                <w:sz w:val="44"/>
                <w:szCs w:val="44"/>
                <w:lang w:val="es-ES_tradnl"/>
              </w:rPr>
              <w:t>Métodos de evaluación subjetiva de los sistemas</w:t>
            </w:r>
            <w:r>
              <w:rPr>
                <w:rFonts w:ascii="Tahoma" w:hAnsi="Tahoma" w:cs="Tahoma"/>
                <w:b/>
                <w:bCs/>
                <w:color w:val="243285"/>
                <w:sz w:val="44"/>
                <w:szCs w:val="44"/>
                <w:lang w:val="es-ES_tradnl"/>
              </w:rPr>
              <w:t xml:space="preserve"> </w:t>
            </w:r>
            <w:r w:rsidRPr="00315EFA">
              <w:rPr>
                <w:rFonts w:ascii="Tahoma" w:hAnsi="Tahoma" w:cs="Tahoma"/>
                <w:b/>
                <w:bCs/>
                <w:color w:val="243285"/>
                <w:sz w:val="44"/>
                <w:szCs w:val="44"/>
                <w:lang w:val="es-ES_tradnl"/>
              </w:rPr>
              <w:t>de televisión 3D estereoscópica</w:t>
            </w:r>
            <w:r>
              <w:rPr>
                <w:rFonts w:ascii="Tahoma" w:hAnsi="Tahoma" w:cs="Tahoma"/>
                <w:b/>
                <w:bCs/>
                <w:color w:val="243285"/>
                <w:sz w:val="44"/>
                <w:szCs w:val="44"/>
                <w:lang w:val="es-ES_tradnl"/>
              </w:rPr>
              <w:t xml:space="preserve"> </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315EFA"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C225E7">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sidR="00C225E7">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27CED" w:rsidRPr="00315EFA"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0" w:history="1">
              <w:hyperlink r:id="rId11"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227CED" w:rsidRPr="00315EFA"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sidR="00B17542">
              <w:rPr>
                <w:b w:val="0"/>
                <w:bCs/>
                <w:sz w:val="20"/>
              </w:rPr>
              <w:t>(</w:t>
            </w:r>
            <w:proofErr w:type="spellStart"/>
            <w:r w:rsidRPr="00021E8A">
              <w:rPr>
                <w:b w:val="0"/>
                <w:bCs/>
                <w:sz w:val="20"/>
              </w:rPr>
              <w:t>sonora</w:t>
            </w:r>
            <w:proofErr w:type="spellEnd"/>
            <w:r w:rsidR="00B17542">
              <w:rPr>
                <w:b w:val="0"/>
                <w:bCs/>
                <w:sz w:val="20"/>
              </w:rPr>
              <w:t>)</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proofErr w:type="spellStart"/>
            <w:r w:rsidRPr="009E1F8B">
              <w:rPr>
                <w:rFonts w:ascii="Times New Roman Bold" w:hAnsi="Times New Roman Bold" w:cs="Times New Roman Bold"/>
                <w:bCs/>
                <w:color w:val="000080"/>
                <w:sz w:val="20"/>
              </w:rPr>
              <w:t>Servicio</w:t>
            </w:r>
            <w:proofErr w:type="spellEnd"/>
            <w:r w:rsidRPr="009E1F8B">
              <w:rPr>
                <w:rFonts w:ascii="Times New Roman Bold" w:hAnsi="Times New Roman Bold" w:cs="Times New Roman Bold"/>
                <w:bCs/>
                <w:color w:val="000080"/>
                <w:sz w:val="20"/>
              </w:rPr>
              <w:t xml:space="preserve"> de </w:t>
            </w:r>
            <w:proofErr w:type="spellStart"/>
            <w:r w:rsidRPr="009E1F8B">
              <w:rPr>
                <w:rFonts w:ascii="Times New Roman Bold" w:hAnsi="Times New Roman Bold" w:cs="Times New Roman Bold"/>
                <w:bCs/>
                <w:color w:val="000080"/>
                <w:sz w:val="20"/>
              </w:rPr>
              <w:t>radiodifusión</w:t>
            </w:r>
            <w:proofErr w:type="spellEnd"/>
            <w:r w:rsidRPr="009E1F8B">
              <w:rPr>
                <w:rFonts w:ascii="Times New Roman Bold" w:hAnsi="Times New Roman Bold" w:cs="Times New Roman Bold"/>
                <w:bCs/>
                <w:color w:val="000080"/>
                <w:sz w:val="20"/>
              </w:rPr>
              <w:t xml:space="preserve"> (</w:t>
            </w:r>
            <w:proofErr w:type="spellStart"/>
            <w:r w:rsidRPr="009E1F8B">
              <w:rPr>
                <w:rFonts w:ascii="Times New Roman Bold" w:hAnsi="Times New Roman Bold" w:cs="Times New Roman Bold"/>
                <w:bCs/>
                <w:color w:val="000080"/>
                <w:sz w:val="20"/>
              </w:rPr>
              <w:t>televisión</w:t>
            </w:r>
            <w:proofErr w:type="spellEnd"/>
            <w:r w:rsidRPr="009E1F8B">
              <w:rPr>
                <w:rFonts w:ascii="Times New Roman Bold" w:hAnsi="Times New Roman Bold" w:cs="Times New Roman Bold"/>
                <w:bCs/>
                <w:color w:val="000080"/>
                <w:sz w:val="20"/>
              </w:rPr>
              <w:t>)</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227CED" w:rsidRPr="00315EFA"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315EFA"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1B3F9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227CED" w:rsidRPr="00315EF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227CED" w:rsidRPr="00315EF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27CED" w:rsidRPr="00315EFA"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27CED" w:rsidRPr="00315EFA"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364BE9">
      <w:pPr>
        <w:spacing w:before="0" w:after="40"/>
        <w:jc w:val="right"/>
        <w:rPr>
          <w:sz w:val="20"/>
          <w:lang w:val="es-ES_tradnl"/>
        </w:rPr>
      </w:pPr>
      <w:r w:rsidRPr="00763D08">
        <w:rPr>
          <w:sz w:val="20"/>
          <w:lang w:val="es-ES_tradnl"/>
        </w:rPr>
        <w:t>Ginebra, 20</w:t>
      </w:r>
      <w:r w:rsidR="00930489">
        <w:rPr>
          <w:sz w:val="20"/>
          <w:lang w:val="es-ES_tradnl"/>
        </w:rPr>
        <w:t>1</w:t>
      </w:r>
      <w:r w:rsidR="00E40FF2">
        <w:rPr>
          <w:sz w:val="20"/>
          <w:lang w:val="es-ES_tradnl"/>
        </w:rPr>
        <w:t>6</w:t>
      </w:r>
    </w:p>
    <w:p w:rsidR="00227CED" w:rsidRPr="00763D08" w:rsidRDefault="00227CED" w:rsidP="009E1F8B">
      <w:pPr>
        <w:spacing w:before="0"/>
        <w:jc w:val="center"/>
        <w:rPr>
          <w:sz w:val="22"/>
          <w:lang w:val="es-ES_tradnl"/>
        </w:rPr>
      </w:pPr>
    </w:p>
    <w:p w:rsidR="00227CED" w:rsidRPr="00763D08" w:rsidRDefault="00227CED" w:rsidP="00364BE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E40FF2">
        <w:rPr>
          <w:sz w:val="20"/>
          <w:lang w:val="es-ES_tradnl"/>
        </w:rPr>
        <w:t>6</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315EFA" w:rsidRDefault="00315EFA" w:rsidP="00315EFA">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w:t>
      </w:r>
      <w:r>
        <w:rPr>
          <w:rStyle w:val="href"/>
          <w:lang w:val="es-ES_tradnl"/>
        </w:rPr>
        <w:t>2021-1</w:t>
      </w:r>
    </w:p>
    <w:p w:rsidR="00315EFA" w:rsidRPr="00753032" w:rsidRDefault="00315EFA" w:rsidP="00315EFA">
      <w:pPr>
        <w:pStyle w:val="Rectitle"/>
        <w:rPr>
          <w:lang w:val="es-ES"/>
        </w:rPr>
      </w:pPr>
      <w:r w:rsidRPr="00753032">
        <w:rPr>
          <w:lang w:val="es-ES"/>
        </w:rPr>
        <w:t>Métodos de evaluación subjetiva de los sistemas</w:t>
      </w:r>
      <w:r>
        <w:rPr>
          <w:lang w:val="es-ES"/>
        </w:rPr>
        <w:br/>
        <w:t>de televisión 3D estereoscópica</w:t>
      </w:r>
    </w:p>
    <w:p w:rsidR="00315EFA" w:rsidRPr="00753032" w:rsidRDefault="00315EFA" w:rsidP="00315EFA">
      <w:pPr>
        <w:pStyle w:val="Recdate"/>
        <w:rPr>
          <w:lang w:val="es-ES"/>
        </w:rPr>
      </w:pPr>
      <w:r w:rsidRPr="00753032">
        <w:rPr>
          <w:lang w:val="es-ES"/>
        </w:rPr>
        <w:t>(2012</w:t>
      </w:r>
      <w:r>
        <w:rPr>
          <w:lang w:val="es-ES"/>
        </w:rPr>
        <w:t>-20</w:t>
      </w:r>
      <w:bookmarkStart w:id="4" w:name="_GoBack"/>
      <w:bookmarkEnd w:id="4"/>
      <w:r>
        <w:rPr>
          <w:lang w:val="es-ES"/>
        </w:rPr>
        <w:t>15</w:t>
      </w:r>
      <w:r w:rsidRPr="00753032">
        <w:rPr>
          <w:lang w:val="es-ES"/>
        </w:rPr>
        <w:t>)</w:t>
      </w:r>
    </w:p>
    <w:p w:rsidR="00315EFA" w:rsidRPr="00753032" w:rsidRDefault="00315EFA" w:rsidP="00315EFA">
      <w:pPr>
        <w:pStyle w:val="HeadingSum"/>
        <w:rPr>
          <w:lang w:eastAsia="ja-JP"/>
        </w:rPr>
      </w:pPr>
      <w:r>
        <w:rPr>
          <w:lang w:eastAsia="ja-JP"/>
        </w:rPr>
        <w:t>Cometido</w:t>
      </w:r>
    </w:p>
    <w:p w:rsidR="00315EFA" w:rsidRPr="00753032" w:rsidRDefault="00315EFA" w:rsidP="00315EFA">
      <w:pPr>
        <w:pStyle w:val="Summary"/>
      </w:pPr>
      <w:r w:rsidRPr="00753032">
        <w:t>Esta Recomendación proporciona métodos de evaluación de sistemas de televisión 3D estereoscópica, incluyendo métodos generales de prueba, escalas de apreciación y condiciones de visua</w:t>
      </w:r>
      <w:r>
        <w:t>lización.</w:t>
      </w:r>
    </w:p>
    <w:p w:rsidR="00315EFA" w:rsidRPr="00753032" w:rsidRDefault="00315EFA" w:rsidP="00315EFA">
      <w:pPr>
        <w:pStyle w:val="Normalaftertitle"/>
        <w:rPr>
          <w:rFonts w:asciiTheme="majorBidi" w:hAnsiTheme="majorBidi" w:cstheme="majorBidi"/>
          <w:szCs w:val="24"/>
          <w:lang w:val="es-ES"/>
        </w:rPr>
      </w:pPr>
      <w:r w:rsidRPr="00753032">
        <w:rPr>
          <w:rFonts w:asciiTheme="majorBidi" w:hAnsiTheme="majorBidi" w:cstheme="majorBidi"/>
          <w:szCs w:val="24"/>
          <w:lang w:val="es-ES"/>
        </w:rPr>
        <w:t>La Asamblea de Radiocomunicaciones de la UIT,</w:t>
      </w:r>
    </w:p>
    <w:p w:rsidR="00315EFA" w:rsidRPr="00753032" w:rsidRDefault="00315EFA" w:rsidP="00315EFA">
      <w:pPr>
        <w:pStyle w:val="Call"/>
        <w:rPr>
          <w:lang w:val="es-ES"/>
        </w:rPr>
      </w:pPr>
      <w:r w:rsidRPr="00753032">
        <w:rPr>
          <w:lang w:val="es-ES"/>
        </w:rPr>
        <w:t>considerando</w:t>
      </w:r>
    </w:p>
    <w:p w:rsidR="00315EFA" w:rsidRPr="00753032" w:rsidRDefault="00315EFA" w:rsidP="00315EFA">
      <w:pPr>
        <w:rPr>
          <w:lang w:val="es-ES"/>
        </w:rPr>
      </w:pPr>
      <w:r w:rsidRPr="00E57C34">
        <w:rPr>
          <w:i/>
          <w:iCs/>
          <w:lang w:val="es-ES"/>
        </w:rPr>
        <w:t>a)</w:t>
      </w:r>
      <w:r w:rsidRPr="00753032">
        <w:rPr>
          <w:lang w:val="es-ES"/>
        </w:rPr>
        <w:tab/>
        <w:t>que se ha recopilado gran cantidad de información sobre métodos utilizados en diversos laboratorios para la evaluación de características de calidad de funcionamiento críticas de sistemas de televisión 3D;</w:t>
      </w:r>
    </w:p>
    <w:p w:rsidR="00315EFA" w:rsidRPr="00753032" w:rsidRDefault="00315EFA" w:rsidP="00315EFA">
      <w:pPr>
        <w:rPr>
          <w:lang w:val="es-ES" w:eastAsia="ja-JP"/>
        </w:rPr>
      </w:pPr>
      <w:r w:rsidRPr="00E57C34">
        <w:rPr>
          <w:i/>
          <w:iCs/>
          <w:lang w:val="es-ES"/>
        </w:rPr>
        <w:t>b)</w:t>
      </w:r>
      <w:r w:rsidRPr="00753032">
        <w:rPr>
          <w:lang w:val="es-ES"/>
        </w:rPr>
        <w:tab/>
        <w:t>que el análisis de dichos métodos pone de manifiesto la existencia de un considerable nivel de acuerdo entre los laboratorios sobre un conjunto de aspectos a tener en cuenta en la realización de dichas pruebas;</w:t>
      </w:r>
    </w:p>
    <w:p w:rsidR="00315EFA" w:rsidRPr="00753032" w:rsidRDefault="00315EFA" w:rsidP="00315EFA">
      <w:pPr>
        <w:rPr>
          <w:lang w:val="es-ES" w:eastAsia="ja-JP"/>
        </w:rPr>
      </w:pPr>
      <w:r w:rsidRPr="00E57C34">
        <w:rPr>
          <w:i/>
          <w:iCs/>
          <w:lang w:val="es-ES"/>
        </w:rPr>
        <w:t>c)</w:t>
      </w:r>
      <w:r w:rsidRPr="00753032">
        <w:rPr>
          <w:lang w:val="es-ES"/>
        </w:rPr>
        <w:tab/>
        <w:t>que es importante la adopción de métodos normalizados para el intercambio de información entre laboratorios;</w:t>
      </w:r>
    </w:p>
    <w:p w:rsidR="00315EFA" w:rsidRPr="00753032" w:rsidRDefault="00315EFA" w:rsidP="00315EFA">
      <w:pPr>
        <w:rPr>
          <w:lang w:val="es-ES" w:eastAsia="ja-JP"/>
        </w:rPr>
      </w:pPr>
      <w:r w:rsidRPr="00E57C34">
        <w:rPr>
          <w:i/>
          <w:iCs/>
          <w:lang w:val="es-ES" w:eastAsia="ja-JP"/>
        </w:rPr>
        <w:t>d)</w:t>
      </w:r>
      <w:r w:rsidRPr="00753032">
        <w:rPr>
          <w:lang w:val="es-ES" w:eastAsia="ja-JP"/>
        </w:rPr>
        <w:tab/>
        <w:t>que la introducción de un servicio de televisión 3D puede exigir el desarrollo de nuevos formatos de imagen</w:t>
      </w:r>
      <w:r>
        <w:rPr>
          <w:lang w:val="es-ES" w:eastAsia="ja-JP"/>
        </w:rPr>
        <w:t xml:space="preserve"> así como de</w:t>
      </w:r>
      <w:r w:rsidRPr="00753032">
        <w:rPr>
          <w:lang w:val="es-ES" w:eastAsia="ja-JP"/>
        </w:rPr>
        <w:t xml:space="preserve"> técnicas de procesamiento y transmisión de imágenes, cuya calidad de funcionamiento debe evaluarse mediante metodologías subjetivas</w:t>
      </w:r>
      <w:r>
        <w:rPr>
          <w:lang w:val="es-ES" w:eastAsia="ja-JP"/>
        </w:rPr>
        <w:t>,</w:t>
      </w:r>
    </w:p>
    <w:p w:rsidR="00315EFA" w:rsidRPr="00753032" w:rsidRDefault="00315EFA" w:rsidP="00315EFA">
      <w:pPr>
        <w:pStyle w:val="Call"/>
        <w:rPr>
          <w:lang w:val="es-ES"/>
        </w:rPr>
      </w:pPr>
      <w:r w:rsidRPr="00753032">
        <w:rPr>
          <w:lang w:val="es-ES"/>
        </w:rPr>
        <w:t>recomienda</w:t>
      </w:r>
    </w:p>
    <w:p w:rsidR="00315EFA" w:rsidRDefault="00315EFA" w:rsidP="00315EFA">
      <w:pPr>
        <w:rPr>
          <w:lang w:val="es-ES" w:eastAsia="ja-JP"/>
        </w:rPr>
      </w:pPr>
      <w:r w:rsidRPr="00753032">
        <w:rPr>
          <w:b/>
          <w:bCs/>
          <w:lang w:val="es-ES" w:eastAsia="ja-JP"/>
        </w:rPr>
        <w:t>1</w:t>
      </w:r>
      <w:r w:rsidRPr="00753032">
        <w:rPr>
          <w:b/>
          <w:bCs/>
          <w:lang w:val="es-ES" w:eastAsia="ja-JP"/>
        </w:rPr>
        <w:tab/>
      </w:r>
      <w:r w:rsidRPr="00753032">
        <w:rPr>
          <w:lang w:val="es-ES" w:eastAsia="ja-JP"/>
        </w:rPr>
        <w:t>que se utilicen los métodos generales de prueba, escalas de apreciación y condiciones de visualización para la evaluación de la calidad de la imagen de televisión 3D</w:t>
      </w:r>
      <w:r>
        <w:rPr>
          <w:lang w:val="es-ES" w:eastAsia="ja-JP"/>
        </w:rPr>
        <w:t xml:space="preserve"> </w:t>
      </w:r>
      <w:r w:rsidRPr="00753032">
        <w:rPr>
          <w:lang w:val="es-ES" w:eastAsia="ja-JP"/>
        </w:rPr>
        <w:t>estereoscópica en experimentos de laboratorio descrit</w:t>
      </w:r>
      <w:r>
        <w:rPr>
          <w:lang w:val="es-ES" w:eastAsia="ja-JP"/>
        </w:rPr>
        <w:t>o</w:t>
      </w:r>
      <w:r w:rsidRPr="00753032">
        <w:rPr>
          <w:lang w:val="es-ES" w:eastAsia="ja-JP"/>
        </w:rPr>
        <w:t>s en el Anexo 1 y, siempre que sea posible, en evaluaciones realizadas en funcionamiento real.</w:t>
      </w:r>
    </w:p>
    <w:p w:rsidR="00315EFA" w:rsidRDefault="00315EFA" w:rsidP="00315EFA">
      <w:pPr>
        <w:rPr>
          <w:lang w:val="es-ES" w:eastAsia="ja-JP"/>
        </w:rPr>
      </w:pPr>
    </w:p>
    <w:p w:rsidR="00FC667A" w:rsidRPr="00753032" w:rsidRDefault="00FC667A" w:rsidP="00315EFA">
      <w:pPr>
        <w:rPr>
          <w:lang w:val="es-ES" w:eastAsia="ja-JP"/>
        </w:rPr>
      </w:pPr>
    </w:p>
    <w:p w:rsidR="00315EFA" w:rsidRPr="00753032" w:rsidRDefault="00315EFA" w:rsidP="00315EFA">
      <w:pPr>
        <w:pStyle w:val="AnnexNoTitle"/>
        <w:rPr>
          <w:lang w:val="es-ES"/>
        </w:rPr>
      </w:pPr>
      <w:r w:rsidRPr="00753032">
        <w:rPr>
          <w:lang w:val="es-ES"/>
        </w:rPr>
        <w:t>Anexo 1</w:t>
      </w:r>
    </w:p>
    <w:p w:rsidR="00315EFA" w:rsidRPr="00753032" w:rsidRDefault="00315EFA" w:rsidP="00315EFA">
      <w:pPr>
        <w:pStyle w:val="Heading1"/>
        <w:rPr>
          <w:lang w:val="es-ES" w:eastAsia="ja-JP"/>
        </w:rPr>
      </w:pPr>
      <w:r w:rsidRPr="00753032">
        <w:rPr>
          <w:lang w:val="es-ES" w:eastAsia="ja-JP"/>
        </w:rPr>
        <w:t>1</w:t>
      </w:r>
      <w:r w:rsidRPr="00753032">
        <w:rPr>
          <w:lang w:val="es-ES" w:eastAsia="ja-JP"/>
        </w:rPr>
        <w:tab/>
        <w:t>Dimensiones de la evaluación (perceptual)</w:t>
      </w:r>
    </w:p>
    <w:p w:rsidR="00315EFA" w:rsidRPr="00753032" w:rsidRDefault="00315EFA" w:rsidP="00315EFA">
      <w:pPr>
        <w:rPr>
          <w:lang w:val="es-ES" w:eastAsia="ja-JP"/>
        </w:rPr>
      </w:pPr>
      <w:r w:rsidRPr="00753032">
        <w:rPr>
          <w:lang w:val="es-ES" w:eastAsia="ja-JP"/>
        </w:rPr>
        <w:t xml:space="preserve">La televisión en 3D estereoscópica explota las características del sistema de visión binocular humana, recreando las condiciones que producen la percepción de </w:t>
      </w:r>
      <w:r>
        <w:rPr>
          <w:lang w:val="es-ES" w:eastAsia="ja-JP"/>
        </w:rPr>
        <w:t xml:space="preserve">la </w:t>
      </w:r>
      <w:r w:rsidRPr="00753032">
        <w:rPr>
          <w:lang w:val="es-ES" w:eastAsia="ja-JP"/>
        </w:rPr>
        <w:t>profundidad relativa de los objetos en el campo visual. El principal requisito de la tecnología actualmente disponible para la composición de una imagen estereoscópica es la captura de al menos dos vistas de la escena tomadas por dos cámaras alineadas horizontalmente. Las imágenes de los objetos de la escena tendrán posiciones relativas diferentes en función de la visión de que se trate, a saber, visión izquierda y visión derecha. La diferencia entre las posiciones relativas de las dos visiones es lo que comúnmente se denomina disparidad de imágenes (o paralaje) y normalmente se expresa en píxeles, distancia físicas (retin</w:t>
      </w:r>
      <w:r>
        <w:rPr>
          <w:lang w:val="es-ES" w:eastAsia="ja-JP"/>
        </w:rPr>
        <w:t>iana</w:t>
      </w:r>
      <w:r w:rsidRPr="00753032">
        <w:rPr>
          <w:lang w:val="es-ES" w:eastAsia="ja-JP"/>
        </w:rPr>
        <w:t xml:space="preserve">) o con una medición relativa (por ejemplo, porcentaje de la anchura de la </w:t>
      </w:r>
      <w:r>
        <w:rPr>
          <w:lang w:val="es-ES" w:eastAsia="ja-JP"/>
        </w:rPr>
        <w:t>pantalla</w:t>
      </w:r>
      <w:r w:rsidRPr="00753032">
        <w:rPr>
          <w:lang w:val="es-ES" w:eastAsia="ja-JP"/>
        </w:rPr>
        <w:t xml:space="preserve">). La disparidad de </w:t>
      </w:r>
      <w:r w:rsidRPr="00753032">
        <w:rPr>
          <w:lang w:val="es-ES" w:eastAsia="ja-JP"/>
        </w:rPr>
        <w:lastRenderedPageBreak/>
        <w:t>imágenes debe distinguirse de la disparidad angular (retin</w:t>
      </w:r>
      <w:r>
        <w:rPr>
          <w:lang w:val="es-ES" w:eastAsia="ja-JP"/>
        </w:rPr>
        <w:t>ian</w:t>
      </w:r>
      <w:r w:rsidRPr="00753032">
        <w:rPr>
          <w:lang w:val="es-ES" w:eastAsia="ja-JP"/>
        </w:rPr>
        <w:t>a). De hecho, la misma información de disparidad de imagen produce distintas disparidades angulares (retin</w:t>
      </w:r>
      <w:r>
        <w:rPr>
          <w:lang w:val="es-ES" w:eastAsia="ja-JP"/>
        </w:rPr>
        <w:t>ianas</w:t>
      </w:r>
      <w:r w:rsidRPr="00753032">
        <w:rPr>
          <w:lang w:val="es-ES" w:eastAsia="ja-JP"/>
        </w:rPr>
        <w:t>) con distintas distancias de vis</w:t>
      </w:r>
      <w:r>
        <w:rPr>
          <w:lang w:val="es-ES" w:eastAsia="ja-JP"/>
        </w:rPr>
        <w:t>ualización</w:t>
      </w:r>
      <w:r w:rsidRPr="00753032">
        <w:rPr>
          <w:lang w:val="es-ES" w:eastAsia="ja-JP"/>
        </w:rPr>
        <w:t xml:space="preserve">. La magnitud y dirección de la percepción de profundidad se basa en la magnitud y dirección de las disparidades </w:t>
      </w:r>
      <w:r>
        <w:rPr>
          <w:lang w:val="es-ES" w:eastAsia="ja-JP"/>
        </w:rPr>
        <w:t>retinianas</w:t>
      </w:r>
      <w:r w:rsidRPr="00753032">
        <w:rPr>
          <w:lang w:val="es-ES" w:eastAsia="ja-JP"/>
        </w:rPr>
        <w:t xml:space="preserve"> resultado de la imagen estereoscópica.</w:t>
      </w:r>
    </w:p>
    <w:p w:rsidR="00315EFA" w:rsidRPr="00753032" w:rsidRDefault="00315EFA" w:rsidP="00315EFA">
      <w:pPr>
        <w:rPr>
          <w:lang w:val="es-ES" w:eastAsia="ja-JP"/>
        </w:rPr>
      </w:pPr>
      <w:r w:rsidRPr="00753032">
        <w:rPr>
          <w:lang w:val="es-ES" w:eastAsia="ja-JP"/>
        </w:rPr>
        <w:t xml:space="preserve">Los factores de evaluación generalmente aplicados a las imágenes de televisión </w:t>
      </w:r>
      <w:proofErr w:type="spellStart"/>
      <w:r w:rsidRPr="00753032">
        <w:rPr>
          <w:lang w:val="es-ES" w:eastAsia="ja-JP"/>
        </w:rPr>
        <w:t>monoscópica</w:t>
      </w:r>
      <w:proofErr w:type="spellEnd"/>
      <w:r w:rsidRPr="00753032">
        <w:rPr>
          <w:lang w:val="es-ES" w:eastAsia="ja-JP"/>
        </w:rPr>
        <w:t xml:space="preserve">, tales como resolución, reproducción del color, representación del movimiento, calidad global, nitidez de la imagen, etc. también pueden aplicarse a los sistemas de televisión estereoscópica. Además, existen numerosos factores específicos de </w:t>
      </w:r>
      <w:r>
        <w:rPr>
          <w:lang w:val="es-ES" w:eastAsia="ja-JP"/>
        </w:rPr>
        <w:t>los</w:t>
      </w:r>
      <w:r w:rsidRPr="00753032">
        <w:rPr>
          <w:lang w:val="es-ES" w:eastAsia="ja-JP"/>
        </w:rPr>
        <w:t xml:space="preserve"> sistemas de televisión estereoscópica. Entre ellos se incluyen factores como la resolución en profundidad, que es la resolución espacial en el sentido de la profundidad, el movimiento en profundidad, que determina si el movimiento en la dirección de la profundidad se reproduce sin discontinuidades ni distorsiones espaciales. Dos ejemplos bien conocidos de esto último son el </w:t>
      </w:r>
      <w:r w:rsidRPr="00753032">
        <w:rPr>
          <w:i/>
          <w:iCs/>
          <w:lang w:val="es-ES" w:eastAsia="ja-JP"/>
        </w:rPr>
        <w:t>efecto teatro de marionetas</w:t>
      </w:r>
      <w:r w:rsidRPr="00753032">
        <w:rPr>
          <w:lang w:val="es-ES" w:eastAsia="ja-JP"/>
        </w:rPr>
        <w:t xml:space="preserve">, que se produce cuando los objetos se perciben anormalmente grandes o pequeños, y el </w:t>
      </w:r>
      <w:r w:rsidRPr="00753032">
        <w:rPr>
          <w:i/>
          <w:iCs/>
          <w:lang w:val="es-ES" w:eastAsia="ja-JP"/>
        </w:rPr>
        <w:t xml:space="preserve">efecto papel de cartón </w:t>
      </w:r>
      <w:r w:rsidRPr="00753032">
        <w:rPr>
          <w:lang w:val="es-ES" w:eastAsia="ja-JP"/>
        </w:rPr>
        <w:t xml:space="preserve">(o aplanamiento de la profundidad de las imágenes), cuando los objetos se perciben de forma estereoscópica pero con una menor profundidad que hace que parezcan anormalmente delgados. </w:t>
      </w:r>
    </w:p>
    <w:p w:rsidR="00315EFA" w:rsidRPr="00753032" w:rsidRDefault="00315EFA" w:rsidP="00315EFA">
      <w:pPr>
        <w:rPr>
          <w:lang w:val="es-ES"/>
        </w:rPr>
      </w:pPr>
      <w:r w:rsidRPr="00753032">
        <w:rPr>
          <w:lang w:val="es-ES"/>
        </w:rPr>
        <w:t xml:space="preserve">Se identifican tres dimensiones básicas de la percepción, que en su conjunto afectan a la calidad de experiencia de un sistema estereoscópico: </w:t>
      </w:r>
      <w:r w:rsidRPr="007A19FC">
        <w:rPr>
          <w:i/>
          <w:iCs/>
          <w:lang w:val="es-ES"/>
        </w:rPr>
        <w:t>calidad</w:t>
      </w:r>
      <w:r w:rsidRPr="00753032">
        <w:rPr>
          <w:i/>
          <w:iCs/>
          <w:lang w:val="es-ES"/>
        </w:rPr>
        <w:t xml:space="preserve"> de la imagen, calidad de profundidad y confort visual</w:t>
      </w:r>
      <w:r w:rsidRPr="00753032">
        <w:rPr>
          <w:lang w:val="es-ES"/>
        </w:rPr>
        <w:t xml:space="preserve">. Algunos investigadores consideran que el impacto psicológico de las tecnologías de representación estereoscópica también podría medirse </w:t>
      </w:r>
      <w:r>
        <w:rPr>
          <w:lang w:val="es-ES"/>
        </w:rPr>
        <w:t>mediante</w:t>
      </w:r>
      <w:r w:rsidRPr="00753032">
        <w:rPr>
          <w:lang w:val="es-ES"/>
        </w:rPr>
        <w:t xml:space="preserve"> conceptos más generales, como la </w:t>
      </w:r>
      <w:r w:rsidRPr="00753032">
        <w:rPr>
          <w:i/>
          <w:iCs/>
          <w:lang w:val="es-ES"/>
        </w:rPr>
        <w:t>naturalidad</w:t>
      </w:r>
      <w:r w:rsidRPr="00753032">
        <w:rPr>
          <w:lang w:val="es-ES"/>
        </w:rPr>
        <w:t xml:space="preserve"> o el </w:t>
      </w:r>
      <w:r w:rsidRPr="00753032">
        <w:rPr>
          <w:i/>
          <w:iCs/>
          <w:lang w:val="es-ES"/>
        </w:rPr>
        <w:t>sentido de presencia</w:t>
      </w:r>
      <w:r w:rsidRPr="00753032">
        <w:rPr>
          <w:lang w:val="es-ES"/>
        </w:rPr>
        <w:t>.</w:t>
      </w:r>
    </w:p>
    <w:p w:rsidR="00315EFA" w:rsidRPr="00753032" w:rsidRDefault="00315EFA" w:rsidP="00315EFA">
      <w:pPr>
        <w:pStyle w:val="Headingb"/>
        <w:rPr>
          <w:lang w:val="es-ES"/>
        </w:rPr>
      </w:pPr>
      <w:r w:rsidRPr="00753032">
        <w:rPr>
          <w:lang w:val="es-ES"/>
        </w:rPr>
        <w:t xml:space="preserve">Dimensiones perceptuales primarias </w:t>
      </w:r>
    </w:p>
    <w:p w:rsidR="00315EFA" w:rsidRPr="00753032" w:rsidRDefault="00315EFA" w:rsidP="00315EFA">
      <w:pPr>
        <w:rPr>
          <w:lang w:val="es-ES"/>
        </w:rPr>
      </w:pPr>
      <w:r w:rsidRPr="00753032">
        <w:rPr>
          <w:i/>
          <w:lang w:val="es-ES"/>
        </w:rPr>
        <w:t>Calidad de la imagen</w:t>
      </w:r>
      <w:r w:rsidRPr="00DC69D7">
        <w:rPr>
          <w:lang w:val="es-ES_tradnl"/>
        </w:rPr>
        <w:t>,</w:t>
      </w:r>
      <w:r w:rsidRPr="00753032">
        <w:rPr>
          <w:i/>
          <w:lang w:val="es-ES"/>
        </w:rPr>
        <w:t xml:space="preserve"> </w:t>
      </w:r>
      <w:r w:rsidRPr="00753032">
        <w:rPr>
          <w:lang w:val="es-ES"/>
        </w:rPr>
        <w:t>que</w:t>
      </w:r>
      <w:r w:rsidRPr="00753032">
        <w:rPr>
          <w:i/>
          <w:lang w:val="es-ES"/>
        </w:rPr>
        <w:t xml:space="preserve"> </w:t>
      </w:r>
      <w:r w:rsidRPr="00753032">
        <w:rPr>
          <w:lang w:val="es-ES"/>
        </w:rPr>
        <w:t xml:space="preserve">hace referencia a la calidad de imagen que proporciona el sistema. Es el principal parámetro que determina la calidad de funcionamiento de un sistema de </w:t>
      </w:r>
      <w:r>
        <w:rPr>
          <w:lang w:val="es-ES"/>
        </w:rPr>
        <w:t>vídeo</w:t>
      </w:r>
      <w:r w:rsidRPr="00753032">
        <w:rPr>
          <w:lang w:val="es-ES"/>
        </w:rPr>
        <w:t>. La calidad de la imagen está principalmente afectada por parámetros técnicos y otros errores introducidos, por ejemplo, por procesos de codificación y/o transmisión</w:t>
      </w:r>
    </w:p>
    <w:p w:rsidR="00315EFA" w:rsidRPr="00753032" w:rsidRDefault="00315EFA" w:rsidP="00315EFA">
      <w:pPr>
        <w:rPr>
          <w:lang w:val="es-ES"/>
        </w:rPr>
      </w:pPr>
      <w:r w:rsidRPr="00753032">
        <w:rPr>
          <w:i/>
          <w:lang w:val="es-ES"/>
        </w:rPr>
        <w:t>Calidad de la profundidad</w:t>
      </w:r>
      <w:r w:rsidRPr="00DC69D7">
        <w:rPr>
          <w:lang w:val="es-ES_tradnl"/>
        </w:rPr>
        <w:t>,</w:t>
      </w:r>
      <w:r w:rsidRPr="00753032">
        <w:rPr>
          <w:lang w:val="es-ES"/>
        </w:rPr>
        <w:t xml:space="preserve"> que hace referencia a la capacidad del sistema para ofrecer una sensación mejorada de profundidad. La presencia de </w:t>
      </w:r>
      <w:r w:rsidRPr="007A19FC">
        <w:rPr>
          <w:lang w:val="es-ES"/>
        </w:rPr>
        <w:t xml:space="preserve">factores monoculares, </w:t>
      </w:r>
      <w:r w:rsidRPr="00753032">
        <w:rPr>
          <w:lang w:val="es-ES"/>
        </w:rPr>
        <w:t xml:space="preserve">como perspectiva lineal, imagen borrosa, gradientes, etc. ofrece sensaciones de profundidad incluso en imágenes 2D. No obstante, las </w:t>
      </w:r>
      <w:r>
        <w:rPr>
          <w:lang w:val="es-ES"/>
        </w:rPr>
        <w:t>imágenes 3D</w:t>
      </w:r>
      <w:r w:rsidRPr="00753032">
        <w:rPr>
          <w:lang w:val="es-ES"/>
        </w:rPr>
        <w:t xml:space="preserve"> estereoscópicas</w:t>
      </w:r>
      <w:r>
        <w:rPr>
          <w:lang w:val="es-ES"/>
        </w:rPr>
        <w:t xml:space="preserve"> </w:t>
      </w:r>
      <w:r w:rsidRPr="00753032">
        <w:rPr>
          <w:lang w:val="es-ES"/>
        </w:rPr>
        <w:t xml:space="preserve">contienen además información de disparidad que proporciona información de profundidad </w:t>
      </w:r>
      <w:r>
        <w:rPr>
          <w:lang w:val="es-ES"/>
        </w:rPr>
        <w:t>que</w:t>
      </w:r>
      <w:r w:rsidRPr="00753032">
        <w:rPr>
          <w:lang w:val="es-ES"/>
        </w:rPr>
        <w:t xml:space="preserve"> mejora la sensación de profundidad en comparación con los sistemas</w:t>
      </w:r>
      <w:r>
        <w:rPr>
          <w:lang w:val="es-ES"/>
        </w:rPr>
        <w:t> </w:t>
      </w:r>
      <w:r w:rsidRPr="00753032">
        <w:rPr>
          <w:lang w:val="es-ES"/>
        </w:rPr>
        <w:t>2D.</w:t>
      </w:r>
    </w:p>
    <w:p w:rsidR="00315EFA" w:rsidRPr="00753032" w:rsidRDefault="00315EFA" w:rsidP="00315EFA">
      <w:pPr>
        <w:rPr>
          <w:lang w:val="es-ES"/>
        </w:rPr>
      </w:pPr>
      <w:r w:rsidRPr="00753032">
        <w:rPr>
          <w:i/>
          <w:lang w:val="es-ES"/>
        </w:rPr>
        <w:t>Confort visual</w:t>
      </w:r>
      <w:r w:rsidRPr="00DC69D7">
        <w:rPr>
          <w:lang w:val="es-ES_tradnl"/>
        </w:rPr>
        <w:t>,</w:t>
      </w:r>
      <w:r w:rsidRPr="00753032">
        <w:rPr>
          <w:i/>
          <w:lang w:val="es-ES"/>
        </w:rPr>
        <w:t xml:space="preserve"> </w:t>
      </w:r>
      <w:r w:rsidRPr="00753032">
        <w:rPr>
          <w:lang w:val="es-ES"/>
        </w:rPr>
        <w:t>que se refiere a la sensación subjetiva de comodidad/incomodidad que puede asociarse a la visión de imágenes estereoscópicas. Las imágenes estereoscópicas que hayan sido capturadas de forma incorrecta o sea representadas de forma inadecuada pueden generar una notable incomodidad.</w:t>
      </w:r>
    </w:p>
    <w:p w:rsidR="00315EFA" w:rsidRPr="00753032" w:rsidRDefault="00315EFA" w:rsidP="00315EFA">
      <w:pPr>
        <w:pStyle w:val="Headingb"/>
        <w:rPr>
          <w:lang w:val="es-ES"/>
        </w:rPr>
      </w:pPr>
      <w:r w:rsidRPr="00753032">
        <w:rPr>
          <w:lang w:val="es-ES"/>
        </w:rPr>
        <w:t xml:space="preserve">Dimensiones adicionales de la percepción </w:t>
      </w:r>
    </w:p>
    <w:p w:rsidR="00315EFA" w:rsidRPr="00753032" w:rsidRDefault="00315EFA" w:rsidP="00315EFA">
      <w:pPr>
        <w:rPr>
          <w:lang w:val="es-ES"/>
        </w:rPr>
      </w:pPr>
      <w:r w:rsidRPr="00753032">
        <w:rPr>
          <w:i/>
          <w:lang w:val="es-ES"/>
        </w:rPr>
        <w:t xml:space="preserve">Naturalidad, </w:t>
      </w:r>
      <w:r w:rsidRPr="00753032">
        <w:rPr>
          <w:lang w:val="es-ES"/>
        </w:rPr>
        <w:t xml:space="preserve">que se refiere a la percepción de la imagen estereoscópica como una representación fiel de la realidad (es decir, el realismo perceptual). La imagen estereoscópica puede presentar distintos tipos de distorsiones que la hagan menos natural. Por ejemplo, los objetos estereoscópicos se perciben en ocasiones como anormalmente grandes o pequeños (efecto teatro de marionetas) o parecen anormalmente delgados (efecto papel de cartón). </w:t>
      </w:r>
    </w:p>
    <w:p w:rsidR="00315EFA" w:rsidRPr="00753032" w:rsidRDefault="00315EFA" w:rsidP="00315EFA">
      <w:pPr>
        <w:rPr>
          <w:lang w:val="es-ES"/>
        </w:rPr>
      </w:pPr>
      <w:r w:rsidRPr="00753032">
        <w:rPr>
          <w:i/>
          <w:iCs/>
          <w:lang w:val="es-ES"/>
        </w:rPr>
        <w:t>Sentido de presencia</w:t>
      </w:r>
      <w:r w:rsidRPr="00DC69D7">
        <w:rPr>
          <w:lang w:val="es-ES_tradnl"/>
        </w:rPr>
        <w:t>,</w:t>
      </w:r>
      <w:r w:rsidRPr="00753032">
        <w:rPr>
          <w:i/>
          <w:iCs/>
          <w:lang w:val="es-ES"/>
        </w:rPr>
        <w:t xml:space="preserve"> </w:t>
      </w:r>
      <w:r w:rsidRPr="00753032">
        <w:rPr>
          <w:lang w:val="es-ES"/>
        </w:rPr>
        <w:t>que se refiere a la experiencia subjetiva de estar en un lugar o entorno dado aunque uno se encuentra situado en otro distinto.</w:t>
      </w:r>
    </w:p>
    <w:p w:rsidR="00315EFA" w:rsidRPr="00753032" w:rsidRDefault="00315EFA" w:rsidP="00315EFA">
      <w:pPr>
        <w:rPr>
          <w:lang w:val="es-ES" w:eastAsia="ja-JP"/>
        </w:rPr>
      </w:pPr>
      <w:r w:rsidRPr="00753032">
        <w:rPr>
          <w:lang w:val="es-ES" w:eastAsia="ja-JP"/>
        </w:rPr>
        <w:t xml:space="preserve">En esta Recomendación se presenta información relativa a los métodos y procedimientos para la evaluación de las tres dimensiones primarias señaladas: calidad de </w:t>
      </w:r>
      <w:r>
        <w:rPr>
          <w:lang w:val="es-ES" w:eastAsia="ja-JP"/>
        </w:rPr>
        <w:t xml:space="preserve">la </w:t>
      </w:r>
      <w:r w:rsidRPr="00753032">
        <w:rPr>
          <w:lang w:val="es-ES" w:eastAsia="ja-JP"/>
        </w:rPr>
        <w:t xml:space="preserve">imagen, calidad de </w:t>
      </w:r>
      <w:r>
        <w:rPr>
          <w:lang w:val="es-ES" w:eastAsia="ja-JP"/>
        </w:rPr>
        <w:t xml:space="preserve">la </w:t>
      </w:r>
      <w:r w:rsidRPr="00753032">
        <w:rPr>
          <w:lang w:val="es-ES" w:eastAsia="ja-JP"/>
        </w:rPr>
        <w:t>profundidad y confort visual. La presente Recomendación no incluye metodologías para la evaluación de la naturalidad ni del sentido de presencia, aunque su inclusión está prevista en una versión posterior.</w:t>
      </w:r>
    </w:p>
    <w:p w:rsidR="00315EFA" w:rsidRPr="00753032" w:rsidRDefault="00315EFA" w:rsidP="00315EFA">
      <w:pPr>
        <w:pStyle w:val="Heading1"/>
        <w:rPr>
          <w:lang w:val="es-ES" w:eastAsia="zh-CN"/>
        </w:rPr>
      </w:pPr>
      <w:r w:rsidRPr="00753032">
        <w:rPr>
          <w:lang w:val="es-ES" w:eastAsia="zh-CN"/>
        </w:rPr>
        <w:lastRenderedPageBreak/>
        <w:t>2</w:t>
      </w:r>
      <w:r w:rsidRPr="00753032">
        <w:rPr>
          <w:lang w:val="es-ES" w:eastAsia="zh-CN"/>
        </w:rPr>
        <w:tab/>
        <w:t xml:space="preserve">Metodologías subjetivas </w:t>
      </w:r>
    </w:p>
    <w:p w:rsidR="00315EFA" w:rsidRPr="00753032" w:rsidRDefault="00315EFA" w:rsidP="00315EFA">
      <w:pPr>
        <w:rPr>
          <w:lang w:val="es-ES"/>
        </w:rPr>
      </w:pPr>
      <w:r w:rsidRPr="00753032">
        <w:rPr>
          <w:lang w:val="es-ES"/>
        </w:rPr>
        <w:t xml:space="preserve">La Recomendación UIT-R BT.500 incluye varias metodologías para la evaluación de la calidad de la imagen. En todos los métodos </w:t>
      </w:r>
      <w:r>
        <w:rPr>
          <w:lang w:val="es-ES"/>
        </w:rPr>
        <w:t>se realizan un conjunto</w:t>
      </w:r>
      <w:r w:rsidRPr="00753032">
        <w:rPr>
          <w:lang w:val="es-ES"/>
        </w:rPr>
        <w:t xml:space="preserve"> de pruebas de evaluación </w:t>
      </w:r>
      <w:r>
        <w:rPr>
          <w:lang w:val="es-ES"/>
        </w:rPr>
        <w:t xml:space="preserve">con </w:t>
      </w:r>
      <w:r w:rsidRPr="00753032">
        <w:rPr>
          <w:lang w:val="es-ES"/>
        </w:rPr>
        <w:t xml:space="preserve">un </w:t>
      </w:r>
      <w:r>
        <w:rPr>
          <w:lang w:val="es-ES"/>
        </w:rPr>
        <w:t>grupo</w:t>
      </w:r>
      <w:r w:rsidRPr="00753032">
        <w:rPr>
          <w:lang w:val="es-ES"/>
        </w:rPr>
        <w:t xml:space="preserve"> de observadores </w:t>
      </w:r>
      <w:r>
        <w:rPr>
          <w:lang w:val="es-ES"/>
        </w:rPr>
        <w:t xml:space="preserve">utilizando </w:t>
      </w:r>
      <w:r w:rsidRPr="00753032">
        <w:rPr>
          <w:lang w:val="es-ES"/>
        </w:rPr>
        <w:t xml:space="preserve">una serie de secuencias de </w:t>
      </w:r>
      <w:r>
        <w:rPr>
          <w:lang w:val="es-ES"/>
        </w:rPr>
        <w:t>vídeo</w:t>
      </w:r>
      <w:r w:rsidRPr="00753032">
        <w:rPr>
          <w:lang w:val="es-ES"/>
        </w:rPr>
        <w:t xml:space="preserve">, que han sido procesadas por los sistemas </w:t>
      </w:r>
      <w:r>
        <w:rPr>
          <w:lang w:val="es-ES"/>
        </w:rPr>
        <w:t xml:space="preserve">en estudio </w:t>
      </w:r>
      <w:r w:rsidRPr="00753032">
        <w:rPr>
          <w:lang w:val="es-ES"/>
        </w:rPr>
        <w:t xml:space="preserve">(por ejemplo, un algoritmo con distintos parámetros, una tecnología de codificación que admite distintas velocidades binarias, diferentes casos de transmisión etc.). En cada prueba se </w:t>
      </w:r>
      <w:r>
        <w:rPr>
          <w:lang w:val="es-ES"/>
        </w:rPr>
        <w:t>pide</w:t>
      </w:r>
      <w:r w:rsidRPr="00753032">
        <w:rPr>
          <w:lang w:val="es-ES"/>
        </w:rPr>
        <w:t xml:space="preserve"> a los observadores que evalúen una característica relevante (por ejemplo, la calidad de la imagen) de la secuencia o secuencias de </w:t>
      </w:r>
      <w:r>
        <w:rPr>
          <w:lang w:val="es-ES"/>
        </w:rPr>
        <w:t>vídeo</w:t>
      </w:r>
      <w:r w:rsidRPr="00753032">
        <w:rPr>
          <w:lang w:val="es-ES"/>
        </w:rPr>
        <w:t xml:space="preserve"> utilizando una escala prestablecida. Los métodos difieren entre sí principalmente en el modo de presentación, es decir, la forma en la que se presentan al observador las secuencia de </w:t>
      </w:r>
      <w:r>
        <w:rPr>
          <w:lang w:val="es-ES"/>
        </w:rPr>
        <w:t>vídeo</w:t>
      </w:r>
      <w:r w:rsidRPr="00753032">
        <w:rPr>
          <w:lang w:val="es-ES"/>
        </w:rPr>
        <w:t xml:space="preserve"> y en la escala utilizada por los observadores para evaluar dichas secuencias.</w:t>
      </w:r>
    </w:p>
    <w:p w:rsidR="00315EFA" w:rsidRPr="00753032" w:rsidRDefault="00315EFA" w:rsidP="00315EFA">
      <w:pPr>
        <w:rPr>
          <w:lang w:val="es-ES" w:eastAsia="ja-JP"/>
        </w:rPr>
      </w:pPr>
      <w:r w:rsidRPr="00753032">
        <w:rPr>
          <w:lang w:val="es-ES" w:eastAsia="ja-JP"/>
        </w:rPr>
        <w:t>Las imágenes de prueba son imágenes estéreo binoculares seleccionadas en base a los elementos descritos en § 4. Los observadores evalúan las tres características siguientes:</w:t>
      </w:r>
    </w:p>
    <w:p w:rsidR="00315EFA" w:rsidRPr="00753032" w:rsidRDefault="00315EFA" w:rsidP="00315EFA">
      <w:pPr>
        <w:pStyle w:val="enumlev1"/>
        <w:rPr>
          <w:lang w:val="es-ES" w:eastAsia="ja-JP"/>
        </w:rPr>
      </w:pPr>
      <w:r w:rsidRPr="00753032">
        <w:rPr>
          <w:lang w:val="es-ES" w:eastAsia="ja-JP"/>
        </w:rPr>
        <w:t>–</w:t>
      </w:r>
      <w:r w:rsidRPr="00753032">
        <w:rPr>
          <w:lang w:val="es-ES" w:eastAsia="ja-JP"/>
        </w:rPr>
        <w:tab/>
        <w:t xml:space="preserve">calidad de </w:t>
      </w:r>
      <w:r>
        <w:rPr>
          <w:lang w:val="es-ES" w:eastAsia="ja-JP"/>
        </w:rPr>
        <w:t xml:space="preserve">la </w:t>
      </w:r>
      <w:r w:rsidRPr="00753032">
        <w:rPr>
          <w:lang w:val="es-ES" w:eastAsia="ja-JP"/>
        </w:rPr>
        <w:t xml:space="preserve">imagen: efecto sobre la resolución de las </w:t>
      </w:r>
      <w:r>
        <w:rPr>
          <w:lang w:val="es-ES" w:eastAsia="ja-JP"/>
        </w:rPr>
        <w:t>imágenes 3D</w:t>
      </w:r>
      <w:r w:rsidRPr="00753032">
        <w:rPr>
          <w:lang w:val="es-ES" w:eastAsia="ja-JP"/>
        </w:rPr>
        <w:t xml:space="preserve"> estereoscópicas de un sistema que incluye un trayecto entre las imágenes en prueba y la pantalla donde se muestran;</w:t>
      </w:r>
    </w:p>
    <w:p w:rsidR="00315EFA" w:rsidRPr="00753032" w:rsidRDefault="00315EFA" w:rsidP="00315EFA">
      <w:pPr>
        <w:pStyle w:val="enumlev1"/>
        <w:rPr>
          <w:lang w:val="es-ES" w:eastAsia="ja-JP"/>
        </w:rPr>
      </w:pPr>
      <w:r w:rsidRPr="00753032">
        <w:rPr>
          <w:lang w:val="es-ES" w:eastAsia="ja-JP"/>
        </w:rPr>
        <w:t>–</w:t>
      </w:r>
      <w:r w:rsidRPr="00753032">
        <w:rPr>
          <w:lang w:val="es-ES" w:eastAsia="ja-JP"/>
        </w:rPr>
        <w:tab/>
        <w:t xml:space="preserve">calidad de </w:t>
      </w:r>
      <w:r>
        <w:rPr>
          <w:lang w:val="es-ES" w:eastAsia="ja-JP"/>
        </w:rPr>
        <w:t xml:space="preserve">la </w:t>
      </w:r>
      <w:r w:rsidRPr="00753032">
        <w:rPr>
          <w:lang w:val="es-ES" w:eastAsia="ja-JP"/>
        </w:rPr>
        <w:t xml:space="preserve">profundidad: efecto sobre la profundidad de percepción de las </w:t>
      </w:r>
      <w:r>
        <w:rPr>
          <w:lang w:val="es-ES" w:eastAsia="ja-JP"/>
        </w:rPr>
        <w:t>imágenes 3D</w:t>
      </w:r>
      <w:r w:rsidRPr="00753032">
        <w:rPr>
          <w:lang w:val="es-ES" w:eastAsia="ja-JP"/>
        </w:rPr>
        <w:t xml:space="preserve"> estereoscópicas de un sistema que incluye un trayecto entre las imágenes en prueba y la pantalla donde éstas se muestran;</w:t>
      </w:r>
    </w:p>
    <w:p w:rsidR="00315EFA" w:rsidRPr="00753032" w:rsidRDefault="00315EFA" w:rsidP="00315EFA">
      <w:pPr>
        <w:pStyle w:val="enumlev1"/>
        <w:rPr>
          <w:lang w:val="es-ES" w:eastAsia="ja-JP"/>
        </w:rPr>
      </w:pPr>
      <w:r w:rsidRPr="00753032">
        <w:rPr>
          <w:lang w:val="es-ES" w:eastAsia="ja-JP"/>
        </w:rPr>
        <w:t>–</w:t>
      </w:r>
      <w:r w:rsidRPr="00753032">
        <w:rPr>
          <w:lang w:val="es-ES" w:eastAsia="ja-JP"/>
        </w:rPr>
        <w:tab/>
        <w:t xml:space="preserve">confort visual: efecto sobre la facilidad de visualización de las </w:t>
      </w:r>
      <w:r>
        <w:rPr>
          <w:lang w:val="es-ES" w:eastAsia="ja-JP"/>
        </w:rPr>
        <w:t>imágenes 3D</w:t>
      </w:r>
      <w:r w:rsidRPr="00753032">
        <w:rPr>
          <w:lang w:val="es-ES" w:eastAsia="ja-JP"/>
        </w:rPr>
        <w:t xml:space="preserve"> estereoscópicas de un sistema que incluye un trayecto entre las imágenes en prueba y la pantalla donde éstas se muestran;</w:t>
      </w:r>
    </w:p>
    <w:p w:rsidR="00315EFA" w:rsidRPr="00753032" w:rsidRDefault="00315EFA" w:rsidP="00315EFA">
      <w:pPr>
        <w:rPr>
          <w:lang w:val="es-ES"/>
        </w:rPr>
      </w:pPr>
      <w:r w:rsidRPr="00753032">
        <w:rPr>
          <w:lang w:val="es-ES"/>
        </w:rPr>
        <w:t xml:space="preserve">Esta Recomendación incluye </w:t>
      </w:r>
      <w:r>
        <w:rPr>
          <w:lang w:val="es-ES"/>
        </w:rPr>
        <w:t>seis métodos de la R</w:t>
      </w:r>
      <w:r w:rsidRPr="00753032">
        <w:rPr>
          <w:lang w:val="es-ES"/>
        </w:rPr>
        <w:t>ecomendación UIT</w:t>
      </w:r>
      <w:r>
        <w:rPr>
          <w:lang w:val="es-ES"/>
        </w:rPr>
        <w:noBreakHyphen/>
      </w:r>
      <w:r w:rsidRPr="00753032">
        <w:rPr>
          <w:lang w:val="es-ES"/>
        </w:rPr>
        <w:t>R</w:t>
      </w:r>
      <w:r>
        <w:rPr>
          <w:lang w:val="es-ES"/>
        </w:rPr>
        <w:t> </w:t>
      </w:r>
      <w:r w:rsidRPr="00753032">
        <w:rPr>
          <w:lang w:val="es-ES"/>
        </w:rPr>
        <w:t>BT.500. Dichos métodos se han utilizado satisfactoriamente en las últimas dos décadas en trabajos de investigación sobre calidad de imagen, calidad de profundidad y confort visual de tecnologías de imágenes estereoscópicas. Son los siguientes:</w:t>
      </w:r>
    </w:p>
    <w:p w:rsidR="00315EFA" w:rsidRDefault="00315EFA" w:rsidP="00315EFA">
      <w:pPr>
        <w:pStyle w:val="enumlev1"/>
        <w:rPr>
          <w:lang w:val="es-ES"/>
        </w:rPr>
      </w:pPr>
      <w:r w:rsidRPr="00753032">
        <w:rPr>
          <w:lang w:val="es-ES" w:eastAsia="ja-JP"/>
        </w:rPr>
        <w:t>–</w:t>
      </w:r>
      <w:r w:rsidRPr="00753032">
        <w:rPr>
          <w:lang w:val="es-ES" w:eastAsia="ja-JP"/>
        </w:rPr>
        <w:tab/>
      </w:r>
      <w:r w:rsidRPr="00753032">
        <w:rPr>
          <w:lang w:val="es-ES"/>
        </w:rPr>
        <w:t xml:space="preserve">método de estímulo único (SS, </w:t>
      </w:r>
      <w:r w:rsidRPr="00753032">
        <w:rPr>
          <w:i/>
          <w:iCs/>
          <w:lang w:val="es-ES"/>
        </w:rPr>
        <w:t>single-</w:t>
      </w:r>
      <w:proofErr w:type="spellStart"/>
      <w:r w:rsidRPr="00753032">
        <w:rPr>
          <w:i/>
          <w:iCs/>
          <w:lang w:val="es-ES"/>
        </w:rPr>
        <w:t>stimulus</w:t>
      </w:r>
      <w:proofErr w:type="spellEnd"/>
      <w:r>
        <w:rPr>
          <w:lang w:val="es-ES"/>
        </w:rPr>
        <w:t>);</w:t>
      </w:r>
    </w:p>
    <w:p w:rsidR="00315EFA" w:rsidRPr="00DC69D7" w:rsidRDefault="00315EFA" w:rsidP="00315EFA">
      <w:pPr>
        <w:pStyle w:val="enumlev1"/>
        <w:rPr>
          <w:i/>
          <w:iCs/>
          <w:lang w:val="es-ES"/>
        </w:rPr>
      </w:pPr>
      <w:r w:rsidRPr="00362002">
        <w:rPr>
          <w:lang w:val="es-ES"/>
        </w:rPr>
        <w:t>–</w:t>
      </w:r>
      <w:r>
        <w:rPr>
          <w:lang w:val="es-ES"/>
        </w:rPr>
        <w:tab/>
        <w:t xml:space="preserve">método de escala de degradación con doble estímulo (DSIS, </w:t>
      </w:r>
      <w:proofErr w:type="spellStart"/>
      <w:r>
        <w:rPr>
          <w:i/>
          <w:iCs/>
          <w:lang w:val="es-ES"/>
        </w:rPr>
        <w:t>double-stimulus</w:t>
      </w:r>
      <w:proofErr w:type="spellEnd"/>
      <w:r>
        <w:rPr>
          <w:i/>
          <w:iCs/>
          <w:lang w:val="es-ES"/>
        </w:rPr>
        <w:t xml:space="preserve"> </w:t>
      </w:r>
      <w:proofErr w:type="spellStart"/>
      <w:r>
        <w:rPr>
          <w:i/>
          <w:iCs/>
          <w:lang w:val="es-ES"/>
        </w:rPr>
        <w:t>impairment</w:t>
      </w:r>
      <w:proofErr w:type="spellEnd"/>
      <w:r>
        <w:rPr>
          <w:i/>
          <w:iCs/>
          <w:lang w:val="es-ES"/>
        </w:rPr>
        <w:t xml:space="preserve"> </w:t>
      </w:r>
      <w:proofErr w:type="spellStart"/>
      <w:r>
        <w:rPr>
          <w:i/>
          <w:iCs/>
          <w:lang w:val="es-ES"/>
        </w:rPr>
        <w:t>scale</w:t>
      </w:r>
      <w:proofErr w:type="spellEnd"/>
      <w:r>
        <w:rPr>
          <w:i/>
          <w:iCs/>
          <w:lang w:val="es-ES"/>
        </w:rPr>
        <w:t>)</w:t>
      </w:r>
      <w:r w:rsidRPr="00B1544B">
        <w:rPr>
          <w:lang w:val="es-ES_tradnl"/>
        </w:rPr>
        <w:t>;</w:t>
      </w:r>
    </w:p>
    <w:p w:rsidR="00315EFA" w:rsidRPr="00753032" w:rsidRDefault="00315EFA" w:rsidP="00315EFA">
      <w:pPr>
        <w:pStyle w:val="enumlev1"/>
        <w:rPr>
          <w:lang w:val="es-ES"/>
        </w:rPr>
      </w:pPr>
      <w:r w:rsidRPr="00753032">
        <w:rPr>
          <w:lang w:val="es-ES" w:eastAsia="ja-JP"/>
        </w:rPr>
        <w:t>–</w:t>
      </w:r>
      <w:r w:rsidRPr="00753032">
        <w:rPr>
          <w:lang w:val="es-ES" w:eastAsia="ja-JP"/>
        </w:rPr>
        <w:tab/>
        <w:t xml:space="preserve">método de escala de calidad continua de doble estímulo </w:t>
      </w:r>
      <w:r w:rsidRPr="00753032">
        <w:rPr>
          <w:lang w:val="es-ES"/>
        </w:rPr>
        <w:t xml:space="preserve">(DSCQS, </w:t>
      </w:r>
      <w:proofErr w:type="spellStart"/>
      <w:r w:rsidRPr="00753032">
        <w:rPr>
          <w:i/>
          <w:iCs/>
          <w:lang w:val="es-ES"/>
        </w:rPr>
        <w:t>double</w:t>
      </w:r>
      <w:proofErr w:type="spellEnd"/>
      <w:r w:rsidRPr="00753032">
        <w:rPr>
          <w:i/>
          <w:iCs/>
          <w:lang w:val="es-ES"/>
        </w:rPr>
        <w:t xml:space="preserve"> </w:t>
      </w:r>
      <w:proofErr w:type="spellStart"/>
      <w:r w:rsidRPr="00753032">
        <w:rPr>
          <w:i/>
          <w:iCs/>
          <w:lang w:val="es-ES"/>
        </w:rPr>
        <w:t>stimulus</w:t>
      </w:r>
      <w:proofErr w:type="spellEnd"/>
      <w:r w:rsidRPr="00753032">
        <w:rPr>
          <w:i/>
          <w:iCs/>
          <w:lang w:val="es-ES"/>
        </w:rPr>
        <w:t xml:space="preserve"> </w:t>
      </w:r>
      <w:proofErr w:type="spellStart"/>
      <w:r w:rsidRPr="00753032">
        <w:rPr>
          <w:i/>
          <w:iCs/>
          <w:lang w:val="es-ES"/>
        </w:rPr>
        <w:t>continuous</w:t>
      </w:r>
      <w:proofErr w:type="spellEnd"/>
      <w:r w:rsidRPr="00753032">
        <w:rPr>
          <w:i/>
          <w:iCs/>
          <w:lang w:val="es-ES"/>
        </w:rPr>
        <w:t xml:space="preserve"> </w:t>
      </w:r>
      <w:proofErr w:type="spellStart"/>
      <w:r w:rsidRPr="00753032">
        <w:rPr>
          <w:i/>
          <w:iCs/>
          <w:lang w:val="es-ES"/>
        </w:rPr>
        <w:t>quality</w:t>
      </w:r>
      <w:proofErr w:type="spellEnd"/>
      <w:r w:rsidRPr="00753032">
        <w:rPr>
          <w:i/>
          <w:iCs/>
          <w:lang w:val="es-ES"/>
        </w:rPr>
        <w:t xml:space="preserve"> </w:t>
      </w:r>
      <w:proofErr w:type="spellStart"/>
      <w:r w:rsidRPr="00753032">
        <w:rPr>
          <w:i/>
          <w:iCs/>
          <w:lang w:val="es-ES"/>
        </w:rPr>
        <w:t>scale</w:t>
      </w:r>
      <w:proofErr w:type="spellEnd"/>
      <w:r>
        <w:rPr>
          <w:lang w:val="es-ES"/>
        </w:rPr>
        <w:t>);</w:t>
      </w:r>
    </w:p>
    <w:p w:rsidR="00315EFA" w:rsidRPr="00753032" w:rsidRDefault="00315EFA" w:rsidP="00315EFA">
      <w:pPr>
        <w:pStyle w:val="enumlev1"/>
        <w:rPr>
          <w:lang w:val="es-ES"/>
        </w:rPr>
      </w:pPr>
      <w:r w:rsidRPr="00753032">
        <w:rPr>
          <w:lang w:val="es-ES" w:eastAsia="ja-JP"/>
        </w:rPr>
        <w:t>–</w:t>
      </w:r>
      <w:r w:rsidRPr="00753032">
        <w:rPr>
          <w:lang w:val="es-ES" w:eastAsia="ja-JP"/>
        </w:rPr>
        <w:tab/>
        <w:t xml:space="preserve">método de comparación de estímulos </w:t>
      </w:r>
      <w:r w:rsidRPr="00753032">
        <w:rPr>
          <w:lang w:val="es-ES"/>
        </w:rPr>
        <w:t xml:space="preserve">(SC, </w:t>
      </w:r>
      <w:proofErr w:type="spellStart"/>
      <w:r w:rsidRPr="00753032">
        <w:rPr>
          <w:i/>
          <w:iCs/>
          <w:lang w:val="es-ES"/>
        </w:rPr>
        <w:t>stimulus-comparison</w:t>
      </w:r>
      <w:proofErr w:type="spellEnd"/>
      <w:r>
        <w:rPr>
          <w:lang w:val="es-ES"/>
        </w:rPr>
        <w:t>);</w:t>
      </w:r>
    </w:p>
    <w:p w:rsidR="00315EFA" w:rsidRDefault="00315EFA" w:rsidP="00315EFA">
      <w:pPr>
        <w:pStyle w:val="enumlev1"/>
        <w:rPr>
          <w:lang w:val="es-ES"/>
        </w:rPr>
      </w:pPr>
      <w:r w:rsidRPr="00753032">
        <w:rPr>
          <w:lang w:val="es-ES" w:eastAsia="ja-JP"/>
        </w:rPr>
        <w:t>–</w:t>
      </w:r>
      <w:r w:rsidRPr="00753032">
        <w:rPr>
          <w:lang w:val="es-ES" w:eastAsia="ja-JP"/>
        </w:rPr>
        <w:tab/>
        <w:t xml:space="preserve">método de evaluación de calidad continua de estímulo único </w:t>
      </w:r>
      <w:r w:rsidRPr="00753032">
        <w:rPr>
          <w:lang w:val="es-ES"/>
        </w:rPr>
        <w:t xml:space="preserve">(SSCQE, </w:t>
      </w:r>
      <w:r w:rsidRPr="00753032">
        <w:rPr>
          <w:i/>
          <w:iCs/>
          <w:lang w:val="es-ES"/>
        </w:rPr>
        <w:t xml:space="preserve">single </w:t>
      </w:r>
      <w:proofErr w:type="spellStart"/>
      <w:r w:rsidRPr="00753032">
        <w:rPr>
          <w:i/>
          <w:iCs/>
          <w:lang w:val="es-ES"/>
        </w:rPr>
        <w:t>stimulus</w:t>
      </w:r>
      <w:proofErr w:type="spellEnd"/>
      <w:r w:rsidRPr="00753032">
        <w:rPr>
          <w:i/>
          <w:iCs/>
          <w:lang w:val="es-ES"/>
        </w:rPr>
        <w:t xml:space="preserve"> </w:t>
      </w:r>
      <w:proofErr w:type="spellStart"/>
      <w:r w:rsidRPr="00753032">
        <w:rPr>
          <w:i/>
          <w:iCs/>
          <w:lang w:val="es-ES"/>
        </w:rPr>
        <w:t>continuous</w:t>
      </w:r>
      <w:proofErr w:type="spellEnd"/>
      <w:r w:rsidRPr="00753032">
        <w:rPr>
          <w:i/>
          <w:iCs/>
          <w:lang w:val="es-ES"/>
        </w:rPr>
        <w:t xml:space="preserve"> </w:t>
      </w:r>
      <w:proofErr w:type="spellStart"/>
      <w:r w:rsidRPr="00753032">
        <w:rPr>
          <w:i/>
          <w:iCs/>
          <w:lang w:val="es-ES"/>
        </w:rPr>
        <w:t>quality</w:t>
      </w:r>
      <w:proofErr w:type="spellEnd"/>
      <w:r w:rsidRPr="00753032">
        <w:rPr>
          <w:i/>
          <w:iCs/>
          <w:lang w:val="es-ES"/>
        </w:rPr>
        <w:t xml:space="preserve"> </w:t>
      </w:r>
      <w:proofErr w:type="spellStart"/>
      <w:r w:rsidRPr="00753032">
        <w:rPr>
          <w:i/>
          <w:iCs/>
          <w:lang w:val="es-ES"/>
        </w:rPr>
        <w:t>evaluation</w:t>
      </w:r>
      <w:proofErr w:type="spellEnd"/>
      <w:r>
        <w:rPr>
          <w:lang w:val="es-ES"/>
        </w:rPr>
        <w:t>);</w:t>
      </w:r>
    </w:p>
    <w:p w:rsidR="00315EFA" w:rsidRPr="00753032" w:rsidRDefault="00315EFA" w:rsidP="00315EFA">
      <w:pPr>
        <w:pStyle w:val="enumlev1"/>
        <w:rPr>
          <w:lang w:val="es-ES"/>
        </w:rPr>
      </w:pPr>
      <w:r w:rsidRPr="00362002">
        <w:rPr>
          <w:lang w:val="es-ES"/>
        </w:rPr>
        <w:t>–</w:t>
      </w:r>
      <w:r>
        <w:rPr>
          <w:lang w:val="es-ES"/>
        </w:rPr>
        <w:tab/>
        <w:t xml:space="preserve">método de doble estímulo simultáneo para evaluación continua (SDSCE, </w:t>
      </w:r>
      <w:proofErr w:type="spellStart"/>
      <w:r>
        <w:rPr>
          <w:i/>
          <w:iCs/>
          <w:lang w:val="es-ES"/>
        </w:rPr>
        <w:t>simultaneous</w:t>
      </w:r>
      <w:proofErr w:type="spellEnd"/>
      <w:r>
        <w:rPr>
          <w:i/>
          <w:iCs/>
          <w:lang w:val="es-ES"/>
        </w:rPr>
        <w:t xml:space="preserve"> </w:t>
      </w:r>
      <w:proofErr w:type="spellStart"/>
      <w:r>
        <w:rPr>
          <w:i/>
          <w:iCs/>
          <w:lang w:val="es-ES"/>
        </w:rPr>
        <w:t>double</w:t>
      </w:r>
      <w:proofErr w:type="spellEnd"/>
      <w:r>
        <w:rPr>
          <w:i/>
          <w:iCs/>
          <w:lang w:val="es-ES"/>
        </w:rPr>
        <w:t xml:space="preserve"> </w:t>
      </w:r>
      <w:proofErr w:type="spellStart"/>
      <w:r>
        <w:rPr>
          <w:i/>
          <w:iCs/>
          <w:lang w:val="es-ES"/>
        </w:rPr>
        <w:t>stimulus</w:t>
      </w:r>
      <w:proofErr w:type="spellEnd"/>
      <w:r>
        <w:rPr>
          <w:i/>
          <w:iCs/>
          <w:lang w:val="es-ES"/>
        </w:rPr>
        <w:t xml:space="preserve"> </w:t>
      </w:r>
      <w:proofErr w:type="spellStart"/>
      <w:r>
        <w:rPr>
          <w:i/>
          <w:iCs/>
          <w:lang w:val="es-ES"/>
        </w:rPr>
        <w:t>for</w:t>
      </w:r>
      <w:proofErr w:type="spellEnd"/>
      <w:r>
        <w:rPr>
          <w:i/>
          <w:iCs/>
          <w:lang w:val="es-ES"/>
        </w:rPr>
        <w:t xml:space="preserve"> </w:t>
      </w:r>
      <w:proofErr w:type="spellStart"/>
      <w:r>
        <w:rPr>
          <w:i/>
          <w:iCs/>
          <w:lang w:val="es-ES"/>
        </w:rPr>
        <w:t>continuous</w:t>
      </w:r>
      <w:proofErr w:type="spellEnd"/>
      <w:r>
        <w:rPr>
          <w:i/>
          <w:iCs/>
          <w:lang w:val="es-ES"/>
        </w:rPr>
        <w:t xml:space="preserve"> </w:t>
      </w:r>
      <w:proofErr w:type="spellStart"/>
      <w:r>
        <w:rPr>
          <w:i/>
          <w:iCs/>
          <w:lang w:val="es-ES"/>
        </w:rPr>
        <w:t>evaluation</w:t>
      </w:r>
      <w:proofErr w:type="spellEnd"/>
      <w:r>
        <w:rPr>
          <w:i/>
          <w:iCs/>
          <w:lang w:val="es-ES"/>
        </w:rPr>
        <w:t>)</w:t>
      </w:r>
      <w:r>
        <w:rPr>
          <w:lang w:val="es-ES"/>
        </w:rPr>
        <w:t>.</w:t>
      </w:r>
    </w:p>
    <w:p w:rsidR="00315EFA" w:rsidRPr="00753032" w:rsidRDefault="00315EFA" w:rsidP="00315EFA">
      <w:pPr>
        <w:rPr>
          <w:lang w:val="es-ES"/>
        </w:rPr>
      </w:pPr>
      <w:r w:rsidRPr="00753032">
        <w:rPr>
          <w:lang w:val="es-ES"/>
        </w:rPr>
        <w:t>Cuando ha sido adecuado, los métodos se han utilizado de forma ligeramente distinta, por ejemplo, con diferentes escalas de confort visual. En los Cuadros</w:t>
      </w:r>
      <w:r>
        <w:rPr>
          <w:lang w:val="es-ES"/>
        </w:rPr>
        <w:t> </w:t>
      </w:r>
      <w:r w:rsidRPr="00753032">
        <w:rPr>
          <w:lang w:val="es-ES"/>
        </w:rPr>
        <w:t>1, 2 y 3 se resumen el modo de presentación y las escalas asociadas con los métodos de evaluación de la calidad de imagen, calidad de profundidad y confort visual, respectivamente.</w:t>
      </w:r>
    </w:p>
    <w:p w:rsidR="00315EFA" w:rsidRPr="00753032" w:rsidRDefault="00315EFA" w:rsidP="00315EFA">
      <w:pPr>
        <w:rPr>
          <w:lang w:val="es-ES"/>
        </w:rPr>
      </w:pPr>
      <w:r w:rsidRPr="00753032">
        <w:rPr>
          <w:lang w:val="es-ES"/>
        </w:rPr>
        <w:t>En el punto siguiente se hace una breve descripción de cada metodología. Los elementos metodológicos comunes a todos los métodos se presentan en puntos posteriores.</w:t>
      </w:r>
    </w:p>
    <w:p w:rsidR="00315EFA" w:rsidRPr="00753032" w:rsidRDefault="00315EFA" w:rsidP="00315EFA">
      <w:pPr>
        <w:pStyle w:val="Heading2"/>
        <w:rPr>
          <w:lang w:val="es-ES"/>
        </w:rPr>
      </w:pPr>
      <w:r w:rsidRPr="00753032">
        <w:rPr>
          <w:lang w:val="es-ES"/>
        </w:rPr>
        <w:t>2.1</w:t>
      </w:r>
      <w:r w:rsidRPr="00753032">
        <w:rPr>
          <w:lang w:val="es-ES"/>
        </w:rPr>
        <w:tab/>
        <w:t xml:space="preserve">Método de estímulo único (SS) </w:t>
      </w:r>
    </w:p>
    <w:p w:rsidR="00315EFA" w:rsidRPr="00753032" w:rsidRDefault="00315EFA" w:rsidP="00315EFA">
      <w:pPr>
        <w:rPr>
          <w:lang w:val="es-ES"/>
        </w:rPr>
      </w:pPr>
      <w:r w:rsidRPr="00753032">
        <w:rPr>
          <w:lang w:val="es-ES"/>
        </w:rPr>
        <w:t xml:space="preserve">El procedimiento consta de una serie de pruebas de evaluación que pueden dividirse, cuando sea adecuado, en varias sesiones de pruebas separadas por interrupciones. En cada prueba, sólo se presenta la secuencia de un </w:t>
      </w:r>
      <w:r>
        <w:rPr>
          <w:lang w:val="es-ES"/>
        </w:rPr>
        <w:t>vídeo</w:t>
      </w:r>
      <w:r w:rsidRPr="00753032">
        <w:rPr>
          <w:lang w:val="es-ES"/>
        </w:rPr>
        <w:t xml:space="preserve"> en </w:t>
      </w:r>
      <w:r>
        <w:rPr>
          <w:lang w:val="es-ES"/>
        </w:rPr>
        <w:t>«</w:t>
      </w:r>
      <w:r w:rsidRPr="00753032">
        <w:rPr>
          <w:i/>
          <w:iCs/>
          <w:lang w:val="es-ES"/>
        </w:rPr>
        <w:t>prueba</w:t>
      </w:r>
      <w:r>
        <w:rPr>
          <w:lang w:val="es-ES"/>
        </w:rPr>
        <w:t>»</w:t>
      </w:r>
      <w:r w:rsidRPr="00753032">
        <w:rPr>
          <w:lang w:val="es-ES"/>
        </w:rPr>
        <w:t xml:space="preserve"> (es decir, una secuencia procesada con el sistema investigado) que se evalúa de forma independiente según la escala prestab</w:t>
      </w:r>
      <w:r>
        <w:rPr>
          <w:lang w:val="es-ES"/>
        </w:rPr>
        <w:t>lecida.</w:t>
      </w:r>
    </w:p>
    <w:p w:rsidR="00315EFA" w:rsidRPr="00753032" w:rsidRDefault="00315EFA" w:rsidP="00315EFA">
      <w:pPr>
        <w:pStyle w:val="Heading3"/>
        <w:rPr>
          <w:lang w:val="es-ES"/>
        </w:rPr>
      </w:pPr>
      <w:r w:rsidRPr="00753032">
        <w:rPr>
          <w:lang w:val="es-ES"/>
        </w:rPr>
        <w:lastRenderedPageBreak/>
        <w:t>2.1.1</w:t>
      </w:r>
      <w:r w:rsidRPr="00753032">
        <w:rPr>
          <w:lang w:val="es-ES"/>
        </w:rPr>
        <w:tab/>
        <w:t>Estructura de las pruebas del método de estímulo único</w:t>
      </w:r>
    </w:p>
    <w:p w:rsidR="00315EFA" w:rsidRPr="00753032" w:rsidRDefault="00315EFA" w:rsidP="00315EFA">
      <w:pPr>
        <w:rPr>
          <w:lang w:val="es-ES"/>
        </w:rPr>
      </w:pPr>
      <w:r w:rsidRPr="00753032">
        <w:rPr>
          <w:lang w:val="es-ES"/>
        </w:rPr>
        <w:t xml:space="preserve">En cada prueba, la secuencia de </w:t>
      </w:r>
      <w:r>
        <w:rPr>
          <w:lang w:val="es-ES"/>
        </w:rPr>
        <w:t>vídeo</w:t>
      </w:r>
      <w:r w:rsidRPr="00753032">
        <w:rPr>
          <w:lang w:val="es-ES"/>
        </w:rPr>
        <w:t xml:space="preserve"> en </w:t>
      </w:r>
      <w:r>
        <w:rPr>
          <w:lang w:val="es-ES"/>
        </w:rPr>
        <w:t>«</w:t>
      </w:r>
      <w:r w:rsidRPr="00753032">
        <w:rPr>
          <w:i/>
          <w:iCs/>
          <w:lang w:val="es-ES"/>
        </w:rPr>
        <w:t>Prueba</w:t>
      </w:r>
      <w:r>
        <w:rPr>
          <w:lang w:val="es-ES"/>
        </w:rPr>
        <w:t>»</w:t>
      </w:r>
      <w:r w:rsidRPr="00753032">
        <w:rPr>
          <w:lang w:val="es-ES"/>
        </w:rPr>
        <w:t xml:space="preserve"> está precedida y seguida por la presentación de un campo gris-medio. El campo gris-medio precedente puede contener un objeto para la fijación, por ejemplo, el número de la prueba, con disparidad cero y que debe permanecer tres segundos o menos (&lt;=</w:t>
      </w:r>
      <w:r>
        <w:rPr>
          <w:lang w:val="es-ES"/>
        </w:rPr>
        <w:t> </w:t>
      </w:r>
      <w:r w:rsidRPr="00753032">
        <w:rPr>
          <w:lang w:val="es-ES"/>
        </w:rPr>
        <w:t>3</w:t>
      </w:r>
      <w:r>
        <w:rPr>
          <w:lang w:val="es-ES"/>
        </w:rPr>
        <w:t> </w:t>
      </w:r>
      <w:r w:rsidRPr="00753032">
        <w:rPr>
          <w:lang w:val="es-ES"/>
        </w:rPr>
        <w:t xml:space="preserve">s). El campo gris-medio posterior puede contener un recordatorio de que debe realizarse la valoración, por ejemplo, incluyendo la frase </w:t>
      </w:r>
      <w:r>
        <w:rPr>
          <w:lang w:val="es-ES"/>
        </w:rPr>
        <w:t>«</w:t>
      </w:r>
      <w:r w:rsidRPr="00753032">
        <w:rPr>
          <w:lang w:val="es-ES"/>
        </w:rPr>
        <w:t>vote ahora</w:t>
      </w:r>
      <w:r>
        <w:rPr>
          <w:lang w:val="es-ES"/>
        </w:rPr>
        <w:t>»</w:t>
      </w:r>
      <w:r w:rsidRPr="00753032">
        <w:rPr>
          <w:lang w:val="es-ES"/>
        </w:rPr>
        <w:t>, y debe durar el tiempo suficiente como para permitir que el observador vote (por ejemplo, hasta 10</w:t>
      </w:r>
      <w:r>
        <w:rPr>
          <w:lang w:val="es-ES"/>
        </w:rPr>
        <w:t> </w:t>
      </w:r>
      <w:r w:rsidRPr="00753032">
        <w:rPr>
          <w:lang w:val="es-ES"/>
        </w:rPr>
        <w:t xml:space="preserve">s). La duración de la secuencia de </w:t>
      </w:r>
      <w:r>
        <w:rPr>
          <w:lang w:val="es-ES"/>
        </w:rPr>
        <w:t>vídeo</w:t>
      </w:r>
      <w:r w:rsidRPr="00753032">
        <w:rPr>
          <w:lang w:val="es-ES"/>
        </w:rPr>
        <w:t xml:space="preserve"> en </w:t>
      </w:r>
      <w:r>
        <w:rPr>
          <w:lang w:val="es-ES"/>
        </w:rPr>
        <w:t>«</w:t>
      </w:r>
      <w:r w:rsidRPr="00753032">
        <w:rPr>
          <w:i/>
          <w:iCs/>
          <w:lang w:val="es-ES"/>
        </w:rPr>
        <w:t>Prueba</w:t>
      </w:r>
      <w:r>
        <w:rPr>
          <w:lang w:val="es-ES"/>
        </w:rPr>
        <w:t>»</w:t>
      </w:r>
      <w:r w:rsidRPr="00753032">
        <w:rPr>
          <w:lang w:val="es-ES"/>
        </w:rPr>
        <w:t xml:space="preserve"> debe ser, por lo general, de unos 10 s</w:t>
      </w:r>
      <w:r w:rsidRPr="00753032">
        <w:rPr>
          <w:rStyle w:val="FootnoteReference"/>
          <w:lang w:val="es-ES"/>
        </w:rPr>
        <w:footnoteReference w:id="1"/>
      </w:r>
      <w:r w:rsidRPr="00753032">
        <w:rPr>
          <w:lang w:val="es-ES"/>
        </w:rPr>
        <w:t>. La estructura de una típica prueba de estímu</w:t>
      </w:r>
      <w:r>
        <w:rPr>
          <w:lang w:val="es-ES"/>
        </w:rPr>
        <w:t>lo único se muestra en la Fig.</w:t>
      </w:r>
      <w:r w:rsidRPr="00753032">
        <w:rPr>
          <w:lang w:val="es-ES"/>
        </w:rPr>
        <w:t xml:space="preserve"> 1.</w:t>
      </w:r>
    </w:p>
    <w:p w:rsidR="00315EFA" w:rsidRPr="00753032" w:rsidRDefault="00315EFA" w:rsidP="00315EFA">
      <w:pPr>
        <w:pStyle w:val="Heading3"/>
        <w:rPr>
          <w:lang w:val="es-ES"/>
        </w:rPr>
      </w:pPr>
      <w:r w:rsidRPr="00753032">
        <w:rPr>
          <w:lang w:val="es-ES"/>
        </w:rPr>
        <w:t>2.1.2</w:t>
      </w:r>
      <w:r w:rsidRPr="00753032">
        <w:rPr>
          <w:lang w:val="es-ES"/>
        </w:rPr>
        <w:tab/>
        <w:t>Escalas de apreciación del método de estímulo único</w:t>
      </w:r>
    </w:p>
    <w:p w:rsidR="00315EFA" w:rsidRPr="00753032" w:rsidRDefault="00315EFA" w:rsidP="00315EFA">
      <w:pPr>
        <w:rPr>
          <w:lang w:val="es-ES"/>
        </w:rPr>
      </w:pPr>
      <w:r w:rsidRPr="00753032">
        <w:rPr>
          <w:lang w:val="es-ES"/>
        </w:rPr>
        <w:t>Para la evaluación de la calidad de imagen pueden utilizarse dos escalas etiquetadas: la escala discreta de cinco niveles y la escala de calidad continua estándar de la UIT (véase el Cuadro</w:t>
      </w:r>
      <w:r>
        <w:rPr>
          <w:lang w:val="es-ES"/>
        </w:rPr>
        <w:t> </w:t>
      </w:r>
      <w:r w:rsidRPr="00753032">
        <w:rPr>
          <w:lang w:val="es-ES"/>
        </w:rPr>
        <w:t xml:space="preserve">1. Las etiquetas de calidad son </w:t>
      </w:r>
      <w:r>
        <w:rPr>
          <w:lang w:val="es-ES"/>
        </w:rPr>
        <w:t>«</w:t>
      </w:r>
      <w:r w:rsidRPr="00753032">
        <w:rPr>
          <w:lang w:val="es-ES"/>
        </w:rPr>
        <w:t>Excelente</w:t>
      </w:r>
      <w:r>
        <w:rPr>
          <w:lang w:val="es-ES"/>
        </w:rPr>
        <w:t xml:space="preserve"> (</w:t>
      </w:r>
      <w:proofErr w:type="spellStart"/>
      <w:r w:rsidRPr="00DC69D7">
        <w:rPr>
          <w:i/>
          <w:iCs/>
          <w:lang w:val="es-ES_tradnl" w:eastAsia="ja-JP"/>
        </w:rPr>
        <w:t>Excellent</w:t>
      </w:r>
      <w:proofErr w:type="spellEnd"/>
      <w:r>
        <w:rPr>
          <w:lang w:val="es-ES"/>
        </w:rPr>
        <w:t>)»</w:t>
      </w:r>
      <w:r w:rsidRPr="00753032">
        <w:rPr>
          <w:lang w:val="es-ES"/>
        </w:rPr>
        <w:t xml:space="preserve">, </w:t>
      </w:r>
      <w:r>
        <w:rPr>
          <w:lang w:val="es-ES"/>
        </w:rPr>
        <w:t>«</w:t>
      </w:r>
      <w:r w:rsidRPr="00753032">
        <w:rPr>
          <w:lang w:val="es-ES"/>
        </w:rPr>
        <w:t>Buena</w:t>
      </w:r>
      <w:r>
        <w:rPr>
          <w:lang w:val="es-ES"/>
        </w:rPr>
        <w:t xml:space="preserve"> (</w:t>
      </w:r>
      <w:proofErr w:type="spellStart"/>
      <w:r w:rsidRPr="00DC69D7">
        <w:rPr>
          <w:i/>
          <w:iCs/>
          <w:lang w:val="es-ES_tradnl" w:eastAsia="ja-JP"/>
        </w:rPr>
        <w:t>Good</w:t>
      </w:r>
      <w:proofErr w:type="spellEnd"/>
      <w:r>
        <w:rPr>
          <w:lang w:val="es-ES"/>
        </w:rPr>
        <w:t>)»</w:t>
      </w:r>
      <w:r w:rsidRPr="00753032">
        <w:rPr>
          <w:lang w:val="es-ES"/>
        </w:rPr>
        <w:t xml:space="preserve">, </w:t>
      </w:r>
      <w:r>
        <w:rPr>
          <w:lang w:val="es-ES"/>
        </w:rPr>
        <w:t>«</w:t>
      </w:r>
      <w:r w:rsidRPr="00753032">
        <w:rPr>
          <w:lang w:val="es-ES"/>
        </w:rPr>
        <w:t>Aceptable</w:t>
      </w:r>
      <w:r>
        <w:rPr>
          <w:lang w:val="es-ES"/>
        </w:rPr>
        <w:t xml:space="preserve"> (</w:t>
      </w:r>
      <w:proofErr w:type="spellStart"/>
      <w:r w:rsidRPr="00DC69D7">
        <w:rPr>
          <w:lang w:val="es-ES_tradnl" w:eastAsia="ja-JP"/>
        </w:rPr>
        <w:t>Fair</w:t>
      </w:r>
      <w:proofErr w:type="spellEnd"/>
      <w:r>
        <w:rPr>
          <w:lang w:val="es-ES"/>
        </w:rPr>
        <w:t>)»</w:t>
      </w:r>
      <w:r w:rsidRPr="00753032">
        <w:rPr>
          <w:lang w:val="es-ES"/>
        </w:rPr>
        <w:t xml:space="preserve">, </w:t>
      </w:r>
      <w:r>
        <w:rPr>
          <w:lang w:val="es-ES"/>
        </w:rPr>
        <w:t>«</w:t>
      </w:r>
      <w:r w:rsidRPr="00753032">
        <w:rPr>
          <w:lang w:val="es-ES"/>
        </w:rPr>
        <w:t>Mediocre</w:t>
      </w:r>
      <w:r>
        <w:rPr>
          <w:lang w:val="es-ES"/>
        </w:rPr>
        <w:t xml:space="preserve"> (</w:t>
      </w:r>
      <w:r w:rsidRPr="00DC69D7">
        <w:rPr>
          <w:i/>
          <w:iCs/>
          <w:lang w:val="es-ES_tradnl" w:eastAsia="ja-JP"/>
        </w:rPr>
        <w:t>Poor</w:t>
      </w:r>
      <w:r>
        <w:rPr>
          <w:lang w:val="es-ES"/>
        </w:rPr>
        <w:t>)»</w:t>
      </w:r>
      <w:r w:rsidRPr="00753032">
        <w:rPr>
          <w:lang w:val="es-ES"/>
        </w:rPr>
        <w:t xml:space="preserve"> y </w:t>
      </w:r>
      <w:r>
        <w:rPr>
          <w:lang w:val="es-ES"/>
        </w:rPr>
        <w:t>«</w:t>
      </w:r>
      <w:r w:rsidRPr="00753032">
        <w:rPr>
          <w:lang w:val="es-ES"/>
        </w:rPr>
        <w:t>Mala</w:t>
      </w:r>
      <w:r>
        <w:rPr>
          <w:lang w:val="es-ES"/>
        </w:rPr>
        <w:t xml:space="preserve"> (</w:t>
      </w:r>
      <w:proofErr w:type="spellStart"/>
      <w:r w:rsidRPr="00DC69D7">
        <w:rPr>
          <w:i/>
          <w:iCs/>
          <w:lang w:val="es-ES_tradnl" w:eastAsia="ja-JP"/>
        </w:rPr>
        <w:t>Bad</w:t>
      </w:r>
      <w:proofErr w:type="spellEnd"/>
      <w:r>
        <w:rPr>
          <w:lang w:val="es-ES"/>
        </w:rPr>
        <w:t>)»</w:t>
      </w:r>
      <w:r w:rsidRPr="00753032">
        <w:rPr>
          <w:lang w:val="es-ES"/>
        </w:rPr>
        <w:t>.</w:t>
      </w:r>
    </w:p>
    <w:p w:rsidR="00315EFA" w:rsidRPr="00753032" w:rsidRDefault="00315EFA" w:rsidP="00315EFA">
      <w:pPr>
        <w:rPr>
          <w:lang w:val="es-ES"/>
        </w:rPr>
      </w:pPr>
      <w:r w:rsidRPr="00753032">
        <w:rPr>
          <w:lang w:val="es-ES"/>
        </w:rPr>
        <w:t>Las mismas escalas pueden utilizarse para evaluar la calidad de la profundidad (véase Cuadro</w:t>
      </w:r>
      <w:r>
        <w:rPr>
          <w:lang w:val="es-ES"/>
        </w:rPr>
        <w:t> </w:t>
      </w:r>
      <w:r w:rsidRPr="00753032">
        <w:rPr>
          <w:lang w:val="es-ES"/>
        </w:rPr>
        <w:t>2). En este caso, se pide a los observadores que evalúen la calidad de la profundidad de la representación más que la calidad de la propia imagen.</w:t>
      </w:r>
    </w:p>
    <w:p w:rsidR="00315EFA" w:rsidRPr="00753032" w:rsidRDefault="00315EFA" w:rsidP="00315EFA">
      <w:pPr>
        <w:rPr>
          <w:lang w:val="es-ES" w:eastAsia="ja-JP"/>
        </w:rPr>
      </w:pPr>
      <w:r w:rsidRPr="00753032">
        <w:rPr>
          <w:lang w:val="es-ES" w:eastAsia="ja-JP"/>
        </w:rPr>
        <w:t xml:space="preserve">Para la evaluación del confort visual pueden utilizarse dos escalas etiquetadas: una </w:t>
      </w:r>
      <w:r w:rsidRPr="00753032">
        <w:rPr>
          <w:lang w:val="es-ES"/>
        </w:rPr>
        <w:t>escala discreta de cinco niveles y la escala de confort continua (véase el Cuadro</w:t>
      </w:r>
      <w:r>
        <w:rPr>
          <w:lang w:val="es-ES"/>
        </w:rPr>
        <w:t> </w:t>
      </w:r>
      <w:r w:rsidRPr="00753032">
        <w:rPr>
          <w:lang w:val="es-ES"/>
        </w:rPr>
        <w:t xml:space="preserve">3). Las etiquetas de confort son </w:t>
      </w:r>
      <w:r>
        <w:rPr>
          <w:lang w:val="es-ES"/>
        </w:rPr>
        <w:t>«</w:t>
      </w:r>
      <w:r w:rsidRPr="00753032">
        <w:rPr>
          <w:lang w:val="es-ES"/>
        </w:rPr>
        <w:t>Muy cómodo</w:t>
      </w:r>
      <w:r>
        <w:rPr>
          <w:lang w:val="es-ES"/>
        </w:rPr>
        <w:t xml:space="preserve"> (</w:t>
      </w:r>
      <w:proofErr w:type="spellStart"/>
      <w:r w:rsidRPr="008A69BD">
        <w:rPr>
          <w:i/>
          <w:iCs/>
          <w:lang w:val="es-ES"/>
        </w:rPr>
        <w:t>Very</w:t>
      </w:r>
      <w:proofErr w:type="spellEnd"/>
      <w:r w:rsidRPr="008A69BD">
        <w:rPr>
          <w:i/>
          <w:iCs/>
          <w:lang w:val="es-ES"/>
        </w:rPr>
        <w:t xml:space="preserve"> Confortable</w:t>
      </w:r>
      <w:r>
        <w:rPr>
          <w:lang w:val="es-ES"/>
        </w:rPr>
        <w:t>)»</w:t>
      </w:r>
      <w:r w:rsidRPr="00753032">
        <w:rPr>
          <w:lang w:val="es-ES"/>
        </w:rPr>
        <w:t xml:space="preserve">, </w:t>
      </w:r>
      <w:r>
        <w:rPr>
          <w:lang w:val="es-ES"/>
        </w:rPr>
        <w:t>«</w:t>
      </w:r>
      <w:r w:rsidRPr="00753032">
        <w:rPr>
          <w:lang w:val="es-ES"/>
        </w:rPr>
        <w:t>Cómodo</w:t>
      </w:r>
      <w:r>
        <w:rPr>
          <w:lang w:val="es-ES"/>
        </w:rPr>
        <w:t xml:space="preserve"> (</w:t>
      </w:r>
      <w:r w:rsidRPr="008A69BD">
        <w:rPr>
          <w:i/>
          <w:iCs/>
          <w:lang w:val="es-ES"/>
        </w:rPr>
        <w:t>Confortable</w:t>
      </w:r>
      <w:r>
        <w:rPr>
          <w:lang w:val="es-ES"/>
        </w:rPr>
        <w:t>)»</w:t>
      </w:r>
      <w:r w:rsidRPr="00753032">
        <w:rPr>
          <w:lang w:val="es-ES"/>
        </w:rPr>
        <w:t xml:space="preserve">, </w:t>
      </w:r>
      <w:r>
        <w:rPr>
          <w:lang w:val="es-ES"/>
        </w:rPr>
        <w:t>«</w:t>
      </w:r>
      <w:r w:rsidRPr="00753032">
        <w:rPr>
          <w:lang w:val="es-ES"/>
        </w:rPr>
        <w:t>Ligeramente incómodo</w:t>
      </w:r>
      <w:r>
        <w:rPr>
          <w:lang w:val="es-ES"/>
        </w:rPr>
        <w:t xml:space="preserve"> (</w:t>
      </w:r>
      <w:proofErr w:type="spellStart"/>
      <w:r w:rsidRPr="00DC69D7">
        <w:rPr>
          <w:i/>
          <w:iCs/>
          <w:lang w:val="es-ES_tradnl" w:eastAsia="ja-JP"/>
        </w:rPr>
        <w:t>Mildly</w:t>
      </w:r>
      <w:proofErr w:type="spellEnd"/>
      <w:r w:rsidRPr="00DC69D7">
        <w:rPr>
          <w:i/>
          <w:iCs/>
          <w:lang w:val="es-ES_tradnl" w:eastAsia="ja-JP"/>
        </w:rPr>
        <w:t xml:space="preserve"> </w:t>
      </w:r>
      <w:proofErr w:type="spellStart"/>
      <w:r w:rsidRPr="00DC69D7">
        <w:rPr>
          <w:i/>
          <w:iCs/>
          <w:lang w:val="es-ES_tradnl" w:eastAsia="ja-JP"/>
        </w:rPr>
        <w:t>Uncomfortable</w:t>
      </w:r>
      <w:proofErr w:type="spellEnd"/>
      <w:r>
        <w:rPr>
          <w:lang w:val="es-ES"/>
        </w:rPr>
        <w:t>)»</w:t>
      </w:r>
      <w:r w:rsidRPr="00753032">
        <w:rPr>
          <w:lang w:val="es-ES"/>
        </w:rPr>
        <w:t xml:space="preserve">, </w:t>
      </w:r>
      <w:r>
        <w:rPr>
          <w:lang w:val="es-ES"/>
        </w:rPr>
        <w:t>«</w:t>
      </w:r>
      <w:r w:rsidRPr="00753032">
        <w:rPr>
          <w:lang w:val="es-ES"/>
        </w:rPr>
        <w:t>Incómodo</w:t>
      </w:r>
      <w:r>
        <w:rPr>
          <w:lang w:val="es-ES"/>
        </w:rPr>
        <w:t xml:space="preserve"> (</w:t>
      </w:r>
      <w:proofErr w:type="spellStart"/>
      <w:r w:rsidRPr="00DC69D7">
        <w:rPr>
          <w:i/>
          <w:iCs/>
          <w:lang w:val="es-ES_tradnl" w:eastAsia="ja-JP"/>
        </w:rPr>
        <w:t>Uncomfortable</w:t>
      </w:r>
      <w:proofErr w:type="spellEnd"/>
      <w:r>
        <w:rPr>
          <w:lang w:val="es-ES"/>
        </w:rPr>
        <w:t>)»</w:t>
      </w:r>
      <w:r w:rsidRPr="00753032">
        <w:rPr>
          <w:lang w:val="es-ES"/>
        </w:rPr>
        <w:t xml:space="preserve"> y </w:t>
      </w:r>
      <w:r>
        <w:rPr>
          <w:lang w:val="es-ES"/>
        </w:rPr>
        <w:t>«</w:t>
      </w:r>
      <w:r w:rsidRPr="00753032">
        <w:rPr>
          <w:lang w:val="es-ES"/>
        </w:rPr>
        <w:t>Muy incómodo</w:t>
      </w:r>
      <w:r>
        <w:rPr>
          <w:lang w:val="es-ES"/>
        </w:rPr>
        <w:t xml:space="preserve"> (</w:t>
      </w:r>
      <w:proofErr w:type="spellStart"/>
      <w:r w:rsidRPr="00DC69D7">
        <w:rPr>
          <w:i/>
          <w:iCs/>
          <w:lang w:val="es-ES_tradnl" w:eastAsia="ja-JP"/>
        </w:rPr>
        <w:t>Extremely</w:t>
      </w:r>
      <w:proofErr w:type="spellEnd"/>
      <w:r w:rsidRPr="00DC69D7">
        <w:rPr>
          <w:i/>
          <w:iCs/>
          <w:lang w:val="es-ES_tradnl" w:eastAsia="ja-JP"/>
        </w:rPr>
        <w:t xml:space="preserve"> </w:t>
      </w:r>
      <w:proofErr w:type="spellStart"/>
      <w:r w:rsidRPr="00DC69D7">
        <w:rPr>
          <w:i/>
          <w:iCs/>
          <w:lang w:val="es-ES_tradnl" w:eastAsia="ja-JP"/>
        </w:rPr>
        <w:t>uncomfortable</w:t>
      </w:r>
      <w:proofErr w:type="spellEnd"/>
      <w:r>
        <w:rPr>
          <w:lang w:val="es-ES"/>
        </w:rPr>
        <w:t>)»</w:t>
      </w:r>
      <w:r w:rsidRPr="00753032">
        <w:rPr>
          <w:lang w:val="es-ES"/>
        </w:rPr>
        <w:t>.</w:t>
      </w:r>
    </w:p>
    <w:p w:rsidR="00315EFA" w:rsidRPr="00753032" w:rsidRDefault="00315EFA" w:rsidP="00315EFA">
      <w:pPr>
        <w:pStyle w:val="Heading3"/>
        <w:rPr>
          <w:lang w:val="es-ES" w:eastAsia="zh-CN"/>
        </w:rPr>
      </w:pPr>
      <w:r w:rsidRPr="00753032">
        <w:rPr>
          <w:lang w:val="es-ES" w:eastAsia="zh-CN"/>
        </w:rPr>
        <w:t>2.1.3</w:t>
      </w:r>
      <w:r w:rsidRPr="00753032">
        <w:rPr>
          <w:lang w:val="es-ES" w:eastAsia="zh-CN"/>
        </w:rPr>
        <w:tab/>
        <w:t>Datos de</w:t>
      </w:r>
      <w:r>
        <w:rPr>
          <w:lang w:val="es-ES" w:eastAsia="zh-CN"/>
        </w:rPr>
        <w:t xml:space="preserve"> las</w:t>
      </w:r>
      <w:r w:rsidRPr="00753032">
        <w:rPr>
          <w:lang w:val="es-ES" w:eastAsia="zh-CN"/>
        </w:rPr>
        <w:t xml:space="preserve"> notas de opinión del método de estímulo único </w:t>
      </w:r>
    </w:p>
    <w:p w:rsidR="00315EFA" w:rsidRPr="00753032" w:rsidRDefault="00315EFA" w:rsidP="00315EFA">
      <w:pPr>
        <w:rPr>
          <w:lang w:val="es-ES" w:eastAsia="zh-CN"/>
        </w:rPr>
      </w:pPr>
      <w:r w:rsidRPr="00753032">
        <w:rPr>
          <w:lang w:val="es-ES" w:eastAsia="zh-CN"/>
        </w:rPr>
        <w:t xml:space="preserve">La valoración de cada secuencia examinada se denomina </w:t>
      </w:r>
      <w:r>
        <w:rPr>
          <w:lang w:val="es-ES" w:eastAsia="zh-CN"/>
        </w:rPr>
        <w:t>«</w:t>
      </w:r>
      <w:r w:rsidRPr="00753032">
        <w:rPr>
          <w:i/>
          <w:iCs/>
          <w:lang w:val="es-ES" w:eastAsia="zh-CN"/>
        </w:rPr>
        <w:t>nota de opinión</w:t>
      </w:r>
      <w:r>
        <w:rPr>
          <w:lang w:val="es-ES" w:eastAsia="zh-CN"/>
        </w:rPr>
        <w:t>»</w:t>
      </w:r>
      <w:r w:rsidRPr="00753032">
        <w:rPr>
          <w:lang w:val="es-ES" w:eastAsia="zh-CN"/>
        </w:rPr>
        <w:t>. La media de dichas notas obtenidas para cada sistema investigado, se denomina nota media de opinión (MOS).</w:t>
      </w:r>
    </w:p>
    <w:p w:rsidR="00315EFA" w:rsidRPr="00753032" w:rsidRDefault="00315EFA" w:rsidP="00315EFA">
      <w:pPr>
        <w:rPr>
          <w:lang w:val="es-ES" w:eastAsia="zh-CN"/>
        </w:rPr>
      </w:pPr>
      <w:r>
        <w:rPr>
          <w:lang w:val="es-ES" w:eastAsia="zh-CN"/>
        </w:rPr>
        <w:t xml:space="preserve">En el conjunto de las secuencias utilizadas pueden incluirse </w:t>
      </w:r>
      <w:r w:rsidRPr="00753032">
        <w:rPr>
          <w:lang w:val="es-ES" w:eastAsia="zh-CN"/>
        </w:rPr>
        <w:t xml:space="preserve">secuencias de </w:t>
      </w:r>
      <w:r>
        <w:rPr>
          <w:lang w:val="es-ES" w:eastAsia="zh-CN"/>
        </w:rPr>
        <w:t>vídeo</w:t>
      </w:r>
      <w:r w:rsidRPr="00753032">
        <w:rPr>
          <w:lang w:val="es-ES" w:eastAsia="zh-CN"/>
        </w:rPr>
        <w:t xml:space="preserve">s de </w:t>
      </w:r>
      <w:r>
        <w:rPr>
          <w:lang w:val="es-ES" w:eastAsia="zh-CN"/>
        </w:rPr>
        <w:t>«</w:t>
      </w:r>
      <w:r w:rsidRPr="00753032">
        <w:rPr>
          <w:i/>
          <w:iCs/>
          <w:lang w:val="es-ES" w:eastAsia="zh-CN"/>
        </w:rPr>
        <w:t>Referencia</w:t>
      </w:r>
      <w:r>
        <w:rPr>
          <w:lang w:val="es-ES" w:eastAsia="zh-CN"/>
        </w:rPr>
        <w:t>»</w:t>
      </w:r>
      <w:r w:rsidRPr="00753032">
        <w:rPr>
          <w:lang w:val="es-ES" w:eastAsia="zh-CN"/>
        </w:rPr>
        <w:t>, que son versiones de las secuencias en prueba que no han sido objeto de ningún procesamiento (véase §</w:t>
      </w:r>
      <w:r>
        <w:rPr>
          <w:lang w:val="es-ES" w:eastAsia="zh-CN"/>
        </w:rPr>
        <w:t> </w:t>
      </w:r>
      <w:r w:rsidRPr="00753032">
        <w:rPr>
          <w:lang w:val="es-ES" w:eastAsia="zh-CN"/>
        </w:rPr>
        <w:t xml:space="preserve">8). Ello permite calcular la </w:t>
      </w:r>
      <w:r>
        <w:rPr>
          <w:lang w:val="es-ES" w:eastAsia="zh-CN"/>
        </w:rPr>
        <w:t>«</w:t>
      </w:r>
      <w:r w:rsidRPr="00753032">
        <w:rPr>
          <w:i/>
          <w:iCs/>
          <w:lang w:val="es-ES" w:eastAsia="zh-CN"/>
        </w:rPr>
        <w:t>diferencia de la nota de opinión</w:t>
      </w:r>
      <w:r>
        <w:rPr>
          <w:lang w:val="es-ES" w:eastAsia="zh-CN"/>
        </w:rPr>
        <w:t>»</w:t>
      </w:r>
      <w:r w:rsidRPr="00753032">
        <w:rPr>
          <w:lang w:val="es-ES" w:eastAsia="zh-CN"/>
        </w:rPr>
        <w:t xml:space="preserve">, que es la diferencia aritmética entre la valoración de la secuencia en </w:t>
      </w:r>
      <w:r>
        <w:rPr>
          <w:lang w:val="es-ES" w:eastAsia="zh-CN"/>
        </w:rPr>
        <w:t>«</w:t>
      </w:r>
      <w:r w:rsidRPr="00753032">
        <w:rPr>
          <w:i/>
          <w:iCs/>
          <w:lang w:val="es-ES" w:eastAsia="zh-CN"/>
        </w:rPr>
        <w:t>Prueba</w:t>
      </w:r>
      <w:r>
        <w:rPr>
          <w:lang w:val="es-ES" w:eastAsia="zh-CN"/>
        </w:rPr>
        <w:t>»</w:t>
      </w:r>
      <w:r w:rsidRPr="00753032">
        <w:rPr>
          <w:lang w:val="es-ES" w:eastAsia="zh-CN"/>
        </w:rPr>
        <w:t xml:space="preserve"> y de la versión de </w:t>
      </w:r>
      <w:r>
        <w:rPr>
          <w:lang w:val="es-ES" w:eastAsia="zh-CN"/>
        </w:rPr>
        <w:t>«</w:t>
      </w:r>
      <w:r w:rsidRPr="00753032">
        <w:rPr>
          <w:i/>
          <w:iCs/>
          <w:lang w:val="es-ES" w:eastAsia="zh-CN"/>
        </w:rPr>
        <w:t>Referencia</w:t>
      </w:r>
      <w:r>
        <w:rPr>
          <w:lang w:val="es-ES" w:eastAsia="zh-CN"/>
        </w:rPr>
        <w:t>»</w:t>
      </w:r>
      <w:r w:rsidRPr="00753032">
        <w:rPr>
          <w:lang w:val="es-ES" w:eastAsia="zh-CN"/>
        </w:rPr>
        <w:t xml:space="preserve"> de la secuencia analizada. La media de las diferencias de las notas de opinión obtenidas para cada sistema analizado se denomina diferencia de nota media de opinión (DMOS).</w:t>
      </w:r>
    </w:p>
    <w:p w:rsidR="00315EFA" w:rsidRPr="00753032" w:rsidRDefault="00315EFA" w:rsidP="00315EFA">
      <w:pPr>
        <w:pStyle w:val="FigureNo"/>
        <w:rPr>
          <w:lang w:val="es-ES"/>
        </w:rPr>
      </w:pPr>
      <w:r w:rsidRPr="00753032">
        <w:rPr>
          <w:lang w:val="es-ES"/>
        </w:rPr>
        <w:lastRenderedPageBreak/>
        <w:t>Figur</w:t>
      </w:r>
      <w:r>
        <w:rPr>
          <w:lang w:val="es-ES"/>
        </w:rPr>
        <w:t>A</w:t>
      </w:r>
      <w:r w:rsidRPr="00753032">
        <w:rPr>
          <w:lang w:val="es-ES"/>
        </w:rPr>
        <w:t xml:space="preserve"> 1</w:t>
      </w:r>
    </w:p>
    <w:p w:rsidR="00315EFA" w:rsidRDefault="00315EFA" w:rsidP="00315EFA">
      <w:pPr>
        <w:pStyle w:val="Figuretitle"/>
        <w:rPr>
          <w:lang w:val="es-ES"/>
        </w:rPr>
      </w:pPr>
      <w:r>
        <w:rPr>
          <w:lang w:val="es-ES"/>
        </w:rPr>
        <w:t xml:space="preserve">Método de estímulo único </w:t>
      </w:r>
      <w:r w:rsidRPr="00753032">
        <w:rPr>
          <w:lang w:val="es-ES"/>
        </w:rPr>
        <w:t xml:space="preserve">– </w:t>
      </w:r>
      <w:r>
        <w:rPr>
          <w:lang w:val="es-ES"/>
        </w:rPr>
        <w:t xml:space="preserve">Estructura de la prueba </w:t>
      </w:r>
    </w:p>
    <w:p w:rsidR="00315EFA" w:rsidRPr="00753032" w:rsidRDefault="00315EFA" w:rsidP="00315EFA">
      <w:pPr>
        <w:pStyle w:val="Figure"/>
        <w:rPr>
          <w:lang w:val="es-ES"/>
        </w:rPr>
      </w:pPr>
      <w:r>
        <w:rPr>
          <w:lang w:val="es-ES"/>
        </w:rPr>
        <w:object w:dxaOrig="4648" w:dyaOrig="4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3in" o:ole="">
            <v:imagedata r:id="rId14" o:title=""/>
          </v:shape>
          <o:OLEObject Type="Embed" ProgID="CorelDRAW.Graphic.14" ShapeID="_x0000_i1025" DrawAspect="Content" ObjectID="_1535896631" r:id="rId15"/>
        </w:object>
      </w:r>
    </w:p>
    <w:p w:rsidR="00315EFA" w:rsidRDefault="00315EFA" w:rsidP="00315EFA">
      <w:pPr>
        <w:pStyle w:val="Heading2"/>
        <w:rPr>
          <w:b w:val="0"/>
          <w:bCs/>
          <w:lang w:val="es-ES"/>
        </w:rPr>
      </w:pPr>
      <w:r>
        <w:rPr>
          <w:lang w:val="es-ES"/>
        </w:rPr>
        <w:t>2.2</w:t>
      </w:r>
      <w:r>
        <w:rPr>
          <w:lang w:val="es-ES"/>
        </w:rPr>
        <w:tab/>
        <w:t>Método de escala de degradación con doble estímulo (DSIS) (método de la EUR)</w:t>
      </w:r>
    </w:p>
    <w:p w:rsidR="00315EFA" w:rsidRDefault="00315EFA" w:rsidP="00315EFA">
      <w:pPr>
        <w:rPr>
          <w:lang w:val="es-ES_tradnl"/>
        </w:rPr>
      </w:pPr>
      <w:r w:rsidRPr="003A0345">
        <w:rPr>
          <w:lang w:val="es-ES_tradnl"/>
        </w:rPr>
        <w:t>El método de doble estímulo (método UER) es cíclico en la medida en que se muestra al evaluador una imagen de referencia no degradada, y después la misma imagen degradada. A continuación, se le pide que opine sobre la segunda, con la primera en mente. En sesiones, que duran hasta media hora, se muestra al evaluador una serie de imágenes o secuencias en orden aleatorio y con degradaciones aleatorias que abarcan todas las combinaciones requeridas. La imagen no degradada se incluye en las imágenes o secuencias que deben evaluarse. Al final de la serie de sesiones, se calcula la nota media para cada condición de prueba y para cada imagen de prueba.</w:t>
      </w:r>
    </w:p>
    <w:p w:rsidR="00315EFA" w:rsidRPr="003A0345" w:rsidRDefault="00315EFA" w:rsidP="00315EFA">
      <w:pPr>
        <w:rPr>
          <w:lang w:val="es-ES_tradnl"/>
        </w:rPr>
      </w:pPr>
      <w:r w:rsidRPr="003A0345">
        <w:rPr>
          <w:lang w:val="es-ES_tradnl"/>
        </w:rPr>
        <w:t>Este método utiliza la escala de degradación, cuyos resultados se suelen considerar más estables para degradaciones pequeñas que para degradaciones considerables. Si bien algunas veces se ha utilizado el método con una escala de degradaciones limitada, es más conveniente utilizarlo con una gama completa de degradaciones.</w:t>
      </w:r>
      <w:r>
        <w:rPr>
          <w:lang w:val="es-ES_tradnl"/>
        </w:rPr>
        <w:t xml:space="preserve"> </w:t>
      </w:r>
      <w:r w:rsidRPr="003A0345">
        <w:rPr>
          <w:lang w:val="es-ES_tradnl"/>
        </w:rPr>
        <w:t>La disposición general del sistema de prueba debería ser la que se indica en la Fig. 2.</w:t>
      </w:r>
    </w:p>
    <w:p w:rsidR="00315EFA" w:rsidRDefault="00315EFA" w:rsidP="00315EFA">
      <w:pPr>
        <w:pStyle w:val="Heading3"/>
        <w:rPr>
          <w:lang w:val="es-ES_tradnl"/>
        </w:rPr>
      </w:pPr>
      <w:r>
        <w:rPr>
          <w:lang w:val="es-ES_tradnl"/>
        </w:rPr>
        <w:t>2.2.1</w:t>
      </w:r>
      <w:r>
        <w:rPr>
          <w:lang w:val="es-ES_tradnl"/>
        </w:rPr>
        <w:tab/>
        <w:t>Presentación del material de prueba</w:t>
      </w:r>
    </w:p>
    <w:p w:rsidR="00315EFA" w:rsidRPr="003A0345" w:rsidRDefault="00315EFA" w:rsidP="00315EFA">
      <w:pPr>
        <w:rPr>
          <w:lang w:val="es-ES_tradnl"/>
        </w:rPr>
      </w:pPr>
      <w:r w:rsidRPr="003A0345">
        <w:rPr>
          <w:lang w:val="es-ES_tradnl"/>
        </w:rPr>
        <w:t>Una sesión de prueba consta de varias presentaciones. Hay dos variantes de la estructura de las presentaciones, la I y la II que se indican a continuación:</w:t>
      </w:r>
    </w:p>
    <w:p w:rsidR="00315EFA" w:rsidRPr="003A0345" w:rsidRDefault="00315EFA" w:rsidP="00315EFA">
      <w:pPr>
        <w:pStyle w:val="enumlev1"/>
        <w:ind w:left="1191" w:hanging="1191"/>
        <w:rPr>
          <w:lang w:val="es-ES_tradnl"/>
        </w:rPr>
      </w:pPr>
      <w:r w:rsidRPr="003A0345">
        <w:rPr>
          <w:lang w:val="es-ES_tradnl"/>
        </w:rPr>
        <w:t>Variante I:</w:t>
      </w:r>
      <w:r w:rsidRPr="003A0345">
        <w:rPr>
          <w:lang w:val="es-ES_tradnl"/>
        </w:rPr>
        <w:tab/>
        <w:t>La imagen o secuencia de referencia y la imagen o secuencia de prueba se presentan sólo una vez, como muestra la Fig. 3a).</w:t>
      </w:r>
    </w:p>
    <w:p w:rsidR="00315EFA" w:rsidRPr="003A0345" w:rsidRDefault="00315EFA" w:rsidP="00315EFA">
      <w:pPr>
        <w:pStyle w:val="enumlev1"/>
        <w:ind w:left="1191" w:hanging="1191"/>
        <w:rPr>
          <w:lang w:val="es-ES_tradnl"/>
        </w:rPr>
      </w:pPr>
      <w:r w:rsidRPr="003A0345">
        <w:rPr>
          <w:lang w:val="es-ES_tradnl"/>
        </w:rPr>
        <w:t>Variante II:</w:t>
      </w:r>
      <w:r w:rsidRPr="003A0345">
        <w:rPr>
          <w:lang w:val="es-ES_tradnl"/>
        </w:rPr>
        <w:tab/>
        <w:t>La imagen o secuencia de referencia y la imagen o secuencia de prueba se presentan dos veces, como muestra la Fig. 3b).</w:t>
      </w:r>
    </w:p>
    <w:p w:rsidR="00315EFA" w:rsidRPr="003A0345" w:rsidRDefault="00315EFA" w:rsidP="00315EFA">
      <w:pPr>
        <w:rPr>
          <w:lang w:val="es-ES_tradnl"/>
        </w:rPr>
      </w:pPr>
      <w:r w:rsidRPr="003A0345">
        <w:rPr>
          <w:lang w:val="es-ES_tradnl"/>
        </w:rPr>
        <w:t>La variante II, que tiene una mayor duración que la variante I, puede aplicarse si es necesario discriminar entre degradaciones muy pequeñas o se están sometiendo a prueba secuencias en movimiento.</w:t>
      </w:r>
    </w:p>
    <w:p w:rsidR="00315EFA" w:rsidRDefault="00315EFA" w:rsidP="00315EFA">
      <w:pPr>
        <w:pStyle w:val="FigureNo"/>
        <w:rPr>
          <w:lang w:val="es-ES_tradnl"/>
        </w:rPr>
      </w:pPr>
      <w:r>
        <w:rPr>
          <w:lang w:val="es-ES_tradnl"/>
        </w:rPr>
        <w:lastRenderedPageBreak/>
        <w:t>FIGURA 2</w:t>
      </w:r>
    </w:p>
    <w:p w:rsidR="00315EFA" w:rsidRDefault="00315EFA" w:rsidP="00315EFA">
      <w:pPr>
        <w:pStyle w:val="Figuretitle"/>
        <w:rPr>
          <w:lang w:val="es-ES_tradnl"/>
        </w:rPr>
      </w:pPr>
      <w:r>
        <w:rPr>
          <w:lang w:val="es-ES_tradnl"/>
        </w:rPr>
        <w:t>Disposición general de los sistemas de prueba para el método de DSIS</w:t>
      </w:r>
    </w:p>
    <w:p w:rsidR="00315EFA" w:rsidRPr="0071461E" w:rsidRDefault="00FC667A" w:rsidP="00315EFA">
      <w:pPr>
        <w:pStyle w:val="Figure"/>
        <w:rPr>
          <w:lang w:val="es-ES_tradnl"/>
        </w:rPr>
      </w:pPr>
      <w:r>
        <w:rPr>
          <w:lang w:val="es-ES_tradnl"/>
        </w:rPr>
        <w:object w:dxaOrig="7049" w:dyaOrig="3236">
          <v:shape id="_x0000_i1076" type="#_x0000_t75" style="width:474.1pt;height:216.7pt" o:ole="">
            <v:imagedata r:id="rId16" o:title="" cropbottom="-1248f"/>
          </v:shape>
          <o:OLEObject Type="Embed" ProgID="CorelDraw.Graphic.16" ShapeID="_x0000_i1076" DrawAspect="Content" ObjectID="_1535896632" r:id="rId17"/>
        </w:object>
      </w:r>
    </w:p>
    <w:p w:rsidR="00315EFA" w:rsidRDefault="00315EFA" w:rsidP="00315EFA">
      <w:pPr>
        <w:pStyle w:val="Heading3"/>
        <w:rPr>
          <w:lang w:val="es-ES_tradnl"/>
        </w:rPr>
      </w:pPr>
      <w:r>
        <w:rPr>
          <w:lang w:val="es-ES_tradnl"/>
        </w:rPr>
        <w:t>2.2.2</w:t>
      </w:r>
      <w:r>
        <w:rPr>
          <w:lang w:val="es-ES_tradnl"/>
        </w:rPr>
        <w:tab/>
        <w:t>Escalas de apreciación</w:t>
      </w:r>
    </w:p>
    <w:p w:rsidR="00315EFA" w:rsidRPr="003A0345" w:rsidRDefault="00315EFA" w:rsidP="00315EFA">
      <w:pPr>
        <w:rPr>
          <w:lang w:val="es-ES_tradnl"/>
        </w:rPr>
      </w:pPr>
      <w:r w:rsidRPr="003A0345">
        <w:rPr>
          <w:lang w:val="es-ES_tradnl"/>
        </w:rPr>
        <w:t>Debe utilizarse la escala de apreciación de cinco notas</w:t>
      </w:r>
      <w:r>
        <w:rPr>
          <w:lang w:val="es-ES_tradnl"/>
        </w:rPr>
        <w:t xml:space="preserve"> (véanse los Cuadros 1, 2 y 3). </w:t>
      </w:r>
      <w:r w:rsidRPr="003A0345">
        <w:rPr>
          <w:lang w:val="es-ES_tradnl"/>
        </w:rPr>
        <w:t>Los evaluadores deben utilizar un formulario que indique muy claramente la escala, y que cuente con cuadros numerados u otro medio para registrar las notas.</w:t>
      </w:r>
    </w:p>
    <w:p w:rsidR="00315EFA" w:rsidRDefault="00315EFA" w:rsidP="00315EFA">
      <w:pPr>
        <w:pStyle w:val="Heading3"/>
        <w:rPr>
          <w:lang w:val="es-ES_tradnl"/>
        </w:rPr>
      </w:pPr>
      <w:r w:rsidRPr="00362002">
        <w:rPr>
          <w:lang w:val="es-ES_tradnl"/>
        </w:rPr>
        <w:t>2.2.3</w:t>
      </w:r>
      <w:r w:rsidRPr="00362002">
        <w:rPr>
          <w:lang w:val="es-ES_tradnl"/>
        </w:rPr>
        <w:tab/>
        <w:t>Datos de nota de opinión del método DSIS</w:t>
      </w:r>
    </w:p>
    <w:p w:rsidR="00315EFA" w:rsidRPr="003A0345" w:rsidRDefault="00315EFA" w:rsidP="00315EFA">
      <w:pPr>
        <w:rPr>
          <w:lang w:val="es-ES_tradnl"/>
        </w:rPr>
      </w:pPr>
      <w:r w:rsidRPr="003A0345">
        <w:rPr>
          <w:lang w:val="es-ES_tradnl"/>
        </w:rPr>
        <w:t>El método de doble estímulo (método UER) es cíclico en la medida en que se muestra al evaluador una imagen de referencia no degradada, y después la misma imagen degradada. A continuación, se le pide que opine sobre la segunda, con la primera en mente. En sesiones, que duran hasta media hora, se muestra al evaluador una serie de imágenes o secuencias en orden aleatorio y con degradaciones aleatorias que abarcan todas las combinaciones requeridas. La imagen no degradada se incluye en las imágenes o secuencias que deben evaluarse. Al final de la serie de sesiones, se calcula la nota media para cada condición de prueba y para cada imagen de prueba.</w:t>
      </w:r>
    </w:p>
    <w:p w:rsidR="00315EFA" w:rsidRDefault="00315EFA" w:rsidP="00315EFA">
      <w:pPr>
        <w:pStyle w:val="FigureNo"/>
        <w:rPr>
          <w:lang w:val="es-ES_tradnl"/>
        </w:rPr>
      </w:pPr>
      <w:r>
        <w:rPr>
          <w:lang w:val="es-ES_tradnl"/>
        </w:rPr>
        <w:lastRenderedPageBreak/>
        <w:t>FIGURA 3</w:t>
      </w:r>
    </w:p>
    <w:p w:rsidR="00315EFA" w:rsidRDefault="00315EFA" w:rsidP="00315EFA">
      <w:pPr>
        <w:pStyle w:val="Figuretitle"/>
        <w:rPr>
          <w:lang w:val="es-ES_tradnl"/>
        </w:rPr>
      </w:pPr>
      <w:r>
        <w:rPr>
          <w:lang w:val="es-ES_tradnl"/>
        </w:rPr>
        <w:t>Estructura de presentación del material de prueba</w:t>
      </w:r>
    </w:p>
    <w:p w:rsidR="00315EFA" w:rsidRPr="0071461E" w:rsidRDefault="00E466CD" w:rsidP="00315EFA">
      <w:pPr>
        <w:pStyle w:val="Figure"/>
        <w:rPr>
          <w:lang w:val="es-ES_tradnl"/>
        </w:rPr>
      </w:pPr>
      <w:r>
        <w:rPr>
          <w:lang w:val="es-ES_tradnl"/>
        </w:rPr>
        <w:object w:dxaOrig="4591" w:dyaOrig="5250">
          <v:shape id="_x0000_i1082" type="#_x0000_t75" style="width:313.15pt;height:351.85pt" o:ole="">
            <v:imagedata r:id="rId18" o:title="" cropbottom="-773f" cropright="-859f"/>
          </v:shape>
          <o:OLEObject Type="Embed" ProgID="CorelDraw.Graphic.16" ShapeID="_x0000_i1082" DrawAspect="Content" ObjectID="_1535896633" r:id="rId19"/>
        </w:object>
      </w:r>
    </w:p>
    <w:p w:rsidR="00315EFA" w:rsidRPr="00753032" w:rsidRDefault="00315EFA" w:rsidP="00315EFA">
      <w:pPr>
        <w:pStyle w:val="Heading2"/>
        <w:rPr>
          <w:lang w:val="es-ES"/>
        </w:rPr>
      </w:pPr>
      <w:r w:rsidRPr="00753032">
        <w:rPr>
          <w:lang w:val="es-ES"/>
        </w:rPr>
        <w:t>2</w:t>
      </w:r>
      <w:r>
        <w:rPr>
          <w:lang w:val="es-ES"/>
        </w:rPr>
        <w:t>3</w:t>
      </w:r>
      <w:r w:rsidRPr="00753032">
        <w:rPr>
          <w:lang w:val="es-ES"/>
        </w:rPr>
        <w:tab/>
      </w:r>
      <w:r w:rsidRPr="00753032">
        <w:rPr>
          <w:lang w:val="es-ES" w:eastAsia="ja-JP"/>
        </w:rPr>
        <w:t xml:space="preserve">Método de escala de calidad continua de doble estímulo </w:t>
      </w:r>
      <w:r w:rsidRPr="00753032">
        <w:rPr>
          <w:lang w:val="es-ES"/>
        </w:rPr>
        <w:t>(DSCQS)</w:t>
      </w:r>
    </w:p>
    <w:p w:rsidR="00315EFA" w:rsidRDefault="00315EFA" w:rsidP="00315EFA">
      <w:pPr>
        <w:rPr>
          <w:lang w:val="es-ES"/>
        </w:rPr>
      </w:pPr>
      <w:r w:rsidRPr="00753032">
        <w:rPr>
          <w:lang w:val="es-ES"/>
        </w:rPr>
        <w:t>El procedimiento consta de una serie de pruebas de valoración que pueden dividirse, cuando sea adecuado, en varias sesiones de prueba separadas por interrupci</w:t>
      </w:r>
      <w:r>
        <w:rPr>
          <w:lang w:val="es-ES"/>
        </w:rPr>
        <w:t>ones</w:t>
      </w:r>
      <w:r w:rsidRPr="00753032">
        <w:rPr>
          <w:lang w:val="es-ES"/>
        </w:rPr>
        <w:t xml:space="preserve">. En cada prueba, se presentan dos veces dos versiones de la misma secuencia de </w:t>
      </w:r>
      <w:r>
        <w:rPr>
          <w:lang w:val="es-ES"/>
        </w:rPr>
        <w:t>vídeo</w:t>
      </w:r>
      <w:r w:rsidRPr="00753032">
        <w:rPr>
          <w:lang w:val="es-ES"/>
        </w:rPr>
        <w:t xml:space="preserve">, es decir, un total de cuatro presentaciones. La configuración generalizada del sistema de prueba es la que se representa en la Fig. </w:t>
      </w:r>
      <w:r>
        <w:rPr>
          <w:lang w:val="es-ES"/>
        </w:rPr>
        <w:t>4.</w:t>
      </w:r>
    </w:p>
    <w:p w:rsidR="00315EFA" w:rsidRPr="00753032" w:rsidRDefault="00315EFA" w:rsidP="00315EFA">
      <w:pPr>
        <w:pStyle w:val="Heading3"/>
        <w:rPr>
          <w:lang w:val="es-ES" w:eastAsia="ja-JP"/>
        </w:rPr>
      </w:pPr>
      <w:r w:rsidRPr="00753032">
        <w:rPr>
          <w:lang w:val="es-ES"/>
        </w:rPr>
        <w:t>2.</w:t>
      </w:r>
      <w:r>
        <w:rPr>
          <w:lang w:val="es-ES"/>
        </w:rPr>
        <w:t>3</w:t>
      </w:r>
      <w:r w:rsidRPr="00753032">
        <w:rPr>
          <w:lang w:val="es-ES"/>
        </w:rPr>
        <w:t>.1</w:t>
      </w:r>
      <w:r w:rsidRPr="00753032">
        <w:rPr>
          <w:lang w:val="es-ES"/>
        </w:rPr>
        <w:tab/>
      </w:r>
      <w:r w:rsidRPr="00753032">
        <w:rPr>
          <w:lang w:val="es-ES" w:eastAsia="ja-JP"/>
        </w:rPr>
        <w:t xml:space="preserve">Presentación del material de prueba </w:t>
      </w:r>
    </w:p>
    <w:p w:rsidR="00315EFA" w:rsidRPr="00753032" w:rsidRDefault="00315EFA" w:rsidP="00315EFA">
      <w:pPr>
        <w:rPr>
          <w:lang w:val="es-ES"/>
        </w:rPr>
      </w:pPr>
      <w:r w:rsidRPr="00753032">
        <w:rPr>
          <w:lang w:val="es-ES"/>
        </w:rPr>
        <w:t>Una sesión de prueba consta de un cierto número de presentaciones. En el caso de la variante I, en cada presentación el evaluador puede pasar de la señal</w:t>
      </w:r>
      <w:r>
        <w:rPr>
          <w:lang w:val="es-ES"/>
        </w:rPr>
        <w:t> </w:t>
      </w:r>
      <w:r w:rsidRPr="00753032">
        <w:rPr>
          <w:lang w:val="es-ES"/>
        </w:rPr>
        <w:t xml:space="preserve">A </w:t>
      </w:r>
      <w:proofErr w:type="spellStart"/>
      <w:r w:rsidRPr="00753032">
        <w:rPr>
          <w:lang w:val="es-ES"/>
        </w:rPr>
        <w:t>a</w:t>
      </w:r>
      <w:proofErr w:type="spellEnd"/>
      <w:r w:rsidRPr="00753032">
        <w:rPr>
          <w:lang w:val="es-ES"/>
        </w:rPr>
        <w:t xml:space="preserve"> la B y viceversa hasta que haya cuantificado mentalmente la calidad asociada a cada señal. El observador puede </w:t>
      </w:r>
      <w:r>
        <w:rPr>
          <w:lang w:val="es-ES"/>
        </w:rPr>
        <w:t xml:space="preserve">repetir esa maniobra </w:t>
      </w:r>
      <w:r w:rsidRPr="00753032">
        <w:rPr>
          <w:lang w:val="es-ES"/>
        </w:rPr>
        <w:t>típicamente dos o tres veces durante periodos de hasta 10</w:t>
      </w:r>
      <w:r>
        <w:rPr>
          <w:lang w:val="es-ES"/>
        </w:rPr>
        <w:t> </w:t>
      </w:r>
      <w:r w:rsidRPr="00753032">
        <w:rPr>
          <w:lang w:val="es-ES"/>
        </w:rPr>
        <w:t xml:space="preserve">s. En la variante II, </w:t>
      </w:r>
      <w:r>
        <w:rPr>
          <w:lang w:val="es-ES"/>
        </w:rPr>
        <w:t>en la que</w:t>
      </w:r>
      <w:r w:rsidRPr="00753032">
        <w:rPr>
          <w:lang w:val="es-ES"/>
        </w:rPr>
        <w:t xml:space="preserve"> </w:t>
      </w:r>
      <w:r>
        <w:rPr>
          <w:lang w:val="es-ES"/>
        </w:rPr>
        <w:t xml:space="preserve">se </w:t>
      </w:r>
      <w:r w:rsidRPr="00753032">
        <w:rPr>
          <w:lang w:val="es-ES"/>
        </w:rPr>
        <w:t>utiliza simultáneamente un conjunto de observadores, la pareja de señales se visualizan durante periodos de tiempo iguales una o más veces antes de registrar resultados</w:t>
      </w:r>
      <w:r>
        <w:rPr>
          <w:lang w:val="es-ES"/>
        </w:rPr>
        <w:t xml:space="preserve">, de forma </w:t>
      </w:r>
      <w:r w:rsidRPr="00753032">
        <w:rPr>
          <w:lang w:val="es-ES"/>
        </w:rPr>
        <w:t xml:space="preserve">que los evaluadores cuantifiquen las calidades de las mismas; entonces se muestran de nuevo las dos imágenes una o más veces al tiempo que los observadores registran sus apreciaciones. El número de repeticiones depende de la duración de las secuencias de prueba. En el caso de imágenes fijas, puede ser adecuado repetir cinco veces una secuencia </w:t>
      </w:r>
      <w:r>
        <w:rPr>
          <w:lang w:val="es-ES"/>
        </w:rPr>
        <w:t>durante</w:t>
      </w:r>
      <w:r w:rsidRPr="00753032">
        <w:rPr>
          <w:lang w:val="es-ES"/>
        </w:rPr>
        <w:t xml:space="preserve"> 3-4</w:t>
      </w:r>
      <w:r>
        <w:rPr>
          <w:lang w:val="es-ES"/>
        </w:rPr>
        <w:t> </w:t>
      </w:r>
      <w:r w:rsidRPr="00753032">
        <w:rPr>
          <w:lang w:val="es-ES"/>
        </w:rPr>
        <w:t>s, realizándose la votación en las dos últimas repeticiones. En el caso de imágenes en movimiento con señales molestas que varían con el tiempo, puede ser adecuado repetir dos veces una secuencia de 10</w:t>
      </w:r>
      <w:r>
        <w:rPr>
          <w:lang w:val="es-ES"/>
        </w:rPr>
        <w:t> </w:t>
      </w:r>
      <w:r w:rsidRPr="00753032">
        <w:rPr>
          <w:lang w:val="es-ES"/>
        </w:rPr>
        <w:t>s, realizándose la votación en la segunda. En la Fig.</w:t>
      </w:r>
      <w:r>
        <w:rPr>
          <w:lang w:val="es-ES"/>
        </w:rPr>
        <w:t> 5</w:t>
      </w:r>
      <w:r w:rsidRPr="00753032">
        <w:rPr>
          <w:lang w:val="es-ES"/>
        </w:rPr>
        <w:t xml:space="preserve"> se muestra la estructura de las presentaciones.</w:t>
      </w:r>
    </w:p>
    <w:p w:rsidR="00315EFA" w:rsidRPr="00753032" w:rsidRDefault="00315EFA" w:rsidP="00315EFA">
      <w:pPr>
        <w:pStyle w:val="Heading3"/>
        <w:rPr>
          <w:lang w:val="es-ES"/>
        </w:rPr>
      </w:pPr>
      <w:r w:rsidRPr="00753032">
        <w:rPr>
          <w:lang w:val="es-ES"/>
        </w:rPr>
        <w:lastRenderedPageBreak/>
        <w:t>2.</w:t>
      </w:r>
      <w:r>
        <w:rPr>
          <w:lang w:val="es-ES"/>
        </w:rPr>
        <w:t>3</w:t>
      </w:r>
      <w:r w:rsidRPr="00753032">
        <w:rPr>
          <w:lang w:val="es-ES"/>
        </w:rPr>
        <w:t>.2</w:t>
      </w:r>
      <w:r w:rsidRPr="00753032">
        <w:rPr>
          <w:lang w:val="es-ES"/>
        </w:rPr>
        <w:tab/>
        <w:t>Escalas de apreciación del método DSCQS</w:t>
      </w:r>
    </w:p>
    <w:p w:rsidR="00315EFA" w:rsidRPr="00753032" w:rsidRDefault="00315EFA" w:rsidP="00315EFA">
      <w:pPr>
        <w:rPr>
          <w:lang w:val="es-ES"/>
        </w:rPr>
      </w:pPr>
      <w:r w:rsidRPr="00753032">
        <w:rPr>
          <w:lang w:val="es-ES"/>
        </w:rPr>
        <w:t xml:space="preserve">En el método DSCQS, se pide a los observadores que valoren las secuencias de </w:t>
      </w:r>
      <w:r>
        <w:rPr>
          <w:lang w:val="es-ES"/>
        </w:rPr>
        <w:t>vídeo</w:t>
      </w:r>
      <w:r w:rsidRPr="00753032">
        <w:rPr>
          <w:lang w:val="es-ES"/>
        </w:rPr>
        <w:t xml:space="preserve"> A y B. Para la evaluación de la calidad de la imagen y la calidad de la profundidad puede utilizarse escala de calidad continua estándar de la UIT (véanse los Cuadros</w:t>
      </w:r>
      <w:r>
        <w:rPr>
          <w:lang w:val="es-ES"/>
        </w:rPr>
        <w:t> </w:t>
      </w:r>
      <w:r w:rsidRPr="00753032">
        <w:rPr>
          <w:lang w:val="es-ES"/>
        </w:rPr>
        <w:t xml:space="preserve">1 y 2). Para la evaluación del confort visual, debe utilizarse la escala continua de confort con las etiquetas </w:t>
      </w:r>
      <w:r>
        <w:rPr>
          <w:lang w:val="es-ES"/>
        </w:rPr>
        <w:t>««</w:t>
      </w:r>
      <w:r w:rsidRPr="00753032">
        <w:rPr>
          <w:lang w:val="es-ES"/>
        </w:rPr>
        <w:t>Muy cómodo</w:t>
      </w:r>
      <w:r>
        <w:rPr>
          <w:lang w:val="es-ES"/>
        </w:rPr>
        <w:t xml:space="preserve"> (</w:t>
      </w:r>
      <w:proofErr w:type="spellStart"/>
      <w:r w:rsidRPr="008A69BD">
        <w:rPr>
          <w:i/>
          <w:iCs/>
          <w:lang w:val="es-ES"/>
        </w:rPr>
        <w:t>Very</w:t>
      </w:r>
      <w:proofErr w:type="spellEnd"/>
      <w:r w:rsidRPr="008A69BD">
        <w:rPr>
          <w:i/>
          <w:iCs/>
          <w:lang w:val="es-ES"/>
        </w:rPr>
        <w:t xml:space="preserve"> Confortable</w:t>
      </w:r>
      <w:r>
        <w:rPr>
          <w:lang w:val="es-ES"/>
        </w:rPr>
        <w:t>)»</w:t>
      </w:r>
      <w:r w:rsidRPr="00753032">
        <w:rPr>
          <w:lang w:val="es-ES"/>
        </w:rPr>
        <w:t xml:space="preserve">, </w:t>
      </w:r>
      <w:r>
        <w:rPr>
          <w:lang w:val="es-ES"/>
        </w:rPr>
        <w:t>«</w:t>
      </w:r>
      <w:r w:rsidRPr="00753032">
        <w:rPr>
          <w:lang w:val="es-ES"/>
        </w:rPr>
        <w:t>Cómodo</w:t>
      </w:r>
      <w:r>
        <w:rPr>
          <w:lang w:val="es-ES"/>
        </w:rPr>
        <w:t xml:space="preserve"> (</w:t>
      </w:r>
      <w:r w:rsidRPr="008A69BD">
        <w:rPr>
          <w:i/>
          <w:iCs/>
          <w:lang w:val="es-ES"/>
        </w:rPr>
        <w:t>Confortable</w:t>
      </w:r>
      <w:r>
        <w:rPr>
          <w:lang w:val="es-ES"/>
        </w:rPr>
        <w:t>)»</w:t>
      </w:r>
      <w:r w:rsidRPr="00753032">
        <w:rPr>
          <w:lang w:val="es-ES"/>
        </w:rPr>
        <w:t xml:space="preserve">, </w:t>
      </w:r>
      <w:r>
        <w:rPr>
          <w:lang w:val="es-ES"/>
        </w:rPr>
        <w:t>«</w:t>
      </w:r>
      <w:r w:rsidRPr="00753032">
        <w:rPr>
          <w:lang w:val="es-ES"/>
        </w:rPr>
        <w:t>Ligeramente incómodo</w:t>
      </w:r>
      <w:r>
        <w:rPr>
          <w:lang w:val="es-ES"/>
        </w:rPr>
        <w:t xml:space="preserve"> (</w:t>
      </w:r>
      <w:proofErr w:type="spellStart"/>
      <w:r w:rsidRPr="00DC69D7">
        <w:rPr>
          <w:i/>
          <w:iCs/>
          <w:lang w:val="es-ES_tradnl" w:eastAsia="ja-JP"/>
        </w:rPr>
        <w:t>Mildly</w:t>
      </w:r>
      <w:proofErr w:type="spellEnd"/>
      <w:r w:rsidRPr="00DC69D7">
        <w:rPr>
          <w:i/>
          <w:iCs/>
          <w:lang w:val="es-ES_tradnl" w:eastAsia="ja-JP"/>
        </w:rPr>
        <w:t xml:space="preserve"> </w:t>
      </w:r>
      <w:proofErr w:type="spellStart"/>
      <w:r w:rsidRPr="00DC69D7">
        <w:rPr>
          <w:i/>
          <w:iCs/>
          <w:lang w:val="es-ES_tradnl" w:eastAsia="ja-JP"/>
        </w:rPr>
        <w:t>Uncomfortable</w:t>
      </w:r>
      <w:proofErr w:type="spellEnd"/>
      <w:r>
        <w:rPr>
          <w:lang w:val="es-ES"/>
        </w:rPr>
        <w:t>)»</w:t>
      </w:r>
      <w:r w:rsidRPr="00753032">
        <w:rPr>
          <w:lang w:val="es-ES"/>
        </w:rPr>
        <w:t xml:space="preserve">, </w:t>
      </w:r>
      <w:r>
        <w:rPr>
          <w:lang w:val="es-ES"/>
        </w:rPr>
        <w:t>«</w:t>
      </w:r>
      <w:r w:rsidRPr="00753032">
        <w:rPr>
          <w:lang w:val="es-ES"/>
        </w:rPr>
        <w:t>Incómodo</w:t>
      </w:r>
      <w:r>
        <w:rPr>
          <w:lang w:val="es-ES"/>
        </w:rPr>
        <w:t xml:space="preserve"> (</w:t>
      </w:r>
      <w:proofErr w:type="spellStart"/>
      <w:r w:rsidRPr="00DC69D7">
        <w:rPr>
          <w:i/>
          <w:iCs/>
          <w:lang w:val="es-ES_tradnl" w:eastAsia="ja-JP"/>
        </w:rPr>
        <w:t>Uncomfortable</w:t>
      </w:r>
      <w:proofErr w:type="spellEnd"/>
      <w:r>
        <w:rPr>
          <w:lang w:val="es-ES"/>
        </w:rPr>
        <w:t>)»</w:t>
      </w:r>
      <w:r w:rsidRPr="00753032">
        <w:rPr>
          <w:lang w:val="es-ES"/>
        </w:rPr>
        <w:t xml:space="preserve"> y </w:t>
      </w:r>
      <w:r>
        <w:rPr>
          <w:lang w:val="es-ES"/>
        </w:rPr>
        <w:t>«</w:t>
      </w:r>
      <w:r w:rsidRPr="00753032">
        <w:rPr>
          <w:lang w:val="es-ES"/>
        </w:rPr>
        <w:t>Muy incómodo</w:t>
      </w:r>
      <w:r>
        <w:rPr>
          <w:lang w:val="es-ES"/>
        </w:rPr>
        <w:t xml:space="preserve"> (</w:t>
      </w:r>
      <w:proofErr w:type="spellStart"/>
      <w:r w:rsidRPr="00DC69D7">
        <w:rPr>
          <w:i/>
          <w:iCs/>
          <w:lang w:val="es-ES_tradnl" w:eastAsia="ja-JP"/>
        </w:rPr>
        <w:t>Extremely</w:t>
      </w:r>
      <w:proofErr w:type="spellEnd"/>
      <w:r w:rsidRPr="00DC69D7">
        <w:rPr>
          <w:i/>
          <w:iCs/>
          <w:lang w:val="es-ES_tradnl" w:eastAsia="ja-JP"/>
        </w:rPr>
        <w:t xml:space="preserve"> </w:t>
      </w:r>
      <w:proofErr w:type="spellStart"/>
      <w:r w:rsidRPr="00DC69D7">
        <w:rPr>
          <w:i/>
          <w:iCs/>
          <w:lang w:val="es-ES_tradnl" w:eastAsia="ja-JP"/>
        </w:rPr>
        <w:t>Uncomfortable</w:t>
      </w:r>
      <w:proofErr w:type="spellEnd"/>
      <w:r>
        <w:rPr>
          <w:lang w:val="es-ES"/>
        </w:rPr>
        <w:t>)» como se muestra en el Cuadro 3</w:t>
      </w:r>
      <w:r w:rsidRPr="00753032">
        <w:rPr>
          <w:lang w:val="es-ES"/>
        </w:rPr>
        <w:t>.</w:t>
      </w:r>
    </w:p>
    <w:p w:rsidR="00315EFA" w:rsidRPr="00753032" w:rsidRDefault="00315EFA" w:rsidP="00315EFA">
      <w:pPr>
        <w:pStyle w:val="Heading3"/>
        <w:rPr>
          <w:lang w:val="es-ES"/>
        </w:rPr>
      </w:pPr>
      <w:r w:rsidRPr="00753032">
        <w:rPr>
          <w:lang w:val="es-ES" w:eastAsia="zh-CN"/>
        </w:rPr>
        <w:t>2.</w:t>
      </w:r>
      <w:r>
        <w:rPr>
          <w:lang w:val="es-ES" w:eastAsia="zh-CN"/>
        </w:rPr>
        <w:t>3</w:t>
      </w:r>
      <w:r w:rsidRPr="00753032">
        <w:rPr>
          <w:lang w:val="es-ES" w:eastAsia="zh-CN"/>
        </w:rPr>
        <w:t>.3</w:t>
      </w:r>
      <w:r w:rsidRPr="00753032">
        <w:rPr>
          <w:lang w:val="es-ES" w:eastAsia="zh-CN"/>
        </w:rPr>
        <w:tab/>
        <w:t xml:space="preserve">Datos de nota de opinión del método </w:t>
      </w:r>
      <w:r w:rsidRPr="00753032">
        <w:rPr>
          <w:lang w:val="es-ES"/>
        </w:rPr>
        <w:t xml:space="preserve">DSCQS </w:t>
      </w:r>
    </w:p>
    <w:p w:rsidR="00315EFA" w:rsidRPr="00753032" w:rsidRDefault="00315EFA" w:rsidP="00315EFA">
      <w:pPr>
        <w:rPr>
          <w:lang w:val="es-ES"/>
        </w:rPr>
      </w:pPr>
      <w:r w:rsidRPr="00753032">
        <w:rPr>
          <w:lang w:val="es-ES"/>
        </w:rPr>
        <w:t xml:space="preserve">Las valoraciones de las versiones de </w:t>
      </w:r>
      <w:r>
        <w:rPr>
          <w:lang w:val="es-ES"/>
        </w:rPr>
        <w:t>«</w:t>
      </w:r>
      <w:r w:rsidRPr="00753032">
        <w:rPr>
          <w:i/>
          <w:iCs/>
          <w:lang w:val="es-ES"/>
        </w:rPr>
        <w:t>Prueba</w:t>
      </w:r>
      <w:r>
        <w:rPr>
          <w:lang w:val="es-ES"/>
        </w:rPr>
        <w:t>»</w:t>
      </w:r>
      <w:r w:rsidRPr="00753032">
        <w:rPr>
          <w:lang w:val="es-ES"/>
        </w:rPr>
        <w:t xml:space="preserve"> y de </w:t>
      </w:r>
      <w:r>
        <w:rPr>
          <w:lang w:val="es-ES"/>
        </w:rPr>
        <w:t>«</w:t>
      </w:r>
      <w:r w:rsidRPr="00753032">
        <w:rPr>
          <w:i/>
          <w:iCs/>
          <w:lang w:val="es-ES"/>
        </w:rPr>
        <w:t>Referencia</w:t>
      </w:r>
      <w:r>
        <w:rPr>
          <w:lang w:val="es-ES"/>
        </w:rPr>
        <w:t>»</w:t>
      </w:r>
      <w:r w:rsidRPr="00753032">
        <w:rPr>
          <w:lang w:val="es-ES"/>
        </w:rPr>
        <w:t xml:space="preserve"> de cada secuencia obtenidas en cada prueba se utilizan para calcular la diferencia de las notas de opinión. Estas últimas </w:t>
      </w:r>
      <w:r>
        <w:rPr>
          <w:lang w:val="es-ES"/>
        </w:rPr>
        <w:t xml:space="preserve">permiten </w:t>
      </w:r>
      <w:r w:rsidRPr="00753032">
        <w:rPr>
          <w:lang w:val="es-ES"/>
        </w:rPr>
        <w:t>calcular la el parámetro DMOS de cada sistema investigado.</w:t>
      </w:r>
    </w:p>
    <w:p w:rsidR="00315EFA" w:rsidRPr="00753032" w:rsidRDefault="00315EFA" w:rsidP="00315EFA">
      <w:pPr>
        <w:pStyle w:val="FigureNo"/>
        <w:rPr>
          <w:lang w:val="es-ES" w:eastAsia="ja-JP"/>
        </w:rPr>
      </w:pPr>
      <w:r w:rsidRPr="00753032">
        <w:rPr>
          <w:lang w:val="es-ES"/>
        </w:rPr>
        <w:t xml:space="preserve">FigurA </w:t>
      </w:r>
      <w:r>
        <w:rPr>
          <w:lang w:val="es-ES"/>
        </w:rPr>
        <w:t>4</w:t>
      </w:r>
    </w:p>
    <w:p w:rsidR="00315EFA" w:rsidRPr="00753032" w:rsidRDefault="00315EFA" w:rsidP="00315EFA">
      <w:pPr>
        <w:pStyle w:val="Figuretitle"/>
        <w:rPr>
          <w:lang w:val="es-ES" w:eastAsia="ja-JP"/>
        </w:rPr>
      </w:pPr>
      <w:r w:rsidRPr="00753032">
        <w:rPr>
          <w:lang w:val="es-ES"/>
        </w:rPr>
        <w:t xml:space="preserve">Configuración general del sistema de prueba para el método DSCQS </w:t>
      </w:r>
    </w:p>
    <w:p w:rsidR="00315EFA" w:rsidRDefault="00D7069F" w:rsidP="00315EFA">
      <w:pPr>
        <w:pStyle w:val="Figure"/>
        <w:rPr>
          <w:lang w:val="es-ES"/>
        </w:rPr>
      </w:pPr>
      <w:r>
        <w:rPr>
          <w:lang w:val="es-ES"/>
        </w:rPr>
        <w:object w:dxaOrig="6975" w:dyaOrig="3715">
          <v:shape id="_x0000_i1084" type="#_x0000_t75" style="width:465.3pt;height:249.3pt" o:ole="">
            <v:imagedata r:id="rId20" o:title="" cropbottom="-906f" cropright="-676f"/>
          </v:shape>
          <o:OLEObject Type="Embed" ProgID="CorelDraw.Graphic.16" ShapeID="_x0000_i1084" DrawAspect="Content" ObjectID="_1535896634" r:id="rId21"/>
        </w:object>
      </w:r>
    </w:p>
    <w:p w:rsidR="00315EFA" w:rsidRPr="00753032" w:rsidRDefault="00315EFA" w:rsidP="00315EFA">
      <w:pPr>
        <w:rPr>
          <w:lang w:val="es-ES"/>
        </w:rPr>
      </w:pPr>
      <w:r w:rsidRPr="00753032">
        <w:rPr>
          <w:lang w:val="es-ES"/>
        </w:rPr>
        <w:t>Existen dos variantes de este método, denominadas I y II, que se describen a continuación</w:t>
      </w:r>
      <w:r>
        <w:rPr>
          <w:lang w:val="es-ES"/>
        </w:rPr>
        <w:t>.</w:t>
      </w:r>
    </w:p>
    <w:p w:rsidR="00315EFA" w:rsidRPr="00753032" w:rsidRDefault="00315EFA" w:rsidP="00315EFA">
      <w:pPr>
        <w:pStyle w:val="enumlev1"/>
        <w:ind w:left="1191" w:hanging="1191"/>
        <w:rPr>
          <w:lang w:val="es-ES"/>
        </w:rPr>
      </w:pPr>
      <w:r w:rsidRPr="00753032">
        <w:rPr>
          <w:lang w:val="es-ES"/>
        </w:rPr>
        <w:t>Variante</w:t>
      </w:r>
      <w:r>
        <w:rPr>
          <w:lang w:val="es-ES"/>
        </w:rPr>
        <w:t> </w:t>
      </w:r>
      <w:r w:rsidRPr="00753032">
        <w:rPr>
          <w:lang w:val="es-ES"/>
        </w:rPr>
        <w:t>I:</w:t>
      </w:r>
      <w:r>
        <w:rPr>
          <w:lang w:val="es-ES"/>
        </w:rPr>
        <w:tab/>
        <w:t>E</w:t>
      </w:r>
      <w:r w:rsidRPr="00753032">
        <w:rPr>
          <w:lang w:val="es-ES"/>
        </w:rPr>
        <w:t xml:space="preserve">l evaluador, que normalmente está solo, puede conmutar entre dos líneas, A y B, hasta que considere que tiene una opinión definitiva para cada una de ellas. Las líneas A y B se alimentan con la imagen de referencia o con la imagen que </w:t>
      </w:r>
      <w:r>
        <w:rPr>
          <w:lang w:val="es-ES"/>
        </w:rPr>
        <w:t>se transmite</w:t>
      </w:r>
      <w:r w:rsidRPr="00753032">
        <w:rPr>
          <w:lang w:val="es-ES"/>
        </w:rPr>
        <w:t xml:space="preserve"> a través del sistema en prueba, aunque la señal que se inserta en una u otra línea varía aleatoriamente de una prueba a otra, de forma que el observador aprecia la diferencia pero no recibe </w:t>
      </w:r>
      <w:r>
        <w:rPr>
          <w:lang w:val="es-ES"/>
        </w:rPr>
        <w:t xml:space="preserve">al respecto </w:t>
      </w:r>
      <w:r w:rsidRPr="00753032">
        <w:rPr>
          <w:lang w:val="es-ES"/>
        </w:rPr>
        <w:t>ninguna información.</w:t>
      </w:r>
    </w:p>
    <w:p w:rsidR="00315EFA" w:rsidRPr="00753032" w:rsidRDefault="00315EFA" w:rsidP="00315EFA">
      <w:pPr>
        <w:pStyle w:val="enumlev1"/>
        <w:ind w:left="1191" w:hanging="1191"/>
        <w:rPr>
          <w:lang w:val="es-ES"/>
        </w:rPr>
      </w:pPr>
      <w:r w:rsidRPr="00753032">
        <w:rPr>
          <w:lang w:val="es-ES"/>
        </w:rPr>
        <w:t>Variante</w:t>
      </w:r>
      <w:r>
        <w:rPr>
          <w:lang w:val="es-ES"/>
        </w:rPr>
        <w:t> </w:t>
      </w:r>
      <w:r w:rsidRPr="00753032">
        <w:rPr>
          <w:lang w:val="es-ES"/>
        </w:rPr>
        <w:t>II:</w:t>
      </w:r>
      <w:r>
        <w:rPr>
          <w:lang w:val="es-ES"/>
        </w:rPr>
        <w:tab/>
        <w:t>L</w:t>
      </w:r>
      <w:r w:rsidRPr="00753032">
        <w:rPr>
          <w:lang w:val="es-ES"/>
        </w:rPr>
        <w:t>as imágenes de las líneas</w:t>
      </w:r>
      <w:r>
        <w:rPr>
          <w:lang w:val="es-ES"/>
        </w:rPr>
        <w:t> </w:t>
      </w:r>
      <w:r w:rsidRPr="00753032">
        <w:rPr>
          <w:lang w:val="es-ES"/>
        </w:rPr>
        <w:t>A y B se muestran sucesivamente y varias veces a un conjunto de evaluadores a fin de que cuantifiquen su opinión de cada una. En cada presentación, las líneas A y B se alimentan tal como en la variante I. La estabilidad de los resultados de esta variante con una gama limitada de valores de calidad se considera aún sujeta a estudio.</w:t>
      </w:r>
    </w:p>
    <w:p w:rsidR="00315EFA" w:rsidRPr="00753032" w:rsidRDefault="00315EFA" w:rsidP="00315EFA">
      <w:pPr>
        <w:pStyle w:val="FigureNo"/>
        <w:rPr>
          <w:lang w:val="es-ES" w:eastAsia="ja-JP"/>
        </w:rPr>
      </w:pPr>
      <w:r w:rsidRPr="00753032">
        <w:rPr>
          <w:lang w:val="es-ES"/>
        </w:rPr>
        <w:lastRenderedPageBreak/>
        <w:t xml:space="preserve">FigurA </w:t>
      </w:r>
      <w:r>
        <w:rPr>
          <w:lang w:val="es-ES"/>
        </w:rPr>
        <w:t>5</w:t>
      </w:r>
    </w:p>
    <w:p w:rsidR="00315EFA" w:rsidRDefault="00315EFA" w:rsidP="00315EFA">
      <w:pPr>
        <w:pStyle w:val="Figuretitle"/>
        <w:rPr>
          <w:lang w:val="es-ES"/>
        </w:rPr>
      </w:pPr>
      <w:r w:rsidRPr="00753032">
        <w:rPr>
          <w:lang w:val="es-ES"/>
        </w:rPr>
        <w:t>Método de escala de calidad continua de doble estímulo</w:t>
      </w:r>
      <w:r>
        <w:rPr>
          <w:lang w:val="es-ES"/>
        </w:rPr>
        <w:t xml:space="preserve"> – Estructura de la prueba</w:t>
      </w:r>
    </w:p>
    <w:p w:rsidR="00315EFA" w:rsidRPr="00F02300" w:rsidRDefault="00D7069F" w:rsidP="00315EFA">
      <w:pPr>
        <w:pStyle w:val="Figure"/>
        <w:rPr>
          <w:lang w:val="es-ES" w:eastAsia="zh-CN"/>
        </w:rPr>
      </w:pPr>
      <w:r>
        <w:rPr>
          <w:lang w:val="es-ES" w:eastAsia="zh-CN"/>
        </w:rPr>
        <w:object w:dxaOrig="2806" w:dyaOrig="2623">
          <v:shape id="_x0000_i1106" type="#_x0000_t75" style="width:192.9pt;height:184.1pt" o:ole="">
            <v:imagedata r:id="rId22" o:title="" croptop="-2070f" cropbottom="-2317f" cropleft="-1206f" cropright="-1685f"/>
          </v:shape>
          <o:OLEObject Type="Embed" ProgID="CorelDraw.Graphic.16" ShapeID="_x0000_i1106" DrawAspect="Content" ObjectID="_1535896635" r:id="rId23"/>
        </w:object>
      </w:r>
    </w:p>
    <w:p w:rsidR="00315EFA" w:rsidRPr="00753032" w:rsidRDefault="00315EFA" w:rsidP="00315EFA">
      <w:pPr>
        <w:pStyle w:val="Heading2"/>
        <w:rPr>
          <w:lang w:val="es-ES"/>
        </w:rPr>
      </w:pPr>
      <w:r w:rsidRPr="00753032">
        <w:rPr>
          <w:lang w:val="es-ES"/>
        </w:rPr>
        <w:t>2.</w:t>
      </w:r>
      <w:r>
        <w:rPr>
          <w:lang w:val="es-ES"/>
        </w:rPr>
        <w:t>4</w:t>
      </w:r>
      <w:r w:rsidRPr="00753032">
        <w:rPr>
          <w:lang w:val="es-ES"/>
        </w:rPr>
        <w:tab/>
        <w:t>Método</w:t>
      </w:r>
      <w:r>
        <w:rPr>
          <w:lang w:val="es-ES"/>
        </w:rPr>
        <w:t xml:space="preserve"> de comparación de parejas (PC)</w:t>
      </w:r>
    </w:p>
    <w:p w:rsidR="00315EFA" w:rsidRPr="00753032" w:rsidRDefault="00315EFA" w:rsidP="00315EFA">
      <w:pPr>
        <w:rPr>
          <w:lang w:val="es-ES"/>
        </w:rPr>
      </w:pPr>
      <w:r w:rsidRPr="00753032">
        <w:rPr>
          <w:lang w:val="es-ES"/>
        </w:rPr>
        <w:t xml:space="preserve">En el método de comparación de parejas (PC, </w:t>
      </w:r>
      <w:proofErr w:type="spellStart"/>
      <w:r w:rsidRPr="00753032">
        <w:rPr>
          <w:i/>
          <w:iCs/>
          <w:lang w:val="es-ES"/>
        </w:rPr>
        <w:t>pair</w:t>
      </w:r>
      <w:proofErr w:type="spellEnd"/>
      <w:r w:rsidRPr="00753032">
        <w:rPr>
          <w:i/>
          <w:iCs/>
          <w:lang w:val="es-ES"/>
        </w:rPr>
        <w:t xml:space="preserve"> </w:t>
      </w:r>
      <w:proofErr w:type="spellStart"/>
      <w:r w:rsidRPr="00753032">
        <w:rPr>
          <w:i/>
          <w:iCs/>
          <w:lang w:val="es-ES"/>
        </w:rPr>
        <w:t>comparison</w:t>
      </w:r>
      <w:proofErr w:type="spellEnd"/>
      <w:r w:rsidRPr="00753032">
        <w:rPr>
          <w:lang w:val="es-ES"/>
        </w:rPr>
        <w:t xml:space="preserve">), un conjunto de secuencias de </w:t>
      </w:r>
      <w:r>
        <w:rPr>
          <w:lang w:val="es-ES"/>
        </w:rPr>
        <w:t>«</w:t>
      </w:r>
      <w:r w:rsidRPr="00753032">
        <w:rPr>
          <w:lang w:val="es-ES"/>
        </w:rPr>
        <w:t>Prueba</w:t>
      </w:r>
      <w:r>
        <w:rPr>
          <w:lang w:val="es-ES"/>
        </w:rPr>
        <w:t>»</w:t>
      </w:r>
      <w:r w:rsidRPr="00753032">
        <w:rPr>
          <w:lang w:val="es-ES"/>
        </w:rPr>
        <w:t xml:space="preserve">, es decir, secuencias procesadas por diferentes sistemas (por ejemplo, diferentes velocidades binarias, diferentes algoritmos, etc.), se comparan por parejas (es decir, se muestran de dos en dos). Los observadores deben valorar qué elemento de la pareja prefieren en el contexto de la prueba. El número de valoraciones necesarias es función del número de sistemas analizados. Los sistemas en prueba (X, Y, Z, etc.) se combinan formando todas las parejas posibles, </w:t>
      </w:r>
      <w:r>
        <w:rPr>
          <w:lang w:val="es-ES"/>
        </w:rPr>
        <w:t>n</w:t>
      </w:r>
      <w:r w:rsidRPr="00753032">
        <w:rPr>
          <w:lang w:val="es-ES"/>
        </w:rPr>
        <w:t>(n-1), XY, ZY, YZ, etc. Además, las parejas deben visualizarse en los dos órdenes posibles (por ejemplo, XY, YX).</w:t>
      </w:r>
    </w:p>
    <w:p w:rsidR="00315EFA" w:rsidRPr="00753032" w:rsidRDefault="00315EFA" w:rsidP="00315EFA">
      <w:pPr>
        <w:pStyle w:val="Heading3"/>
        <w:rPr>
          <w:lang w:val="es-ES"/>
        </w:rPr>
      </w:pPr>
      <w:r w:rsidRPr="00753032">
        <w:rPr>
          <w:lang w:val="es-ES"/>
        </w:rPr>
        <w:t>2.</w:t>
      </w:r>
      <w:r>
        <w:rPr>
          <w:lang w:val="es-ES"/>
        </w:rPr>
        <w:t>4</w:t>
      </w:r>
      <w:r w:rsidRPr="00753032">
        <w:rPr>
          <w:lang w:val="es-ES"/>
        </w:rPr>
        <w:t>.1</w:t>
      </w:r>
      <w:r w:rsidRPr="00753032">
        <w:rPr>
          <w:lang w:val="es-ES"/>
        </w:rPr>
        <w:tab/>
        <w:t xml:space="preserve">Estructura de prueba del método PC </w:t>
      </w:r>
    </w:p>
    <w:p w:rsidR="00315EFA" w:rsidRPr="00753032" w:rsidRDefault="00315EFA" w:rsidP="00315EFA">
      <w:pPr>
        <w:rPr>
          <w:lang w:val="es-ES"/>
        </w:rPr>
      </w:pPr>
      <w:r w:rsidRPr="00753032">
        <w:rPr>
          <w:lang w:val="es-ES"/>
        </w:rPr>
        <w:t>La prueba comienza con la presentación de un campo gris-medio que puede contener un objetivo de fijación, por ejemplo, el número de la prueba, con disparidad cero y durante un tiempo igual o inferior a 3</w:t>
      </w:r>
      <w:r>
        <w:rPr>
          <w:lang w:val="es-ES"/>
        </w:rPr>
        <w:t> </w:t>
      </w:r>
      <w:r w:rsidRPr="00753032">
        <w:rPr>
          <w:lang w:val="es-ES"/>
        </w:rPr>
        <w:t>s (&lt;=</w:t>
      </w:r>
      <w:r>
        <w:rPr>
          <w:lang w:val="es-ES"/>
        </w:rPr>
        <w:t> </w:t>
      </w:r>
      <w:r w:rsidRPr="00753032">
        <w:rPr>
          <w:lang w:val="es-ES"/>
        </w:rPr>
        <w:t>3</w:t>
      </w:r>
      <w:r>
        <w:rPr>
          <w:lang w:val="es-ES"/>
        </w:rPr>
        <w:t> </w:t>
      </w:r>
      <w:r w:rsidRPr="00753032">
        <w:rPr>
          <w:lang w:val="es-ES"/>
        </w:rPr>
        <w:t>s). A continuación, se presentan las secuencias a comparar. La duración de cada secuencia en prueba debe ser de unos 10 s. Las secuencias pueden presentarse simultáneamente en dos pantallas (o una junto a otra en la misma pantalla) o sucesivamente (por ejemplo, AB) en la misma pantalla. En este último caso, las</w:t>
      </w:r>
      <w:r>
        <w:rPr>
          <w:lang w:val="es-ES"/>
        </w:rPr>
        <w:t xml:space="preserve"> secuencias están temporalmente</w:t>
      </w:r>
      <w:r w:rsidRPr="00753032">
        <w:rPr>
          <w:lang w:val="es-ES"/>
        </w:rPr>
        <w:t xml:space="preserve"> separadas por la presentación de un gris-medio de 3</w:t>
      </w:r>
      <w:r>
        <w:rPr>
          <w:lang w:val="es-ES"/>
        </w:rPr>
        <w:t> </w:t>
      </w:r>
      <w:r w:rsidRPr="00753032">
        <w:rPr>
          <w:lang w:val="es-ES"/>
        </w:rPr>
        <w:t xml:space="preserve">s de duración. La prueba termina con una pantalla gris-medio que puede recordar que debe votarse, por ejemplo, con la expresión </w:t>
      </w:r>
      <w:r>
        <w:rPr>
          <w:lang w:val="es-ES"/>
        </w:rPr>
        <w:t>«</w:t>
      </w:r>
      <w:r w:rsidRPr="00753032">
        <w:rPr>
          <w:lang w:val="es-ES"/>
        </w:rPr>
        <w:t>vote ahora</w:t>
      </w:r>
      <w:r>
        <w:rPr>
          <w:lang w:val="es-ES"/>
        </w:rPr>
        <w:t>»</w:t>
      </w:r>
      <w:r w:rsidRPr="00753032">
        <w:rPr>
          <w:lang w:val="es-ES"/>
        </w:rPr>
        <w:t>, que permanece al menos el tiempo necesario para que el observador proporcione su apreciación (por ejemplo, &lt;=</w:t>
      </w:r>
      <w:r>
        <w:rPr>
          <w:lang w:val="es-ES"/>
        </w:rPr>
        <w:t> </w:t>
      </w:r>
      <w:r w:rsidRPr="00753032">
        <w:rPr>
          <w:lang w:val="es-ES"/>
        </w:rPr>
        <w:t>10</w:t>
      </w:r>
      <w:r>
        <w:rPr>
          <w:lang w:val="es-ES"/>
        </w:rPr>
        <w:t> </w:t>
      </w:r>
      <w:r w:rsidRPr="00753032">
        <w:rPr>
          <w:lang w:val="es-ES"/>
        </w:rPr>
        <w:t xml:space="preserve">s). En la Fig. </w:t>
      </w:r>
      <w:r>
        <w:rPr>
          <w:lang w:val="es-ES"/>
        </w:rPr>
        <w:t>6</w:t>
      </w:r>
      <w:r w:rsidRPr="00753032">
        <w:rPr>
          <w:lang w:val="es-ES"/>
        </w:rPr>
        <w:t xml:space="preserve"> se representa una prueba PC típica.</w:t>
      </w:r>
    </w:p>
    <w:p w:rsidR="00315EFA" w:rsidRPr="00753032" w:rsidRDefault="00315EFA" w:rsidP="00315EFA">
      <w:pPr>
        <w:pStyle w:val="Heading3"/>
        <w:rPr>
          <w:lang w:val="es-ES"/>
        </w:rPr>
      </w:pPr>
      <w:r w:rsidRPr="00753032">
        <w:rPr>
          <w:lang w:val="es-ES"/>
        </w:rPr>
        <w:t>2.</w:t>
      </w:r>
      <w:r>
        <w:rPr>
          <w:lang w:val="es-ES"/>
        </w:rPr>
        <w:t>4</w:t>
      </w:r>
      <w:r w:rsidRPr="00753032">
        <w:rPr>
          <w:lang w:val="es-ES"/>
        </w:rPr>
        <w:t>.2</w:t>
      </w:r>
      <w:r w:rsidRPr="00753032">
        <w:rPr>
          <w:lang w:val="es-ES"/>
        </w:rPr>
        <w:tab/>
        <w:t>Escal</w:t>
      </w:r>
      <w:r>
        <w:rPr>
          <w:lang w:val="es-ES"/>
        </w:rPr>
        <w:t>as de apreciación del método PC</w:t>
      </w:r>
    </w:p>
    <w:p w:rsidR="00315EFA" w:rsidRPr="00753032" w:rsidRDefault="00315EFA" w:rsidP="00315EFA">
      <w:pPr>
        <w:rPr>
          <w:lang w:val="es-ES"/>
        </w:rPr>
      </w:pPr>
      <w:r w:rsidRPr="00753032">
        <w:rPr>
          <w:lang w:val="es-ES"/>
        </w:rPr>
        <w:t>Puede solicitarse a los observadores que proporcion</w:t>
      </w:r>
      <w:r>
        <w:rPr>
          <w:lang w:val="es-ES"/>
        </w:rPr>
        <w:t>e</w:t>
      </w:r>
      <w:r w:rsidRPr="00753032">
        <w:rPr>
          <w:lang w:val="es-ES"/>
        </w:rPr>
        <w:t>n una valoración de preferencia simple utilizando una escala binaria (por ejemplo, A es la preferida)</w:t>
      </w:r>
      <w:r>
        <w:rPr>
          <w:lang w:val="es-ES"/>
        </w:rPr>
        <w:t>,</w:t>
      </w:r>
      <w:r w:rsidRPr="00753032">
        <w:rPr>
          <w:lang w:val="es-ES"/>
        </w:rPr>
        <w:t xml:space="preserve"> o</w:t>
      </w:r>
      <w:r>
        <w:rPr>
          <w:lang w:val="es-ES"/>
        </w:rPr>
        <w:t xml:space="preserve"> bien, </w:t>
      </w:r>
      <w:r w:rsidRPr="00753032">
        <w:rPr>
          <w:lang w:val="es-ES"/>
        </w:rPr>
        <w:t>que proporcionen una preferencia graduada (por ejemplo, A es mucho mejor que B). Pueden utilizarse las mismas escalas para la calidad de imagen, la profundidad de imagen y el confort visual (véanse los Cuadros</w:t>
      </w:r>
      <w:r>
        <w:rPr>
          <w:lang w:val="es-ES"/>
        </w:rPr>
        <w:t> </w:t>
      </w:r>
      <w:r w:rsidRPr="00753032">
        <w:rPr>
          <w:lang w:val="es-ES"/>
        </w:rPr>
        <w:t>1, 2 y</w:t>
      </w:r>
      <w:r>
        <w:rPr>
          <w:lang w:val="es-ES"/>
        </w:rPr>
        <w:t> </w:t>
      </w:r>
      <w:r w:rsidRPr="00753032">
        <w:rPr>
          <w:lang w:val="es-ES"/>
        </w:rPr>
        <w:t>3).</w:t>
      </w:r>
    </w:p>
    <w:p w:rsidR="00315EFA" w:rsidRPr="00753032" w:rsidRDefault="00315EFA" w:rsidP="00315EFA">
      <w:pPr>
        <w:pStyle w:val="Heading3"/>
        <w:rPr>
          <w:lang w:val="es-ES"/>
        </w:rPr>
      </w:pPr>
      <w:r w:rsidRPr="00753032">
        <w:rPr>
          <w:lang w:val="es-ES" w:eastAsia="zh-CN"/>
        </w:rPr>
        <w:t>2.</w:t>
      </w:r>
      <w:r>
        <w:rPr>
          <w:lang w:val="es-ES" w:eastAsia="zh-CN"/>
        </w:rPr>
        <w:t>4</w:t>
      </w:r>
      <w:r w:rsidRPr="00753032">
        <w:rPr>
          <w:lang w:val="es-ES" w:eastAsia="zh-CN"/>
        </w:rPr>
        <w:t>.3</w:t>
      </w:r>
      <w:r w:rsidRPr="00753032">
        <w:rPr>
          <w:lang w:val="es-ES" w:eastAsia="zh-CN"/>
        </w:rPr>
        <w:tab/>
        <w:t xml:space="preserve">Datos de nota de opinión del método </w:t>
      </w:r>
      <w:r>
        <w:rPr>
          <w:lang w:val="es-ES"/>
        </w:rPr>
        <w:t>PC</w:t>
      </w:r>
    </w:p>
    <w:p w:rsidR="00315EFA" w:rsidRPr="00753032" w:rsidRDefault="00315EFA" w:rsidP="00315EFA">
      <w:pPr>
        <w:rPr>
          <w:lang w:val="es-ES"/>
        </w:rPr>
      </w:pPr>
      <w:r w:rsidRPr="00753032">
        <w:rPr>
          <w:lang w:val="es-ES"/>
        </w:rPr>
        <w:t>La valoración del método de PC se realiza en términos de preferencias.</w:t>
      </w:r>
    </w:p>
    <w:p w:rsidR="00315EFA" w:rsidRPr="00753032" w:rsidRDefault="00315EFA" w:rsidP="00315EFA">
      <w:pPr>
        <w:pStyle w:val="FigureNo"/>
        <w:rPr>
          <w:lang w:val="es-ES" w:eastAsia="ja-JP"/>
        </w:rPr>
      </w:pPr>
      <w:r w:rsidRPr="00753032">
        <w:rPr>
          <w:lang w:val="es-ES"/>
        </w:rPr>
        <w:lastRenderedPageBreak/>
        <w:t xml:space="preserve">FigurA </w:t>
      </w:r>
      <w:r>
        <w:rPr>
          <w:lang w:val="es-ES"/>
        </w:rPr>
        <w:t>6</w:t>
      </w:r>
    </w:p>
    <w:p w:rsidR="00315EFA" w:rsidRDefault="00315EFA" w:rsidP="00315EFA">
      <w:pPr>
        <w:pStyle w:val="Figuretitle"/>
        <w:rPr>
          <w:lang w:val="es-ES"/>
        </w:rPr>
      </w:pPr>
      <w:r w:rsidRPr="00753032">
        <w:rPr>
          <w:lang w:val="es-ES"/>
        </w:rPr>
        <w:t>Método de comparación de parejas – Estructura de la prueba</w:t>
      </w:r>
    </w:p>
    <w:p w:rsidR="00315EFA" w:rsidRPr="00AA5428" w:rsidRDefault="006B4049" w:rsidP="00315EFA">
      <w:pPr>
        <w:pStyle w:val="Figure"/>
        <w:rPr>
          <w:lang w:val="es-ES"/>
        </w:rPr>
      </w:pPr>
      <w:r>
        <w:rPr>
          <w:lang w:val="es-ES"/>
        </w:rPr>
        <w:object w:dxaOrig="4910" w:dyaOrig="2781">
          <v:shape id="_x0000_i1108" type="#_x0000_t75" style="width:328.75pt;height:188.15pt" o:ole="">
            <v:imagedata r:id="rId24" o:title="" cropbottom="-1955f" cropright="-1384f"/>
          </v:shape>
          <o:OLEObject Type="Embed" ProgID="CorelDraw.Graphic.16" ShapeID="_x0000_i1108" DrawAspect="Content" ObjectID="_1535896636" r:id="rId25"/>
        </w:object>
      </w:r>
    </w:p>
    <w:p w:rsidR="00315EFA" w:rsidRPr="00753032" w:rsidRDefault="00315EFA" w:rsidP="00315EFA">
      <w:pPr>
        <w:pStyle w:val="Heading2"/>
        <w:rPr>
          <w:lang w:val="es-ES"/>
        </w:rPr>
      </w:pPr>
      <w:r w:rsidRPr="00753032">
        <w:rPr>
          <w:lang w:val="es-ES"/>
        </w:rPr>
        <w:t>2.</w:t>
      </w:r>
      <w:r>
        <w:rPr>
          <w:lang w:val="es-ES"/>
        </w:rPr>
        <w:t>5</w:t>
      </w:r>
      <w:r w:rsidRPr="00753032">
        <w:rPr>
          <w:lang w:val="es-ES"/>
        </w:rPr>
        <w:tab/>
        <w:t>Método de evaluación de calidad con</w:t>
      </w:r>
      <w:r>
        <w:rPr>
          <w:lang w:val="es-ES"/>
        </w:rPr>
        <w:t>tinua de estímulo único (SSCQE)</w:t>
      </w:r>
    </w:p>
    <w:p w:rsidR="00315EFA" w:rsidRPr="00753032" w:rsidRDefault="00315EFA" w:rsidP="00315EFA">
      <w:pPr>
        <w:rPr>
          <w:lang w:val="es-ES"/>
        </w:rPr>
      </w:pPr>
      <w:r w:rsidRPr="00753032">
        <w:rPr>
          <w:lang w:val="es-ES"/>
        </w:rPr>
        <w:t xml:space="preserve">Los niveles de calidad de imagen, calidad de profundidad y confort visual pueden fluctuar ampliamente a lo largo del tiempo cuando se utilizan fragmentos breves de </w:t>
      </w:r>
      <w:r>
        <w:rPr>
          <w:lang w:val="es-ES"/>
        </w:rPr>
        <w:t>vídeo</w:t>
      </w:r>
      <w:r w:rsidRPr="00753032">
        <w:rPr>
          <w:lang w:val="es-ES"/>
        </w:rPr>
        <w:t xml:space="preserve">s estereoscópicos codificados digitalmente; dichas fluctuaciones pueden depender del contenido de la escena y de la duración de las señales molestas (breves o largas) que afecten a las tres dimensiones básicas. El método SSCQE se ha </w:t>
      </w:r>
      <w:r>
        <w:rPr>
          <w:lang w:val="es-ES"/>
        </w:rPr>
        <w:t xml:space="preserve">elaborado con el fin de </w:t>
      </w:r>
      <w:r w:rsidRPr="00753032">
        <w:rPr>
          <w:lang w:val="es-ES"/>
        </w:rPr>
        <w:t xml:space="preserve">abordar el impacto de dicha dinámica. En el método SSCQE la calidad de imagen, la calidad de profundidad y el confort visual de las secuencias de </w:t>
      </w:r>
      <w:r>
        <w:rPr>
          <w:lang w:val="es-ES"/>
        </w:rPr>
        <w:t>vídeo</w:t>
      </w:r>
      <w:r w:rsidRPr="00753032">
        <w:rPr>
          <w:lang w:val="es-ES"/>
        </w:rPr>
        <w:t xml:space="preserve"> estereoscópico se evalúan de forma continua (es decir, según cambian a lo largo del tiempo). Esta metodología se considera, por lo general, más representativa de los patrones de observación reales en el hogar.</w:t>
      </w:r>
    </w:p>
    <w:p w:rsidR="00315EFA" w:rsidRPr="00753032" w:rsidRDefault="00315EFA" w:rsidP="00315EFA">
      <w:pPr>
        <w:pStyle w:val="Heading3"/>
        <w:rPr>
          <w:lang w:val="es-ES"/>
        </w:rPr>
      </w:pPr>
      <w:r w:rsidRPr="00753032">
        <w:rPr>
          <w:lang w:val="es-ES"/>
        </w:rPr>
        <w:t>2.</w:t>
      </w:r>
      <w:r>
        <w:rPr>
          <w:lang w:val="es-ES"/>
        </w:rPr>
        <w:t>5</w:t>
      </w:r>
      <w:r w:rsidRPr="00753032">
        <w:rPr>
          <w:lang w:val="es-ES"/>
        </w:rPr>
        <w:t>.1</w:t>
      </w:r>
      <w:r w:rsidRPr="00753032">
        <w:rPr>
          <w:lang w:val="es-ES"/>
        </w:rPr>
        <w:tab/>
        <w:t xml:space="preserve">Forma general del protocolo de prueba </w:t>
      </w:r>
    </w:p>
    <w:p w:rsidR="00315EFA" w:rsidRPr="00753032" w:rsidRDefault="00315EFA" w:rsidP="00315EFA">
      <w:pPr>
        <w:rPr>
          <w:lang w:val="es-ES"/>
        </w:rPr>
      </w:pPr>
      <w:r w:rsidRPr="00753032">
        <w:rPr>
          <w:lang w:val="es-ES"/>
        </w:rPr>
        <w:t>Las sesiones de prueba se presentan a los sujetos en el formato siguiente:</w:t>
      </w:r>
    </w:p>
    <w:p w:rsidR="00315EFA" w:rsidRPr="00753032" w:rsidRDefault="00315EFA" w:rsidP="00315EFA">
      <w:pPr>
        <w:pStyle w:val="enumlev1"/>
        <w:rPr>
          <w:lang w:val="es-ES"/>
        </w:rPr>
      </w:pPr>
      <w:r w:rsidRPr="00753032">
        <w:rPr>
          <w:lang w:val="es-ES"/>
        </w:rPr>
        <w:t>–</w:t>
      </w:r>
      <w:r w:rsidRPr="00753032">
        <w:rPr>
          <w:lang w:val="es-ES"/>
        </w:rPr>
        <w:tab/>
      </w:r>
      <w:r w:rsidRPr="00753032">
        <w:rPr>
          <w:i/>
          <w:iCs/>
          <w:lang w:val="es-ES"/>
        </w:rPr>
        <w:t xml:space="preserve">Segmento de programa </w:t>
      </w:r>
      <w:r>
        <w:rPr>
          <w:lang w:val="es-ES"/>
        </w:rPr>
        <w:t>(</w:t>
      </w:r>
      <w:r w:rsidRPr="00753032">
        <w:rPr>
          <w:i/>
          <w:iCs/>
          <w:lang w:val="es-ES"/>
        </w:rPr>
        <w:t xml:space="preserve">PS; </w:t>
      </w:r>
      <w:proofErr w:type="spellStart"/>
      <w:r w:rsidRPr="00753032">
        <w:rPr>
          <w:i/>
          <w:iCs/>
          <w:lang w:val="es-ES"/>
        </w:rPr>
        <w:t>pogramme</w:t>
      </w:r>
      <w:proofErr w:type="spellEnd"/>
      <w:r w:rsidRPr="00753032">
        <w:rPr>
          <w:i/>
          <w:iCs/>
          <w:lang w:val="es-ES"/>
        </w:rPr>
        <w:t xml:space="preserve"> </w:t>
      </w:r>
      <w:proofErr w:type="spellStart"/>
      <w:r w:rsidRPr="00753032">
        <w:rPr>
          <w:i/>
          <w:iCs/>
          <w:lang w:val="es-ES"/>
        </w:rPr>
        <w:t>segment</w:t>
      </w:r>
      <w:proofErr w:type="spellEnd"/>
      <w:r w:rsidRPr="003B1956">
        <w:rPr>
          <w:lang w:val="es-ES"/>
        </w:rPr>
        <w:t>)</w:t>
      </w:r>
      <w:r w:rsidRPr="00753032">
        <w:rPr>
          <w:lang w:val="es-ES"/>
        </w:rPr>
        <w:t>: un PS corresponde a un tipo de programa (por ejemplo, deportes, noticias, películas) procesado de conformidad con el parámetro de calidad (QP) objeto de evaluación (por ejemplo, velocidad binaria); cada PS debe tener una duración mínima de 5 min.</w:t>
      </w:r>
    </w:p>
    <w:p w:rsidR="00315EFA" w:rsidRPr="00753032" w:rsidRDefault="00315EFA" w:rsidP="00315EFA">
      <w:pPr>
        <w:pStyle w:val="enumlev1"/>
        <w:rPr>
          <w:lang w:val="es-ES"/>
        </w:rPr>
      </w:pPr>
      <w:r w:rsidRPr="00753032">
        <w:rPr>
          <w:lang w:val="es-ES"/>
        </w:rPr>
        <w:t>–</w:t>
      </w:r>
      <w:r w:rsidRPr="00753032">
        <w:rPr>
          <w:lang w:val="es-ES"/>
        </w:rPr>
        <w:tab/>
      </w:r>
      <w:r w:rsidRPr="00753032">
        <w:rPr>
          <w:i/>
          <w:iCs/>
          <w:lang w:val="es-ES"/>
        </w:rPr>
        <w:t xml:space="preserve">Sesión de prueba </w:t>
      </w:r>
      <w:r w:rsidRPr="003B1956">
        <w:rPr>
          <w:lang w:val="es-ES"/>
        </w:rPr>
        <w:t>(</w:t>
      </w:r>
      <w:r w:rsidRPr="00753032">
        <w:rPr>
          <w:i/>
          <w:iCs/>
          <w:lang w:val="es-ES"/>
        </w:rPr>
        <w:t xml:space="preserve">TS, test </w:t>
      </w:r>
      <w:proofErr w:type="spellStart"/>
      <w:r w:rsidRPr="00753032">
        <w:rPr>
          <w:i/>
          <w:iCs/>
          <w:lang w:val="es-ES"/>
        </w:rPr>
        <w:t>session</w:t>
      </w:r>
      <w:proofErr w:type="spellEnd"/>
      <w:r w:rsidRPr="003B1956">
        <w:rPr>
          <w:lang w:val="es-ES"/>
        </w:rPr>
        <w:t>)</w:t>
      </w:r>
      <w:r w:rsidRPr="00753032">
        <w:rPr>
          <w:lang w:val="es-ES"/>
        </w:rPr>
        <w:t xml:space="preserve">: una TS es una serie de una o más combinaciones diferentes PS/QP sin separación entre ellas y dispuestas en un orden </w:t>
      </w:r>
      <w:proofErr w:type="spellStart"/>
      <w:r w:rsidRPr="00753032">
        <w:rPr>
          <w:lang w:val="es-ES"/>
        </w:rPr>
        <w:t>pseudoaleatorio</w:t>
      </w:r>
      <w:proofErr w:type="spellEnd"/>
      <w:r w:rsidRPr="00753032">
        <w:rPr>
          <w:lang w:val="es-ES"/>
        </w:rPr>
        <w:t>. Cada TS contiene, al menos una vez, todos los PS y las QP pero no necesariamente todas las combinaciones PS/QP; cada TS debe tener una duración de entre 30 y 60 min.</w:t>
      </w:r>
    </w:p>
    <w:p w:rsidR="00315EFA" w:rsidRPr="00753032" w:rsidRDefault="00315EFA" w:rsidP="00315EFA">
      <w:pPr>
        <w:pStyle w:val="enumlev1"/>
        <w:rPr>
          <w:lang w:val="es-ES"/>
        </w:rPr>
      </w:pPr>
      <w:r w:rsidRPr="00753032">
        <w:rPr>
          <w:lang w:val="es-ES"/>
        </w:rPr>
        <w:t>–</w:t>
      </w:r>
      <w:r w:rsidRPr="00753032">
        <w:rPr>
          <w:lang w:val="es-ES"/>
        </w:rPr>
        <w:tab/>
      </w:r>
      <w:r w:rsidRPr="00753032">
        <w:rPr>
          <w:i/>
          <w:iCs/>
          <w:lang w:val="es-ES"/>
        </w:rPr>
        <w:t xml:space="preserve">Presentación de prueba </w:t>
      </w:r>
      <w:r w:rsidRPr="003B1956">
        <w:rPr>
          <w:lang w:val="es-ES"/>
        </w:rPr>
        <w:t>(</w:t>
      </w:r>
      <w:r w:rsidRPr="00753032">
        <w:rPr>
          <w:i/>
          <w:iCs/>
          <w:lang w:val="es-ES"/>
        </w:rPr>
        <w:t xml:space="preserve">TP, test </w:t>
      </w:r>
      <w:proofErr w:type="spellStart"/>
      <w:r w:rsidRPr="00753032">
        <w:rPr>
          <w:i/>
          <w:iCs/>
          <w:lang w:val="es-ES"/>
        </w:rPr>
        <w:t>presentation</w:t>
      </w:r>
      <w:proofErr w:type="spellEnd"/>
      <w:r w:rsidRPr="003B1956">
        <w:rPr>
          <w:lang w:val="es-ES"/>
        </w:rPr>
        <w:t>)</w:t>
      </w:r>
      <w:r w:rsidRPr="00753032">
        <w:rPr>
          <w:lang w:val="es-ES"/>
        </w:rPr>
        <w:t>: una TP es la representación completa de una prueba. Una TP puede dividirse en varios TS para cumplir los requisitos de duración</w:t>
      </w:r>
      <w:r>
        <w:rPr>
          <w:lang w:val="es-ES"/>
        </w:rPr>
        <w:t xml:space="preserve"> </w:t>
      </w:r>
      <w:r w:rsidRPr="00753032">
        <w:rPr>
          <w:lang w:val="es-ES"/>
        </w:rPr>
        <w:t>máxima y evaluar la calidad para todas las parejas PS/QP. Si el número de parejas PS/QP está limitado, una TP puede estar compuesta de la misma TS repetida para que la prueba se realice durante un periodo de tiempo suficientemente largo.</w:t>
      </w:r>
    </w:p>
    <w:p w:rsidR="00315EFA" w:rsidRPr="00753032" w:rsidRDefault="00315EFA" w:rsidP="00315EFA">
      <w:pPr>
        <w:rPr>
          <w:lang w:val="es-ES"/>
        </w:rPr>
      </w:pPr>
      <w:r w:rsidRPr="00753032">
        <w:rPr>
          <w:lang w:val="es-ES"/>
        </w:rPr>
        <w:t xml:space="preserve">Para la evaluación de la calidad de servicio puede añadirse una señal de audio. En ese caso, la elección del audio de acompañamiento, realizado antes de la prueba de calidad de funcionamiento, tiene </w:t>
      </w:r>
      <w:r>
        <w:rPr>
          <w:lang w:val="es-ES"/>
        </w:rPr>
        <w:t xml:space="preserve">una </w:t>
      </w:r>
      <w:r w:rsidRPr="00753032">
        <w:rPr>
          <w:lang w:val="es-ES"/>
        </w:rPr>
        <w:t xml:space="preserve">importancia </w:t>
      </w:r>
      <w:r>
        <w:rPr>
          <w:lang w:val="es-ES"/>
        </w:rPr>
        <w:t xml:space="preserve">similar a </w:t>
      </w:r>
      <w:r w:rsidRPr="00753032">
        <w:rPr>
          <w:lang w:val="es-ES"/>
        </w:rPr>
        <w:t>la selección del v</w:t>
      </w:r>
      <w:r>
        <w:rPr>
          <w:lang w:val="es-ES"/>
        </w:rPr>
        <w:t>í</w:t>
      </w:r>
      <w:r w:rsidRPr="00753032">
        <w:rPr>
          <w:lang w:val="es-ES"/>
        </w:rPr>
        <w:t>deo.</w:t>
      </w:r>
    </w:p>
    <w:p w:rsidR="00315EFA" w:rsidRPr="00753032" w:rsidRDefault="00315EFA" w:rsidP="00315EFA">
      <w:pPr>
        <w:rPr>
          <w:lang w:val="es-ES"/>
        </w:rPr>
      </w:pPr>
      <w:r w:rsidRPr="00753032">
        <w:rPr>
          <w:lang w:val="es-ES"/>
        </w:rPr>
        <w:t>El formato de prueba más sencillo utiliza un único segmento de programa (PS) y un único parámetro de calidad (QP).</w:t>
      </w:r>
    </w:p>
    <w:p w:rsidR="00315EFA" w:rsidRPr="00753032" w:rsidRDefault="00315EFA" w:rsidP="00315EFA">
      <w:pPr>
        <w:pStyle w:val="Heading3"/>
        <w:rPr>
          <w:lang w:val="es-ES"/>
        </w:rPr>
      </w:pPr>
      <w:r w:rsidRPr="00753032">
        <w:rPr>
          <w:lang w:val="es-ES"/>
        </w:rPr>
        <w:lastRenderedPageBreak/>
        <w:t>2.</w:t>
      </w:r>
      <w:r>
        <w:rPr>
          <w:lang w:val="es-ES"/>
        </w:rPr>
        <w:t>5</w:t>
      </w:r>
      <w:r w:rsidRPr="00753032">
        <w:rPr>
          <w:lang w:val="es-ES"/>
        </w:rPr>
        <w:t>.2</w:t>
      </w:r>
      <w:r w:rsidRPr="00753032">
        <w:rPr>
          <w:lang w:val="es-ES"/>
        </w:rPr>
        <w:tab/>
        <w:t xml:space="preserve">Escalas de apreciación del método SSCQE </w:t>
      </w:r>
    </w:p>
    <w:p w:rsidR="00315EFA" w:rsidRPr="00753032" w:rsidRDefault="00315EFA" w:rsidP="00315EFA">
      <w:pPr>
        <w:rPr>
          <w:lang w:val="es-ES"/>
        </w:rPr>
      </w:pPr>
      <w:r w:rsidRPr="00753032">
        <w:rPr>
          <w:lang w:val="es-ES"/>
        </w:rPr>
        <w:t>Para la evaluación de la calidad de imagen y de la calidad de profundidad, debe utilizarse la escala de calidad continua estándar de la UIT (véanse los Cuadros</w:t>
      </w:r>
      <w:r>
        <w:rPr>
          <w:lang w:val="es-ES"/>
        </w:rPr>
        <w:t> </w:t>
      </w:r>
      <w:r w:rsidRPr="00753032">
        <w:rPr>
          <w:lang w:val="es-ES"/>
        </w:rPr>
        <w:t>1 y 2). Para el confort visual, debe utilizarse la escala continua de confort que se muestra en el Cuadro 3. La Fig.</w:t>
      </w:r>
      <w:r>
        <w:rPr>
          <w:lang w:val="es-ES"/>
        </w:rPr>
        <w:t> 7</w:t>
      </w:r>
      <w:r w:rsidRPr="00753032">
        <w:rPr>
          <w:lang w:val="es-ES"/>
        </w:rPr>
        <w:t xml:space="preserve"> incluye el ejemplo de una </w:t>
      </w:r>
      <w:r w:rsidRPr="00753032">
        <w:rPr>
          <w:i/>
          <w:iCs/>
          <w:lang w:val="es-ES"/>
        </w:rPr>
        <w:t>sesión de prueba</w:t>
      </w:r>
      <w:r w:rsidRPr="00753032">
        <w:rPr>
          <w:lang w:val="es-ES"/>
        </w:rPr>
        <w:t xml:space="preserve"> utilizando una escala de calidad.</w:t>
      </w:r>
    </w:p>
    <w:p w:rsidR="00315EFA" w:rsidRPr="00753032" w:rsidRDefault="00315EFA" w:rsidP="00315EFA">
      <w:pPr>
        <w:pStyle w:val="Heading3"/>
        <w:rPr>
          <w:lang w:val="es-ES" w:eastAsia="zh-CN"/>
        </w:rPr>
      </w:pPr>
      <w:r w:rsidRPr="00753032">
        <w:rPr>
          <w:lang w:val="es-ES" w:eastAsia="zh-CN"/>
        </w:rPr>
        <w:t>2.</w:t>
      </w:r>
      <w:r>
        <w:rPr>
          <w:lang w:val="es-ES" w:eastAsia="zh-CN"/>
        </w:rPr>
        <w:t>5</w:t>
      </w:r>
      <w:r w:rsidRPr="00753032">
        <w:rPr>
          <w:lang w:val="es-ES" w:eastAsia="zh-CN"/>
        </w:rPr>
        <w:t>.3</w:t>
      </w:r>
      <w:r w:rsidRPr="00753032">
        <w:rPr>
          <w:lang w:val="es-ES" w:eastAsia="zh-CN"/>
        </w:rPr>
        <w:tab/>
        <w:t xml:space="preserve">Datos de nota de opinión del método </w:t>
      </w:r>
      <w:r w:rsidRPr="00753032">
        <w:rPr>
          <w:lang w:val="es-ES"/>
        </w:rPr>
        <w:t>SS</w:t>
      </w:r>
      <w:r w:rsidRPr="00753032">
        <w:rPr>
          <w:lang w:val="es-ES" w:eastAsia="ja-JP"/>
        </w:rPr>
        <w:t>CQE</w:t>
      </w:r>
      <w:r w:rsidRPr="00753032">
        <w:rPr>
          <w:lang w:val="es-ES"/>
        </w:rPr>
        <w:t xml:space="preserve"> </w:t>
      </w:r>
    </w:p>
    <w:p w:rsidR="00315EFA" w:rsidRPr="00753032" w:rsidRDefault="00315EFA" w:rsidP="00315EFA">
      <w:pPr>
        <w:rPr>
          <w:lang w:val="es-ES" w:eastAsia="zh-CN"/>
        </w:rPr>
      </w:pPr>
      <w:r w:rsidRPr="00753032">
        <w:rPr>
          <w:lang w:val="es-ES" w:eastAsia="zh-CN"/>
        </w:rPr>
        <w:t>Para</w:t>
      </w:r>
      <w:r>
        <w:rPr>
          <w:lang w:val="es-ES" w:eastAsia="zh-CN"/>
        </w:rPr>
        <w:t xml:space="preserve"> </w:t>
      </w:r>
      <w:r w:rsidRPr="00753032">
        <w:rPr>
          <w:lang w:val="es-ES" w:eastAsia="zh-CN"/>
        </w:rPr>
        <w:t xml:space="preserve">calcular la valoración media de calidad en función del tiempo </w:t>
      </w:r>
      <w:r w:rsidRPr="00753032">
        <w:rPr>
          <w:i/>
          <w:iCs/>
          <w:lang w:val="es-ES" w:eastAsia="zh-CN"/>
        </w:rPr>
        <w:t>q</w:t>
      </w:r>
      <w:r w:rsidRPr="00DB6A53">
        <w:rPr>
          <w:lang w:val="es-ES" w:eastAsia="zh-CN"/>
        </w:rPr>
        <w:t>(</w:t>
      </w:r>
      <w:r w:rsidRPr="00753032">
        <w:rPr>
          <w:i/>
          <w:iCs/>
          <w:lang w:val="es-ES" w:eastAsia="zh-CN"/>
        </w:rPr>
        <w:t>t</w:t>
      </w:r>
      <w:r w:rsidRPr="00DB6A53">
        <w:rPr>
          <w:lang w:val="es-ES" w:eastAsia="zh-CN"/>
        </w:rPr>
        <w:t>)</w:t>
      </w:r>
      <w:r w:rsidRPr="00753032">
        <w:rPr>
          <w:lang w:val="es-ES" w:eastAsia="zh-CN"/>
        </w:rPr>
        <w:t xml:space="preserve"> deben recopilarse los datos de todas las sesiones de prueba. Los resultados pueden presentarse como la media de las apreciaciones de calidad de todos los observadores por segmento de programa, contenido de </w:t>
      </w:r>
      <w:r>
        <w:rPr>
          <w:lang w:val="es-ES" w:eastAsia="zh-CN"/>
        </w:rPr>
        <w:t>vídeo</w:t>
      </w:r>
      <w:r w:rsidRPr="00753032">
        <w:rPr>
          <w:lang w:val="es-ES" w:eastAsia="zh-CN"/>
        </w:rPr>
        <w:t xml:space="preserve"> o sesión de prueba.</w:t>
      </w:r>
    </w:p>
    <w:p w:rsidR="00315EFA" w:rsidRPr="00753032" w:rsidRDefault="00315EFA" w:rsidP="00315EFA">
      <w:pPr>
        <w:pStyle w:val="FigureNo"/>
        <w:rPr>
          <w:lang w:val="es-ES" w:eastAsia="ja-JP"/>
        </w:rPr>
      </w:pPr>
      <w:r w:rsidRPr="00753032">
        <w:rPr>
          <w:lang w:val="es-ES"/>
        </w:rPr>
        <w:t xml:space="preserve">FigurA </w:t>
      </w:r>
      <w:r>
        <w:rPr>
          <w:lang w:val="es-ES"/>
        </w:rPr>
        <w:t>7</w:t>
      </w:r>
    </w:p>
    <w:p w:rsidR="00315EFA" w:rsidRDefault="00315EFA" w:rsidP="00315EFA">
      <w:pPr>
        <w:pStyle w:val="Figuretitle"/>
        <w:rPr>
          <w:lang w:val="es-ES"/>
        </w:rPr>
      </w:pPr>
      <w:r w:rsidRPr="00753032">
        <w:rPr>
          <w:lang w:val="es-ES"/>
        </w:rPr>
        <w:t>Resultado típico de sesión de prueba del mét</w:t>
      </w:r>
      <w:r>
        <w:rPr>
          <w:lang w:val="es-ES"/>
        </w:rPr>
        <w:t>odo SSCQE</w:t>
      </w:r>
    </w:p>
    <w:p w:rsidR="00315EFA" w:rsidRPr="003F4FAF" w:rsidRDefault="009E223B" w:rsidP="00315EFA">
      <w:pPr>
        <w:pStyle w:val="Figure"/>
        <w:rPr>
          <w:lang w:val="es-ES"/>
        </w:rPr>
      </w:pPr>
      <w:r>
        <w:rPr>
          <w:lang w:val="es-ES"/>
        </w:rPr>
        <w:object w:dxaOrig="5600" w:dyaOrig="3670">
          <v:shape id="_x0000_i1112" type="#_x0000_t75" style="width:379pt;height:252pt" o:ole="">
            <v:imagedata r:id="rId26" o:title="" croptop="-1284f" cropbottom="-1284f" cropleft="-602f" cropright="-956f"/>
          </v:shape>
          <o:OLEObject Type="Embed" ProgID="CorelDraw.Graphic.16" ShapeID="_x0000_i1112" DrawAspect="Content" ObjectID="_1535896637" r:id="rId27"/>
        </w:object>
      </w:r>
    </w:p>
    <w:p w:rsidR="00315EFA" w:rsidRPr="00362002" w:rsidRDefault="00315EFA" w:rsidP="00315EFA">
      <w:pPr>
        <w:pStyle w:val="Heading2"/>
        <w:rPr>
          <w:lang w:val="es-ES_tradnl"/>
        </w:rPr>
      </w:pPr>
      <w:r w:rsidRPr="00362002">
        <w:rPr>
          <w:lang w:val="es-ES_tradnl"/>
        </w:rPr>
        <w:t>2.6</w:t>
      </w:r>
      <w:r w:rsidRPr="00362002">
        <w:rPr>
          <w:lang w:val="es-ES_tradnl"/>
        </w:rPr>
        <w:tab/>
        <w:t>Método de doble estímulo simultáneo para evaluación continua (SDSCE)</w:t>
      </w:r>
    </w:p>
    <w:p w:rsidR="00315EFA" w:rsidRPr="00362002" w:rsidRDefault="00315EFA" w:rsidP="00315EFA">
      <w:pPr>
        <w:rPr>
          <w:lang w:val="es-ES_tradnl"/>
        </w:rPr>
      </w:pPr>
      <w:r w:rsidRPr="00362002">
        <w:rPr>
          <w:lang w:val="es-ES_tradnl"/>
        </w:rPr>
        <w:t>El método SSCQE es capaz de medir la calidad de vídeo estereosc</w:t>
      </w:r>
      <w:r>
        <w:rPr>
          <w:lang w:val="es-ES_tradnl"/>
        </w:rPr>
        <w:t>ó</w:t>
      </w:r>
      <w:r w:rsidRPr="00362002">
        <w:rPr>
          <w:lang w:val="es-ES_tradnl"/>
        </w:rPr>
        <w:t>pic</w:t>
      </w:r>
      <w:r>
        <w:rPr>
          <w:lang w:val="es-ES_tradnl"/>
        </w:rPr>
        <w:t>o</w:t>
      </w:r>
      <w:r w:rsidRPr="00362002">
        <w:rPr>
          <w:lang w:val="es-ES_tradnl"/>
        </w:rPr>
        <w:t xml:space="preserve"> en se</w:t>
      </w:r>
      <w:r>
        <w:rPr>
          <w:lang w:val="es-ES_tradnl"/>
        </w:rPr>
        <w:t>cuencias más largas, representa</w:t>
      </w:r>
      <w:r w:rsidRPr="00362002">
        <w:rPr>
          <w:lang w:val="es-ES_tradnl"/>
        </w:rPr>
        <w:t>tivas del contenido de vídeo estereoscópico y de la estadística de errores. Para reproducir las condiciones de observación que estén los más próximas posibles a las situaciones reales, en el SSCQE no se utilizan referencias.</w:t>
      </w:r>
    </w:p>
    <w:p w:rsidR="00315EFA" w:rsidRPr="003A0345" w:rsidRDefault="00315EFA" w:rsidP="00315EFA">
      <w:pPr>
        <w:rPr>
          <w:lang w:val="es-ES_tradnl"/>
        </w:rPr>
      </w:pPr>
      <w:r w:rsidRPr="003A0345">
        <w:rPr>
          <w:lang w:val="es-ES_tradnl"/>
        </w:rPr>
        <w:t>Cuando hay que evaluar la fidelidad, se han de introducir condiciones de referencia. El SDSCE ha sido elaborado a partir del SSCQE, con ligeras diferencias en cuanto a la manera de presentar las imágenes a los sujetos y con respecto a la escala de apreciación. El método fue propuesto a MPEG para evaluar la solidez contra los errores a velocidades binarias muy bajas, pero puede ser aplicado adecuadamente a todos los casos en los que hay que evaluar la fidelidad de la información visual afectada por la degradación que varía en función del tiempo.</w:t>
      </w:r>
    </w:p>
    <w:p w:rsidR="00315EFA" w:rsidRPr="00362002" w:rsidRDefault="00315EFA" w:rsidP="00315EFA">
      <w:pPr>
        <w:pStyle w:val="Heading3"/>
        <w:rPr>
          <w:lang w:val="es-ES_tradnl"/>
        </w:rPr>
      </w:pPr>
      <w:r w:rsidRPr="00362002">
        <w:rPr>
          <w:lang w:val="es-ES_tradnl"/>
        </w:rPr>
        <w:t>2.6.1</w:t>
      </w:r>
      <w:r w:rsidRPr="00362002">
        <w:rPr>
          <w:lang w:val="es-ES_tradnl"/>
        </w:rPr>
        <w:tab/>
        <w:t>Presentación del material de prueba</w:t>
      </w:r>
    </w:p>
    <w:p w:rsidR="00315EFA" w:rsidRDefault="00315EFA" w:rsidP="00315EFA">
      <w:pPr>
        <w:rPr>
          <w:lang w:val="es-ES_tradnl"/>
        </w:rPr>
      </w:pPr>
      <w:r w:rsidRPr="003A0345">
        <w:rPr>
          <w:lang w:val="es-ES_tradnl"/>
        </w:rPr>
        <w:t xml:space="preserve">El grupo de sujetos observa dos secuencias al mismo tiempo: una es la referencia, la otra es la condición de prueba. Si el formato de las secuencias es de formato de imagen normalizado (SIF) o </w:t>
      </w:r>
      <w:r w:rsidRPr="003A0345">
        <w:rPr>
          <w:lang w:val="es-ES_tradnl"/>
        </w:rPr>
        <w:lastRenderedPageBreak/>
        <w:t>más pequeño, las dos secuencias pueden ser visualizadas juntas en el mismo monitor; en los demás casos se debe utilizar dos monitores alineados (véase la Fig. </w:t>
      </w:r>
      <w:r>
        <w:rPr>
          <w:lang w:val="es-ES_tradnl"/>
        </w:rPr>
        <w:t>8</w:t>
      </w:r>
      <w:r w:rsidRPr="003A0345">
        <w:rPr>
          <w:lang w:val="es-ES_tradnl"/>
        </w:rPr>
        <w:t>).</w:t>
      </w:r>
    </w:p>
    <w:p w:rsidR="00315EFA" w:rsidRDefault="00315EFA" w:rsidP="00315EFA">
      <w:pPr>
        <w:pStyle w:val="FigureNo"/>
        <w:rPr>
          <w:lang w:val="es-ES_tradnl"/>
        </w:rPr>
      </w:pPr>
      <w:r>
        <w:rPr>
          <w:lang w:val="es-ES_tradnl"/>
        </w:rPr>
        <w:t>FIGURA 8</w:t>
      </w:r>
    </w:p>
    <w:p w:rsidR="00315EFA" w:rsidRDefault="00315EFA" w:rsidP="00315EFA">
      <w:pPr>
        <w:pStyle w:val="Figuretitle"/>
        <w:rPr>
          <w:lang w:val="es-ES_tradnl"/>
        </w:rPr>
      </w:pPr>
      <w:r>
        <w:rPr>
          <w:lang w:val="es-ES_tradnl"/>
        </w:rPr>
        <w:t>Ejemplo de formato de visualización</w:t>
      </w:r>
    </w:p>
    <w:p w:rsidR="00315EFA" w:rsidRPr="000E1980" w:rsidRDefault="009E223B" w:rsidP="00315EFA">
      <w:pPr>
        <w:pStyle w:val="Figure"/>
        <w:rPr>
          <w:lang w:val="en-US" w:eastAsia="zh-CN"/>
        </w:rPr>
      </w:pPr>
      <w:r>
        <w:rPr>
          <w:lang w:val="en-US" w:eastAsia="zh-CN"/>
        </w:rPr>
        <w:object w:dxaOrig="2663" w:dyaOrig="2833">
          <v:shape id="_x0000_i1117" type="#_x0000_t75" style="width:182.7pt;height:190.2pt" o:ole="">
            <v:imagedata r:id="rId28" o:title="" cropbottom="-1444f" cropright="-2786f"/>
          </v:shape>
          <o:OLEObject Type="Embed" ProgID="CorelDraw.Graphic.16" ShapeID="_x0000_i1117" DrawAspect="Content" ObjectID="_1535896638" r:id="rId29"/>
        </w:object>
      </w:r>
    </w:p>
    <w:p w:rsidR="00315EFA" w:rsidRPr="00362002" w:rsidRDefault="00315EFA" w:rsidP="00315EFA">
      <w:pPr>
        <w:pStyle w:val="Heading3"/>
        <w:rPr>
          <w:lang w:val="es-ES_tradnl"/>
        </w:rPr>
      </w:pPr>
      <w:r w:rsidRPr="00362002">
        <w:rPr>
          <w:lang w:val="es-ES_tradnl"/>
        </w:rPr>
        <w:t>2.6.2</w:t>
      </w:r>
      <w:r w:rsidRPr="00362002">
        <w:rPr>
          <w:lang w:val="es-ES_tradnl"/>
        </w:rPr>
        <w:tab/>
        <w:t>Escalas de apreciación del método SDSCE</w:t>
      </w:r>
    </w:p>
    <w:p w:rsidR="00315EFA" w:rsidRDefault="00315EFA" w:rsidP="00315EFA">
      <w:pPr>
        <w:rPr>
          <w:lang w:val="es-ES_tradnl"/>
        </w:rPr>
      </w:pPr>
      <w:r w:rsidRPr="003A0345">
        <w:rPr>
          <w:lang w:val="es-ES_tradnl"/>
        </w:rPr>
        <w:t>Se pide a los sujetos que comprueben las diferencias entre las dos secuencias y juzguen la fidelidad de la información vídeo moviendo el cursor de un dispositivo de voto manual. Cuando la fidelidad es perfecta, el cursor debe estar en la parte superior de la escala (codificada 100), cuando la fidelidad es nula, el cursor debe estar en la parte inferior de la escala (codificada 0).</w:t>
      </w:r>
      <w:r>
        <w:rPr>
          <w:lang w:val="es-ES_tradnl"/>
        </w:rPr>
        <w:t xml:space="preserve"> Puede utilizarse la escala de calidad continua normalizada de la UIT (véanse los Cuadros 1, 2 y 3).</w:t>
      </w:r>
    </w:p>
    <w:p w:rsidR="00315EFA" w:rsidRPr="003A0345" w:rsidRDefault="00315EFA" w:rsidP="00315EFA">
      <w:pPr>
        <w:rPr>
          <w:lang w:val="es-ES_tradnl"/>
        </w:rPr>
      </w:pPr>
      <w:r w:rsidRPr="003A0345">
        <w:rPr>
          <w:lang w:val="es-ES_tradnl"/>
        </w:rPr>
        <w:t>Los sujetos conocen cuál es la referencia y se les pide que expongan su opinión, durante todo el tiempo que están observando las secuencias.</w:t>
      </w:r>
    </w:p>
    <w:p w:rsidR="00315EFA" w:rsidRDefault="00315EFA" w:rsidP="00315EFA">
      <w:pPr>
        <w:pStyle w:val="Heading3"/>
        <w:rPr>
          <w:lang w:val="es-ES_tradnl"/>
        </w:rPr>
      </w:pPr>
      <w:r w:rsidRPr="00362002">
        <w:rPr>
          <w:lang w:val="es-ES_tradnl"/>
        </w:rPr>
        <w:t>2.6.3</w:t>
      </w:r>
      <w:r w:rsidRPr="00362002">
        <w:rPr>
          <w:lang w:val="es-ES_tradnl"/>
        </w:rPr>
        <w:tab/>
        <w:t>Datos de la nota de opinión del método SDSCE</w:t>
      </w:r>
    </w:p>
    <w:p w:rsidR="00315EFA" w:rsidRPr="003A0345" w:rsidRDefault="00315EFA" w:rsidP="00315EFA">
      <w:pPr>
        <w:rPr>
          <w:lang w:val="es-ES_tradnl"/>
        </w:rPr>
      </w:pPr>
      <w:r w:rsidRPr="003A0345">
        <w:rPr>
          <w:lang w:val="es-ES_tradnl"/>
        </w:rPr>
        <w:t>Las siguientes definiciones se aplican a la descripción del protocolo de prueba:</w:t>
      </w:r>
    </w:p>
    <w:p w:rsidR="00315EFA" w:rsidRPr="003A0345" w:rsidRDefault="00315EFA" w:rsidP="00315EFA">
      <w:pPr>
        <w:pStyle w:val="enumlev1"/>
        <w:rPr>
          <w:lang w:val="es-ES_tradnl"/>
        </w:rPr>
      </w:pPr>
      <w:r w:rsidRPr="003A0345">
        <w:rPr>
          <w:lang w:val="es-ES_tradnl"/>
        </w:rPr>
        <w:t>–</w:t>
      </w:r>
      <w:r w:rsidRPr="003A0345">
        <w:rPr>
          <w:lang w:val="es-ES_tradnl"/>
        </w:rPr>
        <w:tab/>
      </w:r>
      <w:r w:rsidRPr="003A0345">
        <w:rPr>
          <w:i/>
          <w:lang w:val="es-ES_tradnl"/>
        </w:rPr>
        <w:t>Segmento vídeo</w:t>
      </w:r>
      <w:r w:rsidRPr="003A0345">
        <w:rPr>
          <w:lang w:val="es-ES_tradnl"/>
        </w:rPr>
        <w:t xml:space="preserve">: </w:t>
      </w:r>
      <w:r>
        <w:rPr>
          <w:lang w:val="es-ES_tradnl"/>
        </w:rPr>
        <w:t>u</w:t>
      </w:r>
      <w:r w:rsidRPr="003A0345">
        <w:rPr>
          <w:lang w:val="es-ES_tradnl"/>
        </w:rPr>
        <w:t>n segmento vídeo corresponde a una secuencia vídeo.</w:t>
      </w:r>
    </w:p>
    <w:p w:rsidR="00315EFA" w:rsidRPr="003A0345" w:rsidRDefault="00315EFA" w:rsidP="00315EFA">
      <w:pPr>
        <w:pStyle w:val="enumlev1"/>
        <w:rPr>
          <w:lang w:val="es-ES_tradnl"/>
        </w:rPr>
      </w:pPr>
      <w:r w:rsidRPr="003A0345">
        <w:rPr>
          <w:lang w:val="es-ES_tradnl"/>
        </w:rPr>
        <w:t>–</w:t>
      </w:r>
      <w:r w:rsidRPr="003A0345">
        <w:rPr>
          <w:lang w:val="es-ES_tradnl"/>
        </w:rPr>
        <w:tab/>
      </w:r>
      <w:r w:rsidRPr="003A0345">
        <w:rPr>
          <w:i/>
          <w:lang w:val="es-ES_tradnl"/>
        </w:rPr>
        <w:t>Condición de prueba</w:t>
      </w:r>
      <w:r w:rsidRPr="003A0345">
        <w:rPr>
          <w:lang w:val="es-ES_tradnl"/>
        </w:rPr>
        <w:t xml:space="preserve">: </w:t>
      </w:r>
      <w:r>
        <w:rPr>
          <w:lang w:val="es-ES_tradnl"/>
        </w:rPr>
        <w:t>u</w:t>
      </w:r>
      <w:r w:rsidRPr="003A0345">
        <w:rPr>
          <w:lang w:val="es-ES_tradnl"/>
        </w:rPr>
        <w:t>na condición de prueba puede ser un proceso vídeo específico, una condición de transmisión, o ambos. Cada segmento vídeo debe ser procesado de acuerdo con una condición de prueba por lo menos. Además, se deben añadir referencias a la lista de condición de prueba, con el fin de hacer pares de referencia/referencia que se han de evaluar.</w:t>
      </w:r>
    </w:p>
    <w:p w:rsidR="00315EFA" w:rsidRPr="003A0345" w:rsidRDefault="00315EFA" w:rsidP="00315EFA">
      <w:pPr>
        <w:pStyle w:val="enumlev1"/>
        <w:rPr>
          <w:lang w:val="es-ES_tradnl"/>
        </w:rPr>
      </w:pPr>
      <w:r w:rsidRPr="003A0345">
        <w:rPr>
          <w:lang w:val="es-ES_tradnl"/>
        </w:rPr>
        <w:t>–</w:t>
      </w:r>
      <w:r w:rsidRPr="003A0345">
        <w:rPr>
          <w:lang w:val="es-ES_tradnl"/>
        </w:rPr>
        <w:tab/>
      </w:r>
      <w:r w:rsidRPr="003A0345">
        <w:rPr>
          <w:i/>
          <w:lang w:val="es-ES_tradnl"/>
        </w:rPr>
        <w:t>Sesión</w:t>
      </w:r>
      <w:r w:rsidRPr="003A0345">
        <w:rPr>
          <w:lang w:val="es-ES_tradnl"/>
        </w:rPr>
        <w:t xml:space="preserve">: </w:t>
      </w:r>
      <w:r>
        <w:rPr>
          <w:lang w:val="es-ES_tradnl"/>
        </w:rPr>
        <w:t>u</w:t>
      </w:r>
      <w:r w:rsidRPr="003A0345">
        <w:rPr>
          <w:lang w:val="es-ES_tradnl"/>
        </w:rPr>
        <w:t xml:space="preserve">na sesión es una serie de diferentes segmentos vídeo/condiciones de prueba pares sin separación y arregladas en un orden </w:t>
      </w:r>
      <w:proofErr w:type="spellStart"/>
      <w:r w:rsidRPr="003A0345">
        <w:rPr>
          <w:lang w:val="es-ES_tradnl"/>
        </w:rPr>
        <w:t>pseudoaleatorio</w:t>
      </w:r>
      <w:proofErr w:type="spellEnd"/>
      <w:r w:rsidRPr="003A0345">
        <w:rPr>
          <w:lang w:val="es-ES_tradnl"/>
        </w:rPr>
        <w:t>. Cada sesión contiene por lo menos una vez todos los segmentos vídeo y condiciones de prueba pero no necesariamente todas las combinaciones de segmento vídeo/condición de prueba.</w:t>
      </w:r>
    </w:p>
    <w:p w:rsidR="00315EFA" w:rsidRPr="003A0345" w:rsidRDefault="00315EFA" w:rsidP="00315EFA">
      <w:pPr>
        <w:pStyle w:val="enumlev1"/>
        <w:rPr>
          <w:lang w:val="es-ES_tradnl"/>
        </w:rPr>
      </w:pPr>
      <w:r w:rsidRPr="003A0345">
        <w:rPr>
          <w:lang w:val="es-ES_tradnl"/>
        </w:rPr>
        <w:t>–</w:t>
      </w:r>
      <w:r w:rsidRPr="003A0345">
        <w:rPr>
          <w:lang w:val="es-ES_tradnl"/>
        </w:rPr>
        <w:tab/>
      </w:r>
      <w:r w:rsidRPr="003A0345">
        <w:rPr>
          <w:i/>
          <w:lang w:val="es-ES_tradnl"/>
        </w:rPr>
        <w:t>Presentación de prueba</w:t>
      </w:r>
      <w:r w:rsidRPr="003A0345">
        <w:rPr>
          <w:lang w:val="es-ES_tradnl"/>
        </w:rPr>
        <w:t xml:space="preserve">: </w:t>
      </w:r>
      <w:r>
        <w:rPr>
          <w:lang w:val="es-ES_tradnl"/>
        </w:rPr>
        <w:t>u</w:t>
      </w:r>
      <w:r w:rsidRPr="003A0345">
        <w:rPr>
          <w:lang w:val="es-ES_tradnl"/>
        </w:rPr>
        <w:t>na presentación de prueba es una serie de sesiones para abarcar todas las combinaciones de segmento vídeo/condición de prueba. Todas las combinaciones de segmento vídeo/condición de prueba deben ser votadas por el mismo número de observadores (pero no necesariamente los mismos observadores).</w:t>
      </w:r>
    </w:p>
    <w:p w:rsidR="00315EFA" w:rsidRPr="003A0345" w:rsidRDefault="00315EFA" w:rsidP="00315EFA">
      <w:pPr>
        <w:pStyle w:val="enumlev1"/>
        <w:rPr>
          <w:lang w:val="es-ES_tradnl"/>
        </w:rPr>
      </w:pPr>
      <w:r w:rsidRPr="003A0345">
        <w:rPr>
          <w:lang w:val="es-ES_tradnl"/>
        </w:rPr>
        <w:t>–</w:t>
      </w:r>
      <w:r w:rsidRPr="003A0345">
        <w:rPr>
          <w:lang w:val="es-ES_tradnl"/>
        </w:rPr>
        <w:tab/>
      </w:r>
      <w:r w:rsidRPr="003A0345">
        <w:rPr>
          <w:i/>
          <w:lang w:val="es-ES_tradnl"/>
        </w:rPr>
        <w:t>Periodo de votación</w:t>
      </w:r>
      <w:r w:rsidRPr="003A0345">
        <w:rPr>
          <w:lang w:val="es-ES_tradnl"/>
        </w:rPr>
        <w:t xml:space="preserve">: </w:t>
      </w:r>
      <w:r>
        <w:rPr>
          <w:lang w:val="es-ES_tradnl"/>
        </w:rPr>
        <w:t>s</w:t>
      </w:r>
      <w:r w:rsidRPr="003A0345">
        <w:rPr>
          <w:lang w:val="es-ES_tradnl"/>
        </w:rPr>
        <w:t>e pide a cada observador que vote continuamente durante una sesión.</w:t>
      </w:r>
    </w:p>
    <w:p w:rsidR="00315EFA" w:rsidRPr="003A0345" w:rsidRDefault="00315EFA" w:rsidP="00315EFA">
      <w:pPr>
        <w:pStyle w:val="enumlev1"/>
        <w:rPr>
          <w:lang w:val="es-ES_tradnl"/>
        </w:rPr>
      </w:pPr>
      <w:r w:rsidRPr="003A0345">
        <w:rPr>
          <w:lang w:val="es-ES_tradnl"/>
        </w:rPr>
        <w:t>–</w:t>
      </w:r>
      <w:r w:rsidRPr="003A0345">
        <w:rPr>
          <w:lang w:val="es-ES_tradnl"/>
        </w:rPr>
        <w:tab/>
      </w:r>
      <w:r w:rsidRPr="003A0345">
        <w:rPr>
          <w:i/>
          <w:lang w:val="es-ES_tradnl"/>
        </w:rPr>
        <w:t>Segmento de votos</w:t>
      </w:r>
      <w:r w:rsidRPr="003A0345">
        <w:rPr>
          <w:lang w:val="es-ES_tradnl"/>
        </w:rPr>
        <w:t xml:space="preserve">: </w:t>
      </w:r>
      <w:r>
        <w:rPr>
          <w:lang w:val="es-ES_tradnl"/>
        </w:rPr>
        <w:t>u</w:t>
      </w:r>
      <w:r w:rsidRPr="003A0345">
        <w:rPr>
          <w:lang w:val="es-ES_tradnl"/>
        </w:rPr>
        <w:t>n segmento de 10</w:t>
      </w:r>
      <w:r>
        <w:rPr>
          <w:lang w:val="es-ES_tradnl"/>
        </w:rPr>
        <w:t> </w:t>
      </w:r>
      <w:r w:rsidRPr="003A0345">
        <w:rPr>
          <w:lang w:val="es-ES_tradnl"/>
        </w:rPr>
        <w:t>s de votos; todos los segmentos de votos se obtienen utilizando grupos de 20</w:t>
      </w:r>
      <w:r>
        <w:rPr>
          <w:lang w:val="es-ES_tradnl"/>
        </w:rPr>
        <w:t> </w:t>
      </w:r>
      <w:r w:rsidRPr="003A0345">
        <w:rPr>
          <w:lang w:val="es-ES_tradnl"/>
        </w:rPr>
        <w:t>votos consecutivos (equivalentes a 10</w:t>
      </w:r>
      <w:r>
        <w:rPr>
          <w:lang w:val="es-ES_tradnl"/>
        </w:rPr>
        <w:t> </w:t>
      </w:r>
      <w:r w:rsidRPr="003A0345">
        <w:rPr>
          <w:lang w:val="es-ES_tradnl"/>
        </w:rPr>
        <w:t>s) sin ninguna superposición.</w:t>
      </w:r>
    </w:p>
    <w:p w:rsidR="00315EFA" w:rsidRPr="003A0345" w:rsidRDefault="00315EFA" w:rsidP="00315EFA">
      <w:pPr>
        <w:rPr>
          <w:lang w:val="es-ES_tradnl"/>
        </w:rPr>
      </w:pPr>
      <w:r w:rsidRPr="003A0345">
        <w:rPr>
          <w:lang w:val="es-ES_tradnl"/>
        </w:rPr>
        <w:lastRenderedPageBreak/>
        <w:t>Una vez efectuada la prueba, uno (o más) ficheros de datos están disponibles con todos los votos de las diferentes sesiones (S) que representan todo el material de voto de la presentación de prueba (TP). Se puede efectuar una primera comprobación de la validez de los datos verificando que cada par de segmentos vídeo/condiciones de prueba ha sido presentado y que un número equivalente de votos ha sido asignado a cada uno de ellos.</w:t>
      </w:r>
    </w:p>
    <w:p w:rsidR="00315EFA" w:rsidRPr="003A0345" w:rsidRDefault="00315EFA" w:rsidP="00315EFA">
      <w:pPr>
        <w:keepNext/>
        <w:keepLines/>
        <w:rPr>
          <w:lang w:val="es-ES_tradnl"/>
        </w:rPr>
      </w:pPr>
      <w:r w:rsidRPr="003A0345">
        <w:rPr>
          <w:lang w:val="es-ES_tradnl"/>
        </w:rPr>
        <w:t>Los datos recopilados durante la ejecución de las pruebas realizadas de acuerdo con este protocolo pueden ser procesados de tres maneras diferentes:</w:t>
      </w:r>
    </w:p>
    <w:p w:rsidR="00315EFA" w:rsidRPr="003A0345" w:rsidRDefault="00315EFA" w:rsidP="00315EFA">
      <w:pPr>
        <w:pStyle w:val="enumlev1"/>
        <w:rPr>
          <w:lang w:val="es-ES_tradnl"/>
        </w:rPr>
      </w:pPr>
      <w:r w:rsidRPr="003A0345">
        <w:rPr>
          <w:lang w:val="es-ES_tradnl"/>
        </w:rPr>
        <w:t>–</w:t>
      </w:r>
      <w:r w:rsidRPr="003A0345">
        <w:rPr>
          <w:lang w:val="es-ES_tradnl"/>
        </w:rPr>
        <w:tab/>
        <w:t>Análisis estadístico de cada segmento vídeo separado.</w:t>
      </w:r>
    </w:p>
    <w:p w:rsidR="00315EFA" w:rsidRPr="003A0345" w:rsidRDefault="00315EFA" w:rsidP="00315EFA">
      <w:pPr>
        <w:pStyle w:val="enumlev1"/>
        <w:rPr>
          <w:lang w:val="es-ES_tradnl"/>
        </w:rPr>
      </w:pPr>
      <w:r w:rsidRPr="003A0345">
        <w:rPr>
          <w:lang w:val="es-ES_tradnl"/>
        </w:rPr>
        <w:t>–</w:t>
      </w:r>
      <w:r w:rsidRPr="003A0345">
        <w:rPr>
          <w:lang w:val="es-ES_tradnl"/>
        </w:rPr>
        <w:tab/>
        <w:t>Análisis estadístico de cada condición de prueba separada.</w:t>
      </w:r>
    </w:p>
    <w:p w:rsidR="00315EFA" w:rsidRPr="003A0345" w:rsidRDefault="00315EFA" w:rsidP="00315EFA">
      <w:pPr>
        <w:pStyle w:val="enumlev1"/>
        <w:rPr>
          <w:lang w:val="es-ES_tradnl"/>
        </w:rPr>
      </w:pPr>
      <w:r w:rsidRPr="003A0345">
        <w:rPr>
          <w:lang w:val="es-ES_tradnl"/>
        </w:rPr>
        <w:t>–</w:t>
      </w:r>
      <w:r w:rsidRPr="003A0345">
        <w:rPr>
          <w:lang w:val="es-ES_tradnl"/>
        </w:rPr>
        <w:tab/>
        <w:t>Análisis estadístico global de todos los segmentos vídeo/condiciones de prueba pares.</w:t>
      </w:r>
    </w:p>
    <w:p w:rsidR="00315EFA" w:rsidRPr="003A0345" w:rsidRDefault="00315EFA" w:rsidP="00315EFA">
      <w:pPr>
        <w:rPr>
          <w:lang w:val="es-ES_tradnl"/>
        </w:rPr>
      </w:pPr>
      <w:r w:rsidRPr="003A0345">
        <w:rPr>
          <w:lang w:val="es-ES_tradnl"/>
        </w:rPr>
        <w:t>En cada caso se requiere un análisis de múltiples pasos:</w:t>
      </w:r>
    </w:p>
    <w:p w:rsidR="00315EFA" w:rsidRPr="003A0345" w:rsidRDefault="00315EFA" w:rsidP="00315EFA">
      <w:pPr>
        <w:pStyle w:val="enumlev1"/>
        <w:rPr>
          <w:lang w:val="es-ES_tradnl"/>
        </w:rPr>
      </w:pPr>
      <w:r w:rsidRPr="003A0345">
        <w:rPr>
          <w:lang w:val="es-ES_tradnl"/>
        </w:rPr>
        <w:t>–</w:t>
      </w:r>
      <w:r w:rsidRPr="003A0345">
        <w:rPr>
          <w:lang w:val="es-ES_tradnl"/>
        </w:rPr>
        <w:tab/>
        <w:t>Se calculan los valores medios y las desviaciones típicas para cada voto por acumulación de los observadores.</w:t>
      </w:r>
    </w:p>
    <w:p w:rsidR="00315EFA" w:rsidRPr="003A0345" w:rsidRDefault="00315EFA" w:rsidP="00315EFA">
      <w:pPr>
        <w:pStyle w:val="enumlev1"/>
        <w:rPr>
          <w:lang w:val="es-ES_tradnl"/>
        </w:rPr>
      </w:pPr>
      <w:r w:rsidRPr="003A0345">
        <w:rPr>
          <w:lang w:val="es-ES_tradnl"/>
        </w:rPr>
        <w:t>–</w:t>
      </w:r>
      <w:r w:rsidRPr="003A0345">
        <w:rPr>
          <w:lang w:val="es-ES_tradnl"/>
        </w:rPr>
        <w:tab/>
        <w:t>Se calcula el promedio y la desviación típica para cada segmento de votos, como se ilustra en la Fig. </w:t>
      </w:r>
      <w:r>
        <w:rPr>
          <w:lang w:val="es-ES_tradnl"/>
        </w:rPr>
        <w:t>9</w:t>
      </w:r>
      <w:r w:rsidRPr="003A0345">
        <w:rPr>
          <w:lang w:val="es-ES_tradnl"/>
        </w:rPr>
        <w:t>. Los resultados de este paso pueden ser representados en un diagrama temporal, como se muestra en la Fig. 1</w:t>
      </w:r>
      <w:r>
        <w:rPr>
          <w:lang w:val="es-ES_tradnl"/>
        </w:rPr>
        <w:t>0</w:t>
      </w:r>
      <w:r w:rsidRPr="003A0345">
        <w:rPr>
          <w:lang w:val="es-ES_tradnl"/>
        </w:rPr>
        <w:t>.</w:t>
      </w:r>
    </w:p>
    <w:p w:rsidR="00315EFA" w:rsidRPr="003A0345" w:rsidRDefault="00315EFA" w:rsidP="00315EFA">
      <w:pPr>
        <w:pStyle w:val="enumlev1"/>
        <w:rPr>
          <w:lang w:val="es-ES_tradnl"/>
        </w:rPr>
      </w:pPr>
      <w:r w:rsidRPr="003A0345">
        <w:rPr>
          <w:lang w:val="es-ES_tradnl"/>
        </w:rPr>
        <w:t>–</w:t>
      </w:r>
      <w:r w:rsidRPr="003A0345">
        <w:rPr>
          <w:lang w:val="es-ES_tradnl"/>
        </w:rPr>
        <w:tab/>
        <w:t xml:space="preserve">Se analiza la distribución estadística de los valores medios calculados en el paso anterior (es decir, correspondiente a cada segmento de votos), y su frecuencia de aparición. Para evitar el efecto de novedad debido a las anteriores combinaciones de segmentos vídeo </w:t>
      </w:r>
      <w:r>
        <w:rPr>
          <w:lang w:val="es-ES_tradnl"/>
        </w:rPr>
        <w:sym w:font="Symbol" w:char="F0B4"/>
      </w:r>
      <w:r w:rsidRPr="003A0345">
        <w:rPr>
          <w:lang w:val="es-ES_tradnl"/>
        </w:rPr>
        <w:t xml:space="preserve"> condiciones de prueba, se rechazan los primeros 10</w:t>
      </w:r>
      <w:r>
        <w:rPr>
          <w:lang w:val="es-ES_tradnl"/>
        </w:rPr>
        <w:t> </w:t>
      </w:r>
      <w:r w:rsidRPr="003A0345">
        <w:rPr>
          <w:lang w:val="es-ES_tradnl"/>
        </w:rPr>
        <w:t>s de votos para cada muestra de segmento vídeo </w:t>
      </w:r>
      <w:r>
        <w:rPr>
          <w:lang w:val="es-ES_tradnl"/>
        </w:rPr>
        <w:sym w:font="Symbol" w:char="F0B4"/>
      </w:r>
      <w:r w:rsidRPr="003A0345">
        <w:rPr>
          <w:lang w:val="es-ES_tradnl"/>
        </w:rPr>
        <w:t> condición de prueba.</w:t>
      </w:r>
    </w:p>
    <w:p w:rsidR="00315EFA" w:rsidRDefault="00315EFA" w:rsidP="00315EFA">
      <w:pPr>
        <w:pStyle w:val="enumlev1"/>
        <w:rPr>
          <w:lang w:val="es-ES_tradnl"/>
        </w:rPr>
      </w:pPr>
      <w:r w:rsidRPr="003A0345">
        <w:rPr>
          <w:lang w:val="es-ES_tradnl"/>
        </w:rPr>
        <w:t>–</w:t>
      </w:r>
      <w:r w:rsidRPr="003A0345">
        <w:rPr>
          <w:lang w:val="es-ES_tradnl"/>
        </w:rPr>
        <w:tab/>
        <w:t>La característica global de molestia se calcula acumulando las frecuencias de ocurrencia. En este cálculo se deben tener en cuenta los intervalos de confianza, como se muestra en la Fig. 1</w:t>
      </w:r>
      <w:r>
        <w:rPr>
          <w:lang w:val="es-ES_tradnl"/>
        </w:rPr>
        <w:t>1</w:t>
      </w:r>
      <w:r w:rsidRPr="003A0345">
        <w:rPr>
          <w:lang w:val="es-ES_tradnl"/>
        </w:rPr>
        <w:t>. Una característica global de molestia corresponde a esta función de distribución estadística acumulada mostrando la relación entre los valores medios para cada segmento de votación y su frecuencia de aparición acumulada.</w:t>
      </w:r>
    </w:p>
    <w:p w:rsidR="00315EFA" w:rsidRDefault="00315EFA" w:rsidP="00315EFA">
      <w:pPr>
        <w:pStyle w:val="FigureNo"/>
        <w:rPr>
          <w:lang w:val="es-ES_tradnl"/>
        </w:rPr>
      </w:pPr>
      <w:r>
        <w:rPr>
          <w:lang w:val="es-ES_tradnl"/>
        </w:rPr>
        <w:lastRenderedPageBreak/>
        <w:t>FIGURA 9</w:t>
      </w:r>
    </w:p>
    <w:p w:rsidR="00315EFA" w:rsidRDefault="00315EFA" w:rsidP="00315EFA">
      <w:pPr>
        <w:pStyle w:val="Figuretitle"/>
        <w:rPr>
          <w:lang w:val="es-ES_tradnl"/>
        </w:rPr>
      </w:pPr>
      <w:r>
        <w:rPr>
          <w:lang w:val="es-ES_tradnl"/>
        </w:rPr>
        <w:t>Procesamiento de datos</w:t>
      </w:r>
    </w:p>
    <w:p w:rsidR="00315EFA" w:rsidRPr="00B519C5" w:rsidRDefault="00A71E59" w:rsidP="00315EFA">
      <w:pPr>
        <w:pStyle w:val="Figure"/>
        <w:rPr>
          <w:lang w:val="es-ES_tradnl"/>
        </w:rPr>
      </w:pPr>
      <w:r>
        <w:rPr>
          <w:lang w:val="es-ES_tradnl"/>
        </w:rPr>
        <w:object w:dxaOrig="6486" w:dyaOrig="5188">
          <v:shape id="_x0000_i1146" type="#_x0000_t75" style="width:415.7pt;height:330.1pt" o:ole="">
            <v:imagedata r:id="rId30" o:title="" cropbottom="-788f" cropright="-1260f"/>
          </v:shape>
          <o:OLEObject Type="Embed" ProgID="CorelDraw.Graphic.16" ShapeID="_x0000_i1146" DrawAspect="Content" ObjectID="_1535896639" r:id="rId31"/>
        </w:object>
      </w:r>
    </w:p>
    <w:p w:rsidR="00315EFA" w:rsidRDefault="00315EFA" w:rsidP="00315EFA">
      <w:pPr>
        <w:pStyle w:val="FigureNo"/>
        <w:rPr>
          <w:lang w:val="es-ES_tradnl"/>
        </w:rPr>
      </w:pPr>
      <w:r>
        <w:rPr>
          <w:lang w:val="es-ES_tradnl"/>
        </w:rPr>
        <w:t>FIGURA 10</w:t>
      </w:r>
    </w:p>
    <w:p w:rsidR="00315EFA" w:rsidRDefault="00315EFA" w:rsidP="00315EFA">
      <w:pPr>
        <w:pStyle w:val="Figuretitle"/>
        <w:rPr>
          <w:lang w:val="es-ES_tradnl"/>
        </w:rPr>
      </w:pPr>
      <w:r>
        <w:rPr>
          <w:lang w:val="es-ES_tradnl"/>
        </w:rPr>
        <w:t>Diagrama temporal</w:t>
      </w:r>
    </w:p>
    <w:p w:rsidR="008F7A53" w:rsidRPr="008F7A53" w:rsidRDefault="008F7A53" w:rsidP="008F7A53">
      <w:pPr>
        <w:pStyle w:val="Figure"/>
        <w:rPr>
          <w:lang w:val="es-ES_tradnl"/>
        </w:rPr>
      </w:pPr>
      <w:r w:rsidRPr="00FF6A50">
        <w:object w:dxaOrig="7196" w:dyaOrig="4427">
          <v:shape id="_x0000_i1161" type="#_x0000_t75" style="width:474.1pt;height:292.1pt" o:ole="">
            <v:imagedata r:id="rId32" o:title=""/>
          </v:shape>
          <o:OLEObject Type="Embed" ProgID="CorelDRAW.Graphic.14" ShapeID="_x0000_i1161" DrawAspect="Content" ObjectID="_1535896640" r:id="rId33"/>
        </w:object>
      </w:r>
    </w:p>
    <w:p w:rsidR="00315EFA" w:rsidRDefault="00315EFA" w:rsidP="00315EFA">
      <w:pPr>
        <w:pStyle w:val="FigureNo"/>
        <w:rPr>
          <w:lang w:val="es-ES_tradnl"/>
        </w:rPr>
      </w:pPr>
      <w:r>
        <w:rPr>
          <w:lang w:val="es-ES_tradnl"/>
        </w:rPr>
        <w:lastRenderedPageBreak/>
        <w:t>FIGURA 11</w:t>
      </w:r>
    </w:p>
    <w:p w:rsidR="00315EFA" w:rsidRDefault="00315EFA" w:rsidP="00315EFA">
      <w:pPr>
        <w:pStyle w:val="Figuretitle"/>
        <w:rPr>
          <w:lang w:val="es-ES_tradnl"/>
        </w:rPr>
      </w:pPr>
      <w:r>
        <w:rPr>
          <w:lang w:val="es-ES_tradnl"/>
        </w:rPr>
        <w:t xml:space="preserve">Características globales de molestia calculadas a partir de las distribuciones </w:t>
      </w:r>
      <w:r>
        <w:rPr>
          <w:lang w:val="es-ES_tradnl"/>
        </w:rPr>
        <w:br/>
        <w:t>estadísticas e incluido el intervalo de confianza</w:t>
      </w:r>
    </w:p>
    <w:p w:rsidR="00315EFA" w:rsidRPr="00063A75" w:rsidRDefault="00B079B4" w:rsidP="00315EFA">
      <w:pPr>
        <w:pStyle w:val="Figure"/>
        <w:rPr>
          <w:lang w:val="es-ES_tradnl"/>
        </w:rPr>
      </w:pPr>
      <w:r>
        <w:rPr>
          <w:lang w:val="es-ES_tradnl"/>
        </w:rPr>
        <w:object w:dxaOrig="4655" w:dyaOrig="3567">
          <v:shape id="_x0000_i1166" type="#_x0000_t75" style="width:313.8pt;height:242.5pt" o:ole="">
            <v:imagedata r:id="rId34" o:title="" croptop="-194f" cropbottom="-1585f" cropright="-1452f"/>
          </v:shape>
          <o:OLEObject Type="Embed" ProgID="CorelDraw.Graphic.16" ShapeID="_x0000_i1166" DrawAspect="Content" ObjectID="_1535896641" r:id="rId35"/>
        </w:object>
      </w:r>
    </w:p>
    <w:p w:rsidR="00315EFA" w:rsidRPr="00362002" w:rsidRDefault="00315EFA" w:rsidP="00315EFA">
      <w:pPr>
        <w:pStyle w:val="TableNo"/>
        <w:rPr>
          <w:lang w:val="es-ES_tradnl"/>
        </w:rPr>
      </w:pPr>
      <w:r w:rsidRPr="00362002">
        <w:rPr>
          <w:lang w:val="es-ES_tradnl"/>
        </w:rPr>
        <w:t>CUADRO 1</w:t>
      </w:r>
    </w:p>
    <w:p w:rsidR="00315EFA" w:rsidRPr="00362002" w:rsidRDefault="00315EFA" w:rsidP="00315EFA">
      <w:pPr>
        <w:pStyle w:val="Tabletitle"/>
        <w:rPr>
          <w:lang w:val="es-ES_tradnl"/>
        </w:rPr>
      </w:pPr>
      <w:r w:rsidRPr="00362002">
        <w:rPr>
          <w:lang w:val="es-ES_tradnl"/>
        </w:rPr>
        <w:t xml:space="preserve">Métodos subjetivos de evaluación de la calidad de la imagen </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8"/>
        <w:gridCol w:w="1247"/>
        <w:gridCol w:w="992"/>
        <w:gridCol w:w="2211"/>
        <w:gridCol w:w="1559"/>
      </w:tblGrid>
      <w:tr w:rsidR="00315EFA" w:rsidRPr="00362002" w:rsidTr="00B079B4">
        <w:trPr>
          <w:cantSplit/>
          <w:trHeight w:val="20"/>
          <w:tblHeader/>
          <w:jc w:val="center"/>
        </w:trPr>
        <w:tc>
          <w:tcPr>
            <w:tcW w:w="3628" w:type="dxa"/>
            <w:vAlign w:val="center"/>
          </w:tcPr>
          <w:p w:rsidR="00315EFA" w:rsidRPr="00362002" w:rsidRDefault="00315EFA" w:rsidP="00A014BE">
            <w:pPr>
              <w:pStyle w:val="Tablehead"/>
              <w:rPr>
                <w:lang w:val="es-ES_tradnl"/>
              </w:rPr>
            </w:pPr>
            <w:r w:rsidRPr="00362002">
              <w:rPr>
                <w:lang w:val="es-ES_tradnl"/>
              </w:rPr>
              <w:t>Modo de presentación</w:t>
            </w:r>
          </w:p>
        </w:tc>
        <w:tc>
          <w:tcPr>
            <w:tcW w:w="1247" w:type="dxa"/>
            <w:vAlign w:val="center"/>
          </w:tcPr>
          <w:p w:rsidR="00315EFA" w:rsidRPr="00362002" w:rsidRDefault="00315EFA" w:rsidP="00A014BE">
            <w:pPr>
              <w:pStyle w:val="Tablehead"/>
              <w:rPr>
                <w:lang w:val="es-ES_tradnl"/>
              </w:rPr>
            </w:pPr>
            <w:r w:rsidRPr="00362002">
              <w:rPr>
                <w:lang w:val="es-ES_tradnl"/>
              </w:rPr>
              <w:t>Duración de la secuencia</w:t>
            </w:r>
          </w:p>
        </w:tc>
        <w:tc>
          <w:tcPr>
            <w:tcW w:w="992" w:type="dxa"/>
            <w:vAlign w:val="center"/>
          </w:tcPr>
          <w:p w:rsidR="00315EFA" w:rsidRPr="00362002" w:rsidRDefault="00315EFA" w:rsidP="00A014BE">
            <w:pPr>
              <w:pStyle w:val="Tablehead"/>
              <w:rPr>
                <w:lang w:val="es-ES_tradnl"/>
              </w:rPr>
            </w:pPr>
            <w:r w:rsidRPr="00362002">
              <w:rPr>
                <w:lang w:val="es-ES_tradnl"/>
              </w:rPr>
              <w:t>Escala binaria</w:t>
            </w:r>
          </w:p>
        </w:tc>
        <w:tc>
          <w:tcPr>
            <w:tcW w:w="2211" w:type="dxa"/>
            <w:vAlign w:val="center"/>
          </w:tcPr>
          <w:p w:rsidR="00315EFA" w:rsidRPr="00362002" w:rsidRDefault="00315EFA" w:rsidP="00A014BE">
            <w:pPr>
              <w:pStyle w:val="Tablehead"/>
              <w:rPr>
                <w:lang w:val="es-ES_tradnl"/>
              </w:rPr>
            </w:pPr>
            <w:r w:rsidRPr="00362002">
              <w:rPr>
                <w:lang w:val="es-ES_tradnl"/>
              </w:rPr>
              <w:t>Escala discreta</w:t>
            </w:r>
          </w:p>
        </w:tc>
        <w:tc>
          <w:tcPr>
            <w:tcW w:w="1559" w:type="dxa"/>
            <w:vAlign w:val="center"/>
          </w:tcPr>
          <w:p w:rsidR="00315EFA" w:rsidRPr="00362002" w:rsidRDefault="00315EFA" w:rsidP="00A014BE">
            <w:pPr>
              <w:pStyle w:val="Tablehead"/>
              <w:rPr>
                <w:lang w:val="es-ES_tradnl"/>
              </w:rPr>
            </w:pPr>
            <w:r w:rsidRPr="00362002">
              <w:rPr>
                <w:lang w:val="es-ES_tradnl"/>
              </w:rPr>
              <w:t>Escala continua</w:t>
            </w:r>
          </w:p>
        </w:tc>
      </w:tr>
      <w:tr w:rsidR="00315EFA" w:rsidRPr="00753032" w:rsidTr="00B079B4">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Métodos de estímulo único (SS) descritos en la Recomendación UIT</w:t>
            </w:r>
            <w:r w:rsidRPr="00AD7C0C">
              <w:rPr>
                <w:lang w:val="es-ES_tradnl"/>
              </w:rPr>
              <w:noBreakHyphen/>
              <w:t>R BT.500, Anexo 1, § 6.1</w:t>
            </w:r>
          </w:p>
        </w:tc>
        <w:tc>
          <w:tcPr>
            <w:tcW w:w="1247" w:type="dxa"/>
          </w:tcPr>
          <w:p w:rsidR="00315EFA" w:rsidRPr="00E44854" w:rsidRDefault="00315EFA" w:rsidP="00A014BE">
            <w:pPr>
              <w:pStyle w:val="Tabletext"/>
              <w:jc w:val="center"/>
            </w:pPr>
            <w:r w:rsidRPr="00E44854">
              <w:t>~10 s</w:t>
            </w:r>
          </w:p>
        </w:tc>
        <w:tc>
          <w:tcPr>
            <w:tcW w:w="992" w:type="dxa"/>
          </w:tcPr>
          <w:p w:rsidR="00315EFA" w:rsidRPr="00362002" w:rsidRDefault="00315EFA" w:rsidP="00A014BE">
            <w:pPr>
              <w:pStyle w:val="Tabletext"/>
            </w:pPr>
          </w:p>
        </w:tc>
        <w:tc>
          <w:tcPr>
            <w:tcW w:w="2211" w:type="dxa"/>
          </w:tcPr>
          <w:p w:rsidR="00315EFA" w:rsidRPr="00AD7C0C" w:rsidRDefault="00315EFA" w:rsidP="00A014BE">
            <w:pPr>
              <w:pStyle w:val="Tabletext"/>
              <w:rPr>
                <w:lang w:val="es-ES_tradnl"/>
              </w:rPr>
            </w:pPr>
            <w:r w:rsidRPr="00AD7C0C">
              <w:rPr>
                <w:lang w:val="es-ES_tradnl"/>
              </w:rPr>
              <w:t>5</w:t>
            </w:r>
            <w:r w:rsidRPr="00AD7C0C">
              <w:rPr>
                <w:lang w:val="es-ES_tradnl"/>
              </w:rPr>
              <w:tab/>
              <w:t>Excelente</w:t>
            </w:r>
          </w:p>
          <w:p w:rsidR="00315EFA" w:rsidRPr="00AD7C0C" w:rsidRDefault="00315EFA" w:rsidP="00A014BE">
            <w:pPr>
              <w:pStyle w:val="Tabletext"/>
              <w:rPr>
                <w:lang w:val="es-ES_tradnl"/>
              </w:rPr>
            </w:pPr>
            <w:r w:rsidRPr="00AD7C0C">
              <w:rPr>
                <w:lang w:val="es-ES_tradnl"/>
              </w:rPr>
              <w:t>4</w:t>
            </w:r>
            <w:r w:rsidRPr="00AD7C0C">
              <w:rPr>
                <w:lang w:val="es-ES_tradnl"/>
              </w:rPr>
              <w:tab/>
              <w:t>Bueno</w:t>
            </w:r>
          </w:p>
          <w:p w:rsidR="00315EFA" w:rsidRPr="00AD7C0C" w:rsidRDefault="00315EFA" w:rsidP="00A014BE">
            <w:pPr>
              <w:pStyle w:val="Tabletext"/>
              <w:rPr>
                <w:lang w:val="es-ES_tradnl"/>
              </w:rPr>
            </w:pPr>
            <w:r w:rsidRPr="00AD7C0C">
              <w:rPr>
                <w:lang w:val="es-ES_tradnl"/>
              </w:rPr>
              <w:t>3</w:t>
            </w:r>
            <w:r w:rsidRPr="00AD7C0C">
              <w:rPr>
                <w:lang w:val="es-ES_tradnl"/>
              </w:rPr>
              <w:tab/>
              <w:t>Aceptable</w:t>
            </w:r>
          </w:p>
          <w:p w:rsidR="00315EFA" w:rsidRPr="00AD7C0C" w:rsidRDefault="00315EFA" w:rsidP="00A014BE">
            <w:pPr>
              <w:pStyle w:val="Tabletext"/>
              <w:rPr>
                <w:lang w:val="es-ES_tradnl"/>
              </w:rPr>
            </w:pPr>
            <w:r w:rsidRPr="00AD7C0C">
              <w:rPr>
                <w:lang w:val="es-ES_tradnl"/>
              </w:rPr>
              <w:t>2</w:t>
            </w:r>
            <w:r w:rsidRPr="00AD7C0C">
              <w:rPr>
                <w:lang w:val="es-ES_tradnl"/>
              </w:rPr>
              <w:tab/>
              <w:t>Mediocre</w:t>
            </w:r>
          </w:p>
          <w:p w:rsidR="00315EFA" w:rsidRPr="00AD7C0C" w:rsidRDefault="00315EFA" w:rsidP="00A014BE">
            <w:pPr>
              <w:pStyle w:val="Tabletext"/>
              <w:rPr>
                <w:lang w:val="es-ES_tradnl"/>
              </w:rPr>
            </w:pPr>
            <w:r w:rsidRPr="00AD7C0C">
              <w:rPr>
                <w:lang w:val="es-ES_tradnl"/>
              </w:rPr>
              <w:t>1</w:t>
            </w:r>
            <w:r w:rsidRPr="00AD7C0C">
              <w:rPr>
                <w:lang w:val="es-ES_tradnl"/>
              </w:rPr>
              <w:tab/>
              <w:t>Malo</w:t>
            </w:r>
          </w:p>
        </w:tc>
        <w:tc>
          <w:tcPr>
            <w:tcW w:w="1559" w:type="dxa"/>
          </w:tcPr>
          <w:p w:rsidR="00315EFA" w:rsidRPr="00923B9E" w:rsidRDefault="00315EFA" w:rsidP="00A014BE">
            <w:pPr>
              <w:pStyle w:val="Tabletext"/>
            </w:pPr>
            <w:r w:rsidRPr="00923B9E">
              <w:rPr>
                <w:noProof/>
                <w:lang w:val="en-GB" w:eastAsia="zh-CN"/>
              </w:rPr>
              <w:drawing>
                <wp:inline distT="0" distB="0" distL="0" distR="0" wp14:anchorId="0A83AA52" wp14:editId="7829C0C3">
                  <wp:extent cx="790575" cy="1076325"/>
                  <wp:effectExtent l="0" t="0" r="0" b="9525"/>
                  <wp:docPr id="4" name="Objec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3"/>
                          <pic:cNvPicPr>
                            <a:picLocks noChangeArrowheads="1"/>
                          </pic:cNvPicPr>
                        </pic:nvPicPr>
                        <pic:blipFill>
                          <a:blip r:embed="rId36">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315EFA" w:rsidRPr="00642254" w:rsidTr="00B079B4">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 de escala de degradación con doble estímulo (DSIS) descrito en la Recomendación UIT-R BT.500, Anexo 1, §</w:t>
            </w:r>
            <w:r>
              <w:rPr>
                <w:lang w:val="es-ES_tradnl"/>
              </w:rPr>
              <w:t xml:space="preserve"> </w:t>
            </w:r>
            <w:r w:rsidRPr="00AD7C0C">
              <w:rPr>
                <w:lang w:val="es-ES_tradnl"/>
              </w:rPr>
              <w:t>4</w:t>
            </w:r>
          </w:p>
        </w:tc>
        <w:tc>
          <w:tcPr>
            <w:tcW w:w="1247" w:type="dxa"/>
          </w:tcPr>
          <w:p w:rsidR="00315EFA" w:rsidRPr="00AD7C0C" w:rsidRDefault="00315EFA" w:rsidP="00A014BE">
            <w:pPr>
              <w:pStyle w:val="Tabletext"/>
              <w:jc w:val="center"/>
              <w:rPr>
                <w:lang w:val="es-ES_tradnl"/>
              </w:rPr>
            </w:pPr>
          </w:p>
        </w:tc>
        <w:tc>
          <w:tcPr>
            <w:tcW w:w="992" w:type="dxa"/>
          </w:tcPr>
          <w:p w:rsidR="00315EFA" w:rsidRPr="00AD7C0C" w:rsidRDefault="00315EFA" w:rsidP="00A014BE">
            <w:pPr>
              <w:pStyle w:val="Tabletext"/>
              <w:rPr>
                <w:lang w:val="es-ES_tradnl"/>
              </w:rPr>
            </w:pPr>
          </w:p>
        </w:tc>
        <w:tc>
          <w:tcPr>
            <w:tcW w:w="2211" w:type="dxa"/>
          </w:tcPr>
          <w:p w:rsidR="00315EFA" w:rsidRPr="00923B9E" w:rsidRDefault="00315EFA" w:rsidP="00A014BE">
            <w:pPr>
              <w:pStyle w:val="Tabletext"/>
              <w:jc w:val="left"/>
              <w:rPr>
                <w:lang w:val="es-ES_tradnl"/>
              </w:rPr>
            </w:pPr>
            <w:r w:rsidRPr="00923B9E">
              <w:rPr>
                <w:lang w:val="es-ES_tradnl"/>
              </w:rPr>
              <w:t>5</w:t>
            </w:r>
            <w:r w:rsidRPr="00923B9E">
              <w:rPr>
                <w:lang w:val="es-ES_tradnl"/>
              </w:rPr>
              <w:tab/>
              <w:t>Imperceptible</w:t>
            </w:r>
          </w:p>
          <w:p w:rsidR="00315EFA" w:rsidRPr="00923B9E" w:rsidRDefault="00315EFA" w:rsidP="00A014BE">
            <w:pPr>
              <w:pStyle w:val="Tabletext"/>
              <w:ind w:left="284" w:hanging="284"/>
              <w:jc w:val="left"/>
              <w:rPr>
                <w:lang w:val="es-ES_tradnl"/>
              </w:rPr>
            </w:pPr>
            <w:r w:rsidRPr="00923B9E">
              <w:rPr>
                <w:lang w:val="es-ES_tradnl"/>
              </w:rPr>
              <w:t>4</w:t>
            </w:r>
            <w:r w:rsidRPr="00923B9E">
              <w:rPr>
                <w:lang w:val="es-ES_tradnl"/>
              </w:rPr>
              <w:tab/>
              <w:t>Perceptible, pero no molesta</w:t>
            </w:r>
          </w:p>
          <w:p w:rsidR="00315EFA" w:rsidRPr="00923B9E" w:rsidRDefault="00315EFA" w:rsidP="00A014BE">
            <w:pPr>
              <w:pStyle w:val="Tabletext"/>
              <w:ind w:left="284" w:hanging="284"/>
              <w:jc w:val="left"/>
              <w:rPr>
                <w:lang w:val="es-ES_tradnl"/>
              </w:rPr>
            </w:pPr>
            <w:r w:rsidRPr="00923B9E">
              <w:rPr>
                <w:lang w:val="es-ES_tradnl"/>
              </w:rPr>
              <w:t>3</w:t>
            </w:r>
            <w:r w:rsidRPr="00923B9E">
              <w:rPr>
                <w:lang w:val="es-ES_tradnl"/>
              </w:rPr>
              <w:tab/>
              <w:t>Ligeramente molesta</w:t>
            </w:r>
          </w:p>
          <w:p w:rsidR="00315EFA" w:rsidRPr="00E44854" w:rsidRDefault="00315EFA" w:rsidP="00A014BE">
            <w:pPr>
              <w:pStyle w:val="Tabletext"/>
              <w:jc w:val="left"/>
            </w:pPr>
            <w:r w:rsidRPr="00E44854">
              <w:t>2</w:t>
            </w:r>
            <w:r w:rsidRPr="00E44854">
              <w:tab/>
              <w:t>Molesta</w:t>
            </w:r>
          </w:p>
          <w:p w:rsidR="00315EFA" w:rsidRPr="00E44854" w:rsidRDefault="00315EFA" w:rsidP="00A014BE">
            <w:pPr>
              <w:pStyle w:val="Tabletext"/>
              <w:jc w:val="left"/>
            </w:pPr>
            <w:r w:rsidRPr="00E44854">
              <w:t>1</w:t>
            </w:r>
            <w:r w:rsidRPr="00E44854">
              <w:tab/>
              <w:t>Muy molesta</w:t>
            </w:r>
          </w:p>
        </w:tc>
        <w:tc>
          <w:tcPr>
            <w:tcW w:w="1559" w:type="dxa"/>
          </w:tcPr>
          <w:p w:rsidR="00315EFA" w:rsidRPr="00DC69D7" w:rsidRDefault="00315EFA" w:rsidP="00A014BE">
            <w:pPr>
              <w:pStyle w:val="Tabletext"/>
            </w:pPr>
          </w:p>
        </w:tc>
      </w:tr>
      <w:tr w:rsidR="00315EFA" w:rsidRPr="00753032" w:rsidTr="00B079B4">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 de escala de calidad continua de doble estímulo (DSCQS) descrito en la Recomendación UIT</w:t>
            </w:r>
            <w:r w:rsidRPr="00AD7C0C">
              <w:rPr>
                <w:lang w:val="es-ES_tradnl"/>
              </w:rPr>
              <w:noBreakHyphen/>
              <w:t>R BT.500, Anexo 1, § 5</w:t>
            </w:r>
          </w:p>
        </w:tc>
        <w:tc>
          <w:tcPr>
            <w:tcW w:w="1247" w:type="dxa"/>
          </w:tcPr>
          <w:p w:rsidR="00315EFA" w:rsidRPr="00E44854" w:rsidRDefault="00315EFA" w:rsidP="00A014BE">
            <w:pPr>
              <w:pStyle w:val="Tabletext"/>
              <w:jc w:val="center"/>
            </w:pPr>
            <w:r w:rsidRPr="00E44854">
              <w:t>~10 s</w:t>
            </w:r>
          </w:p>
        </w:tc>
        <w:tc>
          <w:tcPr>
            <w:tcW w:w="992" w:type="dxa"/>
          </w:tcPr>
          <w:p w:rsidR="00315EFA" w:rsidRPr="00362002" w:rsidRDefault="00315EFA" w:rsidP="00A014BE">
            <w:pPr>
              <w:pStyle w:val="Tabletext"/>
            </w:pPr>
          </w:p>
        </w:tc>
        <w:tc>
          <w:tcPr>
            <w:tcW w:w="2211" w:type="dxa"/>
          </w:tcPr>
          <w:p w:rsidR="00315EFA" w:rsidRPr="00E44854" w:rsidRDefault="00315EFA" w:rsidP="00A014BE">
            <w:pPr>
              <w:pStyle w:val="Tabletext"/>
            </w:pPr>
          </w:p>
        </w:tc>
        <w:tc>
          <w:tcPr>
            <w:tcW w:w="1559" w:type="dxa"/>
          </w:tcPr>
          <w:p w:rsidR="00315EFA" w:rsidRPr="00923B9E" w:rsidRDefault="00315EFA" w:rsidP="00A014BE">
            <w:pPr>
              <w:pStyle w:val="Tabletext"/>
            </w:pPr>
            <w:r w:rsidRPr="00923B9E">
              <w:rPr>
                <w:noProof/>
                <w:lang w:val="en-GB" w:eastAsia="zh-CN"/>
              </w:rPr>
              <w:drawing>
                <wp:inline distT="0" distB="0" distL="0" distR="0" wp14:anchorId="74D4E2C9" wp14:editId="260D333B">
                  <wp:extent cx="790575" cy="1076325"/>
                  <wp:effectExtent l="0" t="0" r="0" b="9525"/>
                  <wp:docPr id="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36">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bl>
    <w:p w:rsidR="00B079B4" w:rsidRDefault="00B079B4"/>
    <w:p w:rsidR="00B079B4" w:rsidRPr="00B079B4" w:rsidRDefault="00B079B4" w:rsidP="00B079B4">
      <w:pPr>
        <w:pStyle w:val="TableNo"/>
        <w:rPr>
          <w:lang w:val="es-ES_tradnl"/>
        </w:rPr>
      </w:pPr>
      <w:r w:rsidRPr="00362002">
        <w:rPr>
          <w:lang w:val="es-ES_tradnl"/>
        </w:rPr>
        <w:lastRenderedPageBreak/>
        <w:t>CUADRO 1</w:t>
      </w:r>
      <w:r>
        <w:rPr>
          <w:lang w:val="es-ES_tradnl"/>
        </w:rPr>
        <w:t xml:space="preserve"> (</w:t>
      </w:r>
      <w:r>
        <w:rPr>
          <w:i/>
          <w:iCs/>
          <w:lang w:val="es-ES_tradnl"/>
        </w:rPr>
        <w:t>fin</w:t>
      </w:r>
      <w:r>
        <w:rPr>
          <w:lang w:val="es-ES_tradnl"/>
        </w:rPr>
        <w:t>)</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8"/>
        <w:gridCol w:w="1247"/>
        <w:gridCol w:w="992"/>
        <w:gridCol w:w="2211"/>
        <w:gridCol w:w="1559"/>
      </w:tblGrid>
      <w:tr w:rsidR="00B079B4" w:rsidRPr="00362002" w:rsidTr="00A014BE">
        <w:trPr>
          <w:cantSplit/>
          <w:trHeight w:val="20"/>
          <w:tblHeader/>
          <w:jc w:val="center"/>
        </w:trPr>
        <w:tc>
          <w:tcPr>
            <w:tcW w:w="3628" w:type="dxa"/>
            <w:vAlign w:val="center"/>
          </w:tcPr>
          <w:p w:rsidR="00B079B4" w:rsidRPr="00362002" w:rsidRDefault="00B079B4" w:rsidP="00A014BE">
            <w:pPr>
              <w:pStyle w:val="Tablehead"/>
              <w:rPr>
                <w:lang w:val="es-ES_tradnl"/>
              </w:rPr>
            </w:pPr>
            <w:r w:rsidRPr="00362002">
              <w:rPr>
                <w:lang w:val="es-ES_tradnl"/>
              </w:rPr>
              <w:t>Modo de presentación</w:t>
            </w:r>
          </w:p>
        </w:tc>
        <w:tc>
          <w:tcPr>
            <w:tcW w:w="1247" w:type="dxa"/>
            <w:vAlign w:val="center"/>
          </w:tcPr>
          <w:p w:rsidR="00B079B4" w:rsidRPr="00362002" w:rsidRDefault="00B079B4" w:rsidP="00A014BE">
            <w:pPr>
              <w:pStyle w:val="Tablehead"/>
              <w:rPr>
                <w:lang w:val="es-ES_tradnl"/>
              </w:rPr>
            </w:pPr>
            <w:r w:rsidRPr="00362002">
              <w:rPr>
                <w:lang w:val="es-ES_tradnl"/>
              </w:rPr>
              <w:t>Duración de la secuencia</w:t>
            </w:r>
          </w:p>
        </w:tc>
        <w:tc>
          <w:tcPr>
            <w:tcW w:w="992" w:type="dxa"/>
            <w:vAlign w:val="center"/>
          </w:tcPr>
          <w:p w:rsidR="00B079B4" w:rsidRPr="00362002" w:rsidRDefault="00B079B4" w:rsidP="00A014BE">
            <w:pPr>
              <w:pStyle w:val="Tablehead"/>
              <w:rPr>
                <w:lang w:val="es-ES_tradnl"/>
              </w:rPr>
            </w:pPr>
            <w:r w:rsidRPr="00362002">
              <w:rPr>
                <w:lang w:val="es-ES_tradnl"/>
              </w:rPr>
              <w:t>Escala binaria</w:t>
            </w:r>
          </w:p>
        </w:tc>
        <w:tc>
          <w:tcPr>
            <w:tcW w:w="2211" w:type="dxa"/>
            <w:vAlign w:val="center"/>
          </w:tcPr>
          <w:p w:rsidR="00B079B4" w:rsidRPr="00362002" w:rsidRDefault="00B079B4" w:rsidP="00A014BE">
            <w:pPr>
              <w:pStyle w:val="Tablehead"/>
              <w:rPr>
                <w:lang w:val="es-ES_tradnl"/>
              </w:rPr>
            </w:pPr>
            <w:r w:rsidRPr="00362002">
              <w:rPr>
                <w:lang w:val="es-ES_tradnl"/>
              </w:rPr>
              <w:t>Escala discreta</w:t>
            </w:r>
          </w:p>
        </w:tc>
        <w:tc>
          <w:tcPr>
            <w:tcW w:w="1559" w:type="dxa"/>
            <w:vAlign w:val="center"/>
          </w:tcPr>
          <w:p w:rsidR="00B079B4" w:rsidRPr="00362002" w:rsidRDefault="00B079B4" w:rsidP="00A014BE">
            <w:pPr>
              <w:pStyle w:val="Tablehead"/>
              <w:rPr>
                <w:lang w:val="es-ES_tradnl"/>
              </w:rPr>
            </w:pPr>
            <w:r w:rsidRPr="00362002">
              <w:rPr>
                <w:lang w:val="es-ES_tradnl"/>
              </w:rPr>
              <w:t>Escala continua</w:t>
            </w:r>
          </w:p>
        </w:tc>
      </w:tr>
      <w:tr w:rsidR="00315EFA" w:rsidRPr="00315EFA" w:rsidTr="00B079B4">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Métodos de comparación de estímulos (SC) descrito en la Recomendación UIT R BT.500, Anexo 1, § 6.2</w:t>
            </w:r>
          </w:p>
        </w:tc>
        <w:tc>
          <w:tcPr>
            <w:tcW w:w="1247" w:type="dxa"/>
          </w:tcPr>
          <w:p w:rsidR="00315EFA" w:rsidRPr="00E44854" w:rsidRDefault="00315EFA" w:rsidP="00A014BE">
            <w:pPr>
              <w:pStyle w:val="Tabletext"/>
              <w:jc w:val="center"/>
            </w:pPr>
            <w:r w:rsidRPr="00E44854">
              <w:t>~10 s</w:t>
            </w:r>
          </w:p>
        </w:tc>
        <w:tc>
          <w:tcPr>
            <w:tcW w:w="992" w:type="dxa"/>
          </w:tcPr>
          <w:p w:rsidR="00315EFA" w:rsidRPr="00362002" w:rsidRDefault="00315EFA" w:rsidP="00A014BE">
            <w:pPr>
              <w:pStyle w:val="Tabletext"/>
            </w:pPr>
            <w:r w:rsidRPr="00362002">
              <w:t>A vs. B</w:t>
            </w:r>
          </w:p>
        </w:tc>
        <w:tc>
          <w:tcPr>
            <w:tcW w:w="2211" w:type="dxa"/>
          </w:tcPr>
          <w:p w:rsidR="00315EFA" w:rsidRPr="00AD7C0C" w:rsidRDefault="00315EFA" w:rsidP="00A014BE">
            <w:pPr>
              <w:pStyle w:val="Tabletext"/>
              <w:rPr>
                <w:lang w:val="es-ES_tradnl"/>
              </w:rPr>
            </w:pPr>
            <w:r w:rsidRPr="00AD7C0C">
              <w:rPr>
                <w:lang w:val="es-ES_tradnl"/>
              </w:rPr>
              <w:t>−3</w:t>
            </w:r>
            <w:r w:rsidRPr="00AD7C0C">
              <w:rPr>
                <w:lang w:val="es-ES_tradnl"/>
              </w:rPr>
              <w:tab/>
              <w:t>Mucho peor</w:t>
            </w:r>
          </w:p>
          <w:p w:rsidR="00315EFA" w:rsidRPr="00AD7C0C" w:rsidRDefault="00315EFA" w:rsidP="00A014BE">
            <w:pPr>
              <w:pStyle w:val="Tabletext"/>
              <w:rPr>
                <w:lang w:val="es-ES_tradnl"/>
              </w:rPr>
            </w:pPr>
            <w:r w:rsidRPr="00AD7C0C">
              <w:rPr>
                <w:lang w:val="es-ES_tradnl"/>
              </w:rPr>
              <w:t>−2</w:t>
            </w:r>
            <w:r w:rsidRPr="00AD7C0C">
              <w:rPr>
                <w:lang w:val="es-ES_tradnl"/>
              </w:rPr>
              <w:tab/>
              <w:t>Peor</w:t>
            </w:r>
          </w:p>
          <w:p w:rsidR="00315EFA" w:rsidRPr="00AD7C0C" w:rsidRDefault="00315EFA" w:rsidP="00A014BE">
            <w:pPr>
              <w:pStyle w:val="Tabletext"/>
              <w:ind w:left="284" w:hanging="284"/>
              <w:rPr>
                <w:lang w:val="es-ES_tradnl"/>
              </w:rPr>
            </w:pPr>
            <w:r w:rsidRPr="00AD7C0C">
              <w:rPr>
                <w:lang w:val="es-ES_tradnl"/>
              </w:rPr>
              <w:t>−1</w:t>
            </w:r>
            <w:r w:rsidRPr="00AD7C0C">
              <w:rPr>
                <w:lang w:val="es-ES_tradnl"/>
              </w:rPr>
              <w:tab/>
              <w:t>Ligeramente peor</w:t>
            </w:r>
          </w:p>
          <w:p w:rsidR="00315EFA" w:rsidRPr="00AD7C0C" w:rsidRDefault="00315EFA" w:rsidP="00A014BE">
            <w:pPr>
              <w:pStyle w:val="Tabletext"/>
              <w:rPr>
                <w:lang w:val="es-ES_tradnl"/>
              </w:rPr>
            </w:pPr>
            <w:r w:rsidRPr="00AD7C0C">
              <w:rPr>
                <w:lang w:val="es-ES_tradnl"/>
              </w:rPr>
              <w:t>0</w:t>
            </w:r>
            <w:r w:rsidRPr="00AD7C0C">
              <w:rPr>
                <w:lang w:val="es-ES_tradnl"/>
              </w:rPr>
              <w:tab/>
              <w:t>Igual</w:t>
            </w:r>
          </w:p>
          <w:p w:rsidR="00315EFA" w:rsidRPr="00AD7C0C" w:rsidRDefault="00315EFA" w:rsidP="00A014BE">
            <w:pPr>
              <w:pStyle w:val="Tabletext"/>
              <w:ind w:left="284" w:hanging="284"/>
              <w:rPr>
                <w:lang w:val="es-ES_tradnl"/>
              </w:rPr>
            </w:pPr>
            <w:r w:rsidRPr="00AD7C0C">
              <w:rPr>
                <w:lang w:val="es-ES_tradnl"/>
              </w:rPr>
              <w:t>1</w:t>
            </w:r>
            <w:r w:rsidRPr="00AD7C0C">
              <w:rPr>
                <w:lang w:val="es-ES_tradnl"/>
              </w:rPr>
              <w:tab/>
              <w:t>Ligeramente mejor</w:t>
            </w:r>
          </w:p>
          <w:p w:rsidR="00315EFA" w:rsidRPr="00AD7C0C" w:rsidRDefault="00315EFA" w:rsidP="00A014BE">
            <w:pPr>
              <w:pStyle w:val="Tabletext"/>
              <w:rPr>
                <w:lang w:val="es-ES_tradnl"/>
              </w:rPr>
            </w:pPr>
            <w:r w:rsidRPr="00AD7C0C">
              <w:rPr>
                <w:lang w:val="es-ES_tradnl"/>
              </w:rPr>
              <w:t>2</w:t>
            </w:r>
            <w:r w:rsidRPr="00AD7C0C">
              <w:rPr>
                <w:lang w:val="es-ES_tradnl"/>
              </w:rPr>
              <w:tab/>
              <w:t>Mejor</w:t>
            </w:r>
          </w:p>
          <w:p w:rsidR="00315EFA" w:rsidRPr="00AD7C0C" w:rsidRDefault="00315EFA" w:rsidP="00A014BE">
            <w:pPr>
              <w:pStyle w:val="Tabletext"/>
              <w:ind w:left="284" w:hanging="284"/>
              <w:rPr>
                <w:lang w:val="es-ES_tradnl"/>
              </w:rPr>
            </w:pPr>
            <w:r w:rsidRPr="00AD7C0C">
              <w:rPr>
                <w:lang w:val="es-ES_tradnl"/>
              </w:rPr>
              <w:t>3</w:t>
            </w:r>
            <w:r w:rsidRPr="00AD7C0C">
              <w:rPr>
                <w:lang w:val="es-ES_tradnl"/>
              </w:rPr>
              <w:tab/>
              <w:t>Mucho mejor</w:t>
            </w:r>
          </w:p>
        </w:tc>
        <w:tc>
          <w:tcPr>
            <w:tcW w:w="1559" w:type="dxa"/>
          </w:tcPr>
          <w:p w:rsidR="00315EFA" w:rsidRPr="00AD7C0C" w:rsidRDefault="00315EFA" w:rsidP="00A014BE">
            <w:pPr>
              <w:pStyle w:val="Tabletext"/>
              <w:rPr>
                <w:lang w:val="es-ES_tradnl"/>
              </w:rPr>
            </w:pPr>
          </w:p>
        </w:tc>
      </w:tr>
      <w:tr w:rsidR="00315EFA" w:rsidRPr="00753032" w:rsidTr="00B079B4">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 de evaluación de calidad continua de estímulo único (SSCQE) descrito en la Recomendación UIT R BT.500, Anexo 1, § 6.3</w:t>
            </w:r>
          </w:p>
        </w:tc>
        <w:tc>
          <w:tcPr>
            <w:tcW w:w="1247" w:type="dxa"/>
          </w:tcPr>
          <w:p w:rsidR="00315EFA" w:rsidRPr="00E44854" w:rsidRDefault="00315EFA" w:rsidP="00A014BE">
            <w:pPr>
              <w:pStyle w:val="Tabletext"/>
              <w:jc w:val="center"/>
            </w:pPr>
            <w:r w:rsidRPr="00E44854">
              <w:t>~3-5 min</w:t>
            </w:r>
          </w:p>
        </w:tc>
        <w:tc>
          <w:tcPr>
            <w:tcW w:w="992" w:type="dxa"/>
          </w:tcPr>
          <w:p w:rsidR="00315EFA" w:rsidRPr="00362002" w:rsidRDefault="00315EFA" w:rsidP="00A014BE">
            <w:pPr>
              <w:pStyle w:val="Tabletext"/>
            </w:pPr>
          </w:p>
        </w:tc>
        <w:tc>
          <w:tcPr>
            <w:tcW w:w="2211" w:type="dxa"/>
          </w:tcPr>
          <w:p w:rsidR="00315EFA" w:rsidRPr="00E44854" w:rsidRDefault="00315EFA" w:rsidP="00A014BE">
            <w:pPr>
              <w:pStyle w:val="Tabletext"/>
            </w:pPr>
          </w:p>
        </w:tc>
        <w:tc>
          <w:tcPr>
            <w:tcW w:w="1559" w:type="dxa"/>
          </w:tcPr>
          <w:p w:rsidR="00315EFA" w:rsidRPr="00923B9E" w:rsidRDefault="00315EFA" w:rsidP="00A014BE">
            <w:pPr>
              <w:pStyle w:val="Tabletext"/>
            </w:pPr>
            <w:r w:rsidRPr="00923B9E">
              <w:rPr>
                <w:noProof/>
                <w:lang w:val="en-GB" w:eastAsia="zh-CN"/>
              </w:rPr>
              <w:drawing>
                <wp:inline distT="0" distB="0" distL="0" distR="0" wp14:anchorId="63731BCC" wp14:editId="51FE583F">
                  <wp:extent cx="790575" cy="1076325"/>
                  <wp:effectExtent l="0" t="0" r="0" b="9525"/>
                  <wp:docPr id="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6">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315EFA" w:rsidRPr="00642254" w:rsidTr="00B079B4">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 de doble estímulo simultáneo para evaluación continua (SDSCE) descrito en la Recomendación UIT-R BT.500, Anexo 1, §</w:t>
            </w:r>
            <w:r>
              <w:rPr>
                <w:lang w:val="es-ES_tradnl"/>
              </w:rPr>
              <w:t xml:space="preserve"> </w:t>
            </w:r>
            <w:r w:rsidRPr="00AD7C0C">
              <w:rPr>
                <w:lang w:val="es-ES_tradnl"/>
              </w:rPr>
              <w:t>6.4</w:t>
            </w:r>
          </w:p>
        </w:tc>
        <w:tc>
          <w:tcPr>
            <w:tcW w:w="1247" w:type="dxa"/>
          </w:tcPr>
          <w:p w:rsidR="00315EFA" w:rsidRPr="00AD7C0C" w:rsidRDefault="00315EFA" w:rsidP="00A014BE">
            <w:pPr>
              <w:pStyle w:val="Tabletext"/>
              <w:jc w:val="center"/>
              <w:rPr>
                <w:lang w:val="es-ES_tradnl"/>
              </w:rPr>
            </w:pPr>
          </w:p>
        </w:tc>
        <w:tc>
          <w:tcPr>
            <w:tcW w:w="992" w:type="dxa"/>
          </w:tcPr>
          <w:p w:rsidR="00315EFA" w:rsidRPr="00AD7C0C" w:rsidRDefault="00315EFA" w:rsidP="00A014BE">
            <w:pPr>
              <w:pStyle w:val="Tabletext"/>
              <w:rPr>
                <w:lang w:val="es-ES_tradnl"/>
              </w:rPr>
            </w:pPr>
          </w:p>
        </w:tc>
        <w:tc>
          <w:tcPr>
            <w:tcW w:w="2211" w:type="dxa"/>
          </w:tcPr>
          <w:p w:rsidR="00315EFA" w:rsidRPr="00AD7C0C" w:rsidRDefault="00315EFA" w:rsidP="00A014BE">
            <w:pPr>
              <w:pStyle w:val="Tabletext"/>
              <w:rPr>
                <w:lang w:val="es-ES_tradnl"/>
              </w:rPr>
            </w:pPr>
          </w:p>
        </w:tc>
        <w:tc>
          <w:tcPr>
            <w:tcW w:w="1559" w:type="dxa"/>
          </w:tcPr>
          <w:p w:rsidR="00315EFA" w:rsidRPr="00DC69D7" w:rsidRDefault="00315EFA" w:rsidP="00A014BE">
            <w:pPr>
              <w:pStyle w:val="Tabletext"/>
            </w:pPr>
            <w:r w:rsidRPr="00923B9E">
              <w:rPr>
                <w:noProof/>
                <w:lang w:val="en-GB" w:eastAsia="zh-CN"/>
              </w:rPr>
              <w:drawing>
                <wp:inline distT="0" distB="0" distL="0" distR="0" wp14:anchorId="258C3B62" wp14:editId="0FCEF7EB">
                  <wp:extent cx="760178" cy="723569"/>
                  <wp:effectExtent l="0" t="0" r="1905" b="635"/>
                  <wp:docPr id="3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0178" cy="723569"/>
                          </a:xfrm>
                          <a:prstGeom prst="rect">
                            <a:avLst/>
                          </a:prstGeom>
                          <a:noFill/>
                          <a:ln w="9525">
                            <a:noFill/>
                            <a:miter lim="800000"/>
                            <a:headEnd/>
                            <a:tailEnd/>
                          </a:ln>
                        </pic:spPr>
                      </pic:pic>
                    </a:graphicData>
                  </a:graphic>
                </wp:inline>
              </w:drawing>
            </w:r>
          </w:p>
        </w:tc>
      </w:tr>
    </w:tbl>
    <w:p w:rsidR="00315EFA" w:rsidRPr="00DC69D7" w:rsidRDefault="00315EFA" w:rsidP="00315EFA">
      <w:pPr>
        <w:pStyle w:val="Tablefin"/>
      </w:pPr>
    </w:p>
    <w:p w:rsidR="00315EFA" w:rsidRPr="00E44854" w:rsidRDefault="00315EFA" w:rsidP="00B079B4">
      <w:pPr>
        <w:pStyle w:val="TableNo"/>
        <w:keepLines/>
        <w:rPr>
          <w:lang w:val="es-ES_tradnl"/>
        </w:rPr>
      </w:pPr>
      <w:r w:rsidRPr="00E44854">
        <w:rPr>
          <w:lang w:val="es-ES_tradnl"/>
        </w:rPr>
        <w:lastRenderedPageBreak/>
        <w:t>CUADRO 2</w:t>
      </w:r>
    </w:p>
    <w:p w:rsidR="00315EFA" w:rsidRPr="00E44854" w:rsidRDefault="00315EFA" w:rsidP="00B079B4">
      <w:pPr>
        <w:pStyle w:val="Tabletitle"/>
        <w:keepLines/>
        <w:rPr>
          <w:lang w:val="es-ES_tradnl"/>
        </w:rPr>
      </w:pPr>
      <w:r w:rsidRPr="00E44854">
        <w:rPr>
          <w:lang w:val="es-ES_tradnl"/>
        </w:rPr>
        <w:t>Métodos subjetivos de evaluación de la calidad de la profundidad</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8"/>
        <w:gridCol w:w="1247"/>
        <w:gridCol w:w="992"/>
        <w:gridCol w:w="2211"/>
        <w:gridCol w:w="1559"/>
      </w:tblGrid>
      <w:tr w:rsidR="00315EFA" w:rsidRPr="00753032" w:rsidTr="00A014BE">
        <w:trPr>
          <w:cantSplit/>
          <w:trHeight w:val="20"/>
          <w:tblHeader/>
          <w:jc w:val="center"/>
        </w:trPr>
        <w:tc>
          <w:tcPr>
            <w:tcW w:w="3628" w:type="dxa"/>
            <w:vAlign w:val="center"/>
          </w:tcPr>
          <w:p w:rsidR="00315EFA" w:rsidRPr="00E44854" w:rsidRDefault="00315EFA" w:rsidP="00B079B4">
            <w:pPr>
              <w:pStyle w:val="Tablehead"/>
              <w:keepLines/>
              <w:rPr>
                <w:lang w:val="es-ES_tradnl"/>
              </w:rPr>
            </w:pPr>
            <w:r w:rsidRPr="00E44854">
              <w:rPr>
                <w:lang w:val="es-ES_tradnl"/>
              </w:rPr>
              <w:t>Modo de presentación</w:t>
            </w:r>
          </w:p>
        </w:tc>
        <w:tc>
          <w:tcPr>
            <w:tcW w:w="1247" w:type="dxa"/>
            <w:vAlign w:val="center"/>
          </w:tcPr>
          <w:p w:rsidR="00315EFA" w:rsidRPr="00E44854" w:rsidRDefault="00315EFA" w:rsidP="00B079B4">
            <w:pPr>
              <w:pStyle w:val="Tablehead"/>
              <w:keepLines/>
              <w:rPr>
                <w:lang w:val="es-ES_tradnl"/>
              </w:rPr>
            </w:pPr>
            <w:r w:rsidRPr="00E44854">
              <w:rPr>
                <w:lang w:val="es-ES_tradnl"/>
              </w:rPr>
              <w:t>Duración de la secuencia</w:t>
            </w:r>
          </w:p>
        </w:tc>
        <w:tc>
          <w:tcPr>
            <w:tcW w:w="992" w:type="dxa"/>
            <w:vAlign w:val="center"/>
          </w:tcPr>
          <w:p w:rsidR="00315EFA" w:rsidRPr="00E44854" w:rsidRDefault="00315EFA" w:rsidP="00B079B4">
            <w:pPr>
              <w:pStyle w:val="Tablehead"/>
              <w:keepLines/>
              <w:rPr>
                <w:lang w:val="es-ES_tradnl"/>
              </w:rPr>
            </w:pPr>
            <w:r w:rsidRPr="00E44854">
              <w:rPr>
                <w:lang w:val="es-ES_tradnl"/>
              </w:rPr>
              <w:t>Escala binaria</w:t>
            </w:r>
          </w:p>
        </w:tc>
        <w:tc>
          <w:tcPr>
            <w:tcW w:w="2211" w:type="dxa"/>
            <w:vAlign w:val="center"/>
          </w:tcPr>
          <w:p w:rsidR="00315EFA" w:rsidRPr="00E44854" w:rsidRDefault="00315EFA" w:rsidP="00B079B4">
            <w:pPr>
              <w:pStyle w:val="Tablehead"/>
              <w:keepLines/>
              <w:rPr>
                <w:lang w:val="es-ES_tradnl"/>
              </w:rPr>
            </w:pPr>
            <w:r w:rsidRPr="00E44854">
              <w:rPr>
                <w:lang w:val="es-ES_tradnl"/>
              </w:rPr>
              <w:t>Escala discreta</w:t>
            </w:r>
          </w:p>
        </w:tc>
        <w:tc>
          <w:tcPr>
            <w:tcW w:w="1559" w:type="dxa"/>
            <w:vAlign w:val="center"/>
          </w:tcPr>
          <w:p w:rsidR="00315EFA" w:rsidRPr="00E44854" w:rsidRDefault="00315EFA" w:rsidP="00B079B4">
            <w:pPr>
              <w:pStyle w:val="Tablehead"/>
              <w:keepLines/>
              <w:rPr>
                <w:lang w:val="es-ES_tradnl"/>
              </w:rPr>
            </w:pPr>
            <w:r w:rsidRPr="00E44854">
              <w:rPr>
                <w:lang w:val="es-ES_tradnl"/>
              </w:rPr>
              <w:t>Escala continua</w:t>
            </w:r>
          </w:p>
        </w:tc>
      </w:tr>
      <w:tr w:rsidR="00315EFA" w:rsidRPr="00753032" w:rsidTr="00A014BE">
        <w:trPr>
          <w:cantSplit/>
          <w:trHeight w:val="20"/>
          <w:jc w:val="center"/>
        </w:trPr>
        <w:tc>
          <w:tcPr>
            <w:tcW w:w="3628" w:type="dxa"/>
          </w:tcPr>
          <w:p w:rsidR="00315EFA" w:rsidRPr="00AD7C0C" w:rsidRDefault="00315EFA" w:rsidP="00B079B4">
            <w:pPr>
              <w:pStyle w:val="Tabletext"/>
              <w:keepNext/>
              <w:keepLines/>
              <w:jc w:val="left"/>
              <w:rPr>
                <w:lang w:val="es-ES_tradnl"/>
              </w:rPr>
            </w:pPr>
            <w:r w:rsidRPr="00AD7C0C">
              <w:rPr>
                <w:lang w:val="es-ES_tradnl"/>
              </w:rPr>
              <w:t>Métodos de estímulo único (SS) descritos en la Recomendación UIT</w:t>
            </w:r>
            <w:r w:rsidRPr="00AD7C0C">
              <w:rPr>
                <w:lang w:val="es-ES_tradnl"/>
              </w:rPr>
              <w:noBreakHyphen/>
              <w:t>R BT.500, Anexo 1, § 6.1</w:t>
            </w:r>
          </w:p>
        </w:tc>
        <w:tc>
          <w:tcPr>
            <w:tcW w:w="1247" w:type="dxa"/>
          </w:tcPr>
          <w:p w:rsidR="00315EFA" w:rsidRPr="00266A0B" w:rsidRDefault="00315EFA" w:rsidP="00B079B4">
            <w:pPr>
              <w:pStyle w:val="Tabletext"/>
              <w:keepNext/>
              <w:keepLines/>
            </w:pPr>
            <w:r w:rsidRPr="00266A0B">
              <w:t>~10 s</w:t>
            </w:r>
          </w:p>
        </w:tc>
        <w:tc>
          <w:tcPr>
            <w:tcW w:w="992" w:type="dxa"/>
          </w:tcPr>
          <w:p w:rsidR="00315EFA" w:rsidRPr="00266A0B" w:rsidRDefault="00315EFA" w:rsidP="00B079B4">
            <w:pPr>
              <w:pStyle w:val="Tabletext"/>
              <w:keepNext/>
              <w:keepLines/>
            </w:pPr>
          </w:p>
        </w:tc>
        <w:tc>
          <w:tcPr>
            <w:tcW w:w="2211" w:type="dxa"/>
          </w:tcPr>
          <w:p w:rsidR="00315EFA" w:rsidRPr="00AD7C0C" w:rsidRDefault="00315EFA" w:rsidP="00B079B4">
            <w:pPr>
              <w:pStyle w:val="Tabletext"/>
              <w:keepNext/>
              <w:keepLines/>
              <w:spacing w:before="100" w:after="100"/>
              <w:rPr>
                <w:lang w:val="es-ES_tradnl"/>
              </w:rPr>
            </w:pPr>
            <w:r w:rsidRPr="00AD7C0C">
              <w:rPr>
                <w:lang w:val="es-ES_tradnl"/>
              </w:rPr>
              <w:t>5</w:t>
            </w:r>
            <w:r w:rsidRPr="00AD7C0C">
              <w:rPr>
                <w:lang w:val="es-ES_tradnl"/>
              </w:rPr>
              <w:tab/>
              <w:t>Excelente</w:t>
            </w:r>
          </w:p>
          <w:p w:rsidR="00315EFA" w:rsidRPr="00AD7C0C" w:rsidRDefault="00315EFA" w:rsidP="00B079B4">
            <w:pPr>
              <w:pStyle w:val="Tabletext"/>
              <w:keepNext/>
              <w:keepLines/>
              <w:spacing w:before="100" w:after="100"/>
              <w:rPr>
                <w:lang w:val="es-ES_tradnl"/>
              </w:rPr>
            </w:pPr>
            <w:r w:rsidRPr="00AD7C0C">
              <w:rPr>
                <w:lang w:val="es-ES_tradnl"/>
              </w:rPr>
              <w:t>4</w:t>
            </w:r>
            <w:r w:rsidRPr="00AD7C0C">
              <w:rPr>
                <w:lang w:val="es-ES_tradnl"/>
              </w:rPr>
              <w:tab/>
              <w:t>Bueno</w:t>
            </w:r>
          </w:p>
          <w:p w:rsidR="00315EFA" w:rsidRPr="00AD7C0C" w:rsidRDefault="00315EFA" w:rsidP="00B079B4">
            <w:pPr>
              <w:pStyle w:val="Tabletext"/>
              <w:keepNext/>
              <w:keepLines/>
              <w:spacing w:before="100" w:after="100"/>
              <w:rPr>
                <w:lang w:val="es-ES_tradnl"/>
              </w:rPr>
            </w:pPr>
            <w:r w:rsidRPr="00AD7C0C">
              <w:rPr>
                <w:lang w:val="es-ES_tradnl"/>
              </w:rPr>
              <w:t>3</w:t>
            </w:r>
            <w:r w:rsidRPr="00AD7C0C">
              <w:rPr>
                <w:lang w:val="es-ES_tradnl"/>
              </w:rPr>
              <w:tab/>
              <w:t>Aceptable</w:t>
            </w:r>
          </w:p>
          <w:p w:rsidR="00315EFA" w:rsidRPr="00AD7C0C" w:rsidRDefault="00315EFA" w:rsidP="00B079B4">
            <w:pPr>
              <w:pStyle w:val="Tabletext"/>
              <w:keepNext/>
              <w:keepLines/>
              <w:spacing w:before="100" w:after="100"/>
              <w:rPr>
                <w:lang w:val="es-ES_tradnl"/>
              </w:rPr>
            </w:pPr>
            <w:r w:rsidRPr="00AD7C0C">
              <w:rPr>
                <w:lang w:val="es-ES_tradnl"/>
              </w:rPr>
              <w:t>2</w:t>
            </w:r>
            <w:r w:rsidRPr="00AD7C0C">
              <w:rPr>
                <w:lang w:val="es-ES_tradnl"/>
              </w:rPr>
              <w:tab/>
              <w:t>Mediocre</w:t>
            </w:r>
          </w:p>
          <w:p w:rsidR="00315EFA" w:rsidRPr="00AD7C0C" w:rsidRDefault="00315EFA" w:rsidP="00B079B4">
            <w:pPr>
              <w:pStyle w:val="Tabletext"/>
              <w:keepNext/>
              <w:keepLines/>
              <w:spacing w:before="100" w:after="100"/>
              <w:rPr>
                <w:lang w:val="es-ES_tradnl"/>
              </w:rPr>
            </w:pPr>
            <w:r w:rsidRPr="00AD7C0C">
              <w:rPr>
                <w:lang w:val="es-ES_tradnl"/>
              </w:rPr>
              <w:t>1</w:t>
            </w:r>
            <w:r w:rsidRPr="00AD7C0C">
              <w:rPr>
                <w:lang w:val="es-ES_tradnl"/>
              </w:rPr>
              <w:tab/>
              <w:t>Malo</w:t>
            </w:r>
          </w:p>
        </w:tc>
        <w:tc>
          <w:tcPr>
            <w:tcW w:w="1559" w:type="dxa"/>
          </w:tcPr>
          <w:p w:rsidR="00315EFA" w:rsidRPr="00753032" w:rsidRDefault="00315EFA" w:rsidP="00B079B4">
            <w:pPr>
              <w:pStyle w:val="Tabletext"/>
              <w:keepNext/>
              <w:keepLines/>
              <w:spacing w:before="80" w:after="80"/>
              <w:rPr>
                <w:rFonts w:eastAsia="MS ??"/>
                <w:lang w:val="es-ES"/>
              </w:rPr>
            </w:pPr>
            <w:r w:rsidRPr="00753032">
              <w:rPr>
                <w:rFonts w:eastAsia="MS ??"/>
                <w:noProof/>
                <w:sz w:val="24"/>
                <w:lang w:val="en-GB" w:eastAsia="zh-CN"/>
              </w:rPr>
              <w:drawing>
                <wp:inline distT="0" distB="0" distL="0" distR="0" wp14:anchorId="1209B9A2" wp14:editId="1A23255D">
                  <wp:extent cx="790575" cy="1076325"/>
                  <wp:effectExtent l="0" t="0" r="0"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36">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315EFA" w:rsidRPr="00753032" w:rsidTr="00A014BE">
        <w:trPr>
          <w:cantSplit/>
          <w:trHeight w:val="20"/>
          <w:jc w:val="center"/>
        </w:trPr>
        <w:tc>
          <w:tcPr>
            <w:tcW w:w="3628" w:type="dxa"/>
          </w:tcPr>
          <w:p w:rsidR="00315EFA" w:rsidRPr="00AD7C0C" w:rsidRDefault="00315EFA" w:rsidP="00B079B4">
            <w:pPr>
              <w:pStyle w:val="Tabletext"/>
              <w:keepNext/>
              <w:keepLines/>
              <w:jc w:val="left"/>
              <w:rPr>
                <w:lang w:val="es-ES_tradnl"/>
              </w:rPr>
            </w:pPr>
            <w:r w:rsidRPr="00AD7C0C">
              <w:rPr>
                <w:lang w:val="es-ES_tradnl"/>
              </w:rPr>
              <w:t>Método de escala de degradación con doble estímulo (DSIS) descrito en la Recomendación UIT-R BT.500, Anexo 1, §</w:t>
            </w:r>
            <w:r>
              <w:rPr>
                <w:lang w:val="es-ES_tradnl"/>
              </w:rPr>
              <w:t xml:space="preserve"> </w:t>
            </w:r>
            <w:r w:rsidRPr="00AD7C0C">
              <w:rPr>
                <w:lang w:val="es-ES_tradnl"/>
              </w:rPr>
              <w:t>4</w:t>
            </w:r>
          </w:p>
        </w:tc>
        <w:tc>
          <w:tcPr>
            <w:tcW w:w="1247" w:type="dxa"/>
          </w:tcPr>
          <w:p w:rsidR="00315EFA" w:rsidRPr="00AD7C0C" w:rsidRDefault="00315EFA" w:rsidP="00B079B4">
            <w:pPr>
              <w:pStyle w:val="Tabletext"/>
              <w:keepNext/>
              <w:keepLines/>
              <w:rPr>
                <w:lang w:val="es-ES_tradnl"/>
              </w:rPr>
            </w:pPr>
          </w:p>
        </w:tc>
        <w:tc>
          <w:tcPr>
            <w:tcW w:w="992" w:type="dxa"/>
          </w:tcPr>
          <w:p w:rsidR="00315EFA" w:rsidRPr="00AD7C0C" w:rsidRDefault="00315EFA" w:rsidP="00B079B4">
            <w:pPr>
              <w:pStyle w:val="Tabletext"/>
              <w:keepNext/>
              <w:keepLines/>
              <w:rPr>
                <w:lang w:val="es-ES_tradnl"/>
              </w:rPr>
            </w:pPr>
          </w:p>
        </w:tc>
        <w:tc>
          <w:tcPr>
            <w:tcW w:w="2211" w:type="dxa"/>
          </w:tcPr>
          <w:p w:rsidR="00315EFA" w:rsidRPr="00AD7C0C" w:rsidRDefault="00315EFA" w:rsidP="00B079B4">
            <w:pPr>
              <w:pStyle w:val="Tabletext"/>
              <w:keepNext/>
              <w:keepLines/>
              <w:spacing w:before="100" w:after="100"/>
              <w:rPr>
                <w:lang w:val="es-ES_tradnl"/>
              </w:rPr>
            </w:pPr>
            <w:r w:rsidRPr="00AD7C0C">
              <w:rPr>
                <w:lang w:val="es-ES_tradnl"/>
              </w:rPr>
              <w:t>5</w:t>
            </w:r>
            <w:r w:rsidRPr="00AD7C0C">
              <w:rPr>
                <w:lang w:val="es-ES_tradnl"/>
              </w:rPr>
              <w:tab/>
              <w:t>Imperceptible</w:t>
            </w:r>
          </w:p>
          <w:p w:rsidR="00315EFA" w:rsidRPr="00AD7C0C" w:rsidRDefault="00315EFA" w:rsidP="00B079B4">
            <w:pPr>
              <w:pStyle w:val="Tabletext"/>
              <w:keepNext/>
              <w:keepLines/>
              <w:spacing w:before="100" w:after="100"/>
              <w:ind w:left="284" w:hanging="284"/>
              <w:jc w:val="left"/>
              <w:rPr>
                <w:lang w:val="es-ES_tradnl"/>
              </w:rPr>
            </w:pPr>
            <w:r w:rsidRPr="00AD7C0C">
              <w:rPr>
                <w:lang w:val="es-ES_tradnl"/>
              </w:rPr>
              <w:t>4</w:t>
            </w:r>
            <w:r w:rsidRPr="00AD7C0C">
              <w:rPr>
                <w:lang w:val="es-ES_tradnl"/>
              </w:rPr>
              <w:tab/>
              <w:t>Perceptible, Pero no molesta</w:t>
            </w:r>
          </w:p>
          <w:p w:rsidR="00315EFA" w:rsidRPr="00AD7C0C" w:rsidRDefault="00315EFA" w:rsidP="00B079B4">
            <w:pPr>
              <w:pStyle w:val="Tabletext"/>
              <w:keepNext/>
              <w:keepLines/>
              <w:spacing w:before="100" w:after="100"/>
              <w:ind w:left="284" w:hanging="284"/>
              <w:rPr>
                <w:lang w:val="es-ES_tradnl"/>
              </w:rPr>
            </w:pPr>
            <w:r w:rsidRPr="00AD7C0C">
              <w:rPr>
                <w:lang w:val="es-ES_tradnl"/>
              </w:rPr>
              <w:t>3</w:t>
            </w:r>
            <w:r w:rsidRPr="00AD7C0C">
              <w:rPr>
                <w:lang w:val="es-ES_tradnl"/>
              </w:rPr>
              <w:tab/>
              <w:t>Ligeramente molesta</w:t>
            </w:r>
          </w:p>
          <w:p w:rsidR="00315EFA" w:rsidRPr="00266A0B" w:rsidRDefault="00315EFA" w:rsidP="00B079B4">
            <w:pPr>
              <w:pStyle w:val="Tabletext"/>
              <w:keepNext/>
              <w:keepLines/>
              <w:spacing w:before="100" w:after="100"/>
            </w:pPr>
            <w:r w:rsidRPr="00266A0B">
              <w:t>2</w:t>
            </w:r>
            <w:r w:rsidRPr="00266A0B">
              <w:tab/>
              <w:t>Molesta</w:t>
            </w:r>
          </w:p>
          <w:p w:rsidR="00315EFA" w:rsidRPr="00266A0B" w:rsidRDefault="00315EFA" w:rsidP="00B079B4">
            <w:pPr>
              <w:pStyle w:val="Tabletext"/>
              <w:keepNext/>
              <w:keepLines/>
              <w:spacing w:before="100" w:after="100"/>
            </w:pPr>
            <w:r w:rsidRPr="00266A0B">
              <w:t>1</w:t>
            </w:r>
            <w:r w:rsidRPr="00266A0B">
              <w:tab/>
              <w:t>Muy molesta</w:t>
            </w:r>
          </w:p>
        </w:tc>
        <w:tc>
          <w:tcPr>
            <w:tcW w:w="1559" w:type="dxa"/>
          </w:tcPr>
          <w:p w:rsidR="00315EFA" w:rsidRPr="00753032" w:rsidRDefault="00315EFA" w:rsidP="00B079B4">
            <w:pPr>
              <w:pStyle w:val="Tabletext"/>
              <w:keepNext/>
              <w:keepLines/>
              <w:spacing w:before="80" w:after="80"/>
              <w:rPr>
                <w:rFonts w:eastAsia="MS ??"/>
                <w:noProof/>
                <w:sz w:val="24"/>
                <w:lang w:val="en-US" w:eastAsia="zh-CN"/>
              </w:rPr>
            </w:pPr>
          </w:p>
        </w:tc>
      </w:tr>
      <w:tr w:rsidR="00315EFA" w:rsidRPr="00753032" w:rsidTr="00A014BE">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 de escala de calidad continua de doble estímulo (DSCQS) descrito en la Recomendación UIT</w:t>
            </w:r>
            <w:r w:rsidRPr="00AD7C0C">
              <w:rPr>
                <w:lang w:val="es-ES_tradnl"/>
              </w:rPr>
              <w:noBreakHyphen/>
              <w:t>R BT.500, Anexo 1, § 5</w:t>
            </w:r>
          </w:p>
        </w:tc>
        <w:tc>
          <w:tcPr>
            <w:tcW w:w="1247" w:type="dxa"/>
          </w:tcPr>
          <w:p w:rsidR="00315EFA" w:rsidRPr="00266A0B" w:rsidRDefault="00315EFA" w:rsidP="00A014BE">
            <w:pPr>
              <w:pStyle w:val="Tabletext"/>
            </w:pPr>
            <w:r w:rsidRPr="00266A0B">
              <w:t>~10 s</w:t>
            </w:r>
          </w:p>
        </w:tc>
        <w:tc>
          <w:tcPr>
            <w:tcW w:w="992" w:type="dxa"/>
          </w:tcPr>
          <w:p w:rsidR="00315EFA" w:rsidRPr="00266A0B" w:rsidRDefault="00315EFA" w:rsidP="00A014BE">
            <w:pPr>
              <w:pStyle w:val="Tabletext"/>
            </w:pPr>
          </w:p>
        </w:tc>
        <w:tc>
          <w:tcPr>
            <w:tcW w:w="2211" w:type="dxa"/>
          </w:tcPr>
          <w:p w:rsidR="00315EFA" w:rsidRPr="00266A0B" w:rsidRDefault="00315EFA" w:rsidP="00A014BE">
            <w:pPr>
              <w:pStyle w:val="Tabletext"/>
            </w:pPr>
          </w:p>
        </w:tc>
        <w:tc>
          <w:tcPr>
            <w:tcW w:w="1559" w:type="dxa"/>
          </w:tcPr>
          <w:p w:rsidR="00315EFA" w:rsidRPr="00753032" w:rsidRDefault="00315EFA" w:rsidP="00A014BE">
            <w:pPr>
              <w:pStyle w:val="Tabletext"/>
              <w:spacing w:before="80" w:after="80"/>
              <w:rPr>
                <w:rFonts w:eastAsia="MS ??"/>
                <w:lang w:val="es-ES"/>
              </w:rPr>
            </w:pPr>
            <w:r w:rsidRPr="00753032">
              <w:rPr>
                <w:rFonts w:eastAsia="MS ??"/>
                <w:noProof/>
                <w:sz w:val="24"/>
                <w:lang w:val="en-GB" w:eastAsia="zh-CN"/>
              </w:rPr>
              <w:drawing>
                <wp:inline distT="0" distB="0" distL="0" distR="0" wp14:anchorId="515D2C63" wp14:editId="7E7CB65E">
                  <wp:extent cx="790575" cy="1076325"/>
                  <wp:effectExtent l="0" t="0" r="0" b="9525"/>
                  <wp:docPr id="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6">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315EFA" w:rsidRPr="00315EFA" w:rsidTr="00A014BE">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Métodos de comparación de estímulos (SC) descrito en la Recomendación UIT R BT.500, Anexo 1, § 6.2</w:t>
            </w:r>
          </w:p>
        </w:tc>
        <w:tc>
          <w:tcPr>
            <w:tcW w:w="1247" w:type="dxa"/>
          </w:tcPr>
          <w:p w:rsidR="00315EFA" w:rsidRPr="00266A0B" w:rsidRDefault="00315EFA" w:rsidP="00A014BE">
            <w:pPr>
              <w:pStyle w:val="Tabletext"/>
            </w:pPr>
            <w:r w:rsidRPr="00266A0B">
              <w:t>~10 s</w:t>
            </w:r>
          </w:p>
        </w:tc>
        <w:tc>
          <w:tcPr>
            <w:tcW w:w="992" w:type="dxa"/>
          </w:tcPr>
          <w:p w:rsidR="00315EFA" w:rsidRPr="00266A0B" w:rsidRDefault="00315EFA" w:rsidP="00A014BE">
            <w:pPr>
              <w:pStyle w:val="Tabletext"/>
            </w:pPr>
            <w:r w:rsidRPr="00266A0B">
              <w:t>A vs. B</w:t>
            </w:r>
          </w:p>
        </w:tc>
        <w:tc>
          <w:tcPr>
            <w:tcW w:w="2211" w:type="dxa"/>
          </w:tcPr>
          <w:p w:rsidR="00315EFA" w:rsidRPr="00AD7C0C" w:rsidRDefault="00315EFA" w:rsidP="00A014BE">
            <w:pPr>
              <w:pStyle w:val="Tabletext"/>
              <w:rPr>
                <w:lang w:val="es-ES_tradnl"/>
              </w:rPr>
            </w:pPr>
            <w:r w:rsidRPr="00AD7C0C">
              <w:rPr>
                <w:lang w:val="es-ES_tradnl"/>
              </w:rPr>
              <w:t>−3</w:t>
            </w:r>
            <w:r w:rsidRPr="00AD7C0C">
              <w:rPr>
                <w:lang w:val="es-ES_tradnl"/>
              </w:rPr>
              <w:tab/>
              <w:t>Mucho peor</w:t>
            </w:r>
          </w:p>
          <w:p w:rsidR="00315EFA" w:rsidRPr="00AD7C0C" w:rsidRDefault="00315EFA" w:rsidP="00A014BE">
            <w:pPr>
              <w:pStyle w:val="Tabletext"/>
              <w:rPr>
                <w:lang w:val="es-ES_tradnl"/>
              </w:rPr>
            </w:pPr>
            <w:r w:rsidRPr="00AD7C0C">
              <w:rPr>
                <w:lang w:val="es-ES_tradnl"/>
              </w:rPr>
              <w:t>−2</w:t>
            </w:r>
            <w:r w:rsidRPr="00AD7C0C">
              <w:rPr>
                <w:lang w:val="es-ES_tradnl"/>
              </w:rPr>
              <w:tab/>
              <w:t>Peor</w:t>
            </w:r>
          </w:p>
          <w:p w:rsidR="00315EFA" w:rsidRPr="00AD7C0C" w:rsidRDefault="00315EFA" w:rsidP="00A014BE">
            <w:pPr>
              <w:pStyle w:val="Tabletext"/>
              <w:rPr>
                <w:lang w:val="es-ES_tradnl"/>
              </w:rPr>
            </w:pPr>
            <w:r w:rsidRPr="00AD7C0C">
              <w:rPr>
                <w:lang w:val="es-ES_tradnl"/>
              </w:rPr>
              <w:t>−1</w:t>
            </w:r>
            <w:r w:rsidRPr="00AD7C0C">
              <w:rPr>
                <w:lang w:val="es-ES_tradnl"/>
              </w:rPr>
              <w:tab/>
              <w:t>Ligeramente peor</w:t>
            </w:r>
          </w:p>
          <w:p w:rsidR="00315EFA" w:rsidRPr="00AD7C0C" w:rsidRDefault="00315EFA" w:rsidP="00A014BE">
            <w:pPr>
              <w:pStyle w:val="Tabletext"/>
              <w:rPr>
                <w:lang w:val="es-ES_tradnl"/>
              </w:rPr>
            </w:pPr>
            <w:r w:rsidRPr="00AD7C0C">
              <w:rPr>
                <w:lang w:val="es-ES_tradnl"/>
              </w:rPr>
              <w:t>0</w:t>
            </w:r>
            <w:r w:rsidRPr="00AD7C0C">
              <w:rPr>
                <w:lang w:val="es-ES_tradnl"/>
              </w:rPr>
              <w:tab/>
              <w:t>Igual</w:t>
            </w:r>
          </w:p>
          <w:p w:rsidR="00315EFA" w:rsidRPr="00AD7C0C" w:rsidRDefault="00315EFA" w:rsidP="00A014BE">
            <w:pPr>
              <w:pStyle w:val="Tabletext"/>
              <w:ind w:left="284" w:hanging="284"/>
              <w:rPr>
                <w:lang w:val="es-ES_tradnl"/>
              </w:rPr>
            </w:pPr>
            <w:r w:rsidRPr="00AD7C0C">
              <w:rPr>
                <w:lang w:val="es-ES_tradnl"/>
              </w:rPr>
              <w:t>1</w:t>
            </w:r>
            <w:r w:rsidRPr="00AD7C0C">
              <w:rPr>
                <w:lang w:val="es-ES_tradnl"/>
              </w:rPr>
              <w:tab/>
              <w:t>Ligeramente mejor</w:t>
            </w:r>
          </w:p>
          <w:p w:rsidR="00315EFA" w:rsidRPr="00AD7C0C" w:rsidRDefault="00315EFA" w:rsidP="00A014BE">
            <w:pPr>
              <w:pStyle w:val="Tabletext"/>
              <w:rPr>
                <w:lang w:val="es-ES_tradnl"/>
              </w:rPr>
            </w:pPr>
            <w:r w:rsidRPr="00AD7C0C">
              <w:rPr>
                <w:lang w:val="es-ES_tradnl"/>
              </w:rPr>
              <w:t>2</w:t>
            </w:r>
            <w:r w:rsidRPr="00AD7C0C">
              <w:rPr>
                <w:lang w:val="es-ES_tradnl"/>
              </w:rPr>
              <w:tab/>
              <w:t>Mejor</w:t>
            </w:r>
          </w:p>
          <w:p w:rsidR="00315EFA" w:rsidRPr="00AD7C0C" w:rsidRDefault="00315EFA" w:rsidP="00A014BE">
            <w:pPr>
              <w:pStyle w:val="Tabletext"/>
              <w:rPr>
                <w:lang w:val="es-ES_tradnl"/>
              </w:rPr>
            </w:pPr>
            <w:r w:rsidRPr="00AD7C0C">
              <w:rPr>
                <w:lang w:val="es-ES_tradnl"/>
              </w:rPr>
              <w:t>3</w:t>
            </w:r>
            <w:r w:rsidRPr="00AD7C0C">
              <w:rPr>
                <w:lang w:val="es-ES_tradnl"/>
              </w:rPr>
              <w:tab/>
              <w:t>Mucho mejor</w:t>
            </w:r>
          </w:p>
        </w:tc>
        <w:tc>
          <w:tcPr>
            <w:tcW w:w="1559" w:type="dxa"/>
          </w:tcPr>
          <w:p w:rsidR="00315EFA" w:rsidRPr="00753032" w:rsidRDefault="00315EFA" w:rsidP="00A014BE">
            <w:pPr>
              <w:pStyle w:val="Tabletext"/>
              <w:rPr>
                <w:lang w:val="es-ES"/>
              </w:rPr>
            </w:pPr>
          </w:p>
        </w:tc>
      </w:tr>
      <w:tr w:rsidR="00315EFA" w:rsidRPr="00753032" w:rsidTr="00A014BE">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 de evaluación de calidad continua de estímulo único (SSCQE) descrito en la Recomendación UIT R BT.500, Anexo 1, § 6.3</w:t>
            </w:r>
          </w:p>
        </w:tc>
        <w:tc>
          <w:tcPr>
            <w:tcW w:w="1247" w:type="dxa"/>
          </w:tcPr>
          <w:p w:rsidR="00315EFA" w:rsidRPr="00266A0B" w:rsidRDefault="00315EFA" w:rsidP="00A014BE">
            <w:pPr>
              <w:pStyle w:val="Tabletext"/>
            </w:pPr>
            <w:r w:rsidRPr="00266A0B">
              <w:t>~3-5 min</w:t>
            </w:r>
          </w:p>
        </w:tc>
        <w:tc>
          <w:tcPr>
            <w:tcW w:w="992" w:type="dxa"/>
          </w:tcPr>
          <w:p w:rsidR="00315EFA" w:rsidRPr="00266A0B" w:rsidRDefault="00315EFA" w:rsidP="00A014BE">
            <w:pPr>
              <w:pStyle w:val="Tabletext"/>
            </w:pPr>
          </w:p>
        </w:tc>
        <w:tc>
          <w:tcPr>
            <w:tcW w:w="2211" w:type="dxa"/>
          </w:tcPr>
          <w:p w:rsidR="00315EFA" w:rsidRPr="00266A0B" w:rsidRDefault="00315EFA" w:rsidP="00A014BE">
            <w:pPr>
              <w:pStyle w:val="Tabletext"/>
            </w:pPr>
          </w:p>
        </w:tc>
        <w:tc>
          <w:tcPr>
            <w:tcW w:w="1559" w:type="dxa"/>
          </w:tcPr>
          <w:p w:rsidR="00315EFA" w:rsidRPr="00753032" w:rsidRDefault="00315EFA" w:rsidP="00A014BE">
            <w:pPr>
              <w:pStyle w:val="Tabletext"/>
              <w:spacing w:before="80" w:after="80"/>
              <w:rPr>
                <w:rFonts w:eastAsia="MS ??"/>
                <w:lang w:val="es-ES"/>
              </w:rPr>
            </w:pPr>
            <w:r w:rsidRPr="00753032">
              <w:rPr>
                <w:rFonts w:eastAsia="MS ??"/>
                <w:noProof/>
                <w:sz w:val="24"/>
                <w:lang w:val="en-GB" w:eastAsia="zh-CN"/>
              </w:rPr>
              <w:drawing>
                <wp:inline distT="0" distB="0" distL="0" distR="0" wp14:anchorId="116D1D47" wp14:editId="2208DA47">
                  <wp:extent cx="790575" cy="1076325"/>
                  <wp:effectExtent l="0" t="0" r="0" b="9525"/>
                  <wp:docPr id="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36">
                            <a:extLst>
                              <a:ext uri="{28A0092B-C50C-407E-A947-70E740481C1C}">
                                <a14:useLocalDpi xmlns:a14="http://schemas.microsoft.com/office/drawing/2010/main" val="0"/>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315EFA" w:rsidRPr="00753032" w:rsidTr="00A014BE">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 de doble estímulo simultáneo para evaluación continua (SDSCE) descrito en la Recomendación UIT-R BT.500, Anexo 1, §</w:t>
            </w:r>
            <w:r>
              <w:rPr>
                <w:lang w:val="es-ES_tradnl"/>
              </w:rPr>
              <w:t xml:space="preserve"> </w:t>
            </w:r>
            <w:r w:rsidRPr="00AD7C0C">
              <w:rPr>
                <w:lang w:val="es-ES_tradnl"/>
              </w:rPr>
              <w:t>6.4</w:t>
            </w:r>
          </w:p>
        </w:tc>
        <w:tc>
          <w:tcPr>
            <w:tcW w:w="1247" w:type="dxa"/>
          </w:tcPr>
          <w:p w:rsidR="00315EFA" w:rsidRPr="00AD7C0C" w:rsidRDefault="00315EFA" w:rsidP="00A014BE">
            <w:pPr>
              <w:pStyle w:val="Tabletext"/>
              <w:rPr>
                <w:lang w:val="es-ES_tradnl"/>
              </w:rPr>
            </w:pPr>
          </w:p>
        </w:tc>
        <w:tc>
          <w:tcPr>
            <w:tcW w:w="992" w:type="dxa"/>
          </w:tcPr>
          <w:p w:rsidR="00315EFA" w:rsidRPr="00AD7C0C" w:rsidRDefault="00315EFA" w:rsidP="00A014BE">
            <w:pPr>
              <w:pStyle w:val="Tabletext"/>
              <w:rPr>
                <w:lang w:val="es-ES_tradnl"/>
              </w:rPr>
            </w:pPr>
          </w:p>
        </w:tc>
        <w:tc>
          <w:tcPr>
            <w:tcW w:w="2211" w:type="dxa"/>
          </w:tcPr>
          <w:p w:rsidR="00315EFA" w:rsidRPr="00AD7C0C" w:rsidRDefault="00315EFA" w:rsidP="00A014BE">
            <w:pPr>
              <w:pStyle w:val="Tabletext"/>
              <w:rPr>
                <w:lang w:val="es-ES_tradnl"/>
              </w:rPr>
            </w:pPr>
          </w:p>
        </w:tc>
        <w:tc>
          <w:tcPr>
            <w:tcW w:w="1559" w:type="dxa"/>
          </w:tcPr>
          <w:p w:rsidR="00315EFA" w:rsidRPr="00753032" w:rsidRDefault="00315EFA" w:rsidP="00A014BE">
            <w:pPr>
              <w:pStyle w:val="Tabletext"/>
              <w:spacing w:before="80" w:after="80"/>
              <w:rPr>
                <w:rFonts w:eastAsia="MS ??"/>
                <w:noProof/>
                <w:sz w:val="24"/>
                <w:lang w:val="en-US" w:eastAsia="zh-CN"/>
              </w:rPr>
            </w:pPr>
            <w:r w:rsidRPr="001B7452">
              <w:rPr>
                <w:rFonts w:eastAsia="MS ??"/>
                <w:noProof/>
                <w:sz w:val="20"/>
                <w:lang w:val="en-GB" w:eastAsia="zh-CN"/>
              </w:rPr>
              <w:drawing>
                <wp:inline distT="0" distB="0" distL="0" distR="0" wp14:anchorId="48AA9316" wp14:editId="52D97CCC">
                  <wp:extent cx="760178" cy="723569"/>
                  <wp:effectExtent l="0" t="0" r="1905" b="635"/>
                  <wp:docPr id="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0178" cy="723569"/>
                          </a:xfrm>
                          <a:prstGeom prst="rect">
                            <a:avLst/>
                          </a:prstGeom>
                          <a:noFill/>
                          <a:ln w="9525">
                            <a:noFill/>
                            <a:miter lim="800000"/>
                            <a:headEnd/>
                            <a:tailEnd/>
                          </a:ln>
                        </pic:spPr>
                      </pic:pic>
                    </a:graphicData>
                  </a:graphic>
                </wp:inline>
              </w:drawing>
            </w:r>
          </w:p>
        </w:tc>
      </w:tr>
    </w:tbl>
    <w:p w:rsidR="00315EFA" w:rsidRPr="00266A0B" w:rsidRDefault="00315EFA" w:rsidP="00315EFA">
      <w:pPr>
        <w:pStyle w:val="Tablefin"/>
      </w:pPr>
    </w:p>
    <w:p w:rsidR="00315EFA" w:rsidRPr="00E44854" w:rsidRDefault="00315EFA" w:rsidP="00315EFA">
      <w:pPr>
        <w:pStyle w:val="TableNo"/>
        <w:rPr>
          <w:lang w:val="es-ES_tradnl"/>
        </w:rPr>
      </w:pPr>
      <w:r w:rsidRPr="00E44854">
        <w:rPr>
          <w:lang w:val="es-ES_tradnl"/>
        </w:rPr>
        <w:lastRenderedPageBreak/>
        <w:t>CUADRO 3</w:t>
      </w:r>
    </w:p>
    <w:p w:rsidR="00315EFA" w:rsidRPr="00E44854" w:rsidRDefault="00315EFA" w:rsidP="00315EFA">
      <w:pPr>
        <w:pStyle w:val="Tabletitle"/>
        <w:rPr>
          <w:lang w:val="es-ES_tradnl"/>
        </w:rPr>
      </w:pPr>
      <w:r w:rsidRPr="00E44854">
        <w:rPr>
          <w:lang w:val="es-ES_tradnl"/>
        </w:rPr>
        <w:t>Métodos subjetivos de evaluación del confort visual</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8"/>
        <w:gridCol w:w="1247"/>
        <w:gridCol w:w="992"/>
        <w:gridCol w:w="2211"/>
        <w:gridCol w:w="1559"/>
      </w:tblGrid>
      <w:tr w:rsidR="00315EFA" w:rsidRPr="00753032" w:rsidTr="00A014BE">
        <w:trPr>
          <w:cantSplit/>
          <w:trHeight w:val="20"/>
          <w:tblHeader/>
          <w:jc w:val="center"/>
        </w:trPr>
        <w:tc>
          <w:tcPr>
            <w:tcW w:w="3628" w:type="dxa"/>
            <w:vAlign w:val="center"/>
          </w:tcPr>
          <w:p w:rsidR="00315EFA" w:rsidRPr="00E44854" w:rsidRDefault="00315EFA" w:rsidP="00A014BE">
            <w:pPr>
              <w:pStyle w:val="Tablehead"/>
              <w:rPr>
                <w:lang w:val="es-ES_tradnl"/>
              </w:rPr>
            </w:pPr>
            <w:r w:rsidRPr="00E44854">
              <w:rPr>
                <w:lang w:val="es-ES_tradnl"/>
              </w:rPr>
              <w:t>Modo de presentación</w:t>
            </w:r>
          </w:p>
        </w:tc>
        <w:tc>
          <w:tcPr>
            <w:tcW w:w="1247" w:type="dxa"/>
            <w:vAlign w:val="center"/>
          </w:tcPr>
          <w:p w:rsidR="00315EFA" w:rsidRPr="00E44854" w:rsidRDefault="00315EFA" w:rsidP="00A014BE">
            <w:pPr>
              <w:pStyle w:val="Tablehead"/>
              <w:rPr>
                <w:lang w:val="es-ES_tradnl"/>
              </w:rPr>
            </w:pPr>
            <w:r w:rsidRPr="00E44854">
              <w:rPr>
                <w:lang w:val="es-ES_tradnl"/>
              </w:rPr>
              <w:t>Duración de la secuencia</w:t>
            </w:r>
          </w:p>
        </w:tc>
        <w:tc>
          <w:tcPr>
            <w:tcW w:w="992" w:type="dxa"/>
            <w:vAlign w:val="center"/>
          </w:tcPr>
          <w:p w:rsidR="00315EFA" w:rsidRPr="00E44854" w:rsidRDefault="00315EFA" w:rsidP="00A014BE">
            <w:pPr>
              <w:pStyle w:val="Tablehead"/>
              <w:rPr>
                <w:lang w:val="es-ES_tradnl"/>
              </w:rPr>
            </w:pPr>
            <w:r w:rsidRPr="00E44854">
              <w:rPr>
                <w:lang w:val="es-ES_tradnl"/>
              </w:rPr>
              <w:t>Escala binaria</w:t>
            </w:r>
          </w:p>
        </w:tc>
        <w:tc>
          <w:tcPr>
            <w:tcW w:w="2211" w:type="dxa"/>
            <w:vAlign w:val="center"/>
          </w:tcPr>
          <w:p w:rsidR="00315EFA" w:rsidRPr="00E44854" w:rsidRDefault="00315EFA" w:rsidP="00A014BE">
            <w:pPr>
              <w:pStyle w:val="Tablehead"/>
              <w:rPr>
                <w:lang w:val="es-ES_tradnl"/>
              </w:rPr>
            </w:pPr>
            <w:r w:rsidRPr="00E44854">
              <w:rPr>
                <w:lang w:val="es-ES_tradnl"/>
              </w:rPr>
              <w:t>Escala discreta</w:t>
            </w:r>
          </w:p>
        </w:tc>
        <w:tc>
          <w:tcPr>
            <w:tcW w:w="1559" w:type="dxa"/>
            <w:vAlign w:val="center"/>
          </w:tcPr>
          <w:p w:rsidR="00315EFA" w:rsidRPr="00E44854" w:rsidRDefault="00315EFA" w:rsidP="00A014BE">
            <w:pPr>
              <w:pStyle w:val="Tablehead"/>
              <w:rPr>
                <w:lang w:val="es-ES_tradnl"/>
              </w:rPr>
            </w:pPr>
            <w:r w:rsidRPr="00E44854">
              <w:rPr>
                <w:lang w:val="es-ES_tradnl"/>
              </w:rPr>
              <w:t>Escala continua</w:t>
            </w:r>
          </w:p>
        </w:tc>
      </w:tr>
      <w:tr w:rsidR="00315EFA" w:rsidRPr="00753032" w:rsidTr="00A014BE">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Métodos de estímulo único (SS) descritos en la Recomendación UIT</w:t>
            </w:r>
            <w:r w:rsidRPr="00AD7C0C">
              <w:rPr>
                <w:lang w:val="es-ES_tradnl"/>
              </w:rPr>
              <w:noBreakHyphen/>
              <w:t>R BT.500, Anexo 1, § 6.1</w:t>
            </w:r>
          </w:p>
        </w:tc>
        <w:tc>
          <w:tcPr>
            <w:tcW w:w="1247" w:type="dxa"/>
          </w:tcPr>
          <w:p w:rsidR="00315EFA" w:rsidRPr="00266A0B" w:rsidRDefault="00315EFA" w:rsidP="00A014BE">
            <w:pPr>
              <w:pStyle w:val="Tabletext"/>
            </w:pPr>
            <w:r w:rsidRPr="00266A0B">
              <w:t>~10 s</w:t>
            </w:r>
          </w:p>
        </w:tc>
        <w:tc>
          <w:tcPr>
            <w:tcW w:w="992" w:type="dxa"/>
          </w:tcPr>
          <w:p w:rsidR="00315EFA" w:rsidRPr="00266A0B" w:rsidRDefault="00315EFA" w:rsidP="00A014BE">
            <w:pPr>
              <w:pStyle w:val="Tabletext"/>
            </w:pPr>
          </w:p>
        </w:tc>
        <w:tc>
          <w:tcPr>
            <w:tcW w:w="2211" w:type="dxa"/>
          </w:tcPr>
          <w:p w:rsidR="00315EFA" w:rsidRPr="00AD7C0C" w:rsidRDefault="00315EFA" w:rsidP="00A014BE">
            <w:pPr>
              <w:pStyle w:val="Tabletext"/>
              <w:spacing w:before="100" w:after="80"/>
              <w:rPr>
                <w:lang w:val="es-ES_tradnl"/>
              </w:rPr>
            </w:pPr>
            <w:r w:rsidRPr="00AD7C0C">
              <w:rPr>
                <w:lang w:val="es-ES_tradnl"/>
              </w:rPr>
              <w:t>5</w:t>
            </w:r>
            <w:r w:rsidRPr="00AD7C0C">
              <w:rPr>
                <w:lang w:val="es-ES_tradnl"/>
              </w:rPr>
              <w:tab/>
              <w:t>Muy cómodo</w:t>
            </w:r>
          </w:p>
          <w:p w:rsidR="00315EFA" w:rsidRPr="00AD7C0C" w:rsidRDefault="00315EFA" w:rsidP="00A014BE">
            <w:pPr>
              <w:pStyle w:val="Tabletext"/>
              <w:rPr>
                <w:lang w:val="es-ES_tradnl"/>
              </w:rPr>
            </w:pPr>
            <w:r w:rsidRPr="00AD7C0C">
              <w:rPr>
                <w:lang w:val="es-ES_tradnl"/>
              </w:rPr>
              <w:t>4</w:t>
            </w:r>
            <w:r w:rsidRPr="00AD7C0C">
              <w:rPr>
                <w:lang w:val="es-ES_tradnl"/>
              </w:rPr>
              <w:tab/>
              <w:t>Cómodo</w:t>
            </w:r>
          </w:p>
          <w:p w:rsidR="00315EFA" w:rsidRPr="00AD7C0C" w:rsidRDefault="00315EFA" w:rsidP="00A014BE">
            <w:pPr>
              <w:pStyle w:val="Tabletext"/>
              <w:spacing w:before="0" w:after="0"/>
              <w:ind w:left="284" w:hanging="284"/>
              <w:rPr>
                <w:lang w:val="es-ES_tradnl"/>
              </w:rPr>
            </w:pPr>
            <w:r w:rsidRPr="00AD7C0C">
              <w:rPr>
                <w:lang w:val="es-ES_tradnl"/>
              </w:rPr>
              <w:t>3</w:t>
            </w:r>
            <w:r w:rsidRPr="00AD7C0C">
              <w:rPr>
                <w:lang w:val="es-ES_tradnl"/>
              </w:rPr>
              <w:tab/>
              <w:t>Ligeramente incómodo</w:t>
            </w:r>
          </w:p>
          <w:p w:rsidR="00315EFA" w:rsidRPr="00AD7C0C" w:rsidRDefault="00315EFA" w:rsidP="00A014BE">
            <w:pPr>
              <w:pStyle w:val="Tabletext"/>
              <w:rPr>
                <w:lang w:val="es-ES_tradnl"/>
              </w:rPr>
            </w:pPr>
            <w:r w:rsidRPr="00AD7C0C">
              <w:rPr>
                <w:lang w:val="es-ES_tradnl"/>
              </w:rPr>
              <w:t>2</w:t>
            </w:r>
            <w:r w:rsidRPr="00AD7C0C">
              <w:rPr>
                <w:lang w:val="es-ES_tradnl"/>
              </w:rPr>
              <w:tab/>
              <w:t>Incómodo</w:t>
            </w:r>
          </w:p>
          <w:p w:rsidR="00315EFA" w:rsidRPr="00266A0B" w:rsidRDefault="00315EFA" w:rsidP="00A014BE">
            <w:pPr>
              <w:pStyle w:val="Tabletext"/>
            </w:pPr>
            <w:r w:rsidRPr="00266A0B">
              <w:t>1</w:t>
            </w:r>
            <w:r w:rsidRPr="00266A0B">
              <w:tab/>
              <w:t xml:space="preserve">Muy </w:t>
            </w:r>
            <w:proofErr w:type="spellStart"/>
            <w:r w:rsidRPr="00266A0B">
              <w:t>incómodo</w:t>
            </w:r>
            <w:proofErr w:type="spellEnd"/>
          </w:p>
        </w:tc>
        <w:tc>
          <w:tcPr>
            <w:tcW w:w="1559" w:type="dxa"/>
          </w:tcPr>
          <w:p w:rsidR="00315EFA" w:rsidRPr="00753032" w:rsidRDefault="00315EFA" w:rsidP="00A014BE">
            <w:pPr>
              <w:pStyle w:val="Tabletext"/>
              <w:keepNext/>
              <w:keepLines/>
              <w:spacing w:before="80" w:after="80"/>
              <w:rPr>
                <w:rFonts w:eastAsia="MS ??"/>
                <w:sz w:val="20"/>
                <w:lang w:val="es-ES"/>
              </w:rPr>
            </w:pPr>
            <w:r w:rsidRPr="00753032">
              <w:rPr>
                <w:rFonts w:eastAsia="MS ??"/>
                <w:noProof/>
                <w:sz w:val="20"/>
                <w:lang w:val="en-GB" w:eastAsia="zh-CN"/>
              </w:rPr>
              <w:drawing>
                <wp:inline distT="0" distB="0" distL="0" distR="0" wp14:anchorId="7C9574B9" wp14:editId="0CABDC83">
                  <wp:extent cx="809625" cy="1133475"/>
                  <wp:effectExtent l="0" t="0" r="0" b="9525"/>
                  <wp:docPr id="10" name="Object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rrowheads="1"/>
                          </pic:cNvPicPr>
                        </pic:nvPicPr>
                        <pic:blipFill>
                          <a:blip r:embed="rId38">
                            <a:extLst>
                              <a:ext uri="{28A0092B-C50C-407E-A947-70E740481C1C}">
                                <a14:useLocalDpi xmlns:a14="http://schemas.microsoft.com/office/drawing/2010/main" val="0"/>
                              </a:ext>
                            </a:extLst>
                          </a:blip>
                          <a:srcRect r="-15979" b="-340"/>
                          <a:stretch>
                            <a:fillRect/>
                          </a:stretch>
                        </pic:blipFill>
                        <pic:spPr bwMode="auto">
                          <a:xfrm>
                            <a:off x="0" y="0"/>
                            <a:ext cx="809625" cy="1133475"/>
                          </a:xfrm>
                          <a:prstGeom prst="rect">
                            <a:avLst/>
                          </a:prstGeom>
                          <a:noFill/>
                          <a:ln>
                            <a:noFill/>
                          </a:ln>
                        </pic:spPr>
                      </pic:pic>
                    </a:graphicData>
                  </a:graphic>
                </wp:inline>
              </w:drawing>
            </w:r>
          </w:p>
        </w:tc>
      </w:tr>
      <w:tr w:rsidR="00315EFA" w:rsidRPr="00753032" w:rsidTr="00A014BE">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 de escala de degradación con doble estímulo (DSIS) descrito en la Recomendación UIT-R BT.500, Anexo 1, §</w:t>
            </w:r>
            <w:r>
              <w:rPr>
                <w:lang w:val="es-ES_tradnl"/>
              </w:rPr>
              <w:t xml:space="preserve"> </w:t>
            </w:r>
            <w:r w:rsidRPr="00AD7C0C">
              <w:rPr>
                <w:lang w:val="es-ES_tradnl"/>
              </w:rPr>
              <w:t>4</w:t>
            </w:r>
          </w:p>
        </w:tc>
        <w:tc>
          <w:tcPr>
            <w:tcW w:w="1247" w:type="dxa"/>
          </w:tcPr>
          <w:p w:rsidR="00315EFA" w:rsidRPr="00AD7C0C" w:rsidRDefault="00315EFA" w:rsidP="00A014BE">
            <w:pPr>
              <w:pStyle w:val="Tabletext"/>
              <w:rPr>
                <w:lang w:val="es-ES_tradnl"/>
              </w:rPr>
            </w:pPr>
          </w:p>
        </w:tc>
        <w:tc>
          <w:tcPr>
            <w:tcW w:w="992" w:type="dxa"/>
          </w:tcPr>
          <w:p w:rsidR="00315EFA" w:rsidRPr="00AD7C0C" w:rsidRDefault="00315EFA" w:rsidP="00A014BE">
            <w:pPr>
              <w:pStyle w:val="Tabletext"/>
              <w:rPr>
                <w:lang w:val="es-ES_tradnl"/>
              </w:rPr>
            </w:pPr>
          </w:p>
        </w:tc>
        <w:tc>
          <w:tcPr>
            <w:tcW w:w="2211" w:type="dxa"/>
          </w:tcPr>
          <w:p w:rsidR="00315EFA" w:rsidRPr="00AD7C0C" w:rsidRDefault="00315EFA" w:rsidP="00A014BE">
            <w:pPr>
              <w:pStyle w:val="Tabletext"/>
              <w:spacing w:before="100" w:after="80"/>
              <w:jc w:val="left"/>
              <w:rPr>
                <w:lang w:val="es-ES_tradnl"/>
              </w:rPr>
            </w:pPr>
            <w:r w:rsidRPr="00AD7C0C">
              <w:rPr>
                <w:lang w:val="es-ES_tradnl"/>
              </w:rPr>
              <w:t>5</w:t>
            </w:r>
            <w:r w:rsidRPr="00AD7C0C">
              <w:rPr>
                <w:lang w:val="es-ES_tradnl"/>
              </w:rPr>
              <w:tab/>
              <w:t>Imperceptible</w:t>
            </w:r>
          </w:p>
          <w:p w:rsidR="00315EFA" w:rsidRPr="00AD7C0C" w:rsidRDefault="00315EFA" w:rsidP="00A014BE">
            <w:pPr>
              <w:pStyle w:val="Tabletext"/>
              <w:spacing w:before="100" w:after="80"/>
              <w:ind w:left="284" w:hanging="284"/>
              <w:jc w:val="left"/>
              <w:rPr>
                <w:lang w:val="es-ES_tradnl"/>
              </w:rPr>
            </w:pPr>
            <w:r w:rsidRPr="00AD7C0C">
              <w:rPr>
                <w:lang w:val="es-ES_tradnl"/>
              </w:rPr>
              <w:t>4</w:t>
            </w:r>
            <w:r w:rsidRPr="00AD7C0C">
              <w:rPr>
                <w:lang w:val="es-ES_tradnl"/>
              </w:rPr>
              <w:tab/>
              <w:t>Perceptible, pero no molesta</w:t>
            </w:r>
          </w:p>
          <w:p w:rsidR="00315EFA" w:rsidRPr="00AD7C0C" w:rsidRDefault="00315EFA" w:rsidP="00A014BE">
            <w:pPr>
              <w:pStyle w:val="Tabletext"/>
              <w:spacing w:before="100" w:after="80"/>
              <w:ind w:left="284" w:hanging="284"/>
              <w:jc w:val="left"/>
              <w:rPr>
                <w:lang w:val="es-ES_tradnl"/>
              </w:rPr>
            </w:pPr>
            <w:r w:rsidRPr="00AD7C0C">
              <w:rPr>
                <w:lang w:val="es-ES_tradnl"/>
              </w:rPr>
              <w:t>3</w:t>
            </w:r>
            <w:r w:rsidRPr="00AD7C0C">
              <w:rPr>
                <w:lang w:val="es-ES_tradnl"/>
              </w:rPr>
              <w:tab/>
              <w:t>Ligeramente molesta</w:t>
            </w:r>
          </w:p>
          <w:p w:rsidR="00315EFA" w:rsidRPr="00266A0B" w:rsidRDefault="00315EFA" w:rsidP="00A014BE">
            <w:pPr>
              <w:pStyle w:val="Tabletext"/>
              <w:spacing w:before="100" w:after="80"/>
              <w:jc w:val="left"/>
            </w:pPr>
            <w:r w:rsidRPr="00266A0B">
              <w:t>2</w:t>
            </w:r>
            <w:r w:rsidRPr="00266A0B">
              <w:tab/>
              <w:t>Molesta</w:t>
            </w:r>
          </w:p>
          <w:p w:rsidR="00315EFA" w:rsidRPr="00266A0B" w:rsidRDefault="00315EFA" w:rsidP="00A014BE">
            <w:pPr>
              <w:pStyle w:val="Tabletext"/>
              <w:spacing w:before="100" w:after="80"/>
              <w:jc w:val="left"/>
            </w:pPr>
            <w:r w:rsidRPr="00266A0B">
              <w:t>1</w:t>
            </w:r>
            <w:r w:rsidRPr="00266A0B">
              <w:tab/>
              <w:t>Muy molesta</w:t>
            </w:r>
          </w:p>
        </w:tc>
        <w:tc>
          <w:tcPr>
            <w:tcW w:w="1559" w:type="dxa"/>
          </w:tcPr>
          <w:p w:rsidR="00315EFA" w:rsidRPr="00753032" w:rsidRDefault="00315EFA" w:rsidP="00A014BE">
            <w:pPr>
              <w:pStyle w:val="Tabletext"/>
              <w:spacing w:before="80" w:after="80"/>
              <w:rPr>
                <w:rFonts w:eastAsia="MS ??"/>
                <w:noProof/>
                <w:sz w:val="20"/>
                <w:lang w:val="en-US" w:eastAsia="zh-CN"/>
              </w:rPr>
            </w:pPr>
          </w:p>
        </w:tc>
      </w:tr>
      <w:tr w:rsidR="00315EFA" w:rsidRPr="00753032" w:rsidTr="00A014BE">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 de escala de calidad continua de doble estímulo (DSCQS) descrito en la Recomendación UIT</w:t>
            </w:r>
            <w:r w:rsidRPr="00AD7C0C">
              <w:rPr>
                <w:lang w:val="es-ES_tradnl"/>
              </w:rPr>
              <w:noBreakHyphen/>
              <w:t>R BT.500, Anexo 1, § 5</w:t>
            </w:r>
          </w:p>
        </w:tc>
        <w:tc>
          <w:tcPr>
            <w:tcW w:w="1247" w:type="dxa"/>
          </w:tcPr>
          <w:p w:rsidR="00315EFA" w:rsidRPr="00266A0B" w:rsidRDefault="00315EFA" w:rsidP="00A014BE">
            <w:pPr>
              <w:pStyle w:val="Tabletext"/>
            </w:pPr>
            <w:r w:rsidRPr="00266A0B">
              <w:t>~10 s</w:t>
            </w:r>
          </w:p>
        </w:tc>
        <w:tc>
          <w:tcPr>
            <w:tcW w:w="992" w:type="dxa"/>
          </w:tcPr>
          <w:p w:rsidR="00315EFA" w:rsidRPr="00266A0B" w:rsidRDefault="00315EFA" w:rsidP="00A014BE">
            <w:pPr>
              <w:pStyle w:val="Tabletext"/>
            </w:pPr>
          </w:p>
        </w:tc>
        <w:tc>
          <w:tcPr>
            <w:tcW w:w="2211" w:type="dxa"/>
          </w:tcPr>
          <w:p w:rsidR="00315EFA" w:rsidRPr="00266A0B" w:rsidRDefault="00315EFA" w:rsidP="00A014BE">
            <w:pPr>
              <w:pStyle w:val="Tabletext"/>
            </w:pPr>
          </w:p>
        </w:tc>
        <w:tc>
          <w:tcPr>
            <w:tcW w:w="1559" w:type="dxa"/>
          </w:tcPr>
          <w:p w:rsidR="00315EFA" w:rsidRPr="00753032" w:rsidRDefault="00315EFA" w:rsidP="00A014BE">
            <w:pPr>
              <w:pStyle w:val="Tabletext"/>
              <w:spacing w:before="80" w:after="80"/>
              <w:rPr>
                <w:rFonts w:eastAsia="MS ??"/>
                <w:sz w:val="20"/>
                <w:lang w:val="es-ES"/>
              </w:rPr>
            </w:pPr>
            <w:r w:rsidRPr="00753032">
              <w:rPr>
                <w:rFonts w:eastAsia="MS ??"/>
                <w:noProof/>
                <w:sz w:val="20"/>
                <w:lang w:val="en-GB" w:eastAsia="zh-CN"/>
              </w:rPr>
              <w:drawing>
                <wp:inline distT="0" distB="0" distL="0" distR="0" wp14:anchorId="38375872" wp14:editId="3E48D280">
                  <wp:extent cx="809625" cy="116205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8">
                            <a:extLst>
                              <a:ext uri="{28A0092B-C50C-407E-A947-70E740481C1C}">
                                <a14:useLocalDpi xmlns:a14="http://schemas.microsoft.com/office/drawing/2010/main" val="0"/>
                              </a:ext>
                            </a:extLst>
                          </a:blip>
                          <a:srcRect r="-15979" b="-340"/>
                          <a:stretch>
                            <a:fillRect/>
                          </a:stretch>
                        </pic:blipFill>
                        <pic:spPr bwMode="auto">
                          <a:xfrm>
                            <a:off x="0" y="0"/>
                            <a:ext cx="809625" cy="1162050"/>
                          </a:xfrm>
                          <a:prstGeom prst="rect">
                            <a:avLst/>
                          </a:prstGeom>
                          <a:noFill/>
                          <a:ln>
                            <a:noFill/>
                          </a:ln>
                        </pic:spPr>
                      </pic:pic>
                    </a:graphicData>
                  </a:graphic>
                </wp:inline>
              </w:drawing>
            </w:r>
          </w:p>
        </w:tc>
      </w:tr>
      <w:tr w:rsidR="00315EFA" w:rsidRPr="00315EFA" w:rsidTr="00A014BE">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Métodos de comparación de estímulos (SC) descrito en la Recomendación UIT-R BT.500, Anexo 1,§ 6.2</w:t>
            </w:r>
          </w:p>
        </w:tc>
        <w:tc>
          <w:tcPr>
            <w:tcW w:w="1247" w:type="dxa"/>
          </w:tcPr>
          <w:p w:rsidR="00315EFA" w:rsidRPr="00266A0B" w:rsidRDefault="00315EFA" w:rsidP="00A014BE">
            <w:pPr>
              <w:pStyle w:val="Tabletext"/>
            </w:pPr>
            <w:r w:rsidRPr="00266A0B">
              <w:t>~10 s</w:t>
            </w:r>
          </w:p>
        </w:tc>
        <w:tc>
          <w:tcPr>
            <w:tcW w:w="992" w:type="dxa"/>
          </w:tcPr>
          <w:p w:rsidR="00315EFA" w:rsidRPr="00266A0B" w:rsidRDefault="00315EFA" w:rsidP="00A014BE">
            <w:pPr>
              <w:pStyle w:val="Tabletext"/>
            </w:pPr>
            <w:r w:rsidRPr="00266A0B">
              <w:t>A vs. B</w:t>
            </w:r>
          </w:p>
        </w:tc>
        <w:tc>
          <w:tcPr>
            <w:tcW w:w="2211" w:type="dxa"/>
          </w:tcPr>
          <w:p w:rsidR="00315EFA" w:rsidRPr="00AD7C0C" w:rsidRDefault="00315EFA" w:rsidP="00A014BE">
            <w:pPr>
              <w:pStyle w:val="Tabletext"/>
              <w:rPr>
                <w:lang w:val="es-ES_tradnl"/>
              </w:rPr>
            </w:pPr>
            <w:r w:rsidRPr="00AD7C0C">
              <w:rPr>
                <w:lang w:val="es-ES_tradnl"/>
              </w:rPr>
              <w:t>−3</w:t>
            </w:r>
            <w:r w:rsidRPr="00AD7C0C">
              <w:rPr>
                <w:lang w:val="es-ES_tradnl"/>
              </w:rPr>
              <w:tab/>
              <w:t>Mucho peor</w:t>
            </w:r>
          </w:p>
          <w:p w:rsidR="00315EFA" w:rsidRPr="00AD7C0C" w:rsidRDefault="00315EFA" w:rsidP="00A014BE">
            <w:pPr>
              <w:pStyle w:val="Tabletext"/>
              <w:rPr>
                <w:lang w:val="es-ES_tradnl"/>
              </w:rPr>
            </w:pPr>
            <w:r w:rsidRPr="00AD7C0C">
              <w:rPr>
                <w:lang w:val="es-ES_tradnl"/>
              </w:rPr>
              <w:t>−2</w:t>
            </w:r>
            <w:r w:rsidRPr="00AD7C0C">
              <w:rPr>
                <w:lang w:val="es-ES_tradnl"/>
              </w:rPr>
              <w:tab/>
              <w:t>Peor</w:t>
            </w:r>
          </w:p>
          <w:p w:rsidR="00315EFA" w:rsidRPr="00AD7C0C" w:rsidRDefault="00315EFA" w:rsidP="00A014BE">
            <w:pPr>
              <w:pStyle w:val="Tabletext"/>
              <w:rPr>
                <w:lang w:val="es-ES_tradnl"/>
              </w:rPr>
            </w:pPr>
            <w:r w:rsidRPr="00AD7C0C">
              <w:rPr>
                <w:lang w:val="es-ES_tradnl"/>
              </w:rPr>
              <w:t>−1</w:t>
            </w:r>
            <w:r w:rsidRPr="00AD7C0C">
              <w:rPr>
                <w:lang w:val="es-ES_tradnl"/>
              </w:rPr>
              <w:tab/>
              <w:t>Ligeramente peor</w:t>
            </w:r>
          </w:p>
          <w:p w:rsidR="00315EFA" w:rsidRPr="00AD7C0C" w:rsidRDefault="00315EFA" w:rsidP="00A014BE">
            <w:pPr>
              <w:pStyle w:val="Tabletext"/>
              <w:rPr>
                <w:lang w:val="es-ES_tradnl"/>
              </w:rPr>
            </w:pPr>
            <w:r w:rsidRPr="00AD7C0C">
              <w:rPr>
                <w:lang w:val="es-ES_tradnl"/>
              </w:rPr>
              <w:t>0</w:t>
            </w:r>
            <w:r w:rsidRPr="00AD7C0C">
              <w:rPr>
                <w:lang w:val="es-ES_tradnl"/>
              </w:rPr>
              <w:tab/>
              <w:t>Igual</w:t>
            </w:r>
          </w:p>
          <w:p w:rsidR="00315EFA" w:rsidRPr="00AD7C0C" w:rsidRDefault="00315EFA" w:rsidP="00A014BE">
            <w:pPr>
              <w:pStyle w:val="Tabletext"/>
              <w:ind w:left="284" w:hanging="284"/>
              <w:rPr>
                <w:lang w:val="es-ES_tradnl"/>
              </w:rPr>
            </w:pPr>
            <w:r w:rsidRPr="00AD7C0C">
              <w:rPr>
                <w:lang w:val="es-ES_tradnl"/>
              </w:rPr>
              <w:t>1</w:t>
            </w:r>
            <w:r w:rsidRPr="00AD7C0C">
              <w:rPr>
                <w:lang w:val="es-ES_tradnl"/>
              </w:rPr>
              <w:tab/>
              <w:t>Ligeramente mejor</w:t>
            </w:r>
          </w:p>
          <w:p w:rsidR="00315EFA" w:rsidRPr="00AD7C0C" w:rsidRDefault="00315EFA" w:rsidP="00A014BE">
            <w:pPr>
              <w:pStyle w:val="Tabletext"/>
              <w:rPr>
                <w:lang w:val="es-ES_tradnl"/>
              </w:rPr>
            </w:pPr>
            <w:r w:rsidRPr="00AD7C0C">
              <w:rPr>
                <w:lang w:val="es-ES_tradnl"/>
              </w:rPr>
              <w:t>2</w:t>
            </w:r>
            <w:r w:rsidRPr="00AD7C0C">
              <w:rPr>
                <w:lang w:val="es-ES_tradnl"/>
              </w:rPr>
              <w:tab/>
              <w:t>Mejor</w:t>
            </w:r>
          </w:p>
          <w:p w:rsidR="00315EFA" w:rsidRPr="00AD7C0C" w:rsidRDefault="00315EFA" w:rsidP="00A014BE">
            <w:pPr>
              <w:pStyle w:val="Tabletext"/>
              <w:rPr>
                <w:lang w:val="es-ES_tradnl"/>
              </w:rPr>
            </w:pPr>
            <w:r w:rsidRPr="00AD7C0C">
              <w:rPr>
                <w:lang w:val="es-ES_tradnl"/>
              </w:rPr>
              <w:t>3</w:t>
            </w:r>
            <w:r w:rsidRPr="00AD7C0C">
              <w:rPr>
                <w:lang w:val="es-ES_tradnl"/>
              </w:rPr>
              <w:tab/>
              <w:t>Mucho mejor</w:t>
            </w:r>
          </w:p>
        </w:tc>
        <w:tc>
          <w:tcPr>
            <w:tcW w:w="1559" w:type="dxa"/>
          </w:tcPr>
          <w:p w:rsidR="00315EFA" w:rsidRPr="00753032" w:rsidRDefault="00315EFA" w:rsidP="00A014BE">
            <w:pPr>
              <w:pStyle w:val="Tabletext"/>
              <w:rPr>
                <w:sz w:val="20"/>
                <w:lang w:val="es-ES"/>
              </w:rPr>
            </w:pPr>
          </w:p>
        </w:tc>
      </w:tr>
      <w:tr w:rsidR="00315EFA" w:rsidRPr="00753032" w:rsidTr="00A014BE">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 de evaluación de calidad continua de estímulo único (SSCQE) descrito en la Recomendación UIT</w:t>
            </w:r>
            <w:r w:rsidRPr="00AD7C0C">
              <w:rPr>
                <w:lang w:val="es-ES_tradnl"/>
              </w:rPr>
              <w:noBreakHyphen/>
              <w:t>R BT.500, Anexo 1, § 6.3</w:t>
            </w:r>
          </w:p>
        </w:tc>
        <w:tc>
          <w:tcPr>
            <w:tcW w:w="1247" w:type="dxa"/>
          </w:tcPr>
          <w:p w:rsidR="00315EFA" w:rsidRPr="00266A0B" w:rsidRDefault="00315EFA" w:rsidP="00A014BE">
            <w:pPr>
              <w:pStyle w:val="Tabletext"/>
            </w:pPr>
            <w:r w:rsidRPr="00266A0B">
              <w:t>~3-5 min</w:t>
            </w:r>
          </w:p>
        </w:tc>
        <w:tc>
          <w:tcPr>
            <w:tcW w:w="992" w:type="dxa"/>
          </w:tcPr>
          <w:p w:rsidR="00315EFA" w:rsidRPr="00266A0B" w:rsidRDefault="00315EFA" w:rsidP="00A014BE">
            <w:pPr>
              <w:pStyle w:val="Tabletext"/>
            </w:pPr>
          </w:p>
        </w:tc>
        <w:tc>
          <w:tcPr>
            <w:tcW w:w="2211" w:type="dxa"/>
          </w:tcPr>
          <w:p w:rsidR="00315EFA" w:rsidRPr="00266A0B" w:rsidRDefault="00315EFA" w:rsidP="00A014BE">
            <w:pPr>
              <w:pStyle w:val="Tabletext"/>
            </w:pPr>
          </w:p>
        </w:tc>
        <w:tc>
          <w:tcPr>
            <w:tcW w:w="1559" w:type="dxa"/>
          </w:tcPr>
          <w:p w:rsidR="00315EFA" w:rsidRPr="00753032" w:rsidRDefault="00315EFA" w:rsidP="00A014BE">
            <w:pPr>
              <w:pStyle w:val="Tabletext"/>
              <w:spacing w:before="80" w:after="80"/>
              <w:rPr>
                <w:rFonts w:eastAsia="MS ??"/>
                <w:sz w:val="20"/>
                <w:lang w:val="es-ES"/>
              </w:rPr>
            </w:pPr>
            <w:r w:rsidRPr="00753032">
              <w:rPr>
                <w:rFonts w:eastAsia="MS ??"/>
                <w:noProof/>
                <w:sz w:val="20"/>
                <w:lang w:val="en-GB" w:eastAsia="zh-CN"/>
              </w:rPr>
              <w:drawing>
                <wp:inline distT="0" distB="0" distL="0" distR="0" wp14:anchorId="0AC03E1D" wp14:editId="0C1B8833">
                  <wp:extent cx="809625" cy="1095375"/>
                  <wp:effectExtent l="0" t="0" r="0" b="952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38">
                            <a:extLst>
                              <a:ext uri="{28A0092B-C50C-407E-A947-70E740481C1C}">
                                <a14:useLocalDpi xmlns:a14="http://schemas.microsoft.com/office/drawing/2010/main" val="0"/>
                              </a:ext>
                            </a:extLst>
                          </a:blip>
                          <a:srcRect r="-15979" b="-340"/>
                          <a:stretch>
                            <a:fillRect/>
                          </a:stretch>
                        </pic:blipFill>
                        <pic:spPr bwMode="auto">
                          <a:xfrm>
                            <a:off x="0" y="0"/>
                            <a:ext cx="809625" cy="1095375"/>
                          </a:xfrm>
                          <a:prstGeom prst="rect">
                            <a:avLst/>
                          </a:prstGeom>
                          <a:noFill/>
                          <a:ln>
                            <a:noFill/>
                          </a:ln>
                        </pic:spPr>
                      </pic:pic>
                    </a:graphicData>
                  </a:graphic>
                </wp:inline>
              </w:drawing>
            </w:r>
          </w:p>
        </w:tc>
      </w:tr>
      <w:tr w:rsidR="00315EFA" w:rsidRPr="00753032" w:rsidTr="00A014BE">
        <w:trPr>
          <w:cantSplit/>
          <w:trHeight w:val="20"/>
          <w:jc w:val="center"/>
        </w:trPr>
        <w:tc>
          <w:tcPr>
            <w:tcW w:w="3628" w:type="dxa"/>
          </w:tcPr>
          <w:p w:rsidR="00315EFA" w:rsidRPr="00AD7C0C" w:rsidRDefault="00315EFA" w:rsidP="00A014BE">
            <w:pPr>
              <w:pStyle w:val="Tabletext"/>
              <w:jc w:val="left"/>
              <w:rPr>
                <w:lang w:val="es-ES_tradnl"/>
              </w:rPr>
            </w:pPr>
            <w:r w:rsidRPr="00AD7C0C">
              <w:rPr>
                <w:lang w:val="es-ES_tradnl"/>
              </w:rPr>
              <w:t>Método de doble estímulo simultáneo para evaluación continua (SDSCE) descrito en la Recomendación UIT-R BT.500, Anexo 1, §</w:t>
            </w:r>
            <w:r>
              <w:rPr>
                <w:lang w:val="es-ES_tradnl"/>
              </w:rPr>
              <w:t xml:space="preserve"> </w:t>
            </w:r>
            <w:r w:rsidRPr="00AD7C0C">
              <w:rPr>
                <w:lang w:val="es-ES_tradnl"/>
              </w:rPr>
              <w:t>6.4</w:t>
            </w:r>
          </w:p>
        </w:tc>
        <w:tc>
          <w:tcPr>
            <w:tcW w:w="1247" w:type="dxa"/>
          </w:tcPr>
          <w:p w:rsidR="00315EFA" w:rsidRPr="00AD7C0C" w:rsidRDefault="00315EFA" w:rsidP="00A014BE">
            <w:pPr>
              <w:pStyle w:val="Tabletext"/>
              <w:rPr>
                <w:lang w:val="es-ES_tradnl"/>
              </w:rPr>
            </w:pPr>
          </w:p>
        </w:tc>
        <w:tc>
          <w:tcPr>
            <w:tcW w:w="992" w:type="dxa"/>
          </w:tcPr>
          <w:p w:rsidR="00315EFA" w:rsidRPr="00AD7C0C" w:rsidRDefault="00315EFA" w:rsidP="00A014BE">
            <w:pPr>
              <w:pStyle w:val="Tabletext"/>
              <w:rPr>
                <w:lang w:val="es-ES_tradnl"/>
              </w:rPr>
            </w:pPr>
          </w:p>
        </w:tc>
        <w:tc>
          <w:tcPr>
            <w:tcW w:w="2211" w:type="dxa"/>
          </w:tcPr>
          <w:p w:rsidR="00315EFA" w:rsidRPr="00AD7C0C" w:rsidRDefault="00315EFA" w:rsidP="00A014BE">
            <w:pPr>
              <w:pStyle w:val="Tabletext"/>
              <w:rPr>
                <w:lang w:val="es-ES_tradnl"/>
              </w:rPr>
            </w:pPr>
          </w:p>
        </w:tc>
        <w:tc>
          <w:tcPr>
            <w:tcW w:w="1559" w:type="dxa"/>
          </w:tcPr>
          <w:p w:rsidR="00315EFA" w:rsidRPr="00753032" w:rsidRDefault="00315EFA" w:rsidP="00A014BE">
            <w:pPr>
              <w:pStyle w:val="Tabletext"/>
              <w:spacing w:before="80" w:after="80"/>
              <w:rPr>
                <w:rFonts w:eastAsia="MS ??"/>
                <w:noProof/>
                <w:sz w:val="20"/>
                <w:lang w:val="en-US" w:eastAsia="zh-CN"/>
              </w:rPr>
            </w:pPr>
            <w:r w:rsidRPr="001B7452">
              <w:rPr>
                <w:rFonts w:eastAsia="MS ??"/>
                <w:noProof/>
                <w:sz w:val="20"/>
                <w:lang w:val="en-GB" w:eastAsia="zh-CN"/>
              </w:rPr>
              <w:drawing>
                <wp:inline distT="0" distB="0" distL="0" distR="0" wp14:anchorId="1744BFB5" wp14:editId="437B388D">
                  <wp:extent cx="760178" cy="723569"/>
                  <wp:effectExtent l="0" t="0" r="1905" b="635"/>
                  <wp:docPr id="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0178" cy="723569"/>
                          </a:xfrm>
                          <a:prstGeom prst="rect">
                            <a:avLst/>
                          </a:prstGeom>
                          <a:noFill/>
                          <a:ln w="9525">
                            <a:noFill/>
                            <a:miter lim="800000"/>
                            <a:headEnd/>
                            <a:tailEnd/>
                          </a:ln>
                        </pic:spPr>
                      </pic:pic>
                    </a:graphicData>
                  </a:graphic>
                </wp:inline>
              </w:drawing>
            </w:r>
          </w:p>
        </w:tc>
      </w:tr>
    </w:tbl>
    <w:p w:rsidR="00315EFA" w:rsidRPr="00266A0B" w:rsidRDefault="00315EFA" w:rsidP="00315EFA">
      <w:pPr>
        <w:pStyle w:val="Tablefin"/>
      </w:pPr>
    </w:p>
    <w:p w:rsidR="00315EFA" w:rsidRPr="00753032" w:rsidRDefault="00315EFA" w:rsidP="00315EFA">
      <w:pPr>
        <w:pStyle w:val="Heading1"/>
        <w:rPr>
          <w:lang w:val="es-ES"/>
        </w:rPr>
      </w:pPr>
      <w:r w:rsidRPr="00753032">
        <w:rPr>
          <w:lang w:val="es-ES"/>
        </w:rPr>
        <w:lastRenderedPageBreak/>
        <w:t>3</w:t>
      </w:r>
      <w:r w:rsidRPr="00753032">
        <w:rPr>
          <w:lang w:val="es-ES"/>
        </w:rPr>
        <w:tab/>
        <w:t xml:space="preserve">Condiciones generales de la observación </w:t>
      </w:r>
    </w:p>
    <w:p w:rsidR="00315EFA" w:rsidRPr="00753032" w:rsidRDefault="00315EFA" w:rsidP="00315EFA">
      <w:pPr>
        <w:rPr>
          <w:lang w:val="es-ES"/>
        </w:rPr>
      </w:pPr>
      <w:r w:rsidRPr="00753032">
        <w:rPr>
          <w:lang w:val="es-ES"/>
        </w:rPr>
        <w:t>Las condiciones de observación (incluida la luminancia de la pantalla, la iluminación de fondo, la distancia de observación etc.) deben ser consistentes con las utilizadas en 2D, tal como se describe en la Recomendación UIT-R BT.2022 (Doc</w:t>
      </w:r>
      <w:r>
        <w:rPr>
          <w:lang w:val="es-ES"/>
        </w:rPr>
        <w:t>umento </w:t>
      </w:r>
      <w:hyperlink r:id="rId39" w:history="1">
        <w:r w:rsidRPr="00DC69D7">
          <w:rPr>
            <w:lang w:val="es-ES_tradnl"/>
          </w:rPr>
          <w:t>6/20</w:t>
        </w:r>
      </w:hyperlink>
      <w:r w:rsidRPr="00753032">
        <w:rPr>
          <w:lang w:val="es-ES"/>
        </w:rPr>
        <w:t xml:space="preserve">), Condiciones generales de visualización para la evaluación subjetiva de la calidad de imágenes de televisión de definición normalizada y televisión de alta definición en monitores de pantalla plana. El motivo de dicha consistencia es doble. Por una parte, en la práctica los usuarios verán las imágenes de </w:t>
      </w:r>
      <w:r>
        <w:rPr>
          <w:lang w:val="es-ES"/>
        </w:rPr>
        <w:t>TV </w:t>
      </w:r>
      <w:r w:rsidRPr="00753032">
        <w:rPr>
          <w:lang w:val="es-ES"/>
        </w:rPr>
        <w:t xml:space="preserve">3D </w:t>
      </w:r>
      <w:r>
        <w:rPr>
          <w:lang w:val="es-ES"/>
        </w:rPr>
        <w:t>en</w:t>
      </w:r>
      <w:r w:rsidRPr="00753032">
        <w:rPr>
          <w:lang w:val="es-ES"/>
        </w:rPr>
        <w:t xml:space="preserve"> las mismas condiciones de representación y visualización que las imágenes de 2D. En segundo lugar, los avances en términos de calidad de funcionamiento</w:t>
      </w:r>
      <w:r>
        <w:rPr>
          <w:lang w:val="es-ES"/>
        </w:rPr>
        <w:t xml:space="preserve"> de las tecnologías de vídeo TV </w:t>
      </w:r>
      <w:r w:rsidRPr="00753032">
        <w:rPr>
          <w:lang w:val="es-ES"/>
        </w:rPr>
        <w:t>3D a menudo deberán medirse en relación con (es d</w:t>
      </w:r>
      <w:r>
        <w:rPr>
          <w:lang w:val="es-ES"/>
        </w:rPr>
        <w:t>e</w:t>
      </w:r>
      <w:r w:rsidRPr="00753032">
        <w:rPr>
          <w:lang w:val="es-ES"/>
        </w:rPr>
        <w:t xml:space="preserve">cir, </w:t>
      </w:r>
      <w:r>
        <w:rPr>
          <w:lang w:val="es-ES"/>
        </w:rPr>
        <w:t>«</w:t>
      </w:r>
      <w:r w:rsidRPr="00753032">
        <w:rPr>
          <w:lang w:val="es-ES"/>
        </w:rPr>
        <w:t>comparadas con</w:t>
      </w:r>
      <w:r>
        <w:rPr>
          <w:lang w:val="es-ES"/>
        </w:rPr>
        <w:t>»</w:t>
      </w:r>
      <w:r w:rsidRPr="00753032">
        <w:rPr>
          <w:lang w:val="es-ES"/>
        </w:rPr>
        <w:t xml:space="preserve">) el avance de las normas de las tecnologías de </w:t>
      </w:r>
      <w:r>
        <w:rPr>
          <w:lang w:val="es-ES"/>
        </w:rPr>
        <w:t>vídeo</w:t>
      </w:r>
      <w:r w:rsidRPr="00753032">
        <w:rPr>
          <w:lang w:val="es-ES"/>
        </w:rPr>
        <w:t xml:space="preserve"> de TVAD.</w:t>
      </w:r>
    </w:p>
    <w:p w:rsidR="00315EFA" w:rsidRPr="00753032" w:rsidRDefault="00315EFA" w:rsidP="00315EFA">
      <w:pPr>
        <w:keepNext/>
        <w:keepLines/>
        <w:rPr>
          <w:lang w:val="es-ES"/>
        </w:rPr>
      </w:pPr>
      <w:r w:rsidRPr="00753032">
        <w:rPr>
          <w:lang w:val="es-ES"/>
        </w:rPr>
        <w:t>En la Recomendación UIT-R BT.2022 (Doc</w:t>
      </w:r>
      <w:r>
        <w:rPr>
          <w:lang w:val="es-ES"/>
        </w:rPr>
        <w:t>umento</w:t>
      </w:r>
      <w:r w:rsidRPr="00753032">
        <w:rPr>
          <w:lang w:val="es-ES"/>
        </w:rPr>
        <w:t xml:space="preserve"> 6/20) se especifican dos posibles criterios para la selección de la distancia de visualización. Debe seleccionarse la distancia de visualización nominal (DVD, </w:t>
      </w:r>
      <w:proofErr w:type="spellStart"/>
      <w:r w:rsidRPr="00753032">
        <w:rPr>
          <w:i/>
          <w:iCs/>
          <w:lang w:val="es-ES"/>
        </w:rPr>
        <w:t>design</w:t>
      </w:r>
      <w:proofErr w:type="spellEnd"/>
      <w:r w:rsidRPr="00753032">
        <w:rPr>
          <w:i/>
          <w:iCs/>
          <w:lang w:val="es-ES"/>
        </w:rPr>
        <w:t xml:space="preserve"> </w:t>
      </w:r>
      <w:proofErr w:type="spellStart"/>
      <w:r w:rsidRPr="00753032">
        <w:rPr>
          <w:i/>
          <w:iCs/>
          <w:lang w:val="es-ES"/>
        </w:rPr>
        <w:t>viewing</w:t>
      </w:r>
      <w:proofErr w:type="spellEnd"/>
      <w:r w:rsidRPr="00753032">
        <w:rPr>
          <w:i/>
          <w:iCs/>
          <w:lang w:val="es-ES"/>
        </w:rPr>
        <w:t xml:space="preserve"> </w:t>
      </w:r>
      <w:proofErr w:type="spellStart"/>
      <w:r w:rsidRPr="00753032">
        <w:rPr>
          <w:i/>
          <w:iCs/>
          <w:lang w:val="es-ES"/>
        </w:rPr>
        <w:t>distance</w:t>
      </w:r>
      <w:proofErr w:type="spellEnd"/>
      <w:r w:rsidRPr="00753032">
        <w:rPr>
          <w:lang w:val="es-ES"/>
        </w:rPr>
        <w:t xml:space="preserve">). La DVD de un sistema digital es la distancia a la que dos </w:t>
      </w:r>
      <w:r>
        <w:rPr>
          <w:lang w:val="es-ES"/>
        </w:rPr>
        <w:t xml:space="preserve">píxeles </w:t>
      </w:r>
      <w:r w:rsidRPr="00753032">
        <w:rPr>
          <w:lang w:val="es-ES"/>
        </w:rPr>
        <w:t>adyacentes presentan, para el ojo del observador, un ángulo subtendido de 1</w:t>
      </w:r>
      <w:r>
        <w:rPr>
          <w:lang w:val="es-ES"/>
        </w:rPr>
        <w:t> </w:t>
      </w:r>
      <w:proofErr w:type="spellStart"/>
      <w:r>
        <w:rPr>
          <w:lang w:val="es-ES"/>
        </w:rPr>
        <w:t>arc</w:t>
      </w:r>
      <w:proofErr w:type="spellEnd"/>
      <w:r>
        <w:rPr>
          <w:lang w:val="es-ES"/>
        </w:rPr>
        <w:t>-min</w:t>
      </w:r>
      <w:r w:rsidRPr="00753032">
        <w:rPr>
          <w:lang w:val="es-ES"/>
        </w:rPr>
        <w:t>.</w:t>
      </w:r>
    </w:p>
    <w:p w:rsidR="00315EFA" w:rsidRPr="00753032" w:rsidRDefault="00315EFA" w:rsidP="00315EFA">
      <w:pPr>
        <w:rPr>
          <w:lang w:val="es-ES" w:eastAsia="zh-CN"/>
        </w:rPr>
      </w:pPr>
      <w:r w:rsidRPr="00753032">
        <w:rPr>
          <w:lang w:val="es-ES" w:eastAsia="zh-CN"/>
        </w:rPr>
        <w:t>Cuando se expresa el múltiplos de la altura de la imagen, la DVD para una resolución de imagen de 1280</w:t>
      </w:r>
      <w:r>
        <w:rPr>
          <w:lang w:val="es-ES" w:eastAsia="zh-CN"/>
        </w:rPr>
        <w:t> </w:t>
      </w:r>
      <w:r>
        <w:rPr>
          <w:lang w:val="es-ES" w:eastAsia="zh-CN"/>
        </w:rPr>
        <w:sym w:font="Symbol" w:char="F0B4"/>
      </w:r>
      <w:r>
        <w:rPr>
          <w:lang w:val="es-ES" w:eastAsia="zh-CN"/>
        </w:rPr>
        <w:t> </w:t>
      </w:r>
      <w:r w:rsidRPr="00753032">
        <w:rPr>
          <w:lang w:val="es-ES" w:eastAsia="zh-CN"/>
        </w:rPr>
        <w:t>720 (Recomendaciones UIT-R BT.1543 y UIT-R BT.1847) es de 4,8H; y la de la familia de sistemas de resolución de imagen TVAD de 1920</w:t>
      </w:r>
      <w:r>
        <w:rPr>
          <w:lang w:val="es-ES" w:eastAsia="zh-CN"/>
        </w:rPr>
        <w:t> </w:t>
      </w:r>
      <w:r>
        <w:rPr>
          <w:lang w:val="es-ES" w:eastAsia="zh-CN"/>
        </w:rPr>
        <w:sym w:font="Symbol" w:char="F0B4"/>
      </w:r>
      <w:r>
        <w:rPr>
          <w:lang w:val="es-ES" w:eastAsia="zh-CN"/>
        </w:rPr>
        <w:t> </w:t>
      </w:r>
      <w:r w:rsidRPr="00753032">
        <w:rPr>
          <w:lang w:val="es-ES" w:eastAsia="zh-CN"/>
        </w:rPr>
        <w:t>1080 (Rec</w:t>
      </w:r>
      <w:r>
        <w:rPr>
          <w:lang w:val="es-ES" w:eastAsia="zh-CN"/>
        </w:rPr>
        <w:t>omendación</w:t>
      </w:r>
      <w:r w:rsidRPr="00753032">
        <w:rPr>
          <w:lang w:val="es-ES" w:eastAsia="zh-CN"/>
        </w:rPr>
        <w:t xml:space="preserve"> UIT-R BT.709) es de</w:t>
      </w:r>
      <w:r>
        <w:rPr>
          <w:lang w:val="es-ES" w:eastAsia="zh-CN"/>
        </w:rPr>
        <w:t> </w:t>
      </w:r>
      <w:r w:rsidRPr="00753032">
        <w:rPr>
          <w:lang w:val="es-ES" w:eastAsia="zh-CN"/>
        </w:rPr>
        <w:t>3,1H (para imágenes estáticas).</w:t>
      </w:r>
    </w:p>
    <w:p w:rsidR="00315EFA" w:rsidRPr="00753032" w:rsidRDefault="00315EFA" w:rsidP="00315EFA">
      <w:pPr>
        <w:rPr>
          <w:lang w:val="es-ES" w:eastAsia="zh-CN"/>
        </w:rPr>
      </w:pPr>
      <w:r w:rsidRPr="00753032">
        <w:rPr>
          <w:lang w:val="es-ES" w:eastAsia="zh-CN"/>
        </w:rPr>
        <w:t>En el Cuadro</w:t>
      </w:r>
      <w:r>
        <w:rPr>
          <w:lang w:val="es-ES" w:eastAsia="zh-CN"/>
        </w:rPr>
        <w:t> </w:t>
      </w:r>
      <w:r w:rsidRPr="00753032">
        <w:rPr>
          <w:lang w:val="es-ES" w:eastAsia="zh-CN"/>
        </w:rPr>
        <w:t xml:space="preserve">4 se presentan con fines ilustrativos </w:t>
      </w:r>
      <w:r>
        <w:rPr>
          <w:lang w:val="es-ES" w:eastAsia="zh-CN"/>
        </w:rPr>
        <w:t xml:space="preserve">de </w:t>
      </w:r>
      <w:r w:rsidRPr="00753032">
        <w:rPr>
          <w:lang w:val="es-ES" w:eastAsia="zh-CN"/>
        </w:rPr>
        <w:t>distancia</w:t>
      </w:r>
      <w:r>
        <w:rPr>
          <w:lang w:val="es-ES" w:eastAsia="zh-CN"/>
        </w:rPr>
        <w:t>s</w:t>
      </w:r>
      <w:r w:rsidRPr="00753032">
        <w:rPr>
          <w:lang w:val="es-ES" w:eastAsia="zh-CN"/>
        </w:rPr>
        <w:t xml:space="preserve"> de visualización nominal</w:t>
      </w:r>
      <w:r>
        <w:rPr>
          <w:lang w:val="es-ES" w:eastAsia="zh-CN"/>
        </w:rPr>
        <w:t>es</w:t>
      </w:r>
      <w:r w:rsidRPr="00753032">
        <w:rPr>
          <w:lang w:val="es-ES" w:eastAsia="zh-CN"/>
        </w:rPr>
        <w:t xml:space="preserve"> en metros para un conjunto representativo de tamaños en diagonal. </w:t>
      </w:r>
    </w:p>
    <w:p w:rsidR="00315EFA" w:rsidRPr="00753032" w:rsidRDefault="00315EFA" w:rsidP="00315EFA">
      <w:pPr>
        <w:pStyle w:val="TableNo"/>
        <w:rPr>
          <w:lang w:val="es-ES" w:eastAsia="ja-JP"/>
        </w:rPr>
      </w:pPr>
      <w:r w:rsidRPr="00753032">
        <w:rPr>
          <w:lang w:val="es-ES" w:eastAsia="en-CA"/>
        </w:rPr>
        <w:t xml:space="preserve">CUADRO </w:t>
      </w:r>
      <w:r w:rsidRPr="00753032">
        <w:rPr>
          <w:lang w:val="es-ES" w:eastAsia="ja-JP"/>
        </w:rPr>
        <w:t>4</w:t>
      </w:r>
    </w:p>
    <w:p w:rsidR="00315EFA" w:rsidRPr="00753032" w:rsidRDefault="00315EFA" w:rsidP="00315EFA">
      <w:pPr>
        <w:pStyle w:val="Tabletitle"/>
        <w:rPr>
          <w:lang w:val="es-ES" w:eastAsia="zh-CN"/>
        </w:rPr>
      </w:pPr>
      <w:r w:rsidRPr="00753032">
        <w:rPr>
          <w:lang w:val="es-ES" w:eastAsia="en-CA"/>
        </w:rPr>
        <w:t>Distancia de visualización nominal en metros para distintos tamaños</w:t>
      </w:r>
      <w:r>
        <w:rPr>
          <w:lang w:val="es-ES" w:eastAsia="en-CA"/>
        </w:rPr>
        <w:br/>
      </w:r>
      <w:r w:rsidRPr="00753032">
        <w:rPr>
          <w:lang w:val="es-ES" w:eastAsia="en-CA"/>
        </w:rPr>
        <w:t xml:space="preserve">de TV en diagonal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3544"/>
        <w:gridCol w:w="3543"/>
      </w:tblGrid>
      <w:tr w:rsidR="00315EFA" w:rsidRPr="00A80764" w:rsidTr="00A014BE">
        <w:trPr>
          <w:trHeight w:val="255"/>
          <w:jc w:val="center"/>
        </w:trPr>
        <w:tc>
          <w:tcPr>
            <w:tcW w:w="2552" w:type="dxa"/>
            <w:vMerge w:val="restart"/>
            <w:noWrap/>
            <w:vAlign w:val="center"/>
          </w:tcPr>
          <w:p w:rsidR="00315EFA" w:rsidRPr="00753032" w:rsidRDefault="00315EFA" w:rsidP="00A014BE">
            <w:pPr>
              <w:pStyle w:val="Tablehead"/>
              <w:rPr>
                <w:lang w:val="es-ES" w:eastAsia="en-CA"/>
              </w:rPr>
            </w:pPr>
            <w:r w:rsidRPr="00753032">
              <w:rPr>
                <w:lang w:val="es-ES" w:eastAsia="en-CA"/>
              </w:rPr>
              <w:t>Tamaño de la diagonal (pulgadas)</w:t>
            </w:r>
          </w:p>
        </w:tc>
        <w:tc>
          <w:tcPr>
            <w:tcW w:w="3544" w:type="dxa"/>
            <w:noWrap/>
          </w:tcPr>
          <w:p w:rsidR="00315EFA" w:rsidRPr="00753032" w:rsidRDefault="00315EFA" w:rsidP="00A014BE">
            <w:pPr>
              <w:pStyle w:val="Tablehead"/>
              <w:rPr>
                <w:lang w:val="es-ES" w:eastAsia="en-CA"/>
              </w:rPr>
            </w:pPr>
            <w:r w:rsidRPr="00753032">
              <w:rPr>
                <w:lang w:val="es-ES"/>
              </w:rPr>
              <w:t xml:space="preserve">Sistema de imagen de 1920 </w:t>
            </w:r>
            <w:r>
              <w:rPr>
                <w:lang w:val="es-ES"/>
              </w:rPr>
              <w:sym w:font="Symbol" w:char="F0B4"/>
            </w:r>
            <w:r w:rsidRPr="00753032">
              <w:rPr>
                <w:lang w:val="es-ES"/>
              </w:rPr>
              <w:t xml:space="preserve"> 1080 </w:t>
            </w:r>
          </w:p>
        </w:tc>
        <w:tc>
          <w:tcPr>
            <w:tcW w:w="3543" w:type="dxa"/>
            <w:noWrap/>
          </w:tcPr>
          <w:p w:rsidR="00315EFA" w:rsidRPr="00753032" w:rsidRDefault="00315EFA" w:rsidP="00A014BE">
            <w:pPr>
              <w:pStyle w:val="Tablehead"/>
              <w:rPr>
                <w:lang w:val="es-ES" w:eastAsia="en-CA"/>
              </w:rPr>
            </w:pPr>
            <w:r w:rsidRPr="00753032">
              <w:rPr>
                <w:lang w:val="es-ES"/>
              </w:rPr>
              <w:t xml:space="preserve">Sistema de imagen de 1280 </w:t>
            </w:r>
            <w:r>
              <w:rPr>
                <w:lang w:val="es-ES"/>
              </w:rPr>
              <w:sym w:font="Symbol" w:char="F0B4"/>
            </w:r>
            <w:r w:rsidRPr="00753032">
              <w:rPr>
                <w:lang w:val="es-ES"/>
              </w:rPr>
              <w:t xml:space="preserve"> 720 </w:t>
            </w:r>
          </w:p>
        </w:tc>
      </w:tr>
      <w:tr w:rsidR="00315EFA" w:rsidRPr="00315EFA" w:rsidTr="00A014BE">
        <w:trPr>
          <w:trHeight w:val="255"/>
          <w:jc w:val="center"/>
        </w:trPr>
        <w:tc>
          <w:tcPr>
            <w:tcW w:w="2552" w:type="dxa"/>
            <w:vMerge/>
            <w:noWrap/>
          </w:tcPr>
          <w:p w:rsidR="00315EFA" w:rsidRPr="00753032" w:rsidRDefault="00315EFA" w:rsidP="00A014BE">
            <w:pPr>
              <w:pStyle w:val="Tablehead"/>
              <w:rPr>
                <w:lang w:val="es-ES" w:eastAsia="en-CA"/>
              </w:rPr>
            </w:pPr>
          </w:p>
        </w:tc>
        <w:tc>
          <w:tcPr>
            <w:tcW w:w="3544" w:type="dxa"/>
            <w:noWrap/>
          </w:tcPr>
          <w:p w:rsidR="00315EFA" w:rsidRPr="00753032" w:rsidRDefault="00315EFA" w:rsidP="00A014BE">
            <w:pPr>
              <w:pStyle w:val="Tablehead"/>
              <w:rPr>
                <w:lang w:val="es-ES" w:eastAsia="en-CA"/>
              </w:rPr>
            </w:pPr>
            <w:r w:rsidRPr="00753032">
              <w:rPr>
                <w:lang w:val="es-ES" w:eastAsia="zh-CN"/>
              </w:rPr>
              <w:t xml:space="preserve">Distancia de visualización nominal </w:t>
            </w:r>
            <w:r w:rsidRPr="00753032">
              <w:rPr>
                <w:lang w:val="es-ES" w:eastAsia="en-CA"/>
              </w:rPr>
              <w:t>(metros)</w:t>
            </w:r>
          </w:p>
        </w:tc>
        <w:tc>
          <w:tcPr>
            <w:tcW w:w="3543" w:type="dxa"/>
            <w:noWrap/>
          </w:tcPr>
          <w:p w:rsidR="00315EFA" w:rsidRPr="00753032" w:rsidRDefault="00315EFA" w:rsidP="00A014BE">
            <w:pPr>
              <w:pStyle w:val="Tablehead"/>
              <w:rPr>
                <w:lang w:val="es-ES" w:eastAsia="en-CA"/>
              </w:rPr>
            </w:pPr>
            <w:r w:rsidRPr="00753032">
              <w:rPr>
                <w:lang w:val="es-ES" w:eastAsia="zh-CN"/>
              </w:rPr>
              <w:t xml:space="preserve">Distancia de visualización nominal </w:t>
            </w:r>
            <w:r w:rsidRPr="00753032">
              <w:rPr>
                <w:lang w:val="es-ES" w:eastAsia="en-CA"/>
              </w:rPr>
              <w:t>(metros)</w:t>
            </w:r>
          </w:p>
        </w:tc>
      </w:tr>
      <w:tr w:rsidR="00315EFA" w:rsidRPr="00A80764" w:rsidTr="00A014BE">
        <w:trPr>
          <w:trHeight w:val="255"/>
          <w:jc w:val="center"/>
        </w:trPr>
        <w:tc>
          <w:tcPr>
            <w:tcW w:w="2552" w:type="dxa"/>
            <w:noWrap/>
          </w:tcPr>
          <w:p w:rsidR="00315EFA" w:rsidRPr="00753032" w:rsidRDefault="00315EFA" w:rsidP="00A014BE">
            <w:pPr>
              <w:pStyle w:val="Tabletext"/>
              <w:jc w:val="center"/>
              <w:rPr>
                <w:lang w:val="es-ES" w:eastAsia="en-CA"/>
              </w:rPr>
            </w:pPr>
            <w:r w:rsidRPr="00753032">
              <w:rPr>
                <w:lang w:val="es-ES" w:eastAsia="en-CA"/>
              </w:rPr>
              <w:t>32</w:t>
            </w:r>
          </w:p>
        </w:tc>
        <w:tc>
          <w:tcPr>
            <w:tcW w:w="3544" w:type="dxa"/>
            <w:noWrap/>
          </w:tcPr>
          <w:p w:rsidR="00315EFA" w:rsidRPr="00753032" w:rsidRDefault="00315EFA" w:rsidP="00A014BE">
            <w:pPr>
              <w:pStyle w:val="Tabletext"/>
              <w:jc w:val="center"/>
              <w:rPr>
                <w:lang w:val="es-ES" w:eastAsia="en-CA"/>
              </w:rPr>
            </w:pPr>
            <w:r w:rsidRPr="00753032">
              <w:rPr>
                <w:lang w:val="es-ES"/>
              </w:rPr>
              <w:t>1,24</w:t>
            </w:r>
          </w:p>
        </w:tc>
        <w:tc>
          <w:tcPr>
            <w:tcW w:w="3543" w:type="dxa"/>
            <w:noWrap/>
          </w:tcPr>
          <w:p w:rsidR="00315EFA" w:rsidRPr="00753032" w:rsidRDefault="00315EFA" w:rsidP="00A014BE">
            <w:pPr>
              <w:pStyle w:val="Tabletext"/>
              <w:jc w:val="center"/>
              <w:rPr>
                <w:lang w:val="es-ES" w:eastAsia="en-CA"/>
              </w:rPr>
            </w:pPr>
            <w:r w:rsidRPr="00753032">
              <w:rPr>
                <w:lang w:val="es-ES"/>
              </w:rPr>
              <w:t>1,88</w:t>
            </w:r>
          </w:p>
        </w:tc>
      </w:tr>
      <w:tr w:rsidR="00315EFA" w:rsidRPr="00A80764" w:rsidTr="00A014BE">
        <w:trPr>
          <w:trHeight w:val="255"/>
          <w:jc w:val="center"/>
        </w:trPr>
        <w:tc>
          <w:tcPr>
            <w:tcW w:w="2552" w:type="dxa"/>
            <w:noWrap/>
          </w:tcPr>
          <w:p w:rsidR="00315EFA" w:rsidRPr="00753032" w:rsidRDefault="00315EFA" w:rsidP="00A014BE">
            <w:pPr>
              <w:pStyle w:val="Tabletext"/>
              <w:jc w:val="center"/>
              <w:rPr>
                <w:lang w:val="es-ES" w:eastAsia="en-CA"/>
              </w:rPr>
            </w:pPr>
            <w:r w:rsidRPr="00753032">
              <w:rPr>
                <w:lang w:val="es-ES" w:eastAsia="en-CA"/>
              </w:rPr>
              <w:t>42</w:t>
            </w:r>
          </w:p>
        </w:tc>
        <w:tc>
          <w:tcPr>
            <w:tcW w:w="3544" w:type="dxa"/>
            <w:noWrap/>
          </w:tcPr>
          <w:p w:rsidR="00315EFA" w:rsidRPr="00753032" w:rsidRDefault="00315EFA" w:rsidP="00A014BE">
            <w:pPr>
              <w:pStyle w:val="Tabletext"/>
              <w:jc w:val="center"/>
              <w:rPr>
                <w:lang w:val="es-ES" w:eastAsia="en-CA"/>
              </w:rPr>
            </w:pPr>
            <w:r w:rsidRPr="00753032">
              <w:rPr>
                <w:lang w:val="es-ES"/>
              </w:rPr>
              <w:t>1,62</w:t>
            </w:r>
          </w:p>
        </w:tc>
        <w:tc>
          <w:tcPr>
            <w:tcW w:w="3543" w:type="dxa"/>
            <w:noWrap/>
          </w:tcPr>
          <w:p w:rsidR="00315EFA" w:rsidRPr="00753032" w:rsidRDefault="00315EFA" w:rsidP="00A014BE">
            <w:pPr>
              <w:pStyle w:val="Tabletext"/>
              <w:jc w:val="center"/>
              <w:rPr>
                <w:lang w:val="es-ES" w:eastAsia="en-CA"/>
              </w:rPr>
            </w:pPr>
            <w:r w:rsidRPr="00753032">
              <w:rPr>
                <w:lang w:val="es-ES"/>
              </w:rPr>
              <w:t>2,47</w:t>
            </w:r>
          </w:p>
        </w:tc>
      </w:tr>
      <w:tr w:rsidR="00315EFA" w:rsidRPr="00753032" w:rsidTr="00A014BE">
        <w:trPr>
          <w:trHeight w:val="255"/>
          <w:jc w:val="center"/>
        </w:trPr>
        <w:tc>
          <w:tcPr>
            <w:tcW w:w="2552" w:type="dxa"/>
            <w:noWrap/>
          </w:tcPr>
          <w:p w:rsidR="00315EFA" w:rsidRPr="00753032" w:rsidRDefault="00315EFA" w:rsidP="00A014BE">
            <w:pPr>
              <w:pStyle w:val="Tabletext"/>
              <w:jc w:val="center"/>
              <w:rPr>
                <w:lang w:val="es-ES" w:eastAsia="en-CA"/>
              </w:rPr>
            </w:pPr>
            <w:r w:rsidRPr="00753032">
              <w:rPr>
                <w:lang w:val="es-ES" w:eastAsia="en-CA"/>
              </w:rPr>
              <w:t>52</w:t>
            </w:r>
          </w:p>
        </w:tc>
        <w:tc>
          <w:tcPr>
            <w:tcW w:w="3544" w:type="dxa"/>
            <w:noWrap/>
          </w:tcPr>
          <w:p w:rsidR="00315EFA" w:rsidRPr="00753032" w:rsidRDefault="00315EFA" w:rsidP="00A014BE">
            <w:pPr>
              <w:pStyle w:val="Tabletext"/>
              <w:jc w:val="center"/>
              <w:rPr>
                <w:lang w:val="es-ES" w:eastAsia="en-CA"/>
              </w:rPr>
            </w:pPr>
            <w:r w:rsidRPr="00753032">
              <w:rPr>
                <w:lang w:val="es-ES"/>
              </w:rPr>
              <w:t>2,01</w:t>
            </w:r>
          </w:p>
        </w:tc>
        <w:tc>
          <w:tcPr>
            <w:tcW w:w="3543" w:type="dxa"/>
            <w:noWrap/>
          </w:tcPr>
          <w:p w:rsidR="00315EFA" w:rsidRPr="00753032" w:rsidRDefault="00315EFA" w:rsidP="00A014BE">
            <w:pPr>
              <w:pStyle w:val="Tabletext"/>
              <w:jc w:val="center"/>
              <w:rPr>
                <w:lang w:val="es-ES" w:eastAsia="en-CA"/>
              </w:rPr>
            </w:pPr>
            <w:r w:rsidRPr="00753032">
              <w:rPr>
                <w:lang w:val="es-ES"/>
              </w:rPr>
              <w:t>3,06</w:t>
            </w:r>
          </w:p>
        </w:tc>
      </w:tr>
      <w:tr w:rsidR="00315EFA" w:rsidRPr="00753032" w:rsidTr="00A014BE">
        <w:trPr>
          <w:trHeight w:val="255"/>
          <w:jc w:val="center"/>
        </w:trPr>
        <w:tc>
          <w:tcPr>
            <w:tcW w:w="2552" w:type="dxa"/>
            <w:noWrap/>
          </w:tcPr>
          <w:p w:rsidR="00315EFA" w:rsidRPr="00753032" w:rsidRDefault="00315EFA" w:rsidP="00A014BE">
            <w:pPr>
              <w:pStyle w:val="Tabletext"/>
              <w:jc w:val="center"/>
              <w:rPr>
                <w:lang w:val="es-ES" w:eastAsia="en-CA"/>
              </w:rPr>
            </w:pPr>
            <w:r w:rsidRPr="00753032">
              <w:rPr>
                <w:lang w:val="es-ES" w:eastAsia="en-CA"/>
              </w:rPr>
              <w:t>62</w:t>
            </w:r>
          </w:p>
        </w:tc>
        <w:tc>
          <w:tcPr>
            <w:tcW w:w="3544" w:type="dxa"/>
            <w:noWrap/>
          </w:tcPr>
          <w:p w:rsidR="00315EFA" w:rsidRPr="00753032" w:rsidRDefault="00315EFA" w:rsidP="00A014BE">
            <w:pPr>
              <w:pStyle w:val="Tabletext"/>
              <w:jc w:val="center"/>
              <w:rPr>
                <w:lang w:val="es-ES" w:eastAsia="en-CA"/>
              </w:rPr>
            </w:pPr>
            <w:r w:rsidRPr="00753032">
              <w:rPr>
                <w:lang w:val="es-ES"/>
              </w:rPr>
              <w:t>2,39</w:t>
            </w:r>
          </w:p>
        </w:tc>
        <w:tc>
          <w:tcPr>
            <w:tcW w:w="3543" w:type="dxa"/>
            <w:noWrap/>
          </w:tcPr>
          <w:p w:rsidR="00315EFA" w:rsidRPr="00753032" w:rsidRDefault="00315EFA" w:rsidP="00A014BE">
            <w:pPr>
              <w:pStyle w:val="Tabletext"/>
              <w:jc w:val="center"/>
              <w:rPr>
                <w:lang w:val="es-ES" w:eastAsia="en-CA"/>
              </w:rPr>
            </w:pPr>
            <w:r w:rsidRPr="00753032">
              <w:rPr>
                <w:lang w:val="es-ES"/>
              </w:rPr>
              <w:t>3,64</w:t>
            </w:r>
          </w:p>
        </w:tc>
      </w:tr>
      <w:tr w:rsidR="00315EFA" w:rsidRPr="00753032" w:rsidTr="00A014BE">
        <w:trPr>
          <w:trHeight w:val="255"/>
          <w:jc w:val="center"/>
        </w:trPr>
        <w:tc>
          <w:tcPr>
            <w:tcW w:w="2552" w:type="dxa"/>
            <w:noWrap/>
          </w:tcPr>
          <w:p w:rsidR="00315EFA" w:rsidRPr="00753032" w:rsidRDefault="00315EFA" w:rsidP="00A014BE">
            <w:pPr>
              <w:pStyle w:val="Tabletext"/>
              <w:jc w:val="center"/>
              <w:rPr>
                <w:lang w:val="es-ES" w:eastAsia="en-CA"/>
              </w:rPr>
            </w:pPr>
            <w:r w:rsidRPr="00753032">
              <w:rPr>
                <w:lang w:val="es-ES" w:eastAsia="en-CA"/>
              </w:rPr>
              <w:t>72</w:t>
            </w:r>
          </w:p>
        </w:tc>
        <w:tc>
          <w:tcPr>
            <w:tcW w:w="3544" w:type="dxa"/>
            <w:noWrap/>
          </w:tcPr>
          <w:p w:rsidR="00315EFA" w:rsidRPr="00753032" w:rsidRDefault="00315EFA" w:rsidP="00A014BE">
            <w:pPr>
              <w:pStyle w:val="Tabletext"/>
              <w:jc w:val="center"/>
              <w:rPr>
                <w:lang w:val="es-ES" w:eastAsia="en-CA"/>
              </w:rPr>
            </w:pPr>
            <w:r w:rsidRPr="00753032">
              <w:rPr>
                <w:lang w:val="es-ES"/>
              </w:rPr>
              <w:t>2,78</w:t>
            </w:r>
          </w:p>
        </w:tc>
        <w:tc>
          <w:tcPr>
            <w:tcW w:w="3543" w:type="dxa"/>
            <w:noWrap/>
          </w:tcPr>
          <w:p w:rsidR="00315EFA" w:rsidRPr="00753032" w:rsidRDefault="00315EFA" w:rsidP="00A014BE">
            <w:pPr>
              <w:pStyle w:val="Tabletext"/>
              <w:jc w:val="center"/>
              <w:rPr>
                <w:lang w:val="es-ES" w:eastAsia="en-CA"/>
              </w:rPr>
            </w:pPr>
            <w:r w:rsidRPr="00753032">
              <w:rPr>
                <w:lang w:val="es-ES"/>
              </w:rPr>
              <w:t>4,23</w:t>
            </w:r>
          </w:p>
        </w:tc>
      </w:tr>
      <w:tr w:rsidR="00315EFA" w:rsidRPr="00753032" w:rsidTr="00A014BE">
        <w:trPr>
          <w:trHeight w:val="255"/>
          <w:jc w:val="center"/>
        </w:trPr>
        <w:tc>
          <w:tcPr>
            <w:tcW w:w="2552" w:type="dxa"/>
            <w:noWrap/>
          </w:tcPr>
          <w:p w:rsidR="00315EFA" w:rsidRPr="00753032" w:rsidRDefault="00315EFA" w:rsidP="00A014BE">
            <w:pPr>
              <w:pStyle w:val="Tabletext"/>
              <w:jc w:val="center"/>
              <w:rPr>
                <w:lang w:val="es-ES" w:eastAsia="en-CA"/>
              </w:rPr>
            </w:pPr>
            <w:r w:rsidRPr="00753032">
              <w:rPr>
                <w:lang w:val="es-ES" w:eastAsia="en-CA"/>
              </w:rPr>
              <w:t>82</w:t>
            </w:r>
          </w:p>
        </w:tc>
        <w:tc>
          <w:tcPr>
            <w:tcW w:w="3544" w:type="dxa"/>
            <w:noWrap/>
          </w:tcPr>
          <w:p w:rsidR="00315EFA" w:rsidRPr="00753032" w:rsidRDefault="00315EFA" w:rsidP="00A014BE">
            <w:pPr>
              <w:pStyle w:val="Tabletext"/>
              <w:jc w:val="center"/>
              <w:rPr>
                <w:lang w:val="es-ES" w:eastAsia="en-CA"/>
              </w:rPr>
            </w:pPr>
            <w:r w:rsidRPr="00753032">
              <w:rPr>
                <w:lang w:val="es-ES"/>
              </w:rPr>
              <w:t>3,17</w:t>
            </w:r>
          </w:p>
        </w:tc>
        <w:tc>
          <w:tcPr>
            <w:tcW w:w="3543" w:type="dxa"/>
            <w:noWrap/>
          </w:tcPr>
          <w:p w:rsidR="00315EFA" w:rsidRPr="00753032" w:rsidRDefault="00315EFA" w:rsidP="00A014BE">
            <w:pPr>
              <w:pStyle w:val="Tabletext"/>
              <w:jc w:val="center"/>
              <w:rPr>
                <w:lang w:val="es-ES" w:eastAsia="en-CA"/>
              </w:rPr>
            </w:pPr>
            <w:r w:rsidRPr="00753032">
              <w:rPr>
                <w:lang w:val="es-ES"/>
              </w:rPr>
              <w:t>4,82</w:t>
            </w:r>
          </w:p>
        </w:tc>
      </w:tr>
      <w:tr w:rsidR="00315EFA" w:rsidRPr="00753032" w:rsidTr="00A014BE">
        <w:trPr>
          <w:trHeight w:val="255"/>
          <w:jc w:val="center"/>
        </w:trPr>
        <w:tc>
          <w:tcPr>
            <w:tcW w:w="2552" w:type="dxa"/>
            <w:noWrap/>
          </w:tcPr>
          <w:p w:rsidR="00315EFA" w:rsidRPr="00753032" w:rsidRDefault="00315EFA" w:rsidP="00A014BE">
            <w:pPr>
              <w:pStyle w:val="Tabletext"/>
              <w:jc w:val="center"/>
              <w:rPr>
                <w:lang w:val="es-ES" w:eastAsia="en-CA"/>
              </w:rPr>
            </w:pPr>
            <w:r w:rsidRPr="00753032">
              <w:rPr>
                <w:lang w:val="es-ES" w:eastAsia="en-CA"/>
              </w:rPr>
              <w:t>92</w:t>
            </w:r>
          </w:p>
        </w:tc>
        <w:tc>
          <w:tcPr>
            <w:tcW w:w="3544" w:type="dxa"/>
            <w:noWrap/>
          </w:tcPr>
          <w:p w:rsidR="00315EFA" w:rsidRPr="00753032" w:rsidRDefault="00315EFA" w:rsidP="00A014BE">
            <w:pPr>
              <w:pStyle w:val="Tabletext"/>
              <w:jc w:val="center"/>
              <w:rPr>
                <w:lang w:val="es-ES" w:eastAsia="en-CA"/>
              </w:rPr>
            </w:pPr>
            <w:r w:rsidRPr="00753032">
              <w:rPr>
                <w:lang w:val="es-ES"/>
              </w:rPr>
              <w:t>3,55</w:t>
            </w:r>
          </w:p>
        </w:tc>
        <w:tc>
          <w:tcPr>
            <w:tcW w:w="3543" w:type="dxa"/>
            <w:noWrap/>
          </w:tcPr>
          <w:p w:rsidR="00315EFA" w:rsidRPr="00753032" w:rsidRDefault="00315EFA" w:rsidP="00A014BE">
            <w:pPr>
              <w:pStyle w:val="Tabletext"/>
              <w:jc w:val="center"/>
              <w:rPr>
                <w:lang w:val="es-ES" w:eastAsia="en-CA"/>
              </w:rPr>
            </w:pPr>
            <w:r w:rsidRPr="00753032">
              <w:rPr>
                <w:lang w:val="es-ES"/>
              </w:rPr>
              <w:t>5,41</w:t>
            </w:r>
          </w:p>
        </w:tc>
      </w:tr>
      <w:tr w:rsidR="00315EFA" w:rsidRPr="00753032" w:rsidTr="00A014BE">
        <w:trPr>
          <w:trHeight w:val="255"/>
          <w:jc w:val="center"/>
        </w:trPr>
        <w:tc>
          <w:tcPr>
            <w:tcW w:w="2552" w:type="dxa"/>
            <w:noWrap/>
          </w:tcPr>
          <w:p w:rsidR="00315EFA" w:rsidRPr="00753032" w:rsidRDefault="00315EFA" w:rsidP="00A014BE">
            <w:pPr>
              <w:pStyle w:val="Tabletext"/>
              <w:jc w:val="center"/>
              <w:rPr>
                <w:lang w:val="es-ES" w:eastAsia="en-CA"/>
              </w:rPr>
            </w:pPr>
            <w:r w:rsidRPr="00753032">
              <w:rPr>
                <w:lang w:val="es-ES" w:eastAsia="en-CA"/>
              </w:rPr>
              <w:t>102</w:t>
            </w:r>
          </w:p>
        </w:tc>
        <w:tc>
          <w:tcPr>
            <w:tcW w:w="3544" w:type="dxa"/>
            <w:noWrap/>
          </w:tcPr>
          <w:p w:rsidR="00315EFA" w:rsidRPr="00753032" w:rsidRDefault="00315EFA" w:rsidP="00A014BE">
            <w:pPr>
              <w:pStyle w:val="Tabletext"/>
              <w:jc w:val="center"/>
              <w:rPr>
                <w:lang w:val="es-ES" w:eastAsia="en-CA"/>
              </w:rPr>
            </w:pPr>
            <w:r w:rsidRPr="00753032">
              <w:rPr>
                <w:lang w:val="es-ES"/>
              </w:rPr>
              <w:t>3,94</w:t>
            </w:r>
          </w:p>
        </w:tc>
        <w:tc>
          <w:tcPr>
            <w:tcW w:w="3543" w:type="dxa"/>
            <w:noWrap/>
          </w:tcPr>
          <w:p w:rsidR="00315EFA" w:rsidRPr="00753032" w:rsidRDefault="00315EFA" w:rsidP="00A014BE">
            <w:pPr>
              <w:pStyle w:val="Tabletext"/>
              <w:jc w:val="center"/>
              <w:rPr>
                <w:lang w:val="es-ES" w:eastAsia="en-CA"/>
              </w:rPr>
            </w:pPr>
            <w:r w:rsidRPr="00753032">
              <w:rPr>
                <w:lang w:val="es-ES"/>
              </w:rPr>
              <w:t>5,99</w:t>
            </w:r>
          </w:p>
        </w:tc>
      </w:tr>
    </w:tbl>
    <w:p w:rsidR="00315EFA" w:rsidRPr="00753032" w:rsidRDefault="00315EFA" w:rsidP="00315EFA">
      <w:pPr>
        <w:pStyle w:val="Tablefin"/>
        <w:rPr>
          <w:lang w:val="es-ES" w:eastAsia="zh-CN"/>
        </w:rPr>
      </w:pPr>
    </w:p>
    <w:p w:rsidR="00315EFA" w:rsidRPr="00753032" w:rsidRDefault="00315EFA" w:rsidP="00315EFA">
      <w:pPr>
        <w:rPr>
          <w:lang w:val="es-ES"/>
        </w:rPr>
      </w:pPr>
      <w:r w:rsidRPr="00753032">
        <w:rPr>
          <w:lang w:val="es-ES"/>
        </w:rPr>
        <w:t>Cuando dos píxeles adyacentes subtienden un ángulo de 1</w:t>
      </w:r>
      <w:r>
        <w:rPr>
          <w:lang w:val="es-ES"/>
        </w:rPr>
        <w:t> </w:t>
      </w:r>
      <w:proofErr w:type="spellStart"/>
      <w:r>
        <w:rPr>
          <w:lang w:val="es-ES"/>
        </w:rPr>
        <w:t>arc</w:t>
      </w:r>
      <w:proofErr w:type="spellEnd"/>
      <w:r>
        <w:rPr>
          <w:lang w:val="es-ES"/>
        </w:rPr>
        <w:t>-min</w:t>
      </w:r>
      <w:r w:rsidRPr="00753032">
        <w:rPr>
          <w:lang w:val="es-ES"/>
        </w:rPr>
        <w:t xml:space="preserve"> desde la perspectiva del ojo del observador, la menor disparidad angular (</w:t>
      </w:r>
      <w:proofErr w:type="spellStart"/>
      <w:r w:rsidRPr="00753032">
        <w:rPr>
          <w:lang w:val="es-ES"/>
        </w:rPr>
        <w:t>retinal</w:t>
      </w:r>
      <w:proofErr w:type="spellEnd"/>
      <w:r w:rsidRPr="00753032">
        <w:rPr>
          <w:lang w:val="es-ES"/>
        </w:rPr>
        <w:t>) que puede ser representada por el sistema a la distancia de observación nominal (es decir, la resolución de profundidad del sistema) es igual a 1</w:t>
      </w:r>
      <w:r>
        <w:rPr>
          <w:lang w:val="es-ES"/>
        </w:rPr>
        <w:t> </w:t>
      </w:r>
      <w:proofErr w:type="spellStart"/>
      <w:r>
        <w:rPr>
          <w:lang w:val="es-ES"/>
        </w:rPr>
        <w:t>arc</w:t>
      </w:r>
      <w:proofErr w:type="spellEnd"/>
      <w:r>
        <w:rPr>
          <w:lang w:val="es-ES"/>
        </w:rPr>
        <w:t>-min</w:t>
      </w:r>
      <w:r w:rsidRPr="00753032">
        <w:rPr>
          <w:lang w:val="es-ES"/>
        </w:rPr>
        <w:t xml:space="preserve"> (o su equivalente 60</w:t>
      </w:r>
      <w:r>
        <w:rPr>
          <w:lang w:val="es-ES"/>
        </w:rPr>
        <w:t> </w:t>
      </w:r>
      <w:proofErr w:type="spellStart"/>
      <w:r>
        <w:rPr>
          <w:lang w:val="es-ES"/>
        </w:rPr>
        <w:t>arc</w:t>
      </w:r>
      <w:proofErr w:type="spellEnd"/>
      <w:r>
        <w:rPr>
          <w:lang w:val="es-ES"/>
        </w:rPr>
        <w:t>-s</w:t>
      </w:r>
      <w:r w:rsidRPr="00753032">
        <w:rPr>
          <w:lang w:val="es-ES"/>
        </w:rPr>
        <w:t>). Las investigaciones han mostrado que casi el 97% de la población puede distinguir disparidades horizontales iguales o menores a 140</w:t>
      </w:r>
      <w:r>
        <w:rPr>
          <w:lang w:val="es-ES"/>
        </w:rPr>
        <w:t> </w:t>
      </w:r>
      <w:proofErr w:type="spellStart"/>
      <w:r>
        <w:rPr>
          <w:lang w:val="es-ES"/>
        </w:rPr>
        <w:t>arc</w:t>
      </w:r>
      <w:proofErr w:type="spellEnd"/>
      <w:r>
        <w:rPr>
          <w:lang w:val="es-ES"/>
        </w:rPr>
        <w:t>-s</w:t>
      </w:r>
      <w:r w:rsidRPr="00753032">
        <w:rPr>
          <w:lang w:val="es-ES"/>
        </w:rPr>
        <w:t xml:space="preserve"> y que al menos el 80% puede detectar disparidades horizontales de 30</w:t>
      </w:r>
      <w:r>
        <w:rPr>
          <w:lang w:val="es-ES"/>
        </w:rPr>
        <w:t> </w:t>
      </w:r>
      <w:proofErr w:type="spellStart"/>
      <w:r>
        <w:rPr>
          <w:lang w:val="es-ES"/>
        </w:rPr>
        <w:t>arc</w:t>
      </w:r>
      <w:proofErr w:type="spellEnd"/>
      <w:r>
        <w:rPr>
          <w:lang w:val="es-ES"/>
        </w:rPr>
        <w:t>-s</w:t>
      </w:r>
      <w:r w:rsidRPr="00753032">
        <w:rPr>
          <w:lang w:val="es-ES"/>
        </w:rPr>
        <w:t xml:space="preserve">. Por tanto, la mayoría de los observadores no tendrán dificultades para resolver la disparidad más pequeña representable en los sistemas de </w:t>
      </w:r>
      <w:r>
        <w:rPr>
          <w:lang w:val="es-ES"/>
        </w:rPr>
        <w:t>vídeo</w:t>
      </w:r>
      <w:r w:rsidRPr="00753032">
        <w:rPr>
          <w:lang w:val="es-ES"/>
        </w:rPr>
        <w:t xml:space="preserve"> 3D actuales a la distancia de visualización nominal.</w:t>
      </w:r>
    </w:p>
    <w:p w:rsidR="00315EFA" w:rsidRPr="00753032" w:rsidRDefault="00315EFA" w:rsidP="00315EFA">
      <w:pPr>
        <w:pStyle w:val="Heading1"/>
        <w:rPr>
          <w:lang w:val="es-ES"/>
        </w:rPr>
      </w:pPr>
      <w:r w:rsidRPr="00753032">
        <w:rPr>
          <w:lang w:val="es-ES"/>
        </w:rPr>
        <w:lastRenderedPageBreak/>
        <w:t>4</w:t>
      </w:r>
      <w:r w:rsidRPr="00753032">
        <w:rPr>
          <w:lang w:val="es-ES"/>
        </w:rPr>
        <w:tab/>
        <w:t xml:space="preserve">Material de prueba </w:t>
      </w:r>
    </w:p>
    <w:p w:rsidR="00315EFA" w:rsidRPr="00753032" w:rsidRDefault="00315EFA" w:rsidP="00315EFA">
      <w:pPr>
        <w:rPr>
          <w:lang w:val="es-ES"/>
        </w:rPr>
      </w:pPr>
      <w:r w:rsidRPr="00753032">
        <w:rPr>
          <w:lang w:val="es-ES"/>
        </w:rPr>
        <w:t xml:space="preserve">La selección del material de prueba debe estar asociada a la cuestión experimental que pretende abordarse en el correspondiente estudio. En general, el contenido de las secuencias de prueba (deporte, películas, etc.) y sus características espacio-temporales deben ser representativas de los programas distribuidos por el servicio </w:t>
      </w:r>
      <w:r>
        <w:rPr>
          <w:lang w:val="es-ES"/>
        </w:rPr>
        <w:t>analizado</w:t>
      </w:r>
      <w:r w:rsidRPr="00753032">
        <w:rPr>
          <w:lang w:val="es-ES"/>
        </w:rPr>
        <w:t>.</w:t>
      </w:r>
    </w:p>
    <w:p w:rsidR="00315EFA" w:rsidRPr="00753032" w:rsidRDefault="00315EFA" w:rsidP="00315EFA">
      <w:pPr>
        <w:rPr>
          <w:lang w:val="es-ES"/>
        </w:rPr>
      </w:pPr>
      <w:r w:rsidRPr="00753032">
        <w:rPr>
          <w:lang w:val="es-ES"/>
        </w:rPr>
        <w:t>Además, el contenido de las secuencias estereoscópicas también debería ser, por lo general, de visualización cómoda. El confort de visualización de imágenes estereoscópicas depende de manera crítica de las disparidades de la imagen (paralaje) y de las condiciones de visualización. En consecuencia, deben tomarse las precauciones necesarias para garantizar que las disparidades no excedan los límites señalados en el punto siguiente, salvo que el estudio tenga por objetivo específicamente la medición del confort visual. Además, cuando sea posible, se medirán e informará de las estadísticas: media, desviación típica y distancia (</w:t>
      </w:r>
      <w:proofErr w:type="spellStart"/>
      <w:r w:rsidRPr="00753032">
        <w:rPr>
          <w:lang w:val="es-ES"/>
        </w:rPr>
        <w:t>m</w:t>
      </w:r>
      <w:r>
        <w:rPr>
          <w:lang w:val="es-ES"/>
        </w:rPr>
        <w:t>í</w:t>
      </w:r>
      <w:r w:rsidRPr="00753032">
        <w:rPr>
          <w:lang w:val="es-ES"/>
        </w:rPr>
        <w:t>n</w:t>
      </w:r>
      <w:proofErr w:type="spellEnd"/>
      <w:r w:rsidRPr="00753032">
        <w:rPr>
          <w:lang w:val="es-ES"/>
        </w:rPr>
        <w:t>/</w:t>
      </w:r>
      <w:proofErr w:type="spellStart"/>
      <w:r w:rsidRPr="00753032">
        <w:rPr>
          <w:lang w:val="es-ES"/>
        </w:rPr>
        <w:t>m</w:t>
      </w:r>
      <w:r>
        <w:rPr>
          <w:lang w:val="es-ES"/>
        </w:rPr>
        <w:t>á</w:t>
      </w:r>
      <w:r w:rsidRPr="00753032">
        <w:rPr>
          <w:lang w:val="es-ES"/>
        </w:rPr>
        <w:t>x</w:t>
      </w:r>
      <w:proofErr w:type="spellEnd"/>
      <w:r w:rsidRPr="00753032">
        <w:rPr>
          <w:lang w:val="es-ES"/>
        </w:rPr>
        <w:t>) de la distribución de la disparidad de las secuencia de prueba.</w:t>
      </w:r>
    </w:p>
    <w:p w:rsidR="00315EFA" w:rsidRPr="00753032" w:rsidRDefault="00315EFA" w:rsidP="00315EFA">
      <w:pPr>
        <w:rPr>
          <w:lang w:val="es-ES" w:eastAsia="ja-JP"/>
        </w:rPr>
      </w:pPr>
      <w:r w:rsidRPr="00753032">
        <w:rPr>
          <w:lang w:val="es-ES" w:eastAsia="ja-JP"/>
        </w:rPr>
        <w:t xml:space="preserve">El paralaje, las inconsistencias entre las imágenes izquierda y derecha y la distribución y cambios del paralaje, pueden ser elementos a considerar en la selección de imágenes de prueba de </w:t>
      </w:r>
      <w:r>
        <w:rPr>
          <w:lang w:val="es-ES" w:eastAsia="ja-JP"/>
        </w:rPr>
        <w:t xml:space="preserve">fácil visualización </w:t>
      </w:r>
      <w:r w:rsidRPr="00753032">
        <w:rPr>
          <w:lang w:val="es-ES" w:eastAsia="ja-JP"/>
        </w:rPr>
        <w:t>estereoscópica. La relación entre las imágenes estereoscópicas</w:t>
      </w:r>
      <w:r>
        <w:rPr>
          <w:lang w:val="es-ES" w:eastAsia="ja-JP"/>
        </w:rPr>
        <w:t> </w:t>
      </w:r>
      <w:r w:rsidRPr="00753032">
        <w:rPr>
          <w:lang w:val="es-ES" w:eastAsia="ja-JP"/>
        </w:rPr>
        <w:t>3D de fácil visualización y el paralaje, las inconsistencias entre las imágenes izquierda y derecha y la distribución y cambios del paralaje se describen en los puntos siguientes.</w:t>
      </w:r>
    </w:p>
    <w:p w:rsidR="00315EFA" w:rsidRPr="00753032" w:rsidRDefault="00315EFA" w:rsidP="00315EFA">
      <w:pPr>
        <w:pStyle w:val="Heading2"/>
        <w:rPr>
          <w:lang w:val="es-ES" w:eastAsia="zh-CN"/>
        </w:rPr>
      </w:pPr>
      <w:r w:rsidRPr="00753032">
        <w:rPr>
          <w:lang w:val="es-ES" w:eastAsia="zh-CN"/>
        </w:rPr>
        <w:t>4.1</w:t>
      </w:r>
      <w:r w:rsidRPr="00753032">
        <w:rPr>
          <w:lang w:val="es-ES" w:eastAsia="zh-CN"/>
        </w:rPr>
        <w:tab/>
        <w:t xml:space="preserve">Límites del confort visual </w:t>
      </w:r>
    </w:p>
    <w:p w:rsidR="00315EFA" w:rsidRPr="00753032" w:rsidRDefault="00315EFA" w:rsidP="00315EFA">
      <w:pPr>
        <w:rPr>
          <w:lang w:val="es-ES" w:eastAsia="zh-CN"/>
        </w:rPr>
      </w:pPr>
      <w:r w:rsidRPr="00753032">
        <w:rPr>
          <w:lang w:val="es-ES" w:eastAsia="zh-CN"/>
        </w:rPr>
        <w:t xml:space="preserve">Un paralaje o disparidad excesiva causa incomodidad visual, probablemente porque empeora el conflicto entre acomodación y </w:t>
      </w:r>
      <w:proofErr w:type="spellStart"/>
      <w:r w:rsidRPr="00753032">
        <w:rPr>
          <w:lang w:val="es-ES" w:eastAsia="zh-CN"/>
        </w:rPr>
        <w:t>vergencia</w:t>
      </w:r>
      <w:proofErr w:type="spellEnd"/>
      <w:r w:rsidRPr="00753032">
        <w:rPr>
          <w:lang w:val="es-ES" w:eastAsia="zh-CN"/>
        </w:rPr>
        <w:t xml:space="preserve"> (</w:t>
      </w:r>
      <w:r w:rsidRPr="00753032">
        <w:rPr>
          <w:lang w:val="es-ES"/>
        </w:rPr>
        <w:t>movimiento binocular en el cual ambos o</w:t>
      </w:r>
      <w:r>
        <w:rPr>
          <w:lang w:val="es-ES"/>
        </w:rPr>
        <w:t xml:space="preserve">jos se desplazan en direcciones </w:t>
      </w:r>
      <w:r w:rsidRPr="00753032">
        <w:rPr>
          <w:lang w:val="es-ES"/>
        </w:rPr>
        <w:t xml:space="preserve">opuestas). Por tanto, se ha sugerido que para minimizar el </w:t>
      </w:r>
      <w:r w:rsidRPr="00753032">
        <w:rPr>
          <w:lang w:val="es-ES" w:eastAsia="zh-CN"/>
        </w:rPr>
        <w:t xml:space="preserve">conflicto entre acomodación y </w:t>
      </w:r>
      <w:proofErr w:type="spellStart"/>
      <w:r w:rsidRPr="00753032">
        <w:rPr>
          <w:lang w:val="es-ES" w:eastAsia="zh-CN"/>
        </w:rPr>
        <w:t>vergencia</w:t>
      </w:r>
      <w:proofErr w:type="spellEnd"/>
      <w:r w:rsidRPr="00753032">
        <w:rPr>
          <w:lang w:val="es-ES" w:eastAsia="zh-CN"/>
        </w:rPr>
        <w:t xml:space="preserve">, las disparidades en la imagen estereoscópica deben ser suficientemente pequeñas de forma que las profundidades percibidas de los objetos se encuentren en una </w:t>
      </w:r>
      <w:r>
        <w:rPr>
          <w:lang w:val="es-ES" w:eastAsia="zh-CN"/>
        </w:rPr>
        <w:t>«</w:t>
      </w:r>
      <w:r w:rsidRPr="00753032">
        <w:rPr>
          <w:lang w:val="es-ES" w:eastAsia="zh-CN"/>
        </w:rPr>
        <w:t>zona de confort</w:t>
      </w:r>
      <w:r>
        <w:rPr>
          <w:lang w:val="es-ES" w:eastAsia="zh-CN"/>
        </w:rPr>
        <w:t>»</w:t>
      </w:r>
      <w:r w:rsidRPr="00753032">
        <w:rPr>
          <w:lang w:val="es-ES" w:eastAsia="zh-CN"/>
        </w:rPr>
        <w:t>. Se han propuesto varias formas de definir dichos límites. Un enfoque utiliza la medición del paralaje de la pantalla, expresado como un porcentaje del tamaño horizontal de la misma, para especificar los límites de la visualización cómoda. Se han sugerido valores del 1% para las dispari</w:t>
      </w:r>
      <w:r>
        <w:rPr>
          <w:lang w:val="es-ES" w:eastAsia="zh-CN"/>
        </w:rPr>
        <w:t>dades cruzadas/negativas y del 2</w:t>
      </w:r>
      <w:r w:rsidRPr="00753032">
        <w:rPr>
          <w:lang w:val="es-ES" w:eastAsia="zh-CN"/>
        </w:rPr>
        <w:t>% para disparidades no cruzadas/positivas (para un valor total de aproximadamente un 3%). Según otro posible enfoque, la zona de confort está delimitada por la profundidad de campo del ojo. Para condiciones típicas de visualización de televisión (radiodifusión), los investigadores han supuesto una profundidad de campo de ±0,2D (dioptrías) y ±0,3D (dioptrías). Para un sistema de TVAD con una resolución de 1920</w:t>
      </w:r>
      <w:r>
        <w:rPr>
          <w:lang w:val="es-ES" w:eastAsia="zh-CN"/>
        </w:rPr>
        <w:t> </w:t>
      </w:r>
      <w:r w:rsidRPr="00753032">
        <w:rPr>
          <w:lang w:val="es-ES" w:eastAsia="zh-CN"/>
        </w:rPr>
        <w:t>×</w:t>
      </w:r>
      <w:r>
        <w:rPr>
          <w:lang w:val="es-ES" w:eastAsia="zh-CN"/>
        </w:rPr>
        <w:t> </w:t>
      </w:r>
      <w:r w:rsidRPr="00753032">
        <w:rPr>
          <w:lang w:val="es-ES" w:eastAsia="zh-CN"/>
        </w:rPr>
        <w:t>1080 (</w:t>
      </w:r>
      <w:r>
        <w:rPr>
          <w:lang w:val="es-ES" w:eastAsia="zh-CN"/>
        </w:rPr>
        <w:t xml:space="preserve">Recomendación </w:t>
      </w:r>
      <w:r w:rsidRPr="00753032">
        <w:rPr>
          <w:lang w:val="es-ES" w:eastAsia="zh-CN"/>
        </w:rPr>
        <w:t>UIT</w:t>
      </w:r>
      <w:r>
        <w:rPr>
          <w:lang w:val="es-ES" w:eastAsia="zh-CN"/>
        </w:rPr>
        <w:noBreakHyphen/>
      </w:r>
      <w:r w:rsidRPr="00753032">
        <w:rPr>
          <w:lang w:val="es-ES" w:eastAsia="zh-CN"/>
        </w:rPr>
        <w:t>R</w:t>
      </w:r>
      <w:r>
        <w:rPr>
          <w:lang w:val="es-ES" w:eastAsia="zh-CN"/>
        </w:rPr>
        <w:t> </w:t>
      </w:r>
      <w:r w:rsidRPr="00753032">
        <w:rPr>
          <w:lang w:val="es-ES" w:eastAsia="zh-CN"/>
        </w:rPr>
        <w:t xml:space="preserve">BT.709) observado desde la distancia de visualización nominal de 3,1H, dichos valores corresponden a aproximadamente ±2% y ±3% del paralaje de la pantalla. Finalmente, un tercer enfoque especifica los límites del confort en términos de disparidad </w:t>
      </w:r>
      <w:proofErr w:type="spellStart"/>
      <w:r w:rsidRPr="00753032">
        <w:rPr>
          <w:lang w:val="es-ES" w:eastAsia="zh-CN"/>
        </w:rPr>
        <w:t>retinal</w:t>
      </w:r>
      <w:proofErr w:type="spellEnd"/>
      <w:r w:rsidRPr="00753032">
        <w:rPr>
          <w:lang w:val="es-ES" w:eastAsia="zh-CN"/>
        </w:rPr>
        <w:t xml:space="preserve"> y fija dichos límites en ±1</w:t>
      </w:r>
      <w:r>
        <w:rPr>
          <w:lang w:val="es-ES" w:eastAsia="zh-CN"/>
        </w:rPr>
        <w:t>°</w:t>
      </w:r>
      <w:r w:rsidRPr="00753032">
        <w:rPr>
          <w:lang w:val="es-ES" w:eastAsia="zh-CN"/>
        </w:rPr>
        <w:t xml:space="preserve"> del ángulo visual de las disparidades positiva y negativa.</w:t>
      </w:r>
    </w:p>
    <w:p w:rsidR="00315EFA" w:rsidRPr="00753032" w:rsidRDefault="00315EFA" w:rsidP="00315EFA">
      <w:pPr>
        <w:rPr>
          <w:lang w:val="es-ES"/>
        </w:rPr>
      </w:pPr>
      <w:r w:rsidRPr="00753032">
        <w:rPr>
          <w:lang w:val="es-ES"/>
        </w:rPr>
        <w:t xml:space="preserve">Es interesante señalar que los distintos enfoques convergen </w:t>
      </w:r>
      <w:r>
        <w:rPr>
          <w:lang w:val="es-ES"/>
        </w:rPr>
        <w:t>en</w:t>
      </w:r>
      <w:r w:rsidRPr="00753032">
        <w:rPr>
          <w:lang w:val="es-ES"/>
        </w:rPr>
        <w:t xml:space="preserve"> los mismos límites de confort. Recuérdese que a la distancia de visualización nominal, dos </w:t>
      </w:r>
      <w:r>
        <w:rPr>
          <w:lang w:val="es-ES"/>
        </w:rPr>
        <w:t xml:space="preserve">píxeles </w:t>
      </w:r>
      <w:r w:rsidRPr="00753032">
        <w:rPr>
          <w:lang w:val="es-ES"/>
        </w:rPr>
        <w:t>adyacentes subtienden un ángulo de 1</w:t>
      </w:r>
      <w:r>
        <w:rPr>
          <w:lang w:val="es-ES"/>
        </w:rPr>
        <w:t> </w:t>
      </w:r>
      <w:proofErr w:type="spellStart"/>
      <w:r>
        <w:rPr>
          <w:lang w:val="es-ES"/>
        </w:rPr>
        <w:t>arc</w:t>
      </w:r>
      <w:proofErr w:type="spellEnd"/>
      <w:r>
        <w:rPr>
          <w:lang w:val="es-ES"/>
        </w:rPr>
        <w:t>-min</w:t>
      </w:r>
      <w:r w:rsidRPr="00753032">
        <w:rPr>
          <w:lang w:val="es-ES"/>
        </w:rPr>
        <w:t xml:space="preserve"> desde el ojo de observador. Por tanto, 60 píxeles corresponden a un ángulo visual de 1</w:t>
      </w:r>
      <w:r>
        <w:rPr>
          <w:lang w:val="es-ES"/>
        </w:rPr>
        <w:t>°</w:t>
      </w:r>
      <w:r w:rsidRPr="00753032">
        <w:rPr>
          <w:lang w:val="es-ES"/>
        </w:rPr>
        <w:t xml:space="preserve">. Ello permite especificar fácilmente los límites de confort en términos de disparidad </w:t>
      </w:r>
      <w:proofErr w:type="spellStart"/>
      <w:r w:rsidRPr="00753032">
        <w:rPr>
          <w:lang w:val="es-ES"/>
        </w:rPr>
        <w:t>retinal</w:t>
      </w:r>
      <w:proofErr w:type="spellEnd"/>
      <w:r w:rsidRPr="00753032">
        <w:rPr>
          <w:lang w:val="es-ES"/>
        </w:rPr>
        <w:t xml:space="preserve"> (para un observador medio). Por ejemplo, para sistemas TVAV de resolución 1920</w:t>
      </w:r>
      <w:r>
        <w:rPr>
          <w:lang w:val="es-ES"/>
        </w:rPr>
        <w:t> </w:t>
      </w:r>
      <w:r w:rsidRPr="00753032">
        <w:rPr>
          <w:lang w:val="es-ES"/>
        </w:rPr>
        <w:t>×</w:t>
      </w:r>
      <w:r>
        <w:rPr>
          <w:lang w:val="es-ES"/>
        </w:rPr>
        <w:t> </w:t>
      </w:r>
      <w:r w:rsidRPr="00753032">
        <w:rPr>
          <w:lang w:val="es-ES"/>
        </w:rPr>
        <w:t>1080 (</w:t>
      </w:r>
      <w:r>
        <w:rPr>
          <w:lang w:val="es-ES"/>
        </w:rPr>
        <w:t>Recomendación</w:t>
      </w:r>
      <w:r w:rsidRPr="00753032">
        <w:rPr>
          <w:lang w:val="es-ES"/>
        </w:rPr>
        <w:t xml:space="preserve"> UIT-R BT.709), 1% (~19.2 píxeles) corresponde a aproximadamente 20</w:t>
      </w:r>
      <w:r>
        <w:rPr>
          <w:lang w:val="es-ES"/>
        </w:rPr>
        <w:t> </w:t>
      </w:r>
      <w:proofErr w:type="spellStart"/>
      <w:r>
        <w:rPr>
          <w:lang w:val="es-ES"/>
        </w:rPr>
        <w:t>arc</w:t>
      </w:r>
      <w:proofErr w:type="spellEnd"/>
      <w:r>
        <w:rPr>
          <w:lang w:val="es-ES"/>
        </w:rPr>
        <w:t>-min</w:t>
      </w:r>
      <w:r w:rsidRPr="00753032">
        <w:rPr>
          <w:lang w:val="es-ES"/>
        </w:rPr>
        <w:t>, 2% a ~40</w:t>
      </w:r>
      <w:r>
        <w:rPr>
          <w:lang w:val="es-ES"/>
        </w:rPr>
        <w:t> </w:t>
      </w:r>
      <w:proofErr w:type="spellStart"/>
      <w:r>
        <w:rPr>
          <w:lang w:val="es-ES"/>
        </w:rPr>
        <w:t>arc</w:t>
      </w:r>
      <w:proofErr w:type="spellEnd"/>
      <w:r>
        <w:rPr>
          <w:lang w:val="es-ES"/>
        </w:rPr>
        <w:t>-min</w:t>
      </w:r>
      <w:r w:rsidRPr="00753032">
        <w:rPr>
          <w:lang w:val="es-ES"/>
        </w:rPr>
        <w:t xml:space="preserve"> y 3% a ~60</w:t>
      </w:r>
      <w:r>
        <w:rPr>
          <w:lang w:val="es-ES"/>
        </w:rPr>
        <w:t> </w:t>
      </w:r>
      <w:proofErr w:type="spellStart"/>
      <w:r>
        <w:rPr>
          <w:lang w:val="es-ES"/>
        </w:rPr>
        <w:t>arc</w:t>
      </w:r>
      <w:proofErr w:type="spellEnd"/>
      <w:r>
        <w:rPr>
          <w:lang w:val="es-ES"/>
        </w:rPr>
        <w:t>-min</w:t>
      </w:r>
      <w:r w:rsidRPr="00753032">
        <w:rPr>
          <w:lang w:val="es-ES"/>
        </w:rPr>
        <w:t xml:space="preserve"> (equivalente a 1</w:t>
      </w:r>
      <w:r>
        <w:rPr>
          <w:lang w:val="es-ES"/>
        </w:rPr>
        <w:t>°</w:t>
      </w:r>
      <w:r w:rsidRPr="00753032">
        <w:rPr>
          <w:lang w:val="es-ES"/>
        </w:rPr>
        <w:t>).</w:t>
      </w:r>
    </w:p>
    <w:p w:rsidR="00315EFA" w:rsidRPr="00753032" w:rsidRDefault="00315EFA" w:rsidP="00315EFA">
      <w:pPr>
        <w:rPr>
          <w:lang w:val="es-ES"/>
        </w:rPr>
      </w:pPr>
      <w:r w:rsidRPr="00753032">
        <w:rPr>
          <w:lang w:val="es-ES"/>
        </w:rPr>
        <w:t xml:space="preserve">Debe observarse que aunque a la distancia de visualización nominal dos </w:t>
      </w:r>
      <w:r>
        <w:rPr>
          <w:lang w:val="es-ES"/>
        </w:rPr>
        <w:t xml:space="preserve">píxeles </w:t>
      </w:r>
      <w:r w:rsidRPr="00753032">
        <w:rPr>
          <w:lang w:val="es-ES"/>
        </w:rPr>
        <w:t>adyacentes siempre subtienden un ángulo de 1</w:t>
      </w:r>
      <w:r>
        <w:rPr>
          <w:lang w:val="es-ES"/>
        </w:rPr>
        <w:t> </w:t>
      </w:r>
      <w:proofErr w:type="spellStart"/>
      <w:r>
        <w:rPr>
          <w:lang w:val="es-ES"/>
        </w:rPr>
        <w:t>arc</w:t>
      </w:r>
      <w:proofErr w:type="spellEnd"/>
      <w:r>
        <w:rPr>
          <w:lang w:val="es-ES"/>
        </w:rPr>
        <w:t>-min</w:t>
      </w:r>
      <w:r w:rsidRPr="00753032">
        <w:rPr>
          <w:lang w:val="es-ES"/>
        </w:rPr>
        <w:t xml:space="preserve">, la separación física (por ejemplo, en mm) entre dichos píxeles aumenta para pantallas más grandes (el número de </w:t>
      </w:r>
      <w:r>
        <w:rPr>
          <w:lang w:val="es-ES"/>
        </w:rPr>
        <w:t xml:space="preserve">píxeles </w:t>
      </w:r>
      <w:r w:rsidRPr="00753032">
        <w:rPr>
          <w:lang w:val="es-ES"/>
        </w:rPr>
        <w:t xml:space="preserve">es el mismo, pero aumenta el tamaño de la pantalla). Por tanto, los límites más altos (por ejemplo, ±3%) pueden hacer que para las pantallas </w:t>
      </w:r>
      <w:r w:rsidRPr="00753032">
        <w:rPr>
          <w:lang w:val="es-ES"/>
        </w:rPr>
        <w:lastRenderedPageBreak/>
        <w:t>de mayor tamaño la distancia física entre puntos correspondientes (es decir, el paralaje de dos vistas en mm) sea superior a la distancia entre pupilas de un observador medio (~63-65 mm). Ello puede dar lugar a una creciente incomodidad.</w:t>
      </w:r>
    </w:p>
    <w:p w:rsidR="00315EFA" w:rsidRPr="00753032" w:rsidRDefault="00315EFA" w:rsidP="00315EFA">
      <w:pPr>
        <w:pStyle w:val="Heading2"/>
        <w:rPr>
          <w:lang w:val="es-ES" w:eastAsia="ja-JP"/>
        </w:rPr>
      </w:pPr>
      <w:r w:rsidRPr="00753032">
        <w:rPr>
          <w:lang w:val="es-ES" w:eastAsia="ja-JP"/>
        </w:rPr>
        <w:t>4.2</w:t>
      </w:r>
      <w:r w:rsidRPr="00753032">
        <w:rPr>
          <w:lang w:val="es-ES" w:eastAsia="ja-JP"/>
        </w:rPr>
        <w:tab/>
        <w:t xml:space="preserve">Discrepancias entre las imágenes izquierda y derecha </w:t>
      </w:r>
    </w:p>
    <w:p w:rsidR="00315EFA" w:rsidRPr="00753032" w:rsidRDefault="00315EFA" w:rsidP="00315EFA">
      <w:pPr>
        <w:rPr>
          <w:lang w:val="es-ES" w:eastAsia="ja-JP"/>
        </w:rPr>
      </w:pPr>
      <w:r w:rsidRPr="00753032">
        <w:rPr>
          <w:lang w:val="es-ES" w:eastAsia="ja-JP"/>
        </w:rPr>
        <w:t xml:space="preserve">En sistemas 3D estereoscópicos, la imagen binocular se forma presentando la imagen izquierda y derecha a los respectivos ojos. Si existen discrepancias entre ambas imágenes, puede producirse estrés psicofísico y, en algunos casos, puede no ser posible la visualización 3D. Por ejemplo, cuando se filman y se muestran en pantalla programas estereoscópicos de </w:t>
      </w:r>
      <w:r>
        <w:rPr>
          <w:lang w:val="es-ES" w:eastAsia="ja-JP"/>
        </w:rPr>
        <w:t>TV 3D</w:t>
      </w:r>
      <w:r w:rsidRPr="00753032">
        <w:rPr>
          <w:lang w:val="es-ES" w:eastAsia="ja-JP"/>
        </w:rPr>
        <w:t>, pueden producirse entre las imágenes izquierda y derecha distorsiones geométricas tales como inconsistencia del tamaño, desplazamiento vertical o error de rotación. Es conveniente que las imágenes de prueba estén libres de dichas distorsiones geométricas. Para más información véase el §</w:t>
      </w:r>
      <w:r>
        <w:rPr>
          <w:lang w:val="es-ES" w:eastAsia="ja-JP"/>
        </w:rPr>
        <w:t> </w:t>
      </w:r>
      <w:r w:rsidRPr="00753032">
        <w:rPr>
          <w:lang w:val="es-ES" w:eastAsia="ja-JP"/>
        </w:rPr>
        <w:t>3.2.1 del Anexo 4 al Informe UIT-R BT.2160-2.</w:t>
      </w:r>
    </w:p>
    <w:p w:rsidR="00315EFA" w:rsidRPr="00753032" w:rsidRDefault="00315EFA" w:rsidP="00315EFA">
      <w:pPr>
        <w:rPr>
          <w:lang w:val="es-ES" w:eastAsia="ja-JP"/>
        </w:rPr>
      </w:pPr>
      <w:r w:rsidRPr="00753032">
        <w:rPr>
          <w:lang w:val="es-ES" w:eastAsia="ja-JP"/>
        </w:rPr>
        <w:t>Los elementos relativos a discrepancias entre las imágenes izquierda y derecha que deben considerarse cuando se seleccio</w:t>
      </w:r>
      <w:r>
        <w:rPr>
          <w:lang w:val="es-ES" w:eastAsia="ja-JP"/>
        </w:rPr>
        <w:t>nen imágenes estereoscópicas TV 3D</w:t>
      </w:r>
      <w:r w:rsidRPr="00753032">
        <w:rPr>
          <w:lang w:val="es-ES" w:eastAsia="ja-JP"/>
        </w:rPr>
        <w:t xml:space="preserve"> de prueba que sean de fácil visualización son los siguientes:</w:t>
      </w:r>
    </w:p>
    <w:p w:rsidR="00315EFA" w:rsidRPr="00753032" w:rsidRDefault="00315EFA" w:rsidP="00315EFA">
      <w:pPr>
        <w:pStyle w:val="enumlev1"/>
        <w:rPr>
          <w:lang w:val="es-ES" w:eastAsia="ja-JP"/>
        </w:rPr>
      </w:pPr>
      <w:r w:rsidRPr="00753032">
        <w:rPr>
          <w:lang w:val="es-ES" w:eastAsia="ja-JP"/>
        </w:rPr>
        <w:t>–</w:t>
      </w:r>
      <w:r w:rsidRPr="00753032">
        <w:rPr>
          <w:lang w:val="es-ES" w:eastAsia="ja-JP"/>
        </w:rPr>
        <w:tab/>
        <w:t>discrepancia geométrica, incluyendo el tamaño, desplazamiento vertical y rotación;</w:t>
      </w:r>
    </w:p>
    <w:p w:rsidR="00315EFA" w:rsidRPr="00753032" w:rsidRDefault="00315EFA" w:rsidP="00315EFA">
      <w:pPr>
        <w:pStyle w:val="enumlev1"/>
        <w:rPr>
          <w:lang w:val="es-ES" w:eastAsia="ja-JP"/>
        </w:rPr>
      </w:pPr>
      <w:r w:rsidRPr="00753032">
        <w:rPr>
          <w:lang w:val="es-ES" w:eastAsia="ja-JP"/>
        </w:rPr>
        <w:t>–</w:t>
      </w:r>
      <w:r w:rsidRPr="00753032">
        <w:rPr>
          <w:lang w:val="es-ES" w:eastAsia="ja-JP"/>
        </w:rPr>
        <w:tab/>
        <w:t>discrepancia en el brillo, incluyendo los niveles de blanco y de negro;</w:t>
      </w:r>
    </w:p>
    <w:p w:rsidR="00315EFA" w:rsidRPr="00753032" w:rsidRDefault="00315EFA" w:rsidP="00315EFA">
      <w:pPr>
        <w:pStyle w:val="enumlev1"/>
        <w:rPr>
          <w:lang w:val="es-ES" w:eastAsia="ja-JP"/>
        </w:rPr>
      </w:pPr>
      <w:r w:rsidRPr="00753032">
        <w:rPr>
          <w:lang w:val="es-ES" w:eastAsia="ja-JP"/>
        </w:rPr>
        <w:t>–</w:t>
      </w:r>
      <w:r w:rsidRPr="00753032">
        <w:rPr>
          <w:lang w:val="es-ES" w:eastAsia="ja-JP"/>
        </w:rPr>
        <w:tab/>
        <w:t>diafonía.</w:t>
      </w:r>
    </w:p>
    <w:p w:rsidR="00315EFA" w:rsidRPr="00D23E95" w:rsidRDefault="00315EFA" w:rsidP="00315EFA">
      <w:pPr>
        <w:pStyle w:val="Heading2"/>
        <w:rPr>
          <w:lang w:val="es-ES" w:eastAsia="ja-JP"/>
        </w:rPr>
      </w:pPr>
      <w:r w:rsidRPr="00D23E95">
        <w:rPr>
          <w:lang w:val="es-ES" w:eastAsia="ja-JP"/>
        </w:rPr>
        <w:t>4.3</w:t>
      </w:r>
      <w:r w:rsidRPr="00D23E95">
        <w:rPr>
          <w:lang w:val="es-ES" w:eastAsia="ja-JP"/>
        </w:rPr>
        <w:tab/>
        <w:t xml:space="preserve">Distancia, distribución y cambio en el paralaje </w:t>
      </w:r>
    </w:p>
    <w:p w:rsidR="00315EFA" w:rsidRPr="00753032" w:rsidRDefault="00315EFA" w:rsidP="00315EFA">
      <w:pPr>
        <w:rPr>
          <w:lang w:val="es-ES" w:eastAsia="ja-JP"/>
        </w:rPr>
      </w:pPr>
      <w:r w:rsidRPr="00753032">
        <w:rPr>
          <w:lang w:val="es-ES" w:eastAsia="ja-JP"/>
        </w:rPr>
        <w:t xml:space="preserve">Las distribuciones del paralaje están </w:t>
      </w:r>
      <w:proofErr w:type="spellStart"/>
      <w:r w:rsidRPr="00753032">
        <w:rPr>
          <w:lang w:val="es-ES" w:eastAsia="ja-JP"/>
        </w:rPr>
        <w:t>correladas</w:t>
      </w:r>
      <w:proofErr w:type="spellEnd"/>
      <w:r w:rsidRPr="00753032">
        <w:rPr>
          <w:lang w:val="es-ES" w:eastAsia="ja-JP"/>
        </w:rPr>
        <w:t xml:space="preserve"> con el confort visual de las imágenes estereoscópicas. </w:t>
      </w:r>
    </w:p>
    <w:p w:rsidR="00315EFA" w:rsidRPr="00753032" w:rsidRDefault="00315EFA" w:rsidP="00315EFA">
      <w:pPr>
        <w:rPr>
          <w:lang w:val="es-ES" w:eastAsia="ja-JP"/>
        </w:rPr>
      </w:pPr>
      <w:r w:rsidRPr="00753032">
        <w:rPr>
          <w:lang w:val="es-ES" w:eastAsia="ja-JP"/>
        </w:rPr>
        <w:t>La distribución de paralaje de las imágenes estereoscópicas es discontinuo durante los cuadros de cambio de escena. Cuando se produce un paralaje extremo o cambios bruscos en el paralaje se produce un efecto visual incómodo, por lo que es importante mantener un nivel adecuado de paralaje de las imágenes. Para más información véase el</w:t>
      </w:r>
      <w:r>
        <w:rPr>
          <w:lang w:val="es-ES" w:eastAsia="ja-JP"/>
        </w:rPr>
        <w:t xml:space="preserve"> </w:t>
      </w:r>
      <w:r w:rsidRPr="00753032">
        <w:rPr>
          <w:lang w:val="es-ES" w:eastAsia="ja-JP"/>
        </w:rPr>
        <w:t>§</w:t>
      </w:r>
      <w:r>
        <w:rPr>
          <w:lang w:val="es-ES" w:eastAsia="ja-JP"/>
        </w:rPr>
        <w:t> </w:t>
      </w:r>
      <w:r w:rsidRPr="00753032">
        <w:rPr>
          <w:lang w:val="es-ES" w:eastAsia="ja-JP"/>
        </w:rPr>
        <w:t>3.2.2 del Anexo</w:t>
      </w:r>
      <w:r>
        <w:rPr>
          <w:lang w:val="es-ES" w:eastAsia="ja-JP"/>
        </w:rPr>
        <w:t> </w:t>
      </w:r>
      <w:r w:rsidRPr="00753032">
        <w:rPr>
          <w:lang w:val="es-ES" w:eastAsia="ja-JP"/>
        </w:rPr>
        <w:t>4 al Informe UIT</w:t>
      </w:r>
      <w:r>
        <w:rPr>
          <w:lang w:val="es-ES" w:eastAsia="ja-JP"/>
        </w:rPr>
        <w:noBreakHyphen/>
      </w:r>
      <w:r w:rsidRPr="00753032">
        <w:rPr>
          <w:lang w:val="es-ES" w:eastAsia="ja-JP"/>
        </w:rPr>
        <w:t>R</w:t>
      </w:r>
      <w:r>
        <w:rPr>
          <w:lang w:val="es-ES" w:eastAsia="ja-JP"/>
        </w:rPr>
        <w:t> </w:t>
      </w:r>
      <w:r w:rsidRPr="00753032">
        <w:rPr>
          <w:lang w:val="es-ES" w:eastAsia="ja-JP"/>
        </w:rPr>
        <w:t>BT.2160-2.</w:t>
      </w:r>
    </w:p>
    <w:p w:rsidR="00315EFA" w:rsidRPr="00753032" w:rsidRDefault="00315EFA" w:rsidP="00315EFA">
      <w:pPr>
        <w:rPr>
          <w:lang w:val="es-ES"/>
        </w:rPr>
      </w:pPr>
      <w:r w:rsidRPr="00753032">
        <w:rPr>
          <w:lang w:val="es-ES"/>
        </w:rPr>
        <w:t>Por lo general, dado que los estudios que utiliza</w:t>
      </w:r>
      <w:r>
        <w:rPr>
          <w:lang w:val="es-ES"/>
        </w:rPr>
        <w:t xml:space="preserve">n </w:t>
      </w:r>
      <w:r w:rsidRPr="00753032">
        <w:rPr>
          <w:lang w:val="es-ES"/>
        </w:rPr>
        <w:t>secuencias de prueba estereoscópicas pueden generar un cierto grado de incomodidad visual, es recomendable utilizar, siempre que sea posible, material de prueba cuyas disparidades no excedan los límites de confort, aunque ocasionalmente puedan permitirse situaciones puntuales en las que se superen dichos límites.</w:t>
      </w:r>
    </w:p>
    <w:p w:rsidR="00315EFA" w:rsidRPr="00753032" w:rsidRDefault="00315EFA" w:rsidP="00315EFA">
      <w:pPr>
        <w:pStyle w:val="Heading1"/>
        <w:rPr>
          <w:lang w:val="es-ES"/>
        </w:rPr>
      </w:pPr>
      <w:r w:rsidRPr="00753032">
        <w:rPr>
          <w:lang w:val="es-ES"/>
        </w:rPr>
        <w:t>5</w:t>
      </w:r>
      <w:r w:rsidRPr="00753032">
        <w:rPr>
          <w:lang w:val="es-ES"/>
        </w:rPr>
        <w:tab/>
        <w:t xml:space="preserve">Equipamiento para la experimentación </w:t>
      </w:r>
    </w:p>
    <w:p w:rsidR="00315EFA" w:rsidRPr="00753032" w:rsidRDefault="00315EFA" w:rsidP="00315EFA">
      <w:pPr>
        <w:rPr>
          <w:lang w:val="es-ES"/>
        </w:rPr>
      </w:pPr>
      <w:r w:rsidRPr="00753032">
        <w:rPr>
          <w:lang w:val="es-ES"/>
        </w:rPr>
        <w:t xml:space="preserve">Los aparatos utilizados en los experimentos (servidor de </w:t>
      </w:r>
      <w:r>
        <w:rPr>
          <w:lang w:val="es-ES"/>
        </w:rPr>
        <w:t>vídeo</w:t>
      </w:r>
      <w:r w:rsidRPr="00753032">
        <w:rPr>
          <w:lang w:val="es-ES"/>
        </w:rPr>
        <w:t>, pantalla, etc.) deben permitir visualizar secuencias de prueba 3D con la máxima resolución, por ejemplo, utilizando un formato de empaquetamiento de trama HDMI. Ello ofrece una mayor flexibilidad respecto al conjunto de estudios que pueden realizarse.</w:t>
      </w:r>
    </w:p>
    <w:p w:rsidR="00315EFA" w:rsidRPr="00753032" w:rsidRDefault="00315EFA" w:rsidP="00315EFA">
      <w:pPr>
        <w:rPr>
          <w:lang w:val="es-ES"/>
        </w:rPr>
      </w:pPr>
      <w:r w:rsidRPr="00753032">
        <w:rPr>
          <w:lang w:val="es-ES"/>
        </w:rPr>
        <w:t>Hasta la fecha, no se</w:t>
      </w:r>
      <w:r>
        <w:rPr>
          <w:lang w:val="es-ES"/>
        </w:rPr>
        <w:t xml:space="preserve"> ha normalizado una pantalla TV 3D</w:t>
      </w:r>
      <w:r w:rsidRPr="00753032">
        <w:rPr>
          <w:lang w:val="es-ES"/>
        </w:rPr>
        <w:t xml:space="preserve"> de referencia. En consecuencia, es previsible que la mayoría de los investigadores utilicen pantallas </w:t>
      </w:r>
      <w:r>
        <w:rPr>
          <w:lang w:val="es-ES"/>
        </w:rPr>
        <w:t>TV 3D</w:t>
      </w:r>
      <w:r w:rsidRPr="00753032">
        <w:rPr>
          <w:lang w:val="es-ES"/>
        </w:rPr>
        <w:t xml:space="preserve"> de </w:t>
      </w:r>
      <w:r>
        <w:rPr>
          <w:lang w:val="es-ES"/>
        </w:rPr>
        <w:t xml:space="preserve">gran </w:t>
      </w:r>
      <w:r w:rsidRPr="00753032">
        <w:rPr>
          <w:lang w:val="es-ES"/>
        </w:rPr>
        <w:t>consumo. Dado que las características de dichas pantallas pueden variar de un fabricante a otro, se insta a los investigadores a que informen de los ajustes relevantes de la pantalla utilizados en cada estudio.</w:t>
      </w:r>
    </w:p>
    <w:p w:rsidR="00315EFA" w:rsidRPr="00753032" w:rsidRDefault="00315EFA" w:rsidP="00315EFA">
      <w:pPr>
        <w:pStyle w:val="Heading1"/>
        <w:rPr>
          <w:lang w:val="es-ES"/>
        </w:rPr>
      </w:pPr>
      <w:r w:rsidRPr="00753032">
        <w:rPr>
          <w:lang w:val="es-ES"/>
        </w:rPr>
        <w:lastRenderedPageBreak/>
        <w:t>6</w:t>
      </w:r>
      <w:r w:rsidRPr="00753032">
        <w:rPr>
          <w:lang w:val="es-ES"/>
        </w:rPr>
        <w:tab/>
        <w:t xml:space="preserve">Observadores </w:t>
      </w:r>
    </w:p>
    <w:p w:rsidR="00315EFA" w:rsidRPr="00753032" w:rsidRDefault="00315EFA" w:rsidP="00315EFA">
      <w:pPr>
        <w:pStyle w:val="Heading2"/>
        <w:rPr>
          <w:lang w:val="es-ES"/>
        </w:rPr>
      </w:pPr>
      <w:r w:rsidRPr="00753032">
        <w:rPr>
          <w:lang w:val="es-ES"/>
        </w:rPr>
        <w:t>6.1</w:t>
      </w:r>
      <w:r w:rsidRPr="00753032">
        <w:rPr>
          <w:lang w:val="es-ES"/>
        </w:rPr>
        <w:tab/>
        <w:t>Tamaño de la muestra</w:t>
      </w:r>
    </w:p>
    <w:p w:rsidR="00315EFA" w:rsidRPr="00753032" w:rsidRDefault="00315EFA" w:rsidP="00315EFA">
      <w:pPr>
        <w:rPr>
          <w:lang w:val="es-ES"/>
        </w:rPr>
      </w:pPr>
      <w:r>
        <w:rPr>
          <w:lang w:val="es-ES"/>
        </w:rPr>
        <w:t>En</w:t>
      </w:r>
      <w:r w:rsidRPr="00753032">
        <w:rPr>
          <w:lang w:val="es-ES"/>
        </w:rPr>
        <w:t xml:space="preserve"> general, es recomendable utilizar al menos 30</w:t>
      </w:r>
      <w:r>
        <w:rPr>
          <w:lang w:val="es-ES"/>
        </w:rPr>
        <w:t> </w:t>
      </w:r>
      <w:r w:rsidRPr="00753032">
        <w:rPr>
          <w:lang w:val="es-ES"/>
        </w:rPr>
        <w:t>observadores. No obstante, el número real dependerá de los objetivos específicos de la investigación, y teniendo en cuenta que las consideraciones sobre el tamaño del grupo para estudios de TV 3D no difieren de los de 2D.</w:t>
      </w:r>
    </w:p>
    <w:p w:rsidR="00315EFA" w:rsidRPr="00753032" w:rsidRDefault="00315EFA" w:rsidP="00315EFA">
      <w:pPr>
        <w:pStyle w:val="Heading2"/>
        <w:rPr>
          <w:lang w:val="es-ES"/>
        </w:rPr>
      </w:pPr>
      <w:r w:rsidRPr="00753032">
        <w:rPr>
          <w:lang w:val="es-ES"/>
        </w:rPr>
        <w:t>6.2</w:t>
      </w:r>
      <w:r w:rsidRPr="00753032">
        <w:rPr>
          <w:lang w:val="es-ES"/>
        </w:rPr>
        <w:tab/>
        <w:t xml:space="preserve">Examen de la visión de los observadores </w:t>
      </w:r>
    </w:p>
    <w:p w:rsidR="00315EFA" w:rsidRPr="00753032" w:rsidRDefault="00315EFA" w:rsidP="00315EFA">
      <w:pPr>
        <w:rPr>
          <w:lang w:val="es-ES"/>
        </w:rPr>
      </w:pPr>
      <w:r w:rsidRPr="00753032">
        <w:rPr>
          <w:lang w:val="es-ES"/>
        </w:rPr>
        <w:t xml:space="preserve">Los observadores deberán pasar un examen de agudeza visual, daltonismo y visión estereoscópica aplicando las pruebas clínicas vigentes, tales como las cartas de </w:t>
      </w:r>
      <w:proofErr w:type="spellStart"/>
      <w:r w:rsidRPr="00753032">
        <w:rPr>
          <w:lang w:val="es-ES"/>
        </w:rPr>
        <w:t>Snellen</w:t>
      </w:r>
      <w:proofErr w:type="spellEnd"/>
      <w:r w:rsidRPr="00753032">
        <w:rPr>
          <w:lang w:val="es-ES"/>
        </w:rPr>
        <w:t xml:space="preserve"> para la agudeza visual; los diagramas de </w:t>
      </w:r>
      <w:proofErr w:type="spellStart"/>
      <w:r w:rsidRPr="00753032">
        <w:rPr>
          <w:lang w:val="es-ES"/>
        </w:rPr>
        <w:t>Ishara</w:t>
      </w:r>
      <w:proofErr w:type="spellEnd"/>
      <w:r w:rsidRPr="00753032">
        <w:rPr>
          <w:lang w:val="es-ES"/>
        </w:rPr>
        <w:t xml:space="preserve">, o equivalente, para el color, y la prueba de </w:t>
      </w:r>
      <w:proofErr w:type="spellStart"/>
      <w:r w:rsidRPr="00753032">
        <w:rPr>
          <w:lang w:val="es-ES"/>
        </w:rPr>
        <w:t>Randot</w:t>
      </w:r>
      <w:proofErr w:type="spellEnd"/>
      <w:r w:rsidRPr="00753032">
        <w:rPr>
          <w:lang w:val="es-ES"/>
        </w:rPr>
        <w:t xml:space="preserve">, o equivalente, para la visión estereoscópica. Obsérvese que las pruebas de visión estereoscópica como la de </w:t>
      </w:r>
      <w:proofErr w:type="spellStart"/>
      <w:r w:rsidRPr="00753032">
        <w:rPr>
          <w:lang w:val="es-ES"/>
        </w:rPr>
        <w:t>Randot</w:t>
      </w:r>
      <w:proofErr w:type="spellEnd"/>
      <w:r w:rsidRPr="00753032">
        <w:rPr>
          <w:lang w:val="es-ES"/>
        </w:rPr>
        <w:t xml:space="preserve">, la de la mosca o la de </w:t>
      </w:r>
      <w:proofErr w:type="spellStart"/>
      <w:r w:rsidRPr="00753032">
        <w:rPr>
          <w:lang w:val="es-ES"/>
        </w:rPr>
        <w:t>Frisby</w:t>
      </w:r>
      <w:proofErr w:type="spellEnd"/>
      <w:r w:rsidRPr="00753032">
        <w:rPr>
          <w:lang w:val="es-ES"/>
        </w:rPr>
        <w:t xml:space="preserve">, miden, por lo general, disparidades </w:t>
      </w:r>
      <w:proofErr w:type="spellStart"/>
      <w:r w:rsidRPr="00753032">
        <w:rPr>
          <w:lang w:val="es-ES"/>
        </w:rPr>
        <w:t>retinales</w:t>
      </w:r>
      <w:proofErr w:type="spellEnd"/>
      <w:r w:rsidRPr="00753032">
        <w:rPr>
          <w:lang w:val="es-ES"/>
        </w:rPr>
        <w:t xml:space="preserve"> de entre 20 y 400</w:t>
      </w:r>
      <w:r>
        <w:rPr>
          <w:lang w:val="es-ES"/>
        </w:rPr>
        <w:t> </w:t>
      </w:r>
      <w:proofErr w:type="spellStart"/>
      <w:r>
        <w:rPr>
          <w:lang w:val="es-ES"/>
        </w:rPr>
        <w:t>arc</w:t>
      </w:r>
      <w:proofErr w:type="spellEnd"/>
      <w:r>
        <w:rPr>
          <w:lang w:val="es-ES"/>
        </w:rPr>
        <w:t>-s</w:t>
      </w:r>
      <w:r w:rsidRPr="00753032">
        <w:rPr>
          <w:lang w:val="es-ES"/>
        </w:rPr>
        <w:t xml:space="preserve">. Se insta a que los investigadores informen de las estadísticas relevantes de las capacidades estereoscópicas de los observadores participantes en un estudio. Si fuera necesario un análisis más detallado de dichas capacidades estereoscópicas, los investigadores pueden utilizar los materiales de prueba que se incluyen en el </w:t>
      </w:r>
      <w:r>
        <w:rPr>
          <w:lang w:val="es-ES"/>
        </w:rPr>
        <w:t xml:space="preserve">Apéndice </w:t>
      </w:r>
      <w:r w:rsidRPr="00753032">
        <w:rPr>
          <w:lang w:val="es-ES"/>
        </w:rPr>
        <w:t>1.</w:t>
      </w:r>
    </w:p>
    <w:p w:rsidR="00315EFA" w:rsidRPr="00753032" w:rsidRDefault="00315EFA" w:rsidP="00315EFA">
      <w:pPr>
        <w:pStyle w:val="Heading1"/>
        <w:rPr>
          <w:lang w:val="es-ES"/>
        </w:rPr>
      </w:pPr>
      <w:r w:rsidRPr="00753032">
        <w:rPr>
          <w:lang w:val="es-ES"/>
        </w:rPr>
        <w:t>7</w:t>
      </w:r>
      <w:r w:rsidRPr="00753032">
        <w:rPr>
          <w:lang w:val="es-ES"/>
        </w:rPr>
        <w:tab/>
        <w:t xml:space="preserve">Instrucciones a los observadores </w:t>
      </w:r>
    </w:p>
    <w:p w:rsidR="00315EFA" w:rsidRPr="00753032" w:rsidRDefault="00315EFA" w:rsidP="00315EFA">
      <w:pPr>
        <w:rPr>
          <w:lang w:val="es-ES"/>
        </w:rPr>
      </w:pPr>
      <w:r w:rsidRPr="00753032">
        <w:rPr>
          <w:lang w:val="es-ES"/>
        </w:rPr>
        <w:t>Las instrucciones a los observadores deben adaptarse a las dimensiones investigadas</w:t>
      </w:r>
      <w:r>
        <w:rPr>
          <w:lang w:val="es-ES"/>
        </w:rPr>
        <w:t xml:space="preserve"> </w:t>
      </w:r>
      <w:r w:rsidRPr="00753032">
        <w:rPr>
          <w:lang w:val="es-ES"/>
        </w:rPr>
        <w:t xml:space="preserve">(por ejemplo, calidad de profundidad, confort, etc.). En particular, las directrices </w:t>
      </w:r>
      <w:r>
        <w:rPr>
          <w:lang w:val="es-ES"/>
        </w:rPr>
        <w:t>que es necesario dar a los observadores</w:t>
      </w:r>
      <w:r w:rsidRPr="00753032">
        <w:rPr>
          <w:lang w:val="es-ES"/>
        </w:rPr>
        <w:t xml:space="preserve"> para </w:t>
      </w:r>
      <w:r>
        <w:rPr>
          <w:lang w:val="es-ES"/>
        </w:rPr>
        <w:t xml:space="preserve">la realización de </w:t>
      </w:r>
      <w:r w:rsidRPr="00753032">
        <w:rPr>
          <w:lang w:val="es-ES"/>
        </w:rPr>
        <w:t xml:space="preserve">estudios </w:t>
      </w:r>
      <w:r>
        <w:rPr>
          <w:lang w:val="es-ES"/>
        </w:rPr>
        <w:t xml:space="preserve">sobre imágenes en </w:t>
      </w:r>
      <w:r w:rsidRPr="00753032">
        <w:rPr>
          <w:lang w:val="es-ES"/>
        </w:rPr>
        <w:t xml:space="preserve">3D </w:t>
      </w:r>
      <w:r>
        <w:rPr>
          <w:lang w:val="es-ES"/>
        </w:rPr>
        <w:t>deben ser más estrictas</w:t>
      </w:r>
      <w:r w:rsidRPr="00753032">
        <w:rPr>
          <w:lang w:val="es-ES"/>
        </w:rPr>
        <w:t xml:space="preserve"> que las típicamente utilizadas en la evaluación de la calidad de im</w:t>
      </w:r>
      <w:r>
        <w:rPr>
          <w:lang w:val="es-ES"/>
        </w:rPr>
        <w:t xml:space="preserve">ágenes en </w:t>
      </w:r>
      <w:r w:rsidRPr="00753032">
        <w:rPr>
          <w:lang w:val="es-ES"/>
        </w:rPr>
        <w:t xml:space="preserve">2D, ya que los participantes pueden experimentar malestar visual. En general, los estudios sobre 3D exigen </w:t>
      </w:r>
      <w:r>
        <w:rPr>
          <w:lang w:val="es-ES"/>
        </w:rPr>
        <w:t xml:space="preserve">dar </w:t>
      </w:r>
      <w:r w:rsidRPr="00753032">
        <w:rPr>
          <w:lang w:val="es-ES"/>
        </w:rPr>
        <w:t xml:space="preserve">mayor grado de información a los participantes sobre las </w:t>
      </w:r>
      <w:r>
        <w:rPr>
          <w:lang w:val="es-ES"/>
        </w:rPr>
        <w:t>razones</w:t>
      </w:r>
      <w:r w:rsidRPr="00753032">
        <w:rPr>
          <w:lang w:val="es-ES"/>
        </w:rPr>
        <w:t xml:space="preserve"> del estudio, así como los posibles efectos negativos que pudiera producir la exposición a los estímulos.</w:t>
      </w:r>
    </w:p>
    <w:p w:rsidR="00315EFA" w:rsidRPr="00753032" w:rsidRDefault="00315EFA" w:rsidP="00315EFA">
      <w:pPr>
        <w:pStyle w:val="Heading1"/>
        <w:rPr>
          <w:lang w:val="es-ES" w:eastAsia="zh-CN"/>
        </w:rPr>
      </w:pPr>
      <w:r w:rsidRPr="00753032">
        <w:rPr>
          <w:lang w:val="es-ES" w:eastAsia="zh-CN"/>
        </w:rPr>
        <w:t>8</w:t>
      </w:r>
      <w:r w:rsidRPr="00753032">
        <w:rPr>
          <w:lang w:val="es-ES" w:eastAsia="zh-CN"/>
        </w:rPr>
        <w:tab/>
        <w:t>Duración de la sesión</w:t>
      </w:r>
    </w:p>
    <w:p w:rsidR="00315EFA" w:rsidRPr="00753032" w:rsidRDefault="00315EFA" w:rsidP="00315EFA">
      <w:pPr>
        <w:rPr>
          <w:lang w:val="es-ES" w:eastAsia="zh-CN"/>
        </w:rPr>
      </w:pPr>
      <w:r w:rsidRPr="00753032">
        <w:rPr>
          <w:lang w:val="es-ES" w:eastAsia="zh-CN"/>
        </w:rPr>
        <w:t>Si el material de visualización se considera confortable, la prueba podría tener una duración tan larga como la de los estudios de 2D (es decir, ~20-40 minutos con interrupciones entre ellas). Si el material de prueba tiene un paralaje excesivo, y por tanto es potencialmente molesto, debe limitarse la duración.</w:t>
      </w:r>
    </w:p>
    <w:p w:rsidR="00315EFA" w:rsidRPr="00753032" w:rsidRDefault="00315EFA" w:rsidP="00315EFA">
      <w:pPr>
        <w:pStyle w:val="Heading1"/>
        <w:rPr>
          <w:lang w:val="es-ES" w:eastAsia="zh-CN"/>
        </w:rPr>
      </w:pPr>
      <w:r w:rsidRPr="00753032">
        <w:rPr>
          <w:lang w:val="es-ES" w:eastAsia="zh-CN"/>
        </w:rPr>
        <w:t>9</w:t>
      </w:r>
      <w:r w:rsidRPr="00753032">
        <w:rPr>
          <w:lang w:val="es-ES" w:eastAsia="zh-CN"/>
        </w:rPr>
        <w:tab/>
        <w:t xml:space="preserve">Utilización de material de </w:t>
      </w:r>
      <w:r>
        <w:rPr>
          <w:lang w:val="es-ES" w:eastAsia="zh-CN"/>
        </w:rPr>
        <w:t>vídeo</w:t>
      </w:r>
      <w:r w:rsidRPr="00753032">
        <w:rPr>
          <w:lang w:val="es-ES" w:eastAsia="zh-CN"/>
        </w:rPr>
        <w:t xml:space="preserve"> de referencia </w:t>
      </w:r>
    </w:p>
    <w:p w:rsidR="00315EFA" w:rsidRPr="00753032" w:rsidRDefault="00315EFA" w:rsidP="00315EFA">
      <w:pPr>
        <w:rPr>
          <w:lang w:val="es-ES" w:eastAsia="zh-CN"/>
        </w:rPr>
      </w:pPr>
      <w:r w:rsidRPr="00753032">
        <w:rPr>
          <w:lang w:val="es-ES" w:eastAsia="zh-CN"/>
        </w:rPr>
        <w:t xml:space="preserve">Los investigadores pueden tener interés en incluir una secuencia de referencia en el conjunto de secuencias de prueba, </w:t>
      </w:r>
      <w:r>
        <w:rPr>
          <w:lang w:val="es-ES" w:eastAsia="zh-CN"/>
        </w:rPr>
        <w:t xml:space="preserve">en caso de estar </w:t>
      </w:r>
      <w:r w:rsidRPr="00753032">
        <w:rPr>
          <w:lang w:val="es-ES" w:eastAsia="zh-CN"/>
        </w:rPr>
        <w:t xml:space="preserve">disponible. La referencia es normalmente una versión de la secuencia de prueba sin procesamiento alguno (es decir, es la secuencia fuente original). Para los estudios estereoscópicos, la principal referencia es la secuencia estereoscópica original no procesada. Sin embargo, el plan del experimento puede incluir también como referencia la versión </w:t>
      </w:r>
      <w:proofErr w:type="spellStart"/>
      <w:r w:rsidRPr="00753032">
        <w:rPr>
          <w:lang w:val="es-ES" w:eastAsia="zh-CN"/>
        </w:rPr>
        <w:t>monoscópica</w:t>
      </w:r>
      <w:proofErr w:type="spellEnd"/>
      <w:r w:rsidRPr="00753032">
        <w:rPr>
          <w:lang w:val="es-ES" w:eastAsia="zh-CN"/>
        </w:rPr>
        <w:t xml:space="preserve"> (es decir, sólo una de las vistas de la secuencia fuente original); así por ejemplo, en los estudios del confort visual puede ser de utilidad como referencia el confort visual de la referencia </w:t>
      </w:r>
      <w:proofErr w:type="spellStart"/>
      <w:r w:rsidRPr="00753032">
        <w:rPr>
          <w:lang w:val="es-ES" w:eastAsia="zh-CN"/>
        </w:rPr>
        <w:t>monoscópica</w:t>
      </w:r>
      <w:proofErr w:type="spellEnd"/>
      <w:r w:rsidRPr="00753032">
        <w:rPr>
          <w:lang w:val="es-ES" w:eastAsia="zh-CN"/>
        </w:rPr>
        <w:t xml:space="preserve">. La versión </w:t>
      </w:r>
      <w:proofErr w:type="spellStart"/>
      <w:r w:rsidRPr="00753032">
        <w:rPr>
          <w:lang w:val="es-ES" w:eastAsia="zh-CN"/>
        </w:rPr>
        <w:t>monoscópica</w:t>
      </w:r>
      <w:proofErr w:type="spellEnd"/>
      <w:r w:rsidRPr="00753032">
        <w:rPr>
          <w:lang w:val="es-ES" w:eastAsia="zh-CN"/>
        </w:rPr>
        <w:t xml:space="preserve"> de la referencia debe presentarse en modo 3D (por ejemplo, presentar la visión izquierda a ambos ojos con la misma configuración </w:t>
      </w:r>
      <w:r>
        <w:rPr>
          <w:lang w:val="es-ES" w:eastAsia="zh-CN"/>
        </w:rPr>
        <w:t>del</w:t>
      </w:r>
      <w:r w:rsidRPr="00753032">
        <w:rPr>
          <w:lang w:val="es-ES" w:eastAsia="zh-CN"/>
        </w:rPr>
        <w:t xml:space="preserve"> hardware 3D que para la secuencia estereoscópica real). La inclusión de la referencia en el experimento proporciona dos ventajas importantes. En primer lugar, ofrece la oportunidad de medir la transparencia (también denominada </w:t>
      </w:r>
      <w:r w:rsidRPr="00753032">
        <w:rPr>
          <w:lang w:val="es-ES" w:eastAsia="zh-CN"/>
        </w:rPr>
        <w:lastRenderedPageBreak/>
        <w:t>fidelidad) del algoritmo o tecnología investigada</w:t>
      </w:r>
      <w:r w:rsidRPr="00753032">
        <w:rPr>
          <w:rStyle w:val="FootnoteReference"/>
          <w:lang w:val="es-ES" w:eastAsia="zh-CN"/>
        </w:rPr>
        <w:footnoteReference w:id="2"/>
      </w:r>
      <w:r w:rsidRPr="00753032">
        <w:rPr>
          <w:lang w:val="es-ES" w:eastAsia="zh-CN"/>
        </w:rPr>
        <w:t xml:space="preserve">. En segundo lugar, la inclusión de la referencia </w:t>
      </w:r>
      <w:r>
        <w:rPr>
          <w:lang w:val="es-ES" w:eastAsia="zh-CN"/>
        </w:rPr>
        <w:t>supone disponer de</w:t>
      </w:r>
      <w:r w:rsidRPr="00753032">
        <w:rPr>
          <w:lang w:val="es-ES" w:eastAsia="zh-CN"/>
        </w:rPr>
        <w:t xml:space="preserve"> un anclaje de alta calidad que puede ayudar a estabilizar las apreciaciones</w:t>
      </w:r>
      <w:r w:rsidRPr="00753032">
        <w:rPr>
          <w:rStyle w:val="FootnoteReference"/>
          <w:lang w:val="es-ES" w:eastAsia="zh-CN"/>
        </w:rPr>
        <w:footnoteReference w:id="3"/>
      </w:r>
      <w:r w:rsidRPr="00753032">
        <w:rPr>
          <w:lang w:val="es-ES" w:eastAsia="zh-CN"/>
        </w:rPr>
        <w:t>.</w:t>
      </w:r>
    </w:p>
    <w:p w:rsidR="00315EFA" w:rsidRPr="00753032" w:rsidRDefault="00315EFA" w:rsidP="00315EFA">
      <w:pPr>
        <w:pStyle w:val="Heading1"/>
        <w:rPr>
          <w:lang w:val="es-ES" w:eastAsia="zh-CN"/>
        </w:rPr>
      </w:pPr>
      <w:r w:rsidRPr="00753032">
        <w:rPr>
          <w:lang w:val="es-ES" w:eastAsia="zh-CN"/>
        </w:rPr>
        <w:t>10</w:t>
      </w:r>
      <w:r w:rsidRPr="00753032">
        <w:rPr>
          <w:lang w:val="es-ES" w:eastAsia="zh-CN"/>
        </w:rPr>
        <w:tab/>
        <w:t>Variabilidad de las respuestas</w:t>
      </w:r>
    </w:p>
    <w:p w:rsidR="00315EFA" w:rsidRPr="00753032" w:rsidRDefault="00315EFA" w:rsidP="00315EFA">
      <w:pPr>
        <w:rPr>
          <w:lang w:val="es-ES" w:eastAsia="zh-CN"/>
        </w:rPr>
      </w:pPr>
      <w:r w:rsidRPr="00753032">
        <w:rPr>
          <w:lang w:val="es-ES" w:eastAsia="zh-CN"/>
        </w:rPr>
        <w:t>Las apreciaciones de observadores en experimentos de evaluación subjetiva son, por lo general, bastante variables. Las diferencias entre observadores puede que simplemente reflejen las características de la población de referencia y, por tanto, pueden resolverse aumentando el tamaño de la muestra.</w:t>
      </w:r>
    </w:p>
    <w:p w:rsidR="00315EFA" w:rsidRPr="00753032" w:rsidRDefault="00315EFA" w:rsidP="00315EFA">
      <w:pPr>
        <w:rPr>
          <w:lang w:val="es-ES" w:eastAsia="zh-CN"/>
        </w:rPr>
      </w:pPr>
      <w:r w:rsidRPr="00753032">
        <w:rPr>
          <w:lang w:val="es-ES" w:eastAsia="zh-CN"/>
        </w:rPr>
        <w:t>Sin embargo, parte de la variabilidad puede deberse a cambios en los patrones de respuesta de los observadores individuales durante el experimento. Dichos cambios implican una modificación de los criterios de evaluación debidos, por ejemplo, a la mayor práctica en la realización de la prueba, al aprendizaje de las características de los efectos molestos, etc.). Para minimizar los efectos negativos de dicha variabilidad, los investigadores deben establecer procedimientos de entrenamiento adecuados (tarea, nivel de degradación, etc.), utilizar la aleatorización múltiple (es decir, presentar las secuencias de prueba en órdenes aleatorios diferentes a los distintos observadores) y replicar las secuencias (lo que, además, permitiría medir los posibles cambios en los patrones de respuesta).</w:t>
      </w:r>
    </w:p>
    <w:p w:rsidR="00315EFA" w:rsidRPr="00753032" w:rsidRDefault="00315EFA" w:rsidP="00315EFA">
      <w:pPr>
        <w:pStyle w:val="Heading1"/>
        <w:rPr>
          <w:lang w:val="es-ES" w:eastAsia="zh-CN"/>
        </w:rPr>
      </w:pPr>
      <w:r w:rsidRPr="00753032">
        <w:rPr>
          <w:lang w:val="es-ES" w:eastAsia="zh-CN"/>
        </w:rPr>
        <w:t>11</w:t>
      </w:r>
      <w:r w:rsidRPr="00753032">
        <w:rPr>
          <w:lang w:val="es-ES" w:eastAsia="zh-CN"/>
        </w:rPr>
        <w:tab/>
        <w:t xml:space="preserve">Criterios de rechazo de observadores </w:t>
      </w:r>
    </w:p>
    <w:p w:rsidR="00315EFA" w:rsidRPr="00753032" w:rsidRDefault="00315EFA" w:rsidP="00315EFA">
      <w:pPr>
        <w:rPr>
          <w:lang w:val="es-ES" w:eastAsia="zh-CN"/>
        </w:rPr>
      </w:pPr>
      <w:r w:rsidRPr="00753032">
        <w:rPr>
          <w:lang w:val="es-ES" w:eastAsia="zh-CN"/>
        </w:rPr>
        <w:t>Los criterios para el rechazo de observadores para los métodos identificados en §</w:t>
      </w:r>
      <w:r>
        <w:rPr>
          <w:lang w:val="es-ES" w:eastAsia="zh-CN"/>
        </w:rPr>
        <w:t> </w:t>
      </w:r>
      <w:r w:rsidRPr="00753032">
        <w:rPr>
          <w:lang w:val="es-ES" w:eastAsia="zh-CN"/>
        </w:rPr>
        <w:t>2 se describen e</w:t>
      </w:r>
      <w:r>
        <w:rPr>
          <w:lang w:val="es-ES" w:eastAsia="zh-CN"/>
        </w:rPr>
        <w:t>n la Recomendación UIT-R BT.500.</w:t>
      </w:r>
    </w:p>
    <w:p w:rsidR="00315EFA" w:rsidRPr="00753032" w:rsidRDefault="00315EFA" w:rsidP="00315EFA">
      <w:pPr>
        <w:pStyle w:val="Heading1"/>
        <w:rPr>
          <w:lang w:val="es-ES" w:eastAsia="zh-CN"/>
        </w:rPr>
      </w:pPr>
      <w:r w:rsidRPr="00753032">
        <w:rPr>
          <w:lang w:val="es-ES" w:eastAsia="zh-CN"/>
        </w:rPr>
        <w:t>12</w:t>
      </w:r>
      <w:r w:rsidRPr="00753032">
        <w:rPr>
          <w:lang w:val="es-ES" w:eastAsia="zh-CN"/>
        </w:rPr>
        <w:tab/>
        <w:t>Análisis estadístico</w:t>
      </w:r>
    </w:p>
    <w:p w:rsidR="00315EFA" w:rsidRPr="00753032" w:rsidRDefault="00315EFA" w:rsidP="00315EFA">
      <w:pPr>
        <w:rPr>
          <w:lang w:val="es-ES" w:eastAsia="zh-CN"/>
        </w:rPr>
      </w:pPr>
      <w:r w:rsidRPr="00753032">
        <w:rPr>
          <w:lang w:val="es-ES" w:eastAsia="zh-CN"/>
        </w:rPr>
        <w:t>Los análisis estadísticos para la investigación de sistemas de imágenes en 3D son los mismos que para sistemas de imágenes en 2D.</w:t>
      </w:r>
    </w:p>
    <w:p w:rsidR="00315EFA" w:rsidRDefault="00315EFA" w:rsidP="00315EFA">
      <w:pPr>
        <w:tabs>
          <w:tab w:val="clear" w:pos="794"/>
          <w:tab w:val="clear" w:pos="1191"/>
          <w:tab w:val="clear" w:pos="1588"/>
          <w:tab w:val="clear" w:pos="1985"/>
        </w:tabs>
        <w:overflowPunct/>
        <w:autoSpaceDE/>
        <w:autoSpaceDN/>
        <w:adjustRightInd/>
        <w:spacing w:before="0"/>
        <w:jc w:val="left"/>
        <w:textAlignment w:val="auto"/>
        <w:rPr>
          <w:lang w:val="es-ES"/>
        </w:rPr>
      </w:pPr>
    </w:p>
    <w:p w:rsidR="00315EFA" w:rsidRPr="00753032" w:rsidRDefault="00315EFA" w:rsidP="00315EFA">
      <w:pPr>
        <w:pStyle w:val="AppendixNoTitle"/>
        <w:rPr>
          <w:lang w:val="es-ES"/>
        </w:rPr>
      </w:pPr>
      <w:r w:rsidRPr="00753032">
        <w:rPr>
          <w:lang w:val="es-ES"/>
        </w:rPr>
        <w:t>A</w:t>
      </w:r>
      <w:r w:rsidRPr="00753032">
        <w:rPr>
          <w:lang w:val="es-ES" w:eastAsia="ja-JP"/>
        </w:rPr>
        <w:t xml:space="preserve">péndice </w:t>
      </w:r>
      <w:r w:rsidRPr="00753032">
        <w:rPr>
          <w:lang w:val="es-ES"/>
        </w:rPr>
        <w:t>1</w:t>
      </w:r>
      <w:r w:rsidRPr="00753032">
        <w:rPr>
          <w:lang w:val="es-ES"/>
        </w:rPr>
        <w:br/>
      </w:r>
      <w:r w:rsidRPr="00753032">
        <w:rPr>
          <w:lang w:val="es-ES"/>
        </w:rPr>
        <w:br/>
        <w:t xml:space="preserve">Materiales de prueba para las pruebas de visión </w:t>
      </w:r>
    </w:p>
    <w:p w:rsidR="00315EFA" w:rsidRPr="00753032" w:rsidRDefault="00315EFA" w:rsidP="00315EFA">
      <w:pPr>
        <w:pStyle w:val="Heading1"/>
        <w:rPr>
          <w:lang w:val="es-ES"/>
        </w:rPr>
      </w:pPr>
      <w:r w:rsidRPr="00753032">
        <w:rPr>
          <w:lang w:val="es-ES"/>
        </w:rPr>
        <w:t>1</w:t>
      </w:r>
      <w:r w:rsidRPr="00753032">
        <w:rPr>
          <w:lang w:val="es-ES"/>
        </w:rPr>
        <w:tab/>
        <w:t>Prueba de visión</w:t>
      </w:r>
    </w:p>
    <w:p w:rsidR="00315EFA" w:rsidRPr="00753032" w:rsidRDefault="00315EFA" w:rsidP="00315EFA">
      <w:pPr>
        <w:rPr>
          <w:lang w:val="es-ES"/>
        </w:rPr>
      </w:pPr>
      <w:r w:rsidRPr="00753032">
        <w:rPr>
          <w:lang w:val="es-ES"/>
        </w:rPr>
        <w:t>En el Cuadro</w:t>
      </w:r>
      <w:r>
        <w:rPr>
          <w:lang w:val="es-ES"/>
        </w:rPr>
        <w:t> </w:t>
      </w:r>
      <w:r w:rsidRPr="00753032">
        <w:rPr>
          <w:lang w:val="es-ES"/>
        </w:rPr>
        <w:t>5 se enumeran los diagramas utilizados en las pruebas de visión. Las 12</w:t>
      </w:r>
      <w:r>
        <w:rPr>
          <w:lang w:val="es-ES"/>
        </w:rPr>
        <w:t> </w:t>
      </w:r>
      <w:r w:rsidRPr="00753032">
        <w:rPr>
          <w:lang w:val="es-ES"/>
        </w:rPr>
        <w:t xml:space="preserve">pruebas se han seleccionado de conformidad con la jerarquía del sistema de visión humano, desde el nivel más bajo al más alto. A continuación se describen ocho pruebas de visión (VT, </w:t>
      </w:r>
      <w:r w:rsidRPr="00753032">
        <w:rPr>
          <w:i/>
          <w:iCs/>
          <w:lang w:val="es-ES"/>
        </w:rPr>
        <w:t>visión test</w:t>
      </w:r>
      <w:r w:rsidRPr="00753032">
        <w:rPr>
          <w:lang w:val="es-ES"/>
        </w:rPr>
        <w:t xml:space="preserve">) principales, siendo las cuatro restantes </w:t>
      </w:r>
      <w:r>
        <w:rPr>
          <w:lang w:val="es-ES"/>
        </w:rPr>
        <w:t xml:space="preserve">utilizadas en </w:t>
      </w:r>
      <w:r w:rsidRPr="00753032">
        <w:rPr>
          <w:lang w:val="es-ES"/>
        </w:rPr>
        <w:t xml:space="preserve">pruebas clínicas. Los observadores deben tener un </w:t>
      </w:r>
      <w:proofErr w:type="spellStart"/>
      <w:r w:rsidRPr="00753032">
        <w:rPr>
          <w:lang w:val="es-ES"/>
        </w:rPr>
        <w:t>estereopsis</w:t>
      </w:r>
      <w:proofErr w:type="spellEnd"/>
      <w:r w:rsidRPr="00753032">
        <w:rPr>
          <w:lang w:val="es-ES"/>
        </w:rPr>
        <w:t xml:space="preserve"> </w:t>
      </w:r>
      <w:r w:rsidRPr="00753032">
        <w:rPr>
          <w:lang w:val="es-ES"/>
        </w:rPr>
        <w:lastRenderedPageBreak/>
        <w:t xml:space="preserve">normal, es decir, deben pasar la prueba VT-04 de la </w:t>
      </w:r>
      <w:proofErr w:type="spellStart"/>
      <w:r w:rsidRPr="00753032">
        <w:rPr>
          <w:lang w:val="es-ES"/>
        </w:rPr>
        <w:t>estereopsis</w:t>
      </w:r>
      <w:proofErr w:type="spellEnd"/>
      <w:r w:rsidRPr="00753032">
        <w:rPr>
          <w:lang w:val="es-ES"/>
        </w:rPr>
        <w:t xml:space="preserve"> fina y la VT-07 para la </w:t>
      </w:r>
      <w:proofErr w:type="spellStart"/>
      <w:r w:rsidRPr="00753032">
        <w:rPr>
          <w:lang w:val="es-ES"/>
        </w:rPr>
        <w:t>estereopsis</w:t>
      </w:r>
      <w:proofErr w:type="spellEnd"/>
      <w:r w:rsidRPr="00753032">
        <w:rPr>
          <w:lang w:val="es-ES"/>
        </w:rPr>
        <w:t xml:space="preserve"> dinámica. Las restantes seis pruebas se utilizan para una caracterización más detallada. Los diagramas de prueba deben visualizarse a una distancia de tres veces la altura de la pantalla en las que se proyectan.</w:t>
      </w:r>
    </w:p>
    <w:p w:rsidR="00315EFA" w:rsidRPr="00753032" w:rsidRDefault="00315EFA" w:rsidP="00315EFA">
      <w:pPr>
        <w:pStyle w:val="TableNo"/>
        <w:rPr>
          <w:lang w:val="es-ES" w:eastAsia="ja-JP"/>
        </w:rPr>
      </w:pPr>
      <w:r w:rsidRPr="00753032">
        <w:rPr>
          <w:lang w:val="es-ES"/>
        </w:rPr>
        <w:t>CUADRO 5</w:t>
      </w:r>
    </w:p>
    <w:p w:rsidR="00315EFA" w:rsidRPr="00753032" w:rsidRDefault="00315EFA" w:rsidP="00315EFA">
      <w:pPr>
        <w:pStyle w:val="Tabletitle"/>
        <w:rPr>
          <w:lang w:val="es-ES" w:eastAsia="ja-JP"/>
        </w:rPr>
      </w:pPr>
      <w:r w:rsidRPr="00753032">
        <w:rPr>
          <w:lang w:val="es-ES"/>
        </w:rPr>
        <w:t>Materiales de prueba estereosc</w:t>
      </w:r>
      <w:r>
        <w:rPr>
          <w:lang w:val="es-ES"/>
        </w:rPr>
        <w:t>ópica para una prueba de visión</w:t>
      </w:r>
    </w:p>
    <w:tbl>
      <w:tblPr>
        <w:tblW w:w="9695" w:type="dxa"/>
        <w:jc w:val="center"/>
        <w:tblLayout w:type="fixed"/>
        <w:tblLook w:val="04A0" w:firstRow="1" w:lastRow="0" w:firstColumn="1" w:lastColumn="0" w:noHBand="0" w:noVBand="1"/>
      </w:tblPr>
      <w:tblGrid>
        <w:gridCol w:w="567"/>
        <w:gridCol w:w="1757"/>
        <w:gridCol w:w="3828"/>
        <w:gridCol w:w="3543"/>
      </w:tblGrid>
      <w:tr w:rsidR="00315EFA" w:rsidRPr="00753032" w:rsidTr="00760B30">
        <w:trPr>
          <w:trHeight w:val="20"/>
          <w:tblHeader/>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head"/>
              <w:rPr>
                <w:kern w:val="2"/>
                <w:lang w:val="es-ES"/>
              </w:rPr>
            </w:pPr>
            <w:r>
              <w:rPr>
                <w:kern w:val="2"/>
                <w:lang w:val="es-ES"/>
              </w:rPr>
              <w:t>N.°</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head"/>
              <w:rPr>
                <w:kern w:val="2"/>
                <w:lang w:val="es-ES"/>
              </w:rPr>
            </w:pPr>
            <w:r w:rsidRPr="00753032">
              <w:rPr>
                <w:kern w:val="2"/>
                <w:lang w:val="es-ES"/>
              </w:rPr>
              <w:t>Elemento</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head"/>
              <w:rPr>
                <w:kern w:val="2"/>
                <w:lang w:val="es-ES"/>
              </w:rPr>
            </w:pPr>
            <w:r w:rsidRPr="00753032">
              <w:rPr>
                <w:kern w:val="2"/>
                <w:lang w:val="es-ES"/>
              </w:rPr>
              <w:t>Prueba de</w:t>
            </w:r>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head"/>
              <w:rPr>
                <w:kern w:val="2"/>
                <w:lang w:val="es-ES"/>
              </w:rPr>
            </w:pPr>
            <w:r w:rsidRPr="00753032">
              <w:rPr>
                <w:kern w:val="2"/>
                <w:lang w:val="es-ES"/>
              </w:rPr>
              <w:t>Contenido</w:t>
            </w:r>
          </w:p>
        </w:tc>
      </w:tr>
      <w:tr w:rsidR="00315EFA" w:rsidRPr="00315EFA"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keepNext/>
              <w:keepLines/>
              <w:jc w:val="center"/>
              <w:rPr>
                <w:kern w:val="2"/>
                <w:lang w:val="es-ES"/>
              </w:rPr>
            </w:pPr>
            <w:r w:rsidRPr="00753032">
              <w:rPr>
                <w:kern w:val="2"/>
                <w:lang w:val="es-ES"/>
              </w:rPr>
              <w:t>1</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keepNext/>
              <w:keepLines/>
              <w:jc w:val="left"/>
              <w:rPr>
                <w:kern w:val="2"/>
                <w:lang w:val="es-ES"/>
              </w:rPr>
            </w:pPr>
            <w:r w:rsidRPr="00753032">
              <w:rPr>
                <w:kern w:val="2"/>
                <w:lang w:val="es-ES"/>
              </w:rPr>
              <w:t>Recepción simultánea</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keepNext/>
              <w:keepLines/>
              <w:jc w:val="left"/>
              <w:rPr>
                <w:kern w:val="2"/>
                <w:lang w:val="es-ES"/>
              </w:rPr>
            </w:pPr>
            <w:r>
              <w:rPr>
                <w:kern w:val="2"/>
                <w:lang w:val="es-ES"/>
              </w:rPr>
              <w:t>C</w:t>
            </w:r>
            <w:r w:rsidRPr="00753032">
              <w:rPr>
                <w:kern w:val="2"/>
                <w:lang w:val="es-ES"/>
              </w:rPr>
              <w:t xml:space="preserve">apacidad de percibir simultáneamente </w:t>
            </w:r>
            <w:r>
              <w:rPr>
                <w:kern w:val="2"/>
                <w:lang w:val="es-ES"/>
              </w:rPr>
              <w:t xml:space="preserve">imágenes presentadas </w:t>
            </w:r>
            <w:proofErr w:type="spellStart"/>
            <w:r>
              <w:rPr>
                <w:kern w:val="2"/>
                <w:lang w:val="es-ES"/>
              </w:rPr>
              <w:t>dicópticame</w:t>
            </w:r>
            <w:r w:rsidRPr="00753032">
              <w:rPr>
                <w:kern w:val="2"/>
                <w:lang w:val="es-ES"/>
              </w:rPr>
              <w:t>nte</w:t>
            </w:r>
            <w:proofErr w:type="spellEnd"/>
            <w:r w:rsidRPr="00753032">
              <w:rPr>
                <w:kern w:val="2"/>
                <w:lang w:val="es-ES"/>
              </w:rPr>
              <w:t xml:space="preserve"> y en la posición correcta</w:t>
            </w:r>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keepNext/>
              <w:keepLines/>
              <w:jc w:val="left"/>
              <w:rPr>
                <w:kern w:val="2"/>
                <w:lang w:val="es-ES"/>
              </w:rPr>
            </w:pPr>
            <w:r w:rsidRPr="00753032">
              <w:rPr>
                <w:kern w:val="2"/>
                <w:lang w:val="es-ES"/>
              </w:rPr>
              <w:t>Se presenta la imagen de una jaula en</w:t>
            </w:r>
            <w:r>
              <w:rPr>
                <w:kern w:val="2"/>
                <w:lang w:val="es-ES"/>
              </w:rPr>
              <w:t> </w:t>
            </w:r>
            <w:r w:rsidRPr="00753032">
              <w:rPr>
                <w:kern w:val="2"/>
                <w:lang w:val="es-ES"/>
              </w:rPr>
              <w:t>un ojo y la de un león en el otro</w:t>
            </w:r>
          </w:p>
        </w:tc>
      </w:tr>
      <w:tr w:rsidR="00315EFA" w:rsidRPr="00315EFA"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center"/>
              <w:rPr>
                <w:kern w:val="2"/>
                <w:lang w:val="es-ES"/>
              </w:rPr>
            </w:pPr>
            <w:r w:rsidRPr="00753032">
              <w:rPr>
                <w:kern w:val="2"/>
                <w:lang w:val="es-ES"/>
              </w:rPr>
              <w:t>2</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 xml:space="preserve">Fusión binocular </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Pr>
                <w:kern w:val="2"/>
                <w:lang w:val="es-ES"/>
              </w:rPr>
              <w:t>C</w:t>
            </w:r>
            <w:r w:rsidRPr="00753032">
              <w:rPr>
                <w:kern w:val="2"/>
                <w:lang w:val="es-ES"/>
              </w:rPr>
              <w:t xml:space="preserve">apacidad de percibir dos imágenes </w:t>
            </w:r>
            <w:proofErr w:type="spellStart"/>
            <w:r w:rsidRPr="00753032">
              <w:rPr>
                <w:kern w:val="2"/>
                <w:lang w:val="es-ES"/>
              </w:rPr>
              <w:t>dicópticas</w:t>
            </w:r>
            <w:proofErr w:type="spellEnd"/>
            <w:r w:rsidRPr="00753032">
              <w:rPr>
                <w:kern w:val="2"/>
                <w:lang w:val="es-ES"/>
              </w:rPr>
              <w:t xml:space="preserve"> en los ojos izquierdo y derecho como una sola imagen</w:t>
            </w:r>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 xml:space="preserve">La imagen para un ojo tiene dos puntos y la del otro ojo tiene tres puntos, con un punto común </w:t>
            </w:r>
          </w:p>
        </w:tc>
      </w:tr>
      <w:tr w:rsidR="00315EFA" w:rsidRPr="00315EFA"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center"/>
              <w:rPr>
                <w:kern w:val="2"/>
                <w:lang w:val="es-ES"/>
              </w:rPr>
            </w:pPr>
            <w:r w:rsidRPr="00753032">
              <w:rPr>
                <w:kern w:val="2"/>
                <w:lang w:val="es-ES"/>
              </w:rPr>
              <w:t>3</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proofErr w:type="spellStart"/>
            <w:r w:rsidRPr="00753032">
              <w:rPr>
                <w:kern w:val="2"/>
                <w:lang w:val="es-ES"/>
              </w:rPr>
              <w:t>Estereopsis</w:t>
            </w:r>
            <w:proofErr w:type="spellEnd"/>
            <w:r w:rsidRPr="00753032">
              <w:rPr>
                <w:kern w:val="2"/>
                <w:lang w:val="es-ES"/>
              </w:rPr>
              <w:t xml:space="preserve"> gruesa </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Pr>
                <w:kern w:val="2"/>
                <w:lang w:val="es-ES"/>
              </w:rPr>
              <w:t>C</w:t>
            </w:r>
            <w:r w:rsidRPr="00753032">
              <w:rPr>
                <w:kern w:val="2"/>
                <w:lang w:val="es-ES"/>
              </w:rPr>
              <w:t xml:space="preserve">apacidad de percibir imágenes que se presentan de forma </w:t>
            </w:r>
            <w:proofErr w:type="spellStart"/>
            <w:r w:rsidRPr="00753032">
              <w:rPr>
                <w:kern w:val="2"/>
                <w:lang w:val="es-ES"/>
              </w:rPr>
              <w:t>dicóptica</w:t>
            </w:r>
            <w:proofErr w:type="spellEnd"/>
            <w:r w:rsidRPr="00753032">
              <w:rPr>
                <w:kern w:val="2"/>
                <w:lang w:val="es-ES"/>
              </w:rPr>
              <w:t xml:space="preserve"> con un cierto paralaje como una sola imagen con una profundidad considerable</w:t>
            </w:r>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 xml:space="preserve">Las imágenes para ambos ojos son una </w:t>
            </w:r>
            <w:proofErr w:type="spellStart"/>
            <w:r w:rsidRPr="00753032">
              <w:rPr>
                <w:kern w:val="2"/>
                <w:lang w:val="es-ES"/>
              </w:rPr>
              <w:t>estereopareja</w:t>
            </w:r>
            <w:proofErr w:type="spellEnd"/>
            <w:r w:rsidRPr="00753032">
              <w:rPr>
                <w:kern w:val="2"/>
                <w:lang w:val="es-ES"/>
              </w:rPr>
              <w:t xml:space="preserve"> de imágenes de una</w:t>
            </w:r>
            <w:r>
              <w:rPr>
                <w:kern w:val="2"/>
                <w:lang w:val="es-ES"/>
              </w:rPr>
              <w:t> </w:t>
            </w:r>
            <w:r w:rsidRPr="00753032">
              <w:rPr>
                <w:kern w:val="2"/>
                <w:lang w:val="es-ES"/>
              </w:rPr>
              <w:t>libélula con sus alas extendidas</w:t>
            </w:r>
          </w:p>
        </w:tc>
      </w:tr>
      <w:tr w:rsidR="00315EFA" w:rsidRPr="00315EFA"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center"/>
              <w:rPr>
                <w:kern w:val="2"/>
                <w:lang w:val="es-ES"/>
              </w:rPr>
            </w:pPr>
            <w:r w:rsidRPr="00753032">
              <w:rPr>
                <w:kern w:val="2"/>
                <w:lang w:val="es-ES"/>
              </w:rPr>
              <w:t>4</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proofErr w:type="spellStart"/>
            <w:r w:rsidRPr="00753032">
              <w:rPr>
                <w:kern w:val="2"/>
                <w:lang w:val="es-ES"/>
              </w:rPr>
              <w:t>Estereopsis</w:t>
            </w:r>
            <w:proofErr w:type="spellEnd"/>
            <w:r w:rsidRPr="00753032">
              <w:rPr>
                <w:kern w:val="2"/>
                <w:lang w:val="es-ES"/>
              </w:rPr>
              <w:t xml:space="preserve"> fina</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Pr>
                <w:kern w:val="2"/>
                <w:lang w:val="es-ES"/>
              </w:rPr>
              <w:t>C</w:t>
            </w:r>
            <w:r w:rsidRPr="00753032">
              <w:rPr>
                <w:kern w:val="2"/>
                <w:lang w:val="es-ES"/>
              </w:rPr>
              <w:t xml:space="preserve">apacidad de percibir imágenes que se presentan de forma </w:t>
            </w:r>
            <w:proofErr w:type="spellStart"/>
            <w:r w:rsidRPr="00753032">
              <w:rPr>
                <w:kern w:val="2"/>
                <w:lang w:val="es-ES"/>
              </w:rPr>
              <w:t>dicóptica</w:t>
            </w:r>
            <w:proofErr w:type="spellEnd"/>
            <w:r w:rsidRPr="00753032">
              <w:rPr>
                <w:kern w:val="2"/>
                <w:lang w:val="es-ES"/>
              </w:rPr>
              <w:t xml:space="preserve"> con un cierto paralaje como una sola imagen con una profundidad reducida</w:t>
            </w:r>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 xml:space="preserve">Se presentan nueve romboides de prueba, cada uno de los cuales tiene cuatro círculos, y sólo uno de los </w:t>
            </w:r>
            <w:r>
              <w:rPr>
                <w:kern w:val="2"/>
                <w:lang w:val="es-ES"/>
              </w:rPr>
              <w:t>círculos tiene un pequeño para</w:t>
            </w:r>
            <w:r w:rsidRPr="00753032">
              <w:rPr>
                <w:kern w:val="2"/>
                <w:lang w:val="es-ES"/>
              </w:rPr>
              <w:t>laje</w:t>
            </w:r>
          </w:p>
        </w:tc>
      </w:tr>
      <w:tr w:rsidR="00315EFA" w:rsidRPr="00315EFA"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center"/>
              <w:rPr>
                <w:kern w:val="2"/>
                <w:lang w:val="es-ES"/>
              </w:rPr>
            </w:pPr>
            <w:r w:rsidRPr="00753032">
              <w:rPr>
                <w:kern w:val="2"/>
                <w:lang w:val="es-ES"/>
              </w:rPr>
              <w:t>5</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 xml:space="preserve">Límite de fusión cruzada </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Pr>
                <w:kern w:val="2"/>
                <w:lang w:val="es-ES"/>
              </w:rPr>
              <w:t>C</w:t>
            </w:r>
            <w:r w:rsidRPr="00753032">
              <w:rPr>
                <w:kern w:val="2"/>
                <w:lang w:val="es-ES"/>
              </w:rPr>
              <w:t xml:space="preserve">apacidad de percibir imágenes que se presentan de forma </w:t>
            </w:r>
            <w:proofErr w:type="spellStart"/>
            <w:r w:rsidRPr="00753032">
              <w:rPr>
                <w:kern w:val="2"/>
                <w:lang w:val="es-ES"/>
              </w:rPr>
              <w:t>dicóptica</w:t>
            </w:r>
            <w:proofErr w:type="spellEnd"/>
            <w:r w:rsidRPr="00753032">
              <w:rPr>
                <w:kern w:val="2"/>
                <w:lang w:val="es-ES"/>
              </w:rPr>
              <w:t xml:space="preserve"> con disparidades cruzadas como una sola imagen</w:t>
            </w:r>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 xml:space="preserve">Se presenta una </w:t>
            </w:r>
            <w:proofErr w:type="spellStart"/>
            <w:r w:rsidRPr="00753032">
              <w:rPr>
                <w:kern w:val="2"/>
                <w:lang w:val="es-ES"/>
              </w:rPr>
              <w:t>est</w:t>
            </w:r>
            <w:r>
              <w:rPr>
                <w:kern w:val="2"/>
                <w:lang w:val="es-ES"/>
              </w:rPr>
              <w:t>ereopareja</w:t>
            </w:r>
            <w:proofErr w:type="spellEnd"/>
            <w:r>
              <w:rPr>
                <w:kern w:val="2"/>
                <w:lang w:val="es-ES"/>
              </w:rPr>
              <w:t xml:space="preserve"> de barras cuyo para</w:t>
            </w:r>
            <w:r w:rsidRPr="00753032">
              <w:rPr>
                <w:kern w:val="2"/>
                <w:lang w:val="es-ES"/>
              </w:rPr>
              <w:t>laje varía a razón de</w:t>
            </w:r>
            <w:r>
              <w:rPr>
                <w:kern w:val="2"/>
                <w:lang w:val="es-ES"/>
              </w:rPr>
              <w:t> </w:t>
            </w:r>
            <w:r w:rsidRPr="00753032">
              <w:rPr>
                <w:kern w:val="2"/>
                <w:lang w:val="es-ES"/>
              </w:rPr>
              <w:t>10'/s</w:t>
            </w:r>
          </w:p>
        </w:tc>
      </w:tr>
      <w:tr w:rsidR="00315EFA" w:rsidRPr="00315EFA"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center"/>
              <w:rPr>
                <w:kern w:val="2"/>
                <w:lang w:val="es-ES"/>
              </w:rPr>
            </w:pPr>
            <w:r w:rsidRPr="00753032">
              <w:rPr>
                <w:kern w:val="2"/>
                <w:lang w:val="es-ES"/>
              </w:rPr>
              <w:t>6</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Límite de fusión sin cruce</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Pr>
                <w:kern w:val="2"/>
                <w:lang w:val="es-ES"/>
              </w:rPr>
              <w:t>C</w:t>
            </w:r>
            <w:r w:rsidRPr="00753032">
              <w:rPr>
                <w:kern w:val="2"/>
                <w:lang w:val="es-ES"/>
              </w:rPr>
              <w:t xml:space="preserve">apacidad de percibir imágenes presentadas de forma </w:t>
            </w:r>
            <w:proofErr w:type="spellStart"/>
            <w:r w:rsidRPr="00753032">
              <w:rPr>
                <w:kern w:val="2"/>
                <w:lang w:val="es-ES"/>
              </w:rPr>
              <w:t>dicóptica</w:t>
            </w:r>
            <w:proofErr w:type="spellEnd"/>
            <w:r w:rsidRPr="00753032">
              <w:rPr>
                <w:kern w:val="2"/>
                <w:lang w:val="es-ES"/>
              </w:rPr>
              <w:t xml:space="preserve"> con disparidades no cruzadas como una sola</w:t>
            </w:r>
            <w:r>
              <w:rPr>
                <w:kern w:val="2"/>
                <w:lang w:val="es-ES"/>
              </w:rPr>
              <w:t> </w:t>
            </w:r>
            <w:r w:rsidRPr="00753032">
              <w:rPr>
                <w:kern w:val="2"/>
                <w:lang w:val="es-ES"/>
              </w:rPr>
              <w:t>imagen</w:t>
            </w:r>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 xml:space="preserve">Se presenta una </w:t>
            </w:r>
            <w:proofErr w:type="spellStart"/>
            <w:r w:rsidRPr="00753032">
              <w:rPr>
                <w:kern w:val="2"/>
                <w:lang w:val="es-ES"/>
              </w:rPr>
              <w:t>estereopareja</w:t>
            </w:r>
            <w:proofErr w:type="spellEnd"/>
            <w:r w:rsidRPr="00753032">
              <w:rPr>
                <w:kern w:val="2"/>
                <w:lang w:val="es-ES"/>
              </w:rPr>
              <w:t xml:space="preserve"> de barras c</w:t>
            </w:r>
            <w:r>
              <w:rPr>
                <w:kern w:val="2"/>
                <w:lang w:val="es-ES"/>
              </w:rPr>
              <w:t>uyo para</w:t>
            </w:r>
            <w:r w:rsidRPr="00753032">
              <w:rPr>
                <w:kern w:val="2"/>
                <w:lang w:val="es-ES"/>
              </w:rPr>
              <w:t>laje varía a razón de</w:t>
            </w:r>
            <w:r>
              <w:rPr>
                <w:kern w:val="2"/>
                <w:lang w:val="es-ES"/>
              </w:rPr>
              <w:t> </w:t>
            </w:r>
            <w:r w:rsidRPr="00753032">
              <w:rPr>
                <w:kern w:val="2"/>
                <w:lang w:val="es-ES"/>
              </w:rPr>
              <w:t>11'/s</w:t>
            </w:r>
          </w:p>
        </w:tc>
      </w:tr>
      <w:tr w:rsidR="00315EFA" w:rsidRPr="00315EFA"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center"/>
              <w:rPr>
                <w:kern w:val="2"/>
                <w:lang w:val="es-ES"/>
              </w:rPr>
            </w:pPr>
            <w:r w:rsidRPr="00753032">
              <w:rPr>
                <w:kern w:val="2"/>
                <w:lang w:val="es-ES"/>
              </w:rPr>
              <w:t>7</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proofErr w:type="spellStart"/>
            <w:r w:rsidRPr="00753032">
              <w:rPr>
                <w:kern w:val="2"/>
                <w:lang w:val="es-ES"/>
              </w:rPr>
              <w:t>Estereopsis</w:t>
            </w:r>
            <w:proofErr w:type="spellEnd"/>
            <w:r w:rsidRPr="00753032">
              <w:rPr>
                <w:kern w:val="2"/>
                <w:lang w:val="es-ES"/>
              </w:rPr>
              <w:t xml:space="preserve"> dinámica</w:t>
            </w:r>
          </w:p>
        </w:tc>
        <w:tc>
          <w:tcPr>
            <w:tcW w:w="3828" w:type="dxa"/>
            <w:tcBorders>
              <w:top w:val="single" w:sz="6" w:space="0" w:color="auto"/>
              <w:left w:val="single" w:sz="6" w:space="0" w:color="auto"/>
              <w:bottom w:val="single" w:sz="6" w:space="0" w:color="auto"/>
              <w:right w:val="single" w:sz="6" w:space="0" w:color="auto"/>
            </w:tcBorders>
            <w:hideMark/>
          </w:tcPr>
          <w:p w:rsidR="00315EFA" w:rsidRPr="00D61B2E" w:rsidRDefault="00315EFA" w:rsidP="00A014BE">
            <w:pPr>
              <w:pStyle w:val="Tabletext"/>
              <w:jc w:val="left"/>
              <w:rPr>
                <w:kern w:val="2"/>
                <w:lang w:val="es-ES"/>
              </w:rPr>
            </w:pPr>
            <w:r w:rsidRPr="00D61B2E">
              <w:rPr>
                <w:kern w:val="2"/>
                <w:lang w:val="es-ES"/>
              </w:rPr>
              <w:t>Capacidad de percibir la profundidad en imágenes de un estereograma de puntos aleatorios en movimiento</w:t>
            </w:r>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Estereograma de puntos aleatorios dinámicos</w:t>
            </w:r>
          </w:p>
        </w:tc>
      </w:tr>
      <w:tr w:rsidR="00315EFA" w:rsidRPr="00315EFA"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center"/>
              <w:rPr>
                <w:kern w:val="2"/>
                <w:lang w:val="es-ES"/>
              </w:rPr>
            </w:pPr>
            <w:r w:rsidRPr="00753032">
              <w:rPr>
                <w:kern w:val="2"/>
                <w:lang w:val="es-ES"/>
              </w:rPr>
              <w:t>8</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Agudeza binocular</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D61B2E">
              <w:rPr>
                <w:kern w:val="2"/>
                <w:lang w:val="es-ES"/>
              </w:rPr>
              <w:t>Agudeza binocular, incluyendo cualquier asimetría de la agudeza monocular que pueda impedir una buena</w:t>
            </w:r>
            <w:r>
              <w:rPr>
                <w:kern w:val="2"/>
                <w:lang w:val="es-ES"/>
              </w:rPr>
              <w:t> </w:t>
            </w:r>
            <w:proofErr w:type="spellStart"/>
            <w:r w:rsidRPr="00D61B2E">
              <w:rPr>
                <w:kern w:val="2"/>
                <w:lang w:val="es-ES"/>
              </w:rPr>
              <w:t>estereopsis</w:t>
            </w:r>
            <w:proofErr w:type="spellEnd"/>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Caracteres E con diversas orientaciones y tamaños</w:t>
            </w:r>
          </w:p>
        </w:tc>
      </w:tr>
      <w:tr w:rsidR="00315EFA" w:rsidRPr="00753032"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center"/>
              <w:rPr>
                <w:kern w:val="2"/>
                <w:lang w:val="es-ES"/>
              </w:rPr>
            </w:pPr>
            <w:r w:rsidRPr="00753032">
              <w:rPr>
                <w:kern w:val="2"/>
                <w:lang w:val="es-ES"/>
              </w:rPr>
              <w:t>9</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Estrabismo horizontal</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Desviación horizontal del ojo que el paciente no puede evitar</w:t>
            </w:r>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L</w:t>
            </w:r>
            <w:r>
              <w:rPr>
                <w:kern w:val="2"/>
                <w:lang w:val="es-ES"/>
              </w:rPr>
              <w:t>íneas verticales y horizontales</w:t>
            </w:r>
          </w:p>
        </w:tc>
      </w:tr>
      <w:tr w:rsidR="00315EFA" w:rsidRPr="00753032"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center"/>
              <w:rPr>
                <w:kern w:val="2"/>
                <w:lang w:val="es-ES"/>
              </w:rPr>
            </w:pPr>
            <w:r w:rsidRPr="00753032">
              <w:rPr>
                <w:kern w:val="2"/>
                <w:lang w:val="es-ES"/>
              </w:rPr>
              <w:t>10</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 xml:space="preserve">Estrabismo vertical </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Desviación vertical del ojo que el paciente no puede evitar</w:t>
            </w:r>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Líneas verticales y horizontales</w:t>
            </w:r>
          </w:p>
        </w:tc>
      </w:tr>
      <w:tr w:rsidR="00315EFA" w:rsidRPr="00315EFA"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center"/>
              <w:rPr>
                <w:kern w:val="2"/>
                <w:lang w:val="es-ES"/>
              </w:rPr>
            </w:pPr>
            <w:r w:rsidRPr="00753032">
              <w:rPr>
                <w:kern w:val="2"/>
                <w:lang w:val="es-ES"/>
              </w:rPr>
              <w:t>11</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proofErr w:type="spellStart"/>
            <w:r w:rsidRPr="00753032">
              <w:rPr>
                <w:kern w:val="2"/>
                <w:lang w:val="es-ES"/>
              </w:rPr>
              <w:t>Aniseiconia</w:t>
            </w:r>
            <w:proofErr w:type="spellEnd"/>
            <w:r w:rsidRPr="00753032">
              <w:rPr>
                <w:kern w:val="2"/>
                <w:lang w:val="es-ES"/>
              </w:rPr>
              <w:t xml:space="preserve"> </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Condición en la que la imagen ocular de</w:t>
            </w:r>
            <w:r>
              <w:rPr>
                <w:kern w:val="2"/>
                <w:lang w:val="es-ES"/>
              </w:rPr>
              <w:t> </w:t>
            </w:r>
            <w:r w:rsidRPr="00753032">
              <w:rPr>
                <w:kern w:val="2"/>
                <w:lang w:val="es-ES"/>
              </w:rPr>
              <w:t xml:space="preserve">un objeto visto por un ojo difiere en tamaño y forma respecto a </w:t>
            </w:r>
            <w:proofErr w:type="spellStart"/>
            <w:r w:rsidRPr="00753032">
              <w:rPr>
                <w:kern w:val="2"/>
                <w:lang w:val="es-ES"/>
              </w:rPr>
              <w:t>como</w:t>
            </w:r>
            <w:proofErr w:type="spellEnd"/>
            <w:r w:rsidRPr="00753032">
              <w:rPr>
                <w:kern w:val="2"/>
                <w:lang w:val="es-ES"/>
              </w:rPr>
              <w:t xml:space="preserve"> lo ve el</w:t>
            </w:r>
            <w:r>
              <w:rPr>
                <w:kern w:val="2"/>
                <w:lang w:val="es-ES"/>
              </w:rPr>
              <w:t> </w:t>
            </w:r>
            <w:r w:rsidRPr="00753032">
              <w:rPr>
                <w:kern w:val="2"/>
                <w:lang w:val="es-ES"/>
              </w:rPr>
              <w:t>otro ojo</w:t>
            </w:r>
          </w:p>
        </w:tc>
        <w:tc>
          <w:tcPr>
            <w:tcW w:w="3543" w:type="dxa"/>
            <w:tcBorders>
              <w:top w:val="single" w:sz="6" w:space="0" w:color="auto"/>
              <w:left w:val="single" w:sz="6" w:space="0" w:color="auto"/>
              <w:bottom w:val="single" w:sz="6" w:space="0" w:color="auto"/>
              <w:right w:val="single" w:sz="6" w:space="0" w:color="auto"/>
            </w:tcBorders>
            <w:hideMark/>
          </w:tcPr>
          <w:p w:rsidR="00315EFA" w:rsidRPr="00753032" w:rsidRDefault="00315EFA" w:rsidP="00A014BE">
            <w:pPr>
              <w:pStyle w:val="Tabletext"/>
              <w:jc w:val="left"/>
              <w:rPr>
                <w:kern w:val="2"/>
                <w:lang w:val="es-ES"/>
              </w:rPr>
            </w:pPr>
            <w:r w:rsidRPr="00753032">
              <w:rPr>
                <w:kern w:val="2"/>
                <w:lang w:val="es-ES"/>
              </w:rPr>
              <w:t xml:space="preserve">La imagen izquierda consiste en caracteres </w:t>
            </w:r>
            <w:r>
              <w:rPr>
                <w:kern w:val="2"/>
                <w:lang w:val="es-ES"/>
              </w:rPr>
              <w:t>«</w:t>
            </w:r>
            <w:r w:rsidRPr="00753032">
              <w:rPr>
                <w:kern w:val="2"/>
                <w:lang w:val="es-ES"/>
              </w:rPr>
              <w:t>[o</w:t>
            </w:r>
            <w:r>
              <w:rPr>
                <w:kern w:val="2"/>
                <w:lang w:val="es-ES"/>
              </w:rPr>
              <w:t>»</w:t>
            </w:r>
            <w:r w:rsidRPr="00753032">
              <w:rPr>
                <w:kern w:val="2"/>
                <w:lang w:val="es-ES"/>
              </w:rPr>
              <w:t xml:space="preserve"> y la derecha consiste en caracteres </w:t>
            </w:r>
            <w:r>
              <w:rPr>
                <w:kern w:val="2"/>
                <w:lang w:val="es-ES"/>
              </w:rPr>
              <w:t>«</w:t>
            </w:r>
            <w:r w:rsidRPr="00753032">
              <w:rPr>
                <w:kern w:val="2"/>
                <w:lang w:val="es-ES"/>
              </w:rPr>
              <w:t>o]</w:t>
            </w:r>
            <w:r>
              <w:rPr>
                <w:kern w:val="2"/>
                <w:lang w:val="es-ES"/>
              </w:rPr>
              <w:t>»</w:t>
            </w:r>
            <w:r w:rsidRPr="00753032">
              <w:rPr>
                <w:kern w:val="2"/>
                <w:lang w:val="es-ES"/>
              </w:rPr>
              <w:t>, donde el carácter</w:t>
            </w:r>
            <w:r>
              <w:rPr>
                <w:kern w:val="2"/>
                <w:lang w:val="es-ES"/>
              </w:rPr>
              <w:t> «</w:t>
            </w:r>
            <w:r w:rsidRPr="00753032">
              <w:rPr>
                <w:kern w:val="2"/>
                <w:lang w:val="es-ES"/>
              </w:rPr>
              <w:t>o</w:t>
            </w:r>
            <w:r>
              <w:rPr>
                <w:kern w:val="2"/>
                <w:lang w:val="es-ES"/>
              </w:rPr>
              <w:t>»</w:t>
            </w:r>
            <w:r w:rsidRPr="00753032">
              <w:rPr>
                <w:kern w:val="2"/>
                <w:lang w:val="es-ES"/>
              </w:rPr>
              <w:t xml:space="preserve"> t</w:t>
            </w:r>
            <w:r>
              <w:rPr>
                <w:kern w:val="2"/>
                <w:lang w:val="es-ES"/>
              </w:rPr>
              <w:t>iene la misma posición en ambas</w:t>
            </w:r>
          </w:p>
        </w:tc>
      </w:tr>
    </w:tbl>
    <w:p w:rsidR="00760B30" w:rsidRDefault="00760B30"/>
    <w:p w:rsidR="00760B30" w:rsidRPr="00760B30" w:rsidRDefault="00760B30" w:rsidP="00760B30">
      <w:pPr>
        <w:pStyle w:val="TableNo"/>
        <w:rPr>
          <w:lang w:val="es-ES" w:eastAsia="ja-JP"/>
        </w:rPr>
      </w:pPr>
      <w:r w:rsidRPr="00753032">
        <w:rPr>
          <w:lang w:val="es-ES"/>
        </w:rPr>
        <w:lastRenderedPageBreak/>
        <w:t>CUADRO 5</w:t>
      </w:r>
      <w:r>
        <w:rPr>
          <w:lang w:val="es-ES"/>
        </w:rPr>
        <w:t xml:space="preserve"> (</w:t>
      </w:r>
      <w:r>
        <w:rPr>
          <w:i/>
          <w:iCs/>
          <w:lang w:val="es-ES"/>
        </w:rPr>
        <w:t>fin</w:t>
      </w:r>
      <w:r>
        <w:rPr>
          <w:lang w:val="es-ES"/>
        </w:rPr>
        <w:t>)</w:t>
      </w:r>
    </w:p>
    <w:p w:rsidR="00760B30" w:rsidRPr="00753032" w:rsidRDefault="00760B30" w:rsidP="00760B30">
      <w:pPr>
        <w:pStyle w:val="Tabletitle"/>
        <w:rPr>
          <w:lang w:val="es-ES" w:eastAsia="ja-JP"/>
        </w:rPr>
      </w:pPr>
      <w:r w:rsidRPr="00753032">
        <w:rPr>
          <w:lang w:val="es-ES"/>
        </w:rPr>
        <w:t>Materiales de prueba estereosc</w:t>
      </w:r>
      <w:r>
        <w:rPr>
          <w:lang w:val="es-ES"/>
        </w:rPr>
        <w:t>ópica para una prueba de visión</w:t>
      </w:r>
    </w:p>
    <w:tbl>
      <w:tblPr>
        <w:tblW w:w="9695" w:type="dxa"/>
        <w:jc w:val="center"/>
        <w:tblLayout w:type="fixed"/>
        <w:tblLook w:val="04A0" w:firstRow="1" w:lastRow="0" w:firstColumn="1" w:lastColumn="0" w:noHBand="0" w:noVBand="1"/>
      </w:tblPr>
      <w:tblGrid>
        <w:gridCol w:w="567"/>
        <w:gridCol w:w="1757"/>
        <w:gridCol w:w="3828"/>
        <w:gridCol w:w="3487"/>
        <w:gridCol w:w="56"/>
      </w:tblGrid>
      <w:tr w:rsidR="00760B30" w:rsidRPr="00753032" w:rsidTr="00A014BE">
        <w:trPr>
          <w:trHeight w:val="20"/>
          <w:tblHeader/>
          <w:jc w:val="center"/>
        </w:trPr>
        <w:tc>
          <w:tcPr>
            <w:tcW w:w="567" w:type="dxa"/>
            <w:tcBorders>
              <w:top w:val="single" w:sz="6" w:space="0" w:color="auto"/>
              <w:left w:val="single" w:sz="6" w:space="0" w:color="auto"/>
              <w:bottom w:val="single" w:sz="6" w:space="0" w:color="auto"/>
              <w:right w:val="single" w:sz="6" w:space="0" w:color="auto"/>
            </w:tcBorders>
            <w:hideMark/>
          </w:tcPr>
          <w:p w:rsidR="00760B30" w:rsidRPr="00753032" w:rsidRDefault="00760B30" w:rsidP="00A014BE">
            <w:pPr>
              <w:pStyle w:val="Tablehead"/>
              <w:rPr>
                <w:kern w:val="2"/>
                <w:lang w:val="es-ES"/>
              </w:rPr>
            </w:pPr>
            <w:r>
              <w:rPr>
                <w:kern w:val="2"/>
                <w:lang w:val="es-ES"/>
              </w:rPr>
              <w:t>N.°</w:t>
            </w:r>
          </w:p>
        </w:tc>
        <w:tc>
          <w:tcPr>
            <w:tcW w:w="1757" w:type="dxa"/>
            <w:tcBorders>
              <w:top w:val="single" w:sz="6" w:space="0" w:color="auto"/>
              <w:left w:val="single" w:sz="6" w:space="0" w:color="auto"/>
              <w:bottom w:val="single" w:sz="6" w:space="0" w:color="auto"/>
              <w:right w:val="single" w:sz="6" w:space="0" w:color="auto"/>
            </w:tcBorders>
            <w:hideMark/>
          </w:tcPr>
          <w:p w:rsidR="00760B30" w:rsidRPr="00753032" w:rsidRDefault="00760B30" w:rsidP="00A014BE">
            <w:pPr>
              <w:pStyle w:val="Tablehead"/>
              <w:rPr>
                <w:kern w:val="2"/>
                <w:lang w:val="es-ES"/>
              </w:rPr>
            </w:pPr>
            <w:r w:rsidRPr="00753032">
              <w:rPr>
                <w:kern w:val="2"/>
                <w:lang w:val="es-ES"/>
              </w:rPr>
              <w:t>Elemento</w:t>
            </w:r>
          </w:p>
        </w:tc>
        <w:tc>
          <w:tcPr>
            <w:tcW w:w="3828" w:type="dxa"/>
            <w:tcBorders>
              <w:top w:val="single" w:sz="6" w:space="0" w:color="auto"/>
              <w:left w:val="single" w:sz="6" w:space="0" w:color="auto"/>
              <w:bottom w:val="single" w:sz="6" w:space="0" w:color="auto"/>
              <w:right w:val="single" w:sz="6" w:space="0" w:color="auto"/>
            </w:tcBorders>
            <w:hideMark/>
          </w:tcPr>
          <w:p w:rsidR="00760B30" w:rsidRPr="00753032" w:rsidRDefault="00760B30" w:rsidP="00A014BE">
            <w:pPr>
              <w:pStyle w:val="Tablehead"/>
              <w:rPr>
                <w:kern w:val="2"/>
                <w:lang w:val="es-ES"/>
              </w:rPr>
            </w:pPr>
            <w:r w:rsidRPr="00753032">
              <w:rPr>
                <w:kern w:val="2"/>
                <w:lang w:val="es-ES"/>
              </w:rPr>
              <w:t>Prueba de</w:t>
            </w:r>
          </w:p>
        </w:tc>
        <w:tc>
          <w:tcPr>
            <w:tcW w:w="3543" w:type="dxa"/>
            <w:gridSpan w:val="2"/>
            <w:tcBorders>
              <w:top w:val="single" w:sz="6" w:space="0" w:color="auto"/>
              <w:left w:val="single" w:sz="6" w:space="0" w:color="auto"/>
              <w:bottom w:val="single" w:sz="6" w:space="0" w:color="auto"/>
              <w:right w:val="single" w:sz="6" w:space="0" w:color="auto"/>
            </w:tcBorders>
            <w:hideMark/>
          </w:tcPr>
          <w:p w:rsidR="00760B30" w:rsidRPr="00753032" w:rsidRDefault="00760B30" w:rsidP="00A014BE">
            <w:pPr>
              <w:pStyle w:val="Tablehead"/>
              <w:rPr>
                <w:kern w:val="2"/>
                <w:lang w:val="es-ES"/>
              </w:rPr>
            </w:pPr>
            <w:r w:rsidRPr="00753032">
              <w:rPr>
                <w:kern w:val="2"/>
                <w:lang w:val="es-ES"/>
              </w:rPr>
              <w:t>Contenido</w:t>
            </w:r>
          </w:p>
        </w:tc>
      </w:tr>
      <w:tr w:rsidR="00315EFA" w:rsidRPr="00315EFA" w:rsidTr="00760B30">
        <w:trPr>
          <w:trHeight w:val="20"/>
          <w:jc w:val="center"/>
        </w:trPr>
        <w:tc>
          <w:tcPr>
            <w:tcW w:w="56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760B30">
            <w:pPr>
              <w:pStyle w:val="Tabletext"/>
              <w:keepNext/>
              <w:keepLines/>
              <w:jc w:val="center"/>
              <w:rPr>
                <w:lang w:val="es-ES"/>
              </w:rPr>
            </w:pPr>
            <w:r w:rsidRPr="00753032">
              <w:rPr>
                <w:lang w:val="es-ES"/>
              </w:rPr>
              <w:t>12</w:t>
            </w:r>
          </w:p>
        </w:tc>
        <w:tc>
          <w:tcPr>
            <w:tcW w:w="1757" w:type="dxa"/>
            <w:tcBorders>
              <w:top w:val="single" w:sz="6" w:space="0" w:color="auto"/>
              <w:left w:val="single" w:sz="6" w:space="0" w:color="auto"/>
              <w:bottom w:val="single" w:sz="6" w:space="0" w:color="auto"/>
              <w:right w:val="single" w:sz="6" w:space="0" w:color="auto"/>
            </w:tcBorders>
            <w:hideMark/>
          </w:tcPr>
          <w:p w:rsidR="00315EFA" w:rsidRPr="00753032" w:rsidRDefault="00315EFA" w:rsidP="00760B30">
            <w:pPr>
              <w:pStyle w:val="Tabletext"/>
              <w:keepNext/>
              <w:keepLines/>
              <w:jc w:val="left"/>
              <w:rPr>
                <w:kern w:val="2"/>
                <w:lang w:val="es-ES"/>
              </w:rPr>
            </w:pPr>
            <w:proofErr w:type="spellStart"/>
            <w:r w:rsidRPr="00753032">
              <w:rPr>
                <w:kern w:val="2"/>
                <w:lang w:val="es-ES"/>
              </w:rPr>
              <w:t>Cicloforia</w:t>
            </w:r>
            <w:proofErr w:type="spellEnd"/>
            <w:r w:rsidRPr="00753032">
              <w:rPr>
                <w:kern w:val="2"/>
                <w:lang w:val="es-ES"/>
              </w:rPr>
              <w:t xml:space="preserve"> </w:t>
            </w:r>
          </w:p>
        </w:tc>
        <w:tc>
          <w:tcPr>
            <w:tcW w:w="3828" w:type="dxa"/>
            <w:tcBorders>
              <w:top w:val="single" w:sz="6" w:space="0" w:color="auto"/>
              <w:left w:val="single" w:sz="6" w:space="0" w:color="auto"/>
              <w:bottom w:val="single" w:sz="6" w:space="0" w:color="auto"/>
              <w:right w:val="single" w:sz="6" w:space="0" w:color="auto"/>
            </w:tcBorders>
            <w:hideMark/>
          </w:tcPr>
          <w:p w:rsidR="00315EFA" w:rsidRPr="00753032" w:rsidRDefault="00315EFA" w:rsidP="00760B30">
            <w:pPr>
              <w:pStyle w:val="Tabletext"/>
              <w:keepNext/>
              <w:keepLines/>
              <w:jc w:val="left"/>
              <w:rPr>
                <w:kern w:val="2"/>
                <w:lang w:val="es-ES"/>
              </w:rPr>
            </w:pPr>
            <w:r w:rsidRPr="00753032">
              <w:rPr>
                <w:kern w:val="2"/>
                <w:lang w:val="es-ES"/>
              </w:rPr>
              <w:t>Desviación de uno de los ojos alrededor del eje anteropost</w:t>
            </w:r>
            <w:r>
              <w:rPr>
                <w:kern w:val="2"/>
                <w:lang w:val="es-ES"/>
              </w:rPr>
              <w:t>erior cuando se evita la fusión</w:t>
            </w:r>
          </w:p>
        </w:tc>
        <w:tc>
          <w:tcPr>
            <w:tcW w:w="3543" w:type="dxa"/>
            <w:gridSpan w:val="2"/>
            <w:tcBorders>
              <w:top w:val="single" w:sz="6" w:space="0" w:color="auto"/>
              <w:left w:val="single" w:sz="6" w:space="0" w:color="auto"/>
              <w:bottom w:val="single" w:sz="6" w:space="0" w:color="auto"/>
              <w:right w:val="single" w:sz="6" w:space="0" w:color="auto"/>
            </w:tcBorders>
            <w:hideMark/>
          </w:tcPr>
          <w:p w:rsidR="00315EFA" w:rsidRPr="00753032" w:rsidRDefault="00315EFA" w:rsidP="00760B30">
            <w:pPr>
              <w:pStyle w:val="Tabletext"/>
              <w:keepNext/>
              <w:keepLines/>
              <w:jc w:val="left"/>
              <w:rPr>
                <w:kern w:val="2"/>
                <w:lang w:val="es-ES"/>
              </w:rPr>
            </w:pPr>
            <w:r w:rsidRPr="00753032">
              <w:rPr>
                <w:kern w:val="2"/>
                <w:lang w:val="es-ES"/>
              </w:rPr>
              <w:t>La imagen izquierda consiste en la superficie de un reloj y la derecha en las manecillas del r</w:t>
            </w:r>
            <w:r>
              <w:rPr>
                <w:kern w:val="2"/>
                <w:lang w:val="es-ES"/>
              </w:rPr>
              <w:t>eloj marcando las seis en punto</w:t>
            </w:r>
          </w:p>
        </w:tc>
      </w:tr>
      <w:tr w:rsidR="00315EFA" w:rsidRPr="00315EFA" w:rsidTr="00760B30">
        <w:trPr>
          <w:gridAfter w:val="1"/>
          <w:wAfter w:w="56" w:type="dxa"/>
          <w:trHeight w:val="20"/>
          <w:jc w:val="center"/>
        </w:trPr>
        <w:tc>
          <w:tcPr>
            <w:tcW w:w="9639" w:type="dxa"/>
            <w:gridSpan w:val="4"/>
            <w:tcBorders>
              <w:top w:val="single" w:sz="6" w:space="0" w:color="auto"/>
              <w:left w:val="nil"/>
              <w:bottom w:val="nil"/>
              <w:right w:val="nil"/>
            </w:tcBorders>
          </w:tcPr>
          <w:p w:rsidR="00315EFA" w:rsidRPr="008D1AC8" w:rsidRDefault="00315EFA" w:rsidP="00A014BE">
            <w:pPr>
              <w:pStyle w:val="TableLegendNote"/>
              <w:rPr>
                <w:lang w:val="es-ES_tradnl" w:eastAsia="ja-JP"/>
              </w:rPr>
            </w:pPr>
            <w:r w:rsidRPr="008D1AC8">
              <w:rPr>
                <w:lang w:val="es-ES_tradnl" w:eastAsia="ja-JP"/>
              </w:rPr>
              <w:t>NOTA 1 – Estos materiales están en el formato 1125/60/I (véase la Recomendación UIT-R BT.709).</w:t>
            </w:r>
          </w:p>
          <w:p w:rsidR="00315EFA" w:rsidRPr="00DC69D7" w:rsidRDefault="00315EFA" w:rsidP="00A014BE">
            <w:pPr>
              <w:pStyle w:val="TableLegendNote"/>
              <w:rPr>
                <w:lang w:val="es-ES_tradnl"/>
              </w:rPr>
            </w:pPr>
            <w:r w:rsidRPr="00DC69D7">
              <w:rPr>
                <w:lang w:val="es-ES_tradnl" w:eastAsia="ja-JP"/>
              </w:rPr>
              <w:t xml:space="preserve">NOTA 2 – Estos materiales pueden obtenerse del </w:t>
            </w:r>
            <w:proofErr w:type="spellStart"/>
            <w:r w:rsidRPr="00DC69D7">
              <w:rPr>
                <w:lang w:val="es-ES_tradnl" w:eastAsia="ja-JP"/>
              </w:rPr>
              <w:t>Institute</w:t>
            </w:r>
            <w:proofErr w:type="spellEnd"/>
            <w:r w:rsidRPr="00DC69D7">
              <w:rPr>
                <w:lang w:val="es-ES_tradnl" w:eastAsia="ja-JP"/>
              </w:rPr>
              <w:t xml:space="preserve"> of </w:t>
            </w:r>
            <w:proofErr w:type="spellStart"/>
            <w:r w:rsidRPr="00DC69D7">
              <w:rPr>
                <w:lang w:val="es-ES_tradnl" w:eastAsia="ja-JP"/>
              </w:rPr>
              <w:t>Image</w:t>
            </w:r>
            <w:proofErr w:type="spellEnd"/>
            <w:r w:rsidRPr="00DC69D7">
              <w:rPr>
                <w:lang w:val="es-ES_tradnl" w:eastAsia="ja-JP"/>
              </w:rPr>
              <w:t xml:space="preserve"> </w:t>
            </w:r>
            <w:proofErr w:type="spellStart"/>
            <w:r w:rsidRPr="00DC69D7">
              <w:rPr>
                <w:lang w:val="es-ES_tradnl" w:eastAsia="ja-JP"/>
              </w:rPr>
              <w:t>Information</w:t>
            </w:r>
            <w:proofErr w:type="spellEnd"/>
            <w:r w:rsidRPr="00DC69D7">
              <w:rPr>
                <w:lang w:val="es-ES_tradnl" w:eastAsia="ja-JP"/>
              </w:rPr>
              <w:t xml:space="preserve"> and </w:t>
            </w:r>
            <w:proofErr w:type="spellStart"/>
            <w:r w:rsidRPr="00DC69D7">
              <w:rPr>
                <w:lang w:val="es-ES_tradnl" w:eastAsia="ja-JP"/>
              </w:rPr>
              <w:t>Television</w:t>
            </w:r>
            <w:proofErr w:type="spellEnd"/>
            <w:r w:rsidRPr="00DC69D7">
              <w:rPr>
                <w:lang w:val="es-ES_tradnl" w:eastAsia="ja-JP"/>
              </w:rPr>
              <w:t xml:space="preserve"> </w:t>
            </w:r>
            <w:proofErr w:type="spellStart"/>
            <w:r w:rsidRPr="00DC69D7">
              <w:rPr>
                <w:lang w:val="es-ES_tradnl" w:eastAsia="ja-JP"/>
              </w:rPr>
              <w:t>Engineers</w:t>
            </w:r>
            <w:proofErr w:type="spellEnd"/>
            <w:r w:rsidRPr="00DC69D7">
              <w:rPr>
                <w:lang w:val="es-ES_tradnl" w:eastAsia="ja-JP"/>
              </w:rPr>
              <w:t xml:space="preserve"> (ITE), 3-5-8 </w:t>
            </w:r>
            <w:proofErr w:type="spellStart"/>
            <w:r w:rsidRPr="00DC69D7">
              <w:rPr>
                <w:lang w:val="es-ES_tradnl" w:eastAsia="ja-JP"/>
              </w:rPr>
              <w:t>Shibakoen</w:t>
            </w:r>
            <w:proofErr w:type="spellEnd"/>
            <w:r w:rsidRPr="00DC69D7">
              <w:rPr>
                <w:lang w:val="es-ES_tradnl" w:eastAsia="ja-JP"/>
              </w:rPr>
              <w:t xml:space="preserve">, </w:t>
            </w:r>
            <w:proofErr w:type="spellStart"/>
            <w:r w:rsidRPr="00DC69D7">
              <w:rPr>
                <w:lang w:val="es-ES_tradnl" w:eastAsia="ja-JP"/>
              </w:rPr>
              <w:t>Minato-ku</w:t>
            </w:r>
            <w:proofErr w:type="spellEnd"/>
            <w:r w:rsidRPr="00DC69D7">
              <w:rPr>
                <w:lang w:val="es-ES_tradnl" w:eastAsia="ja-JP"/>
              </w:rPr>
              <w:t>, Tokio 105-0011, Japón. Tel.: 81-3-3432-4677,</w:t>
            </w:r>
            <w:r w:rsidRPr="00DC69D7">
              <w:rPr>
                <w:lang w:val="es-ES_tradnl"/>
              </w:rPr>
              <w:t xml:space="preserve"> </w:t>
            </w:r>
            <w:r w:rsidRPr="00DC69D7">
              <w:rPr>
                <w:lang w:val="es-ES_tradnl" w:eastAsia="ja-JP"/>
              </w:rPr>
              <w:t xml:space="preserve">correo electrónico: </w:t>
            </w:r>
            <w:hyperlink r:id="rId40" w:history="1">
              <w:r w:rsidRPr="00DC69D7">
                <w:rPr>
                  <w:rStyle w:val="Hyperlink"/>
                  <w:lang w:val="es-ES_tradnl" w:eastAsia="ja-JP"/>
                </w:rPr>
                <w:t>ite@ite.or.jp</w:t>
              </w:r>
            </w:hyperlink>
            <w:r w:rsidRPr="00DC69D7">
              <w:rPr>
                <w:lang w:val="es-ES_tradnl" w:eastAsia="ja-JP"/>
              </w:rPr>
              <w:t>.</w:t>
            </w:r>
          </w:p>
        </w:tc>
      </w:tr>
    </w:tbl>
    <w:p w:rsidR="00315EFA" w:rsidRPr="00DC69D7" w:rsidRDefault="00315EFA" w:rsidP="00315EFA">
      <w:pPr>
        <w:pStyle w:val="Tablefin"/>
        <w:rPr>
          <w:lang w:val="es-ES_tradnl"/>
        </w:rPr>
      </w:pPr>
    </w:p>
    <w:p w:rsidR="00315EFA" w:rsidRPr="00753032" w:rsidRDefault="00315EFA" w:rsidP="00315EFA">
      <w:pPr>
        <w:rPr>
          <w:lang w:val="es-ES"/>
        </w:rPr>
      </w:pPr>
      <w:r w:rsidRPr="00753032">
        <w:rPr>
          <w:lang w:val="es-ES"/>
        </w:rPr>
        <w:t>Las imágenes en miniatura siguientes, a derecha e izquierda, se colocan una junto a otra con fines explicativos para una fusión sin cruces.</w:t>
      </w:r>
    </w:p>
    <w:p w:rsidR="00315EFA" w:rsidRPr="00753032" w:rsidRDefault="00315EFA" w:rsidP="00315EFA">
      <w:pPr>
        <w:pStyle w:val="Headingb"/>
        <w:rPr>
          <w:lang w:val="es-ES"/>
        </w:rPr>
      </w:pPr>
      <w:r w:rsidRPr="00753032">
        <w:rPr>
          <w:lang w:val="es-ES" w:eastAsia="ja-JP"/>
        </w:rPr>
        <w:t>1</w:t>
      </w:r>
      <w:r w:rsidRPr="00753032">
        <w:rPr>
          <w:lang w:val="es-ES"/>
        </w:rPr>
        <w:t>)</w:t>
      </w:r>
      <w:r w:rsidRPr="00753032">
        <w:rPr>
          <w:lang w:val="es-ES"/>
        </w:rPr>
        <w:tab/>
      </w:r>
      <w:r w:rsidRPr="00753032">
        <w:rPr>
          <w:i/>
          <w:iCs/>
          <w:lang w:val="es-ES"/>
        </w:rPr>
        <w:t>VT-01</w:t>
      </w:r>
      <w:r w:rsidRPr="00753032">
        <w:rPr>
          <w:lang w:val="es-ES"/>
        </w:rPr>
        <w:t>: Percepción simultánea (prueba del león)</w:t>
      </w:r>
    </w:p>
    <w:p w:rsidR="00315EFA" w:rsidRPr="00753032" w:rsidRDefault="00315EFA" w:rsidP="00315EFA">
      <w:pPr>
        <w:rPr>
          <w:lang w:val="es-ES"/>
        </w:rPr>
      </w:pPr>
      <w:r w:rsidRPr="00753032">
        <w:rPr>
          <w:lang w:val="es-ES"/>
        </w:rPr>
        <w:t xml:space="preserve">Prueba la capacidad de percibir simultáneamente imágenes presentadas </w:t>
      </w:r>
      <w:proofErr w:type="spellStart"/>
      <w:r w:rsidRPr="00753032">
        <w:rPr>
          <w:lang w:val="es-ES"/>
        </w:rPr>
        <w:t>dicópticamante</w:t>
      </w:r>
      <w:proofErr w:type="spellEnd"/>
      <w:r w:rsidRPr="00753032">
        <w:rPr>
          <w:lang w:val="es-ES"/>
        </w:rPr>
        <w:t xml:space="preserve"> y en la posición correcta. Se presenta la imagen de una jaula en un ojo y la de un león en el otro, cuya posición se desplaza a razón de 12'/s. El tamaño de cada imagen se fija a 10</w:t>
      </w:r>
      <w:r>
        <w:rPr>
          <w:lang w:val="es-ES"/>
        </w:rPr>
        <w:t>°</w:t>
      </w:r>
      <w:r w:rsidRPr="00753032">
        <w:rPr>
          <w:lang w:val="es-ES"/>
        </w:rPr>
        <w:t xml:space="preserve">, de tal forma que los observadores pueden capturar las imágenes en sus </w:t>
      </w:r>
      <w:proofErr w:type="spellStart"/>
      <w:r w:rsidRPr="00753032">
        <w:rPr>
          <w:lang w:val="es-ES"/>
        </w:rPr>
        <w:t>paramáculas</w:t>
      </w:r>
      <w:proofErr w:type="spellEnd"/>
      <w:r w:rsidRPr="00753032">
        <w:rPr>
          <w:lang w:val="es-ES"/>
        </w:rPr>
        <w:t>. Los observadores con una visión normal pueden ver al león dentro de la jaula durante un cierto tiempo del periodo de presentación.</w:t>
      </w:r>
    </w:p>
    <w:p w:rsidR="00315EFA" w:rsidRPr="00753032" w:rsidRDefault="00315EFA" w:rsidP="00315EFA">
      <w:pPr>
        <w:pStyle w:val="FigureNo"/>
        <w:rPr>
          <w:lang w:val="es-ES"/>
        </w:rPr>
      </w:pPr>
      <w:r w:rsidRPr="00753032">
        <w:rPr>
          <w:lang w:val="es-ES"/>
        </w:rPr>
        <w:t xml:space="preserve">FigurA </w:t>
      </w:r>
      <w:r>
        <w:rPr>
          <w:lang w:val="es-ES"/>
        </w:rPr>
        <w:t>12</w:t>
      </w:r>
    </w:p>
    <w:p w:rsidR="00315EFA" w:rsidRDefault="00315EFA" w:rsidP="00315EFA">
      <w:pPr>
        <w:pStyle w:val="Figuretitle"/>
        <w:rPr>
          <w:lang w:val="es-ES" w:eastAsia="ja-JP"/>
        </w:rPr>
      </w:pPr>
      <w:r w:rsidRPr="00753032">
        <w:rPr>
          <w:lang w:val="es-ES"/>
        </w:rPr>
        <w:t>Diagrama de prueba para</w:t>
      </w:r>
      <w:r w:rsidRPr="00753032">
        <w:rPr>
          <w:lang w:val="es-ES" w:eastAsia="ja-JP"/>
        </w:rPr>
        <w:t xml:space="preserve"> VT-01</w:t>
      </w:r>
    </w:p>
    <w:p w:rsidR="00315EFA" w:rsidRPr="00097922" w:rsidRDefault="003F1126" w:rsidP="00315EFA">
      <w:pPr>
        <w:pStyle w:val="Figure"/>
        <w:rPr>
          <w:lang w:val="es-ES" w:eastAsia="ja-JP"/>
        </w:rPr>
      </w:pPr>
      <w:r>
        <w:rPr>
          <w:lang w:val="es-ES" w:eastAsia="ja-JP"/>
        </w:rPr>
        <w:object w:dxaOrig="7263" w:dyaOrig="2453">
          <v:shape id="_x0000_i1171" type="#_x0000_t75" style="width:483.6pt;height:165.75pt" o:ole="">
            <v:imagedata r:id="rId41" o:title="" cropbottom="-2525f" cropright="-1511f"/>
          </v:shape>
          <o:OLEObject Type="Embed" ProgID="CorelDraw.Graphic.16" ShapeID="_x0000_i1171" DrawAspect="Content" ObjectID="_1535896642" r:id="rId42"/>
        </w:object>
      </w:r>
    </w:p>
    <w:p w:rsidR="00315EFA" w:rsidRPr="00753032" w:rsidRDefault="00315EFA" w:rsidP="00B92802">
      <w:pPr>
        <w:pStyle w:val="Headingb"/>
        <w:keepNext w:val="0"/>
        <w:keepLines w:val="0"/>
        <w:rPr>
          <w:lang w:val="es-ES"/>
        </w:rPr>
      </w:pPr>
      <w:r w:rsidRPr="00753032">
        <w:rPr>
          <w:lang w:val="es-ES" w:eastAsia="ja-JP"/>
        </w:rPr>
        <w:t>2</w:t>
      </w:r>
      <w:r w:rsidRPr="00753032">
        <w:rPr>
          <w:lang w:val="es-ES"/>
        </w:rPr>
        <w:t>)</w:t>
      </w:r>
      <w:r w:rsidRPr="00753032">
        <w:rPr>
          <w:lang w:val="es-ES"/>
        </w:rPr>
        <w:tab/>
      </w:r>
      <w:r w:rsidRPr="00753032">
        <w:rPr>
          <w:i/>
          <w:iCs/>
          <w:lang w:val="es-ES"/>
        </w:rPr>
        <w:t>VT-02</w:t>
      </w:r>
      <w:r w:rsidRPr="00753032">
        <w:rPr>
          <w:lang w:val="es-ES"/>
        </w:rPr>
        <w:t>: Fusión binocular (prueba de los 4 puntos de Worth)</w:t>
      </w:r>
    </w:p>
    <w:p w:rsidR="00315EFA" w:rsidRPr="00753032" w:rsidRDefault="00315EFA" w:rsidP="00B92802">
      <w:pPr>
        <w:rPr>
          <w:lang w:val="es-ES"/>
        </w:rPr>
      </w:pPr>
      <w:r w:rsidRPr="00753032">
        <w:rPr>
          <w:lang w:val="es-ES"/>
        </w:rPr>
        <w:t xml:space="preserve">Prueba de la capacidad de percibir dos imágenes </w:t>
      </w:r>
      <w:proofErr w:type="spellStart"/>
      <w:r w:rsidRPr="00753032">
        <w:rPr>
          <w:lang w:val="es-ES"/>
        </w:rPr>
        <w:t>dicópticas</w:t>
      </w:r>
      <w:proofErr w:type="spellEnd"/>
      <w:r w:rsidRPr="00753032">
        <w:rPr>
          <w:lang w:val="es-ES"/>
        </w:rPr>
        <w:t xml:space="preserve"> en los ojos izquierdo y derecho como una sola imagen. La imagen para un ojo tiene dos puntos y la del otro ojo tiene tres puntos, con un punto común. Los observadores con una visión normal ven cuatro puntos.</w:t>
      </w:r>
    </w:p>
    <w:p w:rsidR="00315EFA" w:rsidRPr="00753032" w:rsidRDefault="00315EFA" w:rsidP="00B92802">
      <w:pPr>
        <w:pStyle w:val="FigureNo"/>
        <w:rPr>
          <w:lang w:val="es-ES" w:eastAsia="ja-JP"/>
        </w:rPr>
      </w:pPr>
      <w:r w:rsidRPr="00753032">
        <w:rPr>
          <w:lang w:val="es-ES"/>
        </w:rPr>
        <w:lastRenderedPageBreak/>
        <w:t xml:space="preserve">FigurA </w:t>
      </w:r>
      <w:r>
        <w:rPr>
          <w:lang w:val="es-ES"/>
        </w:rPr>
        <w:t>13</w:t>
      </w:r>
    </w:p>
    <w:p w:rsidR="00315EFA" w:rsidRDefault="00315EFA" w:rsidP="00B92802">
      <w:pPr>
        <w:pStyle w:val="Figuretitle"/>
        <w:keepLines/>
        <w:rPr>
          <w:lang w:val="es-ES" w:eastAsia="ja-JP"/>
        </w:rPr>
      </w:pPr>
      <w:r w:rsidRPr="00753032">
        <w:rPr>
          <w:lang w:val="es-ES"/>
        </w:rPr>
        <w:t xml:space="preserve">Diagrama de prueba para </w:t>
      </w:r>
      <w:r w:rsidRPr="00753032">
        <w:rPr>
          <w:lang w:val="es-ES" w:eastAsia="ja-JP"/>
        </w:rPr>
        <w:t>VT-02</w:t>
      </w:r>
    </w:p>
    <w:p w:rsidR="00315EFA" w:rsidRPr="00097922" w:rsidRDefault="00B92802" w:rsidP="00B92802">
      <w:pPr>
        <w:pStyle w:val="Figure"/>
        <w:keepLines w:val="0"/>
        <w:rPr>
          <w:lang w:val="es-ES" w:eastAsia="ja-JP"/>
        </w:rPr>
      </w:pPr>
      <w:r>
        <w:rPr>
          <w:lang w:val="es-ES" w:eastAsia="ja-JP"/>
        </w:rPr>
        <w:object w:dxaOrig="7263" w:dyaOrig="2453">
          <v:shape id="_x0000_i1177" type="#_x0000_t75" style="width:478.85pt;height:164.4pt" o:ole="">
            <v:imagedata r:id="rId43" o:title="" cropbottom="-1950f" cropright="-846f"/>
          </v:shape>
          <o:OLEObject Type="Embed" ProgID="CorelDraw.Graphic.16" ShapeID="_x0000_i1177" DrawAspect="Content" ObjectID="_1535896643" r:id="rId44"/>
        </w:object>
      </w:r>
    </w:p>
    <w:p w:rsidR="00315EFA" w:rsidRPr="00753032" w:rsidRDefault="00315EFA" w:rsidP="00315EFA">
      <w:pPr>
        <w:pStyle w:val="Headingb"/>
        <w:rPr>
          <w:lang w:val="es-ES" w:eastAsia="ja-JP"/>
        </w:rPr>
      </w:pPr>
      <w:r w:rsidRPr="00753032">
        <w:rPr>
          <w:lang w:val="es-ES" w:eastAsia="ja-JP"/>
        </w:rPr>
        <w:t>3</w:t>
      </w:r>
      <w:r w:rsidRPr="00753032">
        <w:rPr>
          <w:lang w:val="es-ES"/>
        </w:rPr>
        <w:t>)</w:t>
      </w:r>
      <w:r w:rsidRPr="00753032">
        <w:rPr>
          <w:lang w:val="es-ES"/>
        </w:rPr>
        <w:tab/>
      </w:r>
      <w:r w:rsidRPr="00753032">
        <w:rPr>
          <w:i/>
          <w:iCs/>
          <w:lang w:val="es-ES"/>
        </w:rPr>
        <w:t>VT-03</w:t>
      </w:r>
      <w:r w:rsidRPr="00753032">
        <w:rPr>
          <w:lang w:val="es-ES"/>
        </w:rPr>
        <w:t xml:space="preserve">: </w:t>
      </w:r>
      <w:proofErr w:type="spellStart"/>
      <w:r w:rsidRPr="00753032">
        <w:rPr>
          <w:lang w:val="es-ES"/>
        </w:rPr>
        <w:t>Estereopsis</w:t>
      </w:r>
      <w:proofErr w:type="spellEnd"/>
      <w:r w:rsidRPr="00753032">
        <w:rPr>
          <w:lang w:val="es-ES"/>
        </w:rPr>
        <w:t xml:space="preserve"> gruesa (prueba de la libélula)</w:t>
      </w:r>
    </w:p>
    <w:p w:rsidR="00315EFA" w:rsidRPr="00753032" w:rsidRDefault="00315EFA" w:rsidP="00315EFA">
      <w:pPr>
        <w:rPr>
          <w:lang w:val="es-ES"/>
        </w:rPr>
      </w:pPr>
      <w:r w:rsidRPr="00753032">
        <w:rPr>
          <w:lang w:val="es-ES"/>
        </w:rPr>
        <w:t xml:space="preserve">Prueba de la capacidad de percibir imágenes que se presentan de forma </w:t>
      </w:r>
      <w:proofErr w:type="spellStart"/>
      <w:r w:rsidRPr="00753032">
        <w:rPr>
          <w:lang w:val="es-ES"/>
        </w:rPr>
        <w:t>dicóptica</w:t>
      </w:r>
      <w:proofErr w:type="spellEnd"/>
      <w:r w:rsidRPr="00753032">
        <w:rPr>
          <w:lang w:val="es-ES"/>
        </w:rPr>
        <w:t xml:space="preserve"> con un cierto paralaje como una sola imagen con una profundidad considerable. Las imágenes para ambos ojos son una </w:t>
      </w:r>
      <w:proofErr w:type="spellStart"/>
      <w:r w:rsidRPr="00753032">
        <w:rPr>
          <w:lang w:val="es-ES"/>
        </w:rPr>
        <w:t>estereopareja</w:t>
      </w:r>
      <w:proofErr w:type="spellEnd"/>
      <w:r w:rsidRPr="00753032">
        <w:rPr>
          <w:lang w:val="es-ES"/>
        </w:rPr>
        <w:t xml:space="preserve"> de imágenes de una libélula con sus alas extendidas. Los observadores con una visión normal perciben las alas delante de la pantalla de visualización.</w:t>
      </w:r>
    </w:p>
    <w:p w:rsidR="00315EFA" w:rsidRPr="00753032" w:rsidRDefault="00315EFA" w:rsidP="00315EFA">
      <w:pPr>
        <w:pStyle w:val="FigureNo"/>
        <w:rPr>
          <w:lang w:val="es-ES" w:eastAsia="ja-JP"/>
        </w:rPr>
      </w:pPr>
      <w:r w:rsidRPr="00753032">
        <w:rPr>
          <w:lang w:val="es-ES"/>
        </w:rPr>
        <w:t xml:space="preserve">FigurA </w:t>
      </w:r>
      <w:r>
        <w:rPr>
          <w:lang w:val="es-ES"/>
        </w:rPr>
        <w:t>14</w:t>
      </w:r>
    </w:p>
    <w:p w:rsidR="00315EFA" w:rsidRDefault="00315EFA" w:rsidP="00315EFA">
      <w:pPr>
        <w:pStyle w:val="Figuretitle"/>
        <w:rPr>
          <w:lang w:val="es-ES" w:eastAsia="ja-JP"/>
        </w:rPr>
      </w:pPr>
      <w:r w:rsidRPr="00753032">
        <w:rPr>
          <w:lang w:val="es-ES"/>
        </w:rPr>
        <w:t xml:space="preserve">Diagrama de prueba para </w:t>
      </w:r>
      <w:r w:rsidRPr="00753032">
        <w:rPr>
          <w:lang w:val="es-ES" w:eastAsia="ja-JP"/>
        </w:rPr>
        <w:t>VT-03</w:t>
      </w:r>
    </w:p>
    <w:p w:rsidR="00315EFA" w:rsidRPr="002E67C1" w:rsidRDefault="00B92802" w:rsidP="00315EFA">
      <w:pPr>
        <w:pStyle w:val="Figure"/>
        <w:rPr>
          <w:lang w:val="es-ES" w:eastAsia="ja-JP"/>
        </w:rPr>
      </w:pPr>
      <w:r>
        <w:rPr>
          <w:lang w:val="es-ES" w:eastAsia="ja-JP"/>
        </w:rPr>
        <w:object w:dxaOrig="7264" w:dyaOrig="2453">
          <v:shape id="_x0000_i1181" type="#_x0000_t75" style="width:481.6pt;height:167.1pt" o:ole="">
            <v:imagedata r:id="rId45" o:title="" cropbottom="-3059f" cropright="-1227f"/>
          </v:shape>
          <o:OLEObject Type="Embed" ProgID="CorelDraw.Graphic.16" ShapeID="_x0000_i1181" DrawAspect="Content" ObjectID="_1535896644" r:id="rId46"/>
        </w:object>
      </w:r>
    </w:p>
    <w:p w:rsidR="00315EFA" w:rsidRPr="00753032" w:rsidRDefault="00315EFA" w:rsidP="00315EFA">
      <w:pPr>
        <w:pStyle w:val="Headingb"/>
        <w:rPr>
          <w:lang w:val="es-ES"/>
        </w:rPr>
      </w:pPr>
      <w:r w:rsidRPr="00753032">
        <w:rPr>
          <w:lang w:val="es-ES" w:eastAsia="ja-JP"/>
        </w:rPr>
        <w:t>4</w:t>
      </w:r>
      <w:r w:rsidRPr="00753032">
        <w:rPr>
          <w:lang w:val="es-ES"/>
        </w:rPr>
        <w:t>)</w:t>
      </w:r>
      <w:r w:rsidRPr="00753032">
        <w:rPr>
          <w:lang w:val="es-ES"/>
        </w:rPr>
        <w:tab/>
      </w:r>
      <w:r w:rsidRPr="00753032">
        <w:rPr>
          <w:i/>
          <w:iCs/>
          <w:lang w:val="es-ES"/>
        </w:rPr>
        <w:t>VT-04</w:t>
      </w:r>
      <w:r w:rsidRPr="00753032">
        <w:rPr>
          <w:lang w:val="es-ES"/>
        </w:rPr>
        <w:t xml:space="preserve">: </w:t>
      </w:r>
      <w:proofErr w:type="spellStart"/>
      <w:r w:rsidRPr="00753032">
        <w:rPr>
          <w:lang w:val="es-ES"/>
        </w:rPr>
        <w:t>Estereopsis</w:t>
      </w:r>
      <w:proofErr w:type="spellEnd"/>
      <w:r w:rsidRPr="00753032">
        <w:rPr>
          <w:lang w:val="es-ES"/>
        </w:rPr>
        <w:t xml:space="preserve"> de detalle (prueba del círculo)</w:t>
      </w:r>
    </w:p>
    <w:p w:rsidR="00315EFA" w:rsidRPr="00753032" w:rsidRDefault="00315EFA" w:rsidP="00315EFA">
      <w:pPr>
        <w:rPr>
          <w:lang w:val="es-ES"/>
        </w:rPr>
      </w:pPr>
      <w:r w:rsidRPr="00753032">
        <w:rPr>
          <w:lang w:val="es-ES"/>
        </w:rPr>
        <w:t xml:space="preserve">Prueba la capacidad de percibir imágenes que se presentan de forma </w:t>
      </w:r>
      <w:proofErr w:type="spellStart"/>
      <w:r w:rsidRPr="00753032">
        <w:rPr>
          <w:lang w:val="es-ES"/>
        </w:rPr>
        <w:t>dicóptica</w:t>
      </w:r>
      <w:proofErr w:type="spellEnd"/>
      <w:r w:rsidRPr="00753032">
        <w:rPr>
          <w:lang w:val="es-ES"/>
        </w:rPr>
        <w:t xml:space="preserve"> con un cierto paralaje como una sola imagen con una profundidad reducida. Se presentan nueve romboides de prueba, cada uno de los cuales tiene cuatro círculos, y sólo uno de los círculos tiene un pequeño paralaje. Los observadores con visión normal pueden percibir el círculo con el pequeño paralaje delante de la pantalla de visualización. El Cuadro 6 muestra el número de prueba, las respuestas correctas y el ángulo de </w:t>
      </w:r>
      <w:proofErr w:type="spellStart"/>
      <w:r w:rsidRPr="00753032">
        <w:rPr>
          <w:lang w:val="es-ES"/>
        </w:rPr>
        <w:t>estereopsis</w:t>
      </w:r>
      <w:proofErr w:type="spellEnd"/>
      <w:r w:rsidRPr="00753032">
        <w:rPr>
          <w:lang w:val="es-ES"/>
        </w:rPr>
        <w:t xml:space="preserve"> a 3 </w:t>
      </w:r>
      <w:r w:rsidRPr="00C71431">
        <w:rPr>
          <w:i/>
          <w:iCs/>
          <w:lang w:val="es-ES"/>
        </w:rPr>
        <w:t>H</w:t>
      </w:r>
      <w:r w:rsidRPr="00753032">
        <w:rPr>
          <w:lang w:val="es-ES"/>
        </w:rPr>
        <w:t>.</w:t>
      </w:r>
    </w:p>
    <w:p w:rsidR="00315EFA" w:rsidRPr="00753032" w:rsidRDefault="00315EFA" w:rsidP="00315EFA">
      <w:pPr>
        <w:pStyle w:val="TableNo"/>
        <w:rPr>
          <w:lang w:val="es-ES" w:eastAsia="ja-JP"/>
        </w:rPr>
      </w:pPr>
      <w:r w:rsidRPr="00753032">
        <w:rPr>
          <w:lang w:val="es-ES"/>
        </w:rPr>
        <w:lastRenderedPageBreak/>
        <w:t xml:space="preserve">CUADRO </w:t>
      </w:r>
      <w:r w:rsidRPr="00753032">
        <w:rPr>
          <w:lang w:val="es-ES" w:eastAsia="ja-JP"/>
        </w:rPr>
        <w:t>6</w:t>
      </w:r>
    </w:p>
    <w:p w:rsidR="00315EFA" w:rsidRPr="00753032" w:rsidRDefault="00315EFA" w:rsidP="00315EFA">
      <w:pPr>
        <w:pStyle w:val="Tabletitle"/>
        <w:rPr>
          <w:lang w:val="es-ES"/>
        </w:rPr>
      </w:pPr>
      <w:r>
        <w:rPr>
          <w:lang w:val="es-ES"/>
        </w:rPr>
        <w:t>Respuestas correctas y para</w:t>
      </w:r>
      <w:r w:rsidRPr="00753032">
        <w:rPr>
          <w:lang w:val="es-ES"/>
        </w:rPr>
        <w:t>laje</w:t>
      </w:r>
    </w:p>
    <w:tbl>
      <w:tblPr>
        <w:tblW w:w="0" w:type="auto"/>
        <w:jc w:val="center"/>
        <w:tblLayout w:type="fixed"/>
        <w:tblLook w:val="04A0" w:firstRow="1" w:lastRow="0" w:firstColumn="1" w:lastColumn="0" w:noHBand="0" w:noVBand="1"/>
      </w:tblPr>
      <w:tblGrid>
        <w:gridCol w:w="1417"/>
        <w:gridCol w:w="2835"/>
        <w:gridCol w:w="3118"/>
      </w:tblGrid>
      <w:tr w:rsidR="00315EFA" w:rsidRPr="00315EFA" w:rsidTr="00A014BE">
        <w:trPr>
          <w:cantSplit/>
          <w:trHeight w:val="20"/>
          <w:jc w:val="center"/>
        </w:trPr>
        <w:tc>
          <w:tcPr>
            <w:tcW w:w="1417" w:type="dxa"/>
            <w:tcBorders>
              <w:top w:val="single" w:sz="6" w:space="0" w:color="auto"/>
              <w:left w:val="single" w:sz="6" w:space="0" w:color="auto"/>
              <w:bottom w:val="single" w:sz="6" w:space="0" w:color="auto"/>
              <w:right w:val="single" w:sz="6" w:space="0" w:color="auto"/>
            </w:tcBorders>
            <w:vAlign w:val="center"/>
            <w:hideMark/>
          </w:tcPr>
          <w:p w:rsidR="00315EFA" w:rsidRPr="008D1AC8" w:rsidRDefault="00315EFA" w:rsidP="00A014BE">
            <w:pPr>
              <w:pStyle w:val="Tablehead"/>
              <w:rPr>
                <w:lang w:val="es-ES"/>
              </w:rPr>
            </w:pPr>
            <w:r w:rsidRPr="008D1AC8">
              <w:rPr>
                <w:lang w:val="es-ES"/>
              </w:rPr>
              <w:t>Número de prueba</w:t>
            </w:r>
          </w:p>
        </w:tc>
        <w:tc>
          <w:tcPr>
            <w:tcW w:w="2835" w:type="dxa"/>
            <w:tcBorders>
              <w:top w:val="single" w:sz="6" w:space="0" w:color="auto"/>
              <w:left w:val="single" w:sz="6" w:space="0" w:color="auto"/>
              <w:bottom w:val="single" w:sz="6" w:space="0" w:color="auto"/>
              <w:right w:val="single" w:sz="6" w:space="0" w:color="auto"/>
            </w:tcBorders>
            <w:vAlign w:val="center"/>
            <w:hideMark/>
          </w:tcPr>
          <w:p w:rsidR="00315EFA" w:rsidRPr="008D1AC8" w:rsidRDefault="00315EFA" w:rsidP="00A014BE">
            <w:pPr>
              <w:pStyle w:val="Tablehead"/>
              <w:rPr>
                <w:lang w:val="es-ES"/>
              </w:rPr>
            </w:pPr>
            <w:r w:rsidRPr="008D1AC8">
              <w:rPr>
                <w:lang w:val="es-ES"/>
              </w:rPr>
              <w:t>Repuesta correcta</w:t>
            </w:r>
          </w:p>
        </w:tc>
        <w:tc>
          <w:tcPr>
            <w:tcW w:w="3118" w:type="dxa"/>
            <w:tcBorders>
              <w:top w:val="single" w:sz="6" w:space="0" w:color="auto"/>
              <w:left w:val="single" w:sz="6" w:space="0" w:color="auto"/>
              <w:bottom w:val="single" w:sz="6" w:space="0" w:color="auto"/>
              <w:right w:val="single" w:sz="6" w:space="0" w:color="auto"/>
            </w:tcBorders>
            <w:vAlign w:val="center"/>
            <w:hideMark/>
          </w:tcPr>
          <w:p w:rsidR="00315EFA" w:rsidRPr="008D1AC8" w:rsidRDefault="00315EFA" w:rsidP="00A014BE">
            <w:pPr>
              <w:pStyle w:val="Tablehead"/>
              <w:rPr>
                <w:lang w:val="es-ES"/>
              </w:rPr>
            </w:pPr>
            <w:r w:rsidRPr="008D1AC8">
              <w:rPr>
                <w:lang w:val="es-ES"/>
              </w:rPr>
              <w:t xml:space="preserve">Ángulo de </w:t>
            </w:r>
            <w:proofErr w:type="spellStart"/>
            <w:r w:rsidRPr="008D1AC8">
              <w:rPr>
                <w:lang w:val="es-ES"/>
              </w:rPr>
              <w:t>estereopsis</w:t>
            </w:r>
            <w:proofErr w:type="spellEnd"/>
            <w:r w:rsidRPr="008D1AC8">
              <w:rPr>
                <w:lang w:val="es-ES"/>
              </w:rPr>
              <w:t xml:space="preserve"> a 3 </w:t>
            </w:r>
            <w:r w:rsidRPr="008D1AC8">
              <w:rPr>
                <w:i/>
                <w:iCs/>
                <w:lang w:val="es-ES"/>
              </w:rPr>
              <w:t>H</w:t>
            </w:r>
            <w:r w:rsidRPr="008D1AC8">
              <w:rPr>
                <w:lang w:val="es-ES"/>
              </w:rPr>
              <w:br/>
              <w:t>(«)</w:t>
            </w:r>
          </w:p>
        </w:tc>
      </w:tr>
      <w:tr w:rsidR="00315EFA" w:rsidRPr="008D1AC8" w:rsidTr="00A014B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1</w:t>
            </w:r>
          </w:p>
        </w:tc>
        <w:tc>
          <w:tcPr>
            <w:tcW w:w="2835"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0"/>
              <w:jc w:val="center"/>
              <w:rPr>
                <w:sz w:val="22"/>
                <w:szCs w:val="22"/>
                <w:lang w:val="es-ES"/>
              </w:rPr>
            </w:pPr>
            <w:r w:rsidRPr="008D1AC8">
              <w:rPr>
                <w:sz w:val="22"/>
                <w:szCs w:val="22"/>
                <w:lang w:val="es-ES"/>
              </w:rPr>
              <w:t>Abajo</w:t>
            </w:r>
          </w:p>
        </w:tc>
        <w:tc>
          <w:tcPr>
            <w:tcW w:w="3118"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480</w:t>
            </w:r>
          </w:p>
        </w:tc>
      </w:tr>
      <w:tr w:rsidR="00315EFA" w:rsidRPr="008D1AC8" w:rsidTr="00A014B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2</w:t>
            </w:r>
          </w:p>
        </w:tc>
        <w:tc>
          <w:tcPr>
            <w:tcW w:w="2835"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0"/>
              <w:jc w:val="center"/>
              <w:rPr>
                <w:sz w:val="22"/>
                <w:szCs w:val="22"/>
                <w:lang w:val="es-ES"/>
              </w:rPr>
            </w:pPr>
            <w:r w:rsidRPr="008D1AC8">
              <w:rPr>
                <w:sz w:val="22"/>
                <w:szCs w:val="22"/>
                <w:lang w:val="es-ES"/>
              </w:rPr>
              <w:t>Izquierda</w:t>
            </w:r>
          </w:p>
        </w:tc>
        <w:tc>
          <w:tcPr>
            <w:tcW w:w="3118"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420</w:t>
            </w:r>
          </w:p>
        </w:tc>
      </w:tr>
      <w:tr w:rsidR="00315EFA" w:rsidRPr="008D1AC8" w:rsidTr="00A014B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3</w:t>
            </w:r>
          </w:p>
        </w:tc>
        <w:tc>
          <w:tcPr>
            <w:tcW w:w="2835"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0"/>
              <w:jc w:val="center"/>
              <w:rPr>
                <w:sz w:val="22"/>
                <w:szCs w:val="22"/>
                <w:lang w:val="es-ES"/>
              </w:rPr>
            </w:pPr>
            <w:r w:rsidRPr="008D1AC8">
              <w:rPr>
                <w:sz w:val="22"/>
                <w:szCs w:val="22"/>
                <w:lang w:val="es-ES"/>
              </w:rPr>
              <w:t>Abajo</w:t>
            </w:r>
          </w:p>
        </w:tc>
        <w:tc>
          <w:tcPr>
            <w:tcW w:w="3118"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360</w:t>
            </w:r>
          </w:p>
        </w:tc>
      </w:tr>
      <w:tr w:rsidR="00315EFA" w:rsidRPr="008D1AC8" w:rsidTr="00A014B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4</w:t>
            </w:r>
          </w:p>
        </w:tc>
        <w:tc>
          <w:tcPr>
            <w:tcW w:w="2835"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0"/>
              <w:jc w:val="center"/>
              <w:rPr>
                <w:sz w:val="22"/>
                <w:szCs w:val="22"/>
                <w:lang w:val="es-ES"/>
              </w:rPr>
            </w:pPr>
            <w:r w:rsidRPr="008D1AC8">
              <w:rPr>
                <w:sz w:val="22"/>
                <w:szCs w:val="22"/>
                <w:lang w:val="es-ES"/>
              </w:rPr>
              <w:t>Arriba</w:t>
            </w:r>
          </w:p>
        </w:tc>
        <w:tc>
          <w:tcPr>
            <w:tcW w:w="3118"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300</w:t>
            </w:r>
          </w:p>
        </w:tc>
      </w:tr>
      <w:tr w:rsidR="00315EFA" w:rsidRPr="008D1AC8" w:rsidTr="00A014B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5</w:t>
            </w:r>
          </w:p>
        </w:tc>
        <w:tc>
          <w:tcPr>
            <w:tcW w:w="2835"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0"/>
              <w:jc w:val="center"/>
              <w:rPr>
                <w:sz w:val="22"/>
                <w:szCs w:val="22"/>
                <w:lang w:val="es-ES"/>
              </w:rPr>
            </w:pPr>
            <w:r w:rsidRPr="008D1AC8">
              <w:rPr>
                <w:sz w:val="22"/>
                <w:szCs w:val="22"/>
                <w:lang w:val="es-ES"/>
              </w:rPr>
              <w:t>Arriba</w:t>
            </w:r>
          </w:p>
        </w:tc>
        <w:tc>
          <w:tcPr>
            <w:tcW w:w="3118"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240</w:t>
            </w:r>
          </w:p>
        </w:tc>
      </w:tr>
      <w:tr w:rsidR="00315EFA" w:rsidRPr="008D1AC8" w:rsidTr="00A014B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6</w:t>
            </w:r>
          </w:p>
        </w:tc>
        <w:tc>
          <w:tcPr>
            <w:tcW w:w="2835"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0"/>
              <w:jc w:val="center"/>
              <w:rPr>
                <w:sz w:val="22"/>
                <w:szCs w:val="22"/>
                <w:lang w:val="es-ES"/>
              </w:rPr>
            </w:pPr>
            <w:r w:rsidRPr="008D1AC8">
              <w:rPr>
                <w:sz w:val="22"/>
                <w:szCs w:val="22"/>
                <w:lang w:val="es-ES"/>
              </w:rPr>
              <w:t>Izquierda</w:t>
            </w:r>
          </w:p>
        </w:tc>
        <w:tc>
          <w:tcPr>
            <w:tcW w:w="3118"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180</w:t>
            </w:r>
          </w:p>
        </w:tc>
      </w:tr>
      <w:tr w:rsidR="00315EFA" w:rsidRPr="008D1AC8" w:rsidTr="00A014B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7</w:t>
            </w:r>
          </w:p>
        </w:tc>
        <w:tc>
          <w:tcPr>
            <w:tcW w:w="2835"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0"/>
              <w:jc w:val="center"/>
              <w:rPr>
                <w:sz w:val="22"/>
                <w:szCs w:val="22"/>
                <w:lang w:val="es-ES"/>
              </w:rPr>
            </w:pPr>
            <w:r w:rsidRPr="008D1AC8">
              <w:rPr>
                <w:sz w:val="22"/>
                <w:szCs w:val="22"/>
                <w:lang w:val="es-ES"/>
              </w:rPr>
              <w:t>Derecha</w:t>
            </w:r>
          </w:p>
        </w:tc>
        <w:tc>
          <w:tcPr>
            <w:tcW w:w="3118"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120</w:t>
            </w:r>
          </w:p>
        </w:tc>
      </w:tr>
      <w:tr w:rsidR="00315EFA" w:rsidRPr="008D1AC8" w:rsidTr="00A014B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8</w:t>
            </w:r>
          </w:p>
        </w:tc>
        <w:tc>
          <w:tcPr>
            <w:tcW w:w="2835"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0"/>
              <w:jc w:val="center"/>
              <w:rPr>
                <w:sz w:val="22"/>
                <w:szCs w:val="22"/>
                <w:lang w:val="es-ES"/>
              </w:rPr>
            </w:pPr>
            <w:r w:rsidRPr="008D1AC8">
              <w:rPr>
                <w:sz w:val="22"/>
                <w:szCs w:val="22"/>
                <w:lang w:val="es-ES"/>
              </w:rPr>
              <w:t>Izquierda</w:t>
            </w:r>
          </w:p>
        </w:tc>
        <w:tc>
          <w:tcPr>
            <w:tcW w:w="3118"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60</w:t>
            </w:r>
          </w:p>
        </w:tc>
      </w:tr>
      <w:tr w:rsidR="00315EFA" w:rsidRPr="008D1AC8" w:rsidTr="00A014BE">
        <w:trPr>
          <w:cantSplit/>
          <w:trHeight w:val="20"/>
          <w:jc w:val="center"/>
        </w:trPr>
        <w:tc>
          <w:tcPr>
            <w:tcW w:w="1417"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9</w:t>
            </w:r>
          </w:p>
        </w:tc>
        <w:tc>
          <w:tcPr>
            <w:tcW w:w="2835"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w:t>
            </w:r>
          </w:p>
        </w:tc>
        <w:tc>
          <w:tcPr>
            <w:tcW w:w="3118" w:type="dxa"/>
            <w:tcBorders>
              <w:top w:val="single" w:sz="6" w:space="0" w:color="auto"/>
              <w:left w:val="single" w:sz="6" w:space="0" w:color="auto"/>
              <w:bottom w:val="single" w:sz="6" w:space="0" w:color="auto"/>
              <w:right w:val="single" w:sz="6" w:space="0" w:color="auto"/>
            </w:tcBorders>
            <w:hideMark/>
          </w:tcPr>
          <w:p w:rsidR="00315EFA" w:rsidRPr="008D1AC8" w:rsidRDefault="00315EFA" w:rsidP="00A014BE">
            <w:pPr>
              <w:pStyle w:val="Tabletext"/>
              <w:jc w:val="center"/>
              <w:rPr>
                <w:szCs w:val="22"/>
                <w:lang w:val="es-ES"/>
              </w:rPr>
            </w:pPr>
            <w:r w:rsidRPr="008D1AC8">
              <w:rPr>
                <w:szCs w:val="22"/>
                <w:lang w:val="es-ES"/>
              </w:rPr>
              <w:t>0</w:t>
            </w:r>
          </w:p>
        </w:tc>
      </w:tr>
    </w:tbl>
    <w:p w:rsidR="00315EFA" w:rsidRPr="00753032" w:rsidRDefault="00315EFA" w:rsidP="00315EFA">
      <w:pPr>
        <w:pStyle w:val="Tablefin"/>
        <w:rPr>
          <w:lang w:val="es-ES"/>
        </w:rPr>
      </w:pPr>
    </w:p>
    <w:p w:rsidR="00315EFA" w:rsidRPr="00753032" w:rsidRDefault="00315EFA" w:rsidP="00315EFA">
      <w:pPr>
        <w:pStyle w:val="FigureNo"/>
        <w:rPr>
          <w:lang w:val="es-ES" w:eastAsia="ja-JP"/>
        </w:rPr>
      </w:pPr>
      <w:r w:rsidRPr="00753032">
        <w:rPr>
          <w:lang w:val="es-ES"/>
        </w:rPr>
        <w:t xml:space="preserve">Figura </w:t>
      </w:r>
      <w:r>
        <w:rPr>
          <w:lang w:val="es-ES"/>
        </w:rPr>
        <w:t>15</w:t>
      </w:r>
    </w:p>
    <w:p w:rsidR="00315EFA" w:rsidRDefault="00315EFA" w:rsidP="00315EFA">
      <w:pPr>
        <w:pStyle w:val="Figuretitle"/>
        <w:rPr>
          <w:lang w:val="es-ES" w:eastAsia="ja-JP"/>
        </w:rPr>
      </w:pPr>
      <w:r w:rsidRPr="00753032">
        <w:rPr>
          <w:lang w:val="es-ES"/>
        </w:rPr>
        <w:t xml:space="preserve">Diagrama de prueba para </w:t>
      </w:r>
      <w:r w:rsidRPr="00753032">
        <w:rPr>
          <w:lang w:val="es-ES" w:eastAsia="ja-JP"/>
        </w:rPr>
        <w:t>VT-04</w:t>
      </w:r>
    </w:p>
    <w:p w:rsidR="00315EFA" w:rsidRPr="002E67C1" w:rsidRDefault="00B92802" w:rsidP="00315EFA">
      <w:pPr>
        <w:pStyle w:val="Figure"/>
        <w:rPr>
          <w:lang w:val="es-ES" w:eastAsia="ja-JP"/>
        </w:rPr>
      </w:pPr>
      <w:r>
        <w:rPr>
          <w:lang w:val="es-ES" w:eastAsia="ja-JP"/>
        </w:rPr>
        <w:object w:dxaOrig="7263" w:dyaOrig="2453">
          <v:shape id="_x0000_i1186" type="#_x0000_t75" style="width:477.5pt;height:164.4pt" o:ole="">
            <v:imagedata r:id="rId47" o:title="" cropbottom="-1971f" cropright="-658f"/>
          </v:shape>
          <o:OLEObject Type="Embed" ProgID="CorelDraw.Graphic.16" ShapeID="_x0000_i1186" DrawAspect="Content" ObjectID="_1535896645" r:id="rId48"/>
        </w:object>
      </w:r>
    </w:p>
    <w:p w:rsidR="00315EFA" w:rsidRPr="00753032" w:rsidRDefault="00315EFA" w:rsidP="00315EFA">
      <w:pPr>
        <w:pStyle w:val="Headingb"/>
        <w:rPr>
          <w:lang w:val="es-ES"/>
        </w:rPr>
      </w:pPr>
      <w:r w:rsidRPr="00753032">
        <w:rPr>
          <w:lang w:val="es-ES" w:eastAsia="ja-JP"/>
        </w:rPr>
        <w:t>5</w:t>
      </w:r>
      <w:r w:rsidRPr="00753032">
        <w:rPr>
          <w:lang w:val="es-ES"/>
        </w:rPr>
        <w:t>)</w:t>
      </w:r>
      <w:r w:rsidRPr="00753032">
        <w:rPr>
          <w:lang w:val="es-ES"/>
        </w:rPr>
        <w:tab/>
      </w:r>
      <w:r w:rsidRPr="00753032">
        <w:rPr>
          <w:i/>
          <w:iCs/>
          <w:lang w:val="es-ES"/>
        </w:rPr>
        <w:t>VT-05</w:t>
      </w:r>
      <w:r w:rsidRPr="00753032">
        <w:rPr>
          <w:lang w:val="es-ES"/>
        </w:rPr>
        <w:t>: Límite de fusión cruzada (prueba de la barra)</w:t>
      </w:r>
    </w:p>
    <w:p w:rsidR="00315EFA" w:rsidRPr="00753032" w:rsidRDefault="00315EFA" w:rsidP="00315EFA">
      <w:pPr>
        <w:rPr>
          <w:lang w:val="es-ES"/>
        </w:rPr>
      </w:pPr>
      <w:r w:rsidRPr="00753032">
        <w:rPr>
          <w:lang w:val="es-ES"/>
        </w:rPr>
        <w:t xml:space="preserve">Prueba la capacidad de percibir imágenes que se presentan de forma </w:t>
      </w:r>
      <w:proofErr w:type="spellStart"/>
      <w:r w:rsidRPr="00753032">
        <w:rPr>
          <w:lang w:val="es-ES"/>
        </w:rPr>
        <w:t>dicóptica</w:t>
      </w:r>
      <w:proofErr w:type="spellEnd"/>
      <w:r w:rsidRPr="00753032">
        <w:rPr>
          <w:lang w:val="es-ES"/>
        </w:rPr>
        <w:t xml:space="preserve"> con disparidades cruzadas como una sola imagen. Se presenta una </w:t>
      </w:r>
      <w:proofErr w:type="spellStart"/>
      <w:r w:rsidRPr="00753032">
        <w:rPr>
          <w:lang w:val="es-ES"/>
        </w:rPr>
        <w:t>estereopareja</w:t>
      </w:r>
      <w:proofErr w:type="spellEnd"/>
      <w:r w:rsidRPr="00753032">
        <w:rPr>
          <w:lang w:val="es-ES"/>
        </w:rPr>
        <w:t xml:space="preserve"> de barras cuyo paralaje varía a razón de 10'/s. Pueden</w:t>
      </w:r>
      <w:r>
        <w:rPr>
          <w:lang w:val="es-ES"/>
        </w:rPr>
        <w:t xml:space="preserve"> </w:t>
      </w:r>
      <w:r w:rsidRPr="00753032">
        <w:rPr>
          <w:lang w:val="es-ES"/>
        </w:rPr>
        <w:t xml:space="preserve">medirse los límites de fusión de las series ascendentes y descendentes. Se pide a los observadores que informen del momento en que detectan la ruptura de fusión, es decir, tan pronto como perciben imágenes dobles en las series ascendentes, así como de la recuperación de la fusión, es decir, tan pronto como perciben las imágenes </w:t>
      </w:r>
      <w:proofErr w:type="spellStart"/>
      <w:r w:rsidRPr="00753032">
        <w:rPr>
          <w:lang w:val="es-ES"/>
        </w:rPr>
        <w:t>dicópticas</w:t>
      </w:r>
      <w:proofErr w:type="spellEnd"/>
      <w:r w:rsidRPr="00753032">
        <w:rPr>
          <w:lang w:val="es-ES"/>
        </w:rPr>
        <w:t xml:space="preserve"> como una imagen única en las series descendentes.</w:t>
      </w:r>
    </w:p>
    <w:p w:rsidR="00315EFA" w:rsidRPr="00753032" w:rsidRDefault="00315EFA" w:rsidP="00315EFA">
      <w:pPr>
        <w:pStyle w:val="FigureNo"/>
        <w:rPr>
          <w:lang w:val="es-ES" w:eastAsia="ja-JP"/>
        </w:rPr>
      </w:pPr>
      <w:r w:rsidRPr="00753032">
        <w:rPr>
          <w:lang w:val="es-ES"/>
        </w:rPr>
        <w:lastRenderedPageBreak/>
        <w:t xml:space="preserve">FigurA </w:t>
      </w:r>
      <w:r w:rsidRPr="00753032">
        <w:rPr>
          <w:lang w:val="es-ES" w:eastAsia="ja-JP"/>
        </w:rPr>
        <w:t>1</w:t>
      </w:r>
      <w:r>
        <w:rPr>
          <w:lang w:val="es-ES" w:eastAsia="ja-JP"/>
        </w:rPr>
        <w:t>6</w:t>
      </w:r>
    </w:p>
    <w:p w:rsidR="00315EFA" w:rsidRDefault="00315EFA" w:rsidP="00315EFA">
      <w:pPr>
        <w:pStyle w:val="Figuretitle"/>
        <w:rPr>
          <w:lang w:val="es-ES" w:eastAsia="ja-JP"/>
        </w:rPr>
      </w:pPr>
      <w:r w:rsidRPr="00753032">
        <w:rPr>
          <w:lang w:val="es-ES"/>
        </w:rPr>
        <w:t xml:space="preserve">Diagrama de prueba para </w:t>
      </w:r>
      <w:r w:rsidRPr="00753032">
        <w:rPr>
          <w:lang w:val="es-ES" w:eastAsia="ja-JP"/>
        </w:rPr>
        <w:t>VT-05</w:t>
      </w:r>
    </w:p>
    <w:p w:rsidR="00315EFA" w:rsidRPr="00D263AF" w:rsidRDefault="00B92802" w:rsidP="00315EFA">
      <w:pPr>
        <w:pStyle w:val="Figure"/>
        <w:rPr>
          <w:lang w:val="es-ES" w:eastAsia="ja-JP"/>
        </w:rPr>
      </w:pPr>
      <w:r>
        <w:rPr>
          <w:lang w:val="es-ES" w:eastAsia="ja-JP"/>
        </w:rPr>
        <w:object w:dxaOrig="7264" w:dyaOrig="2453">
          <v:shape id="_x0000_i1192" type="#_x0000_t75" style="width:480.9pt;height:165.05pt" o:ole="">
            <v:imagedata r:id="rId49" o:title="" cropbottom="-2217f" cropright="-1130f"/>
          </v:shape>
          <o:OLEObject Type="Embed" ProgID="CorelDraw.Graphic.16" ShapeID="_x0000_i1192" DrawAspect="Content" ObjectID="_1535896646" r:id="rId50"/>
        </w:object>
      </w:r>
    </w:p>
    <w:p w:rsidR="00315EFA" w:rsidRPr="00753032" w:rsidRDefault="00315EFA" w:rsidP="00315EFA">
      <w:pPr>
        <w:pStyle w:val="Headingb"/>
        <w:rPr>
          <w:lang w:val="es-ES"/>
        </w:rPr>
      </w:pPr>
      <w:r w:rsidRPr="00753032">
        <w:rPr>
          <w:lang w:val="es-ES" w:eastAsia="ja-JP"/>
        </w:rPr>
        <w:t>6</w:t>
      </w:r>
      <w:r w:rsidRPr="00753032">
        <w:rPr>
          <w:lang w:val="es-ES"/>
        </w:rPr>
        <w:t>)</w:t>
      </w:r>
      <w:r w:rsidRPr="00753032">
        <w:rPr>
          <w:lang w:val="es-ES"/>
        </w:rPr>
        <w:tab/>
      </w:r>
      <w:r w:rsidRPr="00753032">
        <w:rPr>
          <w:i/>
          <w:iCs/>
          <w:lang w:val="es-ES"/>
        </w:rPr>
        <w:t>VT-06</w:t>
      </w:r>
      <w:r w:rsidRPr="00753032">
        <w:rPr>
          <w:lang w:val="es-ES"/>
        </w:rPr>
        <w:t>: Límite de fusión sin cruce (prueba de la barra)</w:t>
      </w:r>
    </w:p>
    <w:p w:rsidR="00315EFA" w:rsidRPr="00753032" w:rsidRDefault="00315EFA" w:rsidP="00315EFA">
      <w:pPr>
        <w:rPr>
          <w:lang w:val="es-ES"/>
        </w:rPr>
      </w:pPr>
      <w:r w:rsidRPr="00753032">
        <w:rPr>
          <w:lang w:val="es-ES"/>
        </w:rPr>
        <w:t xml:space="preserve">Prueba la capacidad de percibir imágenes presentadas de forma </w:t>
      </w:r>
      <w:proofErr w:type="spellStart"/>
      <w:r w:rsidRPr="00753032">
        <w:rPr>
          <w:lang w:val="es-ES"/>
        </w:rPr>
        <w:t>dicóptica</w:t>
      </w:r>
      <w:proofErr w:type="spellEnd"/>
      <w:r w:rsidRPr="00753032">
        <w:rPr>
          <w:lang w:val="es-ES"/>
        </w:rPr>
        <w:t xml:space="preserve"> con disparidades no cruzadas como una sola imagen. Las imágenes que se presentan son las mismas que en el caso cruzado anterior, pero se invierten las imágenes derecha e izquierda.</w:t>
      </w:r>
    </w:p>
    <w:p w:rsidR="00315EFA" w:rsidRPr="00753032" w:rsidRDefault="00315EFA" w:rsidP="00315EFA">
      <w:pPr>
        <w:pStyle w:val="FigureNo"/>
        <w:rPr>
          <w:lang w:val="es-ES" w:eastAsia="ja-JP"/>
        </w:rPr>
      </w:pPr>
      <w:r w:rsidRPr="00753032">
        <w:rPr>
          <w:lang w:val="es-ES"/>
        </w:rPr>
        <w:t xml:space="preserve">Figura </w:t>
      </w:r>
      <w:r w:rsidRPr="00753032">
        <w:rPr>
          <w:lang w:val="es-ES" w:eastAsia="ja-JP"/>
        </w:rPr>
        <w:t>1</w:t>
      </w:r>
      <w:r>
        <w:rPr>
          <w:lang w:val="es-ES" w:eastAsia="ja-JP"/>
        </w:rPr>
        <w:t>7</w:t>
      </w:r>
    </w:p>
    <w:p w:rsidR="00315EFA" w:rsidRDefault="00315EFA" w:rsidP="00315EFA">
      <w:pPr>
        <w:pStyle w:val="Figuretitle"/>
        <w:rPr>
          <w:lang w:val="es-ES" w:eastAsia="ja-JP"/>
        </w:rPr>
      </w:pPr>
      <w:r w:rsidRPr="00753032">
        <w:rPr>
          <w:lang w:val="es-ES"/>
        </w:rPr>
        <w:t xml:space="preserve">Diagrama de prueba para </w:t>
      </w:r>
      <w:r w:rsidRPr="00753032">
        <w:rPr>
          <w:lang w:val="es-ES" w:eastAsia="ja-JP"/>
        </w:rPr>
        <w:t>VT-06</w:t>
      </w:r>
    </w:p>
    <w:p w:rsidR="00315EFA" w:rsidRPr="00D263AF" w:rsidRDefault="00B92802" w:rsidP="00315EFA">
      <w:pPr>
        <w:pStyle w:val="Figure"/>
        <w:rPr>
          <w:lang w:val="es-ES" w:eastAsia="ja-JP"/>
        </w:rPr>
      </w:pPr>
      <w:r>
        <w:rPr>
          <w:lang w:val="es-ES" w:eastAsia="ja-JP"/>
        </w:rPr>
        <w:object w:dxaOrig="7263" w:dyaOrig="2453">
          <v:shape id="_x0000_i1041" type="#_x0000_t75" style="width:476.85pt;height:163pt" o:ole="">
            <v:imagedata r:id="rId51" o:title="" cropbottom="-1396f" cropright="-561f"/>
          </v:shape>
          <o:OLEObject Type="Embed" ProgID="CorelDraw.Graphic.16" ShapeID="_x0000_i1041" DrawAspect="Content" ObjectID="_1535896647" r:id="rId52"/>
        </w:object>
      </w:r>
    </w:p>
    <w:p w:rsidR="00315EFA" w:rsidRPr="00753032" w:rsidRDefault="00315EFA" w:rsidP="00315EFA">
      <w:pPr>
        <w:pStyle w:val="Headingb"/>
        <w:ind w:left="794" w:hanging="794"/>
        <w:rPr>
          <w:lang w:val="es-ES"/>
        </w:rPr>
      </w:pPr>
      <w:r w:rsidRPr="00753032">
        <w:rPr>
          <w:lang w:val="es-ES" w:eastAsia="ja-JP"/>
        </w:rPr>
        <w:t>7</w:t>
      </w:r>
      <w:r w:rsidRPr="00753032">
        <w:rPr>
          <w:lang w:val="es-ES"/>
        </w:rPr>
        <w:t>)</w:t>
      </w:r>
      <w:r w:rsidRPr="00753032">
        <w:rPr>
          <w:lang w:val="es-ES"/>
        </w:rPr>
        <w:tab/>
      </w:r>
      <w:r w:rsidRPr="00753032">
        <w:rPr>
          <w:i/>
          <w:iCs/>
          <w:lang w:val="es-ES"/>
        </w:rPr>
        <w:t>VT-07</w:t>
      </w:r>
      <w:r w:rsidRPr="00753032">
        <w:rPr>
          <w:lang w:val="es-ES"/>
        </w:rPr>
        <w:t xml:space="preserve">: </w:t>
      </w:r>
      <w:proofErr w:type="spellStart"/>
      <w:r w:rsidRPr="00753032">
        <w:rPr>
          <w:lang w:val="es-ES"/>
        </w:rPr>
        <w:t>Estereopsis</w:t>
      </w:r>
      <w:proofErr w:type="spellEnd"/>
      <w:r w:rsidRPr="00753032">
        <w:rPr>
          <w:lang w:val="es-ES"/>
        </w:rPr>
        <w:t xml:space="preserve"> dinámica (prueba del estereograma de puntos aleatorios dinámicos)</w:t>
      </w:r>
    </w:p>
    <w:p w:rsidR="00315EFA" w:rsidRPr="00753032" w:rsidRDefault="00315EFA" w:rsidP="00315EFA">
      <w:pPr>
        <w:rPr>
          <w:lang w:val="es-ES"/>
        </w:rPr>
      </w:pPr>
      <w:r w:rsidRPr="00753032">
        <w:rPr>
          <w:lang w:val="es-ES"/>
        </w:rPr>
        <w:t>Prueba la capacidad de percibir la profundidad en imágenes de un estereograma de puntos aleatorios en movimiento. Los observadores con visión normal pueden percibir una forma rectangular y un movimiento sinusoidal en profundidad en el estereograma de puntos aleatorios dinámicos.</w:t>
      </w:r>
    </w:p>
    <w:p w:rsidR="00315EFA" w:rsidRPr="00753032" w:rsidRDefault="00315EFA" w:rsidP="00315EFA">
      <w:pPr>
        <w:pStyle w:val="FigureNo"/>
        <w:rPr>
          <w:lang w:val="es-ES" w:eastAsia="ja-JP"/>
        </w:rPr>
      </w:pPr>
      <w:r w:rsidRPr="00753032">
        <w:rPr>
          <w:lang w:val="es-ES"/>
        </w:rPr>
        <w:lastRenderedPageBreak/>
        <w:t xml:space="preserve">Figura </w:t>
      </w:r>
      <w:r w:rsidRPr="00753032">
        <w:rPr>
          <w:lang w:val="es-ES" w:eastAsia="ja-JP"/>
        </w:rPr>
        <w:t>1</w:t>
      </w:r>
      <w:r>
        <w:rPr>
          <w:lang w:val="es-ES" w:eastAsia="ja-JP"/>
        </w:rPr>
        <w:t>8</w:t>
      </w:r>
    </w:p>
    <w:p w:rsidR="00315EFA" w:rsidRDefault="00315EFA" w:rsidP="00315EFA">
      <w:pPr>
        <w:pStyle w:val="Figuretitle"/>
        <w:rPr>
          <w:lang w:val="es-ES" w:eastAsia="ja-JP"/>
        </w:rPr>
      </w:pPr>
      <w:r w:rsidRPr="00753032">
        <w:rPr>
          <w:lang w:val="es-ES"/>
        </w:rPr>
        <w:t xml:space="preserve">Diagrama de prueba para </w:t>
      </w:r>
      <w:r w:rsidRPr="00753032">
        <w:rPr>
          <w:lang w:val="es-ES" w:eastAsia="ja-JP"/>
        </w:rPr>
        <w:t>VT-07</w:t>
      </w:r>
    </w:p>
    <w:p w:rsidR="00315EFA" w:rsidRPr="005760BD" w:rsidRDefault="00B92802" w:rsidP="00315EFA">
      <w:pPr>
        <w:pStyle w:val="Figure"/>
        <w:rPr>
          <w:lang w:val="es-ES" w:eastAsia="ja-JP"/>
        </w:rPr>
      </w:pPr>
      <w:r>
        <w:rPr>
          <w:lang w:val="es-ES" w:eastAsia="ja-JP"/>
        </w:rPr>
        <w:object w:dxaOrig="7263" w:dyaOrig="2453">
          <v:shape id="_x0000_i1042" type="#_x0000_t75" style="width:478.2pt;height:163pt" o:ole="">
            <v:imagedata r:id="rId53" o:title="" cropbottom="-1396f" cropright="-749f"/>
          </v:shape>
          <o:OLEObject Type="Embed" ProgID="CorelDraw.Graphic.16" ShapeID="_x0000_i1042" DrawAspect="Content" ObjectID="_1535896648" r:id="rId54"/>
        </w:object>
      </w:r>
    </w:p>
    <w:p w:rsidR="00315EFA" w:rsidRPr="00753032" w:rsidRDefault="00315EFA" w:rsidP="00315EFA">
      <w:pPr>
        <w:pStyle w:val="Headingb"/>
        <w:rPr>
          <w:lang w:val="es-ES"/>
        </w:rPr>
      </w:pPr>
      <w:r w:rsidRPr="00753032">
        <w:rPr>
          <w:lang w:val="es-ES" w:eastAsia="ja-JP"/>
        </w:rPr>
        <w:t>8</w:t>
      </w:r>
      <w:r w:rsidRPr="00753032">
        <w:rPr>
          <w:lang w:val="es-ES"/>
        </w:rPr>
        <w:t>)</w:t>
      </w:r>
      <w:r w:rsidRPr="00753032">
        <w:rPr>
          <w:lang w:val="es-ES"/>
        </w:rPr>
        <w:tab/>
      </w:r>
      <w:r w:rsidRPr="00753032">
        <w:rPr>
          <w:i/>
          <w:iCs/>
          <w:lang w:val="es-ES"/>
        </w:rPr>
        <w:t>VT-08</w:t>
      </w:r>
      <w:r w:rsidRPr="00753032">
        <w:rPr>
          <w:lang w:val="es-ES"/>
        </w:rPr>
        <w:t>: Agudeza binocular (prueba de agudeza)</w:t>
      </w:r>
    </w:p>
    <w:p w:rsidR="00315EFA" w:rsidRPr="00753032" w:rsidRDefault="00315EFA" w:rsidP="00315EFA">
      <w:pPr>
        <w:rPr>
          <w:lang w:val="es-ES"/>
        </w:rPr>
      </w:pPr>
      <w:r w:rsidRPr="00753032">
        <w:rPr>
          <w:lang w:val="es-ES"/>
        </w:rPr>
        <w:t xml:space="preserve">Prueba la agudeza binocular con fusión binocular, incluyendo cualquier asimetría de la agudeza monocular que pueda impedir una </w:t>
      </w:r>
      <w:proofErr w:type="spellStart"/>
      <w:r w:rsidRPr="00753032">
        <w:rPr>
          <w:lang w:val="es-ES"/>
        </w:rPr>
        <w:t>estereopsis</w:t>
      </w:r>
      <w:proofErr w:type="spellEnd"/>
      <w:r w:rsidRPr="00753032">
        <w:rPr>
          <w:lang w:val="es-ES"/>
        </w:rPr>
        <w:t xml:space="preserve"> adecuada. Las imágenes tienen cuatro columnas y cinco líneas que consisten en caracteres E con diversas orientaciones y tamaños. Las dos columnas centrales pueden verse con ambos ojos; las dos columnas de la izquierda sólo pueden verse con el ojo izquierdo y las dos columnas de la derecha sólo pueden verse con el ojo derecho. Los observadores con una visión normal pueden decir correctamente la orientación de los caracteres E. Los</w:t>
      </w:r>
      <w:r>
        <w:rPr>
          <w:lang w:val="es-ES"/>
        </w:rPr>
        <w:t xml:space="preserve"> </w:t>
      </w:r>
      <w:r w:rsidRPr="00753032">
        <w:rPr>
          <w:lang w:val="es-ES"/>
        </w:rPr>
        <w:t xml:space="preserve">tamaños de los caracteres se corresponden con agudezas de 1,0, 0,5, 0,33, 0,25 y 0,125 a 3 </w:t>
      </w:r>
      <w:r w:rsidRPr="00C71431">
        <w:rPr>
          <w:i/>
          <w:iCs/>
          <w:lang w:val="es-ES"/>
        </w:rPr>
        <w:t>H</w:t>
      </w:r>
      <w:r w:rsidRPr="00753032">
        <w:rPr>
          <w:lang w:val="es-ES"/>
        </w:rPr>
        <w:t>.</w:t>
      </w:r>
    </w:p>
    <w:p w:rsidR="00315EFA" w:rsidRPr="00753032" w:rsidRDefault="00315EFA" w:rsidP="00315EFA">
      <w:pPr>
        <w:pStyle w:val="FigureNo"/>
        <w:rPr>
          <w:lang w:val="es-ES" w:eastAsia="ja-JP"/>
        </w:rPr>
      </w:pPr>
      <w:r w:rsidRPr="00753032">
        <w:rPr>
          <w:lang w:val="es-ES"/>
        </w:rPr>
        <w:t>Figura 1</w:t>
      </w:r>
      <w:r>
        <w:rPr>
          <w:lang w:val="es-ES"/>
        </w:rPr>
        <w:t>9</w:t>
      </w:r>
    </w:p>
    <w:p w:rsidR="00315EFA" w:rsidRDefault="00315EFA" w:rsidP="00315EFA">
      <w:pPr>
        <w:pStyle w:val="Figuretitle"/>
        <w:rPr>
          <w:lang w:val="es-ES" w:eastAsia="ja-JP"/>
        </w:rPr>
      </w:pPr>
      <w:r w:rsidRPr="00753032">
        <w:rPr>
          <w:lang w:val="es-ES"/>
        </w:rPr>
        <w:t xml:space="preserve">Diagrama de prueba para </w:t>
      </w:r>
      <w:r w:rsidRPr="00753032">
        <w:rPr>
          <w:lang w:val="es-ES" w:eastAsia="ja-JP"/>
        </w:rPr>
        <w:t>VT-08</w:t>
      </w:r>
    </w:p>
    <w:p w:rsidR="00315EFA" w:rsidRPr="005760BD" w:rsidRDefault="00B92802" w:rsidP="00315EFA">
      <w:pPr>
        <w:pStyle w:val="Figure"/>
        <w:rPr>
          <w:lang w:val="es-ES" w:eastAsia="ja-JP"/>
        </w:rPr>
      </w:pPr>
      <w:r>
        <w:rPr>
          <w:lang w:val="es-ES" w:eastAsia="ja-JP"/>
        </w:rPr>
        <w:object w:dxaOrig="7263" w:dyaOrig="2453">
          <v:shape id="_x0000_i1043" type="#_x0000_t75" style="width:481.6pt;height:163.7pt;mso-position-vertical:absolute" o:ole="">
            <v:imagedata r:id="rId55" o:title="" cropbottom="-1684f" cropright="-1220f"/>
          </v:shape>
          <o:OLEObject Type="Embed" ProgID="CorelDraw.Graphic.16" ShapeID="_x0000_i1043" DrawAspect="Content" ObjectID="_1535896649" r:id="rId56"/>
        </w:object>
      </w:r>
    </w:p>
    <w:p w:rsidR="00315EFA" w:rsidRPr="00753032" w:rsidRDefault="00315EFA" w:rsidP="00315EFA">
      <w:pPr>
        <w:pStyle w:val="Headingb"/>
        <w:ind w:left="1191" w:hanging="1191"/>
        <w:rPr>
          <w:lang w:val="es-ES" w:eastAsia="ja-JP"/>
        </w:rPr>
      </w:pPr>
      <w:r w:rsidRPr="00753032">
        <w:rPr>
          <w:lang w:val="es-ES" w:eastAsia="ja-JP"/>
        </w:rPr>
        <w:t>9 y 10)</w:t>
      </w:r>
      <w:r w:rsidRPr="00753032">
        <w:rPr>
          <w:lang w:val="es-ES" w:eastAsia="ja-JP"/>
        </w:rPr>
        <w:tab/>
      </w:r>
      <w:r w:rsidRPr="00753032">
        <w:rPr>
          <w:lang w:val="es-ES" w:eastAsia="ja-JP"/>
        </w:rPr>
        <w:tab/>
      </w:r>
      <w:r w:rsidRPr="00753032">
        <w:rPr>
          <w:i/>
          <w:iCs/>
          <w:lang w:val="es-ES"/>
        </w:rPr>
        <w:t>VT-0</w:t>
      </w:r>
      <w:r w:rsidRPr="00753032">
        <w:rPr>
          <w:i/>
          <w:iCs/>
          <w:lang w:val="es-ES" w:eastAsia="ja-JP"/>
        </w:rPr>
        <w:t>9</w:t>
      </w:r>
      <w:r w:rsidRPr="00753032">
        <w:rPr>
          <w:lang w:val="es-ES"/>
        </w:rPr>
        <w:t xml:space="preserve">: Estrabismo horizontal </w:t>
      </w:r>
      <w:r w:rsidRPr="00753032">
        <w:rPr>
          <w:lang w:val="es-ES" w:eastAsia="ja-JP"/>
        </w:rPr>
        <w:t xml:space="preserve">(prueba horizontal de </w:t>
      </w:r>
      <w:proofErr w:type="spellStart"/>
      <w:r w:rsidRPr="00753032">
        <w:rPr>
          <w:lang w:val="es-ES" w:eastAsia="ja-JP"/>
        </w:rPr>
        <w:t>Maddox</w:t>
      </w:r>
      <w:proofErr w:type="spellEnd"/>
      <w:r w:rsidRPr="00753032">
        <w:rPr>
          <w:lang w:val="es-ES" w:eastAsia="ja-JP"/>
        </w:rPr>
        <w:t xml:space="preserve">) y </w:t>
      </w:r>
      <w:r w:rsidRPr="00753032">
        <w:rPr>
          <w:i/>
          <w:iCs/>
          <w:lang w:val="es-ES"/>
        </w:rPr>
        <w:t>VT-</w:t>
      </w:r>
      <w:r w:rsidRPr="00753032">
        <w:rPr>
          <w:i/>
          <w:iCs/>
          <w:lang w:val="es-ES" w:eastAsia="ja-JP"/>
        </w:rPr>
        <w:t>10</w:t>
      </w:r>
      <w:r w:rsidRPr="00753032">
        <w:rPr>
          <w:lang w:val="es-ES"/>
        </w:rPr>
        <w:t>:</w:t>
      </w:r>
      <w:r w:rsidRPr="00753032">
        <w:rPr>
          <w:lang w:val="es-ES" w:eastAsia="ja-JP"/>
        </w:rPr>
        <w:t xml:space="preserve"> Estrabismo vertical (prueba vertical de </w:t>
      </w:r>
      <w:proofErr w:type="spellStart"/>
      <w:r w:rsidRPr="00753032">
        <w:rPr>
          <w:lang w:val="es-ES" w:eastAsia="ja-JP"/>
        </w:rPr>
        <w:t>Maddox</w:t>
      </w:r>
      <w:proofErr w:type="spellEnd"/>
      <w:r w:rsidRPr="00753032">
        <w:rPr>
          <w:lang w:val="es-ES" w:eastAsia="ja-JP"/>
        </w:rPr>
        <w:t>)</w:t>
      </w:r>
    </w:p>
    <w:p w:rsidR="00315EFA" w:rsidRPr="00753032" w:rsidRDefault="00315EFA" w:rsidP="00315EFA">
      <w:pPr>
        <w:rPr>
          <w:lang w:val="es-ES" w:eastAsia="ja-JP"/>
        </w:rPr>
      </w:pPr>
      <w:r w:rsidRPr="00753032">
        <w:rPr>
          <w:lang w:val="es-ES" w:eastAsia="ja-JP"/>
        </w:rPr>
        <w:t xml:space="preserve">Estos diagramas miden la desviación horizontal y vertical del ojo. Los ejes visuales tienen una posición relativa entre ellos distinta, según las condiciones fisiológicas. Las imágenes constan de una línea vertical y otra horizontal. Los observadores con una visión normal perciben el punto de cruce de las líneas, aproximadamente, en el centro de las mismas. Los números junto a las marcas indican las dioptrías prismáticas para una distancia pupilar </w:t>
      </w:r>
      <w:r>
        <w:rPr>
          <w:lang w:val="es-ES" w:eastAsia="ja-JP"/>
        </w:rPr>
        <w:t xml:space="preserve">(PD) </w:t>
      </w:r>
      <w:r w:rsidRPr="00753032">
        <w:rPr>
          <w:lang w:val="es-ES" w:eastAsia="ja-JP"/>
        </w:rPr>
        <w:t xml:space="preserve">de 65 mm a 3,02 </w:t>
      </w:r>
      <w:r w:rsidRPr="00C71431">
        <w:rPr>
          <w:i/>
          <w:iCs/>
          <w:lang w:val="es-ES" w:eastAsia="ja-JP"/>
        </w:rPr>
        <w:t>H</w:t>
      </w:r>
      <w:r w:rsidRPr="00753032">
        <w:rPr>
          <w:lang w:val="es-ES" w:eastAsia="ja-JP"/>
        </w:rPr>
        <w:t>.</w:t>
      </w:r>
    </w:p>
    <w:p w:rsidR="00315EFA" w:rsidRPr="00753032" w:rsidRDefault="00315EFA" w:rsidP="00315EFA">
      <w:pPr>
        <w:pStyle w:val="FigureNo"/>
        <w:rPr>
          <w:lang w:val="es-ES" w:eastAsia="ja-JP"/>
        </w:rPr>
      </w:pPr>
      <w:r w:rsidRPr="00753032">
        <w:rPr>
          <w:lang w:val="es-ES" w:eastAsia="ja-JP"/>
        </w:rPr>
        <w:lastRenderedPageBreak/>
        <w:t xml:space="preserve">FIGURA </w:t>
      </w:r>
      <w:r>
        <w:rPr>
          <w:lang w:val="es-ES" w:eastAsia="ja-JP"/>
        </w:rPr>
        <w:t>20</w:t>
      </w:r>
    </w:p>
    <w:p w:rsidR="00315EFA" w:rsidRDefault="00315EFA" w:rsidP="00315EFA">
      <w:pPr>
        <w:pStyle w:val="Figuretitle"/>
        <w:rPr>
          <w:lang w:val="es-ES" w:eastAsia="ja-JP"/>
        </w:rPr>
      </w:pPr>
      <w:r w:rsidRPr="00753032">
        <w:rPr>
          <w:lang w:val="es-ES" w:eastAsia="ja-JP"/>
        </w:rPr>
        <w:t>Diagrama de prueba para VT-09</w:t>
      </w:r>
    </w:p>
    <w:p w:rsidR="00315EFA" w:rsidRPr="00FA65A2" w:rsidRDefault="00B92802" w:rsidP="00315EFA">
      <w:pPr>
        <w:pStyle w:val="Figure"/>
        <w:rPr>
          <w:lang w:val="es-ES" w:eastAsia="ja-JP"/>
        </w:rPr>
      </w:pPr>
      <w:r>
        <w:rPr>
          <w:lang w:val="es-ES" w:eastAsia="ja-JP"/>
        </w:rPr>
        <w:object w:dxaOrig="7264" w:dyaOrig="2219">
          <v:shape id="_x0000_i1205" type="#_x0000_t75" style="width:482.95pt;height:150.8pt" o:ole="">
            <v:imagedata r:id="rId57" o:title="" cropbottom="-2457f" cropright="-651f"/>
          </v:shape>
          <o:OLEObject Type="Embed" ProgID="CorelDraw.Graphic.16" ShapeID="_x0000_i1205" DrawAspect="Content" ObjectID="_1535896650" r:id="rId58"/>
        </w:object>
      </w:r>
    </w:p>
    <w:p w:rsidR="00315EFA" w:rsidRPr="00753032" w:rsidRDefault="00315EFA" w:rsidP="00315EFA">
      <w:pPr>
        <w:pStyle w:val="FigureNo"/>
        <w:rPr>
          <w:lang w:val="es-ES" w:eastAsia="ja-JP"/>
        </w:rPr>
      </w:pPr>
      <w:r w:rsidRPr="00753032">
        <w:rPr>
          <w:lang w:val="es-ES" w:eastAsia="ja-JP"/>
        </w:rPr>
        <w:t xml:space="preserve">FIGURA </w:t>
      </w:r>
      <w:r>
        <w:rPr>
          <w:lang w:val="es-ES" w:eastAsia="ja-JP"/>
        </w:rPr>
        <w:t>21</w:t>
      </w:r>
    </w:p>
    <w:p w:rsidR="00315EFA" w:rsidRDefault="00315EFA" w:rsidP="00315EFA">
      <w:pPr>
        <w:pStyle w:val="Figuretitle"/>
        <w:rPr>
          <w:lang w:val="es-ES" w:eastAsia="ja-JP"/>
        </w:rPr>
      </w:pPr>
      <w:r w:rsidRPr="00753032">
        <w:rPr>
          <w:lang w:val="es-ES" w:eastAsia="ja-JP"/>
        </w:rPr>
        <w:t>Diagrama de prueba para VT-10</w:t>
      </w:r>
    </w:p>
    <w:p w:rsidR="00315EFA" w:rsidRPr="0003531D" w:rsidRDefault="00B92802" w:rsidP="00315EFA">
      <w:pPr>
        <w:pStyle w:val="Figure"/>
        <w:rPr>
          <w:lang w:val="es-ES" w:eastAsia="ja-JP"/>
        </w:rPr>
      </w:pPr>
      <w:r>
        <w:rPr>
          <w:lang w:val="es-ES" w:eastAsia="ja-JP"/>
        </w:rPr>
        <w:object w:dxaOrig="7263" w:dyaOrig="2233">
          <v:shape id="_x0000_i1045" type="#_x0000_t75" style="width:478.85pt;height:149.45pt" o:ole="">
            <v:imagedata r:id="rId59" o:title="" cropbottom="-1526f" cropright="-754f"/>
          </v:shape>
          <o:OLEObject Type="Embed" ProgID="CorelDraw.Graphic.16" ShapeID="_x0000_i1045" DrawAspect="Content" ObjectID="_1535896651" r:id="rId60"/>
        </w:object>
      </w:r>
    </w:p>
    <w:p w:rsidR="00315EFA" w:rsidRPr="00753032" w:rsidRDefault="00315EFA" w:rsidP="00315EFA">
      <w:pPr>
        <w:pStyle w:val="Headingb"/>
        <w:rPr>
          <w:lang w:val="es-ES" w:eastAsia="ja-JP"/>
        </w:rPr>
      </w:pPr>
      <w:r w:rsidRPr="00753032">
        <w:rPr>
          <w:lang w:val="es-ES" w:eastAsia="ja-JP"/>
        </w:rPr>
        <w:t>11)</w:t>
      </w:r>
      <w:r w:rsidRPr="00753032">
        <w:rPr>
          <w:lang w:val="es-ES" w:eastAsia="ja-JP"/>
        </w:rPr>
        <w:tab/>
      </w:r>
      <w:r w:rsidRPr="00753032">
        <w:rPr>
          <w:i/>
          <w:iCs/>
          <w:lang w:val="es-ES"/>
        </w:rPr>
        <w:t>VT-11</w:t>
      </w:r>
      <w:r w:rsidRPr="00753032">
        <w:rPr>
          <w:lang w:val="es-ES"/>
        </w:rPr>
        <w:t xml:space="preserve">: </w:t>
      </w:r>
      <w:proofErr w:type="spellStart"/>
      <w:r w:rsidRPr="00753032">
        <w:rPr>
          <w:lang w:val="es-ES" w:eastAsia="ja-JP"/>
        </w:rPr>
        <w:t>Aniseiconia</w:t>
      </w:r>
      <w:proofErr w:type="spellEnd"/>
      <w:r w:rsidRPr="00753032">
        <w:rPr>
          <w:lang w:val="es-ES" w:eastAsia="ja-JP"/>
        </w:rPr>
        <w:t xml:space="preserve"> (</w:t>
      </w:r>
      <w:r>
        <w:rPr>
          <w:lang w:val="es-ES" w:eastAsia="ja-JP"/>
        </w:rPr>
        <w:t>«</w:t>
      </w:r>
      <w:r w:rsidRPr="00753032">
        <w:rPr>
          <w:lang w:val="es-ES" w:eastAsia="ja-JP"/>
        </w:rPr>
        <w:t>[ ]</w:t>
      </w:r>
      <w:r>
        <w:rPr>
          <w:lang w:val="es-ES" w:eastAsia="ja-JP"/>
        </w:rPr>
        <w:t>»</w:t>
      </w:r>
      <w:r w:rsidRPr="00753032">
        <w:rPr>
          <w:lang w:val="es-ES" w:eastAsia="ja-JP"/>
        </w:rPr>
        <w:t>prueba de caracteres)</w:t>
      </w:r>
    </w:p>
    <w:p w:rsidR="00315EFA" w:rsidRPr="00753032" w:rsidRDefault="00315EFA" w:rsidP="00315EFA">
      <w:pPr>
        <w:rPr>
          <w:lang w:val="es-ES" w:eastAsia="ja-JP"/>
        </w:rPr>
      </w:pPr>
      <w:r w:rsidRPr="00753032">
        <w:rPr>
          <w:lang w:val="es-ES" w:eastAsia="ja-JP"/>
        </w:rPr>
        <w:t xml:space="preserve">Condición en la que la imagen ocular de un objeto visto por un ojo difiere en forma y tamaño de la vista por el otro ojo. La imagen izquierda consiste en caracteres </w:t>
      </w:r>
      <w:r>
        <w:rPr>
          <w:lang w:val="es-ES" w:eastAsia="ja-JP"/>
        </w:rPr>
        <w:t>«</w:t>
      </w:r>
      <w:r w:rsidRPr="00753032">
        <w:rPr>
          <w:lang w:val="es-ES" w:eastAsia="ja-JP"/>
        </w:rPr>
        <w:t>[o</w:t>
      </w:r>
      <w:r>
        <w:rPr>
          <w:lang w:val="es-ES" w:eastAsia="ja-JP"/>
        </w:rPr>
        <w:t>»</w:t>
      </w:r>
      <w:r w:rsidRPr="00753032">
        <w:rPr>
          <w:lang w:val="es-ES" w:eastAsia="ja-JP"/>
        </w:rPr>
        <w:t xml:space="preserve"> y la derecha consiste en caracteres </w:t>
      </w:r>
      <w:r>
        <w:rPr>
          <w:lang w:val="es-ES" w:eastAsia="ja-JP"/>
        </w:rPr>
        <w:t>«</w:t>
      </w:r>
      <w:r w:rsidRPr="00753032">
        <w:rPr>
          <w:lang w:val="es-ES" w:eastAsia="ja-JP"/>
        </w:rPr>
        <w:t>o]</w:t>
      </w:r>
      <w:r>
        <w:rPr>
          <w:lang w:val="es-ES" w:eastAsia="ja-JP"/>
        </w:rPr>
        <w:t>»</w:t>
      </w:r>
      <w:r w:rsidRPr="00753032">
        <w:rPr>
          <w:lang w:val="es-ES" w:eastAsia="ja-JP"/>
        </w:rPr>
        <w:t xml:space="preserve">, donde el carácter </w:t>
      </w:r>
      <w:r>
        <w:rPr>
          <w:lang w:val="es-ES" w:eastAsia="ja-JP"/>
        </w:rPr>
        <w:t>«</w:t>
      </w:r>
      <w:r w:rsidRPr="00753032">
        <w:rPr>
          <w:lang w:val="es-ES" w:eastAsia="ja-JP"/>
        </w:rPr>
        <w:t>o</w:t>
      </w:r>
      <w:r>
        <w:rPr>
          <w:lang w:val="es-ES" w:eastAsia="ja-JP"/>
        </w:rPr>
        <w:t>»</w:t>
      </w:r>
      <w:r w:rsidRPr="00753032">
        <w:rPr>
          <w:lang w:val="es-ES" w:eastAsia="ja-JP"/>
        </w:rPr>
        <w:t xml:space="preserve"> tiene la misma posición en ambas.</w:t>
      </w:r>
      <w:r w:rsidRPr="00753032">
        <w:rPr>
          <w:lang w:val="es-ES"/>
        </w:rPr>
        <w:t xml:space="preserve"> </w:t>
      </w:r>
      <w:r w:rsidRPr="00753032">
        <w:rPr>
          <w:lang w:val="es-ES" w:eastAsia="ja-JP"/>
        </w:rPr>
        <w:t xml:space="preserve">Los observadores con una visión normal perciben los caracteres </w:t>
      </w:r>
      <w:r>
        <w:rPr>
          <w:lang w:val="es-ES" w:eastAsia="ja-JP"/>
        </w:rPr>
        <w:t>«</w:t>
      </w:r>
      <w:r w:rsidRPr="00753032">
        <w:rPr>
          <w:lang w:val="es-ES" w:eastAsia="ja-JP"/>
        </w:rPr>
        <w:t>[</w:t>
      </w:r>
      <w:r>
        <w:rPr>
          <w:lang w:val="es-ES" w:eastAsia="ja-JP"/>
        </w:rPr>
        <w:t>»</w:t>
      </w:r>
      <w:r w:rsidRPr="00753032">
        <w:rPr>
          <w:lang w:val="es-ES" w:eastAsia="ja-JP"/>
        </w:rPr>
        <w:t xml:space="preserve"> y </w:t>
      </w:r>
      <w:r>
        <w:rPr>
          <w:lang w:val="es-ES" w:eastAsia="ja-JP"/>
        </w:rPr>
        <w:t>«</w:t>
      </w:r>
      <w:r w:rsidRPr="00753032">
        <w:rPr>
          <w:lang w:val="es-ES" w:eastAsia="ja-JP"/>
        </w:rPr>
        <w:t>]</w:t>
      </w:r>
      <w:r>
        <w:rPr>
          <w:lang w:val="es-ES" w:eastAsia="ja-JP"/>
        </w:rPr>
        <w:t>»</w:t>
      </w:r>
      <w:r w:rsidRPr="00753032">
        <w:rPr>
          <w:lang w:val="es-ES" w:eastAsia="ja-JP"/>
        </w:rPr>
        <w:t xml:space="preserve"> con el mismo tamaño y la misma altura.</w:t>
      </w:r>
    </w:p>
    <w:p w:rsidR="00315EFA" w:rsidRPr="00753032" w:rsidRDefault="00315EFA" w:rsidP="00315EFA">
      <w:pPr>
        <w:pStyle w:val="FigureNo"/>
        <w:rPr>
          <w:lang w:val="es-ES" w:eastAsia="ja-JP"/>
        </w:rPr>
      </w:pPr>
      <w:r w:rsidRPr="00753032">
        <w:rPr>
          <w:lang w:val="es-ES" w:eastAsia="ja-JP"/>
        </w:rPr>
        <w:t xml:space="preserve">FIGURA </w:t>
      </w:r>
      <w:r>
        <w:rPr>
          <w:lang w:val="es-ES" w:eastAsia="ja-JP"/>
        </w:rPr>
        <w:t>22</w:t>
      </w:r>
    </w:p>
    <w:p w:rsidR="00315EFA" w:rsidRDefault="00315EFA" w:rsidP="00315EFA">
      <w:pPr>
        <w:pStyle w:val="Figuretitle"/>
        <w:rPr>
          <w:lang w:val="es-ES" w:eastAsia="ja-JP"/>
        </w:rPr>
      </w:pPr>
      <w:r w:rsidRPr="00753032">
        <w:rPr>
          <w:lang w:val="es-ES" w:eastAsia="ja-JP"/>
        </w:rPr>
        <w:t>Diagrama de prueba para VT-11</w:t>
      </w:r>
    </w:p>
    <w:p w:rsidR="00315EFA" w:rsidRPr="00741502" w:rsidRDefault="00B92802" w:rsidP="00315EFA">
      <w:pPr>
        <w:pStyle w:val="Figure"/>
        <w:rPr>
          <w:lang w:val="es-ES" w:eastAsia="ja-JP"/>
        </w:rPr>
      </w:pPr>
      <w:r>
        <w:rPr>
          <w:lang w:val="es-ES" w:eastAsia="ja-JP"/>
        </w:rPr>
        <w:object w:dxaOrig="7263" w:dyaOrig="2229">
          <v:shape id="_x0000_i1046" type="#_x0000_t75" style="width:479.55pt;height:148.75pt" o:ole="">
            <v:imagedata r:id="rId61" o:title="" cropbottom="-1533f" cropright="-663f"/>
          </v:shape>
          <o:OLEObject Type="Embed" ProgID="CorelDraw.Graphic.16" ShapeID="_x0000_i1046" DrawAspect="Content" ObjectID="_1535896652" r:id="rId62"/>
        </w:object>
      </w:r>
    </w:p>
    <w:p w:rsidR="00315EFA" w:rsidRPr="00753032" w:rsidRDefault="00315EFA" w:rsidP="00315EFA">
      <w:pPr>
        <w:pStyle w:val="Headingb"/>
        <w:rPr>
          <w:lang w:val="es-ES" w:eastAsia="ja-JP"/>
        </w:rPr>
      </w:pPr>
      <w:r w:rsidRPr="00753032">
        <w:rPr>
          <w:lang w:val="es-ES" w:eastAsia="ja-JP"/>
        </w:rPr>
        <w:lastRenderedPageBreak/>
        <w:t>12)</w:t>
      </w:r>
      <w:r w:rsidRPr="00753032">
        <w:rPr>
          <w:lang w:val="es-ES" w:eastAsia="ja-JP"/>
        </w:rPr>
        <w:tab/>
      </w:r>
      <w:r w:rsidRPr="00753032">
        <w:rPr>
          <w:i/>
          <w:iCs/>
          <w:lang w:val="es-ES"/>
        </w:rPr>
        <w:t>VT-</w:t>
      </w:r>
      <w:r w:rsidRPr="00753032">
        <w:rPr>
          <w:i/>
          <w:iCs/>
          <w:lang w:val="es-ES" w:eastAsia="ja-JP"/>
        </w:rPr>
        <w:t>12</w:t>
      </w:r>
      <w:r w:rsidRPr="00753032">
        <w:rPr>
          <w:lang w:val="es-ES"/>
        </w:rPr>
        <w:t xml:space="preserve">: </w:t>
      </w:r>
      <w:proofErr w:type="spellStart"/>
      <w:r w:rsidRPr="00753032">
        <w:rPr>
          <w:lang w:val="es-ES" w:eastAsia="ja-JP"/>
        </w:rPr>
        <w:t>Cyclophoria</w:t>
      </w:r>
      <w:proofErr w:type="spellEnd"/>
      <w:r w:rsidRPr="00753032">
        <w:rPr>
          <w:lang w:val="es-ES" w:eastAsia="ja-JP"/>
        </w:rPr>
        <w:t xml:space="preserve"> (prueba del reloj)</w:t>
      </w:r>
    </w:p>
    <w:p w:rsidR="00315EFA" w:rsidRPr="00753032" w:rsidRDefault="00315EFA" w:rsidP="00315EFA">
      <w:pPr>
        <w:rPr>
          <w:lang w:val="es-ES" w:eastAsia="ja-JP"/>
        </w:rPr>
      </w:pPr>
      <w:r w:rsidRPr="00753032">
        <w:rPr>
          <w:lang w:val="es-ES" w:eastAsia="ja-JP"/>
        </w:rPr>
        <w:t>Desviación de uno de los ojos alrededor del eje anteroposterior cuando se evita la fusión.</w:t>
      </w:r>
      <w:r w:rsidRPr="00753032">
        <w:rPr>
          <w:lang w:val="es-ES"/>
        </w:rPr>
        <w:t xml:space="preserve"> </w:t>
      </w:r>
      <w:r w:rsidRPr="00753032">
        <w:rPr>
          <w:lang w:val="es-ES" w:eastAsia="ja-JP"/>
        </w:rPr>
        <w:t>La imagen izquierda consiste en la superficie de un reloj y la derecha en las manecillas del reloj marcando las seis en punto.</w:t>
      </w:r>
    </w:p>
    <w:p w:rsidR="00315EFA" w:rsidRPr="00753032" w:rsidRDefault="00315EFA" w:rsidP="00315EFA">
      <w:pPr>
        <w:pStyle w:val="FigureNo"/>
        <w:rPr>
          <w:lang w:val="es-ES" w:eastAsia="ja-JP"/>
        </w:rPr>
      </w:pPr>
      <w:r w:rsidRPr="00753032">
        <w:rPr>
          <w:lang w:val="es-ES" w:eastAsia="ja-JP"/>
        </w:rPr>
        <w:t xml:space="preserve">FIGURA </w:t>
      </w:r>
      <w:r>
        <w:rPr>
          <w:lang w:val="es-ES" w:eastAsia="ja-JP"/>
        </w:rPr>
        <w:t>23</w:t>
      </w:r>
    </w:p>
    <w:p w:rsidR="00315EFA" w:rsidRDefault="00315EFA" w:rsidP="00315EFA">
      <w:pPr>
        <w:pStyle w:val="Figuretitle"/>
        <w:rPr>
          <w:lang w:val="es-ES" w:eastAsia="ja-JP"/>
        </w:rPr>
      </w:pPr>
      <w:r w:rsidRPr="00753032">
        <w:rPr>
          <w:lang w:val="es-ES" w:eastAsia="ja-JP"/>
        </w:rPr>
        <w:t>Diagrama de prueba para VT-12</w:t>
      </w:r>
    </w:p>
    <w:p w:rsidR="00315EFA" w:rsidRPr="00741502" w:rsidRDefault="00EF78E6" w:rsidP="00315EFA">
      <w:pPr>
        <w:pStyle w:val="Figure"/>
        <w:rPr>
          <w:lang w:val="es-ES" w:eastAsia="ja-JP"/>
        </w:rPr>
      </w:pPr>
      <w:r>
        <w:rPr>
          <w:lang w:val="es-ES" w:eastAsia="ja-JP"/>
        </w:rPr>
        <w:object w:dxaOrig="7263" w:dyaOrig="2240">
          <v:shape id="_x0000_i1213" type="#_x0000_t75" style="width:478.85pt;height:146.05pt" o:ole="">
            <v:imagedata r:id="rId63" o:title="" cropright="-754f"/>
          </v:shape>
          <o:OLEObject Type="Embed" ProgID="CorelDraw.Graphic.16" ShapeID="_x0000_i1213" DrawAspect="Content" ObjectID="_1535896653" r:id="rId64"/>
        </w:object>
      </w:r>
    </w:p>
    <w:p w:rsidR="00315EFA" w:rsidRDefault="00315EFA" w:rsidP="00315EFA">
      <w:pPr>
        <w:pStyle w:val="Reasons"/>
      </w:pPr>
    </w:p>
    <w:p w:rsidR="00315EFA" w:rsidRDefault="00315EFA" w:rsidP="00315EFA">
      <w:pPr>
        <w:jc w:val="center"/>
      </w:pPr>
      <w:r>
        <w:t>______________</w:t>
      </w:r>
    </w:p>
    <w:p w:rsidR="00F77F28" w:rsidRDefault="00F77F28" w:rsidP="00344123">
      <w:pPr>
        <w:pStyle w:val="RecNo"/>
        <w:spacing w:before="0"/>
        <w:rPr>
          <w:lang w:val="es-ES_tradnl"/>
        </w:rPr>
      </w:pPr>
    </w:p>
    <w:sectPr w:rsidR="00F77F28" w:rsidSect="00344123">
      <w:headerReference w:type="even" r:id="rId65"/>
      <w:headerReference w:type="default" r:id="rId6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98C" w:rsidRDefault="00AE798C">
      <w:r>
        <w:separator/>
      </w:r>
    </w:p>
  </w:endnote>
  <w:endnote w:type="continuationSeparator" w:id="0">
    <w:p w:rsidR="00AE798C" w:rsidRDefault="00AE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98C" w:rsidRDefault="00AE798C">
      <w:r>
        <w:separator/>
      </w:r>
    </w:p>
  </w:footnote>
  <w:footnote w:type="continuationSeparator" w:id="0">
    <w:p w:rsidR="00AE798C" w:rsidRDefault="00AE798C">
      <w:r>
        <w:continuationSeparator/>
      </w:r>
    </w:p>
  </w:footnote>
  <w:footnote w:id="1">
    <w:p w:rsidR="00315EFA" w:rsidRPr="005716AA" w:rsidRDefault="00315EFA" w:rsidP="00315EFA">
      <w:pPr>
        <w:pStyle w:val="FootnoteText"/>
        <w:rPr>
          <w:lang w:val="es-ES_tradnl"/>
        </w:rPr>
      </w:pPr>
      <w:r>
        <w:rPr>
          <w:rStyle w:val="FootnoteReference"/>
        </w:rPr>
        <w:footnoteRef/>
      </w:r>
      <w:r>
        <w:rPr>
          <w:lang w:val="es-ES"/>
        </w:rPr>
        <w:tab/>
      </w:r>
      <w:r>
        <w:rPr>
          <w:lang w:val="es-ES_tradnl"/>
        </w:rPr>
        <w:t xml:space="preserve">Algunos investigadores han abogado por la utilización de secuencias más largas en base al supuesto de que la apreciación plena de un contenido estereoscópico necesita más tiempo que la apreciación de un contenido </w:t>
      </w:r>
      <w:proofErr w:type="spellStart"/>
      <w:r>
        <w:rPr>
          <w:lang w:val="es-ES_tradnl"/>
        </w:rPr>
        <w:t>monoscópico</w:t>
      </w:r>
      <w:proofErr w:type="spellEnd"/>
      <w:r>
        <w:rPr>
          <w:lang w:val="es-ES_tradnl"/>
        </w:rPr>
        <w:t xml:space="preserve"> normal (2D). Hasta la fecha, existe escasa evidencia empírica a favor o en contra de dicho argumento.</w:t>
      </w:r>
    </w:p>
  </w:footnote>
  <w:footnote w:id="2">
    <w:p w:rsidR="00315EFA" w:rsidRPr="00C226C0" w:rsidRDefault="00315EFA" w:rsidP="00315EFA">
      <w:pPr>
        <w:pStyle w:val="FootnoteText"/>
        <w:rPr>
          <w:lang w:val="es-ES_tradnl"/>
        </w:rPr>
      </w:pPr>
      <w:r>
        <w:rPr>
          <w:rStyle w:val="FootnoteReference"/>
        </w:rPr>
        <w:footnoteRef/>
      </w:r>
      <w:r>
        <w:rPr>
          <w:lang w:val="es-ES"/>
        </w:rPr>
        <w:tab/>
        <w:t>La t</w:t>
      </w:r>
      <w:proofErr w:type="spellStart"/>
      <w:r>
        <w:rPr>
          <w:lang w:val="es-ES_tradnl"/>
        </w:rPr>
        <w:t>ransparencia</w:t>
      </w:r>
      <w:proofErr w:type="spellEnd"/>
      <w:r>
        <w:rPr>
          <w:lang w:val="es-ES_tradnl"/>
        </w:rPr>
        <w:t xml:space="preserve"> (fidelidad) es un concepto que describe la calidad de funcionamiento de un códec o de un sistema en relación con un sistema de transmisión ideal sin degradación. Es fácil ver que la transparencia puede medirse comparando las apreciaciones asignadas a la secuencia de referencia con las asignadas a la secuencia procesada con el algoritmo o la tecnología investigada.</w:t>
      </w:r>
    </w:p>
  </w:footnote>
  <w:footnote w:id="3">
    <w:p w:rsidR="00315EFA" w:rsidRPr="001C78C3" w:rsidRDefault="00315EFA" w:rsidP="00315EFA">
      <w:pPr>
        <w:pStyle w:val="FootnoteText"/>
        <w:rPr>
          <w:lang w:val="es-ES_tradnl"/>
        </w:rPr>
      </w:pPr>
      <w:r>
        <w:rPr>
          <w:rStyle w:val="FootnoteReference"/>
        </w:rPr>
        <w:footnoteRef/>
      </w:r>
      <w:r>
        <w:rPr>
          <w:lang w:val="es-ES"/>
        </w:rPr>
        <w:tab/>
      </w:r>
      <w:r>
        <w:rPr>
          <w:lang w:val="es-ES_tradnl"/>
        </w:rPr>
        <w:t xml:space="preserve">Se reconoce que la estabilidad de las apreciaciones en el espacio (es decir, realizadas en distintos laboratorios) y en el tiempo (es decir, realizadas en el mismo laboratorio pero en momentos diferentes) también puede mejorarse utilizando anclajes de baja calidad. No obstante, la UIT tiene planes para definir de forma inminente anclajes de baja calidad para la evaluación de tecnologías de imágenes estereoscópicas.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CC6858" w:rsidP="009E1F8B">
    <w:pPr>
      <w:pStyle w:val="Header"/>
      <w:ind w:right="360" w:firstLine="360"/>
    </w:pPr>
    <w:r>
      <w:rPr>
        <w:noProof/>
        <w:lang w:val="en-GB" w:eastAsia="zh-CN"/>
      </w:rPr>
      <w:drawing>
        <wp:anchor distT="0" distB="0" distL="114300" distR="114300" simplePos="0" relativeHeight="25165670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rsidP="00091138">
    <w:pPr>
      <w:pStyle w:val="Header"/>
      <w:jc w:val="both"/>
    </w:pPr>
    <w:r>
      <w:rPr>
        <w:rStyle w:val="PageNumber"/>
        <w:b/>
        <w:bCs/>
      </w:rPr>
      <w:fldChar w:fldCharType="begin"/>
    </w:r>
    <w:r w:rsidR="00987473">
      <w:rPr>
        <w:rStyle w:val="PageNumber"/>
        <w:b/>
        <w:bCs/>
      </w:rPr>
      <w:instrText xml:space="preserve"> PAGE </w:instrText>
    </w:r>
    <w:r>
      <w:rPr>
        <w:rStyle w:val="PageNumber"/>
        <w:b/>
        <w:bCs/>
      </w:rPr>
      <w:fldChar w:fldCharType="separate"/>
    </w:r>
    <w:r w:rsidR="00AA2076">
      <w:rPr>
        <w:rStyle w:val="PageNumber"/>
        <w:b/>
        <w:bCs/>
        <w:noProof/>
      </w:rPr>
      <w:t>ii</w:t>
    </w:r>
    <w:r>
      <w:rPr>
        <w:rStyle w:val="PageNumber"/>
        <w:b/>
        <w:bCs/>
      </w:rPr>
      <w:fldChar w:fldCharType="end"/>
    </w:r>
    <w:r w:rsidR="00987473">
      <w:tab/>
    </w:r>
    <w:fldSimple w:instr=" DOCPROPERTY &quot;Header&quot; \* MERGEFORMAT ">
      <w:r w:rsidR="00AA2076" w:rsidRPr="00AA2076">
        <w:rPr>
          <w:b/>
          <w:bCs/>
        </w:rPr>
        <w:t xml:space="preserve">Rec. </w:t>
      </w:r>
    </w:fldSimple>
    <w:r w:rsidR="00987473">
      <w:rPr>
        <w:b/>
        <w:bCs/>
      </w:rPr>
      <w:t xml:space="preserve"> </w:t>
    </w:r>
    <w:r>
      <w:rPr>
        <w:b/>
        <w:bCs/>
      </w:rPr>
      <w:fldChar w:fldCharType="begin"/>
    </w:r>
    <w:r w:rsidR="00987473">
      <w:rPr>
        <w:b/>
        <w:bCs/>
      </w:rPr>
      <w:instrText>styleref href</w:instrText>
    </w:r>
    <w:r>
      <w:rPr>
        <w:b/>
        <w:bCs/>
      </w:rPr>
      <w:fldChar w:fldCharType="separate"/>
    </w:r>
    <w:r w:rsidR="00AA2076">
      <w:rPr>
        <w:b/>
        <w:bCs/>
        <w:noProof/>
      </w:rPr>
      <w:t>UIT-R  BT.2021-1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fldSimple w:instr=" DOCPROPERTY &quot;Header&quot; \* MERGEFORMAT ">
      <w:r w:rsidR="00AA2076" w:rsidRPr="00AA2076">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AA2076">
      <w:rPr>
        <w:b/>
        <w:bCs/>
        <w:noProof/>
      </w:rPr>
      <w:t>UIT-R  BT.2021-1</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Pr>
        <w:rStyle w:val="PageNumber"/>
        <w:b/>
        <w:bCs/>
        <w:noProof/>
      </w:rPr>
      <w:t>3</w:t>
    </w:r>
    <w:r w:rsidR="00F35BEB">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F35BEB">
    <w:pPr>
      <w:pStyle w:val="Header"/>
      <w:jc w:val="left"/>
      <w:rPr>
        <w:lang w:val="en-US"/>
      </w:rPr>
    </w:pPr>
    <w:r>
      <w:rPr>
        <w:rStyle w:val="PageNumber"/>
        <w:b/>
        <w:bCs/>
      </w:rPr>
      <w:fldChar w:fldCharType="begin"/>
    </w:r>
    <w:r w:rsidR="00987473">
      <w:rPr>
        <w:rStyle w:val="PageNumber"/>
        <w:b/>
        <w:bCs/>
        <w:lang w:val="en-US"/>
      </w:rPr>
      <w:instrText xml:space="preserve"> PAGE </w:instrText>
    </w:r>
    <w:r>
      <w:rPr>
        <w:rStyle w:val="PageNumber"/>
        <w:b/>
        <w:bCs/>
      </w:rPr>
      <w:fldChar w:fldCharType="separate"/>
    </w:r>
    <w:r w:rsidR="00AA2076">
      <w:rPr>
        <w:rStyle w:val="PageNumber"/>
        <w:b/>
        <w:bCs/>
        <w:noProof/>
        <w:lang w:val="en-US"/>
      </w:rPr>
      <w:t>2</w:t>
    </w:r>
    <w:r>
      <w:rPr>
        <w:rStyle w:val="PageNumber"/>
        <w:b/>
        <w:bCs/>
      </w:rPr>
      <w:fldChar w:fldCharType="end"/>
    </w:r>
    <w:r w:rsidR="00987473">
      <w:rPr>
        <w:lang w:val="en-US"/>
      </w:rPr>
      <w:tab/>
    </w:r>
    <w:fldSimple w:instr=" DOCPROPERTY &quot;Header&quot; \* MERGEFORMAT ">
      <w:r w:rsidR="00AA2076" w:rsidRPr="00AA2076">
        <w:rPr>
          <w:b/>
          <w:bCs/>
          <w:lang w:val="en-US"/>
        </w:rPr>
        <w:t xml:space="preserve">Rec. </w:t>
      </w:r>
    </w:fldSimple>
    <w:r w:rsidR="00987473">
      <w:rPr>
        <w:b/>
        <w:bCs/>
      </w:rPr>
      <w:t xml:space="preserve"> </w:t>
    </w:r>
    <w:r>
      <w:rPr>
        <w:b/>
        <w:bCs/>
      </w:rPr>
      <w:fldChar w:fldCharType="begin"/>
    </w:r>
    <w:r w:rsidR="00987473">
      <w:rPr>
        <w:b/>
        <w:bCs/>
        <w:lang w:val="en-US"/>
      </w:rPr>
      <w:instrText>styleref href</w:instrText>
    </w:r>
    <w:r>
      <w:rPr>
        <w:b/>
        <w:bCs/>
      </w:rPr>
      <w:fldChar w:fldCharType="separate"/>
    </w:r>
    <w:r w:rsidR="00AA2076">
      <w:rPr>
        <w:b/>
        <w:bCs/>
        <w:noProof/>
      </w:rPr>
      <w:t>UIT-R  BT.2021-1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473" w:rsidRDefault="00987473">
    <w:pPr>
      <w:pStyle w:val="Header"/>
    </w:pPr>
    <w:r>
      <w:tab/>
    </w:r>
    <w:fldSimple w:instr=" DOCPROPERTY &quot;Header&quot; \* MERGEFORMAT ">
      <w:r w:rsidR="00AA2076" w:rsidRPr="00AA2076">
        <w:rPr>
          <w:b/>
          <w:bCs/>
        </w:rPr>
        <w:t xml:space="preserve">Rec. </w:t>
      </w:r>
    </w:fldSimple>
    <w:r>
      <w:rPr>
        <w:b/>
        <w:bCs/>
      </w:rPr>
      <w:t xml:space="preserve"> </w:t>
    </w:r>
    <w:r w:rsidR="00F35BEB">
      <w:rPr>
        <w:b/>
        <w:bCs/>
      </w:rPr>
      <w:fldChar w:fldCharType="begin"/>
    </w:r>
    <w:r>
      <w:rPr>
        <w:b/>
        <w:bCs/>
      </w:rPr>
      <w:instrText>styleref href</w:instrText>
    </w:r>
    <w:r w:rsidR="00F35BEB">
      <w:rPr>
        <w:b/>
        <w:bCs/>
      </w:rPr>
      <w:fldChar w:fldCharType="separate"/>
    </w:r>
    <w:r w:rsidR="00AA2076">
      <w:rPr>
        <w:b/>
        <w:bCs/>
        <w:noProof/>
      </w:rPr>
      <w:t>UIT-R  BT.2021-1</w:t>
    </w:r>
    <w:r w:rsidR="00F35BEB">
      <w:rPr>
        <w:b/>
        <w:bCs/>
      </w:rPr>
      <w:fldChar w:fldCharType="end"/>
    </w:r>
    <w:r>
      <w:tab/>
    </w:r>
    <w:r w:rsidR="00F35BEB">
      <w:rPr>
        <w:rStyle w:val="PageNumber"/>
        <w:b/>
        <w:bCs/>
      </w:rPr>
      <w:fldChar w:fldCharType="begin"/>
    </w:r>
    <w:r>
      <w:rPr>
        <w:rStyle w:val="PageNumber"/>
        <w:b/>
        <w:bCs/>
      </w:rPr>
      <w:instrText xml:space="preserve"> PAGE </w:instrText>
    </w:r>
    <w:r w:rsidR="00F35BEB">
      <w:rPr>
        <w:rStyle w:val="PageNumber"/>
        <w:b/>
        <w:bCs/>
      </w:rPr>
      <w:fldChar w:fldCharType="separate"/>
    </w:r>
    <w:r w:rsidR="00AA2076">
      <w:rPr>
        <w:rStyle w:val="PageNumber"/>
        <w:b/>
        <w:bCs/>
        <w:noProof/>
      </w:rPr>
      <w:t>1</w:t>
    </w:r>
    <w:r w:rsidR="00F35BEB">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C789C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D842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1B60B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803B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A9A34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9E66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02B8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AA3D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9AC1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1E04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12"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13"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14"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5"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16"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7"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8"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9"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20"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21"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22"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23"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24"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25"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6"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7"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8"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9"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30"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31" w15:restartNumberingAfterBreak="0">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32"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28"/>
  </w:num>
  <w:num w:numId="2">
    <w:abstractNumId w:val="16"/>
  </w:num>
  <w:num w:numId="3">
    <w:abstractNumId w:val="14"/>
  </w:num>
  <w:num w:numId="4">
    <w:abstractNumId w:val="21"/>
  </w:num>
  <w:num w:numId="5">
    <w:abstractNumId w:val="12"/>
  </w:num>
  <w:num w:numId="6">
    <w:abstractNumId w:val="19"/>
  </w:num>
  <w:num w:numId="7">
    <w:abstractNumId w:val="29"/>
  </w:num>
  <w:num w:numId="8">
    <w:abstractNumId w:val="15"/>
  </w:num>
  <w:num w:numId="9">
    <w:abstractNumId w:val="11"/>
  </w:num>
  <w:num w:numId="10">
    <w:abstractNumId w:val="22"/>
  </w:num>
  <w:num w:numId="11">
    <w:abstractNumId w:val="17"/>
  </w:num>
  <w:num w:numId="12">
    <w:abstractNumId w:val="32"/>
  </w:num>
  <w:num w:numId="13">
    <w:abstractNumId w:val="32"/>
    <w:lvlOverride w:ilvl="0">
      <w:lvl w:ilvl="0">
        <w:start w:val="2"/>
        <w:numFmt w:val="lowerLetter"/>
        <w:lvlText w:val="%1)"/>
        <w:legacy w:legacy="1" w:legacySpace="0" w:legacyIndent="720"/>
        <w:lvlJc w:val="left"/>
        <w:pPr>
          <w:ind w:left="720" w:hanging="720"/>
        </w:pPr>
      </w:lvl>
    </w:lvlOverride>
  </w:num>
  <w:num w:numId="14">
    <w:abstractNumId w:val="13"/>
  </w:num>
  <w:num w:numId="15">
    <w:abstractNumId w:val="30"/>
  </w:num>
  <w:num w:numId="16">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18"/>
  </w:num>
  <w:num w:numId="18">
    <w:abstractNumId w:val="25"/>
  </w:num>
  <w:num w:numId="19">
    <w:abstractNumId w:val="20"/>
  </w:num>
  <w:num w:numId="20">
    <w:abstractNumId w:val="10"/>
    <w:lvlOverride w:ilvl="0">
      <w:lvl w:ilvl="0">
        <w:start w:val="1"/>
        <w:numFmt w:val="bullet"/>
        <w:lvlText w:val="-"/>
        <w:legacy w:legacy="1" w:legacySpace="0" w:legacyIndent="360"/>
        <w:lvlJc w:val="left"/>
        <w:pPr>
          <w:ind w:left="360" w:hanging="360"/>
        </w:pPr>
        <w:rPr>
          <w:sz w:val="16"/>
        </w:rPr>
      </w:lvl>
    </w:lvlOverride>
  </w:num>
  <w:num w:numId="21">
    <w:abstractNumId w:val="27"/>
  </w:num>
  <w:num w:numId="22">
    <w:abstractNumId w:val="23"/>
  </w:num>
  <w:num w:numId="23">
    <w:abstractNumId w:val="24"/>
  </w:num>
  <w:num w:numId="24">
    <w:abstractNumId w:val="26"/>
  </w:num>
  <w:num w:numId="25">
    <w:abstractNumId w:val="31"/>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28"/>
    <w:rsid w:val="000878FF"/>
    <w:rsid w:val="00091138"/>
    <w:rsid w:val="001B3F9D"/>
    <w:rsid w:val="001E29DB"/>
    <w:rsid w:val="00227CED"/>
    <w:rsid w:val="0025326C"/>
    <w:rsid w:val="00284AF8"/>
    <w:rsid w:val="002D76C4"/>
    <w:rsid w:val="00315EFA"/>
    <w:rsid w:val="0032222F"/>
    <w:rsid w:val="00344123"/>
    <w:rsid w:val="00360BEA"/>
    <w:rsid w:val="00363854"/>
    <w:rsid w:val="00364BE9"/>
    <w:rsid w:val="003829F0"/>
    <w:rsid w:val="003F1126"/>
    <w:rsid w:val="004156D2"/>
    <w:rsid w:val="004452A9"/>
    <w:rsid w:val="00474E13"/>
    <w:rsid w:val="004B5CC6"/>
    <w:rsid w:val="005726A7"/>
    <w:rsid w:val="005777F3"/>
    <w:rsid w:val="005F43D1"/>
    <w:rsid w:val="00607D68"/>
    <w:rsid w:val="00633625"/>
    <w:rsid w:val="006553B9"/>
    <w:rsid w:val="006818DE"/>
    <w:rsid w:val="00684CC5"/>
    <w:rsid w:val="006B4049"/>
    <w:rsid w:val="006C7692"/>
    <w:rsid w:val="006F3EFD"/>
    <w:rsid w:val="00721270"/>
    <w:rsid w:val="00760B30"/>
    <w:rsid w:val="00794FCB"/>
    <w:rsid w:val="008376E4"/>
    <w:rsid w:val="00841C89"/>
    <w:rsid w:val="008B6031"/>
    <w:rsid w:val="008F7A53"/>
    <w:rsid w:val="00930489"/>
    <w:rsid w:val="00954D24"/>
    <w:rsid w:val="00965853"/>
    <w:rsid w:val="00987473"/>
    <w:rsid w:val="009940E7"/>
    <w:rsid w:val="009E1F8B"/>
    <w:rsid w:val="009E223B"/>
    <w:rsid w:val="009E470E"/>
    <w:rsid w:val="009F289E"/>
    <w:rsid w:val="00A26FDC"/>
    <w:rsid w:val="00A43420"/>
    <w:rsid w:val="00A55737"/>
    <w:rsid w:val="00A6617B"/>
    <w:rsid w:val="00A71E59"/>
    <w:rsid w:val="00A921CB"/>
    <w:rsid w:val="00AA2076"/>
    <w:rsid w:val="00AB0DC8"/>
    <w:rsid w:val="00AE798C"/>
    <w:rsid w:val="00AF6707"/>
    <w:rsid w:val="00B079B4"/>
    <w:rsid w:val="00B158A4"/>
    <w:rsid w:val="00B17542"/>
    <w:rsid w:val="00B37FDF"/>
    <w:rsid w:val="00B44E24"/>
    <w:rsid w:val="00B92802"/>
    <w:rsid w:val="00C058C9"/>
    <w:rsid w:val="00C225E7"/>
    <w:rsid w:val="00C23DBD"/>
    <w:rsid w:val="00C86E03"/>
    <w:rsid w:val="00CC6858"/>
    <w:rsid w:val="00CD276D"/>
    <w:rsid w:val="00D7069F"/>
    <w:rsid w:val="00DF4176"/>
    <w:rsid w:val="00E35FD1"/>
    <w:rsid w:val="00E40FF2"/>
    <w:rsid w:val="00E466CD"/>
    <w:rsid w:val="00E57C34"/>
    <w:rsid w:val="00EB1B24"/>
    <w:rsid w:val="00EF78E6"/>
    <w:rsid w:val="00F16D82"/>
    <w:rsid w:val="00F35BEB"/>
    <w:rsid w:val="00F77F28"/>
    <w:rsid w:val="00FC667A"/>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5:docId w15:val="{D390A2B6-3CED-4010-9AAB-4A654C45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C3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E57C34"/>
    <w:pPr>
      <w:keepNext/>
      <w:keepLines/>
      <w:spacing w:before="480"/>
      <w:ind w:left="794" w:hanging="794"/>
      <w:outlineLvl w:val="0"/>
    </w:pPr>
    <w:rPr>
      <w:b/>
    </w:rPr>
  </w:style>
  <w:style w:type="paragraph" w:styleId="Heading2">
    <w:name w:val="heading 2"/>
    <w:basedOn w:val="Heading1"/>
    <w:next w:val="Normal"/>
    <w:link w:val="Heading2Char"/>
    <w:qFormat/>
    <w:rsid w:val="00E57C34"/>
    <w:pPr>
      <w:spacing w:before="320"/>
      <w:outlineLvl w:val="1"/>
    </w:pPr>
  </w:style>
  <w:style w:type="paragraph" w:styleId="Heading3">
    <w:name w:val="heading 3"/>
    <w:basedOn w:val="Heading1"/>
    <w:next w:val="Normal"/>
    <w:link w:val="Heading3Char"/>
    <w:qFormat/>
    <w:rsid w:val="00E57C34"/>
    <w:pPr>
      <w:spacing w:before="200"/>
      <w:outlineLvl w:val="2"/>
    </w:pPr>
  </w:style>
  <w:style w:type="paragraph" w:styleId="Heading4">
    <w:name w:val="heading 4"/>
    <w:basedOn w:val="Heading3"/>
    <w:next w:val="Normal"/>
    <w:link w:val="Heading4Char"/>
    <w:qFormat/>
    <w:rsid w:val="00E57C34"/>
    <w:pPr>
      <w:tabs>
        <w:tab w:val="clear" w:pos="794"/>
        <w:tab w:val="left" w:pos="992"/>
      </w:tabs>
      <w:ind w:left="992" w:hanging="992"/>
      <w:outlineLvl w:val="3"/>
    </w:pPr>
  </w:style>
  <w:style w:type="paragraph" w:styleId="Heading5">
    <w:name w:val="heading 5"/>
    <w:basedOn w:val="Heading4"/>
    <w:next w:val="Normal"/>
    <w:link w:val="Heading5Char"/>
    <w:qFormat/>
    <w:rsid w:val="00E57C34"/>
    <w:pPr>
      <w:outlineLvl w:val="4"/>
    </w:pPr>
  </w:style>
  <w:style w:type="paragraph" w:styleId="Heading6">
    <w:name w:val="heading 6"/>
    <w:basedOn w:val="Heading4"/>
    <w:next w:val="Normal"/>
    <w:link w:val="Heading6Char"/>
    <w:qFormat/>
    <w:rsid w:val="00E57C34"/>
    <w:pPr>
      <w:tabs>
        <w:tab w:val="clear" w:pos="992"/>
        <w:tab w:val="clear" w:pos="1191"/>
      </w:tabs>
      <w:ind w:left="1588" w:hanging="1588"/>
      <w:outlineLvl w:val="5"/>
    </w:pPr>
  </w:style>
  <w:style w:type="paragraph" w:styleId="Heading7">
    <w:name w:val="heading 7"/>
    <w:basedOn w:val="Heading6"/>
    <w:next w:val="Normal"/>
    <w:link w:val="Heading7Char"/>
    <w:qFormat/>
    <w:rsid w:val="00E57C34"/>
    <w:pPr>
      <w:outlineLvl w:val="6"/>
    </w:pPr>
  </w:style>
  <w:style w:type="paragraph" w:styleId="Heading8">
    <w:name w:val="heading 8"/>
    <w:basedOn w:val="Heading6"/>
    <w:next w:val="Normal"/>
    <w:link w:val="Heading8Char"/>
    <w:qFormat/>
    <w:rsid w:val="00E57C34"/>
    <w:pPr>
      <w:outlineLvl w:val="7"/>
    </w:pPr>
  </w:style>
  <w:style w:type="paragraph" w:styleId="Heading9">
    <w:name w:val="heading 9"/>
    <w:basedOn w:val="Heading6"/>
    <w:next w:val="Normal"/>
    <w:link w:val="Heading9Char"/>
    <w:qFormat/>
    <w:rsid w:val="00E57C34"/>
    <w:pPr>
      <w:jc w:val="left"/>
      <w:outlineLvl w:val="8"/>
    </w:pPr>
  </w:style>
  <w:style w:type="character" w:default="1" w:styleId="DefaultParagraphFont">
    <w:name w:val="Default Paragraph Font"/>
    <w:uiPriority w:val="1"/>
    <w:semiHidden/>
    <w:unhideWhenUsed/>
    <w:rsid w:val="00E57C3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7C34"/>
  </w:style>
  <w:style w:type="paragraph" w:styleId="Header">
    <w:name w:val="header"/>
    <w:basedOn w:val="Normal"/>
    <w:link w:val="HeaderChar"/>
    <w:rsid w:val="00E57C3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57C3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57C34"/>
  </w:style>
  <w:style w:type="paragraph" w:customStyle="1" w:styleId="Headingb">
    <w:name w:val="Heading_b"/>
    <w:basedOn w:val="Heading3"/>
    <w:next w:val="Normal"/>
    <w:link w:val="HeadingbChar"/>
    <w:rsid w:val="00E57C34"/>
    <w:pPr>
      <w:spacing w:before="160"/>
      <w:ind w:left="0" w:firstLine="0"/>
      <w:outlineLvl w:val="9"/>
    </w:pPr>
  </w:style>
  <w:style w:type="paragraph" w:customStyle="1" w:styleId="Headingi">
    <w:name w:val="Heading_i"/>
    <w:basedOn w:val="Heading3"/>
    <w:next w:val="Normal"/>
    <w:rsid w:val="00E57C34"/>
    <w:pPr>
      <w:spacing w:before="160"/>
      <w:ind w:left="0" w:firstLine="0"/>
    </w:pPr>
    <w:rPr>
      <w:b w:val="0"/>
      <w:i/>
    </w:rPr>
  </w:style>
  <w:style w:type="character" w:customStyle="1" w:styleId="href">
    <w:name w:val="href"/>
    <w:basedOn w:val="DefaultParagraphFont"/>
    <w:rsid w:val="00E57C34"/>
  </w:style>
  <w:style w:type="paragraph" w:customStyle="1" w:styleId="enumlev1">
    <w:name w:val="enumlev1"/>
    <w:basedOn w:val="Normal"/>
    <w:link w:val="enumlev1Char"/>
    <w:rsid w:val="00E57C34"/>
    <w:pPr>
      <w:spacing w:before="80"/>
      <w:ind w:left="794" w:hanging="794"/>
    </w:pPr>
  </w:style>
  <w:style w:type="paragraph" w:customStyle="1" w:styleId="enumlev2">
    <w:name w:val="enumlev2"/>
    <w:basedOn w:val="enumlev1"/>
    <w:rsid w:val="00E57C34"/>
    <w:pPr>
      <w:ind w:left="1191" w:hanging="397"/>
    </w:pPr>
  </w:style>
  <w:style w:type="paragraph" w:customStyle="1" w:styleId="enumlev3">
    <w:name w:val="enumlev3"/>
    <w:basedOn w:val="enumlev2"/>
    <w:rsid w:val="00E57C34"/>
    <w:pPr>
      <w:ind w:left="1588"/>
    </w:pPr>
  </w:style>
  <w:style w:type="paragraph" w:customStyle="1" w:styleId="Normalaftertitle">
    <w:name w:val="Normal_after_title"/>
    <w:basedOn w:val="Normal"/>
    <w:next w:val="Normal"/>
    <w:link w:val="NormalaftertitleChar"/>
    <w:rsid w:val="00E57C34"/>
    <w:pPr>
      <w:spacing w:before="320"/>
    </w:pPr>
  </w:style>
  <w:style w:type="paragraph" w:customStyle="1" w:styleId="Note">
    <w:name w:val="Note"/>
    <w:basedOn w:val="Normal"/>
    <w:link w:val="NoteChar"/>
    <w:rsid w:val="00E57C3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57C3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57C34"/>
    <w:pPr>
      <w:keepNext/>
      <w:keepLines/>
      <w:spacing w:before="240"/>
      <w:jc w:val="center"/>
    </w:pPr>
    <w:rPr>
      <w:b/>
      <w:sz w:val="28"/>
    </w:rPr>
  </w:style>
  <w:style w:type="paragraph" w:customStyle="1" w:styleId="Recref">
    <w:name w:val="Rec_ref"/>
    <w:basedOn w:val="Normal"/>
    <w:next w:val="Recdate"/>
    <w:rsid w:val="00E57C34"/>
    <w:pPr>
      <w:jc w:val="center"/>
    </w:pPr>
  </w:style>
  <w:style w:type="paragraph" w:customStyle="1" w:styleId="Recdate">
    <w:name w:val="Rec_date"/>
    <w:basedOn w:val="Recref"/>
    <w:next w:val="Normalaftertitle"/>
    <w:rsid w:val="00E57C34"/>
    <w:pPr>
      <w:jc w:val="right"/>
    </w:pPr>
  </w:style>
  <w:style w:type="paragraph" w:customStyle="1" w:styleId="HeadingSum">
    <w:name w:val="Heading_Sum"/>
    <w:basedOn w:val="Headingb"/>
    <w:next w:val="Normal"/>
    <w:autoRedefine/>
    <w:rsid w:val="00E57C34"/>
    <w:pPr>
      <w:spacing w:before="240"/>
    </w:pPr>
    <w:rPr>
      <w:sz w:val="22"/>
      <w:lang w:val="es-ES_tradnl"/>
    </w:rPr>
  </w:style>
  <w:style w:type="paragraph" w:customStyle="1" w:styleId="AnnexNoTitle">
    <w:name w:val="Annex_NoTitle"/>
    <w:basedOn w:val="Normal"/>
    <w:next w:val="Normalaftertitle"/>
    <w:link w:val="AnnexNoTitle0"/>
    <w:rsid w:val="00E57C34"/>
    <w:pPr>
      <w:keepNext/>
      <w:keepLines/>
      <w:spacing w:before="480" w:after="80"/>
      <w:jc w:val="center"/>
    </w:pPr>
    <w:rPr>
      <w:b/>
      <w:sz w:val="28"/>
    </w:rPr>
  </w:style>
  <w:style w:type="paragraph" w:customStyle="1" w:styleId="AppendixNoTitle">
    <w:name w:val="Appendix_NoTitle"/>
    <w:basedOn w:val="AnnexNoTitle"/>
    <w:next w:val="Normal"/>
    <w:rsid w:val="00E57C34"/>
  </w:style>
  <w:style w:type="paragraph" w:customStyle="1" w:styleId="Tablefin">
    <w:name w:val="Table_fin"/>
    <w:basedOn w:val="Normal"/>
    <w:next w:val="Normal"/>
    <w:rsid w:val="00E57C34"/>
    <w:pPr>
      <w:spacing w:before="0"/>
    </w:pPr>
    <w:rPr>
      <w:sz w:val="20"/>
      <w:lang w:val="en-GB"/>
    </w:rPr>
  </w:style>
  <w:style w:type="paragraph" w:customStyle="1" w:styleId="Tablehead">
    <w:name w:val="Table_head"/>
    <w:basedOn w:val="Normal"/>
    <w:next w:val="Normal"/>
    <w:rsid w:val="00E57C3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E57C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E57C34"/>
    <w:pPr>
      <w:keepNext/>
      <w:spacing w:before="360" w:after="120"/>
      <w:jc w:val="center"/>
    </w:pPr>
  </w:style>
  <w:style w:type="paragraph" w:customStyle="1" w:styleId="Tabletext">
    <w:name w:val="Table_text"/>
    <w:basedOn w:val="Normal"/>
    <w:link w:val="TabletextChar"/>
    <w:rsid w:val="00E57C3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E57C34"/>
    <w:pPr>
      <w:tabs>
        <w:tab w:val="clear" w:pos="1191"/>
        <w:tab w:val="clear" w:pos="1588"/>
        <w:tab w:val="clear" w:pos="1985"/>
        <w:tab w:val="center" w:pos="4820"/>
        <w:tab w:val="right" w:pos="9639"/>
      </w:tabs>
    </w:pPr>
  </w:style>
  <w:style w:type="paragraph" w:customStyle="1" w:styleId="Equationlegend">
    <w:name w:val="Equation_legend"/>
    <w:basedOn w:val="NormalIndent"/>
    <w:rsid w:val="00E57C3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57C34"/>
    <w:pPr>
      <w:ind w:left="794"/>
    </w:pPr>
  </w:style>
  <w:style w:type="paragraph" w:customStyle="1" w:styleId="Figurelegend">
    <w:name w:val="Figure_legend"/>
    <w:basedOn w:val="Normal"/>
    <w:rsid w:val="00E57C3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E57C34"/>
    <w:pPr>
      <w:keepNext/>
      <w:keepLines/>
      <w:spacing w:before="480" w:after="80"/>
      <w:jc w:val="center"/>
    </w:pPr>
    <w:rPr>
      <w:caps/>
      <w:sz w:val="18"/>
    </w:rPr>
  </w:style>
  <w:style w:type="paragraph" w:customStyle="1" w:styleId="Figuretitle">
    <w:name w:val="Figure_title"/>
    <w:basedOn w:val="Normal"/>
    <w:next w:val="Figure"/>
    <w:link w:val="FiguretitleChar"/>
    <w:rsid w:val="00E57C34"/>
    <w:pPr>
      <w:keepNext/>
      <w:spacing w:before="0" w:after="120"/>
      <w:jc w:val="center"/>
    </w:pPr>
    <w:rPr>
      <w:rFonts w:ascii="Times New Roman Bold" w:hAnsi="Times New Roman Bold"/>
      <w:b/>
      <w:sz w:val="18"/>
    </w:rPr>
  </w:style>
  <w:style w:type="paragraph" w:customStyle="1" w:styleId="Figure">
    <w:name w:val="Figure"/>
    <w:basedOn w:val="FigureNo"/>
    <w:next w:val="Normal"/>
    <w:rsid w:val="00E57C34"/>
    <w:pPr>
      <w:keepNext w:val="0"/>
      <w:spacing w:before="0" w:after="240"/>
    </w:pPr>
  </w:style>
  <w:style w:type="paragraph" w:customStyle="1" w:styleId="tocpart">
    <w:name w:val="tocpart"/>
    <w:basedOn w:val="Normal"/>
    <w:rsid w:val="00E57C3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57C34"/>
    <w:pPr>
      <w:keepNext/>
      <w:keepLines/>
      <w:spacing w:before="480"/>
      <w:jc w:val="center"/>
    </w:pPr>
    <w:rPr>
      <w:sz w:val="28"/>
    </w:rPr>
  </w:style>
  <w:style w:type="paragraph" w:customStyle="1" w:styleId="Arttitle">
    <w:name w:val="Art_title"/>
    <w:basedOn w:val="Normal"/>
    <w:next w:val="Normalaftertitle"/>
    <w:rsid w:val="00E57C34"/>
    <w:pPr>
      <w:keepNext/>
      <w:keepLines/>
      <w:spacing w:before="240"/>
      <w:jc w:val="center"/>
    </w:pPr>
    <w:rPr>
      <w:b/>
      <w:sz w:val="28"/>
    </w:rPr>
  </w:style>
  <w:style w:type="paragraph" w:customStyle="1" w:styleId="Blanc">
    <w:name w:val="Blanc"/>
    <w:basedOn w:val="Normal"/>
    <w:next w:val="Tabletext"/>
    <w:rsid w:val="00E57C3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57C3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57C34"/>
    <w:pPr>
      <w:keepNext/>
      <w:keepLines/>
      <w:spacing w:before="160"/>
      <w:ind w:left="794"/>
    </w:pPr>
    <w:rPr>
      <w:i/>
    </w:rPr>
  </w:style>
  <w:style w:type="paragraph" w:customStyle="1" w:styleId="ChapNo">
    <w:name w:val="Chap_No"/>
    <w:basedOn w:val="ArtNo"/>
    <w:next w:val="Chaptitle"/>
    <w:rsid w:val="00E57C34"/>
    <w:rPr>
      <w:b/>
    </w:rPr>
  </w:style>
  <w:style w:type="paragraph" w:customStyle="1" w:styleId="Chaptitle">
    <w:name w:val="Chap_title"/>
    <w:basedOn w:val="Arttitle"/>
    <w:next w:val="Normalaftertitle"/>
    <w:rsid w:val="00E57C34"/>
  </w:style>
  <w:style w:type="character" w:styleId="FootnoteReference">
    <w:name w:val="footnote reference"/>
    <w:basedOn w:val="DefaultParagraphFont"/>
    <w:rsid w:val="00E57C34"/>
    <w:rPr>
      <w:position w:val="6"/>
      <w:sz w:val="18"/>
    </w:rPr>
  </w:style>
  <w:style w:type="paragraph" w:styleId="FootnoteText">
    <w:name w:val="footnote text"/>
    <w:basedOn w:val="Normal"/>
    <w:link w:val="FootnoteTextChar"/>
    <w:rsid w:val="00E57C34"/>
    <w:pPr>
      <w:keepLines/>
      <w:tabs>
        <w:tab w:val="left" w:pos="255"/>
      </w:tabs>
      <w:ind w:left="255" w:hanging="255"/>
    </w:pPr>
    <w:rPr>
      <w:sz w:val="22"/>
    </w:rPr>
  </w:style>
  <w:style w:type="paragraph" w:styleId="Index1">
    <w:name w:val="index 1"/>
    <w:basedOn w:val="Normal"/>
    <w:next w:val="Normal"/>
    <w:semiHidden/>
    <w:rsid w:val="00E57C34"/>
  </w:style>
  <w:style w:type="paragraph" w:styleId="Index2">
    <w:name w:val="index 2"/>
    <w:basedOn w:val="Normal"/>
    <w:next w:val="Normal"/>
    <w:semiHidden/>
    <w:rsid w:val="00E57C34"/>
    <w:pPr>
      <w:ind w:left="283"/>
    </w:pPr>
  </w:style>
  <w:style w:type="paragraph" w:styleId="Index3">
    <w:name w:val="index 3"/>
    <w:basedOn w:val="Normal"/>
    <w:next w:val="Normal"/>
    <w:semiHidden/>
    <w:rsid w:val="00E57C34"/>
    <w:pPr>
      <w:ind w:left="566"/>
    </w:pPr>
  </w:style>
  <w:style w:type="paragraph" w:styleId="IndexHeading">
    <w:name w:val="index heading"/>
    <w:basedOn w:val="Normal"/>
    <w:next w:val="Index1"/>
    <w:semiHidden/>
    <w:rsid w:val="00E57C34"/>
  </w:style>
  <w:style w:type="paragraph" w:customStyle="1" w:styleId="Line">
    <w:name w:val="Line"/>
    <w:basedOn w:val="Normal"/>
    <w:next w:val="Normal"/>
    <w:rsid w:val="00E57C3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57C3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57C34"/>
  </w:style>
  <w:style w:type="paragraph" w:customStyle="1" w:styleId="Partref">
    <w:name w:val="Part_ref"/>
    <w:basedOn w:val="Normal"/>
    <w:next w:val="Normal"/>
    <w:rsid w:val="00E57C34"/>
    <w:pPr>
      <w:keepNext/>
      <w:keepLines/>
      <w:spacing w:after="280"/>
      <w:jc w:val="center"/>
    </w:pPr>
  </w:style>
  <w:style w:type="paragraph" w:customStyle="1" w:styleId="Parttitle">
    <w:name w:val="Part_title"/>
    <w:basedOn w:val="Normal"/>
    <w:next w:val="Normalaftertitle"/>
    <w:rsid w:val="00E57C3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57C34"/>
  </w:style>
  <w:style w:type="paragraph" w:customStyle="1" w:styleId="QuestionNo">
    <w:name w:val="Question_No"/>
    <w:basedOn w:val="RecNo"/>
    <w:next w:val="Normal"/>
    <w:rsid w:val="00E57C34"/>
  </w:style>
  <w:style w:type="paragraph" w:customStyle="1" w:styleId="Questionref">
    <w:name w:val="Question_ref"/>
    <w:basedOn w:val="Recref"/>
    <w:next w:val="Questiondate"/>
    <w:rsid w:val="00E57C34"/>
  </w:style>
  <w:style w:type="paragraph" w:customStyle="1" w:styleId="Questiontitle">
    <w:name w:val="Question_title"/>
    <w:basedOn w:val="Normal"/>
    <w:next w:val="Questionref"/>
    <w:rsid w:val="00E57C34"/>
  </w:style>
  <w:style w:type="paragraph" w:customStyle="1" w:styleId="Reftext">
    <w:name w:val="Ref_text"/>
    <w:basedOn w:val="Normal"/>
    <w:rsid w:val="00E57C34"/>
    <w:pPr>
      <w:ind w:left="794" w:hanging="794"/>
    </w:pPr>
    <w:rPr>
      <w:sz w:val="22"/>
    </w:rPr>
  </w:style>
  <w:style w:type="paragraph" w:customStyle="1" w:styleId="Reftitle">
    <w:name w:val="Ref_title"/>
    <w:basedOn w:val="Normal"/>
    <w:next w:val="Reftext"/>
    <w:rsid w:val="00E57C3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57C34"/>
  </w:style>
  <w:style w:type="paragraph" w:customStyle="1" w:styleId="RepNo">
    <w:name w:val="Rep_No"/>
    <w:basedOn w:val="RecNo"/>
    <w:next w:val="Reptitle"/>
    <w:rsid w:val="00E57C34"/>
  </w:style>
  <w:style w:type="paragraph" w:customStyle="1" w:styleId="Reptitle">
    <w:name w:val="Rep_title"/>
    <w:basedOn w:val="Rectitle"/>
    <w:next w:val="Repref"/>
    <w:rsid w:val="00E57C34"/>
  </w:style>
  <w:style w:type="paragraph" w:customStyle="1" w:styleId="Repref">
    <w:name w:val="Rep_ref"/>
    <w:basedOn w:val="Recref"/>
    <w:next w:val="Repdate"/>
    <w:rsid w:val="00E57C34"/>
  </w:style>
  <w:style w:type="paragraph" w:customStyle="1" w:styleId="Resdate">
    <w:name w:val="Res_date"/>
    <w:basedOn w:val="Recdate"/>
    <w:next w:val="Normalaftertitle"/>
    <w:rsid w:val="00E57C34"/>
  </w:style>
  <w:style w:type="paragraph" w:customStyle="1" w:styleId="ResNo">
    <w:name w:val="Res_No"/>
    <w:basedOn w:val="RecNo"/>
    <w:next w:val="Restitle"/>
    <w:rsid w:val="00E57C34"/>
  </w:style>
  <w:style w:type="paragraph" w:customStyle="1" w:styleId="Restitle">
    <w:name w:val="Res_title"/>
    <w:basedOn w:val="Normal"/>
    <w:next w:val="Resref"/>
    <w:rsid w:val="00E57C34"/>
    <w:pPr>
      <w:spacing w:before="240"/>
      <w:jc w:val="center"/>
    </w:pPr>
    <w:rPr>
      <w:b/>
      <w:sz w:val="28"/>
    </w:rPr>
  </w:style>
  <w:style w:type="paragraph" w:customStyle="1" w:styleId="Resref">
    <w:name w:val="Res_ref"/>
    <w:basedOn w:val="Recref"/>
    <w:next w:val="Resdate"/>
    <w:rsid w:val="00E57C34"/>
  </w:style>
  <w:style w:type="paragraph" w:customStyle="1" w:styleId="SectionNo">
    <w:name w:val="Section_No"/>
    <w:basedOn w:val="Normal"/>
    <w:next w:val="Normal"/>
    <w:rsid w:val="00E57C34"/>
  </w:style>
  <w:style w:type="paragraph" w:customStyle="1" w:styleId="Sectiontitle">
    <w:name w:val="Section_title"/>
    <w:basedOn w:val="Normal"/>
    <w:next w:val="Normalaftertitle"/>
    <w:rsid w:val="00E57C3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57C34"/>
    <w:pPr>
      <w:tabs>
        <w:tab w:val="clear" w:pos="794"/>
        <w:tab w:val="clear" w:pos="1191"/>
        <w:tab w:val="clear" w:pos="1588"/>
        <w:tab w:val="clear" w:pos="1985"/>
        <w:tab w:val="right" w:pos="9611"/>
      </w:tabs>
    </w:pPr>
    <w:rPr>
      <w:i/>
    </w:rPr>
  </w:style>
  <w:style w:type="paragraph" w:styleId="TOC1">
    <w:name w:val="toc 1"/>
    <w:basedOn w:val="Normal"/>
    <w:semiHidden/>
    <w:rsid w:val="00E57C3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57C34"/>
    <w:pPr>
      <w:tabs>
        <w:tab w:val="clear" w:pos="567"/>
        <w:tab w:val="left" w:pos="1276"/>
      </w:tabs>
      <w:spacing w:before="160"/>
      <w:ind w:left="1276" w:hanging="709"/>
    </w:pPr>
  </w:style>
  <w:style w:type="paragraph" w:styleId="TOC3">
    <w:name w:val="toc 3"/>
    <w:basedOn w:val="TOC2"/>
    <w:semiHidden/>
    <w:rsid w:val="00E57C34"/>
    <w:pPr>
      <w:tabs>
        <w:tab w:val="clear" w:pos="1276"/>
        <w:tab w:val="left" w:pos="2155"/>
      </w:tabs>
      <w:ind w:left="2155" w:hanging="879"/>
    </w:pPr>
  </w:style>
  <w:style w:type="paragraph" w:styleId="TOC4">
    <w:name w:val="toc 4"/>
    <w:basedOn w:val="TOC3"/>
    <w:semiHidden/>
    <w:rsid w:val="00E57C34"/>
    <w:pPr>
      <w:tabs>
        <w:tab w:val="left" w:pos="3261"/>
      </w:tabs>
      <w:spacing w:before="80"/>
      <w:ind w:left="3261" w:hanging="993"/>
    </w:pPr>
  </w:style>
  <w:style w:type="paragraph" w:styleId="TOC5">
    <w:name w:val="toc 5"/>
    <w:basedOn w:val="TOC4"/>
    <w:semiHidden/>
    <w:rsid w:val="00E57C34"/>
  </w:style>
  <w:style w:type="paragraph" w:styleId="TOC6">
    <w:name w:val="toc 6"/>
    <w:basedOn w:val="TOC4"/>
    <w:semiHidden/>
    <w:rsid w:val="00E57C34"/>
  </w:style>
  <w:style w:type="paragraph" w:styleId="TOC7">
    <w:name w:val="toc 7"/>
    <w:basedOn w:val="TOC4"/>
    <w:semiHidden/>
    <w:rsid w:val="00E57C34"/>
  </w:style>
  <w:style w:type="paragraph" w:styleId="TOC8">
    <w:name w:val="toc 8"/>
    <w:basedOn w:val="TOC4"/>
    <w:semiHidden/>
    <w:rsid w:val="00E57C34"/>
  </w:style>
  <w:style w:type="paragraph" w:customStyle="1" w:styleId="Annexref">
    <w:name w:val="Annex_ref"/>
    <w:basedOn w:val="Normal"/>
    <w:next w:val="Normalaftertitle"/>
    <w:rsid w:val="00E57C34"/>
    <w:pPr>
      <w:keepNext/>
      <w:keepLines/>
      <w:spacing w:after="280"/>
      <w:jc w:val="center"/>
    </w:pPr>
  </w:style>
  <w:style w:type="paragraph" w:customStyle="1" w:styleId="Appendixref">
    <w:name w:val="Appendix_ref"/>
    <w:basedOn w:val="Annexref"/>
    <w:next w:val="Normalaftertitle"/>
    <w:rsid w:val="00E57C34"/>
  </w:style>
  <w:style w:type="paragraph" w:customStyle="1" w:styleId="Tabletitle">
    <w:name w:val="Table_title"/>
    <w:basedOn w:val="Normal"/>
    <w:next w:val="Tablehead"/>
    <w:link w:val="TabletitleChar"/>
    <w:rsid w:val="00E57C34"/>
    <w:pPr>
      <w:keepNext/>
      <w:spacing w:before="0" w:after="120"/>
      <w:jc w:val="center"/>
    </w:pPr>
    <w:rPr>
      <w:b/>
    </w:rPr>
  </w:style>
  <w:style w:type="paragraph" w:customStyle="1" w:styleId="Summary">
    <w:name w:val="Summary"/>
    <w:basedOn w:val="Normal"/>
    <w:next w:val="Normalaftertitle"/>
    <w:autoRedefine/>
    <w:rsid w:val="00E57C34"/>
    <w:pPr>
      <w:spacing w:after="480"/>
    </w:pPr>
    <w:rPr>
      <w:sz w:val="22"/>
      <w:lang w:val="es-ES_tradnl"/>
    </w:rPr>
  </w:style>
  <w:style w:type="paragraph" w:customStyle="1" w:styleId="Part">
    <w:name w:val="Part"/>
    <w:basedOn w:val="Normal"/>
    <w:rsid w:val="00F77F2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rPr>
  </w:style>
  <w:style w:type="paragraph" w:customStyle="1" w:styleId="headingb0">
    <w:name w:val="heading_b"/>
    <w:basedOn w:val="Heading3"/>
    <w:next w:val="Normal"/>
    <w:rsid w:val="00F77F2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E57C34"/>
    <w:pPr>
      <w:ind w:left="-85" w:firstLine="0"/>
    </w:pPr>
    <w:rPr>
      <w:lang w:val="en-US"/>
    </w:rPr>
  </w:style>
  <w:style w:type="character" w:customStyle="1" w:styleId="Heading1Char">
    <w:name w:val="Heading 1 Char"/>
    <w:basedOn w:val="DefaultParagraphFont"/>
    <w:link w:val="Heading1"/>
    <w:rsid w:val="00315EFA"/>
    <w:rPr>
      <w:b/>
      <w:sz w:val="24"/>
      <w:lang w:val="fr-FR" w:eastAsia="en-US"/>
    </w:rPr>
  </w:style>
  <w:style w:type="character" w:customStyle="1" w:styleId="Heading2Char">
    <w:name w:val="Heading 2 Char"/>
    <w:basedOn w:val="DefaultParagraphFont"/>
    <w:link w:val="Heading2"/>
    <w:rsid w:val="00315EFA"/>
    <w:rPr>
      <w:b/>
      <w:sz w:val="24"/>
      <w:lang w:val="fr-FR" w:eastAsia="en-US"/>
    </w:rPr>
  </w:style>
  <w:style w:type="character" w:customStyle="1" w:styleId="Heading3Char">
    <w:name w:val="Heading 3 Char"/>
    <w:basedOn w:val="DefaultParagraphFont"/>
    <w:link w:val="Heading3"/>
    <w:rsid w:val="00315EFA"/>
    <w:rPr>
      <w:b/>
      <w:sz w:val="24"/>
      <w:lang w:val="fr-FR" w:eastAsia="en-US"/>
    </w:rPr>
  </w:style>
  <w:style w:type="character" w:customStyle="1" w:styleId="Heading4Char">
    <w:name w:val="Heading 4 Char"/>
    <w:basedOn w:val="DefaultParagraphFont"/>
    <w:link w:val="Heading4"/>
    <w:rsid w:val="00315EFA"/>
    <w:rPr>
      <w:b/>
      <w:sz w:val="24"/>
      <w:lang w:val="fr-FR" w:eastAsia="en-US"/>
    </w:rPr>
  </w:style>
  <w:style w:type="character" w:customStyle="1" w:styleId="Heading5Char">
    <w:name w:val="Heading 5 Char"/>
    <w:basedOn w:val="DefaultParagraphFont"/>
    <w:link w:val="Heading5"/>
    <w:rsid w:val="00315EFA"/>
    <w:rPr>
      <w:b/>
      <w:sz w:val="24"/>
      <w:lang w:val="fr-FR" w:eastAsia="en-US"/>
    </w:rPr>
  </w:style>
  <w:style w:type="character" w:customStyle="1" w:styleId="Heading6Char">
    <w:name w:val="Heading 6 Char"/>
    <w:basedOn w:val="DefaultParagraphFont"/>
    <w:link w:val="Heading6"/>
    <w:rsid w:val="00315EFA"/>
    <w:rPr>
      <w:b/>
      <w:sz w:val="24"/>
      <w:lang w:val="fr-FR" w:eastAsia="en-US"/>
    </w:rPr>
  </w:style>
  <w:style w:type="character" w:customStyle="1" w:styleId="Heading7Char">
    <w:name w:val="Heading 7 Char"/>
    <w:basedOn w:val="DefaultParagraphFont"/>
    <w:link w:val="Heading7"/>
    <w:rsid w:val="00315EFA"/>
    <w:rPr>
      <w:b/>
      <w:sz w:val="24"/>
      <w:lang w:val="fr-FR" w:eastAsia="en-US"/>
    </w:rPr>
  </w:style>
  <w:style w:type="character" w:customStyle="1" w:styleId="Heading8Char">
    <w:name w:val="Heading 8 Char"/>
    <w:basedOn w:val="DefaultParagraphFont"/>
    <w:link w:val="Heading8"/>
    <w:rsid w:val="00315EFA"/>
    <w:rPr>
      <w:b/>
      <w:sz w:val="24"/>
      <w:lang w:val="fr-FR" w:eastAsia="en-US"/>
    </w:rPr>
  </w:style>
  <w:style w:type="character" w:customStyle="1" w:styleId="Heading9Char">
    <w:name w:val="Heading 9 Char"/>
    <w:basedOn w:val="DefaultParagraphFont"/>
    <w:link w:val="Heading9"/>
    <w:rsid w:val="00315EFA"/>
    <w:rPr>
      <w:b/>
      <w:sz w:val="24"/>
      <w:lang w:val="fr-FR" w:eastAsia="en-US"/>
    </w:rPr>
  </w:style>
  <w:style w:type="character" w:customStyle="1" w:styleId="HeaderChar">
    <w:name w:val="Header Char"/>
    <w:basedOn w:val="DefaultParagraphFont"/>
    <w:link w:val="Header"/>
    <w:rsid w:val="00315EFA"/>
    <w:rPr>
      <w:sz w:val="24"/>
      <w:lang w:val="fr-FR" w:eastAsia="en-US"/>
    </w:rPr>
  </w:style>
  <w:style w:type="character" w:customStyle="1" w:styleId="FooterChar">
    <w:name w:val="Footer Char"/>
    <w:basedOn w:val="DefaultParagraphFont"/>
    <w:link w:val="Footer"/>
    <w:rsid w:val="00315EFA"/>
    <w:rPr>
      <w:noProof/>
      <w:sz w:val="18"/>
      <w:lang w:val="fr-FR" w:eastAsia="en-US"/>
    </w:rPr>
  </w:style>
  <w:style w:type="character" w:customStyle="1" w:styleId="HeadingbChar">
    <w:name w:val="Heading_b Char"/>
    <w:basedOn w:val="DefaultParagraphFont"/>
    <w:link w:val="Headingb"/>
    <w:locked/>
    <w:rsid w:val="00315EFA"/>
    <w:rPr>
      <w:b/>
      <w:sz w:val="24"/>
      <w:lang w:val="fr-FR" w:eastAsia="en-US"/>
    </w:rPr>
  </w:style>
  <w:style w:type="character" w:customStyle="1" w:styleId="enumlev1Char">
    <w:name w:val="enumlev1 Char"/>
    <w:basedOn w:val="DefaultParagraphFont"/>
    <w:link w:val="enumlev1"/>
    <w:rsid w:val="00315EFA"/>
    <w:rPr>
      <w:sz w:val="24"/>
      <w:lang w:val="fr-FR" w:eastAsia="en-US"/>
    </w:rPr>
  </w:style>
  <w:style w:type="character" w:customStyle="1" w:styleId="NormalaftertitleChar">
    <w:name w:val="Normal_after_title Char"/>
    <w:basedOn w:val="DefaultParagraphFont"/>
    <w:link w:val="Normalaftertitle"/>
    <w:locked/>
    <w:rsid w:val="00315EFA"/>
    <w:rPr>
      <w:sz w:val="24"/>
      <w:lang w:val="fr-FR" w:eastAsia="en-US"/>
    </w:rPr>
  </w:style>
  <w:style w:type="character" w:customStyle="1" w:styleId="NoteChar">
    <w:name w:val="Note Char"/>
    <w:basedOn w:val="DefaultParagraphFont"/>
    <w:link w:val="Note"/>
    <w:rsid w:val="00315EFA"/>
    <w:rPr>
      <w:sz w:val="22"/>
      <w:lang w:val="fr-FR" w:eastAsia="en-US"/>
    </w:rPr>
  </w:style>
  <w:style w:type="character" w:customStyle="1" w:styleId="AnnexNoTitle0">
    <w:name w:val="Annex_NoTitle Знак"/>
    <w:basedOn w:val="DefaultParagraphFont"/>
    <w:link w:val="AnnexNoTitle"/>
    <w:locked/>
    <w:rsid w:val="00315EFA"/>
    <w:rPr>
      <w:b/>
      <w:sz w:val="28"/>
      <w:lang w:val="fr-FR" w:eastAsia="en-US"/>
    </w:rPr>
  </w:style>
  <w:style w:type="character" w:customStyle="1" w:styleId="TablelegendChar">
    <w:name w:val="Table_legend Char"/>
    <w:basedOn w:val="DefaultParagraphFont"/>
    <w:link w:val="Tablelegend"/>
    <w:rsid w:val="00315EFA"/>
    <w:rPr>
      <w:sz w:val="22"/>
      <w:lang w:val="fr-FR" w:eastAsia="en-US"/>
    </w:rPr>
  </w:style>
  <w:style w:type="character" w:customStyle="1" w:styleId="TableNoChar">
    <w:name w:val="Table_No Char"/>
    <w:basedOn w:val="DefaultParagraphFont"/>
    <w:link w:val="TableNo"/>
    <w:rsid w:val="00315EFA"/>
    <w:rPr>
      <w:sz w:val="24"/>
      <w:lang w:val="fr-FR" w:eastAsia="en-US"/>
    </w:rPr>
  </w:style>
  <w:style w:type="character" w:customStyle="1" w:styleId="TabletextChar">
    <w:name w:val="Table_text Char"/>
    <w:link w:val="Tabletext"/>
    <w:locked/>
    <w:rsid w:val="00315EFA"/>
    <w:rPr>
      <w:sz w:val="22"/>
      <w:lang w:val="fr-FR" w:eastAsia="en-US"/>
    </w:rPr>
  </w:style>
  <w:style w:type="character" w:customStyle="1" w:styleId="EquationChar">
    <w:name w:val="Equation Char"/>
    <w:basedOn w:val="DefaultParagraphFont"/>
    <w:link w:val="Equation"/>
    <w:rsid w:val="00315EFA"/>
    <w:rPr>
      <w:sz w:val="24"/>
      <w:lang w:val="fr-FR" w:eastAsia="en-US"/>
    </w:rPr>
  </w:style>
  <w:style w:type="character" w:customStyle="1" w:styleId="FiguretitleChar">
    <w:name w:val="Figure_title Char"/>
    <w:basedOn w:val="DefaultParagraphFont"/>
    <w:link w:val="Figuretitle"/>
    <w:rsid w:val="00315EFA"/>
    <w:rPr>
      <w:rFonts w:ascii="Times New Roman Bold" w:hAnsi="Times New Roman Bold"/>
      <w:b/>
      <w:sz w:val="18"/>
      <w:lang w:val="fr-FR" w:eastAsia="en-US"/>
    </w:rPr>
  </w:style>
  <w:style w:type="character" w:customStyle="1" w:styleId="FigureNoChar">
    <w:name w:val="Figure_No Char"/>
    <w:basedOn w:val="DefaultParagraphFont"/>
    <w:link w:val="FigureNo"/>
    <w:rsid w:val="00315EFA"/>
    <w:rPr>
      <w:caps/>
      <w:sz w:val="18"/>
      <w:lang w:val="fr-FR" w:eastAsia="en-US"/>
    </w:rPr>
  </w:style>
  <w:style w:type="character" w:customStyle="1" w:styleId="FootnoteTextChar">
    <w:name w:val="Footnote Text Char"/>
    <w:aliases w:val="footnote text Char,ALTS FOOTNOTE Char"/>
    <w:basedOn w:val="DefaultParagraphFont"/>
    <w:link w:val="FootnoteText"/>
    <w:rsid w:val="00315EFA"/>
    <w:rPr>
      <w:sz w:val="22"/>
      <w:lang w:val="fr-FR" w:eastAsia="en-US"/>
    </w:rPr>
  </w:style>
  <w:style w:type="character" w:customStyle="1" w:styleId="TabletitleChar">
    <w:name w:val="Table_title Char"/>
    <w:basedOn w:val="DefaultParagraphFont"/>
    <w:link w:val="Tabletitle"/>
    <w:rsid w:val="00315EFA"/>
    <w:rPr>
      <w:b/>
      <w:sz w:val="24"/>
      <w:lang w:val="fr-FR" w:eastAsia="en-US"/>
    </w:rPr>
  </w:style>
  <w:style w:type="character" w:customStyle="1" w:styleId="BalloonTextChar">
    <w:name w:val="Balloon Text Char"/>
    <w:basedOn w:val="DefaultParagraphFont"/>
    <w:link w:val="BalloonText"/>
    <w:rsid w:val="00315EFA"/>
    <w:rPr>
      <w:rFonts w:ascii="Tahoma" w:hAnsi="Tahoma" w:cs="Tahoma"/>
      <w:sz w:val="16"/>
      <w:szCs w:val="16"/>
      <w:lang w:val="fr-FR" w:eastAsia="en-US"/>
    </w:rPr>
  </w:style>
  <w:style w:type="paragraph" w:styleId="BalloonText">
    <w:name w:val="Balloon Text"/>
    <w:basedOn w:val="Normal"/>
    <w:link w:val="BalloonTextChar"/>
    <w:rsid w:val="00315EFA"/>
    <w:pPr>
      <w:spacing w:before="0"/>
    </w:pPr>
    <w:rPr>
      <w:rFonts w:ascii="Tahoma" w:hAnsi="Tahoma" w:cs="Tahoma"/>
      <w:sz w:val="16"/>
      <w:szCs w:val="16"/>
    </w:rPr>
  </w:style>
  <w:style w:type="character" w:customStyle="1" w:styleId="BalloonTextChar1">
    <w:name w:val="Balloon Text Char1"/>
    <w:basedOn w:val="DefaultParagraphFont"/>
    <w:semiHidden/>
    <w:rsid w:val="00315EFA"/>
    <w:rPr>
      <w:rFonts w:ascii="Segoe UI" w:hAnsi="Segoe UI" w:cs="Segoe UI"/>
      <w:sz w:val="18"/>
      <w:szCs w:val="18"/>
      <w:lang w:val="fr-FR" w:eastAsia="en-US"/>
    </w:rPr>
  </w:style>
  <w:style w:type="paragraph" w:customStyle="1" w:styleId="TableText0">
    <w:name w:val="Table_Text"/>
    <w:basedOn w:val="Normal"/>
    <w:rsid w:val="00315EFA"/>
    <w:pPr>
      <w:keepNext/>
      <w:spacing w:before="100" w:after="100" w:line="190" w:lineRule="exact"/>
    </w:pPr>
    <w:rPr>
      <w:sz w:val="18"/>
      <w:lang w:val="en-GB"/>
    </w:rPr>
  </w:style>
  <w:style w:type="character" w:styleId="FollowedHyperlink">
    <w:name w:val="FollowedHyperlink"/>
    <w:basedOn w:val="DefaultParagraphFont"/>
    <w:rsid w:val="00315EFA"/>
    <w:rPr>
      <w:color w:val="800080" w:themeColor="followedHyperlink"/>
      <w:u w:val="single"/>
    </w:rPr>
  </w:style>
  <w:style w:type="paragraph" w:customStyle="1" w:styleId="Reasons">
    <w:name w:val="Reasons"/>
    <w:basedOn w:val="Normal"/>
    <w:qFormat/>
    <w:rsid w:val="00315EFA"/>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yperlink" Target="http://www.itu.int/md/R12-SG06-C-0020/en" TargetMode="Externa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oleObject" Target="embeddings/oleObject12.bin"/><Relationship Id="rId47" Type="http://schemas.openxmlformats.org/officeDocument/2006/relationships/image" Target="media/image19.emf"/><Relationship Id="rId50" Type="http://schemas.openxmlformats.org/officeDocument/2006/relationships/oleObject" Target="embeddings/oleObject16.bin"/><Relationship Id="rId55" Type="http://schemas.openxmlformats.org/officeDocument/2006/relationships/image" Target="media/image23.emf"/><Relationship Id="rId63" Type="http://schemas.openxmlformats.org/officeDocument/2006/relationships/image" Target="media/image27.emf"/><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image" Target="media/image14.png"/><Relationship Id="rId40" Type="http://schemas.openxmlformats.org/officeDocument/2006/relationships/hyperlink" Target="mailto:ite@ite.or.jp" TargetMode="External"/><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20.bin"/><Relationship Id="rId66"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png"/><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10" Type="http://schemas.openxmlformats.org/officeDocument/2006/relationships/hyperlink" Target="http://www.itu.int/publ/R-REC/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image" Target="media/image17.e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8" Type="http://schemas.openxmlformats.org/officeDocument/2006/relationships/header" Target="header2.xml"/><Relationship Id="rId51" Type="http://schemas.openxmlformats.org/officeDocument/2006/relationships/image" Target="media/image21.em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png"/><Relationship Id="rId46" Type="http://schemas.openxmlformats.org/officeDocument/2006/relationships/oleObject" Target="embeddings/oleObject14.bin"/><Relationship Id="rId59" Type="http://schemas.openxmlformats.org/officeDocument/2006/relationships/image" Target="media/image25.emf"/><Relationship Id="rId6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16.emf"/><Relationship Id="rId54" Type="http://schemas.openxmlformats.org/officeDocument/2006/relationships/oleObject" Target="embeddings/oleObject18.bin"/><Relationship Id="rId62" Type="http://schemas.openxmlformats.org/officeDocument/2006/relationships/oleObject" Target="embeddings/oleObject2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109</TotalTime>
  <Pages>33</Pages>
  <Words>9688</Words>
  <Characters>53018</Characters>
  <Application>Microsoft Office Word</Application>
  <DocSecurity>0</DocSecurity>
  <Lines>1767</Lines>
  <Paragraphs>54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62652</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23.07.09      SP</dc:description>
  <cp:lastModifiedBy>Catalano Moreira, Rossana</cp:lastModifiedBy>
  <cp:revision>21</cp:revision>
  <cp:lastPrinted>2016-09-20T14:43:00Z</cp:lastPrinted>
  <dcterms:created xsi:type="dcterms:W3CDTF">2016-09-20T12:58:00Z</dcterms:created>
  <dcterms:modified xsi:type="dcterms:W3CDTF">2016-09-20T14:47:00Z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