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4A7C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4A7C6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4A7C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1895</w:t>
            </w:r>
          </w:p>
          <w:p w:rsidR="00227CED" w:rsidRPr="0010336F" w:rsidRDefault="00227CED" w:rsidP="004A7C6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</w:t>
            </w:r>
            <w:r w:rsidR="004A7C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4A7C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4A7C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4A7C6F" w:rsidP="004156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971BE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Criterios de protección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971BE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para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los sistemas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r</w:t>
            </w:r>
            <w:r w:rsidRPr="00971BEA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adiodifusión terrenal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4A7C6F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9E1F8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 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27CED" w:rsidRPr="004A7C6F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2" w:history="1">
              <w:hyperlink r:id="rId13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4A7C6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4A7C6F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4A7C6F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227CED" w:rsidRPr="004A7C6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4A7C6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4A7C6F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227CED" w:rsidRPr="004A7C6F" w:rsidTr="009E1F8B">
        <w:tc>
          <w:tcPr>
            <w:tcW w:w="9360" w:type="dxa"/>
          </w:tcPr>
          <w:p w:rsidR="00227CED" w:rsidRPr="00763D08" w:rsidRDefault="00227CED" w:rsidP="009E1F8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954D24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</w:t>
      </w:r>
      <w:r w:rsidR="00954D24">
        <w:rPr>
          <w:sz w:val="20"/>
          <w:lang w:val="es-ES_tradnl"/>
        </w:rPr>
        <w:t>1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54D24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</w:t>
      </w:r>
      <w:r w:rsidR="00954D24">
        <w:rPr>
          <w:sz w:val="20"/>
          <w:lang w:val="es-ES_tradnl"/>
        </w:rPr>
        <w:t>1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F77F28" w:rsidRDefault="004A7C6F" w:rsidP="004A7C6F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BT.1895</w:t>
      </w:r>
      <w:r>
        <w:rPr>
          <w:rStyle w:val="FootnoteReference"/>
          <w:lang w:val="es-ES_tradnl"/>
        </w:rPr>
        <w:footnoteReference w:customMarkFollows="1" w:id="1"/>
        <w:t>*</w:t>
      </w:r>
    </w:p>
    <w:p w:rsidR="004A7C6F" w:rsidRPr="00971BEA" w:rsidRDefault="004A7C6F" w:rsidP="004A7C6F">
      <w:pPr>
        <w:pStyle w:val="Rectitle"/>
        <w:rPr>
          <w:lang w:val="es-ES_tradnl"/>
        </w:rPr>
      </w:pPr>
      <w:r w:rsidRPr="00971BEA">
        <w:rPr>
          <w:lang w:val="es-ES_tradnl"/>
        </w:rPr>
        <w:t>Criterios de protección para los sistemas de radiodifusión terrenal</w:t>
      </w:r>
    </w:p>
    <w:p w:rsidR="005C25F4" w:rsidRDefault="005C25F4" w:rsidP="004A7C6F">
      <w:pPr>
        <w:pStyle w:val="Recdate"/>
        <w:rPr>
          <w:lang w:val="es-ES_tradnl"/>
        </w:rPr>
      </w:pPr>
    </w:p>
    <w:p w:rsidR="004A7C6F" w:rsidRPr="00971BEA" w:rsidRDefault="004A7C6F" w:rsidP="004A7C6F">
      <w:pPr>
        <w:pStyle w:val="Recdate"/>
        <w:rPr>
          <w:lang w:val="es-ES_tradnl"/>
        </w:rPr>
      </w:pPr>
      <w:r w:rsidRPr="00971BEA">
        <w:rPr>
          <w:lang w:val="es-ES_tradnl"/>
        </w:rPr>
        <w:t>(2011)</w:t>
      </w:r>
    </w:p>
    <w:p w:rsidR="005C25F4" w:rsidRDefault="005C25F4" w:rsidP="005C25F4">
      <w:pPr>
        <w:rPr>
          <w:lang w:eastAsia="ja-JP"/>
        </w:rPr>
      </w:pPr>
    </w:p>
    <w:p w:rsidR="004A7C6F" w:rsidRPr="005C25F4" w:rsidRDefault="004A7C6F" w:rsidP="004A7C6F">
      <w:pPr>
        <w:pStyle w:val="HeadingSum"/>
        <w:rPr>
          <w:sz w:val="24"/>
          <w:lang w:eastAsia="ja-JP"/>
        </w:rPr>
      </w:pPr>
      <w:r w:rsidRPr="005C25F4">
        <w:rPr>
          <w:sz w:val="24"/>
          <w:lang w:eastAsia="ja-JP"/>
        </w:rPr>
        <w:t>Cometido</w:t>
      </w:r>
    </w:p>
    <w:p w:rsidR="004A7C6F" w:rsidRPr="005C25F4" w:rsidRDefault="004A7C6F" w:rsidP="004A7C6F">
      <w:pPr>
        <w:pStyle w:val="Summary"/>
        <w:spacing w:after="120"/>
        <w:rPr>
          <w:sz w:val="24"/>
        </w:rPr>
      </w:pPr>
      <w:r w:rsidRPr="005C25F4">
        <w:rPr>
          <w:sz w:val="24"/>
        </w:rPr>
        <w:t xml:space="preserve">En esta Recomendación se facilitan directrices para garantizar que los servicios de radiocomunicaciones y otras fuentes de emisión de radiofrecuencias no degraden la calidad de funcionamiento de los sistemas de radiodifusión terrenal más allá de lo aceptable. </w:t>
      </w:r>
    </w:p>
    <w:p w:rsidR="004A7C6F" w:rsidRPr="005C25F4" w:rsidRDefault="004A7C6F" w:rsidP="004A7C6F">
      <w:pPr>
        <w:pStyle w:val="Summary"/>
        <w:spacing w:after="120"/>
        <w:rPr>
          <w:sz w:val="24"/>
        </w:rPr>
      </w:pPr>
      <w:r w:rsidRPr="005C25F4">
        <w:rPr>
          <w:sz w:val="24"/>
        </w:rPr>
        <w:t>Teniendo en cuenta estas directrices, es posible que, en su caso, hayan de llevarse a cabo estudios de compatibilidad.</w:t>
      </w:r>
    </w:p>
    <w:p w:rsidR="004A7C6F" w:rsidRPr="005C25F4" w:rsidRDefault="004A7C6F" w:rsidP="004A7C6F">
      <w:pPr>
        <w:pStyle w:val="Summary"/>
        <w:rPr>
          <w:sz w:val="24"/>
        </w:rPr>
      </w:pPr>
      <w:r w:rsidRPr="005C25F4">
        <w:rPr>
          <w:sz w:val="24"/>
        </w:rPr>
        <w:t>La radiación por debajo de 30 MHz procedente de los «los sistemas de telecomunicaciones de alta velocidad de datos por líneas de transporte y distribución de energía eléctrica» se trata en la Recomendación UIT</w:t>
      </w:r>
      <w:r w:rsidRPr="005C25F4">
        <w:rPr>
          <w:sz w:val="24"/>
        </w:rPr>
        <w:noBreakHyphen/>
        <w:t>R SM.1879.</w:t>
      </w:r>
    </w:p>
    <w:p w:rsidR="005C25F4" w:rsidRDefault="005C25F4" w:rsidP="005C25F4">
      <w:pPr>
        <w:rPr>
          <w:lang w:eastAsia="ja-JP"/>
        </w:rPr>
      </w:pPr>
    </w:p>
    <w:p w:rsidR="004A7C6F" w:rsidRPr="00971BEA" w:rsidRDefault="004A7C6F" w:rsidP="004A7C6F">
      <w:pPr>
        <w:pStyle w:val="Normalaftertitle"/>
        <w:rPr>
          <w:lang w:val="es-ES_tradnl"/>
        </w:rPr>
      </w:pPr>
      <w:r w:rsidRPr="00971BEA">
        <w:rPr>
          <w:lang w:val="es-ES_tradnl"/>
        </w:rPr>
        <w:t>La Asamblea de Radiocomunicaciones de la UIT,</w:t>
      </w:r>
    </w:p>
    <w:p w:rsidR="004A7C6F" w:rsidRPr="00971BEA" w:rsidRDefault="004A7C6F" w:rsidP="004A7C6F">
      <w:pPr>
        <w:pStyle w:val="Call"/>
        <w:rPr>
          <w:lang w:val="es-ES_tradnl"/>
        </w:rPr>
      </w:pPr>
      <w:r w:rsidRPr="00971BEA">
        <w:rPr>
          <w:lang w:val="es-ES_tradnl"/>
        </w:rPr>
        <w:t>considerando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a)</w:t>
      </w:r>
      <w:r w:rsidRPr="00971BEA">
        <w:rPr>
          <w:lang w:val="es-ES_tradnl"/>
        </w:rPr>
        <w:tab/>
        <w:t>que el Artículo 5 del Reglamento de Radiocomunicaciones (RR) atribuye ciertas bandas de frecuencia</w:t>
      </w:r>
      <w:r>
        <w:rPr>
          <w:lang w:val="es-ES_tradnl"/>
        </w:rPr>
        <w:t>s</w:t>
      </w:r>
      <w:r w:rsidRPr="00971BEA">
        <w:rPr>
          <w:lang w:val="es-ES_tradnl"/>
        </w:rPr>
        <w:t xml:space="preserve"> a título primario al servicio de radiodifusión terrenal; 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b)</w:t>
      </w:r>
      <w:r w:rsidRPr="00971BEA">
        <w:rPr>
          <w:lang w:val="es-ES_tradnl"/>
        </w:rPr>
        <w:tab/>
        <w:t xml:space="preserve">que el servicio de radiodifusión terrenal se ha planificado inicialmente sobre una base de limitación del ruido, teniendo en cuenta el ruido intrínseco del receptor y el ruido radioeléctrico externo; 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c)</w:t>
      </w:r>
      <w:r w:rsidRPr="00971BEA">
        <w:rPr>
          <w:lang w:val="es-ES_tradnl"/>
        </w:rPr>
        <w:tab/>
        <w:t xml:space="preserve">que los servicios de radiodifusión también pueden planificarse sobre una base de limitación de la interferencia; 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d)</w:t>
      </w:r>
      <w:r w:rsidRPr="00971BEA">
        <w:rPr>
          <w:lang w:val="es-ES_tradnl"/>
        </w:rPr>
        <w:tab/>
        <w:t xml:space="preserve">que la Recomendación UIT-R P.372 describe niveles de ruido radioeléctrico externo; 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e)</w:t>
      </w:r>
      <w:r w:rsidRPr="00971BEA">
        <w:rPr>
          <w:lang w:val="es-ES_tradnl"/>
        </w:rPr>
        <w:tab/>
        <w:t>que la Recomendación UIT-R SM.1757 y el Informe UIT-R SM.2057 facilitan orientación acerca de los requisitos de protección para los distintos servicios de radiocomunicaciones en lo que respecta a las emisiones combinadas de dispositivos que utilizan tecnología de banda ultraancha;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f)</w:t>
      </w:r>
      <w:r w:rsidRPr="00971BEA">
        <w:rPr>
          <w:lang w:val="es-ES_tradnl"/>
        </w:rPr>
        <w:tab/>
        <w:t xml:space="preserve">que la Recomendación UIT-R SM.1879 facilita orientación acerca de los criterios de protección de los servicios de radiocomunicaciones en lo que respecta a la radiación combinada de los sistemas de telecomunicaciones por líneas de transporte y distribución de energía eléctrica en las bandas por debajo de 30 MHz; 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g)</w:t>
      </w:r>
      <w:r w:rsidRPr="00971BEA">
        <w:rPr>
          <w:lang w:val="es-ES_tradnl"/>
        </w:rPr>
        <w:tab/>
        <w:t xml:space="preserve">que los criterios de protección para ciertas aplicaciones de radiodifusión dentro de los servicios se han especificado en algunas Recomendaciones del UIT-R (por ejemplo la Recomendación UIT-R BT.1368) y en acuerdos regionales; </w:t>
      </w:r>
    </w:p>
    <w:p w:rsidR="004A7C6F" w:rsidRPr="00971BEA" w:rsidRDefault="004A7C6F" w:rsidP="004A7C6F">
      <w:pPr>
        <w:pStyle w:val="Call"/>
        <w:rPr>
          <w:lang w:val="es-ES_tradnl"/>
        </w:rPr>
      </w:pPr>
      <w:r w:rsidRPr="00971BEA">
        <w:rPr>
          <w:lang w:val="es-ES_tradnl"/>
        </w:rPr>
        <w:lastRenderedPageBreak/>
        <w:t>reconociendo</w:t>
      </w:r>
    </w:p>
    <w:p w:rsidR="004A7C6F" w:rsidRPr="00971BEA" w:rsidRDefault="004A7C6F" w:rsidP="005C25F4">
      <w:pPr>
        <w:keepLines/>
        <w:rPr>
          <w:lang w:val="es-ES_tradnl"/>
        </w:rPr>
      </w:pPr>
      <w:r w:rsidRPr="00971BEA">
        <w:rPr>
          <w:lang w:val="es-ES_tradnl"/>
        </w:rPr>
        <w:t>a)</w:t>
      </w:r>
      <w:r w:rsidRPr="00971BEA">
        <w:rPr>
          <w:lang w:val="es-ES_tradnl"/>
        </w:rPr>
        <w:tab/>
        <w:t>las oblig</w:t>
      </w:r>
      <w:bookmarkStart w:id="4" w:name="_GoBack"/>
      <w:bookmarkEnd w:id="4"/>
      <w:r w:rsidRPr="00971BEA">
        <w:rPr>
          <w:lang w:val="es-ES_tradnl"/>
        </w:rPr>
        <w:t>aciones que recaen sobre las administraciones con arreglo a los Artículos 42 y 45 de la Constitución de la UIT (números C</w:t>
      </w:r>
      <w:r>
        <w:rPr>
          <w:lang w:val="es-ES_tradnl"/>
        </w:rPr>
        <w:t>S</w:t>
      </w:r>
      <w:r w:rsidRPr="00971BEA">
        <w:rPr>
          <w:lang w:val="es-ES_tradnl"/>
        </w:rPr>
        <w:t xml:space="preserve"> 193, C</w:t>
      </w:r>
      <w:r>
        <w:rPr>
          <w:lang w:val="es-ES_tradnl"/>
        </w:rPr>
        <w:t>S</w:t>
      </w:r>
      <w:r w:rsidRPr="00971BEA">
        <w:rPr>
          <w:lang w:val="es-ES_tradnl"/>
        </w:rPr>
        <w:t xml:space="preserve"> 197, C</w:t>
      </w:r>
      <w:r>
        <w:rPr>
          <w:lang w:val="es-ES_tradnl"/>
        </w:rPr>
        <w:t>S</w:t>
      </w:r>
      <w:r w:rsidRPr="00971BEA">
        <w:rPr>
          <w:lang w:val="es-ES_tradnl"/>
        </w:rPr>
        <w:t xml:space="preserve"> 198 y C</w:t>
      </w:r>
      <w:r>
        <w:rPr>
          <w:lang w:val="es-ES_tradnl"/>
        </w:rPr>
        <w:t>S</w:t>
      </w:r>
      <w:r w:rsidRPr="00971BEA">
        <w:rPr>
          <w:lang w:val="es-ES_tradnl"/>
        </w:rPr>
        <w:t xml:space="preserve"> 199) para garantizar la disponibilidad continua del espectro de radiofrecuencias y protegerse frente a las interferencias perjudiciales,</w:t>
      </w:r>
    </w:p>
    <w:p w:rsidR="004A7C6F" w:rsidRPr="00971BEA" w:rsidRDefault="004A7C6F" w:rsidP="004A7C6F">
      <w:pPr>
        <w:pStyle w:val="Call"/>
        <w:rPr>
          <w:lang w:val="es-ES_tradnl"/>
        </w:rPr>
      </w:pPr>
      <w:r w:rsidRPr="00971BEA">
        <w:rPr>
          <w:lang w:val="es-ES_tradnl"/>
        </w:rPr>
        <w:t>observando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lang w:val="es-ES_tradnl"/>
        </w:rPr>
        <w:t>a)</w:t>
      </w:r>
      <w:r w:rsidRPr="00971BEA">
        <w:rPr>
          <w:lang w:val="es-ES_tradnl"/>
        </w:rPr>
        <w:tab/>
        <w:t>que en el caso específico de las emisiones procedentes de los sistemas de telecomunicaciones de alta velocidad de datos por líneas de transporte y distribución de energía eléctrica (PLT) en las bandas por debajo de 30 MHz se aplican las disposiciones de l</w:t>
      </w:r>
      <w:r>
        <w:rPr>
          <w:lang w:val="es-ES_tradnl"/>
        </w:rPr>
        <w:t>a Recomendación UIT-R SM.1879,</w:t>
      </w:r>
    </w:p>
    <w:p w:rsidR="004A7C6F" w:rsidRPr="00971BEA" w:rsidRDefault="004A7C6F" w:rsidP="004A7C6F">
      <w:pPr>
        <w:pStyle w:val="Call"/>
        <w:rPr>
          <w:lang w:val="es-ES_tradnl"/>
        </w:rPr>
      </w:pPr>
      <w:r w:rsidRPr="00971BEA">
        <w:rPr>
          <w:lang w:val="es-ES_tradnl"/>
        </w:rPr>
        <w:t>recomienda</w:t>
      </w:r>
    </w:p>
    <w:p w:rsidR="004A7C6F" w:rsidRPr="00971BEA" w:rsidRDefault="004A7C6F" w:rsidP="004A7C6F">
      <w:pPr>
        <w:rPr>
          <w:lang w:val="es-ES_tradnl"/>
        </w:rPr>
      </w:pPr>
      <w:r w:rsidRPr="00971BEA">
        <w:rPr>
          <w:b/>
          <w:lang w:val="es-ES_tradnl"/>
        </w:rPr>
        <w:t>1</w:t>
      </w:r>
      <w:r w:rsidRPr="00971BEA">
        <w:rPr>
          <w:lang w:val="es-ES_tradnl"/>
        </w:rPr>
        <w:tab/>
        <w:t xml:space="preserve">que los valores de los </w:t>
      </w:r>
      <w:r w:rsidRPr="00971BEA">
        <w:rPr>
          <w:i/>
          <w:iCs/>
          <w:lang w:val="es-ES_tradnl"/>
        </w:rPr>
        <w:t>recomienda</w:t>
      </w:r>
      <w:r w:rsidRPr="00971BEA">
        <w:rPr>
          <w:lang w:val="es-ES_tradnl"/>
        </w:rPr>
        <w:t xml:space="preserve"> 2 y 3 se utilicen como referencias, por encima de las cuales deberían llevarse a cabo estudios de compatibilidad acerca del efecto de las radiaciones y emisiones de otras aplicaciones y servicios en el servicio de radiocomunicaciones;</w:t>
      </w:r>
    </w:p>
    <w:p w:rsidR="004A7C6F" w:rsidRPr="00971BEA" w:rsidRDefault="004A7C6F" w:rsidP="004A7C6F">
      <w:pPr>
        <w:rPr>
          <w:lang w:val="es-ES_tradnl"/>
        </w:rPr>
      </w:pPr>
      <w:r w:rsidRPr="00B3170A">
        <w:rPr>
          <w:b/>
          <w:bCs/>
          <w:lang w:val="es-ES_tradnl"/>
        </w:rPr>
        <w:t>2</w:t>
      </w:r>
      <w:r w:rsidRPr="00971BEA">
        <w:rPr>
          <w:lang w:val="es-ES_tradnl"/>
        </w:rPr>
        <w:tab/>
        <w:t>que la interferencia total en el receptor procedente de todas las radiaciones y emisiones sin una atribución correspondiente de frecuencia en el Reglamento de Radiocomunicaciones no deberá superar el 1</w:t>
      </w:r>
      <w:r>
        <w:rPr>
          <w:lang w:val="es-ES_tradnl"/>
        </w:rPr>
        <w:t>%</w:t>
      </w:r>
      <w:r w:rsidRPr="00971BEA">
        <w:rPr>
          <w:lang w:val="es-ES_tradnl"/>
        </w:rPr>
        <w:t xml:space="preserve"> de la potencia de ruido total del sistema receptor</w:t>
      </w:r>
      <w:r w:rsidRPr="00971BEA">
        <w:rPr>
          <w:rStyle w:val="FootnoteReference"/>
          <w:lang w:val="es-ES_tradnl"/>
        </w:rPr>
        <w:footnoteReference w:id="2"/>
      </w:r>
      <w:r w:rsidRPr="00971BEA">
        <w:rPr>
          <w:lang w:val="es-ES_tradnl"/>
        </w:rPr>
        <w:t>;</w:t>
      </w:r>
    </w:p>
    <w:p w:rsidR="004A7C6F" w:rsidRDefault="004A7C6F" w:rsidP="004A7C6F">
      <w:pPr>
        <w:rPr>
          <w:lang w:val="es-ES_tradnl"/>
        </w:rPr>
      </w:pPr>
      <w:r w:rsidRPr="00B3170A">
        <w:rPr>
          <w:b/>
          <w:bCs/>
          <w:lang w:val="es-ES_tradnl"/>
        </w:rPr>
        <w:t>3</w:t>
      </w:r>
      <w:r w:rsidRPr="00971BEA">
        <w:rPr>
          <w:lang w:val="es-ES_tradnl"/>
        </w:rPr>
        <w:tab/>
        <w:t>que la interferencia total en el receptor ocasionada a partir de todas las fuentes de emisiones de radiofrecuencia procedente de los servicios de radiocomunicaciones con la correspondiente atribución de frecuencia a título primario en igualdad de condiciones no deberá superar el 10</w:t>
      </w:r>
      <w:r>
        <w:rPr>
          <w:lang w:val="es-ES_tradnl"/>
        </w:rPr>
        <w:t>%</w:t>
      </w:r>
      <w:r w:rsidRPr="00971BEA">
        <w:rPr>
          <w:lang w:val="es-ES_tradnl"/>
        </w:rPr>
        <w:t xml:space="preserve"> de la potencia de ruido total del sistema receptor.</w:t>
      </w:r>
    </w:p>
    <w:p w:rsidR="004A7C6F" w:rsidRDefault="004A7C6F" w:rsidP="004A7C6F">
      <w:pPr>
        <w:rPr>
          <w:lang w:val="es-ES_tradnl"/>
        </w:rPr>
      </w:pPr>
    </w:p>
    <w:p w:rsidR="004A7C6F" w:rsidRDefault="004A7C6F" w:rsidP="004A7C6F">
      <w:pPr>
        <w:rPr>
          <w:lang w:val="es-ES_tradnl"/>
        </w:rPr>
      </w:pPr>
    </w:p>
    <w:p w:rsidR="004A7C6F" w:rsidRPr="004A7C6F" w:rsidRDefault="004A7C6F" w:rsidP="004A7C6F">
      <w:pPr>
        <w:pStyle w:val="Line"/>
        <w:rPr>
          <w:lang w:val="es-ES_tradnl"/>
        </w:rPr>
      </w:pPr>
    </w:p>
    <w:sectPr w:rsidR="004A7C6F" w:rsidRPr="004A7C6F" w:rsidSect="00344123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  <w:footnote w:id="1">
    <w:p w:rsidR="004A7C6F" w:rsidRPr="004A7C6F" w:rsidRDefault="004A7C6F">
      <w:pPr>
        <w:pStyle w:val="FootnoteText"/>
        <w:rPr>
          <w:lang w:val="es-ES_tradnl"/>
        </w:rPr>
      </w:pPr>
      <w:r w:rsidRPr="004A7C6F">
        <w:rPr>
          <w:rStyle w:val="FootnoteReference"/>
          <w:lang w:val="es-ES_tradnl"/>
        </w:rPr>
        <w:t>*</w:t>
      </w:r>
      <w:r w:rsidRPr="004A7C6F">
        <w:rPr>
          <w:lang w:val="es-ES_tradnl"/>
        </w:rPr>
        <w:tab/>
      </w:r>
      <w:r>
        <w:rPr>
          <w:lang w:val="es-ES_tradnl"/>
        </w:rPr>
        <w:t>Tras la aprobación de esta Recomendación por la Comisión de Estudio 6 de Radiocomunicaciones, deberían suprimirse las Recomendaciones UIT-R BS/UIT-R BT.1786.</w:t>
      </w:r>
    </w:p>
  </w:footnote>
  <w:footnote w:id="2">
    <w:p w:rsidR="004A7C6F" w:rsidRPr="00451F6A" w:rsidRDefault="004A7C6F" w:rsidP="004A7C6F">
      <w:pPr>
        <w:pStyle w:val="FootnoteText"/>
        <w:rPr>
          <w:lang w:val="es-ES_tradnl"/>
        </w:rPr>
      </w:pPr>
      <w:r>
        <w:rPr>
          <w:rStyle w:val="FootnoteReference"/>
        </w:rPr>
        <w:footnoteRef/>
      </w:r>
      <w:r>
        <w:rPr>
          <w:lang w:val="es-ES_tradnl"/>
        </w:rPr>
        <w:tab/>
        <w:t>Salvo la radiación procedente de dispositivos PLT por debajo de 30 MHz.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CC6858" w:rsidP="009E1F8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10A38520" wp14:editId="6C36C3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F35BE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C25F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fldSimple w:instr=" DOCPROPERTY &quot;Header&quot; \* MERGEFORMAT ">
      <w:r w:rsidR="005C25F4" w:rsidRPr="005C25F4">
        <w:rPr>
          <w:b/>
          <w:bCs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5C25F4">
      <w:rPr>
        <w:b/>
        <w:bCs/>
        <w:noProof/>
      </w:rPr>
      <w:t>UIT-R  BT.1895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</w:pPr>
    <w:r>
      <w:tab/>
    </w:r>
    <w:fldSimple w:instr=" DOCPROPERTY &quot;Header&quot; \* MERGEFORMAT ">
      <w:r w:rsidR="005C25F4" w:rsidRPr="005C25F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5C25F4">
      <w:rPr>
        <w:b/>
        <w:bCs/>
        <w:noProof/>
      </w:rPr>
      <w:t>UIT-R  BT.1895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35BE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F35BE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C25F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fldSimple w:instr=" DOCPROPERTY &quot;Header&quot; \* MERGEFORMAT ">
      <w:r w:rsidR="005C25F4" w:rsidRPr="005C25F4">
        <w:rPr>
          <w:b/>
          <w:bCs/>
          <w:lang w:val="en-US"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C25F4">
      <w:rPr>
        <w:b/>
        <w:bCs/>
        <w:noProof/>
      </w:rPr>
      <w:t>UIT-R  BT.1895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473" w:rsidRDefault="00987473">
    <w:pPr>
      <w:pStyle w:val="Header"/>
    </w:pPr>
    <w:r>
      <w:tab/>
    </w:r>
    <w:fldSimple w:instr=" DOCPROPERTY &quot;Header&quot; \* MERGEFORMAT ">
      <w:r w:rsidR="005C25F4" w:rsidRPr="005C25F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5C25F4">
      <w:rPr>
        <w:b/>
        <w:bCs/>
        <w:noProof/>
      </w:rPr>
      <w:t>UIT-R  BT.1895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 w:rsidR="005C25F4">
      <w:rPr>
        <w:rStyle w:val="PageNumber"/>
        <w:b/>
        <w:bCs/>
        <w:noProof/>
      </w:rPr>
      <w:t>1</w:t>
    </w:r>
    <w:r w:rsidR="00F35BE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28"/>
    <w:rsid w:val="00091138"/>
    <w:rsid w:val="001E29DB"/>
    <w:rsid w:val="00227CED"/>
    <w:rsid w:val="0025326C"/>
    <w:rsid w:val="00284AF8"/>
    <w:rsid w:val="002D76C4"/>
    <w:rsid w:val="0032222F"/>
    <w:rsid w:val="00344123"/>
    <w:rsid w:val="00363854"/>
    <w:rsid w:val="003829F0"/>
    <w:rsid w:val="004156D2"/>
    <w:rsid w:val="004452A9"/>
    <w:rsid w:val="00474E13"/>
    <w:rsid w:val="004A7C6F"/>
    <w:rsid w:val="005726A7"/>
    <w:rsid w:val="005777F3"/>
    <w:rsid w:val="005C25F4"/>
    <w:rsid w:val="005F43D1"/>
    <w:rsid w:val="00607D68"/>
    <w:rsid w:val="00633625"/>
    <w:rsid w:val="006553B9"/>
    <w:rsid w:val="006818DE"/>
    <w:rsid w:val="00684CC5"/>
    <w:rsid w:val="006C7692"/>
    <w:rsid w:val="00721270"/>
    <w:rsid w:val="00841C89"/>
    <w:rsid w:val="008B6031"/>
    <w:rsid w:val="00930489"/>
    <w:rsid w:val="00954D24"/>
    <w:rsid w:val="00965853"/>
    <w:rsid w:val="00987473"/>
    <w:rsid w:val="009940E7"/>
    <w:rsid w:val="009E1F8B"/>
    <w:rsid w:val="009E470E"/>
    <w:rsid w:val="00A26FDC"/>
    <w:rsid w:val="00A43420"/>
    <w:rsid w:val="00A6617B"/>
    <w:rsid w:val="00AB0DC8"/>
    <w:rsid w:val="00AE798C"/>
    <w:rsid w:val="00AF6707"/>
    <w:rsid w:val="00B44E24"/>
    <w:rsid w:val="00C058C9"/>
    <w:rsid w:val="00C23DBD"/>
    <w:rsid w:val="00CC6858"/>
    <w:rsid w:val="00CD276D"/>
    <w:rsid w:val="00DF4176"/>
    <w:rsid w:val="00E35FD1"/>
    <w:rsid w:val="00EB1B24"/>
    <w:rsid w:val="00F16D82"/>
    <w:rsid w:val="00F35BEB"/>
    <w:rsid w:val="00F77F28"/>
    <w:rsid w:val="00FE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A7C6F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6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CC685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C685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CC685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CC685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CC6858"/>
    <w:pPr>
      <w:outlineLvl w:val="4"/>
    </w:pPr>
  </w:style>
  <w:style w:type="paragraph" w:styleId="Heading6">
    <w:name w:val="heading 6"/>
    <w:basedOn w:val="Heading4"/>
    <w:next w:val="Normal"/>
    <w:qFormat/>
    <w:rsid w:val="00CC685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C6858"/>
    <w:pPr>
      <w:outlineLvl w:val="6"/>
    </w:pPr>
  </w:style>
  <w:style w:type="paragraph" w:styleId="Heading8">
    <w:name w:val="heading 8"/>
    <w:basedOn w:val="Heading6"/>
    <w:next w:val="Normal"/>
    <w:qFormat/>
    <w:rsid w:val="00CC6858"/>
    <w:pPr>
      <w:outlineLvl w:val="7"/>
    </w:pPr>
  </w:style>
  <w:style w:type="paragraph" w:styleId="Heading9">
    <w:name w:val="heading 9"/>
    <w:basedOn w:val="Heading6"/>
    <w:next w:val="Normal"/>
    <w:qFormat/>
    <w:rsid w:val="00CC685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CC6858"/>
  </w:style>
  <w:style w:type="paragraph" w:customStyle="1" w:styleId="Headingb">
    <w:name w:val="Heading_b"/>
    <w:basedOn w:val="Heading3"/>
    <w:next w:val="Normal"/>
    <w:rsid w:val="00CC685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C685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CC6858"/>
  </w:style>
  <w:style w:type="paragraph" w:customStyle="1" w:styleId="enumlev1">
    <w:name w:val="enumlev1"/>
    <w:basedOn w:val="Normal"/>
    <w:rsid w:val="00CC6858"/>
    <w:pPr>
      <w:spacing w:before="80"/>
      <w:ind w:left="794" w:hanging="794"/>
    </w:pPr>
  </w:style>
  <w:style w:type="paragraph" w:customStyle="1" w:styleId="enumlev2">
    <w:name w:val="enumlev2"/>
    <w:basedOn w:val="enumlev1"/>
    <w:rsid w:val="00CC6858"/>
    <w:pPr>
      <w:ind w:left="1191" w:hanging="397"/>
    </w:pPr>
  </w:style>
  <w:style w:type="paragraph" w:customStyle="1" w:styleId="enumlev3">
    <w:name w:val="enumlev3"/>
    <w:basedOn w:val="enumlev2"/>
    <w:rsid w:val="00CC6858"/>
    <w:pPr>
      <w:ind w:left="1588"/>
    </w:pPr>
  </w:style>
  <w:style w:type="paragraph" w:customStyle="1" w:styleId="Normalaftertitle">
    <w:name w:val="Normal_after_title"/>
    <w:basedOn w:val="Normal"/>
    <w:next w:val="Normal"/>
    <w:rsid w:val="00CC6858"/>
    <w:pPr>
      <w:spacing w:before="320"/>
    </w:pPr>
  </w:style>
  <w:style w:type="paragraph" w:customStyle="1" w:styleId="Note">
    <w:name w:val="Note"/>
    <w:basedOn w:val="Normal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CC6858"/>
    <w:pPr>
      <w:jc w:val="center"/>
    </w:pPr>
  </w:style>
  <w:style w:type="paragraph" w:customStyle="1" w:styleId="Recdate">
    <w:name w:val="Rec_date"/>
    <w:basedOn w:val="Recref"/>
    <w:next w:val="Normalaftertitle"/>
    <w:rsid w:val="00CC6858"/>
    <w:pPr>
      <w:jc w:val="right"/>
    </w:pPr>
  </w:style>
  <w:style w:type="paragraph" w:customStyle="1" w:styleId="HeadingSum">
    <w:name w:val="Heading_Sum"/>
    <w:basedOn w:val="Headingb"/>
    <w:next w:val="Normal"/>
    <w:rsid w:val="00CC6858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CC685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CC6858"/>
  </w:style>
  <w:style w:type="paragraph" w:customStyle="1" w:styleId="Tablefin">
    <w:name w:val="Table_fin"/>
    <w:basedOn w:val="Normal"/>
    <w:next w:val="Normal"/>
    <w:rsid w:val="00CC685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C685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CC685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CC685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CC685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C685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C6858"/>
    <w:pPr>
      <w:ind w:left="794"/>
    </w:pPr>
  </w:style>
  <w:style w:type="paragraph" w:customStyle="1" w:styleId="Figurelegend">
    <w:name w:val="Figure_legend"/>
    <w:basedOn w:val="Normal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C6858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CC685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CC6858"/>
    <w:pPr>
      <w:keepNext w:val="0"/>
      <w:spacing w:before="0" w:after="240"/>
    </w:pPr>
  </w:style>
  <w:style w:type="paragraph" w:customStyle="1" w:styleId="tocpart">
    <w:name w:val="tocpart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CC685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CC685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C685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C6858"/>
    <w:rPr>
      <w:b/>
    </w:rPr>
  </w:style>
  <w:style w:type="paragraph" w:customStyle="1" w:styleId="Chaptitle">
    <w:name w:val="Chap_title"/>
    <w:basedOn w:val="Arttitle"/>
    <w:next w:val="Normalaftertitle"/>
    <w:rsid w:val="00CC6858"/>
  </w:style>
  <w:style w:type="character" w:styleId="FootnoteReference">
    <w:name w:val="footnote reference"/>
    <w:basedOn w:val="DefaultParagraphFont"/>
    <w:semiHidden/>
    <w:rsid w:val="00CC6858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CC685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CC6858"/>
  </w:style>
  <w:style w:type="paragraph" w:styleId="Index2">
    <w:name w:val="index 2"/>
    <w:basedOn w:val="Normal"/>
    <w:next w:val="Normal"/>
    <w:semiHidden/>
    <w:rsid w:val="00CC6858"/>
    <w:pPr>
      <w:ind w:left="283"/>
    </w:pPr>
  </w:style>
  <w:style w:type="paragraph" w:styleId="Index3">
    <w:name w:val="index 3"/>
    <w:basedOn w:val="Normal"/>
    <w:next w:val="Normal"/>
    <w:semiHidden/>
    <w:rsid w:val="00CC6858"/>
    <w:pPr>
      <w:ind w:left="566"/>
    </w:pPr>
  </w:style>
  <w:style w:type="paragraph" w:styleId="IndexHeading">
    <w:name w:val="index heading"/>
    <w:basedOn w:val="Normal"/>
    <w:next w:val="Index1"/>
    <w:semiHidden/>
    <w:rsid w:val="00CC6858"/>
  </w:style>
  <w:style w:type="paragraph" w:customStyle="1" w:styleId="Line">
    <w:name w:val="Line"/>
    <w:basedOn w:val="Normal"/>
    <w:next w:val="Normal"/>
    <w:rsid w:val="00CC685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C685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C6858"/>
  </w:style>
  <w:style w:type="paragraph" w:customStyle="1" w:styleId="Partref">
    <w:name w:val="Part_ref"/>
    <w:basedOn w:val="Normal"/>
    <w:next w:val="Normal"/>
    <w:rsid w:val="00CC685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C6858"/>
  </w:style>
  <w:style w:type="paragraph" w:customStyle="1" w:styleId="QuestionNo">
    <w:name w:val="Question_No"/>
    <w:basedOn w:val="RecNo"/>
    <w:next w:val="Normal"/>
    <w:rsid w:val="00CC6858"/>
  </w:style>
  <w:style w:type="paragraph" w:customStyle="1" w:styleId="Questionref">
    <w:name w:val="Question_ref"/>
    <w:basedOn w:val="Recref"/>
    <w:next w:val="Questiondate"/>
    <w:rsid w:val="00CC6858"/>
  </w:style>
  <w:style w:type="paragraph" w:customStyle="1" w:styleId="Questiontitle">
    <w:name w:val="Question_title"/>
    <w:basedOn w:val="Normal"/>
    <w:next w:val="Questionref"/>
    <w:rsid w:val="00CC6858"/>
  </w:style>
  <w:style w:type="paragraph" w:customStyle="1" w:styleId="Reftext">
    <w:name w:val="Ref_text"/>
    <w:basedOn w:val="Normal"/>
    <w:rsid w:val="00CC685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CC685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CC6858"/>
  </w:style>
  <w:style w:type="paragraph" w:customStyle="1" w:styleId="RepNo">
    <w:name w:val="Rep_No"/>
    <w:basedOn w:val="RecNo"/>
    <w:next w:val="Reptitle"/>
    <w:rsid w:val="00CC6858"/>
  </w:style>
  <w:style w:type="paragraph" w:customStyle="1" w:styleId="Reptitle">
    <w:name w:val="Rep_title"/>
    <w:basedOn w:val="Rectitle"/>
    <w:next w:val="Repref"/>
    <w:rsid w:val="00CC6858"/>
  </w:style>
  <w:style w:type="paragraph" w:customStyle="1" w:styleId="Repref">
    <w:name w:val="Rep_ref"/>
    <w:basedOn w:val="Recref"/>
    <w:next w:val="Repdate"/>
    <w:rsid w:val="00CC6858"/>
  </w:style>
  <w:style w:type="paragraph" w:customStyle="1" w:styleId="Resdate">
    <w:name w:val="Res_date"/>
    <w:basedOn w:val="Recdate"/>
    <w:next w:val="Normalaftertitle"/>
    <w:rsid w:val="00CC6858"/>
  </w:style>
  <w:style w:type="paragraph" w:customStyle="1" w:styleId="ResNo">
    <w:name w:val="Res_No"/>
    <w:basedOn w:val="RecNo"/>
    <w:next w:val="Restitle"/>
    <w:rsid w:val="00CC6858"/>
  </w:style>
  <w:style w:type="paragraph" w:customStyle="1" w:styleId="Restitle">
    <w:name w:val="Res_title"/>
    <w:basedOn w:val="Normal"/>
    <w:next w:val="Resref"/>
    <w:rsid w:val="00CC685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CC6858"/>
  </w:style>
  <w:style w:type="paragraph" w:customStyle="1" w:styleId="SectionNo">
    <w:name w:val="Section_No"/>
    <w:basedOn w:val="Normal"/>
    <w:next w:val="Normal"/>
    <w:rsid w:val="00CC6858"/>
  </w:style>
  <w:style w:type="paragraph" w:customStyle="1" w:styleId="Sectiontitle">
    <w:name w:val="Section_title"/>
    <w:basedOn w:val="Normal"/>
    <w:next w:val="Normalaftertitle"/>
    <w:rsid w:val="00CC685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CC685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CC685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CC685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C685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C685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C6858"/>
  </w:style>
  <w:style w:type="paragraph" w:styleId="TOC6">
    <w:name w:val="toc 6"/>
    <w:basedOn w:val="TOC4"/>
    <w:semiHidden/>
    <w:rsid w:val="00CC6858"/>
  </w:style>
  <w:style w:type="paragraph" w:styleId="TOC7">
    <w:name w:val="toc 7"/>
    <w:basedOn w:val="TOC4"/>
    <w:semiHidden/>
    <w:rsid w:val="00CC6858"/>
  </w:style>
  <w:style w:type="paragraph" w:styleId="TOC8">
    <w:name w:val="toc 8"/>
    <w:basedOn w:val="TOC4"/>
    <w:semiHidden/>
    <w:rsid w:val="00CC6858"/>
  </w:style>
  <w:style w:type="paragraph" w:customStyle="1" w:styleId="Annexref">
    <w:name w:val="Annex_ref"/>
    <w:basedOn w:val="Normal"/>
    <w:next w:val="Normalaftertitle"/>
    <w:rsid w:val="00CC685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C6858"/>
  </w:style>
  <w:style w:type="paragraph" w:customStyle="1" w:styleId="Tabletitle">
    <w:name w:val="Table_title"/>
    <w:basedOn w:val="Normal"/>
    <w:next w:val="Tablehead"/>
    <w:rsid w:val="00CC685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C6858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CC6858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4A7C6F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publ/R-REC/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s)" TargetMode="Externa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5EDDA-2D21-44CC-B558-CF39FC22B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</TotalTime>
  <Pages>4</Pages>
  <Words>915</Words>
  <Characters>5581</Characters>
  <Application>Microsoft Office Word</Application>
  <DocSecurity>0</DocSecurity>
  <Lines>164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BT.1895* - Criterios de protección para los sistemas de radiodifusión terrenal</vt:lpstr>
    </vt:vector>
  </TitlesOfParts>
  <Manager/>
  <Company>ITU</Company>
  <LinksUpToDate>false</LinksUpToDate>
  <CharactersWithSpaces>6406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BT.1895* - Criterios de protección para los sistemas de radiodifusión terrenal</dc:title>
  <dc:subject>Serie BT = Servicio de radiodifusión (televisión)</dc:subject>
  <dc:creator>Oficina de Radiocomunicaciones del UIT (BR)</dc:creator>
  <cp:keywords>BT,1895*</cp:keywords>
  <dc:description>Santosbo, 08.07.2011, MSB106309</dc:description>
  <cp:lastModifiedBy>santosbo</cp:lastModifiedBy>
  <cp:revision>3</cp:revision>
  <cp:lastPrinted>2009-08-04T08:05:00Z</cp:lastPrinted>
  <dcterms:created xsi:type="dcterms:W3CDTF">2011-07-08T10:17:00Z</dcterms:created>
  <dcterms:modified xsi:type="dcterms:W3CDTF">2011-07-08T10:19:00Z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08 July 2011</vt:lpwstr>
  </property>
</Properties>
</file>