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55A9" w:rsidTr="006B55A9">
        <w:tc>
          <w:tcPr>
            <w:tcW w:w="10089" w:type="dxa"/>
          </w:tcPr>
          <w:p w:rsidR="00276D21" w:rsidRPr="006B55A9" w:rsidRDefault="00276D21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6B55A9" w:rsidRDefault="00FE79FE" w:rsidP="00BF4B4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7D3B79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BF4B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1895</w:t>
            </w:r>
          </w:p>
          <w:p w:rsidR="00FE79FE" w:rsidRPr="006B55A9" w:rsidRDefault="007D3B79" w:rsidP="00BF4B4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F4B4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05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BF4B4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E74F18" w:rsidTr="006B55A9">
        <w:tc>
          <w:tcPr>
            <w:tcW w:w="10089" w:type="dxa"/>
          </w:tcPr>
          <w:p w:rsidR="00013002" w:rsidRPr="00BF4B4F" w:rsidRDefault="00013002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77270F" w:rsidRPr="006B55A9" w:rsidRDefault="00BF4B4F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Protection criteria for terrestrial broadcasting systems</w:t>
            </w:r>
          </w:p>
          <w:p w:rsidR="00FE79FE" w:rsidRPr="006B55A9" w:rsidRDefault="007D3B79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FE79FE" w:rsidRPr="00E74F18" w:rsidTr="006B55A9">
        <w:tc>
          <w:tcPr>
            <w:tcW w:w="10089" w:type="dxa"/>
          </w:tcPr>
          <w:p w:rsidR="005A1836" w:rsidRPr="00BF4B4F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F4B4F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BF4B4F" w:rsidRDefault="005A1836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6B55A9" w:rsidRDefault="007D3B79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4365E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Broadcasting 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service</w:t>
            </w:r>
          </w:p>
          <w:p w:rsidR="00FE79F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FE79FE" w:rsidRPr="006B55A9" w:rsidRDefault="00FE79FE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D3B79" w:rsidRPr="00586EF8" w:rsidRDefault="007D3B79" w:rsidP="007D3B7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D3B79" w:rsidRDefault="007D3B79" w:rsidP="007D3B7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D3B79" w:rsidRDefault="007D3B79" w:rsidP="007D3B7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D3B79" w:rsidRPr="00B714F3" w:rsidRDefault="007D3B79" w:rsidP="007D3B7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D3B79" w:rsidRPr="00B714F3" w:rsidRDefault="007D3B79" w:rsidP="00A766F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 w:rsidR="00A766F4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Default="007D3B79" w:rsidP="007D3B7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D3B79" w:rsidRPr="00E74F18" w:rsidTr="00220899">
        <w:tc>
          <w:tcPr>
            <w:tcW w:w="9360" w:type="dxa"/>
            <w:gridSpan w:val="2"/>
          </w:tcPr>
          <w:p w:rsidR="007D3B79" w:rsidRPr="00036EE3" w:rsidRDefault="007D3B79" w:rsidP="0022089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9E0BFE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D3B79" w:rsidRPr="00E74F18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D3B79" w:rsidRPr="00036EE3" w:rsidTr="007D3B79">
        <w:tc>
          <w:tcPr>
            <w:tcW w:w="1140" w:type="dxa"/>
            <w:tcBorders>
              <w:bottom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D3B79" w:rsidRPr="00ED2695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D3B79" w:rsidRPr="005E02E1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7D3B79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220899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D3B79" w:rsidRPr="00E74F18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D3B79" w:rsidRPr="00E74F18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D3B79" w:rsidRPr="00036EE3" w:rsidRDefault="007D3B79" w:rsidP="007D3B79">
      <w:pPr>
        <w:spacing w:before="30" w:after="30"/>
        <w:jc w:val="center"/>
        <w:rPr>
          <w:sz w:val="20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D3B79" w:rsidRPr="00E74F18" w:rsidTr="006B55A9">
        <w:tc>
          <w:tcPr>
            <w:tcW w:w="9360" w:type="dxa"/>
          </w:tcPr>
          <w:p w:rsidR="007D3B79" w:rsidRPr="006B55A9" w:rsidRDefault="007D3B79" w:rsidP="006B55A9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Pr="002F5199" w:rsidRDefault="007D3B79" w:rsidP="007D3B7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D3B79" w:rsidRPr="002F5199" w:rsidRDefault="007D3B79" w:rsidP="0016134B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C7439E">
        <w:rPr>
          <w:sz w:val="20"/>
          <w:lang w:val="en-US"/>
        </w:rPr>
        <w:t>1</w:t>
      </w:r>
      <w:r w:rsidR="0016134B">
        <w:rPr>
          <w:sz w:val="20"/>
          <w:lang w:val="en-US"/>
        </w:rPr>
        <w:t>1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Pr="00470E28" w:rsidRDefault="007D3B79" w:rsidP="0016134B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C7439E">
        <w:rPr>
          <w:sz w:val="20"/>
          <w:lang w:val="en-US"/>
        </w:rPr>
        <w:t>1</w:t>
      </w:r>
      <w:r w:rsidR="0016134B">
        <w:rPr>
          <w:sz w:val="20"/>
          <w:lang w:val="en-US"/>
        </w:rPr>
        <w:t>1</w:t>
      </w:r>
    </w:p>
    <w:p w:rsidR="007D3B79" w:rsidRPr="00470E28" w:rsidRDefault="007D3B79" w:rsidP="007D3B7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220899">
      <w:pPr>
        <w:spacing w:before="160"/>
        <w:rPr>
          <w:i/>
          <w:sz w:val="20"/>
          <w:lang w:val="en-US"/>
        </w:rPr>
        <w:sectPr w:rsidR="007565CC" w:rsidSect="007565C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Default="00BF4B4F" w:rsidP="00BF4B4F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1895</w:t>
      </w:r>
      <w:r>
        <w:rPr>
          <w:rStyle w:val="FootnoteReference"/>
          <w:lang w:val="en-US"/>
        </w:rPr>
        <w:footnoteReference w:customMarkFollows="1" w:id="1"/>
        <w:t>*</w:t>
      </w:r>
    </w:p>
    <w:p w:rsidR="00BF4B4F" w:rsidRDefault="00BF4B4F" w:rsidP="00BF4B4F">
      <w:pPr>
        <w:pStyle w:val="Rectitle"/>
        <w:rPr>
          <w:lang w:val="en-GB"/>
        </w:rPr>
      </w:pPr>
      <w:r w:rsidRPr="00BF4B4F">
        <w:rPr>
          <w:lang w:val="en-GB"/>
        </w:rPr>
        <w:t>Protection criteria for terrestrial broadcasting systems</w:t>
      </w:r>
    </w:p>
    <w:p w:rsidR="00BF4B4F" w:rsidRDefault="00BF4B4F" w:rsidP="00BF4B4F">
      <w:pPr>
        <w:pStyle w:val="Recdate"/>
        <w:rPr>
          <w:lang w:val="en-GB"/>
        </w:rPr>
      </w:pPr>
    </w:p>
    <w:p w:rsidR="00BF4B4F" w:rsidRPr="00C93F50" w:rsidRDefault="00BF4B4F" w:rsidP="00BF4B4F">
      <w:pPr>
        <w:pStyle w:val="Recdate"/>
        <w:rPr>
          <w:lang w:val="en-US"/>
        </w:rPr>
      </w:pPr>
      <w:r>
        <w:rPr>
          <w:lang w:val="en-GB"/>
        </w:rPr>
        <w:t>(2011)</w:t>
      </w:r>
    </w:p>
    <w:p w:rsidR="00BF4B4F" w:rsidRPr="00C93F50" w:rsidRDefault="00BF4B4F" w:rsidP="00BF4B4F">
      <w:pPr>
        <w:pStyle w:val="HeadingSum"/>
        <w:rPr>
          <w:sz w:val="24"/>
          <w:lang w:val="en-US" w:eastAsia="ja-JP"/>
        </w:rPr>
      </w:pPr>
      <w:r w:rsidRPr="00C93F50">
        <w:rPr>
          <w:sz w:val="24"/>
          <w:lang w:val="en-US" w:eastAsia="ja-JP"/>
        </w:rPr>
        <w:t>Scope</w:t>
      </w:r>
    </w:p>
    <w:p w:rsidR="00BF4B4F" w:rsidRPr="00E74F18" w:rsidRDefault="00BF4B4F" w:rsidP="00BF4B4F">
      <w:pPr>
        <w:pStyle w:val="Summary"/>
        <w:spacing w:after="0"/>
        <w:rPr>
          <w:sz w:val="24"/>
          <w:lang w:val="en-US"/>
        </w:rPr>
      </w:pPr>
      <w:r w:rsidRPr="00C93F50">
        <w:rPr>
          <w:sz w:val="24"/>
          <w:lang w:val="en-US" w:eastAsia="ja-JP"/>
        </w:rPr>
        <w:t>This Recommendation provides</w:t>
      </w:r>
      <w:r w:rsidRPr="00E74F18">
        <w:rPr>
          <w:sz w:val="24"/>
          <w:lang w:val="en-US" w:eastAsia="ja-JP"/>
        </w:rPr>
        <w:t xml:space="preserve"> guidelines to ensure </w:t>
      </w:r>
      <w:r w:rsidRPr="00E74F18">
        <w:rPr>
          <w:sz w:val="24"/>
          <w:lang w:val="en-US"/>
        </w:rPr>
        <w:t>that radiocommunication services and other sources of radio-frequency emissions do not degrade the performance of terrestrial broadcasting systems beyond acceptable levels.</w:t>
      </w:r>
    </w:p>
    <w:p w:rsidR="00BF4B4F" w:rsidRPr="00E74F18" w:rsidRDefault="00BF4B4F" w:rsidP="00BF4B4F">
      <w:pPr>
        <w:pStyle w:val="Summary"/>
        <w:spacing w:after="0"/>
        <w:rPr>
          <w:sz w:val="24"/>
          <w:lang w:val="en-US" w:eastAsia="ja-JP"/>
        </w:rPr>
      </w:pPr>
      <w:r w:rsidRPr="00E74F18">
        <w:rPr>
          <w:sz w:val="24"/>
          <w:lang w:val="en-US" w:eastAsia="ja-JP"/>
        </w:rPr>
        <w:t>Taking these guidelines into account, compatibility studies may need to be conducted when necessary.</w:t>
      </w:r>
    </w:p>
    <w:p w:rsidR="00BF4B4F" w:rsidRPr="00E74F18" w:rsidRDefault="00BF4B4F" w:rsidP="00BF4B4F">
      <w:pPr>
        <w:pStyle w:val="Summary"/>
        <w:rPr>
          <w:sz w:val="24"/>
          <w:lang w:val="en-US"/>
        </w:rPr>
      </w:pPr>
      <w:r w:rsidRPr="00E74F18">
        <w:rPr>
          <w:snapToGrid w:val="0"/>
          <w:sz w:val="24"/>
          <w:lang w:val="en-US"/>
        </w:rPr>
        <w:t>R</w:t>
      </w:r>
      <w:r w:rsidRPr="00E74F18">
        <w:rPr>
          <w:sz w:val="24"/>
          <w:lang w:val="en-US"/>
        </w:rPr>
        <w:t>adiation below 30 MHz from “Power line high data rate telecommunication systems” is covered in Recommendation ITU-R SM.1879.</w:t>
      </w:r>
    </w:p>
    <w:p w:rsidR="00BF4B4F" w:rsidRPr="00BF4B4F" w:rsidRDefault="00BF4B4F" w:rsidP="00BF4B4F">
      <w:pPr>
        <w:pStyle w:val="Normalaftertitle"/>
        <w:rPr>
          <w:lang w:val="en-US" w:eastAsia="ja-JP"/>
        </w:rPr>
      </w:pPr>
      <w:r w:rsidRPr="00BF4B4F">
        <w:rPr>
          <w:lang w:val="en-US" w:eastAsia="ja-JP"/>
        </w:rPr>
        <w:t xml:space="preserve">The ITU Radiocommunication Assembly, </w:t>
      </w:r>
    </w:p>
    <w:p w:rsidR="00BF4B4F" w:rsidRPr="00BF4B4F" w:rsidRDefault="00BF4B4F" w:rsidP="00BF4B4F">
      <w:pPr>
        <w:pStyle w:val="Call"/>
        <w:rPr>
          <w:lang w:val="en-US" w:eastAsia="ja-JP"/>
        </w:rPr>
      </w:pPr>
      <w:r w:rsidRPr="00BF4B4F">
        <w:rPr>
          <w:lang w:val="en-US" w:eastAsia="ja-JP"/>
        </w:rPr>
        <w:t>considering</w:t>
      </w:r>
    </w:p>
    <w:p w:rsidR="00BF4B4F" w:rsidRPr="00BF4B4F" w:rsidRDefault="00BF4B4F" w:rsidP="00BF4B4F">
      <w:pPr>
        <w:rPr>
          <w:lang w:val="en-US"/>
        </w:rPr>
      </w:pPr>
      <w:r w:rsidRPr="00BF4B4F">
        <w:rPr>
          <w:lang w:val="en-US"/>
        </w:rPr>
        <w:t>a)</w:t>
      </w:r>
      <w:r w:rsidRPr="00BF4B4F">
        <w:rPr>
          <w:lang w:val="en-US"/>
        </w:rPr>
        <w:tab/>
        <w:t>that Article 5 of the Radio Regulations (RR) allocates certain frequency bands to the terrestrial broadcasting service on a primary basis;</w:t>
      </w:r>
    </w:p>
    <w:p w:rsidR="00BF4B4F" w:rsidRPr="00BF4B4F" w:rsidRDefault="00BF4B4F" w:rsidP="00BF4B4F">
      <w:pPr>
        <w:rPr>
          <w:lang w:val="en-US"/>
        </w:rPr>
      </w:pPr>
      <w:r w:rsidRPr="00BF4B4F">
        <w:rPr>
          <w:lang w:val="en-US"/>
        </w:rPr>
        <w:t>b)</w:t>
      </w:r>
      <w:r w:rsidRPr="00BF4B4F">
        <w:rPr>
          <w:lang w:val="en-US"/>
        </w:rPr>
        <w:tab/>
        <w:t xml:space="preserve">that the terrestrial broadcasting service is initially planned on a noise-limited basis, </w:t>
      </w:r>
      <w:r w:rsidRPr="00BF4B4F">
        <w:rPr>
          <w:lang w:val="en-US" w:eastAsia="ja-JP"/>
        </w:rPr>
        <w:t>taking into account intrinsic receiver noise and external radio noise</w:t>
      </w:r>
      <w:r w:rsidRPr="00BF4B4F">
        <w:rPr>
          <w:lang w:val="en-US"/>
        </w:rPr>
        <w:t>;</w:t>
      </w:r>
    </w:p>
    <w:p w:rsidR="00BF4B4F" w:rsidRPr="00BF4B4F" w:rsidRDefault="00BF4B4F" w:rsidP="00BF4B4F">
      <w:pPr>
        <w:rPr>
          <w:lang w:val="en-US"/>
        </w:rPr>
      </w:pPr>
      <w:r w:rsidRPr="00BF4B4F">
        <w:rPr>
          <w:lang w:val="en-US"/>
        </w:rPr>
        <w:t>c)</w:t>
      </w:r>
      <w:r w:rsidRPr="00BF4B4F">
        <w:rPr>
          <w:lang w:val="en-US"/>
        </w:rPr>
        <w:tab/>
        <w:t>that broadcasting services may also be planned on an interference-limited basis;</w:t>
      </w:r>
    </w:p>
    <w:p w:rsidR="00BF4B4F" w:rsidRPr="00BF4B4F" w:rsidRDefault="00BF4B4F" w:rsidP="00BF4B4F">
      <w:pPr>
        <w:rPr>
          <w:lang w:val="en-US"/>
        </w:rPr>
      </w:pPr>
      <w:r w:rsidRPr="00BF4B4F">
        <w:rPr>
          <w:lang w:val="en-US"/>
        </w:rPr>
        <w:t>d)</w:t>
      </w:r>
      <w:r w:rsidRPr="00BF4B4F">
        <w:rPr>
          <w:lang w:val="en-US"/>
        </w:rPr>
        <w:tab/>
        <w:t>that Recommendation ITU-R P.372 describes levels of external radio noise;</w:t>
      </w:r>
    </w:p>
    <w:p w:rsidR="00BF4B4F" w:rsidRPr="00BF4B4F" w:rsidRDefault="00BF4B4F" w:rsidP="00BF4B4F">
      <w:pPr>
        <w:rPr>
          <w:lang w:val="en-US"/>
        </w:rPr>
      </w:pPr>
      <w:r w:rsidRPr="00BF4B4F">
        <w:rPr>
          <w:lang w:val="en-US"/>
        </w:rPr>
        <w:t>e)</w:t>
      </w:r>
      <w:r w:rsidRPr="00BF4B4F">
        <w:rPr>
          <w:lang w:val="en-US"/>
        </w:rPr>
        <w:tab/>
        <w:t xml:space="preserve">that Recommendation ITU-R SM.1757 and Report ITU-R SM.2057 </w:t>
      </w:r>
      <w:r w:rsidRPr="00BF4B4F">
        <w:rPr>
          <w:snapToGrid w:val="0"/>
          <w:lang w:val="en-US"/>
        </w:rPr>
        <w:t>provide guidance on the protection requirements for the various radiocommunication services in respect of the aggregate emissions from devices using ultra-wideband technology;</w:t>
      </w:r>
    </w:p>
    <w:p w:rsidR="00BF4B4F" w:rsidRPr="00BF4B4F" w:rsidRDefault="00BF4B4F" w:rsidP="00BF4B4F">
      <w:pPr>
        <w:rPr>
          <w:sz w:val="22"/>
          <w:lang w:val="en-US"/>
        </w:rPr>
      </w:pPr>
      <w:r w:rsidRPr="00BF4B4F">
        <w:rPr>
          <w:lang w:val="en-US"/>
        </w:rPr>
        <w:t>f)</w:t>
      </w:r>
      <w:r w:rsidRPr="00BF4B4F">
        <w:rPr>
          <w:lang w:val="en-US"/>
        </w:rPr>
        <w:tab/>
        <w:t>that Recommendation ITU-R SM.1879 provides guidance on the protection criteria of radiocommunication services in respect of the aggregate radiation from power line telecommunication systems in the bands below 30 MHz</w:t>
      </w:r>
      <w:r w:rsidRPr="00BF4B4F">
        <w:rPr>
          <w:sz w:val="22"/>
          <w:lang w:val="en-US"/>
        </w:rPr>
        <w:t>;</w:t>
      </w:r>
    </w:p>
    <w:p w:rsidR="00BF4B4F" w:rsidRPr="00BF4B4F" w:rsidRDefault="00BF4B4F" w:rsidP="00BF4B4F">
      <w:pPr>
        <w:rPr>
          <w:szCs w:val="24"/>
          <w:lang w:val="en-US"/>
        </w:rPr>
      </w:pPr>
      <w:r w:rsidRPr="00BF4B4F">
        <w:rPr>
          <w:szCs w:val="24"/>
          <w:lang w:val="en-US"/>
        </w:rPr>
        <w:t>g)</w:t>
      </w:r>
      <w:r w:rsidRPr="00BF4B4F">
        <w:rPr>
          <w:szCs w:val="24"/>
          <w:lang w:val="en-US"/>
        </w:rPr>
        <w:tab/>
        <w:t>that protection criteria for some intra-service broadcasting applications have been specified in some ITU-R Recommendations (for example Recommendation ITU-R BT.1368) and regional agreements,</w:t>
      </w:r>
    </w:p>
    <w:p w:rsidR="00BF4B4F" w:rsidRPr="00C93F50" w:rsidRDefault="00BF4B4F" w:rsidP="00BF4B4F">
      <w:pPr>
        <w:pStyle w:val="Call"/>
        <w:rPr>
          <w:lang w:val="en-US"/>
        </w:rPr>
      </w:pPr>
      <w:r w:rsidRPr="00C93F50">
        <w:rPr>
          <w:lang w:val="en-US"/>
        </w:rPr>
        <w:t>recognizing</w:t>
      </w:r>
    </w:p>
    <w:p w:rsidR="00BF4B4F" w:rsidRPr="00BF4B4F" w:rsidRDefault="00BF4B4F" w:rsidP="00E74F18">
      <w:pPr>
        <w:rPr>
          <w:lang w:val="en-US"/>
        </w:rPr>
      </w:pPr>
      <w:r w:rsidRPr="00BF4B4F">
        <w:rPr>
          <w:lang w:val="en-US"/>
        </w:rPr>
        <w:t>a)</w:t>
      </w:r>
      <w:r w:rsidRPr="00BF4B4F">
        <w:rPr>
          <w:lang w:val="en-US"/>
        </w:rPr>
        <w:tab/>
        <w:t xml:space="preserve">the obligations incumbent on administrations through Articles 42 and </w:t>
      </w:r>
      <w:r w:rsidR="00C93F50">
        <w:rPr>
          <w:lang w:val="en-US"/>
        </w:rPr>
        <w:t>45 of the ITU Constitution (Nos</w:t>
      </w:r>
      <w:r w:rsidRPr="00BF4B4F">
        <w:rPr>
          <w:lang w:val="en-US"/>
        </w:rPr>
        <w:t xml:space="preserve"> C</w:t>
      </w:r>
      <w:r w:rsidR="00E74F18">
        <w:rPr>
          <w:lang w:val="en-US"/>
        </w:rPr>
        <w:t>S</w:t>
      </w:r>
      <w:r w:rsidRPr="00BF4B4F">
        <w:rPr>
          <w:lang w:val="en-US"/>
        </w:rPr>
        <w:t xml:space="preserve"> 193, C</w:t>
      </w:r>
      <w:r w:rsidR="00E74F18">
        <w:rPr>
          <w:lang w:val="en-US"/>
        </w:rPr>
        <w:t>S</w:t>
      </w:r>
      <w:r w:rsidRPr="00BF4B4F">
        <w:rPr>
          <w:lang w:val="en-US"/>
        </w:rPr>
        <w:t xml:space="preserve"> 197, C</w:t>
      </w:r>
      <w:r w:rsidR="00E74F18">
        <w:rPr>
          <w:lang w:val="en-US"/>
        </w:rPr>
        <w:t>S</w:t>
      </w:r>
      <w:r w:rsidRPr="00BF4B4F">
        <w:rPr>
          <w:lang w:val="en-US"/>
        </w:rPr>
        <w:t xml:space="preserve"> 198 and C</w:t>
      </w:r>
      <w:r w:rsidR="00E74F18">
        <w:rPr>
          <w:lang w:val="en-US"/>
        </w:rPr>
        <w:t>S</w:t>
      </w:r>
      <w:bookmarkStart w:id="3" w:name="_GoBack"/>
      <w:bookmarkEnd w:id="3"/>
      <w:r w:rsidRPr="00BF4B4F">
        <w:rPr>
          <w:lang w:val="en-US"/>
        </w:rPr>
        <w:t xml:space="preserve"> 199) to ensure the continued availability of the RF spectrum and guard against harmful interference,</w:t>
      </w:r>
    </w:p>
    <w:p w:rsidR="00BF4B4F" w:rsidRPr="00BF4B4F" w:rsidRDefault="00BF4B4F" w:rsidP="00BF4B4F">
      <w:pPr>
        <w:pStyle w:val="Call"/>
        <w:rPr>
          <w:lang w:val="en-US" w:eastAsia="ja-JP"/>
        </w:rPr>
      </w:pPr>
      <w:r w:rsidRPr="00BF4B4F">
        <w:rPr>
          <w:lang w:val="en-US" w:eastAsia="ja-JP"/>
        </w:rPr>
        <w:lastRenderedPageBreak/>
        <w:t>noting</w:t>
      </w:r>
    </w:p>
    <w:p w:rsidR="00BF4B4F" w:rsidRPr="00BF4B4F" w:rsidRDefault="00BF4B4F" w:rsidP="00C93F50">
      <w:pPr>
        <w:ind w:right="-142"/>
        <w:rPr>
          <w:lang w:val="en-US"/>
        </w:rPr>
      </w:pPr>
      <w:r w:rsidRPr="00BF4B4F">
        <w:rPr>
          <w:lang w:val="en-US"/>
        </w:rPr>
        <w:t>a)</w:t>
      </w:r>
      <w:r w:rsidRPr="00BF4B4F">
        <w:rPr>
          <w:lang w:val="en-US"/>
        </w:rPr>
        <w:tab/>
        <w:t>that in the specific instance of emissions from power line high data rate telecommunication systems (PLT systems) in the bands below 30 MHz the provisions of Recommendation ITU</w:t>
      </w:r>
      <w:r w:rsidR="00C93F50">
        <w:rPr>
          <w:lang w:val="en-US"/>
        </w:rPr>
        <w:noBreakHyphen/>
      </w:r>
      <w:r w:rsidRPr="00BF4B4F">
        <w:rPr>
          <w:lang w:val="en-US"/>
        </w:rPr>
        <w:t>R</w:t>
      </w:r>
      <w:r w:rsidR="00C93F50">
        <w:rPr>
          <w:lang w:val="en-US"/>
        </w:rPr>
        <w:t> </w:t>
      </w:r>
      <w:r w:rsidRPr="00BF4B4F">
        <w:rPr>
          <w:lang w:val="en-US"/>
        </w:rPr>
        <w:t>SM.1879 apply,</w:t>
      </w:r>
    </w:p>
    <w:p w:rsidR="00BF4B4F" w:rsidRPr="00BF4B4F" w:rsidRDefault="00BF4B4F" w:rsidP="00BF4B4F">
      <w:pPr>
        <w:pStyle w:val="Call"/>
        <w:rPr>
          <w:lang w:val="en-US"/>
        </w:rPr>
      </w:pPr>
      <w:r w:rsidRPr="00BF4B4F">
        <w:rPr>
          <w:lang w:val="en-US"/>
        </w:rPr>
        <w:t>recommends</w:t>
      </w:r>
    </w:p>
    <w:p w:rsidR="00BF4B4F" w:rsidRPr="00BF4B4F" w:rsidRDefault="00BF4B4F" w:rsidP="00BF4B4F">
      <w:pPr>
        <w:rPr>
          <w:lang w:val="en-US" w:eastAsia="ja-JP"/>
        </w:rPr>
      </w:pPr>
      <w:r w:rsidRPr="00BF4B4F">
        <w:rPr>
          <w:b/>
          <w:bCs/>
          <w:lang w:val="en-US" w:eastAsia="ja-JP"/>
        </w:rPr>
        <w:t>1</w:t>
      </w:r>
      <w:r w:rsidRPr="00BF4B4F">
        <w:rPr>
          <w:b/>
          <w:bCs/>
          <w:lang w:val="en-US" w:eastAsia="ja-JP"/>
        </w:rPr>
        <w:tab/>
      </w:r>
      <w:r w:rsidRPr="00BF4B4F">
        <w:rPr>
          <w:lang w:val="en-US" w:eastAsia="ja-JP"/>
        </w:rPr>
        <w:t xml:space="preserve">that the values in </w:t>
      </w:r>
      <w:r w:rsidRPr="00BF4B4F">
        <w:rPr>
          <w:i/>
          <w:iCs/>
          <w:lang w:val="en-US" w:eastAsia="ja-JP"/>
        </w:rPr>
        <w:t>recommends</w:t>
      </w:r>
      <w:r w:rsidRPr="00BF4B4F">
        <w:rPr>
          <w:lang w:val="en-US" w:eastAsia="ja-JP"/>
        </w:rPr>
        <w:t xml:space="preserve"> 2 and 3 be used as guidelines, above which compatibility studies on the effect of radiations and emissions from other applications and services into the broadcasting service should be undertaken;</w:t>
      </w:r>
    </w:p>
    <w:p w:rsidR="00BF4B4F" w:rsidRPr="00BF4B4F" w:rsidRDefault="00BF4B4F" w:rsidP="00C93F50">
      <w:pPr>
        <w:rPr>
          <w:lang w:val="en-US"/>
        </w:rPr>
      </w:pPr>
      <w:r w:rsidRPr="00BF4B4F">
        <w:rPr>
          <w:b/>
          <w:bCs/>
          <w:lang w:val="en-US" w:eastAsia="ja-JP"/>
        </w:rPr>
        <w:t>2</w:t>
      </w:r>
      <w:r w:rsidRPr="00BF4B4F">
        <w:rPr>
          <w:lang w:val="en-US"/>
        </w:rPr>
        <w:tab/>
        <w:t>that the total interference at the receiver fro</w:t>
      </w:r>
      <w:r w:rsidRPr="00BF4B4F">
        <w:rPr>
          <w:lang w:val="en-US" w:eastAsia="ja-JP"/>
        </w:rPr>
        <w:t>m all radiations and emissions</w:t>
      </w:r>
      <w:r w:rsidRPr="00BF4B4F">
        <w:rPr>
          <w:lang w:val="en-US"/>
        </w:rPr>
        <w:t xml:space="preserve"> without a corresponding frequency allocation in the Radio Regulations should not exceed 1</w:t>
      </w:r>
      <w:r w:rsidR="00C93F50">
        <w:rPr>
          <w:lang w:val="en-US"/>
        </w:rPr>
        <w:t>%</w:t>
      </w:r>
      <w:r w:rsidRPr="00BF4B4F">
        <w:rPr>
          <w:lang w:val="en-US"/>
        </w:rPr>
        <w:t xml:space="preserve"> of the total receiving system noise power</w:t>
      </w:r>
      <w:r w:rsidRPr="00BF4B4F">
        <w:rPr>
          <w:rStyle w:val="FootnoteReference"/>
          <w:lang w:val="en-US"/>
        </w:rPr>
        <w:footnoteReference w:customMarkFollows="1" w:id="2"/>
        <w:t>1</w:t>
      </w:r>
      <w:r w:rsidRPr="00BF4B4F">
        <w:rPr>
          <w:lang w:val="en-US"/>
        </w:rPr>
        <w:t>;</w:t>
      </w:r>
    </w:p>
    <w:p w:rsidR="00BF4B4F" w:rsidRPr="00BF4B4F" w:rsidRDefault="00BF4B4F" w:rsidP="00C93F50">
      <w:pPr>
        <w:rPr>
          <w:lang w:val="en-US"/>
        </w:rPr>
      </w:pPr>
      <w:r w:rsidRPr="00BF4B4F">
        <w:rPr>
          <w:b/>
          <w:bCs/>
          <w:lang w:val="en-US" w:eastAsia="ja-JP"/>
        </w:rPr>
        <w:t>3</w:t>
      </w:r>
      <w:r w:rsidRPr="00BF4B4F">
        <w:rPr>
          <w:lang w:val="en-US"/>
        </w:rPr>
        <w:tab/>
        <w:t>that the total interference at the receiver arising from all sources of radio-frequency emissions from radiocommunication services with a corresponding</w:t>
      </w:r>
      <w:r w:rsidRPr="00BF4B4F">
        <w:rPr>
          <w:lang w:val="en-US" w:eastAsia="ja-JP"/>
        </w:rPr>
        <w:t xml:space="preserve"> co-primary </w:t>
      </w:r>
      <w:r w:rsidRPr="00BF4B4F">
        <w:rPr>
          <w:lang w:val="en-US"/>
        </w:rPr>
        <w:t xml:space="preserve">frequency allocation should </w:t>
      </w:r>
      <w:r w:rsidRPr="00BF4B4F">
        <w:rPr>
          <w:lang w:val="en-US" w:eastAsia="ja-JP"/>
        </w:rPr>
        <w:t>not exceed 10</w:t>
      </w:r>
      <w:r w:rsidR="00C93F50">
        <w:rPr>
          <w:lang w:val="en-US" w:eastAsia="ja-JP"/>
        </w:rPr>
        <w:t>%</w:t>
      </w:r>
      <w:r w:rsidRPr="00BF4B4F">
        <w:rPr>
          <w:lang w:val="en-US" w:eastAsia="ja-JP"/>
        </w:rPr>
        <w:t xml:space="preserve"> of the total receiving system noise power.</w:t>
      </w:r>
    </w:p>
    <w:p w:rsidR="00BF4B4F" w:rsidRDefault="00BF4B4F" w:rsidP="00BF4B4F">
      <w:pPr>
        <w:rPr>
          <w:lang w:val="en-US"/>
        </w:rPr>
      </w:pPr>
    </w:p>
    <w:p w:rsidR="00BF4B4F" w:rsidRDefault="00BF4B4F" w:rsidP="00BF4B4F">
      <w:pPr>
        <w:rPr>
          <w:lang w:val="en-US"/>
        </w:rPr>
      </w:pPr>
    </w:p>
    <w:p w:rsidR="00BF4B4F" w:rsidRPr="00BF4B4F" w:rsidRDefault="00BF4B4F" w:rsidP="00BF4B4F">
      <w:pPr>
        <w:pStyle w:val="Line"/>
      </w:pPr>
    </w:p>
    <w:sectPr w:rsidR="00BF4B4F" w:rsidRPr="00BF4B4F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5A9" w:rsidRDefault="006B55A9">
      <w:r>
        <w:separator/>
      </w:r>
    </w:p>
  </w:endnote>
  <w:endnote w:type="continuationSeparator" w:id="0">
    <w:p w:rsidR="006B55A9" w:rsidRDefault="006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5A9" w:rsidRDefault="006B55A9">
      <w:r>
        <w:separator/>
      </w:r>
    </w:p>
  </w:footnote>
  <w:footnote w:type="continuationSeparator" w:id="0">
    <w:p w:rsidR="006B55A9" w:rsidRDefault="006B55A9">
      <w:r>
        <w:continuationSeparator/>
      </w:r>
    </w:p>
  </w:footnote>
  <w:footnote w:id="1">
    <w:p w:rsidR="00BF4B4F" w:rsidRPr="00BF4B4F" w:rsidRDefault="00BF4B4F" w:rsidP="00C93F50">
      <w:pPr>
        <w:pStyle w:val="FootnoteText"/>
        <w:rPr>
          <w:lang w:val="en-US"/>
        </w:rPr>
      </w:pPr>
      <w:r w:rsidRPr="00BF4B4F">
        <w:rPr>
          <w:rStyle w:val="FootnoteReference"/>
          <w:lang w:val="en-US"/>
        </w:rPr>
        <w:t>*</w:t>
      </w:r>
      <w:r w:rsidRPr="00BF4B4F">
        <w:rPr>
          <w:lang w:val="en-US"/>
        </w:rPr>
        <w:tab/>
        <w:t xml:space="preserve">Following the approval of this Recommendation by </w:t>
      </w:r>
      <w:r>
        <w:rPr>
          <w:lang w:val="en-US"/>
        </w:rPr>
        <w:t xml:space="preserve">Radiocommunication </w:t>
      </w:r>
      <w:r w:rsidRPr="00BF4B4F">
        <w:rPr>
          <w:lang w:val="en-US"/>
        </w:rPr>
        <w:t>Study Group</w:t>
      </w:r>
      <w:r>
        <w:rPr>
          <w:lang w:val="en-US"/>
        </w:rPr>
        <w:t xml:space="preserve"> </w:t>
      </w:r>
      <w:r w:rsidRPr="00BF4B4F">
        <w:rPr>
          <w:lang w:val="en-US"/>
        </w:rPr>
        <w:t>6, Recommendations ITU</w:t>
      </w:r>
      <w:r w:rsidRPr="00BF4B4F">
        <w:rPr>
          <w:lang w:val="en-US"/>
        </w:rPr>
        <w:noBreakHyphen/>
        <w:t>R BS/</w:t>
      </w:r>
      <w:r>
        <w:rPr>
          <w:lang w:val="en-US"/>
        </w:rPr>
        <w:t xml:space="preserve">ITU-R </w:t>
      </w:r>
      <w:r w:rsidRPr="00BF4B4F">
        <w:rPr>
          <w:lang w:val="en-US"/>
        </w:rPr>
        <w:t>BT.1786 should be suppressed.</w:t>
      </w:r>
    </w:p>
  </w:footnote>
  <w:footnote w:id="2">
    <w:p w:rsidR="00BF4B4F" w:rsidRPr="007D6CBA" w:rsidRDefault="00BF4B4F" w:rsidP="00C93F50">
      <w:pPr>
        <w:pStyle w:val="FootnoteText"/>
        <w:rPr>
          <w:lang w:val="en-US"/>
        </w:rPr>
      </w:pPr>
      <w:r w:rsidRPr="00BF4B4F">
        <w:rPr>
          <w:rStyle w:val="FootnoteReference"/>
          <w:lang w:val="en-US"/>
        </w:rPr>
        <w:t>1</w:t>
      </w:r>
      <w:r w:rsidRPr="00BF4B4F">
        <w:rPr>
          <w:lang w:val="en-US"/>
        </w:rPr>
        <w:t xml:space="preserve"> </w:t>
      </w:r>
      <w:r>
        <w:rPr>
          <w:lang w:val="en-US"/>
        </w:rPr>
        <w:tab/>
      </w:r>
      <w:r w:rsidRPr="00BF4B4F">
        <w:rPr>
          <w:lang w:val="en-US"/>
        </w:rPr>
        <w:t>Except radiation from PLT devices below 30 MHz.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Default="000F690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Default="004957EE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80A0F41" wp14:editId="04F7D9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Pr="000F6905" w:rsidRDefault="00C27AD2">
    <w:pPr>
      <w:pStyle w:val="Header"/>
      <w:jc w:val="left"/>
    </w:pPr>
    <w:r>
      <w:rPr>
        <w:rStyle w:val="PageNumber"/>
        <w:b/>
        <w:bCs/>
      </w:rPr>
      <w:fldChar w:fldCharType="begin"/>
    </w:r>
    <w:r w:rsidR="000F6905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74F18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0F6905" w:rsidRPr="000F6905">
      <w:tab/>
    </w:r>
    <w:fldSimple w:instr=" DOCPROPERTY &quot;Header&quot; \* MERGEFORMAT ">
      <w:r w:rsidR="00C93F50" w:rsidRPr="00C93F50">
        <w:rPr>
          <w:b/>
          <w:bCs/>
        </w:rPr>
        <w:t xml:space="preserve">Rec. </w:t>
      </w:r>
    </w:fldSimple>
    <w:r w:rsidR="000F6905">
      <w:rPr>
        <w:b/>
        <w:bCs/>
      </w:rPr>
      <w:t xml:space="preserve"> </w:t>
    </w:r>
    <w:r>
      <w:rPr>
        <w:b/>
        <w:bCs/>
      </w:rPr>
      <w:fldChar w:fldCharType="begin"/>
    </w:r>
    <w:r w:rsidR="000F6905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E74F18">
      <w:rPr>
        <w:b/>
        <w:bCs/>
        <w:noProof/>
      </w:rPr>
      <w:t>ITU-R  BT.1895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Default="000F6905">
    <w:pPr>
      <w:pStyle w:val="Header"/>
    </w:pPr>
    <w:r>
      <w:tab/>
    </w:r>
    <w:fldSimple w:instr=" DOCPROPERTY &quot;Header&quot; \* MERGEFORMAT ">
      <w:r w:rsidR="00C93F50" w:rsidRPr="00C93F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C27AD2">
      <w:rPr>
        <w:b/>
        <w:bCs/>
      </w:rPr>
      <w:fldChar w:fldCharType="begin"/>
    </w:r>
    <w:r>
      <w:rPr>
        <w:b/>
        <w:bCs/>
      </w:rPr>
      <w:instrText>styleref href</w:instrText>
    </w:r>
    <w:r w:rsidR="00C27AD2">
      <w:rPr>
        <w:b/>
        <w:bCs/>
      </w:rPr>
      <w:fldChar w:fldCharType="separate"/>
    </w:r>
    <w:r w:rsidR="00E74F18">
      <w:rPr>
        <w:b/>
        <w:bCs/>
        <w:noProof/>
      </w:rPr>
      <w:t>ITU-R  BT.1895</w:t>
    </w:r>
    <w:r w:rsidR="00C27AD2">
      <w:rPr>
        <w:b/>
        <w:bCs/>
      </w:rPr>
      <w:fldChar w:fldCharType="end"/>
    </w:r>
    <w:r>
      <w:tab/>
    </w:r>
    <w:r w:rsidR="00C27AD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C27AD2">
      <w:rPr>
        <w:rStyle w:val="PageNumber"/>
        <w:b/>
        <w:bCs/>
      </w:rPr>
      <w:fldChar w:fldCharType="separate"/>
    </w:r>
    <w:r w:rsidR="00E74F18">
      <w:rPr>
        <w:rStyle w:val="PageNumber"/>
        <w:b/>
        <w:bCs/>
        <w:noProof/>
      </w:rPr>
      <w:t>1</w:t>
    </w:r>
    <w:r w:rsidR="00C27AD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92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72484"/>
    <w:rsid w:val="00096612"/>
    <w:rsid w:val="000B7683"/>
    <w:rsid w:val="000C0F2B"/>
    <w:rsid w:val="000F6905"/>
    <w:rsid w:val="00102934"/>
    <w:rsid w:val="00147110"/>
    <w:rsid w:val="0016134B"/>
    <w:rsid w:val="001C6DA1"/>
    <w:rsid w:val="002058CE"/>
    <w:rsid w:val="002165F1"/>
    <w:rsid w:val="00220899"/>
    <w:rsid w:val="00220C77"/>
    <w:rsid w:val="00276D21"/>
    <w:rsid w:val="00296D7F"/>
    <w:rsid w:val="002B3CF6"/>
    <w:rsid w:val="002C768A"/>
    <w:rsid w:val="002D76C4"/>
    <w:rsid w:val="00355AF6"/>
    <w:rsid w:val="003C0139"/>
    <w:rsid w:val="00420DFD"/>
    <w:rsid w:val="004365EE"/>
    <w:rsid w:val="00470E28"/>
    <w:rsid w:val="004934C5"/>
    <w:rsid w:val="004957EE"/>
    <w:rsid w:val="00556548"/>
    <w:rsid w:val="00586EF8"/>
    <w:rsid w:val="005A1836"/>
    <w:rsid w:val="005B49AB"/>
    <w:rsid w:val="005B50E7"/>
    <w:rsid w:val="005E7B4F"/>
    <w:rsid w:val="00607D68"/>
    <w:rsid w:val="006149B1"/>
    <w:rsid w:val="00680D2B"/>
    <w:rsid w:val="00681B32"/>
    <w:rsid w:val="00697E2A"/>
    <w:rsid w:val="006B55A9"/>
    <w:rsid w:val="006D690E"/>
    <w:rsid w:val="006E2037"/>
    <w:rsid w:val="006E3C03"/>
    <w:rsid w:val="00712870"/>
    <w:rsid w:val="00743D85"/>
    <w:rsid w:val="00753CF4"/>
    <w:rsid w:val="007565CC"/>
    <w:rsid w:val="00763B9A"/>
    <w:rsid w:val="0077270F"/>
    <w:rsid w:val="007A6AA8"/>
    <w:rsid w:val="007B31CB"/>
    <w:rsid w:val="007D3B79"/>
    <w:rsid w:val="008310C9"/>
    <w:rsid w:val="008C253A"/>
    <w:rsid w:val="008C7848"/>
    <w:rsid w:val="00917AF2"/>
    <w:rsid w:val="0092418A"/>
    <w:rsid w:val="00934ED7"/>
    <w:rsid w:val="009543C3"/>
    <w:rsid w:val="00966E1B"/>
    <w:rsid w:val="009A43DD"/>
    <w:rsid w:val="009E0BFE"/>
    <w:rsid w:val="009F2D2C"/>
    <w:rsid w:val="00A00133"/>
    <w:rsid w:val="00A6617B"/>
    <w:rsid w:val="00A71FE5"/>
    <w:rsid w:val="00A766F4"/>
    <w:rsid w:val="00AA3AD8"/>
    <w:rsid w:val="00AB0DC8"/>
    <w:rsid w:val="00B033C8"/>
    <w:rsid w:val="00B33425"/>
    <w:rsid w:val="00B44E24"/>
    <w:rsid w:val="00B54ECC"/>
    <w:rsid w:val="00B714F3"/>
    <w:rsid w:val="00BC5D77"/>
    <w:rsid w:val="00BF487A"/>
    <w:rsid w:val="00BF4B4F"/>
    <w:rsid w:val="00C27AD2"/>
    <w:rsid w:val="00C46BD9"/>
    <w:rsid w:val="00C55258"/>
    <w:rsid w:val="00C73560"/>
    <w:rsid w:val="00C7439E"/>
    <w:rsid w:val="00C93F50"/>
    <w:rsid w:val="00CB0F14"/>
    <w:rsid w:val="00CD659B"/>
    <w:rsid w:val="00DF4176"/>
    <w:rsid w:val="00E17240"/>
    <w:rsid w:val="00E74F18"/>
    <w:rsid w:val="00F30C9B"/>
    <w:rsid w:val="00F354B1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92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F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93F5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93F5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93F5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93F5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93F50"/>
    <w:pPr>
      <w:outlineLvl w:val="4"/>
    </w:pPr>
  </w:style>
  <w:style w:type="paragraph" w:styleId="Heading6">
    <w:name w:val="heading 6"/>
    <w:basedOn w:val="Heading4"/>
    <w:next w:val="Normal"/>
    <w:qFormat/>
    <w:rsid w:val="00C93F5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93F50"/>
    <w:pPr>
      <w:outlineLvl w:val="6"/>
    </w:pPr>
  </w:style>
  <w:style w:type="paragraph" w:styleId="Heading8">
    <w:name w:val="heading 8"/>
    <w:basedOn w:val="Heading6"/>
    <w:next w:val="Normal"/>
    <w:qFormat/>
    <w:rsid w:val="00C93F50"/>
    <w:pPr>
      <w:outlineLvl w:val="7"/>
    </w:pPr>
  </w:style>
  <w:style w:type="paragraph" w:styleId="Heading9">
    <w:name w:val="heading 9"/>
    <w:basedOn w:val="Heading6"/>
    <w:next w:val="Normal"/>
    <w:qFormat/>
    <w:rsid w:val="00C93F5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93F5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93F5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93F50"/>
  </w:style>
  <w:style w:type="paragraph" w:customStyle="1" w:styleId="Headingb">
    <w:name w:val="Heading_b"/>
    <w:basedOn w:val="Heading3"/>
    <w:next w:val="Normal"/>
    <w:link w:val="HeadingbChar"/>
    <w:rsid w:val="00C93F5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93F5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93F50"/>
  </w:style>
  <w:style w:type="paragraph" w:customStyle="1" w:styleId="AnnexNoTitle">
    <w:name w:val="Annex_NoTitle"/>
    <w:basedOn w:val="Normal"/>
    <w:next w:val="Normalaftertitle"/>
    <w:rsid w:val="00C93F5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rsid w:val="00C93F50"/>
    <w:pPr>
      <w:spacing w:before="320"/>
    </w:pPr>
  </w:style>
  <w:style w:type="paragraph" w:customStyle="1" w:styleId="enumlev2">
    <w:name w:val="enumlev2"/>
    <w:basedOn w:val="enumlev1"/>
    <w:rsid w:val="00C93F50"/>
    <w:pPr>
      <w:ind w:left="1191" w:hanging="397"/>
    </w:pPr>
  </w:style>
  <w:style w:type="paragraph" w:customStyle="1" w:styleId="enumlev1">
    <w:name w:val="enumlev1"/>
    <w:basedOn w:val="Normal"/>
    <w:rsid w:val="00C93F50"/>
    <w:pPr>
      <w:spacing w:before="80"/>
      <w:ind w:left="794" w:hanging="794"/>
    </w:pPr>
  </w:style>
  <w:style w:type="paragraph" w:customStyle="1" w:styleId="enumlev3">
    <w:name w:val="enumlev3"/>
    <w:basedOn w:val="enumlev2"/>
    <w:rsid w:val="00C93F50"/>
    <w:pPr>
      <w:ind w:left="1588"/>
    </w:pPr>
  </w:style>
  <w:style w:type="paragraph" w:customStyle="1" w:styleId="Note">
    <w:name w:val="Note"/>
    <w:basedOn w:val="Normal"/>
    <w:rsid w:val="00C93F5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93F50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93F50"/>
    <w:pPr>
      <w:jc w:val="center"/>
    </w:pPr>
  </w:style>
  <w:style w:type="paragraph" w:customStyle="1" w:styleId="Recdate">
    <w:name w:val="Rec_date"/>
    <w:basedOn w:val="Recref"/>
    <w:next w:val="Normalaftertitle"/>
    <w:rsid w:val="00C93F50"/>
    <w:pPr>
      <w:jc w:val="right"/>
    </w:pPr>
  </w:style>
  <w:style w:type="paragraph" w:customStyle="1" w:styleId="HeadingSum">
    <w:name w:val="Heading_Sum"/>
    <w:basedOn w:val="Headingb"/>
    <w:next w:val="Normal"/>
    <w:rsid w:val="00C93F50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C93F50"/>
  </w:style>
  <w:style w:type="paragraph" w:customStyle="1" w:styleId="Tablefin">
    <w:name w:val="Table_fin"/>
    <w:basedOn w:val="Normal"/>
    <w:next w:val="Normal"/>
    <w:rsid w:val="00C93F5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93F5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93F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93F5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93F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93F5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93F5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93F50"/>
    <w:pPr>
      <w:ind w:left="794"/>
    </w:pPr>
  </w:style>
  <w:style w:type="paragraph" w:customStyle="1" w:styleId="Figurelegend">
    <w:name w:val="Figure_legend"/>
    <w:basedOn w:val="Normal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93F5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93F5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93F50"/>
    <w:pPr>
      <w:keepNext w:val="0"/>
      <w:spacing w:before="0" w:after="240"/>
    </w:pPr>
  </w:style>
  <w:style w:type="paragraph" w:customStyle="1" w:styleId="tocpart">
    <w:name w:val="tocpart"/>
    <w:basedOn w:val="Normal"/>
    <w:rsid w:val="00C93F5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93F5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93F5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93F5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93F5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93F50"/>
    <w:rPr>
      <w:b/>
    </w:rPr>
  </w:style>
  <w:style w:type="paragraph" w:customStyle="1" w:styleId="Chaptitle">
    <w:name w:val="Chap_title"/>
    <w:basedOn w:val="Arttitle"/>
    <w:next w:val="Normalaftertitle"/>
    <w:rsid w:val="00C93F50"/>
  </w:style>
  <w:style w:type="character" w:styleId="FootnoteReference">
    <w:name w:val="footnote reference"/>
    <w:basedOn w:val="DefaultParagraphFont"/>
    <w:rsid w:val="00C93F50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C93F5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93F50"/>
  </w:style>
  <w:style w:type="paragraph" w:styleId="Index2">
    <w:name w:val="index 2"/>
    <w:basedOn w:val="Normal"/>
    <w:next w:val="Normal"/>
    <w:semiHidden/>
    <w:rsid w:val="00C93F50"/>
    <w:pPr>
      <w:ind w:left="283"/>
    </w:pPr>
  </w:style>
  <w:style w:type="paragraph" w:styleId="Index3">
    <w:name w:val="index 3"/>
    <w:basedOn w:val="Normal"/>
    <w:next w:val="Normal"/>
    <w:semiHidden/>
    <w:rsid w:val="00C93F50"/>
    <w:pPr>
      <w:ind w:left="566"/>
    </w:pPr>
  </w:style>
  <w:style w:type="paragraph" w:styleId="IndexHeading">
    <w:name w:val="index heading"/>
    <w:basedOn w:val="Normal"/>
    <w:next w:val="Index1"/>
    <w:semiHidden/>
    <w:rsid w:val="00C93F50"/>
  </w:style>
  <w:style w:type="paragraph" w:customStyle="1" w:styleId="Line">
    <w:name w:val="Line"/>
    <w:basedOn w:val="Normal"/>
    <w:next w:val="Normal"/>
    <w:rsid w:val="00C93F5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93F5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93F50"/>
  </w:style>
  <w:style w:type="paragraph" w:customStyle="1" w:styleId="Partref">
    <w:name w:val="Part_ref"/>
    <w:basedOn w:val="Normal"/>
    <w:next w:val="Normal"/>
    <w:rsid w:val="00C93F5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93F50"/>
  </w:style>
  <w:style w:type="paragraph" w:customStyle="1" w:styleId="QuestionNo">
    <w:name w:val="Question_No"/>
    <w:basedOn w:val="RecNo"/>
    <w:next w:val="Normal"/>
    <w:rsid w:val="00C93F50"/>
  </w:style>
  <w:style w:type="paragraph" w:customStyle="1" w:styleId="Questionref">
    <w:name w:val="Question_ref"/>
    <w:basedOn w:val="Recref"/>
    <w:next w:val="Questiondate"/>
    <w:rsid w:val="00C93F50"/>
  </w:style>
  <w:style w:type="paragraph" w:customStyle="1" w:styleId="Questiontitle">
    <w:name w:val="Question_title"/>
    <w:basedOn w:val="Normal"/>
    <w:next w:val="Questionref"/>
    <w:rsid w:val="00C93F50"/>
  </w:style>
  <w:style w:type="paragraph" w:customStyle="1" w:styleId="Reftext">
    <w:name w:val="Ref_text"/>
    <w:basedOn w:val="Normal"/>
    <w:rsid w:val="00C93F5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93F5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93F50"/>
  </w:style>
  <w:style w:type="paragraph" w:customStyle="1" w:styleId="RepNo">
    <w:name w:val="Rep_No"/>
    <w:basedOn w:val="RecNo"/>
    <w:next w:val="Reptitle"/>
    <w:rsid w:val="00C93F50"/>
  </w:style>
  <w:style w:type="paragraph" w:customStyle="1" w:styleId="Reptitle">
    <w:name w:val="Rep_title"/>
    <w:basedOn w:val="Rectitle"/>
    <w:next w:val="Repref"/>
    <w:rsid w:val="00C93F50"/>
  </w:style>
  <w:style w:type="paragraph" w:customStyle="1" w:styleId="Repref">
    <w:name w:val="Rep_ref"/>
    <w:basedOn w:val="Recref"/>
    <w:next w:val="Repdate"/>
    <w:rsid w:val="00C93F50"/>
  </w:style>
  <w:style w:type="paragraph" w:customStyle="1" w:styleId="Resdate">
    <w:name w:val="Res_date"/>
    <w:basedOn w:val="Recdate"/>
    <w:next w:val="Normalaftertitle"/>
    <w:rsid w:val="00C93F50"/>
  </w:style>
  <w:style w:type="paragraph" w:customStyle="1" w:styleId="ResNo">
    <w:name w:val="Res_No"/>
    <w:basedOn w:val="RecNo"/>
    <w:next w:val="Restitle"/>
    <w:rsid w:val="00C93F50"/>
  </w:style>
  <w:style w:type="paragraph" w:customStyle="1" w:styleId="Restitle">
    <w:name w:val="Res_title"/>
    <w:basedOn w:val="Normal"/>
    <w:next w:val="Resref"/>
    <w:rsid w:val="00C93F50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93F50"/>
  </w:style>
  <w:style w:type="paragraph" w:customStyle="1" w:styleId="SectionNo">
    <w:name w:val="Section_No"/>
    <w:basedOn w:val="Normal"/>
    <w:next w:val="Normal"/>
    <w:rsid w:val="00C93F50"/>
  </w:style>
  <w:style w:type="paragraph" w:customStyle="1" w:styleId="Sectiontitle">
    <w:name w:val="Section_title"/>
    <w:basedOn w:val="Normal"/>
    <w:next w:val="Normalaftertitle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93F5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93F5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93F5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93F5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93F5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93F50"/>
  </w:style>
  <w:style w:type="paragraph" w:styleId="TOC6">
    <w:name w:val="toc 6"/>
    <w:basedOn w:val="TOC4"/>
    <w:semiHidden/>
    <w:rsid w:val="00C93F50"/>
  </w:style>
  <w:style w:type="paragraph" w:styleId="TOC7">
    <w:name w:val="toc 7"/>
    <w:basedOn w:val="TOC4"/>
    <w:semiHidden/>
    <w:rsid w:val="00C93F50"/>
  </w:style>
  <w:style w:type="paragraph" w:styleId="TOC8">
    <w:name w:val="toc 8"/>
    <w:basedOn w:val="TOC4"/>
    <w:semiHidden/>
    <w:rsid w:val="00C93F50"/>
  </w:style>
  <w:style w:type="paragraph" w:customStyle="1" w:styleId="Annexref">
    <w:name w:val="Annex_ref"/>
    <w:basedOn w:val="Normal"/>
    <w:next w:val="Normalaftertitle"/>
    <w:rsid w:val="00C93F5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93F50"/>
  </w:style>
  <w:style w:type="paragraph" w:customStyle="1" w:styleId="Tabletitle">
    <w:name w:val="Table_title"/>
    <w:basedOn w:val="Normal"/>
    <w:next w:val="Tablehead"/>
    <w:rsid w:val="00C93F5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93F50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93F5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C93F50"/>
    <w:rPr>
      <w:sz w:val="22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rsid w:val="00BF4B4F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BF4B4F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rsid w:val="00BF4B4F"/>
    <w:rPr>
      <w:i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F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93F5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93F5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93F5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93F5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93F50"/>
    <w:pPr>
      <w:outlineLvl w:val="4"/>
    </w:pPr>
  </w:style>
  <w:style w:type="paragraph" w:styleId="Heading6">
    <w:name w:val="heading 6"/>
    <w:basedOn w:val="Heading4"/>
    <w:next w:val="Normal"/>
    <w:qFormat/>
    <w:rsid w:val="00C93F5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93F50"/>
    <w:pPr>
      <w:outlineLvl w:val="6"/>
    </w:pPr>
  </w:style>
  <w:style w:type="paragraph" w:styleId="Heading8">
    <w:name w:val="heading 8"/>
    <w:basedOn w:val="Heading6"/>
    <w:next w:val="Normal"/>
    <w:qFormat/>
    <w:rsid w:val="00C93F50"/>
    <w:pPr>
      <w:outlineLvl w:val="7"/>
    </w:pPr>
  </w:style>
  <w:style w:type="paragraph" w:styleId="Heading9">
    <w:name w:val="heading 9"/>
    <w:basedOn w:val="Heading6"/>
    <w:next w:val="Normal"/>
    <w:qFormat/>
    <w:rsid w:val="00C93F5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93F5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93F5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93F50"/>
  </w:style>
  <w:style w:type="paragraph" w:customStyle="1" w:styleId="Headingb">
    <w:name w:val="Heading_b"/>
    <w:basedOn w:val="Heading3"/>
    <w:next w:val="Normal"/>
    <w:link w:val="HeadingbChar"/>
    <w:rsid w:val="00C93F5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93F5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93F50"/>
  </w:style>
  <w:style w:type="paragraph" w:customStyle="1" w:styleId="AnnexNoTitle">
    <w:name w:val="Annex_NoTitle"/>
    <w:basedOn w:val="Normal"/>
    <w:next w:val="Normalaftertitle"/>
    <w:rsid w:val="00C93F5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rsid w:val="00C93F50"/>
    <w:pPr>
      <w:spacing w:before="320"/>
    </w:pPr>
  </w:style>
  <w:style w:type="paragraph" w:customStyle="1" w:styleId="enumlev2">
    <w:name w:val="enumlev2"/>
    <w:basedOn w:val="enumlev1"/>
    <w:rsid w:val="00C93F50"/>
    <w:pPr>
      <w:ind w:left="1191" w:hanging="397"/>
    </w:pPr>
  </w:style>
  <w:style w:type="paragraph" w:customStyle="1" w:styleId="enumlev1">
    <w:name w:val="enumlev1"/>
    <w:basedOn w:val="Normal"/>
    <w:rsid w:val="00C93F50"/>
    <w:pPr>
      <w:spacing w:before="80"/>
      <w:ind w:left="794" w:hanging="794"/>
    </w:pPr>
  </w:style>
  <w:style w:type="paragraph" w:customStyle="1" w:styleId="enumlev3">
    <w:name w:val="enumlev3"/>
    <w:basedOn w:val="enumlev2"/>
    <w:rsid w:val="00C93F50"/>
    <w:pPr>
      <w:ind w:left="1588"/>
    </w:pPr>
  </w:style>
  <w:style w:type="paragraph" w:customStyle="1" w:styleId="Note">
    <w:name w:val="Note"/>
    <w:basedOn w:val="Normal"/>
    <w:rsid w:val="00C93F5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93F50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93F50"/>
    <w:pPr>
      <w:jc w:val="center"/>
    </w:pPr>
  </w:style>
  <w:style w:type="paragraph" w:customStyle="1" w:styleId="Recdate">
    <w:name w:val="Rec_date"/>
    <w:basedOn w:val="Recref"/>
    <w:next w:val="Normalaftertitle"/>
    <w:rsid w:val="00C93F50"/>
    <w:pPr>
      <w:jc w:val="right"/>
    </w:pPr>
  </w:style>
  <w:style w:type="paragraph" w:customStyle="1" w:styleId="HeadingSum">
    <w:name w:val="Heading_Sum"/>
    <w:basedOn w:val="Headingb"/>
    <w:next w:val="Normal"/>
    <w:rsid w:val="00C93F50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C93F50"/>
  </w:style>
  <w:style w:type="paragraph" w:customStyle="1" w:styleId="Tablefin">
    <w:name w:val="Table_fin"/>
    <w:basedOn w:val="Normal"/>
    <w:next w:val="Normal"/>
    <w:rsid w:val="00C93F5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93F5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93F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93F5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93F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93F5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93F5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93F50"/>
    <w:pPr>
      <w:ind w:left="794"/>
    </w:pPr>
  </w:style>
  <w:style w:type="paragraph" w:customStyle="1" w:styleId="Figurelegend">
    <w:name w:val="Figure_legend"/>
    <w:basedOn w:val="Normal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93F5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93F5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93F50"/>
    <w:pPr>
      <w:keepNext w:val="0"/>
      <w:spacing w:before="0" w:after="240"/>
    </w:pPr>
  </w:style>
  <w:style w:type="paragraph" w:customStyle="1" w:styleId="tocpart">
    <w:name w:val="tocpart"/>
    <w:basedOn w:val="Normal"/>
    <w:rsid w:val="00C93F5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93F5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93F5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93F5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93F5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93F50"/>
    <w:rPr>
      <w:b/>
    </w:rPr>
  </w:style>
  <w:style w:type="paragraph" w:customStyle="1" w:styleId="Chaptitle">
    <w:name w:val="Chap_title"/>
    <w:basedOn w:val="Arttitle"/>
    <w:next w:val="Normalaftertitle"/>
    <w:rsid w:val="00C93F50"/>
  </w:style>
  <w:style w:type="character" w:styleId="FootnoteReference">
    <w:name w:val="footnote reference"/>
    <w:basedOn w:val="DefaultParagraphFont"/>
    <w:rsid w:val="00C93F50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C93F5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93F50"/>
  </w:style>
  <w:style w:type="paragraph" w:styleId="Index2">
    <w:name w:val="index 2"/>
    <w:basedOn w:val="Normal"/>
    <w:next w:val="Normal"/>
    <w:semiHidden/>
    <w:rsid w:val="00C93F50"/>
    <w:pPr>
      <w:ind w:left="283"/>
    </w:pPr>
  </w:style>
  <w:style w:type="paragraph" w:styleId="Index3">
    <w:name w:val="index 3"/>
    <w:basedOn w:val="Normal"/>
    <w:next w:val="Normal"/>
    <w:semiHidden/>
    <w:rsid w:val="00C93F50"/>
    <w:pPr>
      <w:ind w:left="566"/>
    </w:pPr>
  </w:style>
  <w:style w:type="paragraph" w:styleId="IndexHeading">
    <w:name w:val="index heading"/>
    <w:basedOn w:val="Normal"/>
    <w:next w:val="Index1"/>
    <w:semiHidden/>
    <w:rsid w:val="00C93F50"/>
  </w:style>
  <w:style w:type="paragraph" w:customStyle="1" w:styleId="Line">
    <w:name w:val="Line"/>
    <w:basedOn w:val="Normal"/>
    <w:next w:val="Normal"/>
    <w:rsid w:val="00C93F5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93F5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93F50"/>
  </w:style>
  <w:style w:type="paragraph" w:customStyle="1" w:styleId="Partref">
    <w:name w:val="Part_ref"/>
    <w:basedOn w:val="Normal"/>
    <w:next w:val="Normal"/>
    <w:rsid w:val="00C93F5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93F50"/>
  </w:style>
  <w:style w:type="paragraph" w:customStyle="1" w:styleId="QuestionNo">
    <w:name w:val="Question_No"/>
    <w:basedOn w:val="RecNo"/>
    <w:next w:val="Normal"/>
    <w:rsid w:val="00C93F50"/>
  </w:style>
  <w:style w:type="paragraph" w:customStyle="1" w:styleId="Questionref">
    <w:name w:val="Question_ref"/>
    <w:basedOn w:val="Recref"/>
    <w:next w:val="Questiondate"/>
    <w:rsid w:val="00C93F50"/>
  </w:style>
  <w:style w:type="paragraph" w:customStyle="1" w:styleId="Questiontitle">
    <w:name w:val="Question_title"/>
    <w:basedOn w:val="Normal"/>
    <w:next w:val="Questionref"/>
    <w:rsid w:val="00C93F50"/>
  </w:style>
  <w:style w:type="paragraph" w:customStyle="1" w:styleId="Reftext">
    <w:name w:val="Ref_text"/>
    <w:basedOn w:val="Normal"/>
    <w:rsid w:val="00C93F5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93F5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93F50"/>
  </w:style>
  <w:style w:type="paragraph" w:customStyle="1" w:styleId="RepNo">
    <w:name w:val="Rep_No"/>
    <w:basedOn w:val="RecNo"/>
    <w:next w:val="Reptitle"/>
    <w:rsid w:val="00C93F50"/>
  </w:style>
  <w:style w:type="paragraph" w:customStyle="1" w:styleId="Reptitle">
    <w:name w:val="Rep_title"/>
    <w:basedOn w:val="Rectitle"/>
    <w:next w:val="Repref"/>
    <w:rsid w:val="00C93F50"/>
  </w:style>
  <w:style w:type="paragraph" w:customStyle="1" w:styleId="Repref">
    <w:name w:val="Rep_ref"/>
    <w:basedOn w:val="Recref"/>
    <w:next w:val="Repdate"/>
    <w:rsid w:val="00C93F50"/>
  </w:style>
  <w:style w:type="paragraph" w:customStyle="1" w:styleId="Resdate">
    <w:name w:val="Res_date"/>
    <w:basedOn w:val="Recdate"/>
    <w:next w:val="Normalaftertitle"/>
    <w:rsid w:val="00C93F50"/>
  </w:style>
  <w:style w:type="paragraph" w:customStyle="1" w:styleId="ResNo">
    <w:name w:val="Res_No"/>
    <w:basedOn w:val="RecNo"/>
    <w:next w:val="Restitle"/>
    <w:rsid w:val="00C93F50"/>
  </w:style>
  <w:style w:type="paragraph" w:customStyle="1" w:styleId="Restitle">
    <w:name w:val="Res_title"/>
    <w:basedOn w:val="Normal"/>
    <w:next w:val="Resref"/>
    <w:rsid w:val="00C93F50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93F50"/>
  </w:style>
  <w:style w:type="paragraph" w:customStyle="1" w:styleId="SectionNo">
    <w:name w:val="Section_No"/>
    <w:basedOn w:val="Normal"/>
    <w:next w:val="Normal"/>
    <w:rsid w:val="00C93F50"/>
  </w:style>
  <w:style w:type="paragraph" w:customStyle="1" w:styleId="Sectiontitle">
    <w:name w:val="Section_title"/>
    <w:basedOn w:val="Normal"/>
    <w:next w:val="Normalaftertitle"/>
    <w:rsid w:val="00C93F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93F5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93F5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93F5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93F5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93F5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93F50"/>
  </w:style>
  <w:style w:type="paragraph" w:styleId="TOC6">
    <w:name w:val="toc 6"/>
    <w:basedOn w:val="TOC4"/>
    <w:semiHidden/>
    <w:rsid w:val="00C93F50"/>
  </w:style>
  <w:style w:type="paragraph" w:styleId="TOC7">
    <w:name w:val="toc 7"/>
    <w:basedOn w:val="TOC4"/>
    <w:semiHidden/>
    <w:rsid w:val="00C93F50"/>
  </w:style>
  <w:style w:type="paragraph" w:styleId="TOC8">
    <w:name w:val="toc 8"/>
    <w:basedOn w:val="TOC4"/>
    <w:semiHidden/>
    <w:rsid w:val="00C93F50"/>
  </w:style>
  <w:style w:type="paragraph" w:customStyle="1" w:styleId="Annexref">
    <w:name w:val="Annex_ref"/>
    <w:basedOn w:val="Normal"/>
    <w:next w:val="Normalaftertitle"/>
    <w:rsid w:val="00C93F5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93F50"/>
  </w:style>
  <w:style w:type="paragraph" w:customStyle="1" w:styleId="Tabletitle">
    <w:name w:val="Table_title"/>
    <w:basedOn w:val="Normal"/>
    <w:next w:val="Tablehead"/>
    <w:rsid w:val="00C93F5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93F50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93F5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C93F50"/>
    <w:rPr>
      <w:sz w:val="22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rsid w:val="00BF4B4F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BF4B4F"/>
    <w:rPr>
      <w:b/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rsid w:val="00BF4B4F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6237F-7B64-4B04-A898-48946FA0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</TotalTime>
  <Pages>4</Pages>
  <Words>693</Words>
  <Characters>4492</Characters>
  <Application>Microsoft Office Word</Application>
  <DocSecurity>0</DocSecurity>
  <Lines>118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5184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santosbo</cp:lastModifiedBy>
  <cp:revision>4</cp:revision>
  <cp:lastPrinted>2009-05-25T08:41:00Z</cp:lastPrinted>
  <dcterms:created xsi:type="dcterms:W3CDTF">2011-03-17T08:11:00Z</dcterms:created>
  <dcterms:modified xsi:type="dcterms:W3CDTF">2011-07-07T08:49:00Z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