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Pr>
        <w:rPr>
          <w:rFonts w:hint="cs"/>
        </w:rPr>
      </w:pPr>
    </w:p>
    <w:p w:rsidR="005E066B" w:rsidRDefault="008C2052"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3300095</wp:posOffset>
                </wp:positionV>
                <wp:extent cx="5598795" cy="914400"/>
                <wp:effectExtent l="0" t="4445"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098" w:rsidRPr="009C6655" w:rsidRDefault="004F2098" w:rsidP="00103121">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BT</w:t>
                            </w:r>
                            <w:r w:rsidRPr="005F01A2">
                              <w:rPr>
                                <w:rFonts w:ascii="Tahoma" w:hAnsi="Tahoma"/>
                                <w:b/>
                                <w:bCs/>
                                <w:color w:val="000068"/>
                                <w:sz w:val="36"/>
                                <w:szCs w:val="56"/>
                                <w:lang w:bidi="ar-EG"/>
                              </w:rPr>
                              <w:t>.</w:t>
                            </w:r>
                            <w:r>
                              <w:rPr>
                                <w:rFonts w:ascii="Tahoma" w:hAnsi="Tahoma"/>
                                <w:b/>
                                <w:bCs/>
                                <w:color w:val="000068"/>
                                <w:sz w:val="36"/>
                                <w:szCs w:val="56"/>
                                <w:lang w:bidi="ar-EG"/>
                              </w:rPr>
                              <w:t>1893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11/05</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rsidR="004F2098" w:rsidRPr="009C6655" w:rsidRDefault="004F2098" w:rsidP="00103121">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BT</w:t>
                      </w:r>
                      <w:r w:rsidRPr="005F01A2">
                        <w:rPr>
                          <w:rFonts w:ascii="Tahoma" w:hAnsi="Tahoma"/>
                          <w:b/>
                          <w:bCs/>
                          <w:color w:val="000068"/>
                          <w:sz w:val="36"/>
                          <w:szCs w:val="56"/>
                          <w:lang w:bidi="ar-EG"/>
                        </w:rPr>
                        <w:t>.</w:t>
                      </w:r>
                      <w:r>
                        <w:rPr>
                          <w:rFonts w:ascii="Tahoma" w:hAnsi="Tahoma"/>
                          <w:b/>
                          <w:bCs/>
                          <w:color w:val="000068"/>
                          <w:sz w:val="36"/>
                          <w:szCs w:val="56"/>
                          <w:lang w:bidi="ar-EG"/>
                        </w:rPr>
                        <w:t>1893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11/05</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5680" behindDoc="0" locked="0" layoutInCell="1" allowOverlap="1">
                <wp:simplePos x="0" y="0"/>
                <wp:positionH relativeFrom="column">
                  <wp:posOffset>377190</wp:posOffset>
                </wp:positionH>
                <wp:positionV relativeFrom="paragraph">
                  <wp:posOffset>4328795</wp:posOffset>
                </wp:positionV>
                <wp:extent cx="5600700" cy="1714500"/>
                <wp:effectExtent l="0" t="4445" r="381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098" w:rsidRPr="005F01A2" w:rsidRDefault="004F2098" w:rsidP="00103121">
                            <w:pPr>
                              <w:spacing w:line="168" w:lineRule="auto"/>
                              <w:ind w:right="-126"/>
                              <w:jc w:val="right"/>
                              <w:rPr>
                                <w:rFonts w:ascii="Tahoma" w:hAnsi="Tahoma"/>
                                <w:b/>
                                <w:bCs/>
                                <w:color w:val="000068"/>
                                <w:sz w:val="40"/>
                                <w:szCs w:val="72"/>
                                <w:rtl/>
                                <w:lang w:bidi="ar-EG"/>
                              </w:rPr>
                            </w:pPr>
                            <w:r w:rsidRPr="00103121">
                              <w:rPr>
                                <w:rFonts w:ascii="Tahoma" w:hAnsi="Tahoma" w:hint="cs"/>
                                <w:b/>
                                <w:bCs/>
                                <w:color w:val="000068"/>
                                <w:sz w:val="40"/>
                                <w:szCs w:val="72"/>
                                <w:rtl/>
                                <w:lang w:bidi="ar-EG"/>
                              </w:rPr>
                              <w:t>تقييم الانحطاط الذي يسببه توربين هوائي للاستقبال التلفزيوني الرقمي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L9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" filled="f" stroked="f">
                <v:textbox>
                  <w:txbxContent>
                    <w:p w:rsidR="004F2098" w:rsidRPr="005F01A2" w:rsidRDefault="004F2098" w:rsidP="00103121">
                      <w:pPr>
                        <w:spacing w:line="168" w:lineRule="auto"/>
                        <w:ind w:right="-126"/>
                        <w:jc w:val="right"/>
                        <w:rPr>
                          <w:rFonts w:ascii="Tahoma" w:hAnsi="Tahoma"/>
                          <w:b/>
                          <w:bCs/>
                          <w:color w:val="000068"/>
                          <w:sz w:val="40"/>
                          <w:szCs w:val="72"/>
                          <w:rtl/>
                          <w:lang w:bidi="ar-EG"/>
                        </w:rPr>
                      </w:pPr>
                      <w:r w:rsidRPr="00103121">
                        <w:rPr>
                          <w:rFonts w:ascii="Tahoma" w:hAnsi="Tahoma" w:hint="cs"/>
                          <w:b/>
                          <w:bCs/>
                          <w:color w:val="000068"/>
                          <w:sz w:val="40"/>
                          <w:szCs w:val="72"/>
                          <w:rtl/>
                          <w:lang w:bidi="ar-EG"/>
                        </w:rPr>
                        <w:t>تقييم الانحطاط الذي يسببه توربين هوائي للاستقبال التلفزيوني الرقمي</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3314700" cy="1371600"/>
                <wp:effectExtent l="0" t="4445" r="381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098" w:rsidRPr="005F01A2" w:rsidRDefault="004F2098" w:rsidP="0010312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rsidR="004F2098" w:rsidRPr="005F01A2" w:rsidRDefault="004F2098" w:rsidP="00FF40CB">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الإذاعية (التلفزيونية)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4F2098" w:rsidRPr="005F01A2" w:rsidRDefault="004F2098" w:rsidP="0010312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rsidR="004F2098" w:rsidRPr="005F01A2" w:rsidRDefault="004F2098" w:rsidP="00FF40CB">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الإذاعية (التلفزيونية)</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6047D4">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6047D4">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440F51" w:rsidTr="006047D4">
        <w:trPr>
          <w:jc w:val="center"/>
        </w:trPr>
        <w:tc>
          <w:tcPr>
            <w:tcW w:w="9394" w:type="dxa"/>
            <w:gridSpan w:val="2"/>
            <w:tcBorders>
              <w:left w:val="single" w:sz="12" w:space="0" w:color="000080"/>
              <w:right w:val="single" w:sz="12" w:space="0" w:color="000080"/>
            </w:tcBorders>
          </w:tcPr>
          <w:p w:rsidR="00E964C9" w:rsidRPr="00021035" w:rsidRDefault="00E964C9" w:rsidP="00E964C9">
            <w:pPr>
              <w:tabs>
                <w:tab w:val="clear" w:pos="794"/>
                <w:tab w:val="left" w:pos="1471"/>
              </w:tabs>
              <w:spacing w:before="20" w:after="40" w:line="240" w:lineRule="exact"/>
              <w:rPr>
                <w:b/>
                <w:bCs/>
                <w:sz w:val="20"/>
                <w:szCs w:val="26"/>
              </w:rPr>
            </w:pPr>
            <w:r w:rsidRPr="00021035">
              <w:rPr>
                <w:b/>
                <w:bCs/>
                <w:sz w:val="20"/>
                <w:szCs w:val="26"/>
              </w:rPr>
              <w:t>BS</w:t>
            </w:r>
            <w:r>
              <w:rPr>
                <w:rFonts w:hint="cs"/>
                <w:b/>
                <w:bCs/>
                <w:sz w:val="20"/>
                <w:szCs w:val="26"/>
                <w:rtl/>
              </w:rPr>
              <w:tab/>
            </w:r>
            <w:r w:rsidRPr="00B473C2">
              <w:rPr>
                <w:rFonts w:hint="cs"/>
                <w:sz w:val="20"/>
                <w:szCs w:val="26"/>
                <w:rtl/>
              </w:rPr>
              <w:t>الخدمة الإذاعية (الصوتية)</w:t>
            </w:r>
          </w:p>
        </w:tc>
      </w:tr>
      <w:tr w:rsidR="00E964C9" w:rsidRPr="00440F51" w:rsidTr="006047D4">
        <w:trPr>
          <w:jc w:val="center"/>
        </w:trPr>
        <w:tc>
          <w:tcPr>
            <w:tcW w:w="9394" w:type="dxa"/>
            <w:gridSpan w:val="2"/>
            <w:tcBorders>
              <w:left w:val="single" w:sz="12" w:space="0" w:color="000080"/>
              <w:right w:val="single" w:sz="12" w:space="0" w:color="000080"/>
            </w:tcBorders>
          </w:tcPr>
          <w:p w:rsidR="00E964C9" w:rsidRPr="00021035" w:rsidRDefault="00E964C9" w:rsidP="00E964C9">
            <w:pPr>
              <w:tabs>
                <w:tab w:val="clear" w:pos="794"/>
                <w:tab w:val="left" w:pos="1471"/>
              </w:tabs>
              <w:spacing w:before="20" w:after="40" w:line="240" w:lineRule="exact"/>
              <w:rPr>
                <w:b/>
                <w:bCs/>
                <w:sz w:val="20"/>
                <w:szCs w:val="26"/>
                <w:lang w:val="ru-RU"/>
              </w:rPr>
            </w:pPr>
            <w:r w:rsidRPr="00C2588C">
              <w:rPr>
                <w:rFonts w:ascii="Times New Roman Bold" w:hAnsi="Times New Roman Bold" w:cs="Times New Roman Bold"/>
                <w:b/>
                <w:bCs/>
                <w:color w:val="000080"/>
                <w:sz w:val="20"/>
                <w:szCs w:val="20"/>
                <w:lang w:eastAsia="en-US"/>
              </w:rPr>
              <w:t>BT</w:t>
            </w:r>
            <w:r w:rsidRPr="00021035">
              <w:rPr>
                <w:rFonts w:hint="cs"/>
                <w:b/>
                <w:bCs/>
                <w:color w:val="1F497D" w:themeColor="text2"/>
                <w:sz w:val="20"/>
                <w:szCs w:val="26"/>
                <w:rtl/>
              </w:rPr>
              <w:tab/>
            </w:r>
            <w:r w:rsidRPr="00C2588C">
              <w:rPr>
                <w:rFonts w:ascii="Times New Roman Bold" w:hAnsi="Times New Roman Bold" w:hint="cs"/>
                <w:b/>
                <w:bCs/>
                <w:color w:val="000080"/>
                <w:sz w:val="26"/>
                <w:szCs w:val="26"/>
                <w:rtl/>
                <w:lang w:eastAsia="en-US"/>
              </w:rPr>
              <w:t>الخدمة الإذاعية (التلفزيونية)</w:t>
            </w:r>
          </w:p>
        </w:tc>
      </w:tr>
      <w:tr w:rsidR="00E964C9" w:rsidRPr="00440F51" w:rsidTr="006047D4">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6047D4">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6047D4">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6047D4">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060FB0" w:rsidRPr="00440F51" w:rsidTr="006047D4">
        <w:trPr>
          <w:jc w:val="center"/>
        </w:trPr>
        <w:tc>
          <w:tcPr>
            <w:tcW w:w="9394" w:type="dxa"/>
            <w:gridSpan w:val="2"/>
            <w:tcBorders>
              <w:left w:val="single" w:sz="12" w:space="0" w:color="000080"/>
              <w:right w:val="single" w:sz="12" w:space="0" w:color="000080"/>
            </w:tcBorders>
          </w:tcPr>
          <w:p w:rsidR="00060FB0" w:rsidRPr="008113E9" w:rsidRDefault="00060FB0" w:rsidP="00E964C9">
            <w:pPr>
              <w:tabs>
                <w:tab w:val="clear" w:pos="794"/>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6047D4">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6047D4">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6047D4">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6047D4">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6047D4">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6047D4">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6047D4">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clear" w:pos="794"/>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060FB0">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201</w:t>
      </w:r>
      <w:r w:rsidR="00060FB0">
        <w:rPr>
          <w:sz w:val="20"/>
          <w:szCs w:val="26"/>
        </w:rPr>
        <w:t>1</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060FB0">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w:t>
      </w:r>
      <w:r w:rsidR="00060FB0">
        <w:rPr>
          <w:sz w:val="21"/>
          <w:szCs w:val="20"/>
        </w:rPr>
        <w:t>1</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E1601B" w:rsidRPr="00422D17" w:rsidRDefault="00AE2234" w:rsidP="00CB5B24">
      <w:pPr>
        <w:pStyle w:val="RecNo"/>
        <w:rPr>
          <w:rtl/>
        </w:rPr>
      </w:pPr>
      <w:r w:rsidRPr="00422D17">
        <w:rPr>
          <w:rFonts w:hint="cs"/>
          <w:rtl/>
        </w:rPr>
        <w:lastRenderedPageBreak/>
        <w:t>التوصي</w:t>
      </w:r>
      <w:r w:rsidR="005E066B" w:rsidRPr="00422D17">
        <w:rPr>
          <w:rFonts w:hint="cs"/>
          <w:rtl/>
        </w:rPr>
        <w:t>ـ</w:t>
      </w:r>
      <w:r w:rsidRPr="00422D17">
        <w:rPr>
          <w:rFonts w:hint="cs"/>
          <w:rtl/>
        </w:rPr>
        <w:t>ة</w:t>
      </w:r>
      <w:r w:rsidR="005E066B" w:rsidRPr="00422D17">
        <w:rPr>
          <w:rFonts w:hint="cs"/>
          <w:rtl/>
        </w:rPr>
        <w:t xml:space="preserve"> </w:t>
      </w:r>
      <w:r w:rsidRPr="00422D17">
        <w:rPr>
          <w:rFonts w:hint="cs"/>
          <w:rtl/>
        </w:rPr>
        <w:t xml:space="preserve"> </w:t>
      </w:r>
      <w:r w:rsidR="005D6A35" w:rsidRPr="00422D17">
        <w:t>ITU-R </w:t>
      </w:r>
      <w:r w:rsidR="005E066B" w:rsidRPr="00422D17">
        <w:t> </w:t>
      </w:r>
      <w:r w:rsidR="00CB5B24">
        <w:t>BT</w:t>
      </w:r>
      <w:r w:rsidR="00304728" w:rsidRPr="00422D17">
        <w:t>.</w:t>
      </w:r>
      <w:r w:rsidR="00CB5B24">
        <w:t>1893</w:t>
      </w:r>
    </w:p>
    <w:p w:rsidR="00AE2234" w:rsidRDefault="00CB5B24" w:rsidP="005E066B">
      <w:pPr>
        <w:pStyle w:val="Rectitle"/>
        <w:rPr>
          <w:rtl/>
        </w:rPr>
      </w:pPr>
      <w:r>
        <w:rPr>
          <w:rFonts w:hint="cs"/>
          <w:rtl/>
        </w:rPr>
        <w:t xml:space="preserve">تقييم الانحطاط الذي يسببه توربين هوائي </w:t>
      </w:r>
      <w:r w:rsidR="005664DB">
        <w:rPr>
          <w:rtl/>
        </w:rPr>
        <w:br/>
      </w:r>
      <w:r>
        <w:rPr>
          <w:rFonts w:hint="cs"/>
          <w:rtl/>
        </w:rPr>
        <w:t>للاستقبال التلفزيوني الرقمي</w:t>
      </w:r>
    </w:p>
    <w:p w:rsidR="00CB5B24" w:rsidRPr="00CB5B24" w:rsidRDefault="00CB5B24" w:rsidP="00FF40CB">
      <w:pPr>
        <w:pStyle w:val="Normalaftertitle"/>
        <w:spacing w:before="120"/>
        <w:jc w:val="center"/>
        <w:rPr>
          <w:rtl/>
          <w:lang w:bidi="ar-EG"/>
        </w:rPr>
      </w:pPr>
      <w:r>
        <w:rPr>
          <w:rFonts w:hint="cs"/>
          <w:rtl/>
          <w:lang w:bidi="ar-EG"/>
        </w:rPr>
        <w:t xml:space="preserve">(المسألة </w:t>
      </w:r>
      <w:r>
        <w:rPr>
          <w:lang w:bidi="ar-EG"/>
        </w:rPr>
        <w:t>ITU-R 69-1/6</w:t>
      </w:r>
      <w:r>
        <w:rPr>
          <w:rFonts w:hint="cs"/>
          <w:rtl/>
          <w:lang w:bidi="ar-EG"/>
        </w:rPr>
        <w:t>)</w:t>
      </w:r>
    </w:p>
    <w:p w:rsidR="00B16E8C" w:rsidRPr="000F312E" w:rsidRDefault="00B16E8C" w:rsidP="00CB5B24">
      <w:pPr>
        <w:pStyle w:val="Recdate"/>
      </w:pPr>
      <w:r w:rsidRPr="000F312E">
        <w:t>(20</w:t>
      </w:r>
      <w:r w:rsidR="00CB5B24">
        <w:t>11</w:t>
      </w:r>
      <w:r w:rsidRPr="000F312E">
        <w:t>)</w:t>
      </w:r>
    </w:p>
    <w:p w:rsidR="004910A2" w:rsidRDefault="004910A2" w:rsidP="004F2098">
      <w:pPr>
        <w:pStyle w:val="Headingb"/>
        <w:spacing w:before="240"/>
        <w:outlineLvl w:val="0"/>
        <w:rPr>
          <w:sz w:val="24"/>
          <w:szCs w:val="32"/>
          <w:rtl/>
          <w:lang w:bidi="ar-EG"/>
        </w:rPr>
      </w:pPr>
      <w:bookmarkStart w:id="0" w:name="_Toc246311086"/>
      <w:bookmarkStart w:id="1" w:name="_Toc246311154"/>
      <w:r w:rsidRPr="005E066B">
        <w:rPr>
          <w:sz w:val="24"/>
          <w:szCs w:val="32"/>
          <w:rtl/>
          <w:lang w:bidi="ar-SY"/>
        </w:rPr>
        <w:t>مجال التطبيق</w:t>
      </w:r>
      <w:bookmarkEnd w:id="0"/>
      <w:bookmarkEnd w:id="1"/>
    </w:p>
    <w:p w:rsidR="000F312E" w:rsidRDefault="00CB5B24" w:rsidP="000F312E">
      <w:pPr>
        <w:rPr>
          <w:rtl/>
          <w:lang w:bidi="ar-EG"/>
        </w:rPr>
      </w:pPr>
      <w:r>
        <w:rPr>
          <w:rFonts w:hint="cs"/>
          <w:rtl/>
          <w:lang w:bidi="ar-EG"/>
        </w:rPr>
        <w:t xml:space="preserve">تقدم هذه التوصية طريقة لتقييم الانحطاط المحتمل أن تتسبّب فيه منشأة </w:t>
      </w:r>
      <w:proofErr w:type="spellStart"/>
      <w:r>
        <w:rPr>
          <w:rFonts w:hint="cs"/>
          <w:rtl/>
          <w:lang w:bidi="ar-EG"/>
        </w:rPr>
        <w:t>لتوربينات</w:t>
      </w:r>
      <w:proofErr w:type="spellEnd"/>
      <w:r>
        <w:rPr>
          <w:rFonts w:hint="cs"/>
          <w:rtl/>
          <w:lang w:bidi="ar-EG"/>
        </w:rPr>
        <w:t xml:space="preserve"> هوائية تتألف من آلة واحدة للاستقبال التلفزيوني الرقمي.</w:t>
      </w:r>
    </w:p>
    <w:p w:rsidR="00CB5B24" w:rsidRDefault="00CB5B24" w:rsidP="00B078F6">
      <w:pPr>
        <w:pStyle w:val="Note"/>
        <w:rPr>
          <w:rFonts w:hint="cs"/>
          <w:rtl/>
        </w:rPr>
      </w:pPr>
      <w:r>
        <w:rPr>
          <w:rFonts w:hint="cs"/>
          <w:b/>
          <w:bCs/>
          <w:rtl/>
          <w:lang w:bidi="ar-EG"/>
        </w:rPr>
        <w:t xml:space="preserve">ملاحظة </w:t>
      </w:r>
      <w:r>
        <w:rPr>
          <w:b/>
          <w:bCs/>
          <w:lang w:bidi="ar-EG"/>
        </w:rPr>
        <w:t>1</w:t>
      </w:r>
      <w:r>
        <w:rPr>
          <w:rFonts w:hint="cs"/>
          <w:b/>
          <w:bCs/>
          <w:rtl/>
          <w:lang w:bidi="ar-EG"/>
        </w:rPr>
        <w:t xml:space="preserve"> </w:t>
      </w:r>
      <w:r>
        <w:rPr>
          <w:rFonts w:hint="cs"/>
          <w:rtl/>
          <w:lang w:bidi="ar-EG"/>
        </w:rPr>
        <w:t xml:space="preserve">- تقدم التوصية </w:t>
      </w:r>
      <w:r>
        <w:rPr>
          <w:lang w:bidi="ar-EG"/>
        </w:rPr>
        <w:t>ITU-R BT.805</w:t>
      </w:r>
      <w:r>
        <w:rPr>
          <w:rFonts w:hint="cs"/>
          <w:rtl/>
          <w:lang w:bidi="ar-EG"/>
        </w:rPr>
        <w:t xml:space="preserve"> "تقييم الانحطاط الذي يسببه توربين هوائي للاستقبال التلفزيوني التماثلي".</w:t>
      </w:r>
    </w:p>
    <w:p w:rsidR="00FF40CB" w:rsidRPr="00CB5B24" w:rsidRDefault="00FF40CB" w:rsidP="00B078F6">
      <w:pPr>
        <w:pStyle w:val="Note"/>
        <w:rPr>
          <w:rFonts w:hint="cs"/>
          <w:rtl/>
        </w:rPr>
      </w:pPr>
    </w:p>
    <w:p w:rsidR="000F312E" w:rsidRDefault="00B078F6" w:rsidP="00B078F6">
      <w:pPr>
        <w:pStyle w:val="Normalaftertitle"/>
        <w:rPr>
          <w:rtl/>
          <w:lang w:bidi="ar-EG"/>
        </w:rPr>
      </w:pPr>
      <w:r>
        <w:rPr>
          <w:rFonts w:hint="cs"/>
          <w:rtl/>
          <w:lang w:bidi="ar-EG"/>
        </w:rPr>
        <w:t>إن جمعية الاتصالات الراديوية للاتحاد الدولي للاتصالات،</w:t>
      </w:r>
    </w:p>
    <w:p w:rsidR="00CB5B24" w:rsidRPr="00B078F6" w:rsidRDefault="00B078F6" w:rsidP="00B078F6">
      <w:pPr>
        <w:pStyle w:val="Call"/>
        <w:rPr>
          <w:rtl/>
        </w:rPr>
      </w:pPr>
      <w:r>
        <w:rPr>
          <w:rFonts w:hint="cs"/>
          <w:rtl/>
        </w:rPr>
        <w:t>إذ تضع في اعتبارها</w:t>
      </w:r>
    </w:p>
    <w:p w:rsidR="00CB5B24" w:rsidRDefault="00B078F6" w:rsidP="000F312E">
      <w:pPr>
        <w:rPr>
          <w:rtl/>
          <w:lang w:bidi="ar-EG"/>
        </w:rPr>
      </w:pPr>
      <w:r>
        <w:rPr>
          <w:rFonts w:hint="cs"/>
          <w:rtl/>
          <w:lang w:bidi="ar-EG"/>
        </w:rPr>
        <w:t xml:space="preserve"> أ )</w:t>
      </w:r>
      <w:r>
        <w:rPr>
          <w:rFonts w:hint="cs"/>
          <w:rtl/>
          <w:lang w:bidi="ar-EG"/>
        </w:rPr>
        <w:tab/>
        <w:t>أن الانعكاسات من الأجسام المتحركة مثل أذرع التوربينات الهوائية يمكن أن تتسبب في انحطاط كبير للاستقبال التلفزيوني؛</w:t>
      </w:r>
    </w:p>
    <w:p w:rsidR="00B078F6" w:rsidRDefault="00B078F6" w:rsidP="000F312E">
      <w:pPr>
        <w:rPr>
          <w:rtl/>
          <w:lang w:bidi="ar-EG"/>
        </w:rPr>
      </w:pPr>
      <w:r>
        <w:rPr>
          <w:rFonts w:hint="cs"/>
          <w:rtl/>
          <w:lang w:bidi="ar-EG"/>
        </w:rPr>
        <w:t>ب)</w:t>
      </w:r>
      <w:r>
        <w:rPr>
          <w:rFonts w:hint="cs"/>
          <w:rtl/>
          <w:lang w:bidi="ar-EG"/>
        </w:rPr>
        <w:tab/>
        <w:t>أن هذه التأثيرات تعتبر خطيرة على نحو خاص لأن الانحطاط الناجم قد يكون شبه ثابت، حيث لا يطرأ عليه انخفاض إلاّ في الفترات التي تتوقف فيها التوربينات الهوائية عن الدوران؛</w:t>
      </w:r>
    </w:p>
    <w:p w:rsidR="00B078F6" w:rsidRDefault="00B078F6" w:rsidP="005664DB">
      <w:pPr>
        <w:rPr>
          <w:rtl/>
          <w:lang w:bidi="ar-EG"/>
        </w:rPr>
      </w:pPr>
      <w:r>
        <w:rPr>
          <w:rFonts w:hint="cs"/>
          <w:rtl/>
          <w:lang w:bidi="ar-EG"/>
        </w:rPr>
        <w:t>ج)</w:t>
      </w:r>
      <w:r>
        <w:rPr>
          <w:rFonts w:hint="cs"/>
          <w:rtl/>
          <w:lang w:bidi="ar-EG"/>
        </w:rPr>
        <w:tab/>
        <w:t xml:space="preserve">أن من المهم توفر طريقة بسيطة لحساب الانحطاطات المحتملة التي يمكن أن تنجم عن تركيب أي توربينات </w:t>
      </w:r>
      <w:r w:rsidR="006047D4">
        <w:rPr>
          <w:rFonts w:hint="cs"/>
          <w:rtl/>
          <w:lang w:bidi="ar-EG"/>
        </w:rPr>
        <w:t>هوائية</w:t>
      </w:r>
      <w:r w:rsidR="005664DB">
        <w:rPr>
          <w:rFonts w:hint="eastAsia"/>
          <w:rtl/>
          <w:lang w:bidi="ar-EG"/>
        </w:rPr>
        <w:t> </w:t>
      </w:r>
      <w:r w:rsidR="006047D4">
        <w:rPr>
          <w:rFonts w:hint="cs"/>
          <w:rtl/>
          <w:lang w:bidi="ar-EG"/>
        </w:rPr>
        <w:t>مقترحة؛</w:t>
      </w:r>
    </w:p>
    <w:p w:rsidR="006047D4" w:rsidRDefault="006047D4" w:rsidP="005664DB">
      <w:pPr>
        <w:rPr>
          <w:rtl/>
          <w:lang w:bidi="ar-EG"/>
        </w:rPr>
      </w:pPr>
      <w:r>
        <w:rPr>
          <w:rFonts w:hint="cs"/>
          <w:rtl/>
          <w:lang w:bidi="ar-EG"/>
        </w:rPr>
        <w:t>د</w:t>
      </w:r>
      <w:r w:rsidR="004F2098">
        <w:rPr>
          <w:rFonts w:hint="cs"/>
          <w:rtl/>
          <w:lang w:bidi="ar-EG"/>
        </w:rPr>
        <w:t xml:space="preserve"> </w:t>
      </w:r>
      <w:r>
        <w:rPr>
          <w:rFonts w:hint="cs"/>
          <w:rtl/>
          <w:lang w:bidi="ar-EG"/>
        </w:rPr>
        <w:t>)</w:t>
      </w:r>
      <w:r>
        <w:rPr>
          <w:rFonts w:hint="cs"/>
          <w:rtl/>
          <w:lang w:bidi="ar-EG"/>
        </w:rPr>
        <w:tab/>
        <w:t>أنه تجري حالياً دراسة تقنيات القضاء على ال</w:t>
      </w:r>
      <w:r w:rsidR="00A27116">
        <w:rPr>
          <w:rFonts w:hint="cs"/>
          <w:rtl/>
          <w:lang w:bidi="ar-EG"/>
        </w:rPr>
        <w:t>ا</w:t>
      </w:r>
      <w:r>
        <w:rPr>
          <w:rFonts w:hint="cs"/>
          <w:rtl/>
          <w:lang w:bidi="ar-EG"/>
        </w:rPr>
        <w:t xml:space="preserve">نعكاسات والتي يمكنها أن توفر بعض التحسين بالنسبة </w:t>
      </w:r>
      <w:r w:rsidR="005664DB">
        <w:rPr>
          <w:rFonts w:hint="cs"/>
          <w:rtl/>
          <w:lang w:bidi="ar-EG"/>
        </w:rPr>
        <w:t>إلى ا</w:t>
      </w:r>
      <w:r>
        <w:rPr>
          <w:rFonts w:hint="cs"/>
          <w:rtl/>
          <w:lang w:bidi="ar-EG"/>
        </w:rPr>
        <w:t xml:space="preserve">لانحطاط الناجم </w:t>
      </w:r>
      <w:r w:rsidR="005664DB">
        <w:rPr>
          <w:rFonts w:hint="cs"/>
          <w:rtl/>
          <w:lang w:bidi="ar-EG"/>
        </w:rPr>
        <w:t>عن</w:t>
      </w:r>
      <w:r>
        <w:rPr>
          <w:rFonts w:hint="cs"/>
          <w:rtl/>
          <w:lang w:bidi="ar-EG"/>
        </w:rPr>
        <w:t xml:space="preserve"> التوربينات الهوائية؛</w:t>
      </w:r>
    </w:p>
    <w:p w:rsidR="006047D4" w:rsidRDefault="006047D4" w:rsidP="000F312E">
      <w:pPr>
        <w:rPr>
          <w:rtl/>
          <w:lang w:bidi="ar-EG"/>
        </w:rPr>
      </w:pPr>
      <w:r>
        <w:rPr>
          <w:rFonts w:hint="cs"/>
          <w:rtl/>
          <w:lang w:bidi="ar-EG"/>
        </w:rPr>
        <w:t>ﻫ</w:t>
      </w:r>
      <w:r w:rsidR="004F2098">
        <w:rPr>
          <w:rFonts w:hint="cs"/>
          <w:rtl/>
          <w:lang w:bidi="ar-EG"/>
        </w:rPr>
        <w:t xml:space="preserve"> </w:t>
      </w:r>
      <w:r>
        <w:rPr>
          <w:rFonts w:hint="cs"/>
          <w:rtl/>
          <w:lang w:bidi="ar-EG"/>
        </w:rPr>
        <w:t>)</w:t>
      </w:r>
      <w:r>
        <w:rPr>
          <w:rFonts w:hint="cs"/>
          <w:rtl/>
          <w:lang w:bidi="ar-EG"/>
        </w:rPr>
        <w:tab/>
        <w:t>أن الإشارات المنعكسة يمكن أن يكون لها تأثيرات مختلفة على الإشارات التلفزيونية الرقمية؛</w:t>
      </w:r>
    </w:p>
    <w:p w:rsidR="006047D4" w:rsidRDefault="006047D4" w:rsidP="000F312E">
      <w:pPr>
        <w:rPr>
          <w:rtl/>
          <w:lang w:bidi="ar-EG"/>
        </w:rPr>
      </w:pPr>
      <w:r>
        <w:rPr>
          <w:rFonts w:hint="cs"/>
          <w:rtl/>
          <w:lang w:bidi="ar-EG"/>
        </w:rPr>
        <w:t>و</w:t>
      </w:r>
      <w:r w:rsidR="004F2098">
        <w:rPr>
          <w:rFonts w:hint="cs"/>
          <w:rtl/>
          <w:lang w:bidi="ar-EG"/>
        </w:rPr>
        <w:t xml:space="preserve"> </w:t>
      </w:r>
      <w:r>
        <w:rPr>
          <w:rFonts w:hint="cs"/>
          <w:rtl/>
          <w:lang w:bidi="ar-EG"/>
        </w:rPr>
        <w:t>)</w:t>
      </w:r>
      <w:r>
        <w:rPr>
          <w:rFonts w:hint="cs"/>
          <w:rtl/>
          <w:lang w:bidi="ar-EG"/>
        </w:rPr>
        <w:tab/>
        <w:t>أن الإشارات المنعكسة يمكن أن يكون لها تأثيرات مختلفة حسب أنظمة التشكيل الرقمي؛</w:t>
      </w:r>
    </w:p>
    <w:p w:rsidR="006047D4" w:rsidRDefault="006047D4" w:rsidP="000F312E">
      <w:pPr>
        <w:rPr>
          <w:rtl/>
          <w:lang w:bidi="ar-EG"/>
        </w:rPr>
      </w:pPr>
      <w:r>
        <w:rPr>
          <w:rFonts w:hint="cs"/>
          <w:rtl/>
          <w:lang w:bidi="ar-EG"/>
        </w:rPr>
        <w:t>ز</w:t>
      </w:r>
      <w:r w:rsidR="004F2098">
        <w:rPr>
          <w:rFonts w:hint="cs"/>
          <w:rtl/>
          <w:lang w:bidi="ar-EG"/>
        </w:rPr>
        <w:t xml:space="preserve"> </w:t>
      </w:r>
      <w:r>
        <w:rPr>
          <w:rFonts w:hint="cs"/>
          <w:rtl/>
          <w:lang w:bidi="ar-EG"/>
        </w:rPr>
        <w:t>)</w:t>
      </w:r>
      <w:r>
        <w:rPr>
          <w:rFonts w:hint="cs"/>
          <w:rtl/>
          <w:lang w:bidi="ar-EG"/>
        </w:rPr>
        <w:tab/>
        <w:t>أن أذرع التوربينات الهوائية تُصنع عادة من مواد مركبة تختلف معاملات الانعكاس الخاصة بها عن المعادن؛</w:t>
      </w:r>
    </w:p>
    <w:p w:rsidR="006047D4" w:rsidRDefault="006047D4" w:rsidP="000F312E">
      <w:pPr>
        <w:rPr>
          <w:rtl/>
          <w:lang w:bidi="ar-EG"/>
        </w:rPr>
      </w:pPr>
      <w:r>
        <w:rPr>
          <w:rFonts w:hint="cs"/>
          <w:rtl/>
          <w:lang w:bidi="ar-EG"/>
        </w:rPr>
        <w:t>ح)</w:t>
      </w:r>
      <w:r>
        <w:rPr>
          <w:rFonts w:hint="cs"/>
          <w:rtl/>
          <w:lang w:bidi="ar-EG"/>
        </w:rPr>
        <w:tab/>
        <w:t>أن تصميم هذه الأذرع قد يتضمن عناصر إضافية يمكنها أن تؤثر أيضاً على الإشارات التلفزيونية؛</w:t>
      </w:r>
    </w:p>
    <w:p w:rsidR="006047D4" w:rsidRDefault="006047D4" w:rsidP="000F312E">
      <w:pPr>
        <w:rPr>
          <w:rtl/>
          <w:lang w:bidi="ar-EG"/>
        </w:rPr>
      </w:pPr>
      <w:r>
        <w:rPr>
          <w:rFonts w:hint="cs"/>
          <w:rtl/>
          <w:lang w:bidi="ar-EG"/>
        </w:rPr>
        <w:t>ط)</w:t>
      </w:r>
      <w:r>
        <w:rPr>
          <w:rFonts w:hint="cs"/>
          <w:rtl/>
          <w:lang w:bidi="ar-EG"/>
        </w:rPr>
        <w:tab/>
        <w:t>أنه يجب أن يؤخذ في الاعتبار أيضاً للانتثار الصادر عن أبراج التوربينات الهوائية؛</w:t>
      </w:r>
    </w:p>
    <w:p w:rsidR="006047D4" w:rsidRDefault="006047D4" w:rsidP="000F312E">
      <w:pPr>
        <w:rPr>
          <w:rtl/>
          <w:lang w:bidi="ar-EG"/>
        </w:rPr>
      </w:pPr>
      <w:r>
        <w:rPr>
          <w:rFonts w:hint="cs"/>
          <w:rtl/>
          <w:lang w:bidi="ar-EG"/>
        </w:rPr>
        <w:t>ي)</w:t>
      </w:r>
      <w:r>
        <w:rPr>
          <w:rFonts w:hint="cs"/>
          <w:rtl/>
          <w:lang w:bidi="ar-EG"/>
        </w:rPr>
        <w:tab/>
        <w:t>أن لموقع التوربينات الهوائية ومخططات الانتثار الخاصة بها تأثير على مستوى الانحطاط في المستويين الرأسي والأفقي؛</w:t>
      </w:r>
    </w:p>
    <w:p w:rsidR="006047D4" w:rsidRDefault="006047D4" w:rsidP="000F312E">
      <w:pPr>
        <w:rPr>
          <w:rtl/>
          <w:lang w:bidi="ar-EG"/>
        </w:rPr>
      </w:pPr>
      <w:r>
        <w:rPr>
          <w:rFonts w:hint="cs"/>
          <w:rtl/>
          <w:lang w:bidi="ar-EG"/>
        </w:rPr>
        <w:t>ك)</w:t>
      </w:r>
      <w:r>
        <w:rPr>
          <w:rFonts w:hint="cs"/>
          <w:rtl/>
          <w:lang w:bidi="ar-EG"/>
        </w:rPr>
        <w:tab/>
        <w:t>أن لعدد التوربينات الهوائية في مو</w:t>
      </w:r>
      <w:r w:rsidR="00B87A8F">
        <w:rPr>
          <w:rFonts w:hint="cs"/>
          <w:rtl/>
          <w:lang w:bidi="ar-EG"/>
        </w:rPr>
        <w:t>قع ما تأثير على مخططات الانتثار،</w:t>
      </w:r>
    </w:p>
    <w:p w:rsidR="00CB5B24" w:rsidRDefault="00B87A8F" w:rsidP="00B87A8F">
      <w:pPr>
        <w:pStyle w:val="Call"/>
        <w:rPr>
          <w:rtl/>
        </w:rPr>
      </w:pPr>
      <w:r>
        <w:rPr>
          <w:rFonts w:hint="cs"/>
          <w:rtl/>
        </w:rPr>
        <w:t>وإذ تلاحظ</w:t>
      </w:r>
    </w:p>
    <w:p w:rsidR="00CB5B24" w:rsidRDefault="00B87A8F" w:rsidP="000F312E">
      <w:pPr>
        <w:rPr>
          <w:rtl/>
          <w:lang w:bidi="ar-EG"/>
        </w:rPr>
      </w:pPr>
      <w:r>
        <w:rPr>
          <w:rFonts w:hint="cs"/>
          <w:rtl/>
          <w:lang w:bidi="ar-EG"/>
        </w:rPr>
        <w:t xml:space="preserve"> أ )</w:t>
      </w:r>
      <w:r>
        <w:rPr>
          <w:rFonts w:hint="cs"/>
          <w:rtl/>
          <w:lang w:bidi="ar-EG"/>
        </w:rPr>
        <w:tab/>
        <w:t xml:space="preserve">أن التقرير </w:t>
      </w:r>
      <w:r>
        <w:rPr>
          <w:lang w:bidi="ar-EG"/>
        </w:rPr>
        <w:t>ITU-R BT.2142</w:t>
      </w:r>
      <w:r>
        <w:rPr>
          <w:rFonts w:hint="cs"/>
          <w:rtl/>
          <w:lang w:bidi="ar-EG"/>
        </w:rPr>
        <w:t xml:space="preserve"> يقدم تحليلاً وافياً لأثر الانتثار الذي يطرأ على الإشارات التلفزيونية الرقمية من التوربينات الهوائية؛</w:t>
      </w:r>
    </w:p>
    <w:p w:rsidR="00B87A8F" w:rsidRDefault="00B87A8F" w:rsidP="000F312E">
      <w:pPr>
        <w:rPr>
          <w:rtl/>
          <w:lang w:bidi="ar-EG"/>
        </w:rPr>
      </w:pPr>
      <w:r>
        <w:rPr>
          <w:rFonts w:hint="cs"/>
          <w:rtl/>
          <w:lang w:bidi="ar-EG"/>
        </w:rPr>
        <w:lastRenderedPageBreak/>
        <w:t>ب)</w:t>
      </w:r>
      <w:r>
        <w:rPr>
          <w:rFonts w:hint="cs"/>
          <w:rtl/>
          <w:lang w:bidi="ar-EG"/>
        </w:rPr>
        <w:tab/>
        <w:t xml:space="preserve">أن الطريقة الواردة في الملحق </w:t>
      </w:r>
      <w:r>
        <w:rPr>
          <w:lang w:bidi="ar-EG"/>
        </w:rPr>
        <w:t>1</w:t>
      </w:r>
      <w:r>
        <w:rPr>
          <w:rFonts w:hint="cs"/>
          <w:rtl/>
          <w:lang w:bidi="ar-EG"/>
        </w:rPr>
        <w:t xml:space="preserve"> عبارة عن صيغة مبسّطة للتحليل الكامل،</w:t>
      </w:r>
    </w:p>
    <w:p w:rsidR="00B87A8F" w:rsidRPr="00B87A8F" w:rsidRDefault="00B87A8F" w:rsidP="00B87A8F">
      <w:pPr>
        <w:pStyle w:val="Call"/>
        <w:rPr>
          <w:rtl/>
        </w:rPr>
      </w:pPr>
      <w:r>
        <w:rPr>
          <w:rFonts w:hint="cs"/>
          <w:rtl/>
        </w:rPr>
        <w:t>توصي</w:t>
      </w:r>
    </w:p>
    <w:p w:rsidR="00CB5B24" w:rsidRDefault="00B87A8F" w:rsidP="000F312E">
      <w:pPr>
        <w:rPr>
          <w:rtl/>
          <w:lang w:bidi="ar-EG"/>
        </w:rPr>
      </w:pPr>
      <w:r w:rsidRPr="00B87A8F">
        <w:rPr>
          <w:b/>
          <w:bCs/>
          <w:lang w:bidi="ar-EG"/>
        </w:rPr>
        <w:t>1</w:t>
      </w:r>
      <w:r>
        <w:rPr>
          <w:rFonts w:hint="cs"/>
          <w:rtl/>
          <w:lang w:bidi="ar-EG"/>
        </w:rPr>
        <w:tab/>
        <w:t xml:space="preserve">بأنه يجوز استعمال الطريقة الواردة في الملحق </w:t>
      </w:r>
      <w:r>
        <w:rPr>
          <w:lang w:bidi="ar-EG"/>
        </w:rPr>
        <w:t>1</w:t>
      </w:r>
      <w:r>
        <w:rPr>
          <w:rFonts w:hint="cs"/>
          <w:rtl/>
          <w:lang w:bidi="ar-EG"/>
        </w:rPr>
        <w:t xml:space="preserve"> لتقييم التداخل المحتمل من توربين هوائي واحد على الاستقبال التلفزيوني الرقمي،</w:t>
      </w:r>
    </w:p>
    <w:p w:rsidR="00B87A8F" w:rsidRDefault="00B87A8F" w:rsidP="00B87A8F">
      <w:pPr>
        <w:pStyle w:val="Call"/>
        <w:rPr>
          <w:rtl/>
        </w:rPr>
      </w:pPr>
      <w:r>
        <w:rPr>
          <w:rFonts w:hint="cs"/>
          <w:rtl/>
        </w:rPr>
        <w:t>وتوصي كذلك</w:t>
      </w:r>
    </w:p>
    <w:p w:rsidR="00CB5B24" w:rsidRDefault="00B87A8F" w:rsidP="000F312E">
      <w:pPr>
        <w:rPr>
          <w:rtl/>
          <w:lang w:bidi="ar-EG"/>
        </w:rPr>
      </w:pPr>
      <w:r w:rsidRPr="00B87A8F">
        <w:rPr>
          <w:b/>
          <w:bCs/>
          <w:lang w:bidi="ar-EG"/>
        </w:rPr>
        <w:t>1</w:t>
      </w:r>
      <w:r>
        <w:rPr>
          <w:rFonts w:hint="cs"/>
          <w:rtl/>
          <w:lang w:bidi="ar-EG"/>
        </w:rPr>
        <w:tab/>
        <w:t xml:space="preserve">بأنه ينبغي القيام بعمل ما لصقل النموذج المبسّط الوارد في الملحق </w:t>
      </w:r>
      <w:r>
        <w:rPr>
          <w:lang w:bidi="ar-EG"/>
        </w:rPr>
        <w:t>1</w:t>
      </w:r>
      <w:r>
        <w:rPr>
          <w:rFonts w:hint="cs"/>
          <w:rtl/>
          <w:lang w:bidi="ar-EG"/>
        </w:rPr>
        <w:t>، خاصة لكي يوضع في الاعتبار انتثار الأبراج وتأثير الأ</w:t>
      </w:r>
      <w:r w:rsidR="00A27116">
        <w:rPr>
          <w:rFonts w:hint="cs"/>
          <w:rtl/>
          <w:lang w:bidi="ar-EG"/>
        </w:rPr>
        <w:t>ذرع الدوارة والتركيبة غير المعدن</w:t>
      </w:r>
      <w:r>
        <w:rPr>
          <w:rFonts w:hint="cs"/>
          <w:rtl/>
          <w:lang w:bidi="ar-EG"/>
        </w:rPr>
        <w:t>ية للأذرع ومخطط الارتفاع للانتثار؛</w:t>
      </w:r>
    </w:p>
    <w:p w:rsidR="00CB5B24" w:rsidRDefault="00B87A8F" w:rsidP="000F312E">
      <w:pPr>
        <w:rPr>
          <w:rtl/>
          <w:lang w:bidi="ar-EG"/>
        </w:rPr>
      </w:pPr>
      <w:r w:rsidRPr="00B87A8F">
        <w:rPr>
          <w:b/>
          <w:bCs/>
          <w:lang w:bidi="ar-EG"/>
        </w:rPr>
        <w:t>2</w:t>
      </w:r>
      <w:r>
        <w:rPr>
          <w:rFonts w:hint="cs"/>
          <w:rtl/>
          <w:lang w:bidi="ar-EG"/>
        </w:rPr>
        <w:tab/>
        <w:t>بأنه ينبغي القيام بعمل ما لدراسة الانحطاط الناجم عن توربينات هوائية متعددة؛</w:t>
      </w:r>
    </w:p>
    <w:p w:rsidR="00B87A8F" w:rsidRDefault="00B87A8F" w:rsidP="000F312E">
      <w:pPr>
        <w:rPr>
          <w:rtl/>
          <w:lang w:bidi="ar-EG"/>
        </w:rPr>
      </w:pPr>
      <w:r w:rsidRPr="00B87A8F">
        <w:rPr>
          <w:b/>
          <w:bCs/>
          <w:lang w:bidi="ar-EG"/>
        </w:rPr>
        <w:t>3</w:t>
      </w:r>
      <w:r>
        <w:rPr>
          <w:rFonts w:hint="cs"/>
          <w:rtl/>
          <w:lang w:bidi="ar-EG"/>
        </w:rPr>
        <w:tab/>
        <w:t>بأنه ينبغي دراسة الطبيعة الزمنية للانحطاط الناجم عن توربين هوائي.</w:t>
      </w:r>
    </w:p>
    <w:p w:rsidR="00CB5B24" w:rsidRDefault="00CB5B24" w:rsidP="000F312E">
      <w:pPr>
        <w:rPr>
          <w:rtl/>
          <w:lang w:bidi="ar-EG"/>
        </w:rPr>
      </w:pPr>
    </w:p>
    <w:p w:rsidR="00B87A8F" w:rsidRDefault="00B87A8F" w:rsidP="000F312E">
      <w:pPr>
        <w:rPr>
          <w:rtl/>
          <w:lang w:bidi="ar-EG"/>
        </w:rPr>
      </w:pPr>
    </w:p>
    <w:p w:rsidR="00B87A8F" w:rsidRDefault="00B87A8F" w:rsidP="000F312E">
      <w:pPr>
        <w:rPr>
          <w:rtl/>
          <w:lang w:bidi="ar-EG"/>
        </w:rPr>
      </w:pPr>
    </w:p>
    <w:p w:rsidR="00B87A8F" w:rsidRDefault="00B87A8F" w:rsidP="004F2098">
      <w:pPr>
        <w:pStyle w:val="AnnexNotitle"/>
        <w:rPr>
          <w:rtl/>
          <w:lang w:bidi="ar-EG"/>
        </w:rPr>
      </w:pPr>
      <w:r>
        <w:rPr>
          <w:rFonts w:hint="cs"/>
          <w:rtl/>
          <w:lang w:bidi="ar-EG"/>
        </w:rPr>
        <w:t xml:space="preserve">الملحق </w:t>
      </w:r>
      <w:r>
        <w:rPr>
          <w:lang w:bidi="ar-EG"/>
        </w:rPr>
        <w:t>1</w:t>
      </w:r>
    </w:p>
    <w:p w:rsidR="00B87A8F" w:rsidRDefault="00B87A8F" w:rsidP="004F2098">
      <w:pPr>
        <w:pStyle w:val="AnnexNotitle"/>
        <w:spacing w:before="240"/>
        <w:rPr>
          <w:rtl/>
          <w:lang w:bidi="ar-EG"/>
        </w:rPr>
      </w:pPr>
      <w:r>
        <w:rPr>
          <w:rFonts w:hint="cs"/>
          <w:rtl/>
          <w:lang w:bidi="ar-EG"/>
        </w:rPr>
        <w:t>نموذج مبسط للانحطاط الناجم عن توربين هوائي للاستقبال التلفزيوني</w:t>
      </w:r>
    </w:p>
    <w:p w:rsidR="00CB5B24" w:rsidRPr="00B87A8F" w:rsidRDefault="00B87A8F" w:rsidP="005664DB">
      <w:pPr>
        <w:pStyle w:val="Normalaftertitle"/>
        <w:rPr>
          <w:rtl/>
          <w:lang w:bidi="ar-EG"/>
        </w:rPr>
      </w:pPr>
      <w:r>
        <w:rPr>
          <w:rFonts w:hint="cs"/>
          <w:rtl/>
          <w:lang w:bidi="ar-EG"/>
        </w:rPr>
        <w:t xml:space="preserve">يعرض الشكل </w:t>
      </w:r>
      <w:r>
        <w:rPr>
          <w:lang w:bidi="ar-EG"/>
        </w:rPr>
        <w:t>1</w:t>
      </w:r>
      <w:r>
        <w:rPr>
          <w:rFonts w:hint="cs"/>
          <w:rtl/>
          <w:lang w:bidi="ar-EG"/>
        </w:rPr>
        <w:t xml:space="preserve"> مسقطاً أفقياً لمشكلة التوربين الهوائي المتعلقة بالانتثار الخلفي. ففي أي موقع استقبال </w:t>
      </w:r>
      <w:r>
        <w:rPr>
          <w:lang w:bidi="ar-EG"/>
        </w:rPr>
        <w:t>R</w:t>
      </w:r>
      <w:r>
        <w:rPr>
          <w:rFonts w:hint="cs"/>
          <w:rtl/>
          <w:lang w:bidi="ar-EG"/>
        </w:rPr>
        <w:t xml:space="preserve">، تكون شدة المجال المطلوبة </w:t>
      </w:r>
      <w:r>
        <w:rPr>
          <w:lang w:bidi="ar-EG"/>
        </w:rPr>
        <w:t>FSR</w:t>
      </w:r>
      <w:r>
        <w:rPr>
          <w:rFonts w:hint="cs"/>
          <w:rtl/>
          <w:lang w:bidi="ar-EG"/>
        </w:rPr>
        <w:t xml:space="preserve">. وفي موقع التوربين الهوائي </w:t>
      </w:r>
      <w:r>
        <w:rPr>
          <w:lang w:bidi="ar-EG"/>
        </w:rPr>
        <w:t>WT</w:t>
      </w:r>
      <w:r>
        <w:rPr>
          <w:rFonts w:hint="cs"/>
          <w:rtl/>
          <w:lang w:bidi="ar-EG"/>
        </w:rPr>
        <w:t xml:space="preserve">، تكون شدة المجال </w:t>
      </w:r>
      <w:r>
        <w:rPr>
          <w:lang w:bidi="ar-EG"/>
        </w:rPr>
        <w:t>FSWT</w:t>
      </w:r>
      <w:r>
        <w:rPr>
          <w:rFonts w:hint="cs"/>
          <w:rtl/>
          <w:lang w:bidi="ar-EG"/>
        </w:rPr>
        <w:t xml:space="preserve">. ويفترض أن موقع الاستقبال يقع على مسافة </w:t>
      </w:r>
      <w:r>
        <w:rPr>
          <w:lang w:bidi="ar-EG"/>
        </w:rPr>
        <w:t>(m)</w:t>
      </w:r>
      <w:r w:rsidR="005664DB">
        <w:rPr>
          <w:lang w:bidi="ar-EG"/>
        </w:rPr>
        <w:t> </w:t>
      </w:r>
      <w:r>
        <w:rPr>
          <w:i/>
          <w:iCs/>
          <w:lang w:bidi="ar-EG"/>
        </w:rPr>
        <w:t>r</w:t>
      </w:r>
      <w:r>
        <w:rPr>
          <w:rFonts w:hint="cs"/>
          <w:i/>
          <w:iCs/>
          <w:rtl/>
          <w:lang w:bidi="ar-EG"/>
        </w:rPr>
        <w:t xml:space="preserve"> </w:t>
      </w:r>
      <w:r>
        <w:rPr>
          <w:rFonts w:hint="cs"/>
          <w:rtl/>
          <w:lang w:bidi="ar-EG"/>
        </w:rPr>
        <w:t>من أذرع</w:t>
      </w:r>
      <w:r w:rsidR="00184394">
        <w:rPr>
          <w:rStyle w:val="FootnoteReference"/>
          <w:rtl/>
          <w:lang w:bidi="ar-EG"/>
        </w:rPr>
        <w:footnoteReference w:id="1"/>
      </w:r>
      <w:r>
        <w:rPr>
          <w:rFonts w:hint="cs"/>
          <w:rtl/>
          <w:lang w:bidi="ar-EG"/>
        </w:rPr>
        <w:t xml:space="preserve"> التوربين الهوائي. وتعامل الانتثار" ، </w:t>
      </w:r>
      <w:r w:rsidRPr="009246EA">
        <w:sym w:font="Symbol" w:char="F072"/>
      </w:r>
      <w:r w:rsidR="00A27116">
        <w:rPr>
          <w:rFonts w:hint="cs"/>
          <w:rtl/>
        </w:rPr>
        <w:t>، الذي يشمل الخس</w:t>
      </w:r>
      <w:r>
        <w:rPr>
          <w:rFonts w:hint="cs"/>
          <w:rtl/>
        </w:rPr>
        <w:t xml:space="preserve">ارة في مسير الفضاء الحر بالنسبة </w:t>
      </w:r>
      <w:r w:rsidR="005664DB">
        <w:rPr>
          <w:rFonts w:hint="cs"/>
          <w:rtl/>
        </w:rPr>
        <w:t>إلى ا</w:t>
      </w:r>
      <w:r>
        <w:rPr>
          <w:rFonts w:hint="cs"/>
          <w:rtl/>
        </w:rPr>
        <w:t>لمسير من موقع التوربين الهوائي إلى موقع الاستقبال، يمكن تحديده كالتالي:</w:t>
      </w:r>
    </w:p>
    <w:p w:rsidR="00184394" w:rsidRPr="009246EA" w:rsidRDefault="00184394" w:rsidP="00184394">
      <w:pPr>
        <w:pStyle w:val="Equation"/>
      </w:pPr>
      <w:r w:rsidRPr="004F175F">
        <w:tab/>
      </w:r>
      <w:r w:rsidRPr="00766048">
        <w:rPr>
          <w:position w:val="-24"/>
        </w:rPr>
        <w:object w:dxaOrig="11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pt;height:30.75pt" o:ole="">
            <v:imagedata r:id="rId15" o:title=""/>
          </v:shape>
          <o:OLEObject Type="Embed" ProgID="Equation.3" ShapeID="_x0000_i1025" DrawAspect="Content" ObjectID="_1371986618" r:id="rId16"/>
        </w:object>
      </w:r>
    </w:p>
    <w:p w:rsidR="00CB5B24" w:rsidRDefault="00184394" w:rsidP="000F312E">
      <w:pPr>
        <w:rPr>
          <w:rtl/>
          <w:lang w:bidi="ar-EG"/>
        </w:rPr>
      </w:pPr>
      <w:r>
        <w:rPr>
          <w:rFonts w:hint="cs"/>
          <w:rtl/>
          <w:lang w:bidi="ar-EG"/>
        </w:rPr>
        <w:t>حيث:</w:t>
      </w:r>
    </w:p>
    <w:p w:rsidR="00CB5B24" w:rsidRDefault="00184394" w:rsidP="004F2098">
      <w:pPr>
        <w:tabs>
          <w:tab w:val="center" w:pos="4819"/>
        </w:tabs>
        <w:rPr>
          <w:rtl/>
          <w:lang w:bidi="ar-EG"/>
        </w:rPr>
      </w:pPr>
      <w:r w:rsidRPr="009246EA">
        <w:tab/>
      </w:r>
      <w:r w:rsidRPr="00766048">
        <w:rPr>
          <w:position w:val="-30"/>
        </w:rPr>
        <w:object w:dxaOrig="3640" w:dyaOrig="720">
          <v:shape id="_x0000_i1026" type="#_x0000_t75" style="width:180.75pt;height:36.75pt" o:ole="">
            <v:imagedata r:id="rId17" o:title=""/>
          </v:shape>
          <o:OLEObject Type="Embed" ProgID="Equation.3" ShapeID="_x0000_i1026" DrawAspect="Content" ObjectID="_1371986619" r:id="rId18"/>
        </w:object>
      </w:r>
    </w:p>
    <w:p w:rsidR="00CB5B24" w:rsidRDefault="00764609" w:rsidP="004F2098">
      <w:pPr>
        <w:spacing w:before="0"/>
        <w:rPr>
          <w:rtl/>
          <w:lang w:bidi="ar-EG"/>
        </w:rPr>
      </w:pPr>
      <w:r>
        <w:rPr>
          <w:rFonts w:hint="cs"/>
          <w:rtl/>
          <w:lang w:bidi="ar-EG"/>
        </w:rPr>
        <w:t>و:</w:t>
      </w:r>
    </w:p>
    <w:p w:rsidR="00CB5B24" w:rsidRDefault="00764609" w:rsidP="000F312E">
      <w:pPr>
        <w:rPr>
          <w:lang w:bidi="ar-EG"/>
        </w:rPr>
      </w:pPr>
      <w:r>
        <w:rPr>
          <w:rFonts w:hint="cs"/>
          <w:rtl/>
          <w:lang w:bidi="ar-EG"/>
        </w:rPr>
        <w:tab/>
      </w:r>
      <w:r w:rsidRPr="009246EA">
        <w:rPr>
          <w:position w:val="-6"/>
        </w:rPr>
        <w:object w:dxaOrig="300" w:dyaOrig="320">
          <v:shape id="_x0000_i1027" type="#_x0000_t75" style="width:12.75pt;height:14.25pt" o:ole="">
            <v:imagedata r:id="rId19" o:title=""/>
          </v:shape>
          <o:OLEObject Type="Embed" ProgID="Equation.3" ShapeID="_x0000_i1027" DrawAspect="Content" ObjectID="_1371986620" r:id="rId20"/>
        </w:object>
      </w:r>
      <w:r>
        <w:rPr>
          <w:rFonts w:hint="cs"/>
          <w:position w:val="-6"/>
          <w:rtl/>
        </w:rPr>
        <w:t>:</w:t>
      </w:r>
      <w:r>
        <w:rPr>
          <w:rFonts w:hint="cs"/>
          <w:position w:val="-6"/>
          <w:rtl/>
        </w:rPr>
        <w:tab/>
        <w:t xml:space="preserve">متوسط عرض الذراع </w:t>
      </w:r>
      <w:r>
        <w:rPr>
          <w:position w:val="-6"/>
        </w:rPr>
        <w:t>(m)</w:t>
      </w:r>
    </w:p>
    <w:p w:rsidR="00CB5B24" w:rsidRDefault="00764609" w:rsidP="004F2098">
      <w:pPr>
        <w:spacing w:before="60"/>
        <w:rPr>
          <w:lang w:bidi="ar-EG"/>
        </w:rPr>
      </w:pPr>
      <w:r>
        <w:rPr>
          <w:rFonts w:hint="cs"/>
          <w:rtl/>
          <w:lang w:bidi="ar-EG"/>
        </w:rPr>
        <w:tab/>
      </w:r>
      <w:r>
        <w:sym w:font="Symbol" w:char="F06C"/>
      </w:r>
      <w:r>
        <w:rPr>
          <w:rFonts w:hint="cs"/>
          <w:rtl/>
        </w:rPr>
        <w:t xml:space="preserve"> :</w:t>
      </w:r>
      <w:r>
        <w:rPr>
          <w:rFonts w:hint="cs"/>
          <w:rtl/>
        </w:rPr>
        <w:tab/>
      </w:r>
      <w:r>
        <w:rPr>
          <w:rFonts w:hint="cs"/>
          <w:rtl/>
          <w:lang w:bidi="ar-EG"/>
        </w:rPr>
        <w:t xml:space="preserve">طول الموجة </w:t>
      </w:r>
      <w:r>
        <w:rPr>
          <w:lang w:bidi="ar-EG"/>
        </w:rPr>
        <w:t>(m)</w:t>
      </w:r>
    </w:p>
    <w:p w:rsidR="00764609" w:rsidRPr="00764609" w:rsidRDefault="00764609" w:rsidP="004F2098">
      <w:pPr>
        <w:spacing w:before="60"/>
        <w:rPr>
          <w:lang w:bidi="ar-EG"/>
        </w:rPr>
      </w:pPr>
      <w:r>
        <w:rPr>
          <w:rFonts w:hint="cs"/>
          <w:rtl/>
        </w:rPr>
        <w:tab/>
      </w:r>
      <w:r>
        <w:rPr>
          <w:i/>
          <w:iCs/>
        </w:rPr>
        <w:t>A</w:t>
      </w:r>
      <w:r>
        <w:rPr>
          <w:rFonts w:hint="cs"/>
          <w:rtl/>
          <w:lang w:bidi="ar-EG"/>
        </w:rPr>
        <w:t>:</w:t>
      </w:r>
      <w:r>
        <w:rPr>
          <w:rFonts w:hint="cs"/>
          <w:rtl/>
          <w:lang w:bidi="ar-EG"/>
        </w:rPr>
        <w:tab/>
        <w:t xml:space="preserve">مساحة الذراع </w:t>
      </w:r>
      <w:r>
        <w:rPr>
          <w:lang w:bidi="ar-EG"/>
        </w:rPr>
        <w:t>(m</w:t>
      </w:r>
      <w:r w:rsidRPr="00764609">
        <w:rPr>
          <w:vertAlign w:val="superscript"/>
          <w:lang w:bidi="ar-EG"/>
        </w:rPr>
        <w:t>2</w:t>
      </w:r>
      <w:r>
        <w:rPr>
          <w:lang w:bidi="ar-EG"/>
        </w:rPr>
        <w:t>)</w:t>
      </w:r>
    </w:p>
    <w:p w:rsidR="00764609" w:rsidRDefault="00764609" w:rsidP="004F2098">
      <w:pPr>
        <w:spacing w:before="60"/>
        <w:rPr>
          <w:rtl/>
          <w:lang w:bidi="ar-EG"/>
        </w:rPr>
      </w:pPr>
      <w:r>
        <w:rPr>
          <w:rFonts w:hint="cs"/>
          <w:rtl/>
          <w:lang w:bidi="ar-EG"/>
        </w:rPr>
        <w:tab/>
      </w:r>
      <w:r>
        <w:sym w:font="Symbol" w:char="F071"/>
      </w:r>
      <w:r w:rsidRPr="00766048">
        <w:rPr>
          <w:vertAlign w:val="subscript"/>
        </w:rPr>
        <w:t>0</w:t>
      </w:r>
      <w:r w:rsidRPr="00764609">
        <w:rPr>
          <w:rFonts w:hint="cs"/>
          <w:rtl/>
          <w:lang w:bidi="ar-EG"/>
        </w:rPr>
        <w:t xml:space="preserve">: </w:t>
      </w:r>
      <w:r>
        <w:rPr>
          <w:rFonts w:hint="cs"/>
          <w:rtl/>
          <w:lang w:bidi="ar-EG"/>
        </w:rPr>
        <w:tab/>
        <w:t>زاوية سقوط الإشارة على الذراع</w:t>
      </w:r>
    </w:p>
    <w:p w:rsidR="00CB5B24" w:rsidRDefault="00764609" w:rsidP="004F2098">
      <w:pPr>
        <w:spacing w:before="60"/>
        <w:rPr>
          <w:rtl/>
        </w:rPr>
      </w:pPr>
      <w:r>
        <w:rPr>
          <w:rFonts w:hint="cs"/>
          <w:rtl/>
          <w:lang w:bidi="ar-EG"/>
        </w:rPr>
        <w:tab/>
      </w:r>
      <w:r>
        <w:sym w:font="Symbol" w:char="F071"/>
      </w:r>
      <w:r>
        <w:rPr>
          <w:rFonts w:hint="cs"/>
          <w:rtl/>
        </w:rPr>
        <w:t xml:space="preserve">: </w:t>
      </w:r>
      <w:r>
        <w:rPr>
          <w:rFonts w:hint="cs"/>
          <w:rtl/>
        </w:rPr>
        <w:tab/>
        <w:t>زاوية انتثار الإشارة من الذراع.</w:t>
      </w:r>
    </w:p>
    <w:p w:rsidR="00764609" w:rsidRDefault="00764609" w:rsidP="000F312E">
      <w:pPr>
        <w:rPr>
          <w:rtl/>
        </w:rPr>
      </w:pPr>
      <w:r>
        <w:rPr>
          <w:rFonts w:hint="cs"/>
          <w:rtl/>
        </w:rPr>
        <w:lastRenderedPageBreak/>
        <w:t>وتحدث القيمة القصوى لمعامل الانتثار هذا الناجم عن الذراع في الوضع الرأسي عندما يكون كل من اتجاه السقوط والانتثار عموديين على الذراع ويتحصّل عليه بالمعادلة:</w:t>
      </w:r>
    </w:p>
    <w:p w:rsidR="00764609" w:rsidRPr="009246EA" w:rsidRDefault="00764609" w:rsidP="00764609">
      <w:pPr>
        <w:pStyle w:val="Equation"/>
      </w:pPr>
      <w:r w:rsidRPr="004F175F">
        <w:tab/>
      </w:r>
      <w:r w:rsidRPr="00766048">
        <w:rPr>
          <w:position w:val="-24"/>
        </w:rPr>
        <w:object w:dxaOrig="1040" w:dyaOrig="620">
          <v:shape id="_x0000_i1028" type="#_x0000_t75" style="width:51.75pt;height:30.75pt" o:ole="">
            <v:imagedata r:id="rId21" o:title=""/>
          </v:shape>
          <o:OLEObject Type="Embed" ProgID="Equation.3" ShapeID="_x0000_i1028" DrawAspect="Content" ObjectID="_1371986621" r:id="rId22"/>
        </w:object>
      </w:r>
    </w:p>
    <w:p w:rsidR="00CB5B24" w:rsidRDefault="00CB5B24" w:rsidP="000F312E">
      <w:pPr>
        <w:rPr>
          <w:rtl/>
          <w:lang w:bidi="ar-EG"/>
        </w:rPr>
      </w:pPr>
    </w:p>
    <w:p w:rsidR="00764609" w:rsidRDefault="00764609" w:rsidP="00764609">
      <w:pPr>
        <w:jc w:val="center"/>
        <w:rPr>
          <w:rtl/>
          <w:lang w:bidi="ar-EG"/>
        </w:rPr>
      </w:pPr>
      <w:r>
        <w:rPr>
          <w:rFonts w:hint="cs"/>
          <w:rtl/>
          <w:lang w:bidi="ar-EG"/>
        </w:rPr>
        <w:t>الش</w:t>
      </w:r>
      <w:r w:rsidR="004F2098">
        <w:rPr>
          <w:rFonts w:hint="cs"/>
          <w:rtl/>
          <w:lang w:bidi="ar-EG"/>
        </w:rPr>
        <w:t>ـ</w:t>
      </w:r>
      <w:r>
        <w:rPr>
          <w:rFonts w:hint="cs"/>
          <w:rtl/>
          <w:lang w:bidi="ar-EG"/>
        </w:rPr>
        <w:t xml:space="preserve">كل </w:t>
      </w:r>
      <w:r>
        <w:rPr>
          <w:lang w:bidi="ar-EG"/>
        </w:rPr>
        <w:t>1</w:t>
      </w:r>
    </w:p>
    <w:p w:rsidR="006D5024" w:rsidRDefault="006D5024" w:rsidP="006D5024">
      <w:pPr>
        <w:spacing w:before="360" w:line="240" w:lineRule="auto"/>
        <w:jc w:val="center"/>
        <w:rPr>
          <w:rtl/>
          <w:lang w:bidi="ar-EG"/>
        </w:rPr>
      </w:pPr>
      <w:r>
        <w:rPr>
          <w:noProof/>
          <w:rtl/>
          <w:lang w:eastAsia="zh-CN"/>
        </w:rPr>
        <mc:AlternateContent>
          <mc:Choice Requires="wpg">
            <w:drawing>
              <wp:anchor distT="0" distB="0" distL="114300" distR="114300" simplePos="0" relativeHeight="251668992" behindDoc="0" locked="0" layoutInCell="1" allowOverlap="1">
                <wp:simplePos x="0" y="0"/>
                <wp:positionH relativeFrom="column">
                  <wp:posOffset>696437</wp:posOffset>
                </wp:positionH>
                <wp:positionV relativeFrom="paragraph">
                  <wp:posOffset>60531</wp:posOffset>
                </wp:positionV>
                <wp:extent cx="4011732" cy="1265408"/>
                <wp:effectExtent l="0" t="0" r="8255" b="0"/>
                <wp:wrapNone/>
                <wp:docPr id="10" name="Group 10"/>
                <wp:cNvGraphicFramePr/>
                <a:graphic xmlns:a="http://schemas.openxmlformats.org/drawingml/2006/main">
                  <a:graphicData uri="http://schemas.microsoft.com/office/word/2010/wordprocessingGroup">
                    <wpg:wgp>
                      <wpg:cNvGrpSpPr/>
                      <wpg:grpSpPr>
                        <a:xfrm>
                          <a:off x="0" y="0"/>
                          <a:ext cx="4011732" cy="1265408"/>
                          <a:chOff x="0" y="0"/>
                          <a:chExt cx="4011732" cy="1265408"/>
                        </a:xfrm>
                      </wpg:grpSpPr>
                      <wps:wsp>
                        <wps:cNvPr id="356" name="Rectangle 174"/>
                        <wps:cNvSpPr>
                          <a:spLocks noChangeArrowheads="1"/>
                        </wps:cNvSpPr>
                        <wps:spPr bwMode="auto">
                          <a:xfrm>
                            <a:off x="0" y="977826"/>
                            <a:ext cx="902970" cy="267335"/>
                          </a:xfrm>
                          <a:prstGeom prst="rect">
                            <a:avLst/>
                          </a:prstGeom>
                          <a:noFill/>
                          <a:ln>
                            <a:noFill/>
                          </a:ln>
                          <a:effectLst/>
                          <a:extLst/>
                        </wps:spPr>
                        <wps:txbx>
                          <w:txbxContent>
                            <w:p w:rsidR="004F2098" w:rsidRPr="00CC31C2" w:rsidRDefault="004F2098" w:rsidP="00764609">
                              <w:pPr>
                                <w:spacing w:line="140" w:lineRule="exact"/>
                                <w:jc w:val="center"/>
                                <w:rPr>
                                  <w:sz w:val="18"/>
                                  <w:szCs w:val="22"/>
                                  <w:rtl/>
                                  <w:lang w:bidi="ar-EG"/>
                                </w:rPr>
                              </w:pPr>
                              <w:r>
                                <w:rPr>
                                  <w:sz w:val="18"/>
                                  <w:szCs w:val="22"/>
                                  <w:lang w:bidi="ar-EG"/>
                                </w:rPr>
                                <w:t>WT</w:t>
                              </w:r>
                              <w:r>
                                <w:rPr>
                                  <w:rFonts w:hint="cs"/>
                                  <w:sz w:val="18"/>
                                  <w:szCs w:val="22"/>
                                  <w:rtl/>
                                  <w:lang w:bidi="ar-EG"/>
                                </w:rPr>
                                <w:t xml:space="preserve"> (التوربين الهوائي)</w:t>
                              </w:r>
                            </w:p>
                          </w:txbxContent>
                        </wps:txbx>
                        <wps:bodyPr rot="0" vert="horz" wrap="square" lIns="12700" tIns="12700" rIns="12700" bIns="12700" anchor="t" anchorCtr="0" upright="1">
                          <a:noAutofit/>
                        </wps:bodyPr>
                      </wps:wsp>
                      <wps:wsp>
                        <wps:cNvPr id="6" name="Rectangle 174"/>
                        <wps:cNvSpPr>
                          <a:spLocks noChangeArrowheads="1"/>
                        </wps:cNvSpPr>
                        <wps:spPr bwMode="auto">
                          <a:xfrm>
                            <a:off x="3594174" y="1041253"/>
                            <a:ext cx="417558" cy="224155"/>
                          </a:xfrm>
                          <a:prstGeom prst="rect">
                            <a:avLst/>
                          </a:prstGeom>
                          <a:noFill/>
                          <a:ln>
                            <a:noFill/>
                          </a:ln>
                          <a:effectLst/>
                          <a:extLst/>
                        </wps:spPr>
                        <wps:txbx>
                          <w:txbxContent>
                            <w:p w:rsidR="004F2098" w:rsidRPr="00CC31C2" w:rsidRDefault="004F2098" w:rsidP="00764609">
                              <w:pPr>
                                <w:spacing w:line="140" w:lineRule="exact"/>
                                <w:jc w:val="center"/>
                                <w:rPr>
                                  <w:sz w:val="18"/>
                                  <w:szCs w:val="22"/>
                                  <w:rtl/>
                                  <w:lang w:bidi="ar-EG"/>
                                </w:rPr>
                              </w:pPr>
                              <w:r>
                                <w:rPr>
                                  <w:rFonts w:hint="cs"/>
                                  <w:sz w:val="18"/>
                                  <w:szCs w:val="22"/>
                                  <w:rtl/>
                                  <w:lang w:bidi="ar-EG"/>
                                </w:rPr>
                                <w:t>المرسل</w:t>
                              </w:r>
                            </w:p>
                          </w:txbxContent>
                        </wps:txbx>
                        <wps:bodyPr rot="0" vert="horz" wrap="square" lIns="12700" tIns="12700" rIns="12700" bIns="12700" anchor="t" anchorCtr="0" upright="1">
                          <a:noAutofit/>
                        </wps:bodyPr>
                      </wps:wsp>
                      <wps:wsp>
                        <wps:cNvPr id="9" name="Rectangle 174"/>
                        <wps:cNvSpPr>
                          <a:spLocks noChangeArrowheads="1"/>
                        </wps:cNvSpPr>
                        <wps:spPr bwMode="auto">
                          <a:xfrm>
                            <a:off x="1934511" y="0"/>
                            <a:ext cx="676275" cy="267335"/>
                          </a:xfrm>
                          <a:prstGeom prst="rect">
                            <a:avLst/>
                          </a:prstGeom>
                          <a:noFill/>
                          <a:ln>
                            <a:noFill/>
                          </a:ln>
                          <a:effectLst/>
                          <a:extLst/>
                        </wps:spPr>
                        <wps:txbx>
                          <w:txbxContent>
                            <w:p w:rsidR="004F2098" w:rsidRPr="00CC31C2" w:rsidRDefault="004F2098" w:rsidP="00764609">
                              <w:pPr>
                                <w:spacing w:line="140" w:lineRule="exact"/>
                                <w:jc w:val="center"/>
                                <w:rPr>
                                  <w:sz w:val="18"/>
                                  <w:szCs w:val="22"/>
                                  <w:rtl/>
                                  <w:lang w:bidi="ar-EG"/>
                                </w:rPr>
                              </w:pPr>
                              <w:r>
                                <w:rPr>
                                  <w:sz w:val="18"/>
                                  <w:szCs w:val="22"/>
                                  <w:lang w:bidi="ar-EG"/>
                                </w:rPr>
                                <w:t>R</w:t>
                              </w:r>
                              <w:r>
                                <w:rPr>
                                  <w:rFonts w:hint="cs"/>
                                  <w:sz w:val="18"/>
                                  <w:szCs w:val="22"/>
                                  <w:rtl/>
                                  <w:lang w:bidi="ar-EG"/>
                                </w:rPr>
                                <w:t xml:space="preserve"> (المستقبل)</w:t>
                              </w:r>
                            </w:p>
                          </w:txbxContent>
                        </wps:txbx>
                        <wps:bodyPr rot="0" vert="horz" wrap="square" lIns="12700" tIns="12700" rIns="12700" bIns="12700" anchor="t" anchorCtr="0" upright="1">
                          <a:noAutofit/>
                        </wps:bodyPr>
                      </wps:wsp>
                    </wpg:wgp>
                  </a:graphicData>
                </a:graphic>
              </wp:anchor>
            </w:drawing>
          </mc:Choice>
          <mc:Fallback>
            <w:pict>
              <v:group id="Group 10" o:spid="_x0000_s1029" style="position:absolute;left:0;text-align:left;margin-left:54.85pt;margin-top:4.75pt;width:315.9pt;height:99.65pt;z-index:251668992" coordsize="40117,12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">
                <v:rect id="Rectangle 174" o:spid="_x0000_s1030" style="position:absolute;top:9778;width:9029;height:2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nVPcQA&#10;AADcAAAADwAAAGRycy9kb3ducmV2LnhtbESPX2vCQBDE3wt+h2OFvpR6sdJYUk+xhYJIX/wDvi65&#10;bRLM7YXcJqbf3hMEH4eZ+Q2zWA2uVj21ofJsYDpJQBHn3lZcGDgefl4/QAVBtlh7JgP/FGC1HD0t&#10;MLP+wjvq91KoCOGQoYFSpMm0DnlJDsPEN8TR+/OtQ4myLbRt8RLhrtZvSZJqhxXHhRIb+i4pP+87&#10;Z6A/nX6/6NjpaY8yf9lsO6lSMuZ5PKw/QQkN8gjf2xtrYPaewu1MPAJ6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p1T3EAAAA3AAAAA8AAAAAAAAAAAAAAAAAmAIAAGRycy9k&#10;b3ducmV2LnhtbFBLBQYAAAAABAAEAPUAAACJAwAAAAA=&#10;" filled="f" stroked="f">
                  <v:textbox inset="1pt,1pt,1pt,1pt">
                    <w:txbxContent>
                      <w:p w:rsidR="004F2098" w:rsidRPr="00CC31C2" w:rsidRDefault="004F2098" w:rsidP="00764609">
                        <w:pPr>
                          <w:spacing w:line="140" w:lineRule="exact"/>
                          <w:jc w:val="center"/>
                          <w:rPr>
                            <w:sz w:val="18"/>
                            <w:szCs w:val="22"/>
                            <w:rtl/>
                            <w:lang w:bidi="ar-EG"/>
                          </w:rPr>
                        </w:pPr>
                        <w:r>
                          <w:rPr>
                            <w:sz w:val="18"/>
                            <w:szCs w:val="22"/>
                            <w:lang w:bidi="ar-EG"/>
                          </w:rPr>
                          <w:t>WT</w:t>
                        </w:r>
                        <w:r>
                          <w:rPr>
                            <w:rFonts w:hint="cs"/>
                            <w:sz w:val="18"/>
                            <w:szCs w:val="22"/>
                            <w:rtl/>
                            <w:lang w:bidi="ar-EG"/>
                          </w:rPr>
                          <w:t xml:space="preserve"> (التوربين الهوائي)</w:t>
                        </w:r>
                      </w:p>
                    </w:txbxContent>
                  </v:textbox>
                </v:rect>
                <v:rect id="Rectangle 174" o:spid="_x0000_s1031" style="position:absolute;left:35941;top:10412;width:4176;height:2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EdKcEA&#10;AADaAAAADwAAAGRycy9kb3ducmV2LnhtbESPQWvCQBSE7wX/w/IEL0U39pBKdBUVCiK9VAWvj+wz&#10;CWbfhuxLjP/eLRR6HGbmG2a1GVytempD5dnAfJaAIs69rbgwcDl/TReggiBbrD2TgScF2KxHbyvM&#10;rH/wD/UnKVSEcMjQQCnSZFqHvCSHYeYb4ujdfOtQomwLbVt8RLir9UeSpNphxXGhxIb2JeX3U+cM&#10;9Nfr944unZ73KJ/vh2MnVUrGTMbDdglKaJD/8F/7YA2k8Hsl3gC9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xHSnBAAAA2gAAAA8AAAAAAAAAAAAAAAAAmAIAAGRycy9kb3du&#10;cmV2LnhtbFBLBQYAAAAABAAEAPUAAACGAwAAAAA=&#10;" filled="f" stroked="f">
                  <v:textbox inset="1pt,1pt,1pt,1pt">
                    <w:txbxContent>
                      <w:p w:rsidR="004F2098" w:rsidRPr="00CC31C2" w:rsidRDefault="004F2098" w:rsidP="00764609">
                        <w:pPr>
                          <w:spacing w:line="140" w:lineRule="exact"/>
                          <w:jc w:val="center"/>
                          <w:rPr>
                            <w:sz w:val="18"/>
                            <w:szCs w:val="22"/>
                            <w:rtl/>
                            <w:lang w:bidi="ar-EG"/>
                          </w:rPr>
                        </w:pPr>
                        <w:r>
                          <w:rPr>
                            <w:rFonts w:hint="cs"/>
                            <w:sz w:val="18"/>
                            <w:szCs w:val="22"/>
                            <w:rtl/>
                            <w:lang w:bidi="ar-EG"/>
                          </w:rPr>
                          <w:t>المرسل</w:t>
                        </w:r>
                      </w:p>
                    </w:txbxContent>
                  </v:textbox>
                </v:rect>
                <v:rect id="Rectangle 174" o:spid="_x0000_s1032" style="position:absolute;left:19345;width:6762;height:2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6JW8IA&#10;AADaAAAADwAAAGRycy9kb3ducmV2LnhtbESPQWvCQBSE70L/w/IKvUjd2IPa1E1oCwURL0bB6yP7&#10;moRm34bsS0z/vVsoeBxm5htmm0+uVSP1ofFsYLlIQBGX3jZcGTifvp43oIIgW2w9k4FfCpBnD7Mt&#10;ptZf+UhjIZWKEA4pGqhFulTrUNbkMCx8Rxy9b987lCj7StserxHuWv2SJCvtsOG4UGNHnzWVP8Xg&#10;DIyXy+GDzoNejijr+W4/SLMiY54ep/c3UEKT3MP/7Z018Ap/V+IN0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rolbwgAAANoAAAAPAAAAAAAAAAAAAAAAAJgCAABkcnMvZG93&#10;bnJldi54bWxQSwUGAAAAAAQABAD1AAAAhwMAAAAA&#10;" filled="f" stroked="f">
                  <v:textbox inset="1pt,1pt,1pt,1pt">
                    <w:txbxContent>
                      <w:p w:rsidR="004F2098" w:rsidRPr="00CC31C2" w:rsidRDefault="004F2098" w:rsidP="00764609">
                        <w:pPr>
                          <w:spacing w:line="140" w:lineRule="exact"/>
                          <w:jc w:val="center"/>
                          <w:rPr>
                            <w:sz w:val="18"/>
                            <w:szCs w:val="22"/>
                            <w:rtl/>
                            <w:lang w:bidi="ar-EG"/>
                          </w:rPr>
                        </w:pPr>
                        <w:r>
                          <w:rPr>
                            <w:sz w:val="18"/>
                            <w:szCs w:val="22"/>
                            <w:lang w:bidi="ar-EG"/>
                          </w:rPr>
                          <w:t>R</w:t>
                        </w:r>
                        <w:r>
                          <w:rPr>
                            <w:rFonts w:hint="cs"/>
                            <w:sz w:val="18"/>
                            <w:szCs w:val="22"/>
                            <w:rtl/>
                            <w:lang w:bidi="ar-EG"/>
                          </w:rPr>
                          <w:t xml:space="preserve"> (المستقبل)</w:t>
                        </w:r>
                      </w:p>
                    </w:txbxContent>
                  </v:textbox>
                </v:rect>
              </v:group>
            </w:pict>
          </mc:Fallback>
        </mc:AlternateContent>
      </w:r>
      <w:r>
        <w:object w:dxaOrig="5305" w:dyaOrig="2345">
          <v:shape id="_x0000_i1029" type="#_x0000_t75" style="width:264.75pt;height:117pt" o:ole="">
            <v:imagedata r:id="rId23" o:title=""/>
          </v:shape>
          <o:OLEObject Type="Embed" ProgID="CorelDRAW.Graphic.14" ShapeID="_x0000_i1029" DrawAspect="Content" ObjectID="_1371986622" r:id="rId24"/>
        </w:object>
      </w:r>
    </w:p>
    <w:p w:rsidR="00CB5B24" w:rsidRDefault="00CB5B24" w:rsidP="00764609">
      <w:pPr>
        <w:jc w:val="center"/>
        <w:rPr>
          <w:rtl/>
          <w:lang w:bidi="ar-EG"/>
        </w:rPr>
      </w:pPr>
    </w:p>
    <w:p w:rsidR="00CB5B24" w:rsidRDefault="001679DD" w:rsidP="0072337E">
      <w:pPr>
        <w:rPr>
          <w:rtl/>
          <w:lang w:bidi="ar-EG"/>
        </w:rPr>
      </w:pPr>
      <w:r>
        <w:rPr>
          <w:rFonts w:hint="cs"/>
          <w:rtl/>
          <w:lang w:bidi="ar-EG"/>
        </w:rPr>
        <w:t xml:space="preserve">بالنسبة </w:t>
      </w:r>
      <w:r w:rsidR="0072337E">
        <w:rPr>
          <w:rFonts w:hint="cs"/>
          <w:rtl/>
          <w:lang w:bidi="ar-EG"/>
        </w:rPr>
        <w:t xml:space="preserve">إلى </w:t>
      </w:r>
      <w:r>
        <w:rPr>
          <w:rFonts w:hint="cs"/>
          <w:rtl/>
          <w:lang w:bidi="ar-EG"/>
        </w:rPr>
        <w:t xml:space="preserve">مسير الفضاء الحر الذي يبلغ طوله </w:t>
      </w:r>
      <w:r>
        <w:rPr>
          <w:lang w:bidi="ar-EG"/>
        </w:rPr>
        <w:t xml:space="preserve">(m) </w:t>
      </w:r>
      <w:r>
        <w:rPr>
          <w:i/>
          <w:iCs/>
          <w:lang w:bidi="ar-EG"/>
        </w:rPr>
        <w:t>r</w:t>
      </w:r>
      <w:r>
        <w:rPr>
          <w:rFonts w:hint="cs"/>
          <w:i/>
          <w:iCs/>
          <w:rtl/>
          <w:lang w:bidi="ar-EG"/>
        </w:rPr>
        <w:t xml:space="preserve"> </w:t>
      </w:r>
      <w:r>
        <w:rPr>
          <w:rFonts w:hint="cs"/>
          <w:rtl/>
          <w:lang w:bidi="ar-EG"/>
        </w:rPr>
        <w:t>بين التوربين الهوائي وموقع الاستقبال، يمكن حساب شدة المجال غير المرغوبة</w:t>
      </w:r>
      <w:r>
        <w:rPr>
          <w:rFonts w:hint="eastAsia"/>
          <w:rtl/>
          <w:lang w:bidi="ar-EG"/>
        </w:rPr>
        <w:t> </w:t>
      </w:r>
      <w:r>
        <w:rPr>
          <w:rFonts w:hint="cs"/>
          <w:rtl/>
          <w:lang w:bidi="ar-EG"/>
        </w:rPr>
        <w:t>كالتالي:</w:t>
      </w:r>
    </w:p>
    <w:p w:rsidR="001679DD" w:rsidRPr="001679DD" w:rsidRDefault="001679DD" w:rsidP="001679DD">
      <w:pPr>
        <w:jc w:val="center"/>
        <w:rPr>
          <w:rtl/>
          <w:lang w:bidi="ar-EG"/>
        </w:rPr>
      </w:pPr>
      <w:r w:rsidRPr="0080119C">
        <w:rPr>
          <w:i/>
          <w:iCs/>
        </w:rPr>
        <w:t>FSWT</w:t>
      </w:r>
      <w:r>
        <w:t xml:space="preserve">  </w:t>
      </w:r>
      <w:r>
        <w:sym w:font="Symbol" w:char="F02B"/>
      </w:r>
      <w:r>
        <w:t xml:space="preserve">  20 log </w:t>
      </w:r>
      <w:r>
        <w:sym w:font="Symbol" w:char="F072"/>
      </w:r>
    </w:p>
    <w:p w:rsidR="00CB5B24" w:rsidRDefault="001679DD" w:rsidP="004F2098">
      <w:pPr>
        <w:spacing w:before="240"/>
        <w:rPr>
          <w:rtl/>
          <w:lang w:bidi="ar-EG"/>
        </w:rPr>
      </w:pPr>
      <w:r>
        <w:rPr>
          <w:rFonts w:hint="cs"/>
          <w:rtl/>
          <w:lang w:bidi="ar-EG"/>
        </w:rPr>
        <w:t xml:space="preserve">ولا يتعلق معامل الانتثار </w:t>
      </w:r>
      <w:r w:rsidRPr="009246EA">
        <w:sym w:font="Symbol" w:char="F072"/>
      </w:r>
      <w:r>
        <w:rPr>
          <w:rFonts w:hint="cs"/>
          <w:rtl/>
        </w:rPr>
        <w:t xml:space="preserve"> إلا بالانتثار الخلفي من الأذرع. وتجدر الإشارة إلى أن أبراج الحمل المعنية تساهم هي الأخرى بانتثار خلفي </w:t>
      </w:r>
      <w:proofErr w:type="spellStart"/>
      <w:r>
        <w:rPr>
          <w:rFonts w:hint="cs"/>
          <w:rtl/>
        </w:rPr>
        <w:t>استاتيكي</w:t>
      </w:r>
      <w:proofErr w:type="spellEnd"/>
      <w:r>
        <w:rPr>
          <w:rFonts w:hint="cs"/>
          <w:rtl/>
        </w:rPr>
        <w:t xml:space="preserve"> كبير. وربما يكون الانتثار الأمامي من الأذرع كبيراً، ولكن اتساعه يكون أقل عادة من الانتثار الخلفي وينطوي حسابه على تعقيدات أكبر. وقيمة الانتثار الأمامي من الأبراج مهملة عادة. وتجدر الإشارة كذلك إلى أن مخططات الانتثار تتغير بنحو </w:t>
      </w:r>
      <w:r>
        <w:t>dB 10</w:t>
      </w:r>
      <w:r>
        <w:rPr>
          <w:rFonts w:hint="cs"/>
          <w:rtl/>
          <w:lang w:bidi="ar-EG"/>
        </w:rPr>
        <w:t xml:space="preserve"> على الأقل مع دوران الأذرع. ويمكن الرجوع للتقرير </w:t>
      </w:r>
      <w:r>
        <w:rPr>
          <w:lang w:bidi="ar-EG"/>
        </w:rPr>
        <w:t>ITU-R BT.2142</w:t>
      </w:r>
      <w:r>
        <w:rPr>
          <w:rFonts w:hint="cs"/>
          <w:rtl/>
          <w:lang w:bidi="ar-EG"/>
        </w:rPr>
        <w:t xml:space="preserve"> للاطلاع على التحليل</w:t>
      </w:r>
      <w:r>
        <w:rPr>
          <w:rFonts w:hint="eastAsia"/>
          <w:rtl/>
          <w:lang w:bidi="ar-EG"/>
        </w:rPr>
        <w:t> </w:t>
      </w:r>
      <w:r>
        <w:rPr>
          <w:rFonts w:hint="cs"/>
          <w:rtl/>
          <w:lang w:bidi="ar-EG"/>
        </w:rPr>
        <w:t>الوافي.</w:t>
      </w:r>
    </w:p>
    <w:p w:rsidR="004F2098" w:rsidRDefault="001679DD" w:rsidP="0072337E">
      <w:pPr>
        <w:rPr>
          <w:rFonts w:hint="cs"/>
          <w:rtl/>
          <w:lang w:bidi="ar-EG"/>
        </w:rPr>
      </w:pPr>
      <w:r>
        <w:rPr>
          <w:rFonts w:hint="cs"/>
          <w:rtl/>
          <w:lang w:bidi="ar-EG"/>
        </w:rPr>
        <w:t xml:space="preserve">ويرد في التوصية </w:t>
      </w:r>
      <w:r>
        <w:rPr>
          <w:lang w:bidi="ar-EG"/>
        </w:rPr>
        <w:t>ITU-R BT.419</w:t>
      </w:r>
      <w:r>
        <w:rPr>
          <w:rFonts w:hint="cs"/>
          <w:rtl/>
          <w:lang w:bidi="ar-EG"/>
        </w:rPr>
        <w:t xml:space="preserve"> تتميز اتجاهية هوائي الاستقبال بدلالة الزاوية </w:t>
      </w:r>
      <w:r w:rsidRPr="009246EA">
        <w:rPr>
          <w:rFonts w:ascii="Symbol" w:hAnsi="Symbol" w:cs="Symbol"/>
        </w:rPr>
        <w:t></w:t>
      </w:r>
      <w:r w:rsidRPr="001679DD">
        <w:rPr>
          <w:rFonts w:hint="cs"/>
          <w:rtl/>
          <w:lang w:bidi="ar-EG"/>
        </w:rPr>
        <w:t xml:space="preserve"> (حسب المبيّن ف</w:t>
      </w:r>
      <w:r>
        <w:rPr>
          <w:rFonts w:hint="cs"/>
          <w:rtl/>
          <w:lang w:bidi="ar-EG"/>
        </w:rPr>
        <w:t xml:space="preserve">ي الشكل </w:t>
      </w:r>
      <w:r>
        <w:rPr>
          <w:lang w:bidi="ar-EG"/>
        </w:rPr>
        <w:t>1</w:t>
      </w:r>
      <w:r>
        <w:rPr>
          <w:rFonts w:hint="cs"/>
          <w:rtl/>
          <w:lang w:bidi="ar-EG"/>
        </w:rPr>
        <w:t xml:space="preserve">) وينبغي تطبيقه لتحديد النسبة بين الإشارتين المطلوبة وغير المطلوبة بالنسبة </w:t>
      </w:r>
      <w:r w:rsidR="0072337E">
        <w:rPr>
          <w:rFonts w:hint="cs"/>
          <w:rtl/>
          <w:lang w:bidi="ar-EG"/>
        </w:rPr>
        <w:t xml:space="preserve">إلى </w:t>
      </w:r>
      <w:r>
        <w:rPr>
          <w:rFonts w:hint="cs"/>
          <w:rtl/>
          <w:lang w:bidi="ar-EG"/>
        </w:rPr>
        <w:t xml:space="preserve">أي موقع محدد من مواقع الاستقبال. </w:t>
      </w:r>
    </w:p>
    <w:p w:rsidR="004F2098" w:rsidRPr="004F2098" w:rsidRDefault="004F2098" w:rsidP="004F131A">
      <w:pPr>
        <w:rPr>
          <w:rFonts w:hint="cs"/>
          <w:rtl/>
        </w:rPr>
      </w:pPr>
      <w:r>
        <w:rPr>
          <w:rFonts w:hint="cs"/>
          <w:rtl/>
          <w:lang w:bidi="ar-EG"/>
        </w:rPr>
        <w:t xml:space="preserve">ويرد في التذييل </w:t>
      </w:r>
      <w:r>
        <w:rPr>
          <w:lang w:val="fr-CH" w:bidi="ar-EG"/>
        </w:rPr>
        <w:t>1</w:t>
      </w:r>
      <w:r>
        <w:rPr>
          <w:rFonts w:hint="cs"/>
          <w:rtl/>
        </w:rPr>
        <w:t xml:space="preserve"> مثال عن استعمال </w:t>
      </w:r>
      <w:r w:rsidR="004F131A">
        <w:rPr>
          <w:rFonts w:hint="cs"/>
          <w:rtl/>
        </w:rPr>
        <w:t>هذه الطريقة</w:t>
      </w:r>
      <w:r>
        <w:rPr>
          <w:rFonts w:hint="cs"/>
          <w:rtl/>
        </w:rPr>
        <w:t>.</w:t>
      </w:r>
    </w:p>
    <w:p w:rsidR="00CB5B24" w:rsidRDefault="001679DD" w:rsidP="0072337E">
      <w:pPr>
        <w:rPr>
          <w:rtl/>
          <w:lang w:bidi="ar-EG"/>
        </w:rPr>
      </w:pPr>
      <w:r>
        <w:rPr>
          <w:rFonts w:hint="cs"/>
          <w:rtl/>
          <w:lang w:bidi="ar-EG"/>
        </w:rPr>
        <w:t xml:space="preserve">ويرد في التذييل </w:t>
      </w:r>
      <w:r>
        <w:rPr>
          <w:lang w:bidi="ar-EG"/>
        </w:rPr>
        <w:t>2</w:t>
      </w:r>
      <w:r>
        <w:rPr>
          <w:rFonts w:hint="cs"/>
          <w:rtl/>
          <w:lang w:bidi="ar-EG"/>
        </w:rPr>
        <w:t xml:space="preserve"> توجيهاً مختصراً بشأن التأثيرات على قيم العينة للنسبة </w:t>
      </w:r>
      <w:r w:rsidRPr="001679DD">
        <w:rPr>
          <w:i/>
          <w:iCs/>
          <w:lang w:bidi="ar-EG"/>
        </w:rPr>
        <w:t>C/N</w:t>
      </w:r>
      <w:r>
        <w:rPr>
          <w:rFonts w:hint="cs"/>
          <w:rtl/>
          <w:lang w:bidi="ar-EG"/>
        </w:rPr>
        <w:t xml:space="preserve"> في الحالات التي تتسبب فيها التوربينات الهوائية في انحطاط جودة إشارة نظام الإذاعة التلفزيونية الرقمية للأرض. ومن الأمور التي تهتم بها جهات البث ومخططو ومديرو الأنظمة الحاجة المحتملة لقيم متزايدة لعتبات النسبة </w:t>
      </w:r>
      <w:r>
        <w:rPr>
          <w:i/>
          <w:iCs/>
          <w:lang w:bidi="ar-EG"/>
        </w:rPr>
        <w:t>C/N</w:t>
      </w:r>
      <w:r>
        <w:rPr>
          <w:rFonts w:hint="cs"/>
          <w:i/>
          <w:iCs/>
          <w:rtl/>
          <w:lang w:bidi="ar-EG"/>
        </w:rPr>
        <w:t xml:space="preserve"> </w:t>
      </w:r>
      <w:r w:rsidRPr="001679DD">
        <w:rPr>
          <w:rFonts w:hint="cs"/>
          <w:rtl/>
          <w:lang w:bidi="ar-EG"/>
        </w:rPr>
        <w:t xml:space="preserve">في المناطق المتأثرة </w:t>
      </w:r>
      <w:proofErr w:type="spellStart"/>
      <w:r w:rsidRPr="001679DD">
        <w:rPr>
          <w:rFonts w:hint="cs"/>
          <w:rtl/>
          <w:lang w:bidi="ar-EG"/>
        </w:rPr>
        <w:t>بالتوربينات</w:t>
      </w:r>
      <w:proofErr w:type="spellEnd"/>
      <w:r w:rsidRPr="001679DD">
        <w:rPr>
          <w:rFonts w:hint="cs"/>
          <w:rtl/>
          <w:lang w:bidi="ar-EG"/>
        </w:rPr>
        <w:t xml:space="preserve"> الهوائية.</w:t>
      </w:r>
    </w:p>
    <w:p w:rsidR="001679DD" w:rsidRDefault="001679DD" w:rsidP="001679DD">
      <w:pPr>
        <w:overflowPunct/>
        <w:autoSpaceDE/>
        <w:autoSpaceDN/>
        <w:bidi w:val="0"/>
        <w:adjustRightInd/>
        <w:spacing w:before="0" w:line="240" w:lineRule="auto"/>
        <w:jc w:val="left"/>
        <w:textAlignment w:val="auto"/>
        <w:rPr>
          <w:rtl/>
          <w:lang w:bidi="ar-EG"/>
        </w:rPr>
      </w:pPr>
      <w:r>
        <w:rPr>
          <w:rtl/>
          <w:lang w:bidi="ar-EG"/>
        </w:rPr>
        <w:br w:type="page"/>
      </w:r>
    </w:p>
    <w:p w:rsidR="001679DD" w:rsidRDefault="001679DD" w:rsidP="00FB537B">
      <w:pPr>
        <w:pStyle w:val="AppendixNotitle"/>
        <w:rPr>
          <w:rtl/>
          <w:lang w:bidi="ar-EG"/>
        </w:rPr>
      </w:pPr>
      <w:r>
        <w:rPr>
          <w:rFonts w:hint="cs"/>
          <w:rtl/>
          <w:lang w:bidi="ar-EG"/>
        </w:rPr>
        <w:lastRenderedPageBreak/>
        <w:t>التذيي</w:t>
      </w:r>
      <w:r w:rsidR="0072337E">
        <w:rPr>
          <w:rFonts w:hint="cs"/>
          <w:rtl/>
          <w:lang w:bidi="ar-EG"/>
        </w:rPr>
        <w:t>ـ</w:t>
      </w:r>
      <w:r>
        <w:rPr>
          <w:rFonts w:hint="cs"/>
          <w:rtl/>
          <w:lang w:bidi="ar-EG"/>
        </w:rPr>
        <w:t xml:space="preserve">ل </w:t>
      </w:r>
      <w:r>
        <w:rPr>
          <w:lang w:bidi="ar-EG"/>
        </w:rPr>
        <w:t>1</w:t>
      </w:r>
      <w:r>
        <w:rPr>
          <w:rtl/>
          <w:lang w:bidi="ar-EG"/>
        </w:rPr>
        <w:br/>
      </w:r>
      <w:r>
        <w:rPr>
          <w:rFonts w:hint="cs"/>
          <w:rtl/>
          <w:lang w:bidi="ar-EG"/>
        </w:rPr>
        <w:t xml:space="preserve">للملحق </w:t>
      </w:r>
      <w:r>
        <w:rPr>
          <w:lang w:bidi="ar-EG"/>
        </w:rPr>
        <w:t>1</w:t>
      </w:r>
    </w:p>
    <w:p w:rsidR="001679DD" w:rsidRPr="001679DD" w:rsidRDefault="001679DD" w:rsidP="00FB537B">
      <w:pPr>
        <w:pStyle w:val="AppendixNotitle"/>
        <w:rPr>
          <w:rtl/>
          <w:lang w:bidi="ar-EG"/>
        </w:rPr>
      </w:pPr>
      <w:r>
        <w:rPr>
          <w:rFonts w:hint="cs"/>
          <w:rtl/>
          <w:lang w:bidi="ar-EG"/>
        </w:rPr>
        <w:t>مثال على استعمال طريقة التقييم المبسّطة</w:t>
      </w:r>
    </w:p>
    <w:p w:rsidR="00CB5B24" w:rsidRDefault="00FB537B" w:rsidP="00120C48">
      <w:pPr>
        <w:pStyle w:val="Normalaftertitle"/>
        <w:rPr>
          <w:rtl/>
          <w:lang w:bidi="ar-EG"/>
        </w:rPr>
      </w:pPr>
      <w:r>
        <w:rPr>
          <w:rFonts w:hint="cs"/>
          <w:rtl/>
          <w:lang w:bidi="ar-EG"/>
        </w:rPr>
        <w:t xml:space="preserve">كما يتبين من الشكل </w:t>
      </w:r>
      <w:r>
        <w:rPr>
          <w:lang w:bidi="ar-EG"/>
        </w:rPr>
        <w:t>1</w:t>
      </w:r>
      <w:r>
        <w:rPr>
          <w:rFonts w:hint="cs"/>
          <w:rtl/>
          <w:lang w:bidi="ar-EG"/>
        </w:rPr>
        <w:t xml:space="preserve"> بالملحق </w:t>
      </w:r>
      <w:r>
        <w:rPr>
          <w:lang w:bidi="ar-EG"/>
        </w:rPr>
        <w:t>1</w:t>
      </w:r>
      <w:r>
        <w:rPr>
          <w:rFonts w:hint="cs"/>
          <w:rtl/>
          <w:lang w:bidi="ar-EG"/>
        </w:rPr>
        <w:t>، يتم تحديد النقطة الخاصة بأي موقع مستقبل بالقر</w:t>
      </w:r>
      <w:r w:rsidR="0072337E">
        <w:rPr>
          <w:rFonts w:hint="cs"/>
          <w:rtl/>
          <w:lang w:bidi="ar-EG"/>
        </w:rPr>
        <w:t>ب</w:t>
      </w:r>
      <w:r>
        <w:rPr>
          <w:rFonts w:hint="cs"/>
          <w:rtl/>
          <w:lang w:bidi="ar-EG"/>
        </w:rPr>
        <w:t xml:space="preserve"> من موقع التوربين الهوائي المقترح.</w:t>
      </w:r>
    </w:p>
    <w:p w:rsidR="00FB537B" w:rsidRDefault="00FB537B" w:rsidP="000F312E">
      <w:pPr>
        <w:rPr>
          <w:rtl/>
          <w:lang w:bidi="ar-EG"/>
        </w:rPr>
      </w:pPr>
      <w:r>
        <w:rPr>
          <w:rFonts w:hint="cs"/>
          <w:rtl/>
          <w:lang w:bidi="ar-EG"/>
        </w:rPr>
        <w:t xml:space="preserve">وكخطوة أولى، يتم حساب، أو يفضل، قياس قيم شدة المجال، </w:t>
      </w:r>
      <w:r>
        <w:rPr>
          <w:lang w:bidi="ar-EG"/>
        </w:rPr>
        <w:t>FSR</w:t>
      </w:r>
      <w:r>
        <w:rPr>
          <w:rFonts w:hint="cs"/>
          <w:rtl/>
          <w:lang w:bidi="ar-EG"/>
        </w:rPr>
        <w:t>، في المواقع المختلفة للمستقبلات.</w:t>
      </w:r>
    </w:p>
    <w:p w:rsidR="00FB537B" w:rsidRDefault="00FB537B" w:rsidP="000F312E">
      <w:pPr>
        <w:rPr>
          <w:rtl/>
          <w:lang w:bidi="ar-EG"/>
        </w:rPr>
      </w:pPr>
      <w:r>
        <w:rPr>
          <w:rFonts w:hint="cs"/>
          <w:rtl/>
          <w:lang w:bidi="ar-EG"/>
        </w:rPr>
        <w:t>و</w:t>
      </w:r>
      <w:r w:rsidR="00A27116">
        <w:rPr>
          <w:rFonts w:hint="cs"/>
          <w:rtl/>
          <w:lang w:bidi="ar-EG"/>
        </w:rPr>
        <w:t>يُرجح ألا تكون هناك ضرورة لتوسيع</w:t>
      </w:r>
      <w:r>
        <w:rPr>
          <w:rFonts w:hint="cs"/>
          <w:rtl/>
          <w:lang w:bidi="ar-EG"/>
        </w:rPr>
        <w:t xml:space="preserve"> منطقة البحث لأكثر من </w:t>
      </w:r>
      <w:r>
        <w:rPr>
          <w:lang w:bidi="ar-EG"/>
        </w:rPr>
        <w:t>km 10</w:t>
      </w:r>
      <w:r>
        <w:rPr>
          <w:rFonts w:hint="cs"/>
          <w:rtl/>
          <w:lang w:bidi="ar-EG"/>
        </w:rPr>
        <w:t xml:space="preserve"> تقريباً من موقع التوربين الهوائي المقترح (أو مواقعها، إذا كان المقترح توربينات متعددة). ومع ذلك، إذا كانت هناك ظروف خاصة، كمباني محدوبة عن المرسل المطلوب وإن كانت على خط بصر التوربين الهوائي، قد يتعين في هذه الحالة توسيع المنطقة.</w:t>
      </w:r>
    </w:p>
    <w:p w:rsidR="00FB537B" w:rsidRDefault="00FB537B" w:rsidP="000F312E">
      <w:pPr>
        <w:rPr>
          <w:rtl/>
          <w:lang w:bidi="ar-EG"/>
        </w:rPr>
      </w:pPr>
      <w:r>
        <w:rPr>
          <w:rFonts w:hint="cs"/>
          <w:rtl/>
          <w:lang w:bidi="ar-EG"/>
        </w:rPr>
        <w:t xml:space="preserve">ويتم حساب، أو يفضل قياس قيم شدة المجال، </w:t>
      </w:r>
      <w:r>
        <w:rPr>
          <w:lang w:bidi="ar-EG"/>
        </w:rPr>
        <w:t>FSWT</w:t>
      </w:r>
      <w:r>
        <w:rPr>
          <w:rFonts w:hint="cs"/>
          <w:rtl/>
          <w:lang w:bidi="ar-EG"/>
        </w:rPr>
        <w:t>، عند موقع التوربين الهوائي بالقرب من ارتفاع مركز دوران الأذرع.</w:t>
      </w:r>
    </w:p>
    <w:p w:rsidR="00FB537B" w:rsidRDefault="00FB537B" w:rsidP="000F312E">
      <w:pPr>
        <w:rPr>
          <w:rtl/>
          <w:lang w:bidi="ar-EG"/>
        </w:rPr>
      </w:pPr>
      <w:r>
        <w:rPr>
          <w:rFonts w:hint="cs"/>
          <w:rtl/>
          <w:lang w:bidi="ar-EG"/>
        </w:rPr>
        <w:t xml:space="preserve">ولكل نقطة من نقاط الاستقبال، </w:t>
      </w:r>
      <w:r>
        <w:rPr>
          <w:i/>
          <w:iCs/>
          <w:lang w:bidi="ar-EG"/>
        </w:rPr>
        <w:t>R</w:t>
      </w:r>
      <w:r>
        <w:rPr>
          <w:rFonts w:hint="cs"/>
          <w:rtl/>
          <w:lang w:bidi="ar-EG"/>
        </w:rPr>
        <w:t>:</w:t>
      </w:r>
    </w:p>
    <w:p w:rsidR="00FB537B" w:rsidRDefault="00FB537B" w:rsidP="00FB537B">
      <w:pPr>
        <w:pStyle w:val="enumlev1"/>
        <w:rPr>
          <w:rtl/>
        </w:rPr>
      </w:pPr>
      <w:r>
        <w:rPr>
          <w:rFonts w:hint="cs"/>
          <w:rtl/>
        </w:rPr>
        <w:t>-</w:t>
      </w:r>
      <w:r>
        <w:rPr>
          <w:rFonts w:hint="cs"/>
          <w:rtl/>
        </w:rPr>
        <w:tab/>
        <w:t xml:space="preserve">يتم حساب معامل الانتثار، </w:t>
      </w:r>
      <w:r w:rsidRPr="009246EA">
        <w:sym w:font="Symbol" w:char="F072"/>
      </w:r>
      <w:r>
        <w:rPr>
          <w:rFonts w:hint="cs"/>
          <w:rtl/>
        </w:rPr>
        <w:t>: للمسير بين التوربين الهوائي والمستقبل؛</w:t>
      </w:r>
    </w:p>
    <w:p w:rsidR="00FB537B" w:rsidRPr="00FB537B" w:rsidRDefault="00FB537B" w:rsidP="00FB537B">
      <w:pPr>
        <w:pStyle w:val="enumlev1"/>
        <w:rPr>
          <w:rtl/>
        </w:rPr>
      </w:pPr>
      <w:r>
        <w:rPr>
          <w:rFonts w:hint="cs"/>
          <w:rtl/>
        </w:rPr>
        <w:t>-</w:t>
      </w:r>
      <w:r>
        <w:rPr>
          <w:rFonts w:hint="cs"/>
          <w:rtl/>
        </w:rPr>
        <w:tab/>
        <w:t xml:space="preserve">يتم حساب شدة المجال غير المطلوب باستعمال المعادلة: </w:t>
      </w:r>
      <w:r w:rsidRPr="0080119C">
        <w:rPr>
          <w:i/>
          <w:iCs/>
        </w:rPr>
        <w:t>FSWT</w:t>
      </w:r>
      <w:r>
        <w:t xml:space="preserve">  </w:t>
      </w:r>
      <w:r>
        <w:sym w:font="Symbol" w:char="F02B"/>
      </w:r>
      <w:r>
        <w:t xml:space="preserve">  20 log </w:t>
      </w:r>
      <w:r>
        <w:sym w:font="Symbol" w:char="F072"/>
      </w:r>
      <w:r>
        <w:rPr>
          <w:rFonts w:hint="cs"/>
          <w:rtl/>
        </w:rPr>
        <w:t>؛</w:t>
      </w:r>
    </w:p>
    <w:p w:rsidR="00CB5B24" w:rsidRDefault="00FB537B" w:rsidP="00FB537B">
      <w:pPr>
        <w:pStyle w:val="enumlev1"/>
        <w:rPr>
          <w:rtl/>
        </w:rPr>
      </w:pPr>
      <w:r>
        <w:rPr>
          <w:rFonts w:hint="cs"/>
          <w:rtl/>
        </w:rPr>
        <w:t>-</w:t>
      </w:r>
      <w:r>
        <w:rPr>
          <w:rFonts w:hint="cs"/>
          <w:rtl/>
        </w:rPr>
        <w:tab/>
        <w:t xml:space="preserve">يتم حساب شدة المجال المطلوب، </w:t>
      </w:r>
      <w:r>
        <w:t>FSR</w:t>
      </w:r>
      <w:r>
        <w:rPr>
          <w:rFonts w:hint="cs"/>
          <w:rtl/>
        </w:rPr>
        <w:t>؛</w:t>
      </w:r>
    </w:p>
    <w:p w:rsidR="00FB537B" w:rsidRDefault="00FB537B" w:rsidP="00FB537B">
      <w:pPr>
        <w:pStyle w:val="enumlev1"/>
        <w:rPr>
          <w:rtl/>
        </w:rPr>
      </w:pPr>
      <w:r>
        <w:rPr>
          <w:rFonts w:hint="cs"/>
          <w:rtl/>
        </w:rPr>
        <w:t>-</w:t>
      </w:r>
      <w:r>
        <w:rPr>
          <w:rFonts w:hint="cs"/>
          <w:rtl/>
        </w:rPr>
        <w:tab/>
        <w:t>يتم حساب النسبة بين الإشارتين المطلوبة وغير المطلوبة، مع أخذ تميز اتجاهية هوائي الاستقبال في الاعتبار؛</w:t>
      </w:r>
    </w:p>
    <w:p w:rsidR="00FB537B" w:rsidRDefault="00FB537B" w:rsidP="00FB537B">
      <w:pPr>
        <w:pStyle w:val="enumlev1"/>
        <w:rPr>
          <w:rtl/>
        </w:rPr>
      </w:pPr>
      <w:r>
        <w:rPr>
          <w:rFonts w:hint="cs"/>
          <w:rtl/>
        </w:rPr>
        <w:t>-</w:t>
      </w:r>
      <w:r>
        <w:rPr>
          <w:rFonts w:hint="cs"/>
          <w:rtl/>
        </w:rPr>
        <w:tab/>
        <w:t xml:space="preserve">باستعمال معلومات التذييل </w:t>
      </w:r>
      <w:r>
        <w:t>2</w:t>
      </w:r>
      <w:r>
        <w:rPr>
          <w:rFonts w:hint="cs"/>
          <w:rtl/>
        </w:rPr>
        <w:t>، يجري تقييم الانحطاط المحتمل للاستقبال التلفزيوني الرقمي عن طريق النسبة المحسوبة بين الإشارتين المطلوبة وغير المطلوبة عند نقطة الاستقبال.</w:t>
      </w:r>
    </w:p>
    <w:p w:rsidR="00FB537B" w:rsidRDefault="00FB537B" w:rsidP="004F131A">
      <w:pPr>
        <w:rPr>
          <w:rtl/>
          <w:lang w:bidi="ar-EG"/>
        </w:rPr>
      </w:pPr>
      <w:r>
        <w:rPr>
          <w:rFonts w:hint="cs"/>
          <w:rtl/>
          <w:lang w:bidi="ar-EG"/>
        </w:rPr>
        <w:t>ويمكن بعد ذلك عرض نتائج الدراسة في شكل خريطة توضح المناطق/المواقع التي يمكن أن يحدث فيها الانحطاط.</w:t>
      </w:r>
    </w:p>
    <w:p w:rsidR="00CB5B24" w:rsidRDefault="00FB537B" w:rsidP="004F131A">
      <w:pPr>
        <w:rPr>
          <w:rtl/>
          <w:lang w:bidi="ar-EG"/>
        </w:rPr>
      </w:pPr>
      <w:r>
        <w:rPr>
          <w:rFonts w:hint="cs"/>
          <w:rtl/>
          <w:lang w:bidi="ar-EG"/>
        </w:rPr>
        <w:t xml:space="preserve">وتجدر الإشارة إلى أن هذه العملية تكون أكثر تعقيداً إذا كان هناك توربينات هوائية متعددة في موقع معين حيث سيكون هناك في هذه الحالة مصادر عديدة محتملة للانحطاط عند كل موقع من مواقع الاستقبال. ويقدم التقرير </w:t>
      </w:r>
      <w:r>
        <w:rPr>
          <w:lang w:bidi="ar-EG"/>
        </w:rPr>
        <w:t>ITU-R BT.2142</w:t>
      </w:r>
      <w:r>
        <w:rPr>
          <w:rFonts w:hint="cs"/>
          <w:rtl/>
          <w:lang w:bidi="ar-EG"/>
        </w:rPr>
        <w:t xml:space="preserve"> أمثلة على التنبؤات الخاصة بمزرعة كبيرة تضم العديد من التوربينات الهوائية.</w:t>
      </w:r>
    </w:p>
    <w:p w:rsidR="00CB5B24" w:rsidRDefault="00CB5B24" w:rsidP="000F312E">
      <w:pPr>
        <w:rPr>
          <w:rtl/>
          <w:lang w:bidi="ar-EG"/>
        </w:rPr>
      </w:pPr>
    </w:p>
    <w:p w:rsidR="000F312E" w:rsidRDefault="000F312E" w:rsidP="00F615CE">
      <w:pPr>
        <w:rPr>
          <w:rtl/>
        </w:rPr>
      </w:pPr>
    </w:p>
    <w:p w:rsidR="004F131A" w:rsidRDefault="004F131A">
      <w:pPr>
        <w:overflowPunct/>
        <w:autoSpaceDE/>
        <w:autoSpaceDN/>
        <w:bidi w:val="0"/>
        <w:adjustRightInd/>
        <w:spacing w:before="0" w:line="240" w:lineRule="auto"/>
        <w:jc w:val="left"/>
        <w:textAlignment w:val="auto"/>
        <w:rPr>
          <w:rFonts w:ascii="Times New Roman Bold" w:hAnsi="Times New Roman Bold"/>
          <w:b/>
          <w:bCs/>
          <w:sz w:val="26"/>
          <w:szCs w:val="36"/>
          <w:rtl/>
          <w:lang w:bidi="ar-EG"/>
        </w:rPr>
      </w:pPr>
      <w:r>
        <w:rPr>
          <w:rtl/>
          <w:lang w:bidi="ar-EG"/>
        </w:rPr>
        <w:br w:type="page"/>
      </w:r>
    </w:p>
    <w:p w:rsidR="00FB537B" w:rsidRDefault="00FB537B" w:rsidP="004F131A">
      <w:pPr>
        <w:pStyle w:val="AppendixNotitle"/>
        <w:rPr>
          <w:lang w:bidi="ar-EG"/>
        </w:rPr>
      </w:pPr>
      <w:r>
        <w:rPr>
          <w:rFonts w:hint="cs"/>
          <w:rtl/>
          <w:lang w:bidi="ar-EG"/>
        </w:rPr>
        <w:lastRenderedPageBreak/>
        <w:t>التذيي</w:t>
      </w:r>
      <w:r w:rsidR="0072337E">
        <w:rPr>
          <w:rFonts w:hint="cs"/>
          <w:rtl/>
          <w:lang w:bidi="ar-EG"/>
        </w:rPr>
        <w:t>ـ</w:t>
      </w:r>
      <w:r>
        <w:rPr>
          <w:rFonts w:hint="cs"/>
          <w:rtl/>
          <w:lang w:bidi="ar-EG"/>
        </w:rPr>
        <w:t xml:space="preserve">ل </w:t>
      </w:r>
      <w:r>
        <w:rPr>
          <w:lang w:bidi="ar-EG"/>
        </w:rPr>
        <w:t>2</w:t>
      </w:r>
      <w:r>
        <w:rPr>
          <w:rtl/>
          <w:lang w:bidi="ar-EG"/>
        </w:rPr>
        <w:br/>
      </w:r>
      <w:r>
        <w:rPr>
          <w:rFonts w:hint="cs"/>
          <w:rtl/>
          <w:lang w:bidi="ar-EG"/>
        </w:rPr>
        <w:t xml:space="preserve">للملحق </w:t>
      </w:r>
      <w:r>
        <w:rPr>
          <w:lang w:bidi="ar-EG"/>
        </w:rPr>
        <w:t>1</w:t>
      </w:r>
    </w:p>
    <w:p w:rsidR="000F312E" w:rsidRDefault="00FB537B" w:rsidP="00120C48">
      <w:pPr>
        <w:pStyle w:val="AppendixNotitle"/>
        <w:rPr>
          <w:rtl/>
          <w:lang w:bidi="ar-EG"/>
        </w:rPr>
      </w:pPr>
      <w:r>
        <w:rPr>
          <w:rFonts w:hint="cs"/>
          <w:rtl/>
          <w:lang w:bidi="ar-EG"/>
        </w:rPr>
        <w:t xml:space="preserve">الانحطاط الواقع على نظام إذاعة فيديوية رقمية للأرض </w:t>
      </w:r>
      <w:r>
        <w:rPr>
          <w:lang w:bidi="ar-EG"/>
        </w:rPr>
        <w:t>(DVB-T)</w:t>
      </w:r>
    </w:p>
    <w:p w:rsidR="00FB537B" w:rsidRDefault="00FB537B" w:rsidP="0072337E">
      <w:pPr>
        <w:pStyle w:val="Normalaftertitle"/>
        <w:rPr>
          <w:rtl/>
          <w:lang w:bidi="ar-EG"/>
        </w:rPr>
      </w:pPr>
      <w:r>
        <w:rPr>
          <w:rFonts w:hint="cs"/>
          <w:rtl/>
          <w:lang w:bidi="ar-EG"/>
        </w:rPr>
        <w:t xml:space="preserve">في معظم الحالات التي </w:t>
      </w:r>
      <w:r w:rsidR="0072337E">
        <w:rPr>
          <w:rFonts w:hint="cs"/>
          <w:rtl/>
          <w:lang w:bidi="ar-EG"/>
        </w:rPr>
        <w:t>ج</w:t>
      </w:r>
      <w:r>
        <w:rPr>
          <w:rFonts w:hint="cs"/>
          <w:rtl/>
          <w:lang w:bidi="ar-EG"/>
        </w:rPr>
        <w:t xml:space="preserve">رى فيها تحليل تأثير مزرعة توربينات هوائية على جودة استقبال النظام </w:t>
      </w:r>
      <w:r>
        <w:rPr>
          <w:lang w:bidi="ar-EG"/>
        </w:rPr>
        <w:t>DVB-T</w:t>
      </w:r>
      <w:r>
        <w:rPr>
          <w:rFonts w:hint="cs"/>
          <w:rtl/>
          <w:lang w:bidi="ar-EG"/>
        </w:rPr>
        <w:t xml:space="preserve">، كانت قيم العتبة للنسبة </w:t>
      </w:r>
      <w:r>
        <w:rPr>
          <w:i/>
          <w:iCs/>
          <w:lang w:bidi="ar-EG"/>
        </w:rPr>
        <w:t>C/N</w:t>
      </w:r>
      <w:r>
        <w:rPr>
          <w:rFonts w:hint="cs"/>
          <w:i/>
          <w:iCs/>
          <w:rtl/>
          <w:lang w:bidi="ar-EG"/>
        </w:rPr>
        <w:t xml:space="preserve"> </w:t>
      </w:r>
      <w:r>
        <w:rPr>
          <w:rFonts w:hint="cs"/>
          <w:rtl/>
          <w:lang w:bidi="ar-EG"/>
        </w:rPr>
        <w:t xml:space="preserve">المتحصّل عليها مماثلة للقيم المتوقعة في البيئات التي لا توجد بها مزارع توربينات. وبصورة أدق، بدا أن جودة الاستقبال في النظام </w:t>
      </w:r>
      <w:r>
        <w:rPr>
          <w:lang w:bidi="ar-EG"/>
        </w:rPr>
        <w:t>DVB-T</w:t>
      </w:r>
      <w:r>
        <w:rPr>
          <w:rFonts w:hint="cs"/>
          <w:rtl/>
          <w:lang w:bidi="ar-EG"/>
        </w:rPr>
        <w:t xml:space="preserve"> لا تتأثر في منطقة الانتثار الأمامية </w:t>
      </w:r>
      <w:proofErr w:type="spellStart"/>
      <w:r>
        <w:rPr>
          <w:rFonts w:hint="cs"/>
          <w:rtl/>
          <w:lang w:bidi="ar-EG"/>
        </w:rPr>
        <w:t>للتوربينات</w:t>
      </w:r>
      <w:proofErr w:type="spellEnd"/>
      <w:r>
        <w:rPr>
          <w:rFonts w:hint="cs"/>
          <w:rtl/>
          <w:lang w:bidi="ar-EG"/>
        </w:rPr>
        <w:t xml:space="preserve"> الهوائية. وبالنسبة لمنطقة الانتثار الخلفية، ففي الحالات التي تكون فيها الإشارات المنعكسة عن التوربينات الهوائية كبيرة في الاتساع والتغاير، فإن قيمة العتبة للنسبة </w:t>
      </w:r>
      <w:r>
        <w:rPr>
          <w:i/>
          <w:iCs/>
          <w:lang w:bidi="ar-EG"/>
        </w:rPr>
        <w:t>C/N</w:t>
      </w:r>
      <w:r>
        <w:rPr>
          <w:rFonts w:hint="cs"/>
          <w:rtl/>
          <w:lang w:bidi="ar-EG"/>
        </w:rPr>
        <w:t xml:space="preserve"> اللازمة من أجل الظروف شبه الحالية من الأخطاء تكون أعلى.</w:t>
      </w:r>
    </w:p>
    <w:p w:rsidR="00FB537B" w:rsidRDefault="00FB537B" w:rsidP="000F312E">
      <w:pPr>
        <w:rPr>
          <w:rtl/>
          <w:lang w:bidi="ar-EG"/>
        </w:rPr>
      </w:pPr>
      <w:r>
        <w:rPr>
          <w:rFonts w:hint="cs"/>
          <w:rtl/>
          <w:lang w:bidi="ar-EG"/>
        </w:rPr>
        <w:t xml:space="preserve">وتكون الزيادة في عتبة النسبة </w:t>
      </w:r>
      <w:r>
        <w:rPr>
          <w:i/>
          <w:iCs/>
          <w:lang w:bidi="ar-EG"/>
        </w:rPr>
        <w:t>C/N</w:t>
      </w:r>
      <w:r>
        <w:rPr>
          <w:rFonts w:hint="cs"/>
          <w:rtl/>
          <w:lang w:bidi="ar-EG"/>
        </w:rPr>
        <w:t xml:space="preserve"> أكثر احتمالاً عندما تكون التوربينات الهوائية قريبة من هوائيات المستقبلات أو في حوار المرسل التلفزيوني (أقل من </w:t>
      </w:r>
      <w:r>
        <w:rPr>
          <w:lang w:bidi="ar-EG"/>
        </w:rPr>
        <w:t>km 2</w:t>
      </w:r>
      <w:r>
        <w:rPr>
          <w:rFonts w:hint="cs"/>
          <w:rtl/>
          <w:lang w:bidi="ar-EG"/>
        </w:rPr>
        <w:t>).</w:t>
      </w:r>
    </w:p>
    <w:p w:rsidR="00FB537B" w:rsidRPr="00FB537B" w:rsidRDefault="00FB537B" w:rsidP="0072337E">
      <w:pPr>
        <w:rPr>
          <w:rtl/>
          <w:lang w:bidi="ar-EG"/>
        </w:rPr>
      </w:pPr>
      <w:r>
        <w:rPr>
          <w:rFonts w:hint="cs"/>
          <w:rtl/>
          <w:lang w:bidi="ar-EG"/>
        </w:rPr>
        <w:t xml:space="preserve">وتؤول قيمة عتبة النسبة </w:t>
      </w:r>
      <w:r>
        <w:rPr>
          <w:i/>
          <w:iCs/>
          <w:lang w:bidi="ar-EG"/>
        </w:rPr>
        <w:t>C/N</w:t>
      </w:r>
      <w:r>
        <w:rPr>
          <w:rFonts w:hint="cs"/>
          <w:rtl/>
          <w:lang w:bidi="ar-EG"/>
        </w:rPr>
        <w:t xml:space="preserve"> إلى الزيادة بزيادة اتساع إشارات الصدى. ولعل الطبيعة المتغيرة مع الزمن للمسيرات المتعددة نتيجة </w:t>
      </w:r>
      <w:proofErr w:type="spellStart"/>
      <w:r>
        <w:rPr>
          <w:rFonts w:hint="cs"/>
          <w:rtl/>
          <w:lang w:bidi="ar-EG"/>
        </w:rPr>
        <w:t>للتوربينات</w:t>
      </w:r>
      <w:proofErr w:type="spellEnd"/>
      <w:r>
        <w:rPr>
          <w:rFonts w:hint="cs"/>
          <w:rtl/>
          <w:lang w:bidi="ar-EG"/>
        </w:rPr>
        <w:t xml:space="preserve"> الهوائية أحد الع</w:t>
      </w:r>
      <w:r w:rsidR="00A27116">
        <w:rPr>
          <w:rFonts w:hint="cs"/>
          <w:rtl/>
          <w:lang w:bidi="ar-EG"/>
        </w:rPr>
        <w:t>وامل الإضافية للزيادة في العتبة</w:t>
      </w:r>
      <w:r>
        <w:rPr>
          <w:rFonts w:hint="cs"/>
          <w:rtl/>
          <w:lang w:bidi="ar-EG"/>
        </w:rPr>
        <w:t xml:space="preserve"> </w:t>
      </w:r>
      <w:r>
        <w:rPr>
          <w:i/>
          <w:iCs/>
          <w:lang w:bidi="ar-EG"/>
        </w:rPr>
        <w:t>C/N</w:t>
      </w:r>
      <w:r>
        <w:rPr>
          <w:rFonts w:hint="cs"/>
          <w:i/>
          <w:iCs/>
          <w:rtl/>
          <w:lang w:bidi="ar-EG"/>
        </w:rPr>
        <w:t xml:space="preserve"> </w:t>
      </w:r>
      <w:r>
        <w:rPr>
          <w:rFonts w:hint="cs"/>
          <w:rtl/>
          <w:lang w:bidi="ar-EG"/>
        </w:rPr>
        <w:t xml:space="preserve">اللازمة. ومناطق الاستقبال التي تكون فيها مستويات المسيرات المتعددة الدينامية أقل من الإشارة المباشرة بنحو </w:t>
      </w:r>
      <w:r>
        <w:rPr>
          <w:lang w:bidi="ar-EG"/>
        </w:rPr>
        <w:t>dB 25</w:t>
      </w:r>
      <w:r>
        <w:rPr>
          <w:rFonts w:hint="cs"/>
          <w:rtl/>
          <w:lang w:bidi="ar-EG"/>
        </w:rPr>
        <w:t xml:space="preserve">، يمكنها أن تتعرض لزيادات في قيمة عتبة النسبة </w:t>
      </w:r>
      <w:r>
        <w:rPr>
          <w:i/>
          <w:iCs/>
          <w:lang w:bidi="ar-EG"/>
        </w:rPr>
        <w:t>C/N</w:t>
      </w:r>
      <w:r>
        <w:rPr>
          <w:rFonts w:hint="cs"/>
          <w:i/>
          <w:iCs/>
          <w:rtl/>
          <w:lang w:bidi="ar-EG"/>
        </w:rPr>
        <w:t xml:space="preserve"> </w:t>
      </w:r>
      <w:r>
        <w:rPr>
          <w:rFonts w:hint="cs"/>
          <w:rtl/>
          <w:lang w:bidi="ar-EG"/>
        </w:rPr>
        <w:t xml:space="preserve">بالنسبة </w:t>
      </w:r>
      <w:r w:rsidR="0072337E">
        <w:rPr>
          <w:rFonts w:hint="cs"/>
          <w:rtl/>
          <w:lang w:bidi="ar-EG"/>
        </w:rPr>
        <w:t>إلى ا</w:t>
      </w:r>
      <w:r>
        <w:rPr>
          <w:rFonts w:hint="cs"/>
          <w:rtl/>
          <w:lang w:bidi="ar-EG"/>
        </w:rPr>
        <w:t xml:space="preserve">لظروف شبه الخالية من الأخطاء بما يصل إلى </w:t>
      </w:r>
      <w:r w:rsidR="00120C48">
        <w:rPr>
          <w:rStyle w:val="FootnoteReference"/>
          <w:lang w:bidi="ar-EG"/>
        </w:rPr>
        <w:footnoteReference w:id="2"/>
      </w:r>
      <w:r>
        <w:rPr>
          <w:lang w:bidi="ar-EG"/>
        </w:rPr>
        <w:t>dB 8</w:t>
      </w:r>
      <w:r>
        <w:rPr>
          <w:rFonts w:hint="cs"/>
          <w:rtl/>
          <w:lang w:bidi="ar-EG"/>
        </w:rPr>
        <w:t>.</w:t>
      </w:r>
    </w:p>
    <w:p w:rsidR="00FB537B" w:rsidRDefault="00120C48" w:rsidP="0072337E">
      <w:pPr>
        <w:rPr>
          <w:rtl/>
          <w:lang w:bidi="ar-EG"/>
        </w:rPr>
      </w:pPr>
      <w:r>
        <w:rPr>
          <w:rFonts w:hint="cs"/>
          <w:rtl/>
          <w:lang w:bidi="ar-EG"/>
        </w:rPr>
        <w:t xml:space="preserve">وهذه المسيرات </w:t>
      </w:r>
      <w:bookmarkStart w:id="2" w:name="_GoBack"/>
      <w:bookmarkEnd w:id="2"/>
      <w:r>
        <w:rPr>
          <w:rFonts w:hint="cs"/>
          <w:rtl/>
          <w:lang w:bidi="ar-EG"/>
        </w:rPr>
        <w:t xml:space="preserve">المتعددة المتغيرة مع الزمن قد تتسبب في مشكلات لاستقبال النظام </w:t>
      </w:r>
      <w:r>
        <w:rPr>
          <w:lang w:bidi="ar-EG"/>
        </w:rPr>
        <w:t>DVB-T</w:t>
      </w:r>
      <w:r>
        <w:rPr>
          <w:rFonts w:hint="cs"/>
          <w:rtl/>
          <w:lang w:bidi="ar-EG"/>
        </w:rPr>
        <w:t xml:space="preserve"> في الحالات المذكورة آنفاً خاصة عند الاستقبال في غير خط البصر بالنسبة </w:t>
      </w:r>
      <w:r w:rsidR="0072337E">
        <w:rPr>
          <w:rFonts w:hint="cs"/>
          <w:rtl/>
          <w:lang w:bidi="ar-EG"/>
        </w:rPr>
        <w:t>إلى ا</w:t>
      </w:r>
      <w:r>
        <w:rPr>
          <w:rFonts w:hint="cs"/>
          <w:rtl/>
          <w:lang w:bidi="ar-EG"/>
        </w:rPr>
        <w:t>لمرسل، ولكن في خط البصر بالنسبة</w:t>
      </w:r>
      <w:r w:rsidR="0072337E">
        <w:rPr>
          <w:rFonts w:hint="cs"/>
          <w:rtl/>
          <w:lang w:bidi="ar-EG"/>
        </w:rPr>
        <w:t xml:space="preserve"> إلى</w:t>
      </w:r>
      <w:r>
        <w:rPr>
          <w:rFonts w:hint="cs"/>
          <w:rtl/>
          <w:lang w:bidi="ar-EG"/>
        </w:rPr>
        <w:t xml:space="preserve"> </w:t>
      </w:r>
      <w:r w:rsidR="00A27116">
        <w:rPr>
          <w:rFonts w:hint="cs"/>
          <w:rtl/>
          <w:lang w:bidi="ar-EG"/>
        </w:rPr>
        <w:t>مزرعة التوربينات</w:t>
      </w:r>
      <w:r>
        <w:rPr>
          <w:rFonts w:hint="cs"/>
          <w:rtl/>
          <w:lang w:bidi="ar-EG"/>
        </w:rPr>
        <w:t xml:space="preserve">. </w:t>
      </w:r>
    </w:p>
    <w:p w:rsidR="00120C48" w:rsidRPr="000F312E" w:rsidRDefault="00120C48" w:rsidP="00120C48">
      <w:pPr>
        <w:rPr>
          <w:rtl/>
          <w:lang w:bidi="ar-EG"/>
        </w:rPr>
      </w:pPr>
      <w:r>
        <w:rPr>
          <w:rFonts w:hint="cs"/>
          <w:rtl/>
          <w:lang w:bidi="ar-EG"/>
        </w:rPr>
        <w:t xml:space="preserve">ويتضمن التقرير </w:t>
      </w:r>
      <w:r w:rsidRPr="004F175F">
        <w:t>ITU-R BT.2142</w:t>
      </w:r>
      <w:r>
        <w:rPr>
          <w:rFonts w:hint="cs"/>
          <w:rtl/>
          <w:lang w:bidi="ar-EG"/>
        </w:rPr>
        <w:t xml:space="preserve"> (الملحق </w:t>
      </w:r>
      <w:r>
        <w:rPr>
          <w:lang w:bidi="ar-EG"/>
        </w:rPr>
        <w:t>3</w:t>
      </w:r>
      <w:r>
        <w:rPr>
          <w:rFonts w:hint="cs"/>
          <w:rtl/>
          <w:lang w:bidi="ar-EG"/>
        </w:rPr>
        <w:t>) شرحاً وافياً لهذه المسألة.</w:t>
      </w:r>
    </w:p>
    <w:p w:rsidR="00422D17" w:rsidRPr="000F312E" w:rsidRDefault="005E066B" w:rsidP="000F312E">
      <w:pPr>
        <w:overflowPunct/>
        <w:autoSpaceDE/>
        <w:autoSpaceDN/>
        <w:bidi w:val="0"/>
        <w:adjustRightInd/>
        <w:spacing w:before="480" w:line="240" w:lineRule="auto"/>
        <w:jc w:val="center"/>
        <w:textAlignment w:val="auto"/>
        <w:rPr>
          <w:lang w:bidi="ar-EG"/>
        </w:rPr>
      </w:pPr>
      <w:r>
        <w:rPr>
          <w:rFonts w:hint="cs"/>
          <w:rtl/>
          <w:lang w:val="fr-FR"/>
        </w:rPr>
        <w:t>__________</w:t>
      </w:r>
    </w:p>
    <w:sectPr w:rsidR="00422D17" w:rsidRPr="000F312E" w:rsidSect="000F312E">
      <w:headerReference w:type="even" r:id="rId25"/>
      <w:headerReference w:type="default" r:id="rId26"/>
      <w:footerReference w:type="even" r:id="rId27"/>
      <w:footerReference w:type="default" r:id="rId28"/>
      <w:headerReference w:type="first" r:id="rId29"/>
      <w:footerReference w:type="first" r:id="rId30"/>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2098" w:rsidRDefault="004F2098">
      <w:r>
        <w:separator/>
      </w:r>
    </w:p>
  </w:endnote>
  <w:endnote w:type="continuationSeparator" w:id="0">
    <w:p w:rsidR="004F2098" w:rsidRDefault="004F20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098" w:rsidRDefault="004F209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098" w:rsidRPr="005E066B" w:rsidRDefault="004F2098"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098" w:rsidRDefault="004F2098">
    <w:pPr>
      <w:pStyle w:val="Footer"/>
    </w:pPr>
    <w:fldSimple w:instr=" FILENAME \p \* MERGEFORMAT ">
      <w:r>
        <w:t>P:\ARA\ITU-R\REC\BT\1893\POOL\1893(5-11)A.docx</w:t>
      </w:r>
    </w:fldSimple>
    <w:r>
      <w:tab/>
    </w:r>
    <w:r>
      <w:fldChar w:fldCharType="begin"/>
    </w:r>
    <w:r>
      <w:instrText xml:space="preserve"> savedate \@ dd.MM.yy </w:instrText>
    </w:r>
    <w:r>
      <w:fldChar w:fldCharType="separate"/>
    </w:r>
    <w:r>
      <w:t>11.07.11</w:t>
    </w:r>
    <w:r>
      <w:fldChar w:fldCharType="end"/>
    </w:r>
    <w:r>
      <w:tab/>
    </w:r>
    <w:r>
      <w:fldChar w:fldCharType="begin"/>
    </w:r>
    <w:r>
      <w:instrText xml:space="preserve"> printdate \@ dd.MM.yy </w:instrText>
    </w:r>
    <w:r>
      <w:fldChar w:fldCharType="separate"/>
    </w:r>
    <w:r>
      <w:t>11.07.11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2098" w:rsidRDefault="004F2098" w:rsidP="00E1601B">
      <w:pPr>
        <w:spacing w:line="240" w:lineRule="auto"/>
      </w:pPr>
      <w:r>
        <w:t>____________________</w:t>
      </w:r>
    </w:p>
  </w:footnote>
  <w:footnote w:type="continuationSeparator" w:id="0">
    <w:p w:rsidR="004F2098" w:rsidRDefault="004F2098">
      <w:r>
        <w:continuationSeparator/>
      </w:r>
    </w:p>
  </w:footnote>
  <w:footnote w:id="1">
    <w:p w:rsidR="004F2098" w:rsidRDefault="004F2098" w:rsidP="004F2098">
      <w:pPr>
        <w:pStyle w:val="FootnoteText"/>
        <w:rPr>
          <w:rtl/>
        </w:rPr>
      </w:pPr>
      <w:r>
        <w:rPr>
          <w:rStyle w:val="FootnoteReference"/>
        </w:rPr>
        <w:footnoteRef/>
      </w:r>
      <w:r>
        <w:rPr>
          <w:rtl/>
        </w:rPr>
        <w:t xml:space="preserve"> </w:t>
      </w:r>
      <w:r>
        <w:rPr>
          <w:rFonts w:hint="cs"/>
          <w:rtl/>
        </w:rPr>
        <w:tab/>
        <w:t xml:space="preserve">يفترض هذا التحليل أن أذرع التوربين الهوائي معدنية ومثلثة الشكل تقريباً. بيد أن الأذرع النمطية تكون من الزجاج </w:t>
      </w:r>
      <w:r w:rsidRPr="004F2098">
        <w:rPr>
          <w:rFonts w:hint="cs"/>
          <w:rtl/>
        </w:rPr>
        <w:t>الليفي</w:t>
      </w:r>
      <w:r>
        <w:rPr>
          <w:rFonts w:hint="cs"/>
          <w:rtl/>
        </w:rPr>
        <w:t xml:space="preserve"> عادة أو أي مواد تركيبية تؤدي إلى انتثار أقل بنحو من </w:t>
      </w:r>
      <w:r>
        <w:t>6</w:t>
      </w:r>
      <w:r>
        <w:rPr>
          <w:rFonts w:hint="cs"/>
          <w:rtl/>
        </w:rPr>
        <w:t xml:space="preserve"> إلى </w:t>
      </w:r>
      <w:r>
        <w:t>dB 10</w:t>
      </w:r>
      <w:r>
        <w:rPr>
          <w:rFonts w:hint="cs"/>
          <w:rtl/>
        </w:rPr>
        <w:t xml:space="preserve"> عن الأذرع المعدنية.</w:t>
      </w:r>
    </w:p>
  </w:footnote>
  <w:footnote w:id="2">
    <w:p w:rsidR="004F2098" w:rsidRDefault="004F2098" w:rsidP="004F131A">
      <w:pPr>
        <w:pStyle w:val="FootnoteText"/>
        <w:rPr>
          <w:rtl/>
        </w:rPr>
      </w:pPr>
      <w:r>
        <w:rPr>
          <w:rStyle w:val="FootnoteReference"/>
        </w:rPr>
        <w:footnoteRef/>
      </w:r>
      <w:r>
        <w:rPr>
          <w:rtl/>
        </w:rPr>
        <w:t xml:space="preserve"> </w:t>
      </w:r>
      <w:r>
        <w:rPr>
          <w:rFonts w:hint="cs"/>
          <w:rtl/>
        </w:rPr>
        <w:tab/>
        <w:t xml:space="preserve">أجريت عمليات الرصد هذه، حسبما ورد في التقرير </w:t>
      </w:r>
      <w:r>
        <w:t>ITU-R BT.2142</w:t>
      </w:r>
      <w:r>
        <w:rPr>
          <w:rFonts w:hint="cs"/>
          <w:rtl/>
        </w:rPr>
        <w:t xml:space="preserve"> بنظام </w:t>
      </w:r>
      <w:r>
        <w:t>DVB-T</w:t>
      </w:r>
      <w:r>
        <w:rPr>
          <w:rFonts w:hint="cs"/>
          <w:rtl/>
        </w:rPr>
        <w:t xml:space="preserve"> يستعمل التشكل </w:t>
      </w:r>
      <w:r>
        <w:t>64-QAM</w:t>
      </w:r>
      <w:r>
        <w:rPr>
          <w:rFonts w:hint="cs"/>
          <w:rtl/>
        </w:rPr>
        <w:t xml:space="preserve"> و</w:t>
      </w:r>
      <w:r>
        <w:t>8k</w:t>
      </w:r>
      <w:r>
        <w:rPr>
          <w:rFonts w:hint="cs"/>
          <w:rtl/>
        </w:rPr>
        <w:t xml:space="preserve"> ومعدل شفرة </w:t>
      </w:r>
      <w:r>
        <w:t>FEC</w:t>
      </w:r>
      <w:r w:rsidR="004F131A">
        <w:t> </w:t>
      </w:r>
      <w:r>
        <w:t>2/3</w:t>
      </w:r>
      <w:r>
        <w:rPr>
          <w:rFonts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098" w:rsidRPr="003D017C" w:rsidRDefault="004F2098"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098" w:rsidRDefault="004F2098">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098" w:rsidRPr="003D017C" w:rsidRDefault="004F2098"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098" w:rsidRPr="003D017C" w:rsidRDefault="004F2098" w:rsidP="00AE5791">
    <w:pPr>
      <w:pStyle w:val="Header"/>
      <w:tabs>
        <w:tab w:val="center" w:pos="4819"/>
      </w:tabs>
      <w:jc w:val="both"/>
      <w:rPr>
        <w:b w:val="0"/>
        <w:bCs w:val="0"/>
        <w:lang w:bidi="ar-EG"/>
      </w:rPr>
    </w:pPr>
    <w:r>
      <w:fldChar w:fldCharType="begin"/>
    </w:r>
    <w:r>
      <w:instrText xml:space="preserve"> PAGE   \* MERGEFORMAT </w:instrText>
    </w:r>
    <w:r>
      <w:fldChar w:fldCharType="separate"/>
    </w:r>
    <w:r w:rsidR="004F131A">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BT.1893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098" w:rsidRDefault="004F2098"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2</w:t>
    </w:r>
    <w:r>
      <w:rPr>
        <w:rStyle w:val="PageNumber"/>
        <w:rtl/>
      </w:rPr>
      <w:fldChar w:fldCharType="end"/>
    </w:r>
  </w:p>
  <w:p w:rsidR="004F2098" w:rsidRDefault="004F2098"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098" w:rsidRPr="005E066B" w:rsidRDefault="004F2098"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4F131A">
      <w:rPr>
        <w:rStyle w:val="PageNumber"/>
        <w:rFonts w:ascii="Times New Roman" w:hAnsi="Times New Roman" w:cs="Times New Roman"/>
        <w:noProof/>
        <w:szCs w:val="22"/>
        <w:rtl/>
      </w:rPr>
      <w:t>5</w:t>
    </w:r>
    <w:r w:rsidRPr="005E066B">
      <w:rPr>
        <w:rStyle w:val="PageNumber"/>
        <w:rFonts w:ascii="Times New Roman" w:hAnsi="Times New Roman" w:cs="Times New Roman"/>
        <w:szCs w:val="22"/>
        <w:rtl/>
      </w:rPr>
      <w:fldChar w:fldCharType="end"/>
    </w:r>
  </w:p>
  <w:p w:rsidR="004F2098" w:rsidRPr="002C0F17" w:rsidRDefault="004F2098" w:rsidP="00CB5B24">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BT.1893</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098" w:rsidRDefault="004F209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2052"/>
    <w:rsid w:val="00002849"/>
    <w:rsid w:val="00004474"/>
    <w:rsid w:val="00021035"/>
    <w:rsid w:val="00027907"/>
    <w:rsid w:val="000473FF"/>
    <w:rsid w:val="000522D1"/>
    <w:rsid w:val="00060FB0"/>
    <w:rsid w:val="00067954"/>
    <w:rsid w:val="00081122"/>
    <w:rsid w:val="00096F01"/>
    <w:rsid w:val="000A079C"/>
    <w:rsid w:val="000B30D7"/>
    <w:rsid w:val="000F312E"/>
    <w:rsid w:val="000F6D38"/>
    <w:rsid w:val="00103121"/>
    <w:rsid w:val="001048FC"/>
    <w:rsid w:val="00113EE4"/>
    <w:rsid w:val="00120C48"/>
    <w:rsid w:val="001231D6"/>
    <w:rsid w:val="00132731"/>
    <w:rsid w:val="00140B98"/>
    <w:rsid w:val="001568ED"/>
    <w:rsid w:val="001679DD"/>
    <w:rsid w:val="0017413D"/>
    <w:rsid w:val="00182385"/>
    <w:rsid w:val="00183CAB"/>
    <w:rsid w:val="00184394"/>
    <w:rsid w:val="00196389"/>
    <w:rsid w:val="00197749"/>
    <w:rsid w:val="001B03B8"/>
    <w:rsid w:val="001D2146"/>
    <w:rsid w:val="001E0B6B"/>
    <w:rsid w:val="001F23C7"/>
    <w:rsid w:val="00201143"/>
    <w:rsid w:val="002137FD"/>
    <w:rsid w:val="002144CB"/>
    <w:rsid w:val="00230502"/>
    <w:rsid w:val="00271843"/>
    <w:rsid w:val="002971E7"/>
    <w:rsid w:val="002A739C"/>
    <w:rsid w:val="002B261D"/>
    <w:rsid w:val="002C0F17"/>
    <w:rsid w:val="002C1FE8"/>
    <w:rsid w:val="002D3483"/>
    <w:rsid w:val="002E7058"/>
    <w:rsid w:val="00303491"/>
    <w:rsid w:val="00304728"/>
    <w:rsid w:val="0030719D"/>
    <w:rsid w:val="00314E5F"/>
    <w:rsid w:val="00340205"/>
    <w:rsid w:val="00380511"/>
    <w:rsid w:val="003D017C"/>
    <w:rsid w:val="003D307E"/>
    <w:rsid w:val="003D40E1"/>
    <w:rsid w:val="003F15D8"/>
    <w:rsid w:val="00402F6B"/>
    <w:rsid w:val="00422D17"/>
    <w:rsid w:val="0042647B"/>
    <w:rsid w:val="0044201D"/>
    <w:rsid w:val="004910A2"/>
    <w:rsid w:val="004B094A"/>
    <w:rsid w:val="004D79B4"/>
    <w:rsid w:val="004E1620"/>
    <w:rsid w:val="004E7D1E"/>
    <w:rsid w:val="004F131A"/>
    <w:rsid w:val="004F2098"/>
    <w:rsid w:val="00506547"/>
    <w:rsid w:val="00511801"/>
    <w:rsid w:val="00527EAF"/>
    <w:rsid w:val="0053096E"/>
    <w:rsid w:val="005514CA"/>
    <w:rsid w:val="005570BF"/>
    <w:rsid w:val="0056060A"/>
    <w:rsid w:val="005664DB"/>
    <w:rsid w:val="00577803"/>
    <w:rsid w:val="005810A0"/>
    <w:rsid w:val="00584B8F"/>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047D4"/>
    <w:rsid w:val="00667C08"/>
    <w:rsid w:val="00686ACA"/>
    <w:rsid w:val="006C4F9D"/>
    <w:rsid w:val="006D5024"/>
    <w:rsid w:val="006F0DD4"/>
    <w:rsid w:val="0072337E"/>
    <w:rsid w:val="007362CE"/>
    <w:rsid w:val="00764609"/>
    <w:rsid w:val="00794E1C"/>
    <w:rsid w:val="00796F0C"/>
    <w:rsid w:val="007B1739"/>
    <w:rsid w:val="007C58FE"/>
    <w:rsid w:val="007D7E68"/>
    <w:rsid w:val="00802B34"/>
    <w:rsid w:val="00811188"/>
    <w:rsid w:val="008113E9"/>
    <w:rsid w:val="00815E12"/>
    <w:rsid w:val="0083115C"/>
    <w:rsid w:val="00846C0D"/>
    <w:rsid w:val="008656C3"/>
    <w:rsid w:val="0087705A"/>
    <w:rsid w:val="00894394"/>
    <w:rsid w:val="008B76A0"/>
    <w:rsid w:val="008C2052"/>
    <w:rsid w:val="008C5CCB"/>
    <w:rsid w:val="008C6A66"/>
    <w:rsid w:val="008C733D"/>
    <w:rsid w:val="00904910"/>
    <w:rsid w:val="00906628"/>
    <w:rsid w:val="00912A86"/>
    <w:rsid w:val="00925FAA"/>
    <w:rsid w:val="00930F9D"/>
    <w:rsid w:val="009352F6"/>
    <w:rsid w:val="00936CB4"/>
    <w:rsid w:val="009533AE"/>
    <w:rsid w:val="0096112A"/>
    <w:rsid w:val="009643BD"/>
    <w:rsid w:val="00964A11"/>
    <w:rsid w:val="00972570"/>
    <w:rsid w:val="009845C0"/>
    <w:rsid w:val="009B1157"/>
    <w:rsid w:val="009C6655"/>
    <w:rsid w:val="00A0453F"/>
    <w:rsid w:val="00A163C1"/>
    <w:rsid w:val="00A177D7"/>
    <w:rsid w:val="00A2420C"/>
    <w:rsid w:val="00A27116"/>
    <w:rsid w:val="00A56CCF"/>
    <w:rsid w:val="00A70D90"/>
    <w:rsid w:val="00A96D62"/>
    <w:rsid w:val="00AB2BD9"/>
    <w:rsid w:val="00AE09F4"/>
    <w:rsid w:val="00AE2234"/>
    <w:rsid w:val="00AE46C8"/>
    <w:rsid w:val="00AE5791"/>
    <w:rsid w:val="00AE7C5A"/>
    <w:rsid w:val="00AF5F81"/>
    <w:rsid w:val="00AF6ABB"/>
    <w:rsid w:val="00B078F6"/>
    <w:rsid w:val="00B16E8C"/>
    <w:rsid w:val="00B22D33"/>
    <w:rsid w:val="00B244FA"/>
    <w:rsid w:val="00B452E5"/>
    <w:rsid w:val="00B473C2"/>
    <w:rsid w:val="00B87A8F"/>
    <w:rsid w:val="00B978E1"/>
    <w:rsid w:val="00BE0D0E"/>
    <w:rsid w:val="00BF3DD6"/>
    <w:rsid w:val="00C04244"/>
    <w:rsid w:val="00C1100F"/>
    <w:rsid w:val="00C2588C"/>
    <w:rsid w:val="00C46925"/>
    <w:rsid w:val="00C50B28"/>
    <w:rsid w:val="00C53F27"/>
    <w:rsid w:val="00C71576"/>
    <w:rsid w:val="00C93F89"/>
    <w:rsid w:val="00C94B6E"/>
    <w:rsid w:val="00CB0789"/>
    <w:rsid w:val="00CB4BE8"/>
    <w:rsid w:val="00CB5B24"/>
    <w:rsid w:val="00CC48AA"/>
    <w:rsid w:val="00CC6EA6"/>
    <w:rsid w:val="00CD71D4"/>
    <w:rsid w:val="00CF545E"/>
    <w:rsid w:val="00CF73A8"/>
    <w:rsid w:val="00D2107D"/>
    <w:rsid w:val="00D23D39"/>
    <w:rsid w:val="00D30FE6"/>
    <w:rsid w:val="00D34703"/>
    <w:rsid w:val="00D85FA6"/>
    <w:rsid w:val="00D915C4"/>
    <w:rsid w:val="00DA348F"/>
    <w:rsid w:val="00DB3D2A"/>
    <w:rsid w:val="00DC7E91"/>
    <w:rsid w:val="00DD670F"/>
    <w:rsid w:val="00DF4E37"/>
    <w:rsid w:val="00E103BB"/>
    <w:rsid w:val="00E12EB0"/>
    <w:rsid w:val="00E1601B"/>
    <w:rsid w:val="00E3032C"/>
    <w:rsid w:val="00E45AFF"/>
    <w:rsid w:val="00E577A6"/>
    <w:rsid w:val="00E6418C"/>
    <w:rsid w:val="00E650A3"/>
    <w:rsid w:val="00E736B4"/>
    <w:rsid w:val="00E9048A"/>
    <w:rsid w:val="00E964C9"/>
    <w:rsid w:val="00EC2BCA"/>
    <w:rsid w:val="00EF0744"/>
    <w:rsid w:val="00EF7CB5"/>
    <w:rsid w:val="00F22C87"/>
    <w:rsid w:val="00F3359B"/>
    <w:rsid w:val="00F40BC5"/>
    <w:rsid w:val="00F542FF"/>
    <w:rsid w:val="00F615CE"/>
    <w:rsid w:val="00F82FD6"/>
    <w:rsid w:val="00F95755"/>
    <w:rsid w:val="00FA3938"/>
    <w:rsid w:val="00FB537B"/>
    <w:rsid w:val="00FF1B80"/>
    <w:rsid w:val="00FF40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link w:val="EquationChar"/>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4F131A"/>
    <w:rPr>
      <w:rFonts w:cs="Times New Roman"/>
      <w:position w:val="2"/>
      <w:sz w:val="24"/>
      <w:szCs w:val="24"/>
      <w:vertAlign w:val="superscript"/>
    </w:rPr>
  </w:style>
  <w:style w:type="paragraph" w:styleId="FootnoteText">
    <w:name w:val="footnote text"/>
    <w:basedOn w:val="Note"/>
    <w:rsid w:val="004F2098"/>
    <w:pPr>
      <w:keepLines/>
      <w:tabs>
        <w:tab w:val="left" w:pos="255"/>
      </w:tabs>
      <w:spacing w:before="60" w:line="180" w:lineRule="auto"/>
      <w:ind w:left="255" w:hanging="255"/>
    </w:pPr>
    <w:rPr>
      <w:lang w:bidi="ar-EG"/>
    </w:r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character" w:customStyle="1" w:styleId="EquationChar">
    <w:name w:val="Equation Char"/>
    <w:basedOn w:val="DefaultParagraphFont"/>
    <w:link w:val="Equation"/>
    <w:rsid w:val="00184394"/>
    <w:rPr>
      <w:rFonts w:ascii="Times New Roman" w:hAnsi="Times New Roman" w:cs="Traditional Arabic"/>
      <w:sz w:val="22"/>
      <w:szCs w:val="30"/>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link w:val="EquationChar"/>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4F131A"/>
    <w:rPr>
      <w:rFonts w:cs="Times New Roman"/>
      <w:position w:val="2"/>
      <w:sz w:val="24"/>
      <w:szCs w:val="24"/>
      <w:vertAlign w:val="superscript"/>
    </w:rPr>
  </w:style>
  <w:style w:type="paragraph" w:styleId="FootnoteText">
    <w:name w:val="footnote text"/>
    <w:basedOn w:val="Note"/>
    <w:rsid w:val="004F2098"/>
    <w:pPr>
      <w:keepLines/>
      <w:tabs>
        <w:tab w:val="left" w:pos="255"/>
      </w:tabs>
      <w:spacing w:before="60" w:line="180" w:lineRule="auto"/>
      <w:ind w:left="255" w:hanging="255"/>
    </w:pPr>
    <w:rPr>
      <w:lang w:bidi="ar-EG"/>
    </w:r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character" w:customStyle="1" w:styleId="EquationChar">
    <w:name w:val="Equation Char"/>
    <w:basedOn w:val="DefaultParagraphFont"/>
    <w:link w:val="Equation"/>
    <w:rsid w:val="00184394"/>
    <w:rPr>
      <w:rFonts w:ascii="Times New Roman" w:hAnsi="Times New Roman" w:cs="Traditional Arabic"/>
      <w:sz w:val="22"/>
      <w:szCs w:val="3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3.wmf"/><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image" Target="media/image6.emf"/><Relationship Id="rId28" Type="http://schemas.openxmlformats.org/officeDocument/2006/relationships/footer" Target="footer2.xml"/><Relationship Id="rId10" Type="http://schemas.openxmlformats.org/officeDocument/2006/relationships/header" Target="header2.xml"/><Relationship Id="rId19" Type="http://schemas.openxmlformats.org/officeDocument/2006/relationships/image" Target="media/image4.wmf"/><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nafikh\Desktop\&#1578;&#1610;&#1605;&#1576;&#1604;&#1575;&#1578;\ITU-R_Rec-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26CA11-863B-49C5-8AF0-22B283C4F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ITU-R_Rec-A.dotx</Template>
  <TotalTime>1</TotalTime>
  <Pages>7</Pages>
  <Words>1506</Words>
  <Characters>8180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9667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Manafikhi, Muwafaq</dc:creator>
  <cp:lastModifiedBy>El Wardany, Samy</cp:lastModifiedBy>
  <cp:revision>2</cp:revision>
  <cp:lastPrinted>2011-07-11T17:01:00Z</cp:lastPrinted>
  <dcterms:created xsi:type="dcterms:W3CDTF">2011-07-12T12:36:00Z</dcterms:created>
  <dcterms:modified xsi:type="dcterms:W3CDTF">2011-07-12T12:36:00Z</dcterms:modified>
</cp:coreProperties>
</file>