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FF2FBF"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FF2FB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FF2FBF">
              <w:rPr>
                <w:rFonts w:ascii="Tahoma" w:hAnsi="Tahoma" w:cs="Tahoma"/>
                <w:b/>
                <w:bCs/>
                <w:iCs/>
                <w:color w:val="243285"/>
                <w:sz w:val="36"/>
                <w:szCs w:val="36"/>
                <w:lang w:val="es-ES_tradnl"/>
              </w:rPr>
              <w:t>1889</w:t>
            </w:r>
          </w:p>
          <w:p w:rsidR="00227CED" w:rsidRPr="0010336F" w:rsidRDefault="00227CED" w:rsidP="00FF2FB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9E1F8B">
              <w:rPr>
                <w:rFonts w:ascii="Tahoma" w:hAnsi="Tahoma" w:cs="Tahoma"/>
                <w:b/>
                <w:bCs/>
                <w:iCs/>
                <w:color w:val="243285"/>
                <w:szCs w:val="24"/>
                <w:lang w:val="es-ES_tradnl"/>
              </w:rPr>
              <w:t>0</w:t>
            </w:r>
            <w:r w:rsidR="00FF2FBF">
              <w:rPr>
                <w:rFonts w:ascii="Tahoma" w:hAnsi="Tahoma" w:cs="Tahoma"/>
                <w:b/>
                <w:bCs/>
                <w:iCs/>
                <w:color w:val="243285"/>
                <w:szCs w:val="24"/>
                <w:lang w:val="es-ES_tradnl"/>
              </w:rPr>
              <w:t>3</w:t>
            </w:r>
            <w:r w:rsidRPr="0010336F">
              <w:rPr>
                <w:rFonts w:ascii="Tahoma" w:hAnsi="Tahoma" w:cs="Tahoma"/>
                <w:b/>
                <w:bCs/>
                <w:iCs/>
                <w:color w:val="243285"/>
                <w:szCs w:val="24"/>
                <w:lang w:val="es-ES_tradnl"/>
              </w:rPr>
              <w:t>/</w:t>
            </w:r>
            <w:r w:rsidR="00FF2FBF">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227CED" w:rsidRPr="00FF2FBF"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FF2FBF" w:rsidP="00B665D6">
            <w:pPr>
              <w:spacing w:before="80" w:line="500" w:lineRule="exact"/>
              <w:jc w:val="right"/>
              <w:rPr>
                <w:rFonts w:ascii="Tahoma" w:hAnsi="Tahoma" w:cs="Tahoma"/>
                <w:b/>
                <w:bCs/>
                <w:color w:val="243285"/>
                <w:sz w:val="44"/>
                <w:szCs w:val="44"/>
                <w:lang w:val="es-ES_tradnl"/>
              </w:rPr>
            </w:pPr>
            <w:r>
              <w:rPr>
                <w:rFonts w:ascii="Tahoma" w:hAnsi="Tahoma" w:cs="Tahoma"/>
                <w:b/>
                <w:bCs/>
                <w:color w:val="333399"/>
                <w:sz w:val="44"/>
                <w:szCs w:val="44"/>
                <w:lang w:val="es-ES"/>
              </w:rPr>
              <w:t>Entorno de aplicación común para</w:t>
            </w:r>
            <w:r w:rsidR="00B665D6">
              <w:rPr>
                <w:rFonts w:ascii="Tahoma" w:hAnsi="Tahoma" w:cs="Tahoma"/>
                <w:b/>
                <w:bCs/>
                <w:color w:val="333399"/>
                <w:sz w:val="44"/>
                <w:szCs w:val="44"/>
                <w:lang w:val="es-ES"/>
              </w:rPr>
              <w:br/>
            </w:r>
            <w:r>
              <w:rPr>
                <w:rFonts w:ascii="Tahoma" w:hAnsi="Tahoma" w:cs="Tahoma"/>
                <w:b/>
                <w:bCs/>
                <w:color w:val="333399"/>
                <w:sz w:val="44"/>
                <w:szCs w:val="44"/>
                <w:lang w:val="es-ES"/>
              </w:rPr>
              <w:t>servicios de radiodifusión</w:t>
            </w:r>
            <w:r w:rsidR="00B665D6">
              <w:rPr>
                <w:rFonts w:ascii="Tahoma" w:hAnsi="Tahoma" w:cs="Tahoma"/>
                <w:b/>
                <w:bCs/>
                <w:color w:val="333399"/>
                <w:sz w:val="44"/>
                <w:szCs w:val="44"/>
                <w:lang w:val="es-ES"/>
              </w:rPr>
              <w:br/>
            </w:r>
            <w:r>
              <w:rPr>
                <w:rFonts w:ascii="Tahoma" w:hAnsi="Tahoma" w:cs="Tahoma"/>
                <w:b/>
                <w:bCs/>
                <w:color w:val="333399"/>
                <w:sz w:val="44"/>
                <w:szCs w:val="44"/>
                <w:lang w:val="es-ES"/>
              </w:rPr>
              <w:t>digital interactivos</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FF2FBF"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9E1F8B">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8"/>
          <w:headerReference w:type="default" r:id="rId9"/>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27CED" w:rsidRPr="00FF2FBF"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1" w:history="1">
              <w:hyperlink r:id="rId12"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FF2FBF"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FF2FBF"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FF2FBF"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27CED" w:rsidRPr="00FF2FBF"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FF2FBF"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FF2FBF"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27CED" w:rsidRPr="00FF2FBF" w:rsidTr="009E1F8B">
        <w:tc>
          <w:tcPr>
            <w:tcW w:w="9360" w:type="dxa"/>
          </w:tcPr>
          <w:p w:rsidR="00227CED" w:rsidRPr="00763D08" w:rsidRDefault="00227CED" w:rsidP="009E1F8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954D24">
      <w:pPr>
        <w:spacing w:before="0" w:after="40"/>
        <w:jc w:val="right"/>
        <w:rPr>
          <w:sz w:val="20"/>
          <w:lang w:val="es-ES_tradnl"/>
        </w:rPr>
      </w:pPr>
      <w:r w:rsidRPr="00763D08">
        <w:rPr>
          <w:sz w:val="20"/>
          <w:lang w:val="es-ES_tradnl"/>
        </w:rPr>
        <w:t>Ginebra, 20</w:t>
      </w:r>
      <w:r w:rsidR="00930489">
        <w:rPr>
          <w:sz w:val="20"/>
          <w:lang w:val="es-ES_tradnl"/>
        </w:rPr>
        <w:t>1</w:t>
      </w:r>
      <w:r w:rsidR="00954D24">
        <w:rPr>
          <w:sz w:val="20"/>
          <w:lang w:val="es-ES_tradnl"/>
        </w:rPr>
        <w:t>1</w:t>
      </w:r>
    </w:p>
    <w:p w:rsidR="00227CED" w:rsidRPr="00763D08" w:rsidRDefault="00227CED" w:rsidP="009E1F8B">
      <w:pPr>
        <w:spacing w:before="0"/>
        <w:jc w:val="center"/>
        <w:rPr>
          <w:sz w:val="22"/>
          <w:lang w:val="es-ES_tradnl"/>
        </w:rPr>
      </w:pPr>
    </w:p>
    <w:p w:rsidR="00227CED" w:rsidRPr="00763D08" w:rsidRDefault="00227CED" w:rsidP="00954D2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954D24">
        <w:rPr>
          <w:sz w:val="20"/>
          <w:lang w:val="es-ES_tradnl"/>
        </w:rPr>
        <w:t>1</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3"/>
          <w:headerReference w:type="default" r:id="rId14"/>
          <w:pgSz w:w="11907" w:h="16834" w:code="9"/>
          <w:pgMar w:top="1418" w:right="1134" w:bottom="1134" w:left="1134" w:header="720" w:footer="482" w:gutter="0"/>
          <w:pgNumType w:fmt="lowerRoman" w:start="2"/>
          <w:cols w:space="720"/>
        </w:sectPr>
      </w:pPr>
    </w:p>
    <w:p w:rsidR="00F77F28" w:rsidRDefault="00FF2FBF" w:rsidP="00FF2FBF">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BT.1889</w:t>
      </w:r>
      <w:r>
        <w:rPr>
          <w:rStyle w:val="FootnoteReference"/>
          <w:lang w:val="es-ES_tradnl"/>
        </w:rPr>
        <w:footnoteReference w:id="1"/>
      </w:r>
    </w:p>
    <w:p w:rsidR="00FF2FBF" w:rsidRDefault="00FF2FBF" w:rsidP="00FF2FBF">
      <w:pPr>
        <w:pStyle w:val="Rectitle"/>
        <w:rPr>
          <w:lang w:val="es-ES"/>
        </w:rPr>
      </w:pPr>
      <w:r>
        <w:rPr>
          <w:lang w:val="es-ES"/>
        </w:rPr>
        <w:t>Entorno de aplicación común para servicios</w:t>
      </w:r>
      <w:r>
        <w:rPr>
          <w:lang w:val="es-ES"/>
        </w:rPr>
        <w:br/>
        <w:t>de radiodifusión interactivos</w:t>
      </w:r>
    </w:p>
    <w:p w:rsidR="00FF2FBF" w:rsidRPr="00E64B15" w:rsidRDefault="00FF2FBF" w:rsidP="00FF2FBF">
      <w:pPr>
        <w:pStyle w:val="Recref"/>
        <w:rPr>
          <w:lang w:val="es-ES"/>
        </w:rPr>
      </w:pPr>
      <w:r>
        <w:rPr>
          <w:lang w:val="es-ES"/>
        </w:rPr>
        <w:t>(Cuestión UIT-R 131/6)</w:t>
      </w:r>
    </w:p>
    <w:p w:rsidR="008D196B" w:rsidRDefault="008D196B" w:rsidP="00FF2FBF">
      <w:pPr>
        <w:pStyle w:val="Recdate"/>
        <w:rPr>
          <w:lang w:val="es-ES"/>
        </w:rPr>
      </w:pPr>
    </w:p>
    <w:p w:rsidR="00FF2FBF" w:rsidRPr="008F4C85" w:rsidRDefault="00FF2FBF" w:rsidP="00FF2FBF">
      <w:pPr>
        <w:pStyle w:val="Recdate"/>
        <w:rPr>
          <w:lang w:val="es-ES"/>
        </w:rPr>
      </w:pPr>
      <w:r w:rsidRPr="008F4C85">
        <w:rPr>
          <w:lang w:val="es-ES"/>
        </w:rPr>
        <w:t>(201</w:t>
      </w:r>
      <w:r>
        <w:rPr>
          <w:lang w:val="es-ES"/>
        </w:rPr>
        <w:t>1</w:t>
      </w:r>
      <w:r w:rsidRPr="008F4C85">
        <w:rPr>
          <w:lang w:val="es-ES"/>
        </w:rPr>
        <w:t>)</w:t>
      </w:r>
    </w:p>
    <w:p w:rsidR="00FF2FBF" w:rsidRPr="00564D3B" w:rsidRDefault="00564D3B" w:rsidP="00564D3B">
      <w:pPr>
        <w:pStyle w:val="HeadingSum"/>
        <w:rPr>
          <w:sz w:val="24"/>
          <w:lang w:val="es-ES"/>
        </w:rPr>
      </w:pPr>
      <w:r w:rsidRPr="00564D3B">
        <w:rPr>
          <w:sz w:val="24"/>
          <w:lang w:val="es-ES"/>
        </w:rPr>
        <w:t>Cometido</w:t>
      </w:r>
    </w:p>
    <w:p w:rsidR="00FF2FBF" w:rsidRPr="00564D3B" w:rsidRDefault="00FF2FBF" w:rsidP="00564D3B">
      <w:pPr>
        <w:pStyle w:val="Summary"/>
        <w:rPr>
          <w:sz w:val="24"/>
          <w:szCs w:val="24"/>
          <w:lang w:val="es-ES"/>
        </w:rPr>
      </w:pPr>
      <w:r w:rsidRPr="00564D3B">
        <w:rPr>
          <w:sz w:val="24"/>
          <w:lang w:val="es-ES"/>
        </w:rPr>
        <w:t>La presente Recomendación especifica un entorno de aplicación común utilizado para servicios de radiodifusión digital interactivos.</w:t>
      </w:r>
    </w:p>
    <w:p w:rsidR="00FF2FBF" w:rsidRPr="008F4C85" w:rsidRDefault="00FF2FBF" w:rsidP="00564D3B">
      <w:pPr>
        <w:pStyle w:val="Normalaftertitle"/>
        <w:rPr>
          <w:lang w:val="es-ES"/>
        </w:rPr>
      </w:pPr>
      <w:r w:rsidRPr="008F4C85">
        <w:rPr>
          <w:lang w:val="es-ES"/>
        </w:rPr>
        <w:t>La Asamblea de Radiocomunicaciones de la UIT,</w:t>
      </w:r>
    </w:p>
    <w:p w:rsidR="00FF2FBF" w:rsidRPr="008F4C85" w:rsidRDefault="00FF2FBF" w:rsidP="00564D3B">
      <w:pPr>
        <w:pStyle w:val="Call"/>
        <w:rPr>
          <w:lang w:val="es-ES"/>
        </w:rPr>
      </w:pPr>
      <w:r w:rsidRPr="008F4C85">
        <w:rPr>
          <w:lang w:val="es-ES"/>
        </w:rPr>
        <w:t>considerando</w:t>
      </w:r>
    </w:p>
    <w:p w:rsidR="00FF2FBF" w:rsidRDefault="00FF2FBF" w:rsidP="00564D3B">
      <w:pPr>
        <w:rPr>
          <w:lang w:val="es-ES_tradnl"/>
        </w:rPr>
      </w:pPr>
      <w:r>
        <w:rPr>
          <w:lang w:val="es-ES_tradnl"/>
        </w:rPr>
        <w:t>a)</w:t>
      </w:r>
      <w:r>
        <w:rPr>
          <w:lang w:val="es-ES_tradnl"/>
        </w:rPr>
        <w:tab/>
        <w:t>la necesidad de evitar la proliferación de protocolos para los servicios multimedios interactivos;</w:t>
      </w:r>
    </w:p>
    <w:p w:rsidR="00FF2FBF" w:rsidRDefault="00FF2FBF" w:rsidP="00564D3B">
      <w:pPr>
        <w:rPr>
          <w:lang w:val="es-ES_tradnl"/>
        </w:rPr>
      </w:pPr>
      <w:r>
        <w:rPr>
          <w:lang w:val="es-ES_tradnl"/>
        </w:rPr>
        <w:t>b)</w:t>
      </w:r>
      <w:r>
        <w:rPr>
          <w:lang w:val="es-ES_tradnl"/>
        </w:rPr>
        <w:tab/>
        <w:t>que cada vez es mayor la disponibilidad de servicios de radiodifusión digital (por satélite, terrenales y por cable) y que estos servicios ofrecen aplicaciones multimedios;</w:t>
      </w:r>
    </w:p>
    <w:p w:rsidR="00FF2FBF" w:rsidRDefault="00FF2FBF" w:rsidP="00564D3B">
      <w:pPr>
        <w:rPr>
          <w:lang w:val="es-ES_tradnl"/>
        </w:rPr>
      </w:pPr>
      <w:r>
        <w:rPr>
          <w:lang w:val="es-ES_tradnl"/>
        </w:rPr>
        <w:t>c)</w:t>
      </w:r>
      <w:r>
        <w:rPr>
          <w:lang w:val="es-ES_tradnl"/>
        </w:rPr>
        <w:tab/>
        <w:t>que se han desarrollado aplicaciones multimedios que comprenden vídeo, audio, imágenes fijas, texto, gráficos, etc., asociadas con características interactivas;</w:t>
      </w:r>
    </w:p>
    <w:p w:rsidR="00FF2FBF" w:rsidRDefault="00FF2FBF" w:rsidP="00564D3B">
      <w:pPr>
        <w:rPr>
          <w:lang w:val="es-ES_tradnl"/>
        </w:rPr>
      </w:pPr>
      <w:r>
        <w:rPr>
          <w:lang w:val="es-ES_tradnl"/>
        </w:rPr>
        <w:t>d)</w:t>
      </w:r>
      <w:r>
        <w:rPr>
          <w:lang w:val="es-ES_tradnl"/>
        </w:rPr>
        <w:tab/>
        <w:t>que las aplicaciones multimedios planificadas o instaladas en algunas regiones están utilizando un entorno de aplicación ejecutable como el descrito en la Recomendación UIT</w:t>
      </w:r>
      <w:r w:rsidR="00564D3B">
        <w:rPr>
          <w:lang w:val="es-ES_tradnl"/>
        </w:rPr>
        <w:noBreakHyphen/>
      </w:r>
      <w:r>
        <w:rPr>
          <w:lang w:val="es-ES_tradnl"/>
        </w:rPr>
        <w:t>R</w:t>
      </w:r>
      <w:r w:rsidR="00564D3B">
        <w:rPr>
          <w:lang w:val="es-ES_tradnl"/>
        </w:rPr>
        <w:t> </w:t>
      </w:r>
      <w:r>
        <w:rPr>
          <w:lang w:val="es-ES_tradnl"/>
        </w:rPr>
        <w:t>BT.1722;</w:t>
      </w:r>
    </w:p>
    <w:p w:rsidR="00FF2FBF" w:rsidRDefault="00FF2FBF" w:rsidP="00564D3B">
      <w:pPr>
        <w:rPr>
          <w:lang w:val="es-ES_tradnl"/>
        </w:rPr>
      </w:pPr>
      <w:r>
        <w:rPr>
          <w:lang w:val="es-ES_tradnl"/>
        </w:rPr>
        <w:t>e)</w:t>
      </w:r>
      <w:r>
        <w:rPr>
          <w:lang w:val="es-ES_tradnl"/>
        </w:rPr>
        <w:tab/>
        <w:t>que las aplicaciones multimedios planificadas o instaladas en algunas regiones están utilizando el entorno de aplicación declarativa descrito en la Recomendación UIT-R BT.1699</w:t>
      </w:r>
      <w:r w:rsidR="00CC6087">
        <w:rPr>
          <w:lang w:val="es-ES_tradnl"/>
        </w:rPr>
        <w:t>;</w:t>
      </w:r>
    </w:p>
    <w:p w:rsidR="00FF2FBF" w:rsidRDefault="00FF2FBF" w:rsidP="00564D3B">
      <w:pPr>
        <w:rPr>
          <w:lang w:val="es-ES_tradnl"/>
        </w:rPr>
      </w:pPr>
      <w:r>
        <w:rPr>
          <w:lang w:val="es-ES_tradnl"/>
        </w:rPr>
        <w:t>f)</w:t>
      </w:r>
      <w:r>
        <w:rPr>
          <w:lang w:val="es-ES_tradnl"/>
        </w:rPr>
        <w:tab/>
        <w:t>que la Recomendación UIT-R J.200 define el núcleo común a escala mundial del entorno de aplicación de los servicios de televisión interactiva digital;</w:t>
      </w:r>
    </w:p>
    <w:p w:rsidR="00FF2FBF" w:rsidRDefault="00FF2FBF" w:rsidP="00564D3B">
      <w:pPr>
        <w:rPr>
          <w:lang w:val="es-ES_tradnl"/>
        </w:rPr>
      </w:pPr>
      <w:r>
        <w:rPr>
          <w:lang w:val="es-ES_tradnl"/>
        </w:rPr>
        <w:t>g)</w:t>
      </w:r>
      <w:r>
        <w:rPr>
          <w:lang w:val="es-ES_tradnl"/>
        </w:rPr>
        <w:tab/>
        <w:t>que el UIT-R y el UIT-T están continuamente elaborando y revisando las interfaces de programación de aplicaciones (API);</w:t>
      </w:r>
    </w:p>
    <w:p w:rsidR="00FF2FBF" w:rsidRDefault="00FF2FBF" w:rsidP="00564D3B">
      <w:pPr>
        <w:rPr>
          <w:lang w:val="es-ES_tradnl"/>
        </w:rPr>
      </w:pPr>
      <w:r>
        <w:rPr>
          <w:lang w:val="es-ES_tradnl"/>
        </w:rPr>
        <w:t>h)</w:t>
      </w:r>
      <w:r>
        <w:rPr>
          <w:lang w:val="es-ES_tradnl"/>
        </w:rPr>
        <w:tab/>
        <w:t>que para la producción y el intercambio internacional de contenidos multimedios es conveniente tener un entorno de aplicación común para aplicaciones de TV interactiva,</w:t>
      </w:r>
    </w:p>
    <w:p w:rsidR="00FF2FBF" w:rsidRPr="008F4C85" w:rsidRDefault="00FF2FBF" w:rsidP="00564D3B">
      <w:pPr>
        <w:pStyle w:val="Call"/>
        <w:rPr>
          <w:lang w:val="es-ES"/>
        </w:rPr>
      </w:pPr>
      <w:r w:rsidRPr="008F4C85">
        <w:rPr>
          <w:lang w:val="es-ES"/>
        </w:rPr>
        <w:t>recomienda</w:t>
      </w:r>
    </w:p>
    <w:p w:rsidR="00FF2FBF" w:rsidRDefault="00FF2FBF" w:rsidP="00564D3B">
      <w:pPr>
        <w:rPr>
          <w:lang w:val="es-ES_tradnl"/>
        </w:rPr>
      </w:pPr>
      <w:r w:rsidRPr="008F4C85">
        <w:rPr>
          <w:b/>
          <w:lang w:val="es-ES"/>
        </w:rPr>
        <w:t>1</w:t>
      </w:r>
      <w:r w:rsidRPr="008F4C85">
        <w:rPr>
          <w:lang w:val="es-ES"/>
        </w:rPr>
        <w:tab/>
      </w:r>
      <w:r>
        <w:rPr>
          <w:lang w:val="es-ES_tradnl"/>
        </w:rPr>
        <w:t>que se utilice la Recomendación UIT-T J.200 como el entorno de aplicación para los servicios de radiodifusión digital interactiva.</w:t>
      </w:r>
    </w:p>
    <w:p w:rsidR="00FF2FBF" w:rsidRDefault="00FF2FBF" w:rsidP="00564D3B">
      <w:pPr>
        <w:rPr>
          <w:lang w:val="es-ES_tradnl"/>
        </w:rPr>
      </w:pPr>
      <w:r>
        <w:rPr>
          <w:lang w:val="es-ES_tradnl"/>
        </w:rPr>
        <w:t>NOTA</w:t>
      </w:r>
      <w:r w:rsidR="00564D3B">
        <w:rPr>
          <w:lang w:val="es-ES_tradnl"/>
        </w:rPr>
        <w:t> </w:t>
      </w:r>
      <w:r>
        <w:rPr>
          <w:lang w:val="es-ES_tradnl"/>
        </w:rPr>
        <w:t>1</w:t>
      </w:r>
      <w:r w:rsidR="00564D3B">
        <w:rPr>
          <w:lang w:val="es-ES_tradnl"/>
        </w:rPr>
        <w:t> </w:t>
      </w:r>
      <w:r>
        <w:rPr>
          <w:lang w:val="es-ES_tradnl"/>
        </w:rPr>
        <w:t>–</w:t>
      </w:r>
      <w:r w:rsidR="00564D3B">
        <w:rPr>
          <w:lang w:val="es-ES_tradnl"/>
        </w:rPr>
        <w:t> </w:t>
      </w:r>
      <w:r>
        <w:rPr>
          <w:lang w:val="es-ES_tradnl"/>
        </w:rPr>
        <w:t>El Apéndice de esta Recomendación resume la Recomendación UIT-T J.200 a título informativo.</w:t>
      </w:r>
    </w:p>
    <w:p w:rsidR="00FF2FBF" w:rsidRDefault="00FF2FBF" w:rsidP="00564D3B">
      <w:pPr>
        <w:rPr>
          <w:lang w:val="es-ES"/>
        </w:rPr>
      </w:pPr>
      <w:r>
        <w:rPr>
          <w:lang w:val="es-ES"/>
        </w:rPr>
        <w:br w:type="page"/>
      </w:r>
    </w:p>
    <w:p w:rsidR="00FF2FBF" w:rsidRDefault="00FF2FBF" w:rsidP="00FF2FBF">
      <w:pPr>
        <w:pStyle w:val="AppendixNoTitle"/>
        <w:rPr>
          <w:lang w:val="es-ES_tradnl"/>
        </w:rPr>
      </w:pPr>
      <w:r>
        <w:rPr>
          <w:lang w:val="es-ES_tradnl"/>
        </w:rPr>
        <w:lastRenderedPageBreak/>
        <w:t>Apéndice</w:t>
      </w:r>
      <w:r>
        <w:rPr>
          <w:lang w:val="es-ES_tradnl"/>
        </w:rPr>
        <w:br/>
        <w:t>(Informativo)</w:t>
      </w:r>
      <w:r>
        <w:rPr>
          <w:lang w:val="es-ES_tradnl"/>
        </w:rPr>
        <w:br/>
      </w:r>
      <w:r>
        <w:rPr>
          <w:lang w:val="es-ES_tradnl"/>
        </w:rPr>
        <w:br/>
        <w:t>Resumen de la Recomendación UIT-T J.200</w:t>
      </w:r>
    </w:p>
    <w:p w:rsidR="00FF2FBF" w:rsidRDefault="00FF2FBF" w:rsidP="00FF2FBF">
      <w:pPr>
        <w:pStyle w:val="Heading1"/>
        <w:rPr>
          <w:lang w:val="es-ES_tradnl"/>
        </w:rPr>
      </w:pPr>
      <w:r>
        <w:rPr>
          <w:lang w:val="es-ES_tradnl"/>
        </w:rPr>
        <w:t>1</w:t>
      </w:r>
      <w:r>
        <w:rPr>
          <w:lang w:val="es-ES_tradnl"/>
        </w:rPr>
        <w:tab/>
        <w:t>Consideraciones generales</w:t>
      </w:r>
    </w:p>
    <w:p w:rsidR="00FF2FBF" w:rsidRDefault="00FF2FBF" w:rsidP="00564D3B">
      <w:pPr>
        <w:rPr>
          <w:lang w:val="es-ES_tradnl"/>
        </w:rPr>
      </w:pPr>
      <w:r>
        <w:rPr>
          <w:lang w:val="es-ES_tradnl"/>
        </w:rPr>
        <w:t xml:space="preserve">La Recomendación UIT-T J.200 – Núcleo común a escala mundial </w:t>
      </w:r>
      <w:r w:rsidRPr="00B30ECE">
        <w:rPr>
          <w:lang w:val="es-ES_tradnl"/>
        </w:rPr>
        <w:t>–</w:t>
      </w:r>
      <w:r>
        <w:rPr>
          <w:lang w:val="es-ES_tradnl"/>
        </w:rPr>
        <w:t xml:space="preserve"> Entorno de aplicación de los servicios de televisión interactiva digital, presenta la arquitectura básica del entorno, la estructura de la máquina de ejecución y la estructura de la máquina de presentación.</w:t>
      </w:r>
    </w:p>
    <w:p w:rsidR="00FF2FBF" w:rsidRDefault="00FF2FBF" w:rsidP="00564D3B">
      <w:pPr>
        <w:pStyle w:val="Heading1"/>
        <w:rPr>
          <w:lang w:val="es-ES_tradnl"/>
        </w:rPr>
      </w:pPr>
      <w:r>
        <w:rPr>
          <w:lang w:val="es-ES_tradnl"/>
        </w:rPr>
        <w:t>2</w:t>
      </w:r>
      <w:r>
        <w:rPr>
          <w:lang w:val="es-ES_tradnl"/>
        </w:rPr>
        <w:tab/>
        <w:t>Abreviaturas</w:t>
      </w:r>
    </w:p>
    <w:p w:rsidR="00FF2FBF" w:rsidRDefault="00FF2FBF" w:rsidP="00564D3B">
      <w:pPr>
        <w:rPr>
          <w:lang w:val="es-ES_tradnl"/>
        </w:rPr>
      </w:pPr>
      <w:r>
        <w:rPr>
          <w:lang w:val="es-ES_tradnl"/>
        </w:rPr>
        <w:t>API</w:t>
      </w:r>
      <w:r>
        <w:rPr>
          <w:lang w:val="es-ES_tradnl"/>
        </w:rPr>
        <w:tab/>
      </w:r>
      <w:r>
        <w:rPr>
          <w:lang w:val="es-ES_tradnl"/>
        </w:rPr>
        <w:tab/>
        <w:t>Interfaz de programación de aplicaciones (</w:t>
      </w:r>
      <w:r w:rsidRPr="00EC103F">
        <w:rPr>
          <w:i/>
          <w:iCs/>
          <w:lang w:val="es-ES_tradnl" w:eastAsia="ja-JP"/>
        </w:rPr>
        <w:t>application programming interface</w:t>
      </w:r>
      <w:r>
        <w:rPr>
          <w:lang w:val="es-ES_tradnl"/>
        </w:rPr>
        <w:t>)</w:t>
      </w:r>
    </w:p>
    <w:p w:rsidR="00FF2FBF" w:rsidRDefault="00FF2FBF" w:rsidP="00564D3B">
      <w:pPr>
        <w:rPr>
          <w:lang w:val="es-ES_tradnl"/>
        </w:rPr>
      </w:pPr>
      <w:r>
        <w:rPr>
          <w:lang w:val="es-ES_tradnl"/>
        </w:rPr>
        <w:t>BML</w:t>
      </w:r>
      <w:r>
        <w:rPr>
          <w:lang w:val="es-ES_tradnl"/>
        </w:rPr>
        <w:tab/>
      </w:r>
      <w:r>
        <w:rPr>
          <w:lang w:val="es-ES_tradnl"/>
        </w:rPr>
        <w:tab/>
        <w:t>Lenguaje de marcaje para teledifusión (</w:t>
      </w:r>
      <w:r w:rsidRPr="00EC103F">
        <w:rPr>
          <w:i/>
          <w:iCs/>
          <w:lang w:val="es-ES_tradnl" w:eastAsia="ja-JP"/>
        </w:rPr>
        <w:t>broadcast markup language</w:t>
      </w:r>
      <w:r>
        <w:rPr>
          <w:lang w:val="es-ES_tradnl"/>
        </w:rPr>
        <w:t>)</w:t>
      </w:r>
    </w:p>
    <w:p w:rsidR="00FF2FBF" w:rsidRDefault="00FF2FBF" w:rsidP="00564D3B">
      <w:pPr>
        <w:rPr>
          <w:lang w:val="es-ES_tradnl"/>
        </w:rPr>
      </w:pPr>
      <w:r>
        <w:rPr>
          <w:lang w:val="es-ES_tradnl"/>
        </w:rPr>
        <w:t>CA</w:t>
      </w:r>
      <w:r>
        <w:rPr>
          <w:lang w:val="es-ES_tradnl"/>
        </w:rPr>
        <w:tab/>
      </w:r>
      <w:r>
        <w:rPr>
          <w:lang w:val="es-ES_tradnl"/>
        </w:rPr>
        <w:tab/>
        <w:t>Acceso condicional (</w:t>
      </w:r>
      <w:r w:rsidRPr="00EC103F">
        <w:rPr>
          <w:i/>
          <w:iCs/>
          <w:lang w:val="es-ES_tradnl"/>
        </w:rPr>
        <w:t>c</w:t>
      </w:r>
      <w:r w:rsidRPr="00EC103F">
        <w:rPr>
          <w:i/>
          <w:iCs/>
          <w:lang w:val="es-ES_tradnl" w:eastAsia="ja-JP"/>
        </w:rPr>
        <w:t>onditional access</w:t>
      </w:r>
      <w:r>
        <w:rPr>
          <w:lang w:val="es-ES_tradnl"/>
        </w:rPr>
        <w:t>)</w:t>
      </w:r>
    </w:p>
    <w:p w:rsidR="00FF2FBF" w:rsidRDefault="00FF2FBF" w:rsidP="00564D3B">
      <w:pPr>
        <w:rPr>
          <w:lang w:val="es-ES_tradnl"/>
        </w:rPr>
      </w:pPr>
      <w:r>
        <w:rPr>
          <w:lang w:val="es-ES_tradnl"/>
        </w:rPr>
        <w:t>CSS</w:t>
      </w:r>
      <w:r>
        <w:rPr>
          <w:lang w:val="es-ES_tradnl"/>
        </w:rPr>
        <w:tab/>
      </w:r>
      <w:r>
        <w:rPr>
          <w:lang w:val="es-ES_tradnl"/>
        </w:rPr>
        <w:tab/>
        <w:t>Hojas de estilos en cascada (</w:t>
      </w:r>
      <w:r w:rsidRPr="00EC103F">
        <w:rPr>
          <w:i/>
          <w:iCs/>
          <w:lang w:val="es-ES_tradnl"/>
        </w:rPr>
        <w:t>c</w:t>
      </w:r>
      <w:r w:rsidRPr="00EC103F">
        <w:rPr>
          <w:i/>
          <w:iCs/>
          <w:lang w:val="es-ES_tradnl" w:eastAsia="ja-JP"/>
        </w:rPr>
        <w:t>ascading style sheet</w:t>
      </w:r>
      <w:r>
        <w:rPr>
          <w:lang w:val="es-ES_tradnl"/>
        </w:rPr>
        <w:t>)</w:t>
      </w:r>
    </w:p>
    <w:p w:rsidR="00FF2FBF" w:rsidRPr="00EC103F" w:rsidRDefault="00FF2FBF" w:rsidP="00564D3B">
      <w:pPr>
        <w:rPr>
          <w:lang w:val="es-ES_tradnl"/>
        </w:rPr>
      </w:pPr>
      <w:r>
        <w:rPr>
          <w:lang w:val="es-ES_tradnl"/>
        </w:rPr>
        <w:t>DOM</w:t>
      </w:r>
      <w:r>
        <w:rPr>
          <w:lang w:val="es-ES_tradnl"/>
        </w:rPr>
        <w:tab/>
      </w:r>
      <w:r>
        <w:rPr>
          <w:lang w:val="es-ES_tradnl"/>
        </w:rPr>
        <w:tab/>
      </w:r>
      <w:r w:rsidRPr="00EC103F">
        <w:rPr>
          <w:lang w:val="es-ES_tradnl"/>
        </w:rPr>
        <w:t>Modelo de objeto de documento (</w:t>
      </w:r>
      <w:r w:rsidRPr="00EC103F">
        <w:rPr>
          <w:i/>
          <w:iCs/>
          <w:lang w:val="es-ES_tradnl"/>
        </w:rPr>
        <w:t>document object model</w:t>
      </w:r>
      <w:r w:rsidRPr="00EC103F">
        <w:rPr>
          <w:lang w:val="es-ES_tradnl"/>
        </w:rPr>
        <w:t>)</w:t>
      </w:r>
    </w:p>
    <w:p w:rsidR="00FF2FBF" w:rsidRDefault="00FF2FBF" w:rsidP="00564D3B">
      <w:pPr>
        <w:rPr>
          <w:lang w:val="es-ES_tradnl"/>
        </w:rPr>
      </w:pPr>
      <w:r>
        <w:rPr>
          <w:lang w:val="es-ES_tradnl"/>
        </w:rPr>
        <w:t>GUI</w:t>
      </w:r>
      <w:r>
        <w:rPr>
          <w:lang w:val="es-ES_tradnl"/>
        </w:rPr>
        <w:tab/>
      </w:r>
      <w:r>
        <w:rPr>
          <w:lang w:val="es-ES_tradnl"/>
        </w:rPr>
        <w:tab/>
        <w:t>Interfaz de usuario gráfico (</w:t>
      </w:r>
      <w:r w:rsidRPr="00EC103F">
        <w:rPr>
          <w:i/>
          <w:iCs/>
          <w:lang w:val="es-ES_tradnl"/>
        </w:rPr>
        <w:t>g</w:t>
      </w:r>
      <w:r w:rsidRPr="00EC103F">
        <w:rPr>
          <w:i/>
          <w:iCs/>
          <w:lang w:val="es-ES_tradnl" w:eastAsia="ja-JP"/>
        </w:rPr>
        <w:t>raphical user interface</w:t>
      </w:r>
      <w:r>
        <w:rPr>
          <w:lang w:val="es-ES_tradnl"/>
        </w:rPr>
        <w:t>)</w:t>
      </w:r>
    </w:p>
    <w:p w:rsidR="00FF2FBF" w:rsidRDefault="00FF2FBF" w:rsidP="00564D3B">
      <w:pPr>
        <w:rPr>
          <w:lang w:val="es-ES_tradnl"/>
        </w:rPr>
      </w:pPr>
      <w:r>
        <w:rPr>
          <w:lang w:val="es-ES_tradnl"/>
        </w:rPr>
        <w:t>HTML</w:t>
      </w:r>
      <w:r>
        <w:rPr>
          <w:lang w:val="es-ES_tradnl"/>
        </w:rPr>
        <w:tab/>
      </w:r>
      <w:r>
        <w:rPr>
          <w:lang w:val="es-ES_tradnl"/>
        </w:rPr>
        <w:tab/>
        <w:t>Lenguaje de marcaje hipertexto (</w:t>
      </w:r>
      <w:r w:rsidRPr="00EC103F">
        <w:rPr>
          <w:i/>
          <w:iCs/>
          <w:lang w:val="es-ES_tradnl"/>
        </w:rPr>
        <w:t>h</w:t>
      </w:r>
      <w:r w:rsidRPr="00EC103F">
        <w:rPr>
          <w:i/>
          <w:iCs/>
          <w:lang w:val="es-ES_tradnl" w:eastAsia="ja-JP"/>
        </w:rPr>
        <w:t>yper text markup language</w:t>
      </w:r>
      <w:r>
        <w:rPr>
          <w:lang w:val="es-ES_tradnl"/>
        </w:rPr>
        <w:t>)</w:t>
      </w:r>
    </w:p>
    <w:p w:rsidR="00FF2FBF" w:rsidRDefault="00FF2FBF" w:rsidP="00564D3B">
      <w:pPr>
        <w:rPr>
          <w:lang w:val="es-ES_tradnl"/>
        </w:rPr>
      </w:pPr>
      <w:r>
        <w:rPr>
          <w:lang w:val="es-ES_tradnl"/>
        </w:rPr>
        <w:t>JMF</w:t>
      </w:r>
      <w:r>
        <w:rPr>
          <w:lang w:val="es-ES_tradnl"/>
        </w:rPr>
        <w:tab/>
      </w:r>
      <w:r>
        <w:rPr>
          <w:lang w:val="es-ES_tradnl"/>
        </w:rPr>
        <w:tab/>
        <w:t>Marco de medios Java (</w:t>
      </w:r>
      <w:r w:rsidRPr="00EC103F">
        <w:rPr>
          <w:i/>
          <w:iCs/>
          <w:lang w:val="es-ES_tradnl" w:eastAsia="ja-JP"/>
        </w:rPr>
        <w:t>Java media framework</w:t>
      </w:r>
      <w:r>
        <w:rPr>
          <w:lang w:val="es-ES_tradnl"/>
        </w:rPr>
        <w:t>)</w:t>
      </w:r>
    </w:p>
    <w:p w:rsidR="00FF2FBF" w:rsidRDefault="00FF2FBF" w:rsidP="00564D3B">
      <w:pPr>
        <w:rPr>
          <w:lang w:val="es-ES_tradnl"/>
        </w:rPr>
      </w:pPr>
      <w:r>
        <w:rPr>
          <w:lang w:val="es-ES_tradnl"/>
        </w:rPr>
        <w:t>LWUIT</w:t>
      </w:r>
      <w:r>
        <w:rPr>
          <w:lang w:val="es-ES_tradnl"/>
        </w:rPr>
        <w:tab/>
      </w:r>
      <w:r>
        <w:rPr>
          <w:lang w:val="es-ES_tradnl"/>
        </w:rPr>
        <w:tab/>
        <w:t>Herramienta de interfaz de usuario de peso ligero (</w:t>
      </w:r>
      <w:r w:rsidRPr="00EC103F">
        <w:rPr>
          <w:i/>
          <w:iCs/>
          <w:lang w:val="es-ES_tradnl" w:eastAsia="ja-JP"/>
        </w:rPr>
        <w:t>light-weight user interface toolkit</w:t>
      </w:r>
      <w:r>
        <w:rPr>
          <w:lang w:val="es-ES_tradnl"/>
        </w:rPr>
        <w:t>)</w:t>
      </w:r>
    </w:p>
    <w:p w:rsidR="00FF2FBF" w:rsidRDefault="00FF2FBF" w:rsidP="00564D3B">
      <w:pPr>
        <w:ind w:left="1191" w:hanging="1191"/>
        <w:rPr>
          <w:lang w:val="es-ES_tradnl"/>
        </w:rPr>
      </w:pPr>
      <w:r>
        <w:rPr>
          <w:lang w:val="es-ES_tradnl"/>
        </w:rPr>
        <w:t>MHEG</w:t>
      </w:r>
      <w:r>
        <w:rPr>
          <w:lang w:val="es-ES_tradnl"/>
        </w:rPr>
        <w:tab/>
      </w:r>
      <w:r>
        <w:rPr>
          <w:lang w:val="es-ES_tradnl"/>
        </w:rPr>
        <w:tab/>
        <w:t>Grupo de Expertos en multimedios e hipermedios (</w:t>
      </w:r>
      <w:r w:rsidRPr="00EC103F">
        <w:rPr>
          <w:i/>
          <w:iCs/>
          <w:lang w:val="es-ES_tradnl"/>
        </w:rPr>
        <w:t>m</w:t>
      </w:r>
      <w:r w:rsidRPr="00EC103F">
        <w:rPr>
          <w:i/>
          <w:iCs/>
          <w:lang w:val="es-ES_tradnl" w:eastAsia="ja-JP"/>
        </w:rPr>
        <w:t>ultimedia and hypermedia expert group</w:t>
      </w:r>
      <w:r>
        <w:rPr>
          <w:lang w:val="es-ES_tradnl"/>
        </w:rPr>
        <w:t>)</w:t>
      </w:r>
    </w:p>
    <w:p w:rsidR="00FF2FBF" w:rsidRPr="00E64B15" w:rsidRDefault="00FF2FBF" w:rsidP="00564D3B">
      <w:pPr>
        <w:rPr>
          <w:lang w:val="es-ES_tradnl"/>
        </w:rPr>
      </w:pPr>
      <w:r w:rsidRPr="00E64B15">
        <w:rPr>
          <w:lang w:val="es-ES_tradnl"/>
        </w:rPr>
        <w:t>MIME</w:t>
      </w:r>
      <w:r w:rsidRPr="00E64B15">
        <w:rPr>
          <w:lang w:val="es-ES_tradnl"/>
        </w:rPr>
        <w:tab/>
      </w:r>
      <w:r w:rsidRPr="00E64B15">
        <w:rPr>
          <w:lang w:val="es-ES_tradnl"/>
        </w:rPr>
        <w:tab/>
        <w:t>Ampliaciones mul</w:t>
      </w:r>
      <w:r>
        <w:rPr>
          <w:lang w:val="es-ES_tradnl"/>
        </w:rPr>
        <w:t>tifunc</w:t>
      </w:r>
      <w:r w:rsidRPr="00E64B15">
        <w:rPr>
          <w:lang w:val="es-ES_tradnl"/>
        </w:rPr>
        <w:t>ión del correo Internet (</w:t>
      </w:r>
      <w:r w:rsidRPr="00E64B15">
        <w:rPr>
          <w:i/>
          <w:iCs/>
          <w:lang w:val="es-ES_tradnl"/>
        </w:rPr>
        <w:t>m</w:t>
      </w:r>
      <w:r w:rsidRPr="00E64B15">
        <w:rPr>
          <w:i/>
          <w:iCs/>
          <w:lang w:val="es-ES_tradnl" w:eastAsia="ja-JP"/>
        </w:rPr>
        <w:t>ultipurpose Internet mail extensions</w:t>
      </w:r>
      <w:r w:rsidRPr="00E64B15">
        <w:rPr>
          <w:lang w:val="es-ES_tradnl"/>
        </w:rPr>
        <w:t>)</w:t>
      </w:r>
    </w:p>
    <w:p w:rsidR="00FF2FBF" w:rsidRDefault="00FF2FBF" w:rsidP="00564D3B">
      <w:pPr>
        <w:rPr>
          <w:lang w:val="es-ES_tradnl"/>
        </w:rPr>
      </w:pPr>
      <w:r>
        <w:rPr>
          <w:lang w:val="es-ES_tradnl"/>
        </w:rPr>
        <w:t>NCL</w:t>
      </w:r>
      <w:r>
        <w:rPr>
          <w:lang w:val="es-ES_tradnl"/>
        </w:rPr>
        <w:tab/>
      </w:r>
      <w:r>
        <w:rPr>
          <w:lang w:val="es-ES_tradnl"/>
        </w:rPr>
        <w:tab/>
        <w:t>Lenguaje de contexto anidado (</w:t>
      </w:r>
      <w:r w:rsidRPr="00EC103F">
        <w:rPr>
          <w:i/>
          <w:iCs/>
          <w:lang w:val="es-ES_tradnl"/>
        </w:rPr>
        <w:t>n</w:t>
      </w:r>
      <w:r w:rsidRPr="00EC103F">
        <w:rPr>
          <w:i/>
          <w:iCs/>
          <w:lang w:val="es-ES_tradnl" w:eastAsia="ja-JP"/>
        </w:rPr>
        <w:t>ested context language</w:t>
      </w:r>
      <w:r>
        <w:rPr>
          <w:lang w:val="es-ES_tradnl"/>
        </w:rPr>
        <w:t>)</w:t>
      </w:r>
    </w:p>
    <w:p w:rsidR="00FF2FBF" w:rsidRDefault="00FF2FBF" w:rsidP="00564D3B">
      <w:pPr>
        <w:rPr>
          <w:lang w:val="es-ES_tradnl"/>
        </w:rPr>
      </w:pPr>
      <w:r>
        <w:rPr>
          <w:lang w:val="es-ES_tradnl"/>
        </w:rPr>
        <w:t>UI</w:t>
      </w:r>
      <w:r>
        <w:rPr>
          <w:lang w:val="es-ES_tradnl"/>
        </w:rPr>
        <w:tab/>
      </w:r>
      <w:r>
        <w:rPr>
          <w:lang w:val="es-ES_tradnl"/>
        </w:rPr>
        <w:tab/>
        <w:t>Interfaz de usuario o interacción de usuario (</w:t>
      </w:r>
      <w:r w:rsidRPr="00EC103F">
        <w:rPr>
          <w:i/>
          <w:iCs/>
          <w:lang w:val="es-ES_tradnl"/>
        </w:rPr>
        <w:t>u</w:t>
      </w:r>
      <w:r w:rsidRPr="00EC103F">
        <w:rPr>
          <w:i/>
          <w:iCs/>
          <w:lang w:val="es-ES_tradnl" w:eastAsia="ja-JP"/>
        </w:rPr>
        <w:t>ser interface or user interaction</w:t>
      </w:r>
      <w:r>
        <w:rPr>
          <w:lang w:val="es-ES_tradnl"/>
        </w:rPr>
        <w:t>)</w:t>
      </w:r>
    </w:p>
    <w:p w:rsidR="00FF2FBF" w:rsidRDefault="00FF2FBF" w:rsidP="00564D3B">
      <w:pPr>
        <w:rPr>
          <w:lang w:val="es-ES_tradnl"/>
        </w:rPr>
      </w:pPr>
      <w:r>
        <w:rPr>
          <w:lang w:val="es-ES_tradnl"/>
        </w:rPr>
        <w:t>XHTML</w:t>
      </w:r>
      <w:r>
        <w:rPr>
          <w:lang w:val="es-ES_tradnl"/>
        </w:rPr>
        <w:tab/>
        <w:t>Lenguaje de marcaje hipertexto extensible (</w:t>
      </w:r>
      <w:r w:rsidRPr="00EC103F">
        <w:rPr>
          <w:i/>
          <w:iCs/>
          <w:lang w:val="es-ES_tradnl"/>
        </w:rPr>
        <w:t>e</w:t>
      </w:r>
      <w:r w:rsidRPr="00092CDA">
        <w:rPr>
          <w:i/>
          <w:iCs/>
          <w:lang w:val="es-ES_tradnl" w:eastAsia="ja-JP"/>
        </w:rPr>
        <w:t>xtensible hyper text markup language</w:t>
      </w:r>
      <w:r>
        <w:rPr>
          <w:lang w:val="es-ES_tradnl"/>
        </w:rPr>
        <w:t>)</w:t>
      </w:r>
    </w:p>
    <w:p w:rsidR="00FF2FBF" w:rsidRDefault="00FF2FBF" w:rsidP="00564D3B">
      <w:pPr>
        <w:rPr>
          <w:lang w:val="es-ES_tradnl"/>
        </w:rPr>
      </w:pPr>
      <w:r>
        <w:rPr>
          <w:lang w:val="es-ES_tradnl"/>
        </w:rPr>
        <w:t>XML</w:t>
      </w:r>
      <w:r>
        <w:rPr>
          <w:lang w:val="es-ES_tradnl"/>
        </w:rPr>
        <w:tab/>
      </w:r>
      <w:r>
        <w:rPr>
          <w:lang w:val="es-ES_tradnl"/>
        </w:rPr>
        <w:tab/>
        <w:t>Lenguaje de marcaje extensible (</w:t>
      </w:r>
      <w:r w:rsidRPr="00EC103F">
        <w:rPr>
          <w:i/>
          <w:iCs/>
          <w:lang w:val="es-ES_tradnl"/>
        </w:rPr>
        <w:t>e</w:t>
      </w:r>
      <w:r w:rsidRPr="00092CDA">
        <w:rPr>
          <w:i/>
          <w:iCs/>
          <w:lang w:val="es-ES_tradnl" w:eastAsia="ja-JP"/>
        </w:rPr>
        <w:t>xtensible markup language</w:t>
      </w:r>
      <w:r>
        <w:rPr>
          <w:lang w:val="es-ES_tradnl"/>
        </w:rPr>
        <w:t>)</w:t>
      </w:r>
    </w:p>
    <w:p w:rsidR="00FF2FBF" w:rsidRPr="00092CDA" w:rsidRDefault="00CA18ED" w:rsidP="00344AC6">
      <w:pPr>
        <w:pStyle w:val="Heading1"/>
        <w:rPr>
          <w:lang w:val="es-ES_tradnl"/>
        </w:rPr>
      </w:pPr>
      <w:bookmarkStart w:id="4" w:name="_Toc529235987"/>
      <w:bookmarkStart w:id="5" w:name="_Toc530277693"/>
      <w:r>
        <w:rPr>
          <w:lang w:val="es-ES_tradnl"/>
        </w:rPr>
        <w:t>3</w:t>
      </w:r>
      <w:bookmarkStart w:id="6" w:name="_GoBack"/>
      <w:bookmarkEnd w:id="6"/>
      <w:r w:rsidR="00FF2FBF" w:rsidRPr="00092CDA">
        <w:rPr>
          <w:lang w:val="es-ES_tradnl"/>
        </w:rPr>
        <w:tab/>
        <w:t>Arquitectura básica</w:t>
      </w:r>
      <w:bookmarkEnd w:id="4"/>
      <w:bookmarkEnd w:id="5"/>
    </w:p>
    <w:p w:rsidR="00FF2FBF" w:rsidRPr="00092CDA" w:rsidRDefault="00FF2FBF" w:rsidP="00FF2FBF">
      <w:pPr>
        <w:rPr>
          <w:lang w:val="es-ES_tradnl"/>
        </w:rPr>
      </w:pPr>
      <w:r w:rsidRPr="00092CDA">
        <w:rPr>
          <w:lang w:val="es-ES_tradnl"/>
        </w:rPr>
        <w:t>La arquitectura de alto nivel de las API y el soporte intermedio para la TV interactiva digital puede considerarse constituida esencialmente por dos componentes: la máquina de ejecución y la máquina de presentación. Sin embargo, estos dos componentes no son necesariamente independientes y pueden definirse puentes de conexión apropiados. Además de los componentes básicos habrá otras aplicaciones nativas o un contenido y soporte lógico específico del servicio, tal como el programa MHEG y distintos formatos propietario.</w:t>
      </w:r>
    </w:p>
    <w:p w:rsidR="00FF2FBF" w:rsidRDefault="00FF2FBF" w:rsidP="00564D3B">
      <w:pPr>
        <w:rPr>
          <w:lang w:val="es-ES_tradnl"/>
        </w:rPr>
      </w:pPr>
      <w:r w:rsidRPr="00092CDA">
        <w:rPr>
          <w:lang w:val="es-ES_tradnl"/>
        </w:rPr>
        <w:t xml:space="preserve">En la </w:t>
      </w:r>
      <w:r>
        <w:rPr>
          <w:lang w:val="es-ES_tradnl"/>
        </w:rPr>
        <w:t>F</w:t>
      </w:r>
      <w:r w:rsidRPr="00092CDA">
        <w:rPr>
          <w:lang w:val="es-ES_tradnl"/>
        </w:rPr>
        <w:t>ig</w:t>
      </w:r>
      <w:r>
        <w:rPr>
          <w:lang w:val="es-ES_tradnl"/>
        </w:rPr>
        <w:t>.</w:t>
      </w:r>
      <w:r w:rsidRPr="00092CDA">
        <w:rPr>
          <w:lang w:val="es-ES_tradnl"/>
        </w:rPr>
        <w:t xml:space="preserve"> 1 se muestra la estructura del entorno de aplicación. Se identifica la relación entre la máquina de presentación y la máquina de ejecución.</w:t>
      </w:r>
    </w:p>
    <w:p w:rsidR="00FF2FBF" w:rsidRPr="00E64B15" w:rsidRDefault="00FF2FBF" w:rsidP="00FF2FBF">
      <w:pPr>
        <w:pStyle w:val="FigureNo"/>
        <w:rPr>
          <w:lang w:val="es-ES_tradnl"/>
        </w:rPr>
      </w:pPr>
      <w:r w:rsidRPr="00E64B15">
        <w:rPr>
          <w:lang w:val="es-ES_tradnl"/>
        </w:rPr>
        <w:lastRenderedPageBreak/>
        <w:t>Figura 1</w:t>
      </w:r>
    </w:p>
    <w:p w:rsidR="00FF2FBF" w:rsidRPr="00E64B15" w:rsidRDefault="00FF2FBF" w:rsidP="00FF2FBF">
      <w:pPr>
        <w:pStyle w:val="Figuretitle"/>
        <w:rPr>
          <w:lang w:val="es-ES_tradnl"/>
        </w:rPr>
      </w:pPr>
      <w:r w:rsidRPr="00E64B15">
        <w:rPr>
          <w:lang w:val="es-ES_tradnl"/>
        </w:rPr>
        <w:t>Arquitectura de sistema del entorno de aplicación</w:t>
      </w:r>
    </w:p>
    <w:p w:rsidR="00FF2FBF" w:rsidRDefault="00344AC6" w:rsidP="00FF2FBF">
      <w:pPr>
        <w:pStyle w:val="Figure"/>
      </w:pPr>
      <w:r>
        <w:object w:dxaOrig="9895" w:dyaOrig="5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263.4pt" o:ole="">
            <v:imagedata r:id="rId15" o:title=""/>
          </v:shape>
          <o:OLEObject Type="Embed" ProgID="CorelDRAW.Graphic.14" ShapeID="_x0000_i1025" DrawAspect="Content" ObjectID="_1370760680" r:id="rId16"/>
        </w:object>
      </w:r>
    </w:p>
    <w:p w:rsidR="00FF2FBF" w:rsidRPr="00AB51EF" w:rsidRDefault="00FF2FBF" w:rsidP="00564D3B">
      <w:pPr>
        <w:rPr>
          <w:lang w:val="es-ES_tradnl"/>
        </w:rPr>
      </w:pPr>
      <w:r w:rsidRPr="00AB51EF">
        <w:rPr>
          <w:lang w:val="es-ES_tradnl"/>
        </w:rPr>
        <w:t>Cuando se especifica, el entorno de aplicación debe dividirse en los siguientes elementos arquitecturales:</w:t>
      </w:r>
    </w:p>
    <w:p w:rsidR="00FF2FBF" w:rsidRPr="00AB51EF" w:rsidRDefault="00FF2FBF" w:rsidP="00344AC6">
      <w:pPr>
        <w:pStyle w:val="enumlev1"/>
        <w:rPr>
          <w:lang w:val="es-ES_tradnl"/>
        </w:rPr>
      </w:pPr>
      <w:r w:rsidRPr="00AB51EF">
        <w:rPr>
          <w:lang w:val="es-ES_tradnl"/>
        </w:rPr>
        <w:t>1</w:t>
      </w:r>
      <w:r w:rsidR="00564D3B">
        <w:rPr>
          <w:lang w:val="es-ES_tradnl"/>
        </w:rPr>
        <w:t>.</w:t>
      </w:r>
      <w:r w:rsidRPr="00AB51EF">
        <w:rPr>
          <w:lang w:val="es-ES_tradnl"/>
        </w:rPr>
        <w:tab/>
      </w:r>
      <w:r>
        <w:rPr>
          <w:lang w:val="es-ES_tradnl"/>
        </w:rPr>
        <w:t>Máquina de presentación/máquina de ejecución</w:t>
      </w:r>
      <w:r w:rsidR="00344AC6">
        <w:rPr>
          <w:lang w:val="es-ES_tradnl"/>
        </w:rPr>
        <w:t> </w:t>
      </w:r>
      <w:r>
        <w:rPr>
          <w:lang w:val="es-ES_tradnl"/>
        </w:rPr>
        <w:t>–</w:t>
      </w:r>
      <w:r w:rsidR="00344AC6">
        <w:rPr>
          <w:lang w:val="es-ES_tradnl"/>
        </w:rPr>
        <w:t> </w:t>
      </w:r>
      <w:r>
        <w:rPr>
          <w:lang w:val="es-ES_tradnl"/>
        </w:rPr>
        <w:t>Son elementos fundamentales para el tratamiento de las aplicaciones de TV interactiva y ambas son necesarias. La máquina de presentación trata las aplicaciones de TV declarativas tales como el contenido HTML y BML. La máquina de ejecución es un procesador que ejecuta aplicaciones de TV interactiva. Se sabe que, en algunos casos, una u otra máquina se han implementado de forma individual. Sin embargo, para lograr la plena armonización y la interoperabilidad de las aplicaciones son necesarias ambas máquinas, la de ejecución y la de presentación.</w:t>
      </w:r>
    </w:p>
    <w:p w:rsidR="00FF2FBF" w:rsidRPr="00AB51EF" w:rsidRDefault="00FF2FBF" w:rsidP="00344AC6">
      <w:pPr>
        <w:pStyle w:val="enumlev1"/>
        <w:rPr>
          <w:lang w:val="es-ES_tradnl"/>
        </w:rPr>
      </w:pPr>
      <w:r w:rsidRPr="00AB51EF">
        <w:rPr>
          <w:lang w:val="es-ES_tradnl"/>
        </w:rPr>
        <w:t>2</w:t>
      </w:r>
      <w:r w:rsidR="00564D3B">
        <w:rPr>
          <w:lang w:val="es-ES_tradnl"/>
        </w:rPr>
        <w:t>.</w:t>
      </w:r>
      <w:r w:rsidRPr="00AB51EF">
        <w:rPr>
          <w:lang w:val="es-ES_tradnl"/>
        </w:rPr>
        <w:tab/>
        <w:t>Elementos de puenteo</w:t>
      </w:r>
      <w:r w:rsidR="00344AC6">
        <w:rPr>
          <w:lang w:val="es-ES_tradnl"/>
        </w:rPr>
        <w:t> – </w:t>
      </w:r>
      <w:r w:rsidRPr="00AB51EF">
        <w:rPr>
          <w:lang w:val="es-ES_tradnl"/>
        </w:rPr>
        <w:t xml:space="preserve">Mecanismo para aplicaciones que permite establecer una correspondencia bidireccional entre </w:t>
      </w:r>
      <w:r>
        <w:rPr>
          <w:lang w:val="es-ES_tradnl"/>
        </w:rPr>
        <w:t>la máquina de ejecución y la máquina de presentación</w:t>
      </w:r>
      <w:r w:rsidRPr="00AB51EF">
        <w:rPr>
          <w:lang w:val="es-ES_tradnl"/>
        </w:rPr>
        <w:t>.</w:t>
      </w:r>
    </w:p>
    <w:p w:rsidR="00FF2FBF" w:rsidRPr="00AB51EF" w:rsidRDefault="00FF2FBF" w:rsidP="00564D3B">
      <w:pPr>
        <w:pStyle w:val="enumlev1"/>
        <w:rPr>
          <w:lang w:val="es-ES_tradnl"/>
        </w:rPr>
      </w:pPr>
      <w:r w:rsidRPr="00AB51EF">
        <w:rPr>
          <w:lang w:val="es-ES_tradnl"/>
        </w:rPr>
        <w:t>3</w:t>
      </w:r>
      <w:r w:rsidR="00564D3B">
        <w:rPr>
          <w:lang w:val="es-ES_tradnl"/>
        </w:rPr>
        <w:t>.</w:t>
      </w:r>
      <w:r w:rsidRPr="00AB51EF">
        <w:rPr>
          <w:lang w:val="es-ES_tradnl"/>
        </w:rPr>
        <w:tab/>
        <w:t xml:space="preserve">Monitor de ciclo de vida de la aplicación </w:t>
      </w:r>
      <w:r>
        <w:sym w:font="Symbol" w:char="F02D"/>
      </w:r>
      <w:r w:rsidRPr="00AB51EF">
        <w:rPr>
          <w:lang w:val="es-ES_tradnl"/>
        </w:rPr>
        <w:t xml:space="preserve"> Este programa de control se expresa de forma diferente en cada especificación. Puede actuar como una aplicación plenamente desarrollada o solamente como un monitor OS simple para controlar el estado del soporte lógico. La funcionalidad general es la gestión de aplicaciones durante el ciclo de vida completo de las mismas, incluidos la iniciación, la terminación y el control.</w:t>
      </w:r>
    </w:p>
    <w:p w:rsidR="00FF2FBF" w:rsidRPr="00AB51EF" w:rsidRDefault="00FF2FBF" w:rsidP="00344AC6">
      <w:pPr>
        <w:pStyle w:val="enumlev1"/>
        <w:rPr>
          <w:lang w:val="es-ES_tradnl"/>
        </w:rPr>
      </w:pPr>
      <w:r w:rsidRPr="00AB51EF">
        <w:rPr>
          <w:lang w:val="es-ES_tradnl"/>
        </w:rPr>
        <w:t>4</w:t>
      </w:r>
      <w:r w:rsidR="00564D3B">
        <w:rPr>
          <w:lang w:val="es-ES_tradnl"/>
        </w:rPr>
        <w:t>.</w:t>
      </w:r>
      <w:r w:rsidRPr="00AB51EF">
        <w:rPr>
          <w:lang w:val="es-ES_tradnl"/>
        </w:rPr>
        <w:tab/>
        <w:t>Aplicaciones</w:t>
      </w:r>
      <w:r w:rsidR="00344AC6">
        <w:rPr>
          <w:lang w:val="es-ES_tradnl"/>
        </w:rPr>
        <w:t> – </w:t>
      </w:r>
      <w:r w:rsidRPr="00AB51EF">
        <w:rPr>
          <w:lang w:val="es-ES_tradnl"/>
        </w:rPr>
        <w:t>En algunos sistemas estas aplicaciones pueden limitarse a aplicaciones vinculadas al servicio o aplicaciones no vinculadas. Estas aplicaciones pueden registrarse en la máquina de presentación, la máquina de ejecución o en ambas.</w:t>
      </w:r>
    </w:p>
    <w:p w:rsidR="00FF2FBF" w:rsidRPr="00AB51EF" w:rsidRDefault="00FF2FBF" w:rsidP="00344AC6">
      <w:pPr>
        <w:pStyle w:val="enumlev1"/>
        <w:rPr>
          <w:lang w:val="es-ES_tradnl"/>
        </w:rPr>
      </w:pPr>
      <w:r w:rsidRPr="00AB51EF">
        <w:rPr>
          <w:lang w:val="es-ES_tradnl"/>
        </w:rPr>
        <w:t>5</w:t>
      </w:r>
      <w:r w:rsidR="00564D3B">
        <w:rPr>
          <w:lang w:val="es-ES_tradnl"/>
        </w:rPr>
        <w:t>.</w:t>
      </w:r>
      <w:r w:rsidRPr="00AB51EF">
        <w:rPr>
          <w:lang w:val="es-ES_tradnl"/>
        </w:rPr>
        <w:tab/>
        <w:t>Interacción de usuario</w:t>
      </w:r>
      <w:r w:rsidR="00344AC6">
        <w:rPr>
          <w:lang w:val="es-ES_tradnl"/>
        </w:rPr>
        <w:t> – </w:t>
      </w:r>
      <w:r w:rsidRPr="00AB51EF">
        <w:rPr>
          <w:lang w:val="es-ES_tradnl"/>
        </w:rPr>
        <w:t>Es la capa de entrada en el control distante, los teclados y otros controladores.</w:t>
      </w:r>
    </w:p>
    <w:p w:rsidR="00FF2FBF" w:rsidRPr="00AF091F" w:rsidRDefault="00FF2FBF" w:rsidP="00344AC6">
      <w:pPr>
        <w:pStyle w:val="enumlev1"/>
        <w:rPr>
          <w:lang w:val="es-ES_tradnl"/>
        </w:rPr>
      </w:pPr>
      <w:r w:rsidRPr="00AF091F">
        <w:rPr>
          <w:lang w:val="es-ES_tradnl"/>
        </w:rPr>
        <w:t>6</w:t>
      </w:r>
      <w:r w:rsidR="00564D3B">
        <w:rPr>
          <w:lang w:val="es-ES_tradnl"/>
        </w:rPr>
        <w:t>.</w:t>
      </w:r>
      <w:r w:rsidRPr="00AF091F">
        <w:rPr>
          <w:lang w:val="es-ES_tradnl"/>
        </w:rPr>
        <w:tab/>
        <w:t>Otros medios</w:t>
      </w:r>
      <w:r w:rsidR="00344AC6">
        <w:rPr>
          <w:lang w:val="es-ES_tradnl"/>
        </w:rPr>
        <w:t> – </w:t>
      </w:r>
      <w:r w:rsidRPr="00AF091F">
        <w:rPr>
          <w:lang w:val="es-ES_tradnl"/>
        </w:rPr>
        <w:t>Incluyen los medios de grabación y lectura continua tales como los dispositivos de alimentación de audio y de datos, o monomedios tales como las imágenes estáticas y el texto.</w:t>
      </w:r>
    </w:p>
    <w:p w:rsidR="00FF2FBF" w:rsidRPr="00AF091F" w:rsidRDefault="00FF2FBF" w:rsidP="00344AC6">
      <w:pPr>
        <w:pStyle w:val="enumlev1"/>
        <w:rPr>
          <w:lang w:val="es-ES_tradnl"/>
        </w:rPr>
      </w:pPr>
      <w:r w:rsidRPr="00AF091F">
        <w:rPr>
          <w:lang w:val="es-ES_tradnl"/>
        </w:rPr>
        <w:t>7</w:t>
      </w:r>
      <w:r w:rsidR="00564D3B">
        <w:rPr>
          <w:lang w:val="es-ES_tradnl"/>
        </w:rPr>
        <w:t>.</w:t>
      </w:r>
      <w:r w:rsidRPr="00AF091F">
        <w:rPr>
          <w:lang w:val="es-ES_tradnl"/>
        </w:rPr>
        <w:tab/>
        <w:t>Soporte lógico nativo</w:t>
      </w:r>
      <w:r w:rsidR="00344AC6">
        <w:rPr>
          <w:lang w:val="es-ES_tradnl"/>
        </w:rPr>
        <w:t> – </w:t>
      </w:r>
      <w:r w:rsidRPr="00AF091F">
        <w:rPr>
          <w:lang w:val="es-ES_tradnl"/>
        </w:rPr>
        <w:t>Se trata bien de un programa heredado o bien de un programa registrado utilizando API adicionales y funciones externas al entorno de aplicación especificado.</w:t>
      </w:r>
    </w:p>
    <w:p w:rsidR="00FF2FBF" w:rsidRPr="002A7479" w:rsidRDefault="00344AC6" w:rsidP="00344AC6">
      <w:pPr>
        <w:pStyle w:val="Heading1"/>
        <w:rPr>
          <w:lang w:val="es-ES_tradnl"/>
        </w:rPr>
      </w:pPr>
      <w:bookmarkStart w:id="7" w:name="_Toc520806379"/>
      <w:bookmarkStart w:id="8" w:name="_Toc520869471"/>
      <w:bookmarkStart w:id="9" w:name="_Toc528479015"/>
      <w:bookmarkStart w:id="10" w:name="_Toc529235988"/>
      <w:bookmarkStart w:id="11" w:name="_Toc530277694"/>
      <w:r>
        <w:rPr>
          <w:lang w:val="es-ES_tradnl"/>
        </w:rPr>
        <w:lastRenderedPageBreak/>
        <w:t>4</w:t>
      </w:r>
      <w:r w:rsidR="00FF2FBF" w:rsidRPr="002A7479">
        <w:rPr>
          <w:lang w:val="es-ES_tradnl"/>
        </w:rPr>
        <w:tab/>
        <w:t>Máquina de ejecución</w:t>
      </w:r>
      <w:bookmarkEnd w:id="7"/>
      <w:bookmarkEnd w:id="8"/>
      <w:bookmarkEnd w:id="9"/>
      <w:bookmarkEnd w:id="10"/>
      <w:bookmarkEnd w:id="11"/>
    </w:p>
    <w:p w:rsidR="00FF2FBF" w:rsidRPr="00AF091F" w:rsidRDefault="00FF2FBF" w:rsidP="00564D3B">
      <w:pPr>
        <w:rPr>
          <w:lang w:val="es-ES_tradnl"/>
        </w:rPr>
      </w:pPr>
      <w:r w:rsidRPr="00AF091F">
        <w:rPr>
          <w:lang w:val="es-ES_tradnl"/>
        </w:rPr>
        <w:t xml:space="preserve">En la </w:t>
      </w:r>
      <w:r>
        <w:rPr>
          <w:lang w:val="es-ES_tradnl"/>
        </w:rPr>
        <w:t>F</w:t>
      </w:r>
      <w:r w:rsidRPr="00AF091F">
        <w:rPr>
          <w:lang w:val="es-ES_tradnl"/>
        </w:rPr>
        <w:t>ig</w:t>
      </w:r>
      <w:r>
        <w:rPr>
          <w:lang w:val="es-ES_tradnl"/>
        </w:rPr>
        <w:t>.</w:t>
      </w:r>
      <w:r w:rsidRPr="00AF091F">
        <w:rPr>
          <w:lang w:val="es-ES_tradnl"/>
        </w:rPr>
        <w:t xml:space="preserve"> 2 se presenta la estructura de la máquina de ejecución y se indica el origen de los distintos elementos.</w:t>
      </w:r>
    </w:p>
    <w:p w:rsidR="00FF2FBF" w:rsidRPr="00AF091F" w:rsidRDefault="00FF2FBF" w:rsidP="00FF2FBF">
      <w:pPr>
        <w:pStyle w:val="FigureNo"/>
        <w:rPr>
          <w:lang w:val="es-ES_tradnl"/>
        </w:rPr>
      </w:pPr>
      <w:r w:rsidRPr="00AF091F">
        <w:rPr>
          <w:lang w:val="es-ES_tradnl"/>
        </w:rPr>
        <w:t xml:space="preserve">Figura </w:t>
      </w:r>
      <w:r>
        <w:rPr>
          <w:lang w:val="es-ES_tradnl"/>
        </w:rPr>
        <w:t>2</w:t>
      </w:r>
    </w:p>
    <w:p w:rsidR="00FF2FBF" w:rsidRPr="00AF091F" w:rsidRDefault="00FF2FBF" w:rsidP="00FF2FBF">
      <w:pPr>
        <w:pStyle w:val="Figuretitle"/>
        <w:rPr>
          <w:lang w:val="es-ES_tradnl"/>
        </w:rPr>
      </w:pPr>
      <w:r>
        <w:rPr>
          <w:lang w:val="es-ES_tradnl"/>
        </w:rPr>
        <w:t>Estructura de la máquina de ejecución</w:t>
      </w:r>
    </w:p>
    <w:p w:rsidR="00FF2FBF" w:rsidRDefault="00344AC6" w:rsidP="00FF2FBF">
      <w:pPr>
        <w:pStyle w:val="Figure"/>
        <w:rPr>
          <w:lang w:val="es-ES_tradnl"/>
        </w:rPr>
      </w:pPr>
      <w:r>
        <w:object w:dxaOrig="7842" w:dyaOrig="3315">
          <v:shape id="_x0000_i1026" type="#_x0000_t75" style="width:409.2pt;height:173.4pt;mso-position-horizontal:absolute" o:ole="" o:allowoverlap="f">
            <v:imagedata r:id="rId17" o:title=""/>
          </v:shape>
          <o:OLEObject Type="Embed" ProgID="CorelDRAW.Graphic.14" ShapeID="_x0000_i1026" DrawAspect="Content" ObjectID="_1370760681" r:id="rId18"/>
        </w:object>
      </w:r>
    </w:p>
    <w:p w:rsidR="00344AC6" w:rsidRDefault="00344AC6" w:rsidP="00344AC6">
      <w:pPr>
        <w:pStyle w:val="Blanc"/>
      </w:pPr>
    </w:p>
    <w:p w:rsidR="00FF2FBF" w:rsidRDefault="00FF2FBF" w:rsidP="00FF2FBF">
      <w:pPr>
        <w:rPr>
          <w:lang w:val="es-ES_tradnl"/>
        </w:rPr>
      </w:pPr>
      <w:r>
        <w:rPr>
          <w:lang w:val="es-ES_tradnl"/>
        </w:rPr>
        <w:t>Las normas fundamentales que debe cumplir la máquina de ejecución son las siguientes:</w:t>
      </w:r>
    </w:p>
    <w:p w:rsidR="00FF2FBF" w:rsidRDefault="00FF2FBF" w:rsidP="00344AC6">
      <w:pPr>
        <w:pStyle w:val="enumlev1"/>
        <w:rPr>
          <w:lang w:val="es-ES_tradnl"/>
        </w:rPr>
      </w:pPr>
      <w:r>
        <w:rPr>
          <w:lang w:val="es-ES_tradnl"/>
        </w:rPr>
        <w:t>1</w:t>
      </w:r>
      <w:r w:rsidR="00564D3B">
        <w:rPr>
          <w:lang w:val="es-ES_tradnl"/>
        </w:rPr>
        <w:t>.</w:t>
      </w:r>
      <w:r>
        <w:rPr>
          <w:lang w:val="es-ES_tradnl"/>
        </w:rPr>
        <w:tab/>
        <w:t>Funcionalidad Java básica</w:t>
      </w:r>
      <w:r w:rsidR="00344AC6">
        <w:rPr>
          <w:lang w:val="es-ES_tradnl"/>
        </w:rPr>
        <w:t> – </w:t>
      </w:r>
      <w:r>
        <w:rPr>
          <w:lang w:val="es-ES_tradnl"/>
        </w:rPr>
        <w:t>Estas API constan del perfil de base personal, el perfil básico y la configuración de dispositivo conectado.</w:t>
      </w:r>
    </w:p>
    <w:p w:rsidR="00FF2FBF" w:rsidRDefault="00FF2FBF" w:rsidP="00344AC6">
      <w:pPr>
        <w:pStyle w:val="enumlev1"/>
        <w:rPr>
          <w:lang w:val="es-ES_tradnl"/>
        </w:rPr>
      </w:pPr>
      <w:r>
        <w:rPr>
          <w:lang w:val="es-ES_tradnl"/>
        </w:rPr>
        <w:t>2</w:t>
      </w:r>
      <w:r w:rsidR="00564D3B">
        <w:rPr>
          <w:lang w:val="es-ES_tradnl"/>
        </w:rPr>
        <w:t>.</w:t>
      </w:r>
      <w:r>
        <w:rPr>
          <w:lang w:val="es-ES_tradnl"/>
        </w:rPr>
        <w:tab/>
        <w:t>Extensiones para radiodifusión</w:t>
      </w:r>
      <w:r w:rsidR="00344AC6">
        <w:rPr>
          <w:lang w:val="es-ES_tradnl"/>
        </w:rPr>
        <w:t> – </w:t>
      </w:r>
      <w:r>
        <w:rPr>
          <w:lang w:val="es-ES_tradnl"/>
        </w:rPr>
        <w:t>Esta API consta de los paquetes javax.tv* especificados por Sun Microsystems en la especificación JavaTV más las funcionalidades de radiodifusión adicionales tales como filtrado de sección, sintonía de tren de transporte, gestión de recursos y gestión de conectividad del canal de retorno (por ejemplo, DAVIC o Ginga-J).</w:t>
      </w:r>
    </w:p>
    <w:p w:rsidR="00FF2FBF" w:rsidRDefault="00FF2FBF" w:rsidP="00344AC6">
      <w:pPr>
        <w:pStyle w:val="enumlev1"/>
        <w:rPr>
          <w:lang w:val="es-ES_tradnl"/>
        </w:rPr>
      </w:pPr>
      <w:r>
        <w:rPr>
          <w:lang w:val="es-ES_tradnl"/>
        </w:rPr>
        <w:t>3</w:t>
      </w:r>
      <w:r w:rsidR="00564D3B">
        <w:rPr>
          <w:lang w:val="es-ES_tradnl"/>
        </w:rPr>
        <w:t>.</w:t>
      </w:r>
      <w:r>
        <w:rPr>
          <w:lang w:val="es-ES_tradnl"/>
        </w:rPr>
        <w:tab/>
        <w:t>Extensión de presentación para medios</w:t>
      </w:r>
      <w:r w:rsidR="00344AC6">
        <w:rPr>
          <w:lang w:val="es-ES_tradnl"/>
        </w:rPr>
        <w:t> – </w:t>
      </w:r>
      <w:r>
        <w:rPr>
          <w:lang w:val="es-ES_tradnl"/>
        </w:rPr>
        <w:t>Esta API consta de los paquetes javax.media.* de Sun Microsystems.</w:t>
      </w:r>
    </w:p>
    <w:p w:rsidR="00FF2FBF" w:rsidRDefault="00FF2FBF" w:rsidP="00344AC6">
      <w:pPr>
        <w:pStyle w:val="enumlev1"/>
        <w:rPr>
          <w:lang w:val="es-ES_tradnl"/>
        </w:rPr>
      </w:pPr>
      <w:r>
        <w:rPr>
          <w:lang w:val="es-ES_tradnl"/>
        </w:rPr>
        <w:t>4</w:t>
      </w:r>
      <w:r w:rsidR="00564D3B">
        <w:rPr>
          <w:lang w:val="es-ES_tradnl"/>
        </w:rPr>
        <w:t>.</w:t>
      </w:r>
      <w:r>
        <w:rPr>
          <w:lang w:val="es-ES_tradnl"/>
        </w:rPr>
        <w:tab/>
        <w:t>Extensiones de UI para TV</w:t>
      </w:r>
      <w:r w:rsidR="00344AC6">
        <w:rPr>
          <w:lang w:val="es-ES_tradnl"/>
        </w:rPr>
        <w:t> – </w:t>
      </w:r>
      <w:r>
        <w:rPr>
          <w:lang w:val="es-ES_tradnl"/>
        </w:rPr>
        <w:t>Esta API proporciona la funcionalidad específica de TV para presentación e interacción del usuario; por ejemplo, HAVi UI API o LWUIT.</w:t>
      </w:r>
    </w:p>
    <w:p w:rsidR="00FF2FBF" w:rsidRDefault="00FF2FBF" w:rsidP="00564D3B">
      <w:pPr>
        <w:pStyle w:val="enumlev1"/>
        <w:rPr>
          <w:lang w:val="es-ES_tradnl"/>
        </w:rPr>
      </w:pPr>
      <w:r>
        <w:rPr>
          <w:lang w:val="es-ES_tradnl"/>
        </w:rPr>
        <w:t>5</w:t>
      </w:r>
      <w:r w:rsidR="00564D3B">
        <w:rPr>
          <w:lang w:val="es-ES_tradnl"/>
        </w:rPr>
        <w:t>.</w:t>
      </w:r>
      <w:r>
        <w:rPr>
          <w:lang w:val="es-ES_tradnl"/>
        </w:rPr>
        <w:tab/>
        <w:t>Extensiones para acceso a la información de servicio y protocolo de red (por ejemplo, las API pertinentes definidas en DVB-MHP, OCAP, ACAP, ARIB STD-B23 y GINGA-J).</w:t>
      </w:r>
    </w:p>
    <w:p w:rsidR="00FF2FBF" w:rsidRDefault="00564D3B" w:rsidP="00FF2FBF">
      <w:pPr>
        <w:pStyle w:val="Heading1"/>
        <w:rPr>
          <w:lang w:val="es-ES_tradnl"/>
        </w:rPr>
      </w:pPr>
      <w:r>
        <w:rPr>
          <w:lang w:val="es-ES_tradnl"/>
        </w:rPr>
        <w:t>5</w:t>
      </w:r>
      <w:r w:rsidR="00FF2FBF">
        <w:rPr>
          <w:lang w:val="es-ES_tradnl"/>
        </w:rPr>
        <w:tab/>
        <w:t>Máquina de presentación</w:t>
      </w:r>
    </w:p>
    <w:p w:rsidR="00FF2FBF" w:rsidRDefault="00FF2FBF" w:rsidP="00564D3B">
      <w:pPr>
        <w:rPr>
          <w:lang w:val="es-ES_tradnl"/>
        </w:rPr>
      </w:pPr>
      <w:r>
        <w:rPr>
          <w:lang w:val="es-ES_tradnl"/>
        </w:rPr>
        <w:t>La Fig. 3 muestra la estructura de la máquina de presentación e indica el origen de los distintos elementos.</w:t>
      </w:r>
    </w:p>
    <w:p w:rsidR="00FF2FBF" w:rsidRPr="00AF091F" w:rsidRDefault="00FF2FBF" w:rsidP="00FF2FBF">
      <w:pPr>
        <w:pStyle w:val="FigureNo"/>
        <w:rPr>
          <w:lang w:val="es-ES_tradnl"/>
        </w:rPr>
      </w:pPr>
      <w:r w:rsidRPr="00AF091F">
        <w:rPr>
          <w:lang w:val="es-ES_tradnl"/>
        </w:rPr>
        <w:lastRenderedPageBreak/>
        <w:t xml:space="preserve">Figura </w:t>
      </w:r>
      <w:r>
        <w:rPr>
          <w:lang w:val="es-ES_tradnl"/>
        </w:rPr>
        <w:t>3</w:t>
      </w:r>
    </w:p>
    <w:p w:rsidR="00FF2FBF" w:rsidRDefault="00FF2FBF" w:rsidP="00FF2FBF">
      <w:pPr>
        <w:pStyle w:val="Figuretitle"/>
        <w:rPr>
          <w:lang w:val="es-ES_tradnl"/>
        </w:rPr>
      </w:pPr>
      <w:r>
        <w:rPr>
          <w:lang w:val="es-ES_tradnl"/>
        </w:rPr>
        <w:t>Estructura de la máquina de presentación</w:t>
      </w:r>
    </w:p>
    <w:p w:rsidR="00FF2FBF" w:rsidRDefault="00344AC6" w:rsidP="00FF2FBF">
      <w:pPr>
        <w:pStyle w:val="Figure"/>
        <w:rPr>
          <w:lang w:val="es-ES_tradnl"/>
        </w:rPr>
      </w:pPr>
      <w:r>
        <w:object w:dxaOrig="9016" w:dyaOrig="2680">
          <v:shape id="_x0000_i1027" type="#_x0000_t75" style="width:452.4pt;height:134.4pt" o:ole="">
            <v:imagedata r:id="rId19" o:title=""/>
          </v:shape>
          <o:OLEObject Type="Embed" ProgID="CorelDRAW.Graphic.14" ShapeID="_x0000_i1027" DrawAspect="Content" ObjectID="_1370760682" r:id="rId20"/>
        </w:object>
      </w:r>
    </w:p>
    <w:p w:rsidR="00344AC6" w:rsidRDefault="00344AC6" w:rsidP="00344AC6">
      <w:pPr>
        <w:pStyle w:val="Blanc"/>
      </w:pPr>
    </w:p>
    <w:p w:rsidR="00FF2FBF" w:rsidRDefault="00FF2FBF" w:rsidP="00FF2FBF">
      <w:pPr>
        <w:rPr>
          <w:lang w:val="es-ES_tradnl"/>
        </w:rPr>
      </w:pPr>
      <w:r>
        <w:rPr>
          <w:lang w:val="es-ES_tradnl"/>
        </w:rPr>
        <w:t>Las normas fundamentales que debe cumplir la máquina de presentación son las siguientes:</w:t>
      </w:r>
    </w:p>
    <w:p w:rsidR="00FF2FBF" w:rsidRDefault="00FF2FBF" w:rsidP="00564D3B">
      <w:pPr>
        <w:pStyle w:val="enumlev1"/>
        <w:rPr>
          <w:lang w:val="es-ES_tradnl"/>
        </w:rPr>
      </w:pPr>
      <w:r>
        <w:rPr>
          <w:lang w:val="es-ES_tradnl"/>
        </w:rPr>
        <w:t>1</w:t>
      </w:r>
      <w:r w:rsidR="00564D3B">
        <w:rPr>
          <w:lang w:val="es-ES_tradnl"/>
        </w:rPr>
        <w:t>.</w:t>
      </w:r>
      <w:r>
        <w:rPr>
          <w:lang w:val="es-ES_tradnl"/>
        </w:rPr>
        <w:tab/>
        <w:t>Lenguaje de marcaje tal como los módulos comunes HTML, BML y NCL definidos en la modularización XHTML y/o HTML como define W3C.</w:t>
      </w:r>
    </w:p>
    <w:p w:rsidR="00FF2FBF" w:rsidRDefault="00FF2FBF" w:rsidP="00564D3B">
      <w:pPr>
        <w:pStyle w:val="enumlev1"/>
        <w:rPr>
          <w:lang w:val="es-ES_tradnl"/>
        </w:rPr>
      </w:pPr>
      <w:r>
        <w:rPr>
          <w:lang w:val="es-ES_tradnl"/>
        </w:rPr>
        <w:t>2</w:t>
      </w:r>
      <w:r w:rsidR="00564D3B">
        <w:rPr>
          <w:lang w:val="es-ES_tradnl"/>
        </w:rPr>
        <w:t>.</w:t>
      </w:r>
      <w:r>
        <w:rPr>
          <w:lang w:val="es-ES_tradnl"/>
        </w:rPr>
        <w:tab/>
        <w:t>Hoja de estilos CSS para describir el estilo de presentación, definida por W3C.</w:t>
      </w:r>
    </w:p>
    <w:p w:rsidR="00FF2FBF" w:rsidRDefault="00FF2FBF" w:rsidP="00564D3B">
      <w:pPr>
        <w:pStyle w:val="enumlev1"/>
        <w:rPr>
          <w:lang w:val="es-ES_tradnl"/>
        </w:rPr>
      </w:pPr>
      <w:r>
        <w:rPr>
          <w:lang w:val="es-ES_tradnl"/>
        </w:rPr>
        <w:t>3</w:t>
      </w:r>
      <w:r w:rsidR="00564D3B">
        <w:rPr>
          <w:lang w:val="es-ES_tradnl"/>
        </w:rPr>
        <w:t>.</w:t>
      </w:r>
      <w:r>
        <w:rPr>
          <w:lang w:val="es-ES_tradnl"/>
        </w:rPr>
        <w:tab/>
        <w:t>API DOM para cambiar de manera dinámica el contenido de documentos HTML o XHTML, como se define en W3C.</w:t>
      </w:r>
    </w:p>
    <w:p w:rsidR="00FF2FBF" w:rsidRDefault="00FF2FBF" w:rsidP="00564D3B">
      <w:pPr>
        <w:pStyle w:val="enumlev1"/>
        <w:rPr>
          <w:lang w:val="es-ES_tradnl"/>
        </w:rPr>
      </w:pPr>
      <w:r>
        <w:rPr>
          <w:lang w:val="es-ES_tradnl"/>
        </w:rPr>
        <w:t>4</w:t>
      </w:r>
      <w:r w:rsidR="00564D3B">
        <w:rPr>
          <w:lang w:val="es-ES_tradnl"/>
        </w:rPr>
        <w:t>.</w:t>
      </w:r>
      <w:r>
        <w:rPr>
          <w:lang w:val="es-ES_tradnl"/>
        </w:rPr>
        <w:tab/>
        <w:t>Lenguaje de guiones.</w:t>
      </w:r>
    </w:p>
    <w:p w:rsidR="00FF2FBF" w:rsidRDefault="00FF2FBF" w:rsidP="00564D3B">
      <w:pPr>
        <w:pStyle w:val="enumlev1"/>
        <w:rPr>
          <w:lang w:val="es-ES_tradnl"/>
        </w:rPr>
      </w:pPr>
      <w:r>
        <w:rPr>
          <w:lang w:val="es-ES_tradnl"/>
        </w:rPr>
        <w:t>5</w:t>
      </w:r>
      <w:r w:rsidR="00564D3B">
        <w:rPr>
          <w:lang w:val="es-ES_tradnl"/>
        </w:rPr>
        <w:t>.</w:t>
      </w:r>
      <w:r>
        <w:rPr>
          <w:lang w:val="es-ES_tradnl"/>
        </w:rPr>
        <w:tab/>
        <w:t>NCL como lenguaje común declarativo.</w:t>
      </w:r>
    </w:p>
    <w:p w:rsidR="00FF2FBF" w:rsidRPr="00282196" w:rsidRDefault="00FF2FBF" w:rsidP="00564D3B">
      <w:pPr>
        <w:pStyle w:val="enumlev1"/>
        <w:rPr>
          <w:lang w:val="es-ES_tradnl"/>
        </w:rPr>
      </w:pPr>
      <w:r>
        <w:rPr>
          <w:lang w:val="es-ES_tradnl"/>
        </w:rPr>
        <w:t>6</w:t>
      </w:r>
      <w:r w:rsidR="00564D3B">
        <w:rPr>
          <w:lang w:val="es-ES_tradnl"/>
        </w:rPr>
        <w:t>.</w:t>
      </w:r>
      <w:r w:rsidRPr="00282196">
        <w:rPr>
          <w:lang w:val="es-ES_tradnl"/>
        </w:rPr>
        <w:tab/>
        <w:t>Extensiones específicas de TV y objetos DOM y API adicionales para tratamiento de señalización, activadores, protocolos y tipos MIME específicos de los receptores de TV y funciones específicas del receptor.</w:t>
      </w:r>
    </w:p>
    <w:p w:rsidR="00FF2FBF" w:rsidRPr="00282196" w:rsidRDefault="00FF2FBF" w:rsidP="00564D3B">
      <w:pPr>
        <w:pStyle w:val="enumlev1"/>
        <w:rPr>
          <w:lang w:val="es-ES_tradnl"/>
        </w:rPr>
      </w:pPr>
      <w:r>
        <w:rPr>
          <w:lang w:val="es-ES_tradnl"/>
        </w:rPr>
        <w:t>7</w:t>
      </w:r>
      <w:r w:rsidR="00564D3B">
        <w:rPr>
          <w:lang w:val="es-ES_tradnl"/>
        </w:rPr>
        <w:t>.</w:t>
      </w:r>
      <w:r w:rsidRPr="00282196">
        <w:rPr>
          <w:lang w:val="es-ES_tradnl"/>
        </w:rPr>
        <w:tab/>
        <w:t xml:space="preserve">Tipos de medios </w:t>
      </w:r>
      <w:r>
        <w:rPr>
          <w:lang w:val="es-ES_tradnl"/>
        </w:rPr>
        <w:t>normalizados</w:t>
      </w:r>
      <w:r w:rsidRPr="00282196">
        <w:rPr>
          <w:lang w:val="es-ES_tradnl"/>
        </w:rPr>
        <w:t xml:space="preserve"> tales como imagen/jpg, imagen/png, audio/básico y tipos de medios específicos de TV como vídeo/mpeg definidos por ISO.</w:t>
      </w:r>
    </w:p>
    <w:p w:rsidR="00FF2FBF" w:rsidRDefault="00FF2FBF" w:rsidP="00564D3B">
      <w:pPr>
        <w:pStyle w:val="enumlev1"/>
        <w:rPr>
          <w:lang w:val="es-ES_tradnl"/>
        </w:rPr>
      </w:pPr>
      <w:r>
        <w:rPr>
          <w:lang w:val="es-ES_tradnl"/>
        </w:rPr>
        <w:t>8</w:t>
      </w:r>
      <w:r w:rsidR="00564D3B">
        <w:rPr>
          <w:lang w:val="es-ES_tradnl"/>
        </w:rPr>
        <w:t>.</w:t>
      </w:r>
      <w:r w:rsidRPr="00282196">
        <w:rPr>
          <w:lang w:val="es-ES_tradnl"/>
        </w:rPr>
        <w:tab/>
        <w:t>Analizador sintáctico XML definido por W3C.</w:t>
      </w:r>
    </w:p>
    <w:p w:rsidR="00FF2FBF" w:rsidRDefault="00FF2FBF" w:rsidP="00FF2FBF">
      <w:pPr>
        <w:rPr>
          <w:lang w:val="es-ES_tradnl"/>
        </w:rPr>
      </w:pPr>
    </w:p>
    <w:p w:rsidR="00FF2FBF" w:rsidRDefault="00FF2FBF" w:rsidP="00FF2FBF">
      <w:pPr>
        <w:rPr>
          <w:lang w:val="es-ES_tradnl"/>
        </w:rPr>
      </w:pPr>
    </w:p>
    <w:p w:rsidR="00FF2FBF" w:rsidRPr="00FF2FBF" w:rsidRDefault="00FF2FBF" w:rsidP="00FF2FBF">
      <w:pPr>
        <w:pStyle w:val="Line"/>
        <w:rPr>
          <w:lang w:val="es-ES_tradnl"/>
        </w:rPr>
      </w:pPr>
    </w:p>
    <w:sectPr w:rsidR="00FF2FBF" w:rsidRPr="00FF2FBF" w:rsidSect="00344123">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5D6" w:rsidRDefault="00B665D6">
      <w:r>
        <w:separator/>
      </w:r>
    </w:p>
  </w:endnote>
  <w:endnote w:type="continuationSeparator" w:id="0">
    <w:p w:rsidR="00B665D6" w:rsidRDefault="00B66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5D6" w:rsidRDefault="00B665D6">
      <w:r>
        <w:separator/>
      </w:r>
    </w:p>
  </w:footnote>
  <w:footnote w:type="continuationSeparator" w:id="0">
    <w:p w:rsidR="00B665D6" w:rsidRDefault="00B665D6">
      <w:r>
        <w:continuationSeparator/>
      </w:r>
    </w:p>
  </w:footnote>
  <w:footnote w:id="1">
    <w:p w:rsidR="00B665D6" w:rsidRPr="00FF2FBF" w:rsidRDefault="00B665D6">
      <w:pPr>
        <w:pStyle w:val="FootnoteText"/>
        <w:rPr>
          <w:lang w:val="es-ES_tradnl"/>
        </w:rPr>
      </w:pPr>
      <w:r>
        <w:rPr>
          <w:rStyle w:val="FootnoteReference"/>
        </w:rPr>
        <w:footnoteRef/>
      </w:r>
      <w:r w:rsidRPr="00FF2FBF">
        <w:rPr>
          <w:lang w:val="es-ES_tradnl"/>
        </w:rPr>
        <w:tab/>
      </w:r>
      <w:r>
        <w:rPr>
          <w:lang w:val="es-ES_tradnl"/>
        </w:rPr>
        <w:t>Esta Recomendación debe señalarse a la atención de la Comisión de Estudio 9 del UIT</w:t>
      </w:r>
      <w:r>
        <w:rPr>
          <w:lang w:val="es-ES_tradnl"/>
        </w:rPr>
        <w:noBreakHyphen/>
        <w:t>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5D6" w:rsidRDefault="00B665D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5D6" w:rsidRDefault="00B665D6" w:rsidP="009E1F8B">
    <w:pPr>
      <w:pStyle w:val="Header"/>
      <w:ind w:right="360" w:firstLine="360"/>
    </w:pPr>
    <w:r>
      <w:rPr>
        <w:noProof/>
        <w:lang w:val="es-ES_tradnl" w:eastAsia="zh-CN"/>
      </w:rPr>
      <w:drawing>
        <wp:anchor distT="0" distB="0" distL="114300" distR="114300" simplePos="0" relativeHeight="251657728" behindDoc="1" locked="0" layoutInCell="1" allowOverlap="1" wp14:anchorId="6CEEE21C" wp14:editId="23654A4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5D6" w:rsidRDefault="00B665D6"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CA18ED">
      <w:rPr>
        <w:rStyle w:val="PageNumber"/>
        <w:b/>
        <w:bCs/>
        <w:noProof/>
      </w:rPr>
      <w:t>ii</w:t>
    </w:r>
    <w:r>
      <w:rPr>
        <w:rStyle w:val="PageNumber"/>
        <w:b/>
        <w:bCs/>
      </w:rPr>
      <w:fldChar w:fldCharType="end"/>
    </w:r>
    <w:r>
      <w:tab/>
    </w:r>
    <w:fldSimple w:instr=" DOCPROPERTY &quot;Header&quot; \* MERGEFORMAT ">
      <w:r w:rsidR="00344AC6" w:rsidRPr="00344AC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A18ED">
      <w:rPr>
        <w:b/>
        <w:bCs/>
        <w:noProof/>
      </w:rPr>
      <w:t>UIT-R  BT.1889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5D6" w:rsidRDefault="00B665D6">
    <w:pPr>
      <w:pStyle w:val="Header"/>
    </w:pPr>
    <w:r>
      <w:tab/>
    </w:r>
    <w:fldSimple w:instr=" DOCPROPERTY &quot;Header&quot; \* MERGEFORMAT ">
      <w:r w:rsidR="00344AC6" w:rsidRPr="00344AC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44AC6">
      <w:rPr>
        <w:b/>
        <w:bCs/>
        <w:noProof/>
      </w:rPr>
      <w:t>UIT-R  BT.1889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5D6" w:rsidRDefault="00B665D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A18ED">
      <w:rPr>
        <w:rStyle w:val="PageNumber"/>
        <w:b/>
        <w:bCs/>
        <w:noProof/>
        <w:lang w:val="en-US"/>
      </w:rPr>
      <w:t>2</w:t>
    </w:r>
    <w:r>
      <w:rPr>
        <w:rStyle w:val="PageNumber"/>
        <w:b/>
        <w:bCs/>
      </w:rPr>
      <w:fldChar w:fldCharType="end"/>
    </w:r>
    <w:r>
      <w:rPr>
        <w:lang w:val="en-US"/>
      </w:rPr>
      <w:tab/>
    </w:r>
    <w:fldSimple w:instr=" DOCPROPERTY &quot;Header&quot; \* MERGEFORMAT ">
      <w:r w:rsidR="00344AC6" w:rsidRPr="00344AC6">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CA18ED">
      <w:rPr>
        <w:b/>
        <w:bCs/>
        <w:noProof/>
      </w:rPr>
      <w:t>UIT-R  BT.1889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5D6" w:rsidRDefault="00B665D6">
    <w:pPr>
      <w:pStyle w:val="Header"/>
    </w:pPr>
    <w:r>
      <w:tab/>
    </w:r>
    <w:fldSimple w:instr=" DOCPROPERTY &quot;Header&quot; \* MERGEFORMAT ">
      <w:r w:rsidR="00344AC6" w:rsidRPr="00344AC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A18ED">
      <w:rPr>
        <w:b/>
        <w:bCs/>
        <w:noProof/>
      </w:rPr>
      <w:t>UIT-R  BT.1889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A18ED">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nsid w:val="33DC35F5"/>
    <w:multiLevelType w:val="singleLevel"/>
    <w:tmpl w:val="74BE1188"/>
    <w:lvl w:ilvl="0">
      <w:start w:val="7"/>
      <w:numFmt w:val="decimal"/>
      <w:lvlText w:val="%1"/>
      <w:legacy w:legacy="1" w:legacySpace="0" w:legacyIndent="795"/>
      <w:lvlJc w:val="left"/>
      <w:pPr>
        <w:ind w:left="795" w:hanging="795"/>
      </w:pPr>
    </w:lvl>
  </w:abstractNum>
  <w:abstractNum w:abstractNumId="8">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F28"/>
    <w:rsid w:val="00091138"/>
    <w:rsid w:val="001E29DB"/>
    <w:rsid w:val="00227CED"/>
    <w:rsid w:val="00284AF8"/>
    <w:rsid w:val="002D76C4"/>
    <w:rsid w:val="0032222F"/>
    <w:rsid w:val="00344123"/>
    <w:rsid w:val="00344AC6"/>
    <w:rsid w:val="00363854"/>
    <w:rsid w:val="003829F0"/>
    <w:rsid w:val="004156D2"/>
    <w:rsid w:val="004452A9"/>
    <w:rsid w:val="00474E13"/>
    <w:rsid w:val="00564D3B"/>
    <w:rsid w:val="005726A7"/>
    <w:rsid w:val="005777F3"/>
    <w:rsid w:val="005F43D1"/>
    <w:rsid w:val="00607D68"/>
    <w:rsid w:val="00633625"/>
    <w:rsid w:val="006553B9"/>
    <w:rsid w:val="006818DE"/>
    <w:rsid w:val="00684CC5"/>
    <w:rsid w:val="006C7692"/>
    <w:rsid w:val="00721270"/>
    <w:rsid w:val="00841C89"/>
    <w:rsid w:val="00894462"/>
    <w:rsid w:val="008B6031"/>
    <w:rsid w:val="008D196B"/>
    <w:rsid w:val="00924DCA"/>
    <w:rsid w:val="00930489"/>
    <w:rsid w:val="00954D24"/>
    <w:rsid w:val="00965853"/>
    <w:rsid w:val="00987473"/>
    <w:rsid w:val="009940E7"/>
    <w:rsid w:val="009E1F8B"/>
    <w:rsid w:val="009E470E"/>
    <w:rsid w:val="00A26FDC"/>
    <w:rsid w:val="00A43420"/>
    <w:rsid w:val="00A6617B"/>
    <w:rsid w:val="00AB0DC8"/>
    <w:rsid w:val="00AE798C"/>
    <w:rsid w:val="00AF6707"/>
    <w:rsid w:val="00B44E24"/>
    <w:rsid w:val="00B665D6"/>
    <w:rsid w:val="00C058C9"/>
    <w:rsid w:val="00C23DBD"/>
    <w:rsid w:val="00CA18ED"/>
    <w:rsid w:val="00CC6087"/>
    <w:rsid w:val="00CC6858"/>
    <w:rsid w:val="00CD276D"/>
    <w:rsid w:val="00DF4176"/>
    <w:rsid w:val="00E35FD1"/>
    <w:rsid w:val="00EB1B24"/>
    <w:rsid w:val="00F16D82"/>
    <w:rsid w:val="00F35BEB"/>
    <w:rsid w:val="00F77F28"/>
    <w:rsid w:val="00FE486C"/>
    <w:rsid w:val="00FF2F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68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C6858"/>
    <w:pPr>
      <w:keepNext/>
      <w:keepLines/>
      <w:spacing w:before="480"/>
      <w:ind w:left="794" w:hanging="794"/>
      <w:outlineLvl w:val="0"/>
    </w:pPr>
    <w:rPr>
      <w:b/>
    </w:rPr>
  </w:style>
  <w:style w:type="paragraph" w:styleId="Heading2">
    <w:name w:val="heading 2"/>
    <w:basedOn w:val="Heading1"/>
    <w:next w:val="Normal"/>
    <w:link w:val="Heading2Char"/>
    <w:qFormat/>
    <w:rsid w:val="00CC6858"/>
    <w:pPr>
      <w:spacing w:before="320"/>
      <w:outlineLvl w:val="1"/>
    </w:pPr>
  </w:style>
  <w:style w:type="paragraph" w:styleId="Heading3">
    <w:name w:val="heading 3"/>
    <w:basedOn w:val="Heading1"/>
    <w:next w:val="Normal"/>
    <w:qFormat/>
    <w:rsid w:val="00CC6858"/>
    <w:pPr>
      <w:spacing w:before="200"/>
      <w:outlineLvl w:val="2"/>
    </w:pPr>
  </w:style>
  <w:style w:type="paragraph" w:styleId="Heading4">
    <w:name w:val="heading 4"/>
    <w:basedOn w:val="Heading3"/>
    <w:next w:val="Normal"/>
    <w:qFormat/>
    <w:rsid w:val="00CC6858"/>
    <w:pPr>
      <w:tabs>
        <w:tab w:val="clear" w:pos="794"/>
        <w:tab w:val="left" w:pos="992"/>
      </w:tabs>
      <w:ind w:left="992" w:hanging="992"/>
      <w:outlineLvl w:val="3"/>
    </w:pPr>
  </w:style>
  <w:style w:type="paragraph" w:styleId="Heading5">
    <w:name w:val="heading 5"/>
    <w:basedOn w:val="Heading4"/>
    <w:next w:val="Normal"/>
    <w:qFormat/>
    <w:rsid w:val="00CC6858"/>
    <w:pPr>
      <w:outlineLvl w:val="4"/>
    </w:pPr>
  </w:style>
  <w:style w:type="paragraph" w:styleId="Heading6">
    <w:name w:val="heading 6"/>
    <w:basedOn w:val="Heading4"/>
    <w:next w:val="Normal"/>
    <w:qFormat/>
    <w:rsid w:val="00CC6858"/>
    <w:pPr>
      <w:tabs>
        <w:tab w:val="clear" w:pos="992"/>
        <w:tab w:val="clear" w:pos="1191"/>
      </w:tabs>
      <w:ind w:left="1588" w:hanging="1588"/>
      <w:outlineLvl w:val="5"/>
    </w:pPr>
  </w:style>
  <w:style w:type="paragraph" w:styleId="Heading7">
    <w:name w:val="heading 7"/>
    <w:basedOn w:val="Heading6"/>
    <w:next w:val="Normal"/>
    <w:qFormat/>
    <w:rsid w:val="00CC6858"/>
    <w:pPr>
      <w:outlineLvl w:val="6"/>
    </w:pPr>
  </w:style>
  <w:style w:type="paragraph" w:styleId="Heading8">
    <w:name w:val="heading 8"/>
    <w:basedOn w:val="Heading6"/>
    <w:next w:val="Normal"/>
    <w:qFormat/>
    <w:rsid w:val="00CC6858"/>
    <w:pPr>
      <w:outlineLvl w:val="7"/>
    </w:pPr>
  </w:style>
  <w:style w:type="paragraph" w:styleId="Heading9">
    <w:name w:val="heading 9"/>
    <w:basedOn w:val="Heading6"/>
    <w:next w:val="Normal"/>
    <w:qFormat/>
    <w:rsid w:val="00CC68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68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C68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C6858"/>
  </w:style>
  <w:style w:type="paragraph" w:customStyle="1" w:styleId="Headingb">
    <w:name w:val="Heading_b"/>
    <w:basedOn w:val="Heading3"/>
    <w:next w:val="Normal"/>
    <w:rsid w:val="00CC6858"/>
    <w:pPr>
      <w:spacing w:before="160"/>
      <w:ind w:left="0" w:firstLine="0"/>
      <w:outlineLvl w:val="9"/>
    </w:pPr>
  </w:style>
  <w:style w:type="paragraph" w:customStyle="1" w:styleId="Headingi">
    <w:name w:val="Heading_i"/>
    <w:basedOn w:val="Heading3"/>
    <w:next w:val="Normal"/>
    <w:rsid w:val="00CC6858"/>
    <w:pPr>
      <w:spacing w:before="160"/>
      <w:ind w:left="0" w:firstLine="0"/>
    </w:pPr>
    <w:rPr>
      <w:b w:val="0"/>
      <w:i/>
    </w:rPr>
  </w:style>
  <w:style w:type="character" w:customStyle="1" w:styleId="href">
    <w:name w:val="href"/>
    <w:basedOn w:val="DefaultParagraphFont"/>
    <w:rsid w:val="00CC6858"/>
  </w:style>
  <w:style w:type="paragraph" w:customStyle="1" w:styleId="enumlev1">
    <w:name w:val="enumlev1"/>
    <w:basedOn w:val="Normal"/>
    <w:rsid w:val="00CC6858"/>
    <w:pPr>
      <w:spacing w:before="80"/>
      <w:ind w:left="794" w:hanging="794"/>
    </w:pPr>
  </w:style>
  <w:style w:type="paragraph" w:customStyle="1" w:styleId="enumlev2">
    <w:name w:val="enumlev2"/>
    <w:basedOn w:val="enumlev1"/>
    <w:rsid w:val="00CC6858"/>
    <w:pPr>
      <w:ind w:left="1191" w:hanging="397"/>
    </w:pPr>
  </w:style>
  <w:style w:type="paragraph" w:customStyle="1" w:styleId="enumlev3">
    <w:name w:val="enumlev3"/>
    <w:basedOn w:val="enumlev2"/>
    <w:rsid w:val="00CC6858"/>
    <w:pPr>
      <w:ind w:left="1588"/>
    </w:pPr>
  </w:style>
  <w:style w:type="paragraph" w:customStyle="1" w:styleId="Normalaftertitle">
    <w:name w:val="Normal_after_title"/>
    <w:basedOn w:val="Normal"/>
    <w:next w:val="Normal"/>
    <w:rsid w:val="00CC6858"/>
    <w:pPr>
      <w:spacing w:before="320"/>
    </w:pPr>
  </w:style>
  <w:style w:type="paragraph" w:customStyle="1" w:styleId="Note">
    <w:name w:val="Note"/>
    <w:basedOn w:val="Normal"/>
    <w:rsid w:val="00CC68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C685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C6858"/>
    <w:pPr>
      <w:keepNext/>
      <w:keepLines/>
      <w:spacing w:before="240"/>
      <w:jc w:val="center"/>
    </w:pPr>
    <w:rPr>
      <w:b/>
      <w:sz w:val="28"/>
    </w:rPr>
  </w:style>
  <w:style w:type="paragraph" w:customStyle="1" w:styleId="Recref">
    <w:name w:val="Rec_ref"/>
    <w:basedOn w:val="Normal"/>
    <w:next w:val="Recdate"/>
    <w:rsid w:val="00CC6858"/>
    <w:pPr>
      <w:jc w:val="center"/>
    </w:pPr>
  </w:style>
  <w:style w:type="paragraph" w:customStyle="1" w:styleId="Recdate">
    <w:name w:val="Rec_date"/>
    <w:basedOn w:val="Recref"/>
    <w:next w:val="Normalaftertitle"/>
    <w:rsid w:val="00CC6858"/>
    <w:pPr>
      <w:jc w:val="right"/>
    </w:pPr>
  </w:style>
  <w:style w:type="paragraph" w:customStyle="1" w:styleId="HeadingSum">
    <w:name w:val="Heading_Sum"/>
    <w:basedOn w:val="Headingb"/>
    <w:next w:val="Normal"/>
    <w:rsid w:val="00CC6858"/>
    <w:pPr>
      <w:spacing w:before="240"/>
    </w:pPr>
    <w:rPr>
      <w:sz w:val="22"/>
      <w:lang w:val="es-ES_tradnl"/>
    </w:rPr>
  </w:style>
  <w:style w:type="paragraph" w:customStyle="1" w:styleId="AnnexNoTitle">
    <w:name w:val="Annex_NoTitle"/>
    <w:basedOn w:val="Normal"/>
    <w:next w:val="Normalaftertitle"/>
    <w:rsid w:val="00CC6858"/>
    <w:pPr>
      <w:keepNext/>
      <w:keepLines/>
      <w:spacing w:before="480" w:after="80"/>
      <w:jc w:val="center"/>
    </w:pPr>
    <w:rPr>
      <w:b/>
      <w:sz w:val="28"/>
    </w:rPr>
  </w:style>
  <w:style w:type="paragraph" w:customStyle="1" w:styleId="AppendixNoTitle">
    <w:name w:val="Appendix_NoTitle"/>
    <w:basedOn w:val="AnnexNoTitle"/>
    <w:next w:val="Normal"/>
    <w:rsid w:val="00CC6858"/>
  </w:style>
  <w:style w:type="paragraph" w:customStyle="1" w:styleId="Tablefin">
    <w:name w:val="Table_fin"/>
    <w:basedOn w:val="Normal"/>
    <w:next w:val="Normal"/>
    <w:rsid w:val="00CC6858"/>
    <w:pPr>
      <w:spacing w:before="0"/>
    </w:pPr>
    <w:rPr>
      <w:sz w:val="20"/>
      <w:lang w:val="en-GB"/>
    </w:rPr>
  </w:style>
  <w:style w:type="paragraph" w:customStyle="1" w:styleId="Tablehead">
    <w:name w:val="Table_head"/>
    <w:basedOn w:val="Normal"/>
    <w:next w:val="Normal"/>
    <w:rsid w:val="00CC68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C6858"/>
    <w:pPr>
      <w:keepNext/>
      <w:spacing w:before="360" w:after="120"/>
      <w:jc w:val="center"/>
    </w:pPr>
  </w:style>
  <w:style w:type="paragraph" w:customStyle="1" w:styleId="Tabletext">
    <w:name w:val="Table_text"/>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C6858"/>
    <w:pPr>
      <w:tabs>
        <w:tab w:val="clear" w:pos="1191"/>
        <w:tab w:val="clear" w:pos="1588"/>
        <w:tab w:val="clear" w:pos="1985"/>
        <w:tab w:val="center" w:pos="4820"/>
        <w:tab w:val="right" w:pos="9639"/>
      </w:tabs>
    </w:pPr>
  </w:style>
  <w:style w:type="paragraph" w:customStyle="1" w:styleId="Equationlegend">
    <w:name w:val="Equation_legend"/>
    <w:basedOn w:val="NormalIndent"/>
    <w:rsid w:val="00CC68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C6858"/>
    <w:pPr>
      <w:ind w:left="794"/>
    </w:pPr>
  </w:style>
  <w:style w:type="paragraph" w:customStyle="1" w:styleId="Figurelegend">
    <w:name w:val="Figure_legend"/>
    <w:basedOn w:val="Normal"/>
    <w:rsid w:val="00CC68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C6858"/>
    <w:pPr>
      <w:keepNext/>
      <w:keepLines/>
      <w:spacing w:before="480" w:after="80"/>
      <w:jc w:val="center"/>
    </w:pPr>
    <w:rPr>
      <w:caps/>
      <w:sz w:val="18"/>
    </w:rPr>
  </w:style>
  <w:style w:type="paragraph" w:customStyle="1" w:styleId="Figuretitle">
    <w:name w:val="Figure_title"/>
    <w:basedOn w:val="Normal"/>
    <w:next w:val="Figure"/>
    <w:rsid w:val="00CC6858"/>
    <w:pPr>
      <w:keepNext/>
      <w:spacing w:before="0" w:after="120"/>
      <w:jc w:val="center"/>
    </w:pPr>
    <w:rPr>
      <w:rFonts w:ascii="Times New Roman Bold" w:hAnsi="Times New Roman Bold"/>
      <w:b/>
      <w:sz w:val="18"/>
    </w:rPr>
  </w:style>
  <w:style w:type="paragraph" w:customStyle="1" w:styleId="Figure">
    <w:name w:val="Figure"/>
    <w:basedOn w:val="FigureNo"/>
    <w:next w:val="Normal"/>
    <w:rsid w:val="00CC6858"/>
    <w:pPr>
      <w:keepNext w:val="0"/>
      <w:spacing w:before="0" w:after="240"/>
    </w:pPr>
  </w:style>
  <w:style w:type="paragraph" w:customStyle="1" w:styleId="tocpart">
    <w:name w:val="tocpart"/>
    <w:basedOn w:val="Normal"/>
    <w:rsid w:val="00CC68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C6858"/>
    <w:pPr>
      <w:keepNext/>
      <w:keepLines/>
      <w:spacing w:before="480"/>
      <w:jc w:val="center"/>
    </w:pPr>
    <w:rPr>
      <w:sz w:val="28"/>
    </w:rPr>
  </w:style>
  <w:style w:type="paragraph" w:customStyle="1" w:styleId="Arttitle">
    <w:name w:val="Art_title"/>
    <w:basedOn w:val="Normal"/>
    <w:next w:val="Normalaftertitle"/>
    <w:rsid w:val="00CC6858"/>
    <w:pPr>
      <w:keepNext/>
      <w:keepLines/>
      <w:spacing w:before="240"/>
      <w:jc w:val="center"/>
    </w:pPr>
    <w:rPr>
      <w:b/>
      <w:sz w:val="28"/>
    </w:rPr>
  </w:style>
  <w:style w:type="paragraph" w:customStyle="1" w:styleId="Blanc">
    <w:name w:val="Blanc"/>
    <w:basedOn w:val="Normal"/>
    <w:next w:val="Tabletext"/>
    <w:rsid w:val="00CC68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C68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6858"/>
    <w:pPr>
      <w:keepNext/>
      <w:keepLines/>
      <w:spacing w:before="160"/>
      <w:ind w:left="794"/>
    </w:pPr>
    <w:rPr>
      <w:i/>
    </w:rPr>
  </w:style>
  <w:style w:type="paragraph" w:customStyle="1" w:styleId="ChapNo">
    <w:name w:val="Chap_No"/>
    <w:basedOn w:val="ArtNo"/>
    <w:next w:val="Chaptitle"/>
    <w:rsid w:val="00CC6858"/>
    <w:rPr>
      <w:b/>
    </w:rPr>
  </w:style>
  <w:style w:type="paragraph" w:customStyle="1" w:styleId="Chaptitle">
    <w:name w:val="Chap_title"/>
    <w:basedOn w:val="Arttitle"/>
    <w:next w:val="Normalaftertitle"/>
    <w:rsid w:val="00CC6858"/>
  </w:style>
  <w:style w:type="character" w:styleId="FootnoteReference">
    <w:name w:val="footnote reference"/>
    <w:basedOn w:val="DefaultParagraphFont"/>
    <w:semiHidden/>
    <w:rsid w:val="00CC6858"/>
    <w:rPr>
      <w:position w:val="6"/>
      <w:sz w:val="18"/>
    </w:rPr>
  </w:style>
  <w:style w:type="paragraph" w:styleId="FootnoteText">
    <w:name w:val="footnote text"/>
    <w:basedOn w:val="Normal"/>
    <w:semiHidden/>
    <w:rsid w:val="00CC6858"/>
    <w:pPr>
      <w:keepLines/>
      <w:tabs>
        <w:tab w:val="left" w:pos="255"/>
      </w:tabs>
      <w:ind w:left="255" w:hanging="255"/>
    </w:pPr>
    <w:rPr>
      <w:sz w:val="22"/>
    </w:rPr>
  </w:style>
  <w:style w:type="paragraph" w:styleId="Index1">
    <w:name w:val="index 1"/>
    <w:basedOn w:val="Normal"/>
    <w:next w:val="Normal"/>
    <w:semiHidden/>
    <w:rsid w:val="00CC6858"/>
  </w:style>
  <w:style w:type="paragraph" w:styleId="Index2">
    <w:name w:val="index 2"/>
    <w:basedOn w:val="Normal"/>
    <w:next w:val="Normal"/>
    <w:semiHidden/>
    <w:rsid w:val="00CC6858"/>
    <w:pPr>
      <w:ind w:left="283"/>
    </w:pPr>
  </w:style>
  <w:style w:type="paragraph" w:styleId="Index3">
    <w:name w:val="index 3"/>
    <w:basedOn w:val="Normal"/>
    <w:next w:val="Normal"/>
    <w:semiHidden/>
    <w:rsid w:val="00CC6858"/>
    <w:pPr>
      <w:ind w:left="566"/>
    </w:pPr>
  </w:style>
  <w:style w:type="paragraph" w:styleId="IndexHeading">
    <w:name w:val="index heading"/>
    <w:basedOn w:val="Normal"/>
    <w:next w:val="Index1"/>
    <w:semiHidden/>
    <w:rsid w:val="00CC6858"/>
  </w:style>
  <w:style w:type="paragraph" w:customStyle="1" w:styleId="Line">
    <w:name w:val="Line"/>
    <w:basedOn w:val="Normal"/>
    <w:next w:val="Normal"/>
    <w:rsid w:val="00CC68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C68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C6858"/>
  </w:style>
  <w:style w:type="paragraph" w:customStyle="1" w:styleId="Partref">
    <w:name w:val="Part_ref"/>
    <w:basedOn w:val="Normal"/>
    <w:next w:val="Normal"/>
    <w:rsid w:val="00CC6858"/>
    <w:pPr>
      <w:keepNext/>
      <w:keepLines/>
      <w:spacing w:after="280"/>
      <w:jc w:val="center"/>
    </w:pPr>
  </w:style>
  <w:style w:type="paragraph" w:customStyle="1" w:styleId="Parttitle">
    <w:name w:val="Part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C6858"/>
  </w:style>
  <w:style w:type="paragraph" w:customStyle="1" w:styleId="QuestionNo">
    <w:name w:val="Question_No"/>
    <w:basedOn w:val="RecNo"/>
    <w:next w:val="Normal"/>
    <w:rsid w:val="00CC6858"/>
  </w:style>
  <w:style w:type="paragraph" w:customStyle="1" w:styleId="Questionref">
    <w:name w:val="Question_ref"/>
    <w:basedOn w:val="Recref"/>
    <w:next w:val="Questiondate"/>
    <w:rsid w:val="00CC6858"/>
  </w:style>
  <w:style w:type="paragraph" w:customStyle="1" w:styleId="Questiontitle">
    <w:name w:val="Question_title"/>
    <w:basedOn w:val="Normal"/>
    <w:next w:val="Questionref"/>
    <w:rsid w:val="00CC6858"/>
  </w:style>
  <w:style w:type="paragraph" w:customStyle="1" w:styleId="Reftext">
    <w:name w:val="Ref_text"/>
    <w:basedOn w:val="Normal"/>
    <w:rsid w:val="00CC6858"/>
    <w:pPr>
      <w:ind w:left="794" w:hanging="794"/>
    </w:pPr>
    <w:rPr>
      <w:sz w:val="22"/>
    </w:rPr>
  </w:style>
  <w:style w:type="paragraph" w:customStyle="1" w:styleId="Reftitle">
    <w:name w:val="Ref_title"/>
    <w:basedOn w:val="Normal"/>
    <w:next w:val="Reftext"/>
    <w:rsid w:val="00CC68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C6858"/>
  </w:style>
  <w:style w:type="paragraph" w:customStyle="1" w:styleId="RepNo">
    <w:name w:val="Rep_No"/>
    <w:basedOn w:val="RecNo"/>
    <w:next w:val="Reptitle"/>
    <w:rsid w:val="00CC6858"/>
  </w:style>
  <w:style w:type="paragraph" w:customStyle="1" w:styleId="Reptitle">
    <w:name w:val="Rep_title"/>
    <w:basedOn w:val="Rectitle"/>
    <w:next w:val="Repref"/>
    <w:rsid w:val="00CC6858"/>
  </w:style>
  <w:style w:type="paragraph" w:customStyle="1" w:styleId="Repref">
    <w:name w:val="Rep_ref"/>
    <w:basedOn w:val="Recref"/>
    <w:next w:val="Repdate"/>
    <w:rsid w:val="00CC6858"/>
  </w:style>
  <w:style w:type="paragraph" w:customStyle="1" w:styleId="Resdate">
    <w:name w:val="Res_date"/>
    <w:basedOn w:val="Recdate"/>
    <w:next w:val="Normalaftertitle"/>
    <w:rsid w:val="00CC6858"/>
  </w:style>
  <w:style w:type="paragraph" w:customStyle="1" w:styleId="ResNo">
    <w:name w:val="Res_No"/>
    <w:basedOn w:val="RecNo"/>
    <w:next w:val="Restitle"/>
    <w:rsid w:val="00CC6858"/>
  </w:style>
  <w:style w:type="paragraph" w:customStyle="1" w:styleId="Restitle">
    <w:name w:val="Res_title"/>
    <w:basedOn w:val="Normal"/>
    <w:next w:val="Resref"/>
    <w:rsid w:val="00CC6858"/>
    <w:pPr>
      <w:spacing w:before="240"/>
      <w:jc w:val="center"/>
    </w:pPr>
    <w:rPr>
      <w:b/>
      <w:sz w:val="28"/>
    </w:rPr>
  </w:style>
  <w:style w:type="paragraph" w:customStyle="1" w:styleId="Resref">
    <w:name w:val="Res_ref"/>
    <w:basedOn w:val="Recref"/>
    <w:next w:val="Resdate"/>
    <w:rsid w:val="00CC6858"/>
  </w:style>
  <w:style w:type="paragraph" w:customStyle="1" w:styleId="SectionNo">
    <w:name w:val="Section_No"/>
    <w:basedOn w:val="Normal"/>
    <w:next w:val="Normal"/>
    <w:rsid w:val="00CC6858"/>
  </w:style>
  <w:style w:type="paragraph" w:customStyle="1" w:styleId="Sectiontitle">
    <w:name w:val="Section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C6858"/>
    <w:pPr>
      <w:tabs>
        <w:tab w:val="clear" w:pos="794"/>
        <w:tab w:val="clear" w:pos="1191"/>
        <w:tab w:val="clear" w:pos="1588"/>
        <w:tab w:val="clear" w:pos="1985"/>
        <w:tab w:val="right" w:pos="9611"/>
      </w:tabs>
    </w:pPr>
    <w:rPr>
      <w:i/>
    </w:rPr>
  </w:style>
  <w:style w:type="paragraph" w:styleId="TOC1">
    <w:name w:val="toc 1"/>
    <w:basedOn w:val="Normal"/>
    <w:semiHidden/>
    <w:rsid w:val="00CC68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C6858"/>
    <w:pPr>
      <w:tabs>
        <w:tab w:val="clear" w:pos="567"/>
        <w:tab w:val="left" w:pos="1276"/>
      </w:tabs>
      <w:spacing w:before="160"/>
      <w:ind w:left="1276" w:hanging="709"/>
    </w:pPr>
  </w:style>
  <w:style w:type="paragraph" w:styleId="TOC3">
    <w:name w:val="toc 3"/>
    <w:basedOn w:val="TOC2"/>
    <w:semiHidden/>
    <w:rsid w:val="00CC6858"/>
    <w:pPr>
      <w:tabs>
        <w:tab w:val="clear" w:pos="1276"/>
        <w:tab w:val="left" w:pos="2155"/>
      </w:tabs>
      <w:ind w:left="2155" w:hanging="879"/>
    </w:pPr>
  </w:style>
  <w:style w:type="paragraph" w:styleId="TOC4">
    <w:name w:val="toc 4"/>
    <w:basedOn w:val="TOC3"/>
    <w:semiHidden/>
    <w:rsid w:val="00CC6858"/>
    <w:pPr>
      <w:tabs>
        <w:tab w:val="left" w:pos="3261"/>
      </w:tabs>
      <w:spacing w:before="80"/>
      <w:ind w:left="3261" w:hanging="993"/>
    </w:pPr>
  </w:style>
  <w:style w:type="paragraph" w:styleId="TOC5">
    <w:name w:val="toc 5"/>
    <w:basedOn w:val="TOC4"/>
    <w:semiHidden/>
    <w:rsid w:val="00CC6858"/>
  </w:style>
  <w:style w:type="paragraph" w:styleId="TOC6">
    <w:name w:val="toc 6"/>
    <w:basedOn w:val="TOC4"/>
    <w:semiHidden/>
    <w:rsid w:val="00CC6858"/>
  </w:style>
  <w:style w:type="paragraph" w:styleId="TOC7">
    <w:name w:val="toc 7"/>
    <w:basedOn w:val="TOC4"/>
    <w:semiHidden/>
    <w:rsid w:val="00CC6858"/>
  </w:style>
  <w:style w:type="paragraph" w:styleId="TOC8">
    <w:name w:val="toc 8"/>
    <w:basedOn w:val="TOC4"/>
    <w:semiHidden/>
    <w:rsid w:val="00CC6858"/>
  </w:style>
  <w:style w:type="paragraph" w:customStyle="1" w:styleId="Annexref">
    <w:name w:val="Annex_ref"/>
    <w:basedOn w:val="Normal"/>
    <w:next w:val="Normalaftertitle"/>
    <w:rsid w:val="00CC6858"/>
    <w:pPr>
      <w:keepNext/>
      <w:keepLines/>
      <w:spacing w:after="280"/>
      <w:jc w:val="center"/>
    </w:pPr>
  </w:style>
  <w:style w:type="paragraph" w:customStyle="1" w:styleId="Appendixref">
    <w:name w:val="Appendix_ref"/>
    <w:basedOn w:val="Annexref"/>
    <w:next w:val="Normalaftertitle"/>
    <w:rsid w:val="00CC6858"/>
  </w:style>
  <w:style w:type="paragraph" w:customStyle="1" w:styleId="Tabletitle">
    <w:name w:val="Table_title"/>
    <w:basedOn w:val="Normal"/>
    <w:next w:val="Tablehead"/>
    <w:rsid w:val="00CC6858"/>
    <w:pPr>
      <w:keepNext/>
      <w:spacing w:before="0" w:after="120"/>
      <w:jc w:val="center"/>
    </w:pPr>
    <w:rPr>
      <w:b/>
    </w:rPr>
  </w:style>
  <w:style w:type="paragraph" w:customStyle="1" w:styleId="Summary">
    <w:name w:val="Summary"/>
    <w:basedOn w:val="Normal"/>
    <w:next w:val="Normalaftertitle"/>
    <w:rsid w:val="00CC6858"/>
    <w:pPr>
      <w:spacing w:after="480"/>
    </w:pPr>
    <w:rPr>
      <w:sz w:val="22"/>
      <w:lang w:val="es-ES_tradnl"/>
    </w:r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C6858"/>
    <w:pPr>
      <w:ind w:left="-85" w:firstLine="0"/>
    </w:pPr>
    <w:rPr>
      <w:lang w:val="en-US"/>
    </w:rPr>
  </w:style>
  <w:style w:type="character" w:customStyle="1" w:styleId="Heading1Char">
    <w:name w:val="Heading 1 Char"/>
    <w:basedOn w:val="DefaultParagraphFont"/>
    <w:link w:val="Heading1"/>
    <w:rsid w:val="00FF2FBF"/>
    <w:rPr>
      <w:b/>
      <w:sz w:val="24"/>
      <w:lang w:val="fr-FR" w:eastAsia="en-US"/>
    </w:rPr>
  </w:style>
  <w:style w:type="character" w:customStyle="1" w:styleId="Heading2Char">
    <w:name w:val="Heading 2 Char"/>
    <w:basedOn w:val="DefaultParagraphFont"/>
    <w:link w:val="Heading2"/>
    <w:rsid w:val="00FF2FBF"/>
    <w:rPr>
      <w:b/>
      <w:sz w:val="24"/>
      <w:lang w:val="fr-FR" w:eastAsia="en-US"/>
    </w:rPr>
  </w:style>
  <w:style w:type="character" w:customStyle="1" w:styleId="FigureNoChar">
    <w:name w:val="Figure_No Char"/>
    <w:basedOn w:val="DefaultParagraphFont"/>
    <w:link w:val="FigureNo"/>
    <w:rsid w:val="00FF2FBF"/>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68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C6858"/>
    <w:pPr>
      <w:keepNext/>
      <w:keepLines/>
      <w:spacing w:before="480"/>
      <w:ind w:left="794" w:hanging="794"/>
      <w:outlineLvl w:val="0"/>
    </w:pPr>
    <w:rPr>
      <w:b/>
    </w:rPr>
  </w:style>
  <w:style w:type="paragraph" w:styleId="Heading2">
    <w:name w:val="heading 2"/>
    <w:basedOn w:val="Heading1"/>
    <w:next w:val="Normal"/>
    <w:link w:val="Heading2Char"/>
    <w:qFormat/>
    <w:rsid w:val="00CC6858"/>
    <w:pPr>
      <w:spacing w:before="320"/>
      <w:outlineLvl w:val="1"/>
    </w:pPr>
  </w:style>
  <w:style w:type="paragraph" w:styleId="Heading3">
    <w:name w:val="heading 3"/>
    <w:basedOn w:val="Heading1"/>
    <w:next w:val="Normal"/>
    <w:qFormat/>
    <w:rsid w:val="00CC6858"/>
    <w:pPr>
      <w:spacing w:before="200"/>
      <w:outlineLvl w:val="2"/>
    </w:pPr>
  </w:style>
  <w:style w:type="paragraph" w:styleId="Heading4">
    <w:name w:val="heading 4"/>
    <w:basedOn w:val="Heading3"/>
    <w:next w:val="Normal"/>
    <w:qFormat/>
    <w:rsid w:val="00CC6858"/>
    <w:pPr>
      <w:tabs>
        <w:tab w:val="clear" w:pos="794"/>
        <w:tab w:val="left" w:pos="992"/>
      </w:tabs>
      <w:ind w:left="992" w:hanging="992"/>
      <w:outlineLvl w:val="3"/>
    </w:pPr>
  </w:style>
  <w:style w:type="paragraph" w:styleId="Heading5">
    <w:name w:val="heading 5"/>
    <w:basedOn w:val="Heading4"/>
    <w:next w:val="Normal"/>
    <w:qFormat/>
    <w:rsid w:val="00CC6858"/>
    <w:pPr>
      <w:outlineLvl w:val="4"/>
    </w:pPr>
  </w:style>
  <w:style w:type="paragraph" w:styleId="Heading6">
    <w:name w:val="heading 6"/>
    <w:basedOn w:val="Heading4"/>
    <w:next w:val="Normal"/>
    <w:qFormat/>
    <w:rsid w:val="00CC6858"/>
    <w:pPr>
      <w:tabs>
        <w:tab w:val="clear" w:pos="992"/>
        <w:tab w:val="clear" w:pos="1191"/>
      </w:tabs>
      <w:ind w:left="1588" w:hanging="1588"/>
      <w:outlineLvl w:val="5"/>
    </w:pPr>
  </w:style>
  <w:style w:type="paragraph" w:styleId="Heading7">
    <w:name w:val="heading 7"/>
    <w:basedOn w:val="Heading6"/>
    <w:next w:val="Normal"/>
    <w:qFormat/>
    <w:rsid w:val="00CC6858"/>
    <w:pPr>
      <w:outlineLvl w:val="6"/>
    </w:pPr>
  </w:style>
  <w:style w:type="paragraph" w:styleId="Heading8">
    <w:name w:val="heading 8"/>
    <w:basedOn w:val="Heading6"/>
    <w:next w:val="Normal"/>
    <w:qFormat/>
    <w:rsid w:val="00CC6858"/>
    <w:pPr>
      <w:outlineLvl w:val="7"/>
    </w:pPr>
  </w:style>
  <w:style w:type="paragraph" w:styleId="Heading9">
    <w:name w:val="heading 9"/>
    <w:basedOn w:val="Heading6"/>
    <w:next w:val="Normal"/>
    <w:qFormat/>
    <w:rsid w:val="00CC68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68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C68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C6858"/>
  </w:style>
  <w:style w:type="paragraph" w:customStyle="1" w:styleId="Headingb">
    <w:name w:val="Heading_b"/>
    <w:basedOn w:val="Heading3"/>
    <w:next w:val="Normal"/>
    <w:rsid w:val="00CC6858"/>
    <w:pPr>
      <w:spacing w:before="160"/>
      <w:ind w:left="0" w:firstLine="0"/>
      <w:outlineLvl w:val="9"/>
    </w:pPr>
  </w:style>
  <w:style w:type="paragraph" w:customStyle="1" w:styleId="Headingi">
    <w:name w:val="Heading_i"/>
    <w:basedOn w:val="Heading3"/>
    <w:next w:val="Normal"/>
    <w:rsid w:val="00CC6858"/>
    <w:pPr>
      <w:spacing w:before="160"/>
      <w:ind w:left="0" w:firstLine="0"/>
    </w:pPr>
    <w:rPr>
      <w:b w:val="0"/>
      <w:i/>
    </w:rPr>
  </w:style>
  <w:style w:type="character" w:customStyle="1" w:styleId="href">
    <w:name w:val="href"/>
    <w:basedOn w:val="DefaultParagraphFont"/>
    <w:rsid w:val="00CC6858"/>
  </w:style>
  <w:style w:type="paragraph" w:customStyle="1" w:styleId="enumlev1">
    <w:name w:val="enumlev1"/>
    <w:basedOn w:val="Normal"/>
    <w:rsid w:val="00CC6858"/>
    <w:pPr>
      <w:spacing w:before="80"/>
      <w:ind w:left="794" w:hanging="794"/>
    </w:pPr>
  </w:style>
  <w:style w:type="paragraph" w:customStyle="1" w:styleId="enumlev2">
    <w:name w:val="enumlev2"/>
    <w:basedOn w:val="enumlev1"/>
    <w:rsid w:val="00CC6858"/>
    <w:pPr>
      <w:ind w:left="1191" w:hanging="397"/>
    </w:pPr>
  </w:style>
  <w:style w:type="paragraph" w:customStyle="1" w:styleId="enumlev3">
    <w:name w:val="enumlev3"/>
    <w:basedOn w:val="enumlev2"/>
    <w:rsid w:val="00CC6858"/>
    <w:pPr>
      <w:ind w:left="1588"/>
    </w:pPr>
  </w:style>
  <w:style w:type="paragraph" w:customStyle="1" w:styleId="Normalaftertitle">
    <w:name w:val="Normal_after_title"/>
    <w:basedOn w:val="Normal"/>
    <w:next w:val="Normal"/>
    <w:rsid w:val="00CC6858"/>
    <w:pPr>
      <w:spacing w:before="320"/>
    </w:pPr>
  </w:style>
  <w:style w:type="paragraph" w:customStyle="1" w:styleId="Note">
    <w:name w:val="Note"/>
    <w:basedOn w:val="Normal"/>
    <w:rsid w:val="00CC68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C685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C6858"/>
    <w:pPr>
      <w:keepNext/>
      <w:keepLines/>
      <w:spacing w:before="240"/>
      <w:jc w:val="center"/>
    </w:pPr>
    <w:rPr>
      <w:b/>
      <w:sz w:val="28"/>
    </w:rPr>
  </w:style>
  <w:style w:type="paragraph" w:customStyle="1" w:styleId="Recref">
    <w:name w:val="Rec_ref"/>
    <w:basedOn w:val="Normal"/>
    <w:next w:val="Recdate"/>
    <w:rsid w:val="00CC6858"/>
    <w:pPr>
      <w:jc w:val="center"/>
    </w:pPr>
  </w:style>
  <w:style w:type="paragraph" w:customStyle="1" w:styleId="Recdate">
    <w:name w:val="Rec_date"/>
    <w:basedOn w:val="Recref"/>
    <w:next w:val="Normalaftertitle"/>
    <w:rsid w:val="00CC6858"/>
    <w:pPr>
      <w:jc w:val="right"/>
    </w:pPr>
  </w:style>
  <w:style w:type="paragraph" w:customStyle="1" w:styleId="HeadingSum">
    <w:name w:val="Heading_Sum"/>
    <w:basedOn w:val="Headingb"/>
    <w:next w:val="Normal"/>
    <w:rsid w:val="00CC6858"/>
    <w:pPr>
      <w:spacing w:before="240"/>
    </w:pPr>
    <w:rPr>
      <w:sz w:val="22"/>
      <w:lang w:val="es-ES_tradnl"/>
    </w:rPr>
  </w:style>
  <w:style w:type="paragraph" w:customStyle="1" w:styleId="AnnexNoTitle">
    <w:name w:val="Annex_NoTitle"/>
    <w:basedOn w:val="Normal"/>
    <w:next w:val="Normalaftertitle"/>
    <w:rsid w:val="00CC6858"/>
    <w:pPr>
      <w:keepNext/>
      <w:keepLines/>
      <w:spacing w:before="480" w:after="80"/>
      <w:jc w:val="center"/>
    </w:pPr>
    <w:rPr>
      <w:b/>
      <w:sz w:val="28"/>
    </w:rPr>
  </w:style>
  <w:style w:type="paragraph" w:customStyle="1" w:styleId="AppendixNoTitle">
    <w:name w:val="Appendix_NoTitle"/>
    <w:basedOn w:val="AnnexNoTitle"/>
    <w:next w:val="Normal"/>
    <w:rsid w:val="00CC6858"/>
  </w:style>
  <w:style w:type="paragraph" w:customStyle="1" w:styleId="Tablefin">
    <w:name w:val="Table_fin"/>
    <w:basedOn w:val="Normal"/>
    <w:next w:val="Normal"/>
    <w:rsid w:val="00CC6858"/>
    <w:pPr>
      <w:spacing w:before="0"/>
    </w:pPr>
    <w:rPr>
      <w:sz w:val="20"/>
      <w:lang w:val="en-GB"/>
    </w:rPr>
  </w:style>
  <w:style w:type="paragraph" w:customStyle="1" w:styleId="Tablehead">
    <w:name w:val="Table_head"/>
    <w:basedOn w:val="Normal"/>
    <w:next w:val="Normal"/>
    <w:rsid w:val="00CC68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C6858"/>
    <w:pPr>
      <w:keepNext/>
      <w:spacing w:before="360" w:after="120"/>
      <w:jc w:val="center"/>
    </w:pPr>
  </w:style>
  <w:style w:type="paragraph" w:customStyle="1" w:styleId="Tabletext">
    <w:name w:val="Table_text"/>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C6858"/>
    <w:pPr>
      <w:tabs>
        <w:tab w:val="clear" w:pos="1191"/>
        <w:tab w:val="clear" w:pos="1588"/>
        <w:tab w:val="clear" w:pos="1985"/>
        <w:tab w:val="center" w:pos="4820"/>
        <w:tab w:val="right" w:pos="9639"/>
      </w:tabs>
    </w:pPr>
  </w:style>
  <w:style w:type="paragraph" w:customStyle="1" w:styleId="Equationlegend">
    <w:name w:val="Equation_legend"/>
    <w:basedOn w:val="NormalIndent"/>
    <w:rsid w:val="00CC68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C6858"/>
    <w:pPr>
      <w:ind w:left="794"/>
    </w:pPr>
  </w:style>
  <w:style w:type="paragraph" w:customStyle="1" w:styleId="Figurelegend">
    <w:name w:val="Figure_legend"/>
    <w:basedOn w:val="Normal"/>
    <w:rsid w:val="00CC68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C6858"/>
    <w:pPr>
      <w:keepNext/>
      <w:keepLines/>
      <w:spacing w:before="480" w:after="80"/>
      <w:jc w:val="center"/>
    </w:pPr>
    <w:rPr>
      <w:caps/>
      <w:sz w:val="18"/>
    </w:rPr>
  </w:style>
  <w:style w:type="paragraph" w:customStyle="1" w:styleId="Figuretitle">
    <w:name w:val="Figure_title"/>
    <w:basedOn w:val="Normal"/>
    <w:next w:val="Figure"/>
    <w:rsid w:val="00CC6858"/>
    <w:pPr>
      <w:keepNext/>
      <w:spacing w:before="0" w:after="120"/>
      <w:jc w:val="center"/>
    </w:pPr>
    <w:rPr>
      <w:rFonts w:ascii="Times New Roman Bold" w:hAnsi="Times New Roman Bold"/>
      <w:b/>
      <w:sz w:val="18"/>
    </w:rPr>
  </w:style>
  <w:style w:type="paragraph" w:customStyle="1" w:styleId="Figure">
    <w:name w:val="Figure"/>
    <w:basedOn w:val="FigureNo"/>
    <w:next w:val="Normal"/>
    <w:rsid w:val="00CC6858"/>
    <w:pPr>
      <w:keepNext w:val="0"/>
      <w:spacing w:before="0" w:after="240"/>
    </w:pPr>
  </w:style>
  <w:style w:type="paragraph" w:customStyle="1" w:styleId="tocpart">
    <w:name w:val="tocpart"/>
    <w:basedOn w:val="Normal"/>
    <w:rsid w:val="00CC68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C6858"/>
    <w:pPr>
      <w:keepNext/>
      <w:keepLines/>
      <w:spacing w:before="480"/>
      <w:jc w:val="center"/>
    </w:pPr>
    <w:rPr>
      <w:sz w:val="28"/>
    </w:rPr>
  </w:style>
  <w:style w:type="paragraph" w:customStyle="1" w:styleId="Arttitle">
    <w:name w:val="Art_title"/>
    <w:basedOn w:val="Normal"/>
    <w:next w:val="Normalaftertitle"/>
    <w:rsid w:val="00CC6858"/>
    <w:pPr>
      <w:keepNext/>
      <w:keepLines/>
      <w:spacing w:before="240"/>
      <w:jc w:val="center"/>
    </w:pPr>
    <w:rPr>
      <w:b/>
      <w:sz w:val="28"/>
    </w:rPr>
  </w:style>
  <w:style w:type="paragraph" w:customStyle="1" w:styleId="Blanc">
    <w:name w:val="Blanc"/>
    <w:basedOn w:val="Normal"/>
    <w:next w:val="Tabletext"/>
    <w:rsid w:val="00CC68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C68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6858"/>
    <w:pPr>
      <w:keepNext/>
      <w:keepLines/>
      <w:spacing w:before="160"/>
      <w:ind w:left="794"/>
    </w:pPr>
    <w:rPr>
      <w:i/>
    </w:rPr>
  </w:style>
  <w:style w:type="paragraph" w:customStyle="1" w:styleId="ChapNo">
    <w:name w:val="Chap_No"/>
    <w:basedOn w:val="ArtNo"/>
    <w:next w:val="Chaptitle"/>
    <w:rsid w:val="00CC6858"/>
    <w:rPr>
      <w:b/>
    </w:rPr>
  </w:style>
  <w:style w:type="paragraph" w:customStyle="1" w:styleId="Chaptitle">
    <w:name w:val="Chap_title"/>
    <w:basedOn w:val="Arttitle"/>
    <w:next w:val="Normalaftertitle"/>
    <w:rsid w:val="00CC6858"/>
  </w:style>
  <w:style w:type="character" w:styleId="FootnoteReference">
    <w:name w:val="footnote reference"/>
    <w:basedOn w:val="DefaultParagraphFont"/>
    <w:semiHidden/>
    <w:rsid w:val="00CC6858"/>
    <w:rPr>
      <w:position w:val="6"/>
      <w:sz w:val="18"/>
    </w:rPr>
  </w:style>
  <w:style w:type="paragraph" w:styleId="FootnoteText">
    <w:name w:val="footnote text"/>
    <w:basedOn w:val="Normal"/>
    <w:semiHidden/>
    <w:rsid w:val="00CC6858"/>
    <w:pPr>
      <w:keepLines/>
      <w:tabs>
        <w:tab w:val="left" w:pos="255"/>
      </w:tabs>
      <w:ind w:left="255" w:hanging="255"/>
    </w:pPr>
    <w:rPr>
      <w:sz w:val="22"/>
    </w:rPr>
  </w:style>
  <w:style w:type="paragraph" w:styleId="Index1">
    <w:name w:val="index 1"/>
    <w:basedOn w:val="Normal"/>
    <w:next w:val="Normal"/>
    <w:semiHidden/>
    <w:rsid w:val="00CC6858"/>
  </w:style>
  <w:style w:type="paragraph" w:styleId="Index2">
    <w:name w:val="index 2"/>
    <w:basedOn w:val="Normal"/>
    <w:next w:val="Normal"/>
    <w:semiHidden/>
    <w:rsid w:val="00CC6858"/>
    <w:pPr>
      <w:ind w:left="283"/>
    </w:pPr>
  </w:style>
  <w:style w:type="paragraph" w:styleId="Index3">
    <w:name w:val="index 3"/>
    <w:basedOn w:val="Normal"/>
    <w:next w:val="Normal"/>
    <w:semiHidden/>
    <w:rsid w:val="00CC6858"/>
    <w:pPr>
      <w:ind w:left="566"/>
    </w:pPr>
  </w:style>
  <w:style w:type="paragraph" w:styleId="IndexHeading">
    <w:name w:val="index heading"/>
    <w:basedOn w:val="Normal"/>
    <w:next w:val="Index1"/>
    <w:semiHidden/>
    <w:rsid w:val="00CC6858"/>
  </w:style>
  <w:style w:type="paragraph" w:customStyle="1" w:styleId="Line">
    <w:name w:val="Line"/>
    <w:basedOn w:val="Normal"/>
    <w:next w:val="Normal"/>
    <w:rsid w:val="00CC68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C68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C6858"/>
  </w:style>
  <w:style w:type="paragraph" w:customStyle="1" w:styleId="Partref">
    <w:name w:val="Part_ref"/>
    <w:basedOn w:val="Normal"/>
    <w:next w:val="Normal"/>
    <w:rsid w:val="00CC6858"/>
    <w:pPr>
      <w:keepNext/>
      <w:keepLines/>
      <w:spacing w:after="280"/>
      <w:jc w:val="center"/>
    </w:pPr>
  </w:style>
  <w:style w:type="paragraph" w:customStyle="1" w:styleId="Parttitle">
    <w:name w:val="Part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C6858"/>
  </w:style>
  <w:style w:type="paragraph" w:customStyle="1" w:styleId="QuestionNo">
    <w:name w:val="Question_No"/>
    <w:basedOn w:val="RecNo"/>
    <w:next w:val="Normal"/>
    <w:rsid w:val="00CC6858"/>
  </w:style>
  <w:style w:type="paragraph" w:customStyle="1" w:styleId="Questionref">
    <w:name w:val="Question_ref"/>
    <w:basedOn w:val="Recref"/>
    <w:next w:val="Questiondate"/>
    <w:rsid w:val="00CC6858"/>
  </w:style>
  <w:style w:type="paragraph" w:customStyle="1" w:styleId="Questiontitle">
    <w:name w:val="Question_title"/>
    <w:basedOn w:val="Normal"/>
    <w:next w:val="Questionref"/>
    <w:rsid w:val="00CC6858"/>
  </w:style>
  <w:style w:type="paragraph" w:customStyle="1" w:styleId="Reftext">
    <w:name w:val="Ref_text"/>
    <w:basedOn w:val="Normal"/>
    <w:rsid w:val="00CC6858"/>
    <w:pPr>
      <w:ind w:left="794" w:hanging="794"/>
    </w:pPr>
    <w:rPr>
      <w:sz w:val="22"/>
    </w:rPr>
  </w:style>
  <w:style w:type="paragraph" w:customStyle="1" w:styleId="Reftitle">
    <w:name w:val="Ref_title"/>
    <w:basedOn w:val="Normal"/>
    <w:next w:val="Reftext"/>
    <w:rsid w:val="00CC68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C6858"/>
  </w:style>
  <w:style w:type="paragraph" w:customStyle="1" w:styleId="RepNo">
    <w:name w:val="Rep_No"/>
    <w:basedOn w:val="RecNo"/>
    <w:next w:val="Reptitle"/>
    <w:rsid w:val="00CC6858"/>
  </w:style>
  <w:style w:type="paragraph" w:customStyle="1" w:styleId="Reptitle">
    <w:name w:val="Rep_title"/>
    <w:basedOn w:val="Rectitle"/>
    <w:next w:val="Repref"/>
    <w:rsid w:val="00CC6858"/>
  </w:style>
  <w:style w:type="paragraph" w:customStyle="1" w:styleId="Repref">
    <w:name w:val="Rep_ref"/>
    <w:basedOn w:val="Recref"/>
    <w:next w:val="Repdate"/>
    <w:rsid w:val="00CC6858"/>
  </w:style>
  <w:style w:type="paragraph" w:customStyle="1" w:styleId="Resdate">
    <w:name w:val="Res_date"/>
    <w:basedOn w:val="Recdate"/>
    <w:next w:val="Normalaftertitle"/>
    <w:rsid w:val="00CC6858"/>
  </w:style>
  <w:style w:type="paragraph" w:customStyle="1" w:styleId="ResNo">
    <w:name w:val="Res_No"/>
    <w:basedOn w:val="RecNo"/>
    <w:next w:val="Restitle"/>
    <w:rsid w:val="00CC6858"/>
  </w:style>
  <w:style w:type="paragraph" w:customStyle="1" w:styleId="Restitle">
    <w:name w:val="Res_title"/>
    <w:basedOn w:val="Normal"/>
    <w:next w:val="Resref"/>
    <w:rsid w:val="00CC6858"/>
    <w:pPr>
      <w:spacing w:before="240"/>
      <w:jc w:val="center"/>
    </w:pPr>
    <w:rPr>
      <w:b/>
      <w:sz w:val="28"/>
    </w:rPr>
  </w:style>
  <w:style w:type="paragraph" w:customStyle="1" w:styleId="Resref">
    <w:name w:val="Res_ref"/>
    <w:basedOn w:val="Recref"/>
    <w:next w:val="Resdate"/>
    <w:rsid w:val="00CC6858"/>
  </w:style>
  <w:style w:type="paragraph" w:customStyle="1" w:styleId="SectionNo">
    <w:name w:val="Section_No"/>
    <w:basedOn w:val="Normal"/>
    <w:next w:val="Normal"/>
    <w:rsid w:val="00CC6858"/>
  </w:style>
  <w:style w:type="paragraph" w:customStyle="1" w:styleId="Sectiontitle">
    <w:name w:val="Section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C6858"/>
    <w:pPr>
      <w:tabs>
        <w:tab w:val="clear" w:pos="794"/>
        <w:tab w:val="clear" w:pos="1191"/>
        <w:tab w:val="clear" w:pos="1588"/>
        <w:tab w:val="clear" w:pos="1985"/>
        <w:tab w:val="right" w:pos="9611"/>
      </w:tabs>
    </w:pPr>
    <w:rPr>
      <w:i/>
    </w:rPr>
  </w:style>
  <w:style w:type="paragraph" w:styleId="TOC1">
    <w:name w:val="toc 1"/>
    <w:basedOn w:val="Normal"/>
    <w:semiHidden/>
    <w:rsid w:val="00CC68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C6858"/>
    <w:pPr>
      <w:tabs>
        <w:tab w:val="clear" w:pos="567"/>
        <w:tab w:val="left" w:pos="1276"/>
      </w:tabs>
      <w:spacing w:before="160"/>
      <w:ind w:left="1276" w:hanging="709"/>
    </w:pPr>
  </w:style>
  <w:style w:type="paragraph" w:styleId="TOC3">
    <w:name w:val="toc 3"/>
    <w:basedOn w:val="TOC2"/>
    <w:semiHidden/>
    <w:rsid w:val="00CC6858"/>
    <w:pPr>
      <w:tabs>
        <w:tab w:val="clear" w:pos="1276"/>
        <w:tab w:val="left" w:pos="2155"/>
      </w:tabs>
      <w:ind w:left="2155" w:hanging="879"/>
    </w:pPr>
  </w:style>
  <w:style w:type="paragraph" w:styleId="TOC4">
    <w:name w:val="toc 4"/>
    <w:basedOn w:val="TOC3"/>
    <w:semiHidden/>
    <w:rsid w:val="00CC6858"/>
    <w:pPr>
      <w:tabs>
        <w:tab w:val="left" w:pos="3261"/>
      </w:tabs>
      <w:spacing w:before="80"/>
      <w:ind w:left="3261" w:hanging="993"/>
    </w:pPr>
  </w:style>
  <w:style w:type="paragraph" w:styleId="TOC5">
    <w:name w:val="toc 5"/>
    <w:basedOn w:val="TOC4"/>
    <w:semiHidden/>
    <w:rsid w:val="00CC6858"/>
  </w:style>
  <w:style w:type="paragraph" w:styleId="TOC6">
    <w:name w:val="toc 6"/>
    <w:basedOn w:val="TOC4"/>
    <w:semiHidden/>
    <w:rsid w:val="00CC6858"/>
  </w:style>
  <w:style w:type="paragraph" w:styleId="TOC7">
    <w:name w:val="toc 7"/>
    <w:basedOn w:val="TOC4"/>
    <w:semiHidden/>
    <w:rsid w:val="00CC6858"/>
  </w:style>
  <w:style w:type="paragraph" w:styleId="TOC8">
    <w:name w:val="toc 8"/>
    <w:basedOn w:val="TOC4"/>
    <w:semiHidden/>
    <w:rsid w:val="00CC6858"/>
  </w:style>
  <w:style w:type="paragraph" w:customStyle="1" w:styleId="Annexref">
    <w:name w:val="Annex_ref"/>
    <w:basedOn w:val="Normal"/>
    <w:next w:val="Normalaftertitle"/>
    <w:rsid w:val="00CC6858"/>
    <w:pPr>
      <w:keepNext/>
      <w:keepLines/>
      <w:spacing w:after="280"/>
      <w:jc w:val="center"/>
    </w:pPr>
  </w:style>
  <w:style w:type="paragraph" w:customStyle="1" w:styleId="Appendixref">
    <w:name w:val="Appendix_ref"/>
    <w:basedOn w:val="Annexref"/>
    <w:next w:val="Normalaftertitle"/>
    <w:rsid w:val="00CC6858"/>
  </w:style>
  <w:style w:type="paragraph" w:customStyle="1" w:styleId="Tabletitle">
    <w:name w:val="Table_title"/>
    <w:basedOn w:val="Normal"/>
    <w:next w:val="Tablehead"/>
    <w:rsid w:val="00CC6858"/>
    <w:pPr>
      <w:keepNext/>
      <w:spacing w:before="0" w:after="120"/>
      <w:jc w:val="center"/>
    </w:pPr>
    <w:rPr>
      <w:b/>
    </w:rPr>
  </w:style>
  <w:style w:type="paragraph" w:customStyle="1" w:styleId="Summary">
    <w:name w:val="Summary"/>
    <w:basedOn w:val="Normal"/>
    <w:next w:val="Normalaftertitle"/>
    <w:rsid w:val="00CC6858"/>
    <w:pPr>
      <w:spacing w:after="480"/>
    </w:pPr>
    <w:rPr>
      <w:sz w:val="22"/>
      <w:lang w:val="es-ES_tradnl"/>
    </w:r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C6858"/>
    <w:pPr>
      <w:ind w:left="-85" w:firstLine="0"/>
    </w:pPr>
    <w:rPr>
      <w:lang w:val="en-US"/>
    </w:rPr>
  </w:style>
  <w:style w:type="character" w:customStyle="1" w:styleId="Heading1Char">
    <w:name w:val="Heading 1 Char"/>
    <w:basedOn w:val="DefaultParagraphFont"/>
    <w:link w:val="Heading1"/>
    <w:rsid w:val="00FF2FBF"/>
    <w:rPr>
      <w:b/>
      <w:sz w:val="24"/>
      <w:lang w:val="fr-FR" w:eastAsia="en-US"/>
    </w:rPr>
  </w:style>
  <w:style w:type="character" w:customStyle="1" w:styleId="Heading2Char">
    <w:name w:val="Heading 2 Char"/>
    <w:basedOn w:val="DefaultParagraphFont"/>
    <w:link w:val="Heading2"/>
    <w:rsid w:val="00FF2FBF"/>
    <w:rPr>
      <w:b/>
      <w:sz w:val="24"/>
      <w:lang w:val="fr-FR" w:eastAsia="en-US"/>
    </w:rPr>
  </w:style>
  <w:style w:type="character" w:customStyle="1" w:styleId="FigureNoChar">
    <w:name w:val="Figure_No Char"/>
    <w:basedOn w:val="DefaultParagraphFont"/>
    <w:link w:val="FigureNo"/>
    <w:rsid w:val="00FF2FBF"/>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www.itu.int/ITU-R/go/patents/es"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29</TotalTime>
  <Pages>7</Pages>
  <Words>1514</Words>
  <Characters>9786</Characters>
  <Application>Microsoft Office Word</Application>
  <DocSecurity>0</DocSecurity>
  <Lines>543</Lines>
  <Paragraphs>108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11192</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martiner</cp:lastModifiedBy>
  <cp:revision>9</cp:revision>
  <cp:lastPrinted>2009-08-04T08:05:00Z</cp:lastPrinted>
  <dcterms:created xsi:type="dcterms:W3CDTF">2011-06-23T07:57:00Z</dcterms:created>
  <dcterms:modified xsi:type="dcterms:W3CDTF">2011-06-28T08:03:00Z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