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6B43" w:rsidRDefault="00316B43">
      <w:bookmarkStart w:id="0" w:name="Doc_title"/>
    </w:p>
    <w:p w:rsidR="00316B43" w:rsidRDefault="00316B43"/>
    <w:p w:rsidR="00316B43" w:rsidRDefault="00316B43"/>
    <w:p w:rsidR="00316B43" w:rsidRDefault="00316B43"/>
    <w:p w:rsidR="00316B43" w:rsidRDefault="00316B43"/>
    <w:p w:rsidR="00316B43" w:rsidRDefault="00316B43"/>
    <w:p w:rsidR="00316B43" w:rsidRDefault="00316B43"/>
    <w:p w:rsidR="00316B43" w:rsidRDefault="00316B43"/>
    <w:p w:rsidR="00316B43" w:rsidRDefault="00316B43"/>
    <w:p w:rsidR="00316B43" w:rsidRDefault="00316B43"/>
    <w:p w:rsidR="00316B43" w:rsidRDefault="00316B43"/>
    <w:p w:rsidR="00316B43" w:rsidRDefault="00316B43"/>
    <w:tbl>
      <w:tblPr>
        <w:tblW w:w="10089" w:type="dxa"/>
        <w:tblLook w:val="01E0" w:firstRow="1" w:lastRow="1" w:firstColumn="1" w:lastColumn="1" w:noHBand="0" w:noVBand="0"/>
      </w:tblPr>
      <w:tblGrid>
        <w:gridCol w:w="10089"/>
      </w:tblGrid>
      <w:tr w:rsidR="00316B43" w:rsidRPr="00A443C2">
        <w:tc>
          <w:tcPr>
            <w:tcW w:w="10089" w:type="dxa"/>
          </w:tcPr>
          <w:p w:rsidR="00316B43" w:rsidRPr="00B033C8" w:rsidRDefault="00316B43" w:rsidP="0014322C">
            <w:pPr>
              <w:spacing w:before="380" w:line="280" w:lineRule="exact"/>
              <w:jc w:val="right"/>
              <w:rPr>
                <w:rFonts w:ascii="Tahoma" w:hAnsi="Tahoma" w:cs="Tahoma"/>
                <w:b/>
                <w:bCs/>
                <w:iCs/>
                <w:color w:val="243285"/>
                <w:sz w:val="32"/>
                <w:szCs w:val="32"/>
                <w:lang w:val="en-US"/>
              </w:rPr>
            </w:pPr>
          </w:p>
          <w:p w:rsidR="00316B43" w:rsidRPr="00A443C2" w:rsidRDefault="00316B43" w:rsidP="00316B43">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Pr>
                <w:rFonts w:ascii="Tahoma" w:hAnsi="Tahoma" w:cs="Tahoma"/>
                <w:b/>
                <w:bCs/>
                <w:iCs/>
                <w:color w:val="243285"/>
                <w:sz w:val="36"/>
                <w:szCs w:val="36"/>
              </w:rPr>
              <w:t>1889</w:t>
            </w:r>
          </w:p>
          <w:p w:rsidR="00316B43" w:rsidRPr="00A443C2" w:rsidRDefault="00316B43" w:rsidP="00316B43">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03</w:t>
            </w:r>
            <w:r w:rsidRPr="00A443C2">
              <w:rPr>
                <w:rFonts w:ascii="Tahoma" w:hAnsi="Tahoma" w:cs="Tahoma"/>
                <w:b/>
                <w:bCs/>
                <w:iCs/>
                <w:color w:val="243285"/>
                <w:szCs w:val="24"/>
              </w:rPr>
              <w:t>/</w:t>
            </w:r>
            <w:r>
              <w:rPr>
                <w:rFonts w:ascii="Tahoma" w:hAnsi="Tahoma" w:cs="Tahoma"/>
                <w:b/>
                <w:bCs/>
                <w:iCs/>
                <w:color w:val="243285"/>
                <w:szCs w:val="24"/>
              </w:rPr>
              <w:t>2011</w:t>
            </w:r>
            <w:r w:rsidRPr="00A443C2">
              <w:rPr>
                <w:rFonts w:ascii="Tahoma" w:hAnsi="Tahoma" w:cs="Tahoma"/>
                <w:b/>
                <w:bCs/>
                <w:iCs/>
                <w:color w:val="243285"/>
                <w:szCs w:val="24"/>
              </w:rPr>
              <w:t>)</w:t>
            </w:r>
          </w:p>
        </w:tc>
      </w:tr>
      <w:tr w:rsidR="00316B43" w:rsidRPr="00F54FBD">
        <w:tc>
          <w:tcPr>
            <w:tcW w:w="10089" w:type="dxa"/>
          </w:tcPr>
          <w:p w:rsidR="00316B43" w:rsidRPr="0043089F" w:rsidRDefault="00316B43" w:rsidP="0014322C">
            <w:pPr>
              <w:spacing w:before="80" w:line="500" w:lineRule="exact"/>
              <w:jc w:val="right"/>
              <w:rPr>
                <w:rFonts w:ascii="Tahoma" w:hAnsi="Tahoma" w:cs="Tahoma"/>
                <w:b/>
                <w:bCs/>
                <w:iCs/>
                <w:color w:val="243285"/>
                <w:sz w:val="44"/>
                <w:szCs w:val="44"/>
              </w:rPr>
            </w:pPr>
          </w:p>
          <w:p w:rsidR="00316B43" w:rsidRDefault="00316B43" w:rsidP="0014322C">
            <w:pPr>
              <w:spacing w:before="80" w:line="500" w:lineRule="exact"/>
              <w:jc w:val="right"/>
              <w:rPr>
                <w:rFonts w:ascii="Tahoma" w:hAnsi="Tahoma" w:cs="Tahoma"/>
                <w:b/>
                <w:bCs/>
                <w:color w:val="243285"/>
                <w:sz w:val="44"/>
                <w:szCs w:val="44"/>
              </w:rPr>
            </w:pPr>
            <w:r w:rsidRPr="007B4C2B">
              <w:rPr>
                <w:rFonts w:ascii="Tahoma" w:hAnsi="Tahoma" w:cs="Tahoma"/>
                <w:b/>
                <w:bCs/>
                <w:color w:val="243285"/>
                <w:sz w:val="44"/>
                <w:szCs w:val="44"/>
              </w:rPr>
              <w:t>Environnement applicatif commun pour les services de radiodiffusion numérique interactive</w:t>
            </w:r>
          </w:p>
          <w:p w:rsidR="00316B43" w:rsidRPr="0043089F" w:rsidRDefault="00316B43" w:rsidP="0014322C">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316B43" w:rsidRPr="00F54FBD">
        <w:tc>
          <w:tcPr>
            <w:tcW w:w="10089" w:type="dxa"/>
          </w:tcPr>
          <w:p w:rsidR="00316B43" w:rsidRPr="00F54FBD" w:rsidRDefault="00316B43" w:rsidP="0014322C">
            <w:pPr>
              <w:spacing w:before="80" w:line="280" w:lineRule="exact"/>
              <w:ind w:right="640"/>
              <w:rPr>
                <w:rFonts w:ascii="Tahoma" w:hAnsi="Tahoma" w:cs="Tahoma"/>
                <w:b/>
                <w:bCs/>
                <w:iCs/>
                <w:color w:val="243285"/>
                <w:sz w:val="32"/>
                <w:szCs w:val="32"/>
              </w:rPr>
            </w:pPr>
          </w:p>
          <w:p w:rsidR="00316B43" w:rsidRPr="00F54FBD" w:rsidRDefault="00316B43" w:rsidP="0014322C">
            <w:pPr>
              <w:spacing w:before="80" w:line="280" w:lineRule="exact"/>
              <w:ind w:right="640"/>
              <w:rPr>
                <w:rFonts w:ascii="Tahoma" w:hAnsi="Tahoma" w:cs="Tahoma"/>
                <w:b/>
                <w:bCs/>
                <w:iCs/>
                <w:color w:val="243285"/>
                <w:sz w:val="32"/>
                <w:szCs w:val="32"/>
              </w:rPr>
            </w:pPr>
          </w:p>
          <w:p w:rsidR="00316B43" w:rsidRPr="00F54FBD" w:rsidRDefault="00316B43" w:rsidP="0014322C">
            <w:pPr>
              <w:spacing w:before="80" w:after="180" w:line="360" w:lineRule="exact"/>
              <w:ind w:right="720"/>
              <w:rPr>
                <w:rFonts w:ascii="Tahoma" w:hAnsi="Tahoma" w:cs="Tahoma"/>
                <w:b/>
                <w:bCs/>
                <w:iCs/>
                <w:color w:val="243285"/>
                <w:sz w:val="36"/>
                <w:szCs w:val="36"/>
              </w:rPr>
            </w:pPr>
          </w:p>
          <w:p w:rsidR="00316B43" w:rsidRPr="00F54FBD" w:rsidRDefault="00316B43" w:rsidP="0014322C">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316B43" w:rsidRPr="0043089F" w:rsidRDefault="00316B43" w:rsidP="0014322C">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316B43" w:rsidRPr="00F54FBD" w:rsidRDefault="00316B43" w:rsidP="0014322C">
      <w:pPr>
        <w:spacing w:before="80"/>
        <w:rPr>
          <w:i/>
          <w:sz w:val="22"/>
        </w:rPr>
      </w:pPr>
    </w:p>
    <w:p w:rsidR="00316B43" w:rsidRPr="00F54FBD" w:rsidRDefault="00316B43" w:rsidP="0014322C">
      <w:pPr>
        <w:spacing w:before="80"/>
        <w:rPr>
          <w:i/>
          <w:sz w:val="22"/>
        </w:rPr>
      </w:pPr>
    </w:p>
    <w:p w:rsidR="00316B43" w:rsidRPr="00F54FBD" w:rsidRDefault="00316B43" w:rsidP="0014322C">
      <w:pPr>
        <w:spacing w:before="80"/>
        <w:rPr>
          <w:i/>
          <w:sz w:val="22"/>
        </w:rPr>
      </w:pPr>
    </w:p>
    <w:p w:rsidR="00316B43" w:rsidRPr="00F54FBD" w:rsidRDefault="00316B43" w:rsidP="0014322C">
      <w:pPr>
        <w:spacing w:before="80"/>
        <w:rPr>
          <w:i/>
          <w:sz w:val="22"/>
        </w:rPr>
      </w:pPr>
    </w:p>
    <w:p w:rsidR="00316B43" w:rsidRPr="00F54FBD" w:rsidRDefault="00316B43" w:rsidP="0014322C">
      <w:pPr>
        <w:spacing w:before="80"/>
        <w:rPr>
          <w:i/>
          <w:sz w:val="22"/>
        </w:rPr>
      </w:pPr>
    </w:p>
    <w:p w:rsidR="00316B43" w:rsidRPr="00F54FBD" w:rsidRDefault="00316B43" w:rsidP="0014322C">
      <w:pPr>
        <w:spacing w:before="80"/>
        <w:rPr>
          <w:i/>
          <w:sz w:val="22"/>
        </w:rPr>
      </w:pPr>
    </w:p>
    <w:p w:rsidR="00316B43" w:rsidRPr="00F54FBD" w:rsidRDefault="00316B43" w:rsidP="0014322C">
      <w:pPr>
        <w:pStyle w:val="Equation"/>
        <w:tabs>
          <w:tab w:val="clear" w:pos="4820"/>
          <w:tab w:val="clear" w:pos="9639"/>
          <w:tab w:val="left" w:pos="1191"/>
          <w:tab w:val="left" w:pos="1588"/>
          <w:tab w:val="left" w:pos="1985"/>
        </w:tabs>
        <w:rPr>
          <w:rFonts w:ascii="Palatino Linotype" w:hAnsi="Palatino Linotype"/>
        </w:rPr>
        <w:sectPr w:rsidR="00316B43" w:rsidRPr="00F54FBD" w:rsidSect="0014322C">
          <w:headerReference w:type="even" r:id="rId8"/>
          <w:headerReference w:type="default" r:id="rId9"/>
          <w:pgSz w:w="11907" w:h="16834" w:code="9"/>
          <w:pgMar w:top="1418" w:right="1134" w:bottom="1134" w:left="1134" w:header="720" w:footer="482" w:gutter="0"/>
          <w:paperSrc w:first="15" w:other="15"/>
          <w:cols w:space="720"/>
        </w:sectPr>
      </w:pPr>
    </w:p>
    <w:p w:rsidR="00316B43" w:rsidRPr="00F54FBD" w:rsidRDefault="00316B43"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316B43" w:rsidRPr="00F54FBD" w:rsidRDefault="00316B43" w:rsidP="0014322C">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316B43" w:rsidRPr="00F54FBD" w:rsidRDefault="00316B43" w:rsidP="0014322C">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316B43" w:rsidRPr="00E44CBB" w:rsidRDefault="00316B43" w:rsidP="0014322C">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316B43" w:rsidRPr="00E44CBB" w:rsidRDefault="00316B43" w:rsidP="0014322C">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316B43" w:rsidRPr="00316B43" w:rsidRDefault="00316B43" w:rsidP="0014322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16B43" w:rsidRPr="009454F8">
        <w:tc>
          <w:tcPr>
            <w:tcW w:w="9360" w:type="dxa"/>
            <w:gridSpan w:val="2"/>
          </w:tcPr>
          <w:p w:rsidR="00316B43" w:rsidRPr="009454F8" w:rsidRDefault="00316B43" w:rsidP="0014322C">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316B43" w:rsidRPr="009454F8" w:rsidRDefault="00316B43"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316B43" w:rsidRPr="00036EE3">
        <w:tc>
          <w:tcPr>
            <w:tcW w:w="1140" w:type="dxa"/>
          </w:tcPr>
          <w:p w:rsidR="00316B43" w:rsidRPr="00614CC6" w:rsidRDefault="00316B43" w:rsidP="0014322C">
            <w:pPr>
              <w:spacing w:before="90" w:after="100"/>
              <w:ind w:left="57"/>
              <w:rPr>
                <w:b/>
                <w:bCs/>
                <w:sz w:val="20"/>
                <w:lang w:val="en-US"/>
              </w:rPr>
            </w:pPr>
            <w:r w:rsidRPr="00614CC6">
              <w:rPr>
                <w:b/>
                <w:bCs/>
                <w:sz w:val="20"/>
                <w:lang w:val="en-US"/>
              </w:rPr>
              <w:t>Séries</w:t>
            </w:r>
          </w:p>
        </w:tc>
        <w:tc>
          <w:tcPr>
            <w:tcW w:w="8220" w:type="dxa"/>
          </w:tcPr>
          <w:p w:rsidR="00316B43" w:rsidRPr="00614CC6" w:rsidRDefault="00316B43"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316B43" w:rsidRPr="00036EE3" w:rsidTr="0014322C">
        <w:tc>
          <w:tcPr>
            <w:tcW w:w="1140" w:type="dxa"/>
            <w:tcBorders>
              <w:bottom w:val="nil"/>
            </w:tcBorders>
          </w:tcPr>
          <w:p w:rsidR="00316B43" w:rsidRPr="00614CC6" w:rsidRDefault="00316B43" w:rsidP="0014322C">
            <w:pPr>
              <w:spacing w:before="30" w:after="30"/>
              <w:ind w:left="57"/>
              <w:rPr>
                <w:b/>
                <w:bCs/>
                <w:sz w:val="20"/>
                <w:lang w:val="en-US"/>
              </w:rPr>
            </w:pPr>
            <w:r w:rsidRPr="00614CC6">
              <w:rPr>
                <w:b/>
                <w:bCs/>
                <w:sz w:val="20"/>
                <w:lang w:val="en-US"/>
              </w:rPr>
              <w:t>BO</w:t>
            </w:r>
          </w:p>
        </w:tc>
        <w:tc>
          <w:tcPr>
            <w:tcW w:w="8220" w:type="dxa"/>
            <w:tcBorders>
              <w:bottom w:val="nil"/>
            </w:tcBorders>
          </w:tcPr>
          <w:p w:rsidR="00316B43" w:rsidRPr="00614CC6" w:rsidRDefault="00316B43"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316B43" w:rsidRPr="009454F8" w:rsidTr="0014322C">
        <w:tc>
          <w:tcPr>
            <w:tcW w:w="1140" w:type="dxa"/>
            <w:tcBorders>
              <w:top w:val="nil"/>
              <w:bottom w:val="nil"/>
            </w:tcBorders>
            <w:shd w:val="clear" w:color="auto" w:fill="auto"/>
          </w:tcPr>
          <w:p w:rsidR="00316B43" w:rsidRPr="0014322C" w:rsidRDefault="00316B43" w:rsidP="0014322C">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316B43" w:rsidRPr="0014322C" w:rsidRDefault="00316B43"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316B43" w:rsidRPr="00036EE3" w:rsidTr="0014322C">
        <w:tc>
          <w:tcPr>
            <w:tcW w:w="1140" w:type="dxa"/>
            <w:tcBorders>
              <w:top w:val="nil"/>
              <w:bottom w:val="nil"/>
            </w:tcBorders>
          </w:tcPr>
          <w:p w:rsidR="00316B43" w:rsidRPr="00614CC6" w:rsidRDefault="00316B43" w:rsidP="0014322C">
            <w:pPr>
              <w:spacing w:before="30" w:after="30"/>
              <w:ind w:left="57"/>
              <w:rPr>
                <w:b/>
                <w:bCs/>
                <w:sz w:val="20"/>
                <w:lang w:val="en-US"/>
              </w:rPr>
            </w:pPr>
            <w:r w:rsidRPr="00614CC6">
              <w:rPr>
                <w:b/>
                <w:bCs/>
                <w:sz w:val="20"/>
                <w:lang w:val="en-US"/>
              </w:rPr>
              <w:t>BS</w:t>
            </w:r>
          </w:p>
        </w:tc>
        <w:tc>
          <w:tcPr>
            <w:tcW w:w="8220" w:type="dxa"/>
            <w:tcBorders>
              <w:top w:val="nil"/>
              <w:bottom w:val="nil"/>
            </w:tcBorders>
          </w:tcPr>
          <w:p w:rsidR="00316B43" w:rsidRPr="00614CC6" w:rsidRDefault="00316B43"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316B43" w:rsidRPr="00ED2695" w:rsidTr="0014322C">
        <w:tc>
          <w:tcPr>
            <w:tcW w:w="1140" w:type="dxa"/>
            <w:tcBorders>
              <w:top w:val="nil"/>
              <w:bottom w:val="nil"/>
            </w:tcBorders>
            <w:shd w:val="clear" w:color="auto" w:fill="F3F3F3"/>
          </w:tcPr>
          <w:p w:rsidR="00316B43" w:rsidRPr="0014322C" w:rsidRDefault="00316B43" w:rsidP="0014322C">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316B43" w:rsidRPr="0014322C" w:rsidRDefault="00316B43"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316B43" w:rsidRPr="00036EE3" w:rsidTr="0014322C">
        <w:tc>
          <w:tcPr>
            <w:tcW w:w="1140" w:type="dxa"/>
            <w:tcBorders>
              <w:top w:val="nil"/>
              <w:bottom w:val="nil"/>
            </w:tcBorders>
            <w:shd w:val="clear" w:color="auto" w:fill="auto"/>
          </w:tcPr>
          <w:p w:rsidR="00316B43" w:rsidRPr="00614CC6" w:rsidRDefault="00316B43" w:rsidP="0014322C">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316B43" w:rsidRPr="00614CC6" w:rsidRDefault="00316B43"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316B43" w:rsidRPr="00592F9F" w:rsidTr="0014322C">
        <w:tc>
          <w:tcPr>
            <w:tcW w:w="1140" w:type="dxa"/>
            <w:tcBorders>
              <w:top w:val="nil"/>
              <w:bottom w:val="nil"/>
            </w:tcBorders>
            <w:shd w:val="clear" w:color="auto" w:fill="auto"/>
          </w:tcPr>
          <w:p w:rsidR="00316B43" w:rsidRPr="00766861" w:rsidRDefault="00316B43" w:rsidP="0014322C">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316B43" w:rsidRPr="00766861" w:rsidRDefault="00316B43"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316B43" w:rsidRPr="00036EE3" w:rsidTr="0014322C">
        <w:tc>
          <w:tcPr>
            <w:tcW w:w="1140" w:type="dxa"/>
            <w:tcBorders>
              <w:top w:val="nil"/>
            </w:tcBorders>
          </w:tcPr>
          <w:p w:rsidR="00316B43" w:rsidRPr="00614CC6" w:rsidRDefault="00316B43" w:rsidP="0014322C">
            <w:pPr>
              <w:spacing w:before="30" w:after="30"/>
              <w:ind w:left="57"/>
              <w:rPr>
                <w:b/>
                <w:bCs/>
                <w:sz w:val="20"/>
                <w:lang w:val="fr-CH"/>
              </w:rPr>
            </w:pPr>
            <w:r w:rsidRPr="00614CC6">
              <w:rPr>
                <w:b/>
                <w:bCs/>
                <w:sz w:val="20"/>
                <w:lang w:val="fr-CH"/>
              </w:rPr>
              <w:t>P</w:t>
            </w:r>
          </w:p>
        </w:tc>
        <w:tc>
          <w:tcPr>
            <w:tcW w:w="8220" w:type="dxa"/>
            <w:tcBorders>
              <w:top w:val="nil"/>
            </w:tcBorders>
          </w:tcPr>
          <w:p w:rsidR="00316B43" w:rsidRPr="00614CC6" w:rsidRDefault="00316B43" w:rsidP="0014322C">
            <w:pPr>
              <w:spacing w:before="30" w:after="30"/>
              <w:rPr>
                <w:sz w:val="20"/>
                <w:lang w:val="fr-CH"/>
              </w:rPr>
            </w:pPr>
            <w:r w:rsidRPr="00614CC6">
              <w:rPr>
                <w:sz w:val="20"/>
              </w:rPr>
              <w:t>Propagation des ondes radioélectriques</w:t>
            </w:r>
          </w:p>
        </w:tc>
      </w:tr>
      <w:tr w:rsidR="00316B43" w:rsidRPr="00036EE3">
        <w:tc>
          <w:tcPr>
            <w:tcW w:w="1140" w:type="dxa"/>
          </w:tcPr>
          <w:p w:rsidR="00316B43" w:rsidRPr="00614CC6" w:rsidRDefault="00316B43" w:rsidP="0014322C">
            <w:pPr>
              <w:spacing w:before="30" w:after="30"/>
              <w:ind w:left="57"/>
              <w:rPr>
                <w:b/>
                <w:bCs/>
                <w:sz w:val="20"/>
                <w:lang w:val="en-US"/>
              </w:rPr>
            </w:pPr>
            <w:r w:rsidRPr="00614CC6">
              <w:rPr>
                <w:b/>
                <w:bCs/>
                <w:sz w:val="20"/>
                <w:lang w:val="en-US"/>
              </w:rPr>
              <w:t>RA</w:t>
            </w:r>
          </w:p>
        </w:tc>
        <w:tc>
          <w:tcPr>
            <w:tcW w:w="8220" w:type="dxa"/>
          </w:tcPr>
          <w:p w:rsidR="00316B43" w:rsidRPr="00614CC6" w:rsidRDefault="00316B43"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316B43" w:rsidRPr="00036EE3">
        <w:tc>
          <w:tcPr>
            <w:tcW w:w="1140" w:type="dxa"/>
          </w:tcPr>
          <w:p w:rsidR="00316B43" w:rsidRPr="00614CC6" w:rsidRDefault="00316B43" w:rsidP="0014322C">
            <w:pPr>
              <w:spacing w:before="30" w:after="30"/>
              <w:ind w:left="57"/>
              <w:rPr>
                <w:b/>
                <w:bCs/>
                <w:sz w:val="20"/>
                <w:lang w:val="en-US"/>
              </w:rPr>
            </w:pPr>
            <w:r w:rsidRPr="00614CC6">
              <w:rPr>
                <w:b/>
                <w:bCs/>
                <w:sz w:val="20"/>
                <w:lang w:val="en-US"/>
              </w:rPr>
              <w:t>RS</w:t>
            </w:r>
          </w:p>
        </w:tc>
        <w:tc>
          <w:tcPr>
            <w:tcW w:w="8220" w:type="dxa"/>
          </w:tcPr>
          <w:p w:rsidR="00316B43" w:rsidRPr="00614CC6" w:rsidRDefault="00316B43"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316B43" w:rsidRPr="00036EE3">
        <w:tc>
          <w:tcPr>
            <w:tcW w:w="1140" w:type="dxa"/>
          </w:tcPr>
          <w:p w:rsidR="00316B43" w:rsidRPr="00614CC6" w:rsidRDefault="00316B43" w:rsidP="0014322C">
            <w:pPr>
              <w:spacing w:before="30" w:after="30"/>
              <w:ind w:left="57"/>
              <w:rPr>
                <w:b/>
                <w:bCs/>
                <w:sz w:val="20"/>
                <w:lang w:val="en-US"/>
              </w:rPr>
            </w:pPr>
            <w:r w:rsidRPr="00614CC6">
              <w:rPr>
                <w:b/>
                <w:bCs/>
                <w:sz w:val="20"/>
                <w:lang w:val="en-US"/>
              </w:rPr>
              <w:t>S</w:t>
            </w:r>
          </w:p>
        </w:tc>
        <w:tc>
          <w:tcPr>
            <w:tcW w:w="8220" w:type="dxa"/>
          </w:tcPr>
          <w:p w:rsidR="00316B43" w:rsidRPr="00614CC6" w:rsidRDefault="00316B43" w:rsidP="0014322C">
            <w:pPr>
              <w:spacing w:before="30" w:after="30"/>
              <w:rPr>
                <w:sz w:val="20"/>
                <w:lang w:val="en-US"/>
              </w:rPr>
            </w:pPr>
            <w:r w:rsidRPr="00614CC6">
              <w:rPr>
                <w:sz w:val="20"/>
              </w:rPr>
              <w:t>Service fixe par satellite</w:t>
            </w:r>
          </w:p>
        </w:tc>
      </w:tr>
      <w:tr w:rsidR="00316B43" w:rsidRPr="00036EE3">
        <w:tc>
          <w:tcPr>
            <w:tcW w:w="1140" w:type="dxa"/>
          </w:tcPr>
          <w:p w:rsidR="00316B43" w:rsidRPr="00614CC6" w:rsidRDefault="00316B43" w:rsidP="0014322C">
            <w:pPr>
              <w:spacing w:before="30" w:after="30"/>
              <w:ind w:left="57"/>
              <w:rPr>
                <w:b/>
                <w:bCs/>
                <w:sz w:val="20"/>
                <w:lang w:val="en-US"/>
              </w:rPr>
            </w:pPr>
            <w:r w:rsidRPr="00614CC6">
              <w:rPr>
                <w:b/>
                <w:bCs/>
                <w:sz w:val="20"/>
                <w:lang w:val="en-US"/>
              </w:rPr>
              <w:t>SA</w:t>
            </w:r>
          </w:p>
        </w:tc>
        <w:tc>
          <w:tcPr>
            <w:tcW w:w="8220" w:type="dxa"/>
          </w:tcPr>
          <w:p w:rsidR="00316B43" w:rsidRPr="00614CC6" w:rsidRDefault="00316B43" w:rsidP="0014322C">
            <w:pPr>
              <w:spacing w:before="30" w:after="30"/>
              <w:rPr>
                <w:sz w:val="20"/>
                <w:lang w:val="en-US"/>
              </w:rPr>
            </w:pPr>
            <w:r w:rsidRPr="00614CC6">
              <w:rPr>
                <w:sz w:val="20"/>
              </w:rPr>
              <w:t>Applications spatiales et météorologie</w:t>
            </w:r>
          </w:p>
        </w:tc>
      </w:tr>
      <w:tr w:rsidR="00316B43" w:rsidRPr="00614CC6">
        <w:tc>
          <w:tcPr>
            <w:tcW w:w="1140" w:type="dxa"/>
          </w:tcPr>
          <w:p w:rsidR="00316B43" w:rsidRPr="00614CC6" w:rsidRDefault="00316B43" w:rsidP="0014322C">
            <w:pPr>
              <w:spacing w:before="30" w:after="30"/>
              <w:ind w:left="57"/>
              <w:rPr>
                <w:b/>
                <w:bCs/>
                <w:sz w:val="20"/>
                <w:lang w:val="en-US"/>
              </w:rPr>
            </w:pPr>
            <w:r w:rsidRPr="00614CC6">
              <w:rPr>
                <w:b/>
                <w:bCs/>
                <w:sz w:val="20"/>
                <w:lang w:val="en-US"/>
              </w:rPr>
              <w:t>SF</w:t>
            </w:r>
          </w:p>
        </w:tc>
        <w:tc>
          <w:tcPr>
            <w:tcW w:w="8220" w:type="dxa"/>
          </w:tcPr>
          <w:p w:rsidR="00316B43" w:rsidRPr="00614CC6" w:rsidRDefault="00316B43" w:rsidP="0014322C">
            <w:pPr>
              <w:spacing w:before="30" w:after="30"/>
              <w:rPr>
                <w:sz w:val="20"/>
              </w:rPr>
            </w:pPr>
            <w:r w:rsidRPr="00614CC6">
              <w:rPr>
                <w:sz w:val="20"/>
              </w:rPr>
              <w:t>Partage des fréquences et coordination entre les systèmes du service fixe par satellite et du service fixe</w:t>
            </w:r>
          </w:p>
        </w:tc>
      </w:tr>
      <w:tr w:rsidR="00316B43" w:rsidRPr="00036EE3">
        <w:tc>
          <w:tcPr>
            <w:tcW w:w="1140" w:type="dxa"/>
            <w:shd w:val="clear" w:color="auto" w:fill="auto"/>
          </w:tcPr>
          <w:p w:rsidR="00316B43" w:rsidRPr="00592F9F" w:rsidRDefault="00316B43" w:rsidP="0014322C">
            <w:pPr>
              <w:spacing w:before="30" w:after="30"/>
              <w:ind w:left="57"/>
              <w:rPr>
                <w:b/>
                <w:bCs/>
                <w:sz w:val="20"/>
                <w:lang w:val="en-US"/>
              </w:rPr>
            </w:pPr>
            <w:r w:rsidRPr="00592F9F">
              <w:rPr>
                <w:b/>
                <w:bCs/>
                <w:sz w:val="20"/>
                <w:lang w:val="en-US"/>
              </w:rPr>
              <w:t>SM</w:t>
            </w:r>
          </w:p>
        </w:tc>
        <w:tc>
          <w:tcPr>
            <w:tcW w:w="8220" w:type="dxa"/>
            <w:shd w:val="clear" w:color="auto" w:fill="auto"/>
          </w:tcPr>
          <w:p w:rsidR="00316B43" w:rsidRPr="00592F9F" w:rsidRDefault="00316B43" w:rsidP="0014322C">
            <w:pPr>
              <w:spacing w:before="30" w:after="30"/>
              <w:rPr>
                <w:sz w:val="20"/>
                <w:lang w:val="en-US"/>
              </w:rPr>
            </w:pPr>
            <w:r w:rsidRPr="00592F9F">
              <w:rPr>
                <w:sz w:val="20"/>
              </w:rPr>
              <w:t>Gestion du spectre</w:t>
            </w:r>
          </w:p>
        </w:tc>
      </w:tr>
      <w:tr w:rsidR="00316B43" w:rsidRPr="00036EE3">
        <w:tc>
          <w:tcPr>
            <w:tcW w:w="1140" w:type="dxa"/>
          </w:tcPr>
          <w:p w:rsidR="00316B43" w:rsidRPr="00614CC6" w:rsidRDefault="00316B43" w:rsidP="0014322C">
            <w:pPr>
              <w:spacing w:before="30" w:after="30"/>
              <w:ind w:left="57"/>
              <w:rPr>
                <w:b/>
                <w:bCs/>
                <w:sz w:val="20"/>
                <w:lang w:val="en-US"/>
              </w:rPr>
            </w:pPr>
            <w:r w:rsidRPr="00614CC6">
              <w:rPr>
                <w:b/>
                <w:bCs/>
                <w:sz w:val="20"/>
                <w:lang w:val="en-US"/>
              </w:rPr>
              <w:t>SNG</w:t>
            </w:r>
          </w:p>
        </w:tc>
        <w:tc>
          <w:tcPr>
            <w:tcW w:w="8220" w:type="dxa"/>
          </w:tcPr>
          <w:p w:rsidR="00316B43" w:rsidRPr="00614CC6" w:rsidRDefault="00316B43" w:rsidP="0014322C">
            <w:pPr>
              <w:spacing w:before="30" w:after="30"/>
              <w:rPr>
                <w:sz w:val="20"/>
                <w:lang w:val="en-US"/>
              </w:rPr>
            </w:pPr>
            <w:r w:rsidRPr="00614CC6">
              <w:rPr>
                <w:sz w:val="20"/>
              </w:rPr>
              <w:t>Reportage d'actualités par satellite</w:t>
            </w:r>
          </w:p>
        </w:tc>
      </w:tr>
      <w:tr w:rsidR="00316B43" w:rsidRPr="00614CC6">
        <w:tc>
          <w:tcPr>
            <w:tcW w:w="1140" w:type="dxa"/>
          </w:tcPr>
          <w:p w:rsidR="00316B43" w:rsidRPr="00614CC6" w:rsidRDefault="00316B43" w:rsidP="0014322C">
            <w:pPr>
              <w:spacing w:before="30" w:after="30"/>
              <w:ind w:left="57"/>
              <w:rPr>
                <w:b/>
                <w:bCs/>
                <w:sz w:val="20"/>
                <w:lang w:val="en-US"/>
              </w:rPr>
            </w:pPr>
            <w:r w:rsidRPr="00614CC6">
              <w:rPr>
                <w:b/>
                <w:bCs/>
                <w:sz w:val="20"/>
                <w:lang w:val="en-US"/>
              </w:rPr>
              <w:t>TF</w:t>
            </w:r>
          </w:p>
        </w:tc>
        <w:tc>
          <w:tcPr>
            <w:tcW w:w="8220" w:type="dxa"/>
          </w:tcPr>
          <w:p w:rsidR="00316B43" w:rsidRPr="00614CC6" w:rsidRDefault="00316B43" w:rsidP="0014322C">
            <w:pPr>
              <w:spacing w:before="30" w:after="30"/>
              <w:rPr>
                <w:sz w:val="20"/>
              </w:rPr>
            </w:pPr>
            <w:r w:rsidRPr="00614CC6">
              <w:rPr>
                <w:sz w:val="20"/>
              </w:rPr>
              <w:t>Emissions de fréquences étalon et de signaux horaires</w:t>
            </w:r>
          </w:p>
        </w:tc>
      </w:tr>
      <w:tr w:rsidR="00316B43" w:rsidRPr="00036EE3">
        <w:tc>
          <w:tcPr>
            <w:tcW w:w="1140" w:type="dxa"/>
          </w:tcPr>
          <w:p w:rsidR="00316B43" w:rsidRPr="00614CC6" w:rsidRDefault="00316B43" w:rsidP="0014322C">
            <w:pPr>
              <w:spacing w:before="30" w:after="30"/>
              <w:ind w:left="57"/>
              <w:rPr>
                <w:b/>
                <w:bCs/>
                <w:sz w:val="20"/>
                <w:lang w:val="en-US"/>
              </w:rPr>
            </w:pPr>
            <w:r w:rsidRPr="00614CC6">
              <w:rPr>
                <w:b/>
                <w:bCs/>
                <w:sz w:val="20"/>
                <w:lang w:val="en-US"/>
              </w:rPr>
              <w:t>V</w:t>
            </w:r>
          </w:p>
        </w:tc>
        <w:tc>
          <w:tcPr>
            <w:tcW w:w="8220" w:type="dxa"/>
          </w:tcPr>
          <w:p w:rsidR="00316B43" w:rsidRPr="00614CC6" w:rsidRDefault="00316B43" w:rsidP="0014322C">
            <w:pPr>
              <w:spacing w:before="30" w:after="140"/>
              <w:rPr>
                <w:sz w:val="20"/>
                <w:lang w:val="en-US"/>
              </w:rPr>
            </w:pPr>
            <w:r w:rsidRPr="00614CC6">
              <w:rPr>
                <w:sz w:val="20"/>
              </w:rPr>
              <w:t>Vocabulaire et sujets associés</w:t>
            </w:r>
          </w:p>
        </w:tc>
      </w:tr>
    </w:tbl>
    <w:p w:rsidR="00316B43" w:rsidRPr="00036EE3" w:rsidRDefault="00316B43" w:rsidP="0014322C">
      <w:pPr>
        <w:spacing w:before="0"/>
        <w:jc w:val="center"/>
        <w:rPr>
          <w:sz w:val="20"/>
          <w:lang w:val="en-US"/>
        </w:rPr>
      </w:pPr>
    </w:p>
    <w:p w:rsidR="00316B43" w:rsidRPr="00036EE3" w:rsidRDefault="00316B43" w:rsidP="0014322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316B43" w:rsidRPr="00756B4D">
        <w:tc>
          <w:tcPr>
            <w:tcW w:w="9360" w:type="dxa"/>
          </w:tcPr>
          <w:p w:rsidR="00316B43" w:rsidRPr="00756B4D" w:rsidRDefault="00316B43" w:rsidP="0014322C">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316B43" w:rsidRPr="00756B4D" w:rsidRDefault="00316B43" w:rsidP="0014322C">
      <w:pPr>
        <w:spacing w:before="0"/>
        <w:jc w:val="center"/>
        <w:rPr>
          <w:sz w:val="22"/>
        </w:rPr>
      </w:pPr>
    </w:p>
    <w:p w:rsidR="00316B43" w:rsidRPr="00614CC6" w:rsidRDefault="00316B43" w:rsidP="0014322C">
      <w:pPr>
        <w:spacing w:before="100"/>
        <w:jc w:val="right"/>
        <w:rPr>
          <w:i/>
          <w:iCs/>
          <w:sz w:val="20"/>
        </w:rPr>
      </w:pPr>
      <w:r w:rsidRPr="00614CC6">
        <w:rPr>
          <w:i/>
          <w:iCs/>
          <w:sz w:val="20"/>
        </w:rPr>
        <w:t>Publication électronique</w:t>
      </w:r>
    </w:p>
    <w:p w:rsidR="00316B43" w:rsidRPr="00614CC6" w:rsidRDefault="00316B43" w:rsidP="009D3E41">
      <w:pPr>
        <w:spacing w:before="0"/>
        <w:jc w:val="right"/>
        <w:rPr>
          <w:sz w:val="20"/>
        </w:rPr>
      </w:pPr>
      <w:r w:rsidRPr="00614CC6">
        <w:rPr>
          <w:sz w:val="20"/>
        </w:rPr>
        <w:t>Genève, 20</w:t>
      </w:r>
      <w:r>
        <w:rPr>
          <w:sz w:val="20"/>
        </w:rPr>
        <w:t>11</w:t>
      </w:r>
    </w:p>
    <w:p w:rsidR="00316B43" w:rsidRPr="00614CC6" w:rsidRDefault="00316B43" w:rsidP="009D3E41">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11</w:t>
      </w:r>
    </w:p>
    <w:p w:rsidR="00316B43" w:rsidRPr="00614CC6" w:rsidRDefault="00316B43" w:rsidP="0014322C">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316B43" w:rsidRPr="00614CC6" w:rsidRDefault="00316B43" w:rsidP="0014322C">
      <w:pPr>
        <w:spacing w:before="160"/>
        <w:rPr>
          <w:i/>
          <w:sz w:val="20"/>
          <w:highlight w:val="yellow"/>
        </w:rPr>
        <w:sectPr w:rsidR="00316B43" w:rsidRPr="00614CC6" w:rsidSect="0014322C">
          <w:headerReference w:type="even" r:id="rId12"/>
          <w:headerReference w:type="default" r:id="rId13"/>
          <w:pgSz w:w="11907" w:h="16834" w:code="9"/>
          <w:pgMar w:top="1418" w:right="1134" w:bottom="1134" w:left="1134" w:header="720" w:footer="482" w:gutter="0"/>
          <w:pgNumType w:fmt="lowerRoman" w:start="2"/>
          <w:cols w:space="720"/>
        </w:sectPr>
      </w:pPr>
    </w:p>
    <w:p w:rsidR="00316B43" w:rsidRDefault="00316B43" w:rsidP="00011142">
      <w:pPr>
        <w:pStyle w:val="RecNo"/>
        <w:spacing w:before="0"/>
      </w:pPr>
      <w:bookmarkStart w:id="3" w:name="irecnoe"/>
      <w:bookmarkEnd w:id="3"/>
      <w:r>
        <w:lastRenderedPageBreak/>
        <w:t xml:space="preserve">RECOMMANDATION  </w:t>
      </w:r>
      <w:r>
        <w:rPr>
          <w:rStyle w:val="href"/>
        </w:rPr>
        <w:t>UIT-R  BT</w:t>
      </w:r>
      <w:bookmarkEnd w:id="0"/>
      <w:r>
        <w:rPr>
          <w:rStyle w:val="href"/>
        </w:rPr>
        <w:t>.</w:t>
      </w:r>
      <w:r w:rsidR="00011142">
        <w:rPr>
          <w:rStyle w:val="href"/>
        </w:rPr>
        <w:t>1889</w:t>
      </w:r>
      <w:r w:rsidR="00195C40">
        <w:rPr>
          <w:rStyle w:val="FootnoteReference"/>
        </w:rPr>
        <w:footnoteReference w:id="1"/>
      </w:r>
    </w:p>
    <w:p w:rsidR="00316B43" w:rsidRPr="007B4C2B" w:rsidRDefault="00316B43" w:rsidP="00316B43">
      <w:pPr>
        <w:pStyle w:val="Rectitle"/>
        <w:rPr>
          <w:lang w:eastAsia="zh-CN"/>
        </w:rPr>
      </w:pPr>
      <w:r w:rsidRPr="007B4C2B">
        <w:rPr>
          <w:lang w:eastAsia="zh-CN"/>
        </w:rPr>
        <w:t xml:space="preserve">Environnement applicatif commun pour les services </w:t>
      </w:r>
      <w:r w:rsidRPr="007B4C2B">
        <w:rPr>
          <w:lang w:eastAsia="zh-CN"/>
        </w:rPr>
        <w:br/>
        <w:t xml:space="preserve">de radiodiffusion numérique interactive </w:t>
      </w:r>
    </w:p>
    <w:p w:rsidR="00316B43" w:rsidRPr="007B4C2B" w:rsidRDefault="00316B43" w:rsidP="00316B43">
      <w:pPr>
        <w:pStyle w:val="Recref"/>
      </w:pPr>
      <w:r w:rsidRPr="007B4C2B">
        <w:t xml:space="preserve">(Questions UIT-R </w:t>
      </w:r>
      <w:r w:rsidRPr="007B4C2B">
        <w:rPr>
          <w:lang w:eastAsia="ja-JP"/>
        </w:rPr>
        <w:t>131</w:t>
      </w:r>
      <w:r w:rsidRPr="007B4C2B">
        <w:t>/6)</w:t>
      </w:r>
    </w:p>
    <w:p w:rsidR="00316B43" w:rsidRPr="007B4C2B" w:rsidRDefault="00316B43" w:rsidP="00316B43">
      <w:pPr>
        <w:pStyle w:val="Recdate"/>
      </w:pPr>
      <w:r w:rsidRPr="007B4C2B">
        <w:t>(2011)</w:t>
      </w:r>
    </w:p>
    <w:p w:rsidR="00316B43" w:rsidRPr="007B4C2B" w:rsidRDefault="00316B43" w:rsidP="00316B43">
      <w:pPr>
        <w:pStyle w:val="HeadingSum"/>
        <w:rPr>
          <w:lang w:val="fr-FR"/>
        </w:rPr>
      </w:pPr>
      <w:r w:rsidRPr="007B4C2B">
        <w:rPr>
          <w:lang w:val="fr-FR"/>
        </w:rPr>
        <w:t>Domaine d</w:t>
      </w:r>
      <w:r>
        <w:rPr>
          <w:lang w:val="fr-FR"/>
        </w:rPr>
        <w:t>'</w:t>
      </w:r>
      <w:r w:rsidRPr="007B4C2B">
        <w:rPr>
          <w:lang w:val="fr-FR"/>
        </w:rPr>
        <w:t>application</w:t>
      </w:r>
    </w:p>
    <w:p w:rsidR="00316B43" w:rsidRPr="007B4C2B" w:rsidRDefault="00316B43" w:rsidP="00316B43">
      <w:pPr>
        <w:pStyle w:val="Summary"/>
        <w:rPr>
          <w:lang w:val="fr-FR"/>
        </w:rPr>
      </w:pPr>
      <w:r w:rsidRPr="007B4C2B">
        <w:rPr>
          <w:lang w:val="fr-FR"/>
        </w:rPr>
        <w:t xml:space="preserve">La présente Recommandation </w:t>
      </w:r>
      <w:r>
        <w:rPr>
          <w:lang w:val="fr-FR"/>
        </w:rPr>
        <w:t>défin</w:t>
      </w:r>
      <w:r w:rsidRPr="007B4C2B">
        <w:rPr>
          <w:lang w:val="fr-FR"/>
        </w:rPr>
        <w:t xml:space="preserve">it un environnement applicatif commun à utiliser pour les services de radiodiffusion numérique interactive. </w:t>
      </w:r>
    </w:p>
    <w:p w:rsidR="00316B43" w:rsidRPr="007B4C2B" w:rsidRDefault="00316B43" w:rsidP="00316B43">
      <w:pPr>
        <w:pStyle w:val="Normalaftertitle"/>
      </w:pPr>
      <w:r w:rsidRPr="007B4C2B">
        <w:t>L'Assemblée des radiocommunications de l'UIT,</w:t>
      </w:r>
    </w:p>
    <w:p w:rsidR="00316B43" w:rsidRPr="007B4C2B" w:rsidRDefault="00316B43" w:rsidP="00316B43">
      <w:pPr>
        <w:pStyle w:val="Call"/>
      </w:pPr>
      <w:r w:rsidRPr="007B4C2B">
        <w:t>considérant</w:t>
      </w:r>
    </w:p>
    <w:p w:rsidR="00316B43" w:rsidRPr="007B4C2B" w:rsidRDefault="00316B43" w:rsidP="00316B43">
      <w:r w:rsidRPr="007B4C2B">
        <w:t>a)</w:t>
      </w:r>
      <w:r w:rsidRPr="007B4C2B">
        <w:tab/>
        <w:t>qu'il est nécessaire d'éviter la multiplication des protocoles applicables aux services multimédias interactifs;</w:t>
      </w:r>
    </w:p>
    <w:p w:rsidR="00316B43" w:rsidRPr="007B4C2B" w:rsidRDefault="00316B43" w:rsidP="00316B43">
      <w:r w:rsidRPr="007B4C2B">
        <w:t>b)</w:t>
      </w:r>
      <w:r w:rsidRPr="007B4C2B">
        <w:tab/>
        <w:t xml:space="preserve">que les services de radiodiffusion numérique (par satellite, de Terre ou par câble) se généralisent </w:t>
      </w:r>
      <w:r>
        <w:t xml:space="preserve">et </w:t>
      </w:r>
      <w:r w:rsidRPr="007B4C2B">
        <w:t>offr</w:t>
      </w:r>
      <w:r>
        <w:t>e</w:t>
      </w:r>
      <w:r w:rsidRPr="007B4C2B">
        <w:t>nt des applications multimédias;</w:t>
      </w:r>
    </w:p>
    <w:p w:rsidR="00316B43" w:rsidRPr="007B4C2B" w:rsidRDefault="00316B43" w:rsidP="00316B43">
      <w:r w:rsidRPr="007B4C2B">
        <w:t>c)</w:t>
      </w:r>
      <w:r w:rsidRPr="007B4C2B">
        <w:tab/>
        <w:t xml:space="preserve">que des applications multimédias comprenant des signaux </w:t>
      </w:r>
      <w:r>
        <w:t>vidé</w:t>
      </w:r>
      <w:r w:rsidRPr="007B4C2B">
        <w:t xml:space="preserve">o, des signaux </w:t>
      </w:r>
      <w:r>
        <w:t>audio</w:t>
      </w:r>
      <w:r w:rsidRPr="007B4C2B">
        <w:t>, des images fixes et des graphiques, associées à des caractéristiques interactives, ont été mises au point;</w:t>
      </w:r>
    </w:p>
    <w:p w:rsidR="00316B43" w:rsidRPr="007B4C2B" w:rsidRDefault="00316B43" w:rsidP="00316B43">
      <w:r w:rsidRPr="007B4C2B">
        <w:t>d)</w:t>
      </w:r>
      <w:r w:rsidRPr="007B4C2B">
        <w:tab/>
        <w:t>que certaines applications multimédias qui sont mises en œuvre ou qu'il est prévu de mettre en œuvre dans certaines régions utilisent l'environnement applicatif exécutable décrit dans la Recommandation UIT-R BT.1722;</w:t>
      </w:r>
    </w:p>
    <w:p w:rsidR="00316B43" w:rsidRPr="007B4C2B" w:rsidRDefault="00316B43" w:rsidP="00316B43">
      <w:r w:rsidRPr="007B4C2B">
        <w:t>e)</w:t>
      </w:r>
      <w:r w:rsidRPr="007B4C2B">
        <w:tab/>
        <w:t>que certaines applications multimédias qui sont mises en œuvre ou qu'il est prévu de mettre en œuvre dans certaines régions utilisent l'environnement applicatif déclaratif décrit dans la Recommandation UIT-R BT.1699;</w:t>
      </w:r>
    </w:p>
    <w:p w:rsidR="00316B43" w:rsidRPr="007B4C2B" w:rsidRDefault="00316B43" w:rsidP="00316B43">
      <w:r w:rsidRPr="007B4C2B">
        <w:t>f)</w:t>
      </w:r>
      <w:r w:rsidRPr="007B4C2B">
        <w:tab/>
        <w:t>que la Recommandation UIT-T J.200 définit l</w:t>
      </w:r>
      <w:r>
        <w:t>'</w:t>
      </w:r>
      <w:r w:rsidRPr="007B4C2B">
        <w:t>architecture noyau mondiale commune pour l</w:t>
      </w:r>
      <w:r>
        <w:t>'</w:t>
      </w:r>
      <w:r w:rsidRPr="007B4C2B">
        <w:t>environnement applicatif des services de télévision numérique interactive;</w:t>
      </w:r>
    </w:p>
    <w:p w:rsidR="00316B43" w:rsidRPr="007B4C2B" w:rsidRDefault="00316B43" w:rsidP="00316B43">
      <w:r w:rsidRPr="007B4C2B">
        <w:t>g)</w:t>
      </w:r>
      <w:r w:rsidRPr="007B4C2B">
        <w:tab/>
        <w:t xml:space="preserve">que l'UIT-R et l'UIT-T réalisent en permanence des travaux et des études </w:t>
      </w:r>
      <w:r>
        <w:t>sur les interfaces de programmation</w:t>
      </w:r>
      <w:r w:rsidRPr="007B4C2B">
        <w:t xml:space="preserve"> d'application (API, </w:t>
      </w:r>
      <w:r w:rsidRPr="007B4C2B">
        <w:rPr>
          <w:i/>
        </w:rPr>
        <w:t>application programming interfaces</w:t>
      </w:r>
      <w:r w:rsidRPr="007B4C2B">
        <w:t>);</w:t>
      </w:r>
    </w:p>
    <w:p w:rsidR="00316B43" w:rsidRPr="007B4C2B" w:rsidRDefault="00316B43" w:rsidP="00316B43">
      <w:r w:rsidRPr="007B4C2B">
        <w:t>h)</w:t>
      </w:r>
      <w:r w:rsidRPr="007B4C2B">
        <w:tab/>
        <w:t>qu'il est souhaitable de disposer d</w:t>
      </w:r>
      <w:r>
        <w:t>'</w:t>
      </w:r>
      <w:r w:rsidRPr="007B4C2B">
        <w:t>un environnement applicatif commun pour les applications de télévision interactive pour produire et échanger au niveau international des contenus multimédias,</w:t>
      </w:r>
    </w:p>
    <w:p w:rsidR="00316B43" w:rsidRPr="007B4C2B" w:rsidRDefault="00316B43" w:rsidP="00316B43">
      <w:pPr>
        <w:pStyle w:val="Call"/>
      </w:pPr>
      <w:r w:rsidRPr="007B4C2B">
        <w:t>recommande</w:t>
      </w:r>
    </w:p>
    <w:p w:rsidR="00316B43" w:rsidRPr="007B4C2B" w:rsidRDefault="00316B43" w:rsidP="00316B43">
      <w:r w:rsidRPr="007B4C2B">
        <w:rPr>
          <w:b/>
          <w:bCs/>
        </w:rPr>
        <w:t>1</w:t>
      </w:r>
      <w:r w:rsidRPr="007B4C2B">
        <w:tab/>
        <w:t>d'utiliser, pour les services de radiodiffusion numérique interactive, l</w:t>
      </w:r>
      <w:r>
        <w:t>'</w:t>
      </w:r>
      <w:r w:rsidRPr="007B4C2B">
        <w:t xml:space="preserve">environnement applicatif décrit dans la Recommandation UIT-T J.200. </w:t>
      </w:r>
    </w:p>
    <w:p w:rsidR="00316B43" w:rsidRPr="007B4C2B" w:rsidRDefault="00316B43" w:rsidP="00316B43">
      <w:r w:rsidRPr="007B4C2B">
        <w:t>NOTE 1 – On trouvera dans l</w:t>
      </w:r>
      <w:r>
        <w:t>'</w:t>
      </w:r>
      <w:r w:rsidRPr="007B4C2B">
        <w:t>Appendice de la présente Recommandation un résumé de la Recommandation UIT-T J.200 pour information.</w:t>
      </w:r>
    </w:p>
    <w:p w:rsidR="00316B43" w:rsidRDefault="00316B43" w:rsidP="005274F9">
      <w:pPr>
        <w:pStyle w:val="AppendixNoTitle"/>
        <w:spacing w:before="0"/>
      </w:pPr>
      <w:r w:rsidRPr="007B4C2B">
        <w:br w:type="page"/>
      </w:r>
      <w:r w:rsidRPr="007B4C2B">
        <w:lastRenderedPageBreak/>
        <w:t>Appendice</w:t>
      </w:r>
      <w:r w:rsidR="005274F9">
        <w:br/>
      </w:r>
      <w:r w:rsidR="005274F9" w:rsidRPr="00676A13">
        <w:t>(pour information)</w:t>
      </w:r>
    </w:p>
    <w:p w:rsidR="00316B43" w:rsidRPr="007B4C2B" w:rsidRDefault="00316B43" w:rsidP="009E7B81">
      <w:pPr>
        <w:pStyle w:val="AppendixNoTitle"/>
      </w:pPr>
      <w:r w:rsidRPr="007B4C2B">
        <w:t>Résumé de la Recommandation UIT-T J.200</w:t>
      </w:r>
    </w:p>
    <w:p w:rsidR="00316B43" w:rsidRPr="009E7B81" w:rsidRDefault="00316B43" w:rsidP="00316B43">
      <w:pPr>
        <w:pStyle w:val="Heading1"/>
      </w:pPr>
      <w:r w:rsidRPr="009E7B81">
        <w:t>1</w:t>
      </w:r>
      <w:r w:rsidRPr="009E7B81">
        <w:tab/>
        <w:t xml:space="preserve">Aperçu </w:t>
      </w:r>
    </w:p>
    <w:p w:rsidR="00316B43" w:rsidRPr="007B4C2B" w:rsidRDefault="00316B43" w:rsidP="00316B43">
      <w:r w:rsidRPr="007B4C2B">
        <w:t xml:space="preserve">La Recommandation UIT-T J.200 - Architecture noyau mondiale commune </w:t>
      </w:r>
      <w:r w:rsidRPr="007B4C2B">
        <w:sym w:font="Symbol" w:char="F02D"/>
      </w:r>
      <w:r w:rsidRPr="007B4C2B">
        <w:t xml:space="preserve"> Environnement applicatif des services de télévision numérique interactive</w:t>
      </w:r>
      <w:r>
        <w:t>,</w:t>
      </w:r>
      <w:r w:rsidRPr="007B4C2B">
        <w:t xml:space="preserve"> présente l</w:t>
      </w:r>
      <w:r>
        <w:t>'</w:t>
      </w:r>
      <w:r w:rsidRPr="007B4C2B">
        <w:t>architecture de base de l</w:t>
      </w:r>
      <w:r>
        <w:t>'</w:t>
      </w:r>
      <w:r w:rsidRPr="007B4C2B">
        <w:t xml:space="preserve">environnement, la structure </w:t>
      </w:r>
      <w:r>
        <w:t xml:space="preserve">du moteur </w:t>
      </w:r>
      <w:r w:rsidRPr="007B4C2B">
        <w:t>d</w:t>
      </w:r>
      <w:r>
        <w:t>'</w:t>
      </w:r>
      <w:r w:rsidRPr="007B4C2B">
        <w:t>exécution et la structure du moteur de présentation.</w:t>
      </w:r>
    </w:p>
    <w:p w:rsidR="00316B43" w:rsidRPr="007B4C2B" w:rsidRDefault="00316B43" w:rsidP="00AD5703">
      <w:pPr>
        <w:pStyle w:val="Heading1"/>
      </w:pPr>
      <w:r w:rsidRPr="007B4C2B">
        <w:t>2</w:t>
      </w:r>
      <w:r w:rsidRPr="007B4C2B">
        <w:tab/>
        <w:t>Abréviations</w:t>
      </w:r>
    </w:p>
    <w:p w:rsidR="00316B43" w:rsidRPr="007B4C2B" w:rsidRDefault="00316B43" w:rsidP="00316B43">
      <w:pPr>
        <w:tabs>
          <w:tab w:val="clear" w:pos="794"/>
          <w:tab w:val="clear" w:pos="1191"/>
          <w:tab w:val="left" w:pos="1560"/>
        </w:tabs>
      </w:pPr>
      <w:r w:rsidRPr="007B4C2B">
        <w:t>API</w:t>
      </w:r>
      <w:r w:rsidRPr="007B4C2B">
        <w:tab/>
        <w:t>interface de programmation d'application (</w:t>
      </w:r>
      <w:r w:rsidRPr="007B4C2B">
        <w:rPr>
          <w:i/>
          <w:iCs/>
        </w:rPr>
        <w:t>application programming interface</w:t>
      </w:r>
      <w:r w:rsidRPr="007B4C2B">
        <w:t>)</w:t>
      </w:r>
    </w:p>
    <w:p w:rsidR="00316B43" w:rsidRPr="007B4C2B" w:rsidRDefault="00316B43" w:rsidP="00316B43">
      <w:pPr>
        <w:tabs>
          <w:tab w:val="clear" w:pos="794"/>
          <w:tab w:val="clear" w:pos="1191"/>
          <w:tab w:val="left" w:pos="1560"/>
        </w:tabs>
      </w:pPr>
      <w:r w:rsidRPr="007B4C2B">
        <w:t xml:space="preserve">BML </w:t>
      </w:r>
      <w:r w:rsidRPr="007B4C2B">
        <w:tab/>
        <w:t>langage balisé de diffusion (</w:t>
      </w:r>
      <w:r w:rsidRPr="007B4C2B">
        <w:rPr>
          <w:i/>
          <w:iCs/>
        </w:rPr>
        <w:t>broadcast markup language</w:t>
      </w:r>
      <w:r w:rsidRPr="007B4C2B">
        <w:t>)</w:t>
      </w:r>
    </w:p>
    <w:p w:rsidR="00316B43" w:rsidRPr="007B4C2B" w:rsidRDefault="00316B43" w:rsidP="00316B43">
      <w:pPr>
        <w:tabs>
          <w:tab w:val="clear" w:pos="794"/>
          <w:tab w:val="clear" w:pos="1191"/>
          <w:tab w:val="left" w:pos="1560"/>
        </w:tabs>
      </w:pPr>
      <w:r w:rsidRPr="007B4C2B">
        <w:t>CA</w:t>
      </w:r>
      <w:r w:rsidRPr="007B4C2B">
        <w:tab/>
        <w:t>accès conditionnel (</w:t>
      </w:r>
      <w:r w:rsidRPr="007B4C2B">
        <w:rPr>
          <w:i/>
          <w:iCs/>
        </w:rPr>
        <w:t>conditional access</w:t>
      </w:r>
      <w:r w:rsidRPr="007B4C2B">
        <w:t>)</w:t>
      </w:r>
    </w:p>
    <w:p w:rsidR="00316B43" w:rsidRPr="007B4C2B" w:rsidRDefault="00316B43" w:rsidP="00316B43">
      <w:pPr>
        <w:tabs>
          <w:tab w:val="clear" w:pos="794"/>
          <w:tab w:val="clear" w:pos="1191"/>
          <w:tab w:val="left" w:pos="1560"/>
        </w:tabs>
      </w:pPr>
      <w:r w:rsidRPr="007B4C2B">
        <w:t>CSS</w:t>
      </w:r>
      <w:r w:rsidRPr="007B4C2B">
        <w:tab/>
        <w:t>feuilles de style en cascade (</w:t>
      </w:r>
      <w:r w:rsidRPr="007B4C2B">
        <w:rPr>
          <w:i/>
          <w:iCs/>
        </w:rPr>
        <w:t>cascading style sheets</w:t>
      </w:r>
      <w:r w:rsidRPr="007B4C2B">
        <w:t>)</w:t>
      </w:r>
    </w:p>
    <w:p w:rsidR="00316B43" w:rsidRPr="007B4C2B" w:rsidRDefault="00316B43" w:rsidP="00316B43">
      <w:pPr>
        <w:tabs>
          <w:tab w:val="clear" w:pos="794"/>
          <w:tab w:val="clear" w:pos="1191"/>
          <w:tab w:val="left" w:pos="1560"/>
        </w:tabs>
      </w:pPr>
      <w:r w:rsidRPr="007B4C2B">
        <w:t>DOM</w:t>
      </w:r>
      <w:r w:rsidRPr="007B4C2B">
        <w:tab/>
        <w:t>modèle d'objet documentaire (</w:t>
      </w:r>
      <w:r w:rsidRPr="007B4C2B">
        <w:rPr>
          <w:i/>
          <w:iCs/>
        </w:rPr>
        <w:t>document object model</w:t>
      </w:r>
      <w:r w:rsidRPr="007B4C2B">
        <w:t>)</w:t>
      </w:r>
    </w:p>
    <w:p w:rsidR="00316B43" w:rsidRPr="007B4C2B" w:rsidRDefault="00316B43" w:rsidP="00316B43">
      <w:pPr>
        <w:tabs>
          <w:tab w:val="clear" w:pos="794"/>
          <w:tab w:val="clear" w:pos="1191"/>
          <w:tab w:val="left" w:pos="1560"/>
        </w:tabs>
      </w:pPr>
      <w:r w:rsidRPr="007B4C2B">
        <w:t>GUI</w:t>
      </w:r>
      <w:r w:rsidRPr="007B4C2B">
        <w:tab/>
        <w:t>interface graphique d'utilisateur (</w:t>
      </w:r>
      <w:r w:rsidRPr="007B4C2B">
        <w:rPr>
          <w:i/>
          <w:iCs/>
        </w:rPr>
        <w:t>graphical user interface</w:t>
      </w:r>
      <w:r w:rsidRPr="007B4C2B">
        <w:t>)</w:t>
      </w:r>
    </w:p>
    <w:p w:rsidR="00316B43" w:rsidRDefault="00316B43" w:rsidP="00316B43">
      <w:pPr>
        <w:tabs>
          <w:tab w:val="clear" w:pos="794"/>
          <w:tab w:val="clear" w:pos="1191"/>
          <w:tab w:val="left" w:pos="1560"/>
        </w:tabs>
      </w:pPr>
      <w:r>
        <w:t>HTML</w:t>
      </w:r>
      <w:r>
        <w:tab/>
        <w:t>langage hypertexte balisé (</w:t>
      </w:r>
      <w:r w:rsidRPr="005B07FE">
        <w:rPr>
          <w:i/>
          <w:iCs/>
          <w:lang w:val="fr-CH" w:eastAsia="ja-JP"/>
        </w:rPr>
        <w:t>hyper text markup language</w:t>
      </w:r>
      <w:r w:rsidRPr="005B07FE">
        <w:rPr>
          <w:lang w:val="fr-CH" w:eastAsia="ja-JP"/>
        </w:rPr>
        <w:t>)</w:t>
      </w:r>
    </w:p>
    <w:p w:rsidR="00316B43" w:rsidRPr="007B4C2B" w:rsidRDefault="00316B43" w:rsidP="00316B43">
      <w:pPr>
        <w:tabs>
          <w:tab w:val="clear" w:pos="794"/>
          <w:tab w:val="clear" w:pos="1191"/>
          <w:tab w:val="left" w:pos="1560"/>
        </w:tabs>
      </w:pPr>
      <w:r w:rsidRPr="007B4C2B">
        <w:t>JMF</w:t>
      </w:r>
      <w:r w:rsidRPr="007B4C2B">
        <w:tab/>
        <w:t>cadre média Java (</w:t>
      </w:r>
      <w:r w:rsidRPr="007B4C2B">
        <w:rPr>
          <w:i/>
          <w:iCs/>
        </w:rPr>
        <w:t>Java media framework</w:t>
      </w:r>
      <w:r w:rsidRPr="007B4C2B">
        <w:t>)</w:t>
      </w:r>
    </w:p>
    <w:p w:rsidR="00316B43" w:rsidRPr="005B07FE" w:rsidRDefault="00316B43" w:rsidP="00316B43">
      <w:pPr>
        <w:tabs>
          <w:tab w:val="clear" w:pos="794"/>
          <w:tab w:val="clear" w:pos="1191"/>
          <w:tab w:val="left" w:pos="1560"/>
        </w:tabs>
        <w:ind w:left="1560" w:hanging="1560"/>
      </w:pPr>
      <w:r w:rsidRPr="007B4C2B">
        <w:t>LWUIT</w:t>
      </w:r>
      <w:r w:rsidRPr="007B4C2B">
        <w:tab/>
      </w:r>
      <w:r>
        <w:t>kit simple pour la création</w:t>
      </w:r>
      <w:r w:rsidRPr="007B4C2B">
        <w:t xml:space="preserve"> d</w:t>
      </w:r>
      <w:r>
        <w:t>'</w:t>
      </w:r>
      <w:r w:rsidRPr="007B4C2B">
        <w:t>interface</w:t>
      </w:r>
      <w:r>
        <w:t>s</w:t>
      </w:r>
      <w:r w:rsidRPr="007B4C2B">
        <w:t xml:space="preserve"> d</w:t>
      </w:r>
      <w:r>
        <w:t>'</w:t>
      </w:r>
      <w:r w:rsidRPr="007B4C2B">
        <w:t>utilisateur</w:t>
      </w:r>
      <w:r>
        <w:t xml:space="preserve"> (</w:t>
      </w:r>
      <w:r>
        <w:rPr>
          <w:i/>
        </w:rPr>
        <w:t>light-weight user interface toolkit</w:t>
      </w:r>
      <w:r>
        <w:t>)</w:t>
      </w:r>
    </w:p>
    <w:p w:rsidR="00316B43" w:rsidRPr="007B4C2B" w:rsidRDefault="00316B43" w:rsidP="00316B43">
      <w:pPr>
        <w:tabs>
          <w:tab w:val="clear" w:pos="794"/>
          <w:tab w:val="clear" w:pos="1191"/>
          <w:tab w:val="left" w:pos="1560"/>
        </w:tabs>
        <w:ind w:left="1560" w:hanging="1560"/>
      </w:pPr>
      <w:r w:rsidRPr="007B4C2B">
        <w:t>MHEG</w:t>
      </w:r>
      <w:r w:rsidRPr="007B4C2B">
        <w:tab/>
        <w:t>groupe d'experts en codage des informations multimédias et hypermédias (</w:t>
      </w:r>
      <w:r w:rsidRPr="007B4C2B">
        <w:rPr>
          <w:i/>
          <w:iCs/>
        </w:rPr>
        <w:t>multimedia hypermedia expert group</w:t>
      </w:r>
      <w:r w:rsidRPr="007B4C2B">
        <w:t>)</w:t>
      </w:r>
    </w:p>
    <w:p w:rsidR="00316B43" w:rsidRPr="007B4C2B" w:rsidRDefault="00316B43" w:rsidP="00316B43">
      <w:pPr>
        <w:tabs>
          <w:tab w:val="clear" w:pos="794"/>
          <w:tab w:val="clear" w:pos="1191"/>
          <w:tab w:val="left" w:pos="1560"/>
        </w:tabs>
        <w:ind w:left="1560" w:hanging="1560"/>
      </w:pPr>
      <w:r w:rsidRPr="007B4C2B">
        <w:t>MIME</w:t>
      </w:r>
      <w:r w:rsidRPr="007B4C2B">
        <w:tab/>
        <w:t>extensions de courrier Internet à fonctions multiples (</w:t>
      </w:r>
      <w:r w:rsidRPr="007B4C2B">
        <w:rPr>
          <w:i/>
          <w:iCs/>
        </w:rPr>
        <w:t>multipurpose Internet mail extensions</w:t>
      </w:r>
      <w:r w:rsidRPr="007B4C2B">
        <w:t>)</w:t>
      </w:r>
    </w:p>
    <w:p w:rsidR="00316B43" w:rsidRPr="007B4C2B" w:rsidRDefault="00316B43" w:rsidP="00316B43">
      <w:pPr>
        <w:tabs>
          <w:tab w:val="clear" w:pos="794"/>
          <w:tab w:val="clear" w:pos="1191"/>
          <w:tab w:val="left" w:pos="1560"/>
        </w:tabs>
      </w:pPr>
      <w:r w:rsidRPr="007B4C2B">
        <w:t>NCL</w:t>
      </w:r>
      <w:r w:rsidRPr="007B4C2B">
        <w:tab/>
        <w:t>langage de contextes imbriqués (</w:t>
      </w:r>
      <w:r w:rsidRPr="007B4C2B">
        <w:rPr>
          <w:i/>
          <w:iCs/>
        </w:rPr>
        <w:t>nested context language</w:t>
      </w:r>
      <w:r w:rsidRPr="007B4C2B">
        <w:t>)</w:t>
      </w:r>
    </w:p>
    <w:p w:rsidR="00316B43" w:rsidRPr="007B4C2B" w:rsidRDefault="00316B43" w:rsidP="00316B43">
      <w:pPr>
        <w:tabs>
          <w:tab w:val="clear" w:pos="794"/>
          <w:tab w:val="clear" w:pos="1191"/>
          <w:tab w:val="left" w:pos="1560"/>
        </w:tabs>
      </w:pPr>
      <w:r w:rsidRPr="007B4C2B">
        <w:t>UI</w:t>
      </w:r>
      <w:r w:rsidRPr="007B4C2B">
        <w:tab/>
        <w:t>interface d'utilisateur (</w:t>
      </w:r>
      <w:r w:rsidRPr="007B4C2B">
        <w:rPr>
          <w:i/>
          <w:iCs/>
        </w:rPr>
        <w:t>user interface</w:t>
      </w:r>
      <w:r w:rsidRPr="007B4C2B">
        <w:t>)</w:t>
      </w:r>
    </w:p>
    <w:p w:rsidR="00316B43" w:rsidRPr="007B4C2B" w:rsidRDefault="00316B43" w:rsidP="00316B43">
      <w:pPr>
        <w:tabs>
          <w:tab w:val="clear" w:pos="794"/>
          <w:tab w:val="clear" w:pos="1191"/>
          <w:tab w:val="left" w:pos="1560"/>
        </w:tabs>
      </w:pPr>
      <w:r w:rsidRPr="007B4C2B">
        <w:t>XHTML</w:t>
      </w:r>
      <w:r w:rsidRPr="007B4C2B">
        <w:tab/>
        <w:t>langage HTML extensible (</w:t>
      </w:r>
      <w:r w:rsidRPr="007B4C2B">
        <w:rPr>
          <w:i/>
          <w:iCs/>
        </w:rPr>
        <w:t>extensible HTML</w:t>
      </w:r>
      <w:r w:rsidRPr="007B4C2B">
        <w:t>)</w:t>
      </w:r>
    </w:p>
    <w:p w:rsidR="00316B43" w:rsidRPr="007B4C2B" w:rsidRDefault="00316B43" w:rsidP="00316B43">
      <w:pPr>
        <w:tabs>
          <w:tab w:val="clear" w:pos="794"/>
          <w:tab w:val="clear" w:pos="1191"/>
          <w:tab w:val="left" w:pos="1560"/>
        </w:tabs>
      </w:pPr>
      <w:r w:rsidRPr="007B4C2B">
        <w:t>XML</w:t>
      </w:r>
      <w:r w:rsidRPr="007B4C2B">
        <w:tab/>
        <w:t>langage balisé extensible (</w:t>
      </w:r>
      <w:r w:rsidRPr="007B4C2B">
        <w:rPr>
          <w:i/>
          <w:iCs/>
        </w:rPr>
        <w:t>extensible markup language</w:t>
      </w:r>
      <w:r w:rsidRPr="007B4C2B">
        <w:t>)</w:t>
      </w:r>
    </w:p>
    <w:p w:rsidR="00316B43" w:rsidRPr="007B4C2B" w:rsidRDefault="00316B43" w:rsidP="009E7B81">
      <w:pPr>
        <w:pStyle w:val="Heading1"/>
      </w:pPr>
      <w:bookmarkStart w:id="4" w:name="_Toc520869358"/>
      <w:bookmarkStart w:id="5" w:name="_Toc525648443"/>
      <w:bookmarkStart w:id="6" w:name="_Toc527468529"/>
      <w:bookmarkStart w:id="7" w:name="_Toc528491321"/>
      <w:bookmarkStart w:id="8" w:name="_Toc529179764"/>
      <w:r w:rsidRPr="007B4C2B">
        <w:t>3</w:t>
      </w:r>
      <w:r w:rsidRPr="007B4C2B">
        <w:tab/>
        <w:t xml:space="preserve">Architecture de </w:t>
      </w:r>
      <w:bookmarkStart w:id="9" w:name="_GoBack"/>
      <w:bookmarkEnd w:id="9"/>
      <w:r w:rsidRPr="007B4C2B">
        <w:t>base</w:t>
      </w:r>
      <w:bookmarkEnd w:id="4"/>
      <w:bookmarkEnd w:id="5"/>
      <w:bookmarkEnd w:id="6"/>
      <w:bookmarkEnd w:id="7"/>
      <w:bookmarkEnd w:id="8"/>
    </w:p>
    <w:p w:rsidR="00316B43" w:rsidRPr="007B4C2B" w:rsidRDefault="00316B43" w:rsidP="00316B43">
      <w:r w:rsidRPr="007B4C2B">
        <w:t>L'architecture de haut niveau des interfaces API et des intergiciels pour télévision numérique interactive peut être considérée comme comprenant essentiellement deux composants: le moteur d'exécution et le moteur de présentation. Ces deux composants ne sont cependant pas forcément indépendants et des ponts appropriés peuvent être définis. En plus des composants de base, il y aura d'autres applications natives ou des logiciels et contenus propres au service, comme le format MHEG et divers formats non normalisés.</w:t>
      </w:r>
    </w:p>
    <w:p w:rsidR="00316B43" w:rsidRPr="007B4C2B" w:rsidRDefault="00316B43" w:rsidP="009E7B81">
      <w:r w:rsidRPr="007B4C2B">
        <w:t>La Fig</w:t>
      </w:r>
      <w:r w:rsidR="009E7B81">
        <w:t xml:space="preserve">. </w:t>
      </w:r>
      <w:r w:rsidRPr="007B4C2B">
        <w:t>1 montre la structure de l'environnement applicatif. Elle indique la relation entre le moteur de présentation et le moteur d'exécution.</w:t>
      </w:r>
    </w:p>
    <w:p w:rsidR="00316B43" w:rsidRPr="007B4C2B" w:rsidRDefault="00316B43" w:rsidP="00316B43">
      <w:pPr>
        <w:pStyle w:val="FigureNo"/>
        <w:rPr>
          <w:b/>
        </w:rPr>
      </w:pPr>
      <w:r w:rsidRPr="007B4C2B">
        <w:lastRenderedPageBreak/>
        <w:t>FIGURE 1</w:t>
      </w:r>
    </w:p>
    <w:p w:rsidR="00316B43" w:rsidRPr="00676A13" w:rsidRDefault="00316B43" w:rsidP="00316B43">
      <w:pPr>
        <w:pStyle w:val="Figuretitle"/>
      </w:pPr>
      <w:r w:rsidRPr="007B4C2B">
        <w:t xml:space="preserve">Architecture d'un système </w:t>
      </w:r>
      <w:r w:rsidRPr="00676A13">
        <w:t>d'environnement</w:t>
      </w:r>
      <w:r w:rsidRPr="007B4C2B">
        <w:t xml:space="preserve"> applicatif</w:t>
      </w:r>
    </w:p>
    <w:p w:rsidR="00316B43" w:rsidRPr="007B4C2B" w:rsidRDefault="00DF741D" w:rsidP="00316B43">
      <w:pPr>
        <w:pStyle w:val="Figure"/>
      </w:pPr>
      <w:r>
        <w:object w:dxaOrig="9883" w:dyaOrig="54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pt;height:258pt" o:ole="">
            <v:imagedata r:id="rId14" o:title=""/>
          </v:shape>
          <o:OLEObject Type="Embed" ProgID="CorelDRAW.Graphic.14" ShapeID="_x0000_i1025" DrawAspect="Content" ObjectID="_1370171590" r:id="rId15"/>
        </w:object>
      </w:r>
    </w:p>
    <w:p w:rsidR="00316B43" w:rsidRPr="007B4C2B" w:rsidRDefault="00316B43" w:rsidP="00316B43">
      <w:pPr>
        <w:pStyle w:val="enumlev1"/>
      </w:pPr>
      <w:r w:rsidRPr="007B4C2B">
        <w:t>1)</w:t>
      </w:r>
      <w:r w:rsidRPr="007B4C2B">
        <w:tab/>
        <w:t xml:space="preserve">moteur de présentation/moteur d'exécution </w:t>
      </w:r>
      <w:r w:rsidRPr="007B4C2B">
        <w:sym w:font="Symbol" w:char="F02D"/>
      </w:r>
      <w:r w:rsidRPr="007B4C2B">
        <w:t xml:space="preserve"> il s</w:t>
      </w:r>
      <w:r>
        <w:t>'</w:t>
      </w:r>
      <w:r w:rsidRPr="007B4C2B">
        <w:t xml:space="preserve">agit de composants essentiels </w:t>
      </w:r>
      <w:r>
        <w:t xml:space="preserve">qui </w:t>
      </w:r>
      <w:r w:rsidRPr="007B4C2B">
        <w:t>permett</w:t>
      </w:r>
      <w:r>
        <w:t>e</w:t>
      </w:r>
      <w:r w:rsidRPr="007B4C2B">
        <w:t xml:space="preserve">nt de gérer les applications </w:t>
      </w:r>
      <w:r>
        <w:t xml:space="preserve">de </w:t>
      </w:r>
      <w:r w:rsidRPr="007B4C2B">
        <w:t>télévis</w:t>
      </w:r>
      <w:r>
        <w:t>ion interactive</w:t>
      </w:r>
      <w:r w:rsidRPr="007B4C2B">
        <w:t xml:space="preserve"> </w:t>
      </w:r>
      <w:r>
        <w:t xml:space="preserve">et </w:t>
      </w:r>
      <w:r w:rsidRPr="007B4C2B">
        <w:t>sont tous deux nécessaires. Le moteur de présentation gère les applications télévisuelles déclaratives comme le contenu HTML et BML. Le moteur d</w:t>
      </w:r>
      <w:r>
        <w:t>'</w:t>
      </w:r>
      <w:r w:rsidRPr="007B4C2B">
        <w:t xml:space="preserve">exécution est </w:t>
      </w:r>
      <w:r>
        <w:t xml:space="preserve">un programme de traitement </w:t>
      </w:r>
      <w:r w:rsidRPr="007B4C2B">
        <w:t xml:space="preserve">qui exécute les applications </w:t>
      </w:r>
      <w:r>
        <w:t xml:space="preserve">de télévision </w:t>
      </w:r>
      <w:r w:rsidRPr="007B4C2B">
        <w:t xml:space="preserve">interactive. Il est reconnu que, dans certains cas, </w:t>
      </w:r>
      <w:r>
        <w:t xml:space="preserve">seul </w:t>
      </w:r>
      <w:r w:rsidRPr="007B4C2B">
        <w:t>l</w:t>
      </w:r>
      <w:r>
        <w:t>'</w:t>
      </w:r>
      <w:r w:rsidRPr="007B4C2B">
        <w:t>un ou l</w:t>
      </w:r>
      <w:r>
        <w:t>'</w:t>
      </w:r>
      <w:r w:rsidRPr="007B4C2B">
        <w:t>autre est mis en œuvre. Toutefois, pour parvenir à l</w:t>
      </w:r>
      <w:r>
        <w:t>'</w:t>
      </w:r>
      <w:r w:rsidRPr="007B4C2B">
        <w:t>harmonisation totale et au parfait interfonctionnement des applications</w:t>
      </w:r>
      <w:r>
        <w:t xml:space="preserve"> à l'échelle mondiale</w:t>
      </w:r>
      <w:r w:rsidRPr="007B4C2B">
        <w:t>, le moteur d</w:t>
      </w:r>
      <w:r>
        <w:t>'</w:t>
      </w:r>
      <w:r w:rsidRPr="007B4C2B">
        <w:t>exécution et le moteur de présentation</w:t>
      </w:r>
      <w:r>
        <w:t xml:space="preserve"> sont tous deux requis</w:t>
      </w:r>
      <w:r w:rsidRPr="007B4C2B">
        <w:t>;</w:t>
      </w:r>
    </w:p>
    <w:p w:rsidR="00316B43" w:rsidRPr="007B4C2B" w:rsidRDefault="00316B43" w:rsidP="00316B43">
      <w:pPr>
        <w:pStyle w:val="enumlev1"/>
      </w:pPr>
      <w:r w:rsidRPr="007B4C2B">
        <w:t>2)</w:t>
      </w:r>
      <w:r w:rsidRPr="007B4C2B">
        <w:tab/>
        <w:t xml:space="preserve">éléments de pont </w:t>
      </w:r>
      <w:r w:rsidRPr="007B4C2B">
        <w:sym w:font="Symbol" w:char="F02D"/>
      </w:r>
      <w:r w:rsidRPr="007B4C2B">
        <w:t xml:space="preserve"> Ce mécanisme applicatif permet une mise en correspondance dans les deux sens entre le moteur d</w:t>
      </w:r>
      <w:r>
        <w:t>'</w:t>
      </w:r>
      <w:r w:rsidRPr="007B4C2B">
        <w:t>exécution et le moteur de présentation;</w:t>
      </w:r>
    </w:p>
    <w:p w:rsidR="00316B43" w:rsidRPr="007B4C2B" w:rsidRDefault="00316B43" w:rsidP="00316B43">
      <w:pPr>
        <w:pStyle w:val="enumlev1"/>
      </w:pPr>
      <w:r w:rsidRPr="007B4C2B">
        <w:t>3)</w:t>
      </w:r>
      <w:r w:rsidRPr="007B4C2B">
        <w:tab/>
        <w:t xml:space="preserve">moniteur de cycle de vie d'application </w:t>
      </w:r>
      <w:r w:rsidRPr="007B4C2B">
        <w:sym w:font="Symbol" w:char="F02D"/>
      </w:r>
      <w:r w:rsidRPr="007B4C2B">
        <w:t xml:space="preserve"> Ce logiciel de commande est exprimé différemment dans chaque spécification. Il peut apparaître comme une application à part entière ou simplement comme un moniteur de système d'exploitation afin de contrôler l'état du logiciel. Sa fonction générale est de gérer des applications pendant toute leur durée de vie, y compris l'initialisation, la terminaison et la commande;</w:t>
      </w:r>
    </w:p>
    <w:p w:rsidR="00316B43" w:rsidRPr="007B4C2B" w:rsidRDefault="00316B43" w:rsidP="00316B43">
      <w:pPr>
        <w:pStyle w:val="enumlev1"/>
      </w:pPr>
      <w:r w:rsidRPr="007B4C2B">
        <w:t>4)</w:t>
      </w:r>
      <w:r w:rsidRPr="007B4C2B">
        <w:tab/>
        <w:t xml:space="preserve">applications </w:t>
      </w:r>
      <w:r w:rsidRPr="007B4C2B">
        <w:sym w:font="Symbol" w:char="F02D"/>
      </w:r>
      <w:r w:rsidRPr="007B4C2B">
        <w:t xml:space="preserve"> Dans certains systèmes, ces applications peuvent être limitées à être liées au service ou à ne pas y être liées. Ces applications peuvent être écrites soit par le moteur de présentation, soit par le moteur d'exécution ou par les deux;</w:t>
      </w:r>
    </w:p>
    <w:p w:rsidR="00316B43" w:rsidRPr="007B4C2B" w:rsidRDefault="00316B43" w:rsidP="00316B43">
      <w:pPr>
        <w:pStyle w:val="enumlev1"/>
      </w:pPr>
      <w:r w:rsidRPr="007B4C2B">
        <w:t>5)</w:t>
      </w:r>
      <w:r w:rsidRPr="007B4C2B">
        <w:tab/>
        <w:t xml:space="preserve">interaction avec l'utilisateur </w:t>
      </w:r>
      <w:r w:rsidRPr="007B4C2B">
        <w:sym w:font="Symbol" w:char="F02D"/>
      </w:r>
      <w:r w:rsidRPr="007B4C2B">
        <w:t xml:space="preserve"> Il s'agit de la couche d'entrée dans la télécommande, les claviers et autres dispositifs de commande;</w:t>
      </w:r>
    </w:p>
    <w:p w:rsidR="00316B43" w:rsidRPr="007B4C2B" w:rsidRDefault="00316B43" w:rsidP="00316B43">
      <w:pPr>
        <w:pStyle w:val="enumlev1"/>
      </w:pPr>
      <w:r w:rsidRPr="007B4C2B">
        <w:t>6)</w:t>
      </w:r>
      <w:r w:rsidRPr="007B4C2B">
        <w:tab/>
        <w:t xml:space="preserve">autres médias </w:t>
      </w:r>
      <w:r w:rsidRPr="007B4C2B">
        <w:sym w:font="Symbol" w:char="F02D"/>
      </w:r>
      <w:r w:rsidRPr="007B4C2B">
        <w:t xml:space="preserve"> Ces médias peuvent être à flux continu comme les signaux audio et données ou être monomédia comme les images statiques et les textes;</w:t>
      </w:r>
    </w:p>
    <w:p w:rsidR="00316B43" w:rsidRPr="007B4C2B" w:rsidRDefault="00316B43" w:rsidP="00316B43">
      <w:pPr>
        <w:pStyle w:val="enumlev1"/>
      </w:pPr>
      <w:r w:rsidRPr="007B4C2B">
        <w:t>7)</w:t>
      </w:r>
      <w:r w:rsidRPr="007B4C2B">
        <w:tab/>
        <w:t xml:space="preserve">logiciel natif </w:t>
      </w:r>
      <w:r w:rsidRPr="007B4C2B">
        <w:sym w:font="Symbol" w:char="F02D"/>
      </w:r>
      <w:r w:rsidRPr="007B4C2B">
        <w:t xml:space="preserve"> Logiciel qui est soit hérité, soit écrit au moyen d'interfaces API supplémentaires et au moyen de fonctions qui sont hors de l'environnement applicatif spécifié.</w:t>
      </w:r>
    </w:p>
    <w:p w:rsidR="00316B43" w:rsidRPr="007B4C2B" w:rsidRDefault="00316B43" w:rsidP="009E7B81">
      <w:pPr>
        <w:pStyle w:val="Heading1"/>
      </w:pPr>
      <w:bookmarkStart w:id="10" w:name="_Toc520869359"/>
      <w:bookmarkStart w:id="11" w:name="_Toc525648444"/>
      <w:bookmarkStart w:id="12" w:name="_Toc527468530"/>
      <w:bookmarkStart w:id="13" w:name="_Toc528491322"/>
      <w:bookmarkStart w:id="14" w:name="_Toc529179765"/>
      <w:r w:rsidRPr="007B4C2B">
        <w:lastRenderedPageBreak/>
        <w:t>4</w:t>
      </w:r>
      <w:r w:rsidRPr="007B4C2B">
        <w:tab/>
        <w:t>Moteur d'exécution</w:t>
      </w:r>
      <w:bookmarkEnd w:id="10"/>
      <w:bookmarkEnd w:id="11"/>
      <w:bookmarkEnd w:id="12"/>
      <w:bookmarkEnd w:id="13"/>
      <w:bookmarkEnd w:id="14"/>
    </w:p>
    <w:p w:rsidR="00316B43" w:rsidRPr="007B4C2B" w:rsidRDefault="00316B43" w:rsidP="009E7B81">
      <w:r w:rsidRPr="007B4C2B">
        <w:t>La Fig</w:t>
      </w:r>
      <w:r w:rsidR="009E7B81">
        <w:t>.</w:t>
      </w:r>
      <w:r w:rsidRPr="007B4C2B">
        <w:t xml:space="preserve"> 2 montre la structure du moteur d'exécution et indique l'origine des divers éléments.</w:t>
      </w:r>
    </w:p>
    <w:p w:rsidR="00316B43" w:rsidRPr="007B4C2B" w:rsidRDefault="00316B43" w:rsidP="00316B43">
      <w:pPr>
        <w:pStyle w:val="FigureNo"/>
      </w:pPr>
      <w:r w:rsidRPr="007B4C2B">
        <w:t>FIGURE 2</w:t>
      </w:r>
    </w:p>
    <w:p w:rsidR="00316B43" w:rsidRPr="007B4C2B" w:rsidRDefault="00316B43" w:rsidP="00316B43">
      <w:pPr>
        <w:pStyle w:val="Figuretitle"/>
      </w:pPr>
      <w:r w:rsidRPr="007B4C2B">
        <w:t>Structure du moteur d</w:t>
      </w:r>
      <w:r>
        <w:t>'</w:t>
      </w:r>
      <w:r w:rsidRPr="007B4C2B">
        <w:t>exécution</w:t>
      </w:r>
    </w:p>
    <w:p w:rsidR="00316B43" w:rsidRDefault="00DF741D" w:rsidP="00316B43">
      <w:pPr>
        <w:pStyle w:val="Figure"/>
      </w:pPr>
      <w:r>
        <w:object w:dxaOrig="8168" w:dyaOrig="3453">
          <v:shape id="_x0000_i1026" type="#_x0000_t75" style="width:386pt;height:162.5pt" o:ole="">
            <v:imagedata r:id="rId16" o:title=""/>
          </v:shape>
          <o:OLEObject Type="Embed" ProgID="CorelDRAW.Graphic.14" ShapeID="_x0000_i1026" DrawAspect="Content" ObjectID="_1370171591" r:id="rId17"/>
        </w:object>
      </w:r>
    </w:p>
    <w:p w:rsidR="00316B43" w:rsidRPr="007B4C2B" w:rsidRDefault="00316B43" w:rsidP="009E7B81">
      <w:pPr>
        <w:pStyle w:val="Normalaftertitle"/>
      </w:pPr>
      <w:r w:rsidRPr="007B4C2B">
        <w:t>Les normes clés qui doivent être prises en charge par le moteur d'exécution sont les suivantes:</w:t>
      </w:r>
    </w:p>
    <w:p w:rsidR="00316B43" w:rsidRPr="007B4C2B" w:rsidRDefault="00316B43" w:rsidP="00316B43">
      <w:pPr>
        <w:pStyle w:val="enumlev1"/>
      </w:pPr>
      <w:r w:rsidRPr="007B4C2B">
        <w:t>1)</w:t>
      </w:r>
      <w:r w:rsidRPr="007B4C2B">
        <w:tab/>
        <w:t xml:space="preserve">fonctions Java de base </w:t>
      </w:r>
      <w:r w:rsidRPr="007B4C2B">
        <w:sym w:font="Symbol" w:char="F02D"/>
      </w:r>
      <w:r w:rsidRPr="007B4C2B">
        <w:t xml:space="preserve"> Cette interface API se compose du profil personnel de base, du profil fondamental et de la configuration pour dispositifs connectés;</w:t>
      </w:r>
    </w:p>
    <w:p w:rsidR="00316B43" w:rsidRPr="007B4C2B" w:rsidRDefault="00316B43" w:rsidP="00316B43">
      <w:pPr>
        <w:pStyle w:val="enumlev1"/>
      </w:pPr>
      <w:r w:rsidRPr="007B4C2B">
        <w:t>2)</w:t>
      </w:r>
      <w:r w:rsidRPr="007B4C2B">
        <w:tab/>
      </w:r>
      <w:r>
        <w:t>e</w:t>
      </w:r>
      <w:r w:rsidRPr="007B4C2B">
        <w:t xml:space="preserve">xtensions pour diffusion </w:t>
      </w:r>
      <w:r w:rsidRPr="007B4C2B">
        <w:sym w:font="Symbol" w:char="F02D"/>
      </w:r>
      <w:r w:rsidRPr="007B4C2B">
        <w:t xml:space="preserve"> Cette interface API se compose des progiciels javax.tv.* spécifiés par Sun Microsystems dans la spécification JavaTV </w:t>
      </w:r>
      <w:r>
        <w:t xml:space="preserve">associés à d'autres </w:t>
      </w:r>
      <w:r w:rsidRPr="007B4C2B">
        <w:t xml:space="preserve">fonctions de diffusion, comme le filtrage </w:t>
      </w:r>
      <w:r>
        <w:t xml:space="preserve">au niveau </w:t>
      </w:r>
      <w:r w:rsidRPr="007B4C2B">
        <w:t>des sections, l</w:t>
      </w:r>
      <w:r>
        <w:t xml:space="preserve">e réglage </w:t>
      </w:r>
      <w:r w:rsidRPr="007B4C2B">
        <w:t>d</w:t>
      </w:r>
      <w:r>
        <w:t>es</w:t>
      </w:r>
      <w:r w:rsidRPr="007B4C2B">
        <w:t xml:space="preserve"> flux de transport, la gestion des ressources et la gestion de la connectivité </w:t>
      </w:r>
      <w:r>
        <w:t>sur le</w:t>
      </w:r>
      <w:r w:rsidRPr="007B4C2B">
        <w:t xml:space="preserve"> canal de retour (par exemple, DAVIC ou Ginga-J);</w:t>
      </w:r>
    </w:p>
    <w:p w:rsidR="00316B43" w:rsidRPr="007B4C2B" w:rsidRDefault="00316B43" w:rsidP="00316B43">
      <w:pPr>
        <w:pStyle w:val="enumlev1"/>
      </w:pPr>
      <w:r w:rsidRPr="007B4C2B">
        <w:t>3)</w:t>
      </w:r>
      <w:r w:rsidRPr="007B4C2B">
        <w:tab/>
        <w:t xml:space="preserve">extension de présentation pour média </w:t>
      </w:r>
      <w:r w:rsidRPr="007B4C2B">
        <w:sym w:font="Symbol" w:char="F02D"/>
      </w:r>
      <w:r w:rsidRPr="007B4C2B">
        <w:t xml:space="preserve"> Cette interface API se compose des progiciels javax.media.* spécifiés par Sun Microsystems;</w:t>
      </w:r>
    </w:p>
    <w:p w:rsidR="00316B43" w:rsidRPr="007B4C2B" w:rsidRDefault="00316B43" w:rsidP="00316B43">
      <w:pPr>
        <w:pStyle w:val="enumlev1"/>
      </w:pPr>
      <w:r w:rsidRPr="007B4C2B">
        <w:t>4)</w:t>
      </w:r>
      <w:r w:rsidRPr="007B4C2B">
        <w:tab/>
        <w:t>extensions d</w:t>
      </w:r>
      <w:r>
        <w:t>'interface d'utilisateur</w:t>
      </w:r>
      <w:r w:rsidRPr="007B4C2B">
        <w:t xml:space="preserve"> pour </w:t>
      </w:r>
      <w:r>
        <w:t xml:space="preserve">télévision </w:t>
      </w:r>
      <w:r w:rsidRPr="007B4C2B">
        <w:sym w:font="Symbol" w:char="F02D"/>
      </w:r>
      <w:r w:rsidRPr="007B4C2B">
        <w:t xml:space="preserve"> Cette interface API assure la fonctionnalité propre à la télévision de présentation et d</w:t>
      </w:r>
      <w:r>
        <w:t>'</w:t>
      </w:r>
      <w:r w:rsidRPr="007B4C2B">
        <w:t>interaction avec l</w:t>
      </w:r>
      <w:r>
        <w:t>'</w:t>
      </w:r>
      <w:r w:rsidRPr="007B4C2B">
        <w:t xml:space="preserve">utilisateur, par exemple interface </w:t>
      </w:r>
      <w:r>
        <w:t>d'</w:t>
      </w:r>
      <w:r w:rsidRPr="007B4C2B">
        <w:t xml:space="preserve">utilisateur </w:t>
      </w:r>
      <w:r>
        <w:t>API HAVi et LWUIT</w:t>
      </w:r>
      <w:r w:rsidRPr="007B4C2B">
        <w:t>;</w:t>
      </w:r>
    </w:p>
    <w:p w:rsidR="00316B43" w:rsidRPr="007B4C2B" w:rsidRDefault="00316B43" w:rsidP="00316B43">
      <w:pPr>
        <w:pStyle w:val="enumlev1"/>
      </w:pPr>
      <w:r w:rsidRPr="007B4C2B">
        <w:t>5)</w:t>
      </w:r>
      <w:r w:rsidRPr="007B4C2B">
        <w:tab/>
        <w:t>extensions pour l</w:t>
      </w:r>
      <w:r>
        <w:t>'</w:t>
      </w:r>
      <w:r w:rsidRPr="007B4C2B">
        <w:t>accès a</w:t>
      </w:r>
      <w:r>
        <w:t>ux informations de service et le</w:t>
      </w:r>
      <w:r w:rsidRPr="007B4C2B">
        <w:t xml:space="preserve"> protocole de réseau (par exemple, interfaces </w:t>
      </w:r>
      <w:r>
        <w:t xml:space="preserve">API </w:t>
      </w:r>
      <w:r w:rsidRPr="007B4C2B">
        <w:t>pertinentes définies dans les normes DVB-MHP, OCAP, ACAP, ARIB STD-B23, GINGA-J).</w:t>
      </w:r>
    </w:p>
    <w:p w:rsidR="00316B43" w:rsidRPr="007B4C2B" w:rsidRDefault="00316B43" w:rsidP="009E7B81">
      <w:pPr>
        <w:pStyle w:val="Heading1"/>
      </w:pPr>
      <w:bookmarkStart w:id="15" w:name="_Toc520869360"/>
      <w:bookmarkStart w:id="16" w:name="_Toc525648445"/>
      <w:bookmarkStart w:id="17" w:name="_Toc527468531"/>
      <w:bookmarkStart w:id="18" w:name="_Toc528491323"/>
      <w:bookmarkStart w:id="19" w:name="_Toc529179766"/>
      <w:r w:rsidRPr="007B4C2B">
        <w:t>5</w:t>
      </w:r>
      <w:r w:rsidRPr="007B4C2B">
        <w:tab/>
        <w:t>Moteur de présentation</w:t>
      </w:r>
      <w:bookmarkEnd w:id="15"/>
      <w:bookmarkEnd w:id="16"/>
      <w:bookmarkEnd w:id="17"/>
      <w:bookmarkEnd w:id="18"/>
      <w:bookmarkEnd w:id="19"/>
    </w:p>
    <w:p w:rsidR="00316B43" w:rsidRPr="007B4C2B" w:rsidRDefault="00316B43" w:rsidP="009E7B81">
      <w:r w:rsidRPr="007B4C2B">
        <w:t xml:space="preserve">La </w:t>
      </w:r>
      <w:r w:rsidR="009E7B81">
        <w:t xml:space="preserve">Fig. </w:t>
      </w:r>
      <w:r w:rsidRPr="007B4C2B">
        <w:t>3 montre la structure du moteur de présentation et indique l'origine des divers éléments.</w:t>
      </w:r>
    </w:p>
    <w:p w:rsidR="00316B43" w:rsidRPr="007B4C2B" w:rsidRDefault="00316B43" w:rsidP="00316B43">
      <w:pPr>
        <w:pStyle w:val="FigureNo"/>
      </w:pPr>
      <w:r w:rsidRPr="007B4C2B">
        <w:lastRenderedPageBreak/>
        <w:t>FIGURE 3</w:t>
      </w:r>
    </w:p>
    <w:p w:rsidR="00316B43" w:rsidRPr="007B4C2B" w:rsidRDefault="00316B43" w:rsidP="00316B43">
      <w:pPr>
        <w:pStyle w:val="Figuretitle"/>
      </w:pPr>
      <w:r w:rsidRPr="007B4C2B">
        <w:t>Structure du moteur de présentation</w:t>
      </w:r>
    </w:p>
    <w:p w:rsidR="00316B43" w:rsidRDefault="00C90EC3" w:rsidP="00316B43">
      <w:pPr>
        <w:pStyle w:val="Figure"/>
      </w:pPr>
      <w:r>
        <w:object w:dxaOrig="7212" w:dyaOrig="2143">
          <v:shape id="_x0000_i1027" type="#_x0000_t75" style="width:424pt;height:126.5pt" o:ole="">
            <v:imagedata r:id="rId18" o:title=""/>
          </v:shape>
          <o:OLEObject Type="Embed" ProgID="CorelDRAW.Graphic.14" ShapeID="_x0000_i1027" DrawAspect="Content" ObjectID="_1370171592" r:id="rId19"/>
        </w:object>
      </w:r>
    </w:p>
    <w:p w:rsidR="00316B43" w:rsidRPr="007B4C2B" w:rsidRDefault="00316B43" w:rsidP="009E7B81">
      <w:pPr>
        <w:pStyle w:val="Normalaftertitle"/>
      </w:pPr>
      <w:r w:rsidRPr="007B4C2B">
        <w:t>Les normes clés qui doivent être prises en charge par le moteur d'exécution sont les suivantes:</w:t>
      </w:r>
    </w:p>
    <w:p w:rsidR="00316B43" w:rsidRPr="007B4C2B" w:rsidRDefault="00316B43" w:rsidP="00316B43">
      <w:pPr>
        <w:pStyle w:val="enumlev1"/>
      </w:pPr>
      <w:r w:rsidRPr="007B4C2B">
        <w:t>1)</w:t>
      </w:r>
      <w:r w:rsidRPr="007B4C2B">
        <w:tab/>
        <w:t>langage balisé, comme les modules communs HTML, BML et NCL définis dans la modularisation X-HTML ou langage HTML défini par le groupe W3C;</w:t>
      </w:r>
    </w:p>
    <w:p w:rsidR="00316B43" w:rsidRPr="007B4C2B" w:rsidRDefault="00316B43" w:rsidP="00316B43">
      <w:pPr>
        <w:pStyle w:val="enumlev1"/>
      </w:pPr>
      <w:r w:rsidRPr="007B4C2B">
        <w:t>2)</w:t>
      </w:r>
      <w:r w:rsidRPr="007B4C2B">
        <w:tab/>
        <w:t>feuilles de style (CSS) décrivant le style de présentation comme défini par le groupe W3C;</w:t>
      </w:r>
    </w:p>
    <w:p w:rsidR="00316B43" w:rsidRPr="007B4C2B" w:rsidRDefault="00316B43" w:rsidP="00316B43">
      <w:pPr>
        <w:pStyle w:val="enumlev1"/>
      </w:pPr>
      <w:r w:rsidRPr="007B4C2B">
        <w:t>3)</w:t>
      </w:r>
      <w:r w:rsidRPr="007B4C2B">
        <w:tab/>
        <w:t>interfaces API de modèles DOM afin de modifier dynamiquement le contenu de documents HTML ou X-HTML comme défini par le groupe W3C;</w:t>
      </w:r>
    </w:p>
    <w:p w:rsidR="00316B43" w:rsidRPr="007B4C2B" w:rsidRDefault="00316B43" w:rsidP="00316B43">
      <w:pPr>
        <w:pStyle w:val="enumlev1"/>
      </w:pPr>
      <w:r w:rsidRPr="007B4C2B">
        <w:t>4)</w:t>
      </w:r>
      <w:r w:rsidRPr="007B4C2B">
        <w:tab/>
        <w:t>langage de script;</w:t>
      </w:r>
    </w:p>
    <w:p w:rsidR="00316B43" w:rsidRPr="007B4C2B" w:rsidRDefault="00316B43" w:rsidP="00316B43">
      <w:pPr>
        <w:pStyle w:val="enumlev1"/>
      </w:pPr>
      <w:r>
        <w:t>5)</w:t>
      </w:r>
      <w:r>
        <w:tab/>
        <w:t xml:space="preserve">langage NCL comme langage de </w:t>
      </w:r>
      <w:r w:rsidRPr="007B4C2B">
        <w:t>liaison déclaratif</w:t>
      </w:r>
      <w:r>
        <w:t>;</w:t>
      </w:r>
    </w:p>
    <w:p w:rsidR="00316B43" w:rsidRPr="007B4C2B" w:rsidRDefault="00316B43" w:rsidP="00316B43">
      <w:pPr>
        <w:pStyle w:val="enumlev1"/>
      </w:pPr>
      <w:r w:rsidRPr="007B4C2B">
        <w:t>6)</w:t>
      </w:r>
      <w:r w:rsidRPr="007B4C2B">
        <w:tab/>
        <w:t>extensions spécifiques de la télévision et interfaces API ainsi qu'objets DOM additionnels pour le traitement de la signalisation, des déclencheurs, des protocoles et des types d'extension MIME propres aux récepteurs de télévision et à leurs fonctions spécifiques;</w:t>
      </w:r>
    </w:p>
    <w:p w:rsidR="00316B43" w:rsidRPr="007B4C2B" w:rsidRDefault="00316B43" w:rsidP="00316B43">
      <w:pPr>
        <w:pStyle w:val="enumlev1"/>
      </w:pPr>
      <w:r w:rsidRPr="007B4C2B">
        <w:t>7)</w:t>
      </w:r>
      <w:r w:rsidRPr="007B4C2B">
        <w:tab/>
        <w:t>types normalisés de média tels que flux d'images/jpg, d'images/png, de données audio/base et types de média propres à la télévision comme les flux vidéo/mpeg définis par l'ISO;</w:t>
      </w:r>
    </w:p>
    <w:p w:rsidR="00316B43" w:rsidRDefault="00316B43" w:rsidP="00316B43">
      <w:r w:rsidRPr="007B4C2B">
        <w:t>8)</w:t>
      </w:r>
      <w:r w:rsidRPr="007B4C2B">
        <w:tab/>
        <w:t>analyseur XML tel que défini par le groupe W3C.</w:t>
      </w:r>
    </w:p>
    <w:p w:rsidR="00316B43" w:rsidRDefault="00316B43" w:rsidP="00316B43"/>
    <w:p w:rsidR="00316B43" w:rsidRPr="005274F9" w:rsidRDefault="00316B43" w:rsidP="00316B43">
      <w:pPr>
        <w:pStyle w:val="Line"/>
        <w:rPr>
          <w:lang w:val="fr-CH"/>
        </w:rPr>
      </w:pPr>
    </w:p>
    <w:p w:rsidR="00316B43" w:rsidRPr="00316B43" w:rsidRDefault="00316B43" w:rsidP="00A6617B"/>
    <w:p w:rsidR="00316B43" w:rsidRPr="00316B43" w:rsidRDefault="00316B43" w:rsidP="00A6617B">
      <w:pPr>
        <w:rPr>
          <w:lang w:val="fr-CH"/>
        </w:rPr>
      </w:pPr>
    </w:p>
    <w:sectPr w:rsidR="00316B43" w:rsidRPr="00316B43" w:rsidSect="00011142">
      <w:headerReference w:type="even" r:id="rId20"/>
      <w:headerReference w:type="default" r:id="rId2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6B43" w:rsidRDefault="00316B43">
      <w:r>
        <w:separator/>
      </w:r>
    </w:p>
  </w:endnote>
  <w:endnote w:type="continuationSeparator" w:id="0">
    <w:p w:rsidR="00316B43" w:rsidRDefault="00316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6B43" w:rsidRDefault="00316B43">
      <w:r>
        <w:separator/>
      </w:r>
    </w:p>
  </w:footnote>
  <w:footnote w:type="continuationSeparator" w:id="0">
    <w:p w:rsidR="00316B43" w:rsidRDefault="00316B43">
      <w:r>
        <w:continuationSeparator/>
      </w:r>
    </w:p>
  </w:footnote>
  <w:footnote w:id="1">
    <w:p w:rsidR="00195C40" w:rsidRPr="00195C40" w:rsidRDefault="00195C40">
      <w:pPr>
        <w:pStyle w:val="FootnoteText"/>
        <w:rPr>
          <w:lang w:val="fr-CH"/>
        </w:rPr>
      </w:pPr>
      <w:r>
        <w:rPr>
          <w:rStyle w:val="FootnoteReference"/>
        </w:rPr>
        <w:footnoteRef/>
      </w:r>
      <w:r>
        <w:t xml:space="preserve"> </w:t>
      </w:r>
      <w:r>
        <w:rPr>
          <w:lang w:val="fr-CH"/>
        </w:rPr>
        <w:tab/>
        <w:t>La présente Recommandation doit être portée à l'attention de la Commission d'études 9 de l'UIT-T.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B43" w:rsidRDefault="00316B4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B43" w:rsidRDefault="00316B43" w:rsidP="0014322C">
    <w:pPr>
      <w:pStyle w:val="Header"/>
      <w:ind w:right="360" w:firstLine="360"/>
    </w:pPr>
    <w:r>
      <w:rPr>
        <w:noProof/>
        <w:lang w:val="en-US" w:eastAsia="zh-CN"/>
      </w:rPr>
      <w:drawing>
        <wp:anchor distT="0" distB="0" distL="114300" distR="114300" simplePos="0" relativeHeight="251659264" behindDoc="1" locked="0" layoutInCell="1" allowOverlap="1" wp14:anchorId="61A8AD7D" wp14:editId="1F148F25">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B43" w:rsidRPr="00316B43" w:rsidRDefault="00316B43">
    <w:pPr>
      <w:pStyle w:val="Header"/>
      <w:jc w:val="left"/>
      <w:rPr>
        <w:lang w:val="fr-CH"/>
      </w:rPr>
    </w:pPr>
    <w:r>
      <w:rPr>
        <w:rStyle w:val="PageNumber"/>
        <w:b/>
        <w:bCs/>
      </w:rPr>
      <w:fldChar w:fldCharType="begin"/>
    </w:r>
    <w:r w:rsidRPr="00316B43">
      <w:rPr>
        <w:rStyle w:val="PageNumber"/>
        <w:b/>
        <w:bCs/>
        <w:lang w:val="fr-CH"/>
      </w:rPr>
      <w:instrText xml:space="preserve"> PAGE </w:instrText>
    </w:r>
    <w:r>
      <w:rPr>
        <w:rStyle w:val="PageNumber"/>
        <w:b/>
        <w:bCs/>
      </w:rPr>
      <w:fldChar w:fldCharType="separate"/>
    </w:r>
    <w:r w:rsidR="00AD5703">
      <w:rPr>
        <w:rStyle w:val="PageNumber"/>
        <w:b/>
        <w:bCs/>
        <w:noProof/>
        <w:lang w:val="fr-CH"/>
      </w:rPr>
      <w:t>ii</w:t>
    </w:r>
    <w:r>
      <w:rPr>
        <w:rStyle w:val="PageNumber"/>
        <w:b/>
        <w:bCs/>
      </w:rPr>
      <w:fldChar w:fldCharType="end"/>
    </w:r>
    <w:r w:rsidRPr="00316B43">
      <w:rPr>
        <w:lang w:val="fr-CH"/>
      </w:rPr>
      <w:tab/>
    </w:r>
    <w:fldSimple w:instr=" DOCPROPERTY &quot;Header&quot; \* MERGEFORMAT ">
      <w:r w:rsidR="00AD5703" w:rsidRPr="00AD5703">
        <w:rPr>
          <w:b/>
          <w:bCs/>
          <w:lang w:val="fr-CH"/>
        </w:rPr>
        <w:t xml:space="preserve">Rec. </w:t>
      </w:r>
    </w:fldSimple>
    <w:r>
      <w:rPr>
        <w:b/>
        <w:bCs/>
      </w:rPr>
      <w:t xml:space="preserve"> </w:t>
    </w:r>
    <w:r>
      <w:rPr>
        <w:b/>
        <w:bCs/>
      </w:rPr>
      <w:fldChar w:fldCharType="begin"/>
    </w:r>
    <w:r w:rsidRPr="00316B43">
      <w:rPr>
        <w:b/>
        <w:bCs/>
        <w:lang w:val="fr-CH"/>
      </w:rPr>
      <w:instrText>styleref href</w:instrText>
    </w:r>
    <w:r>
      <w:rPr>
        <w:b/>
        <w:bCs/>
      </w:rPr>
      <w:fldChar w:fldCharType="separate"/>
    </w:r>
    <w:r w:rsidR="00AD5703">
      <w:rPr>
        <w:b/>
        <w:bCs/>
        <w:noProof/>
      </w:rPr>
      <w:t>UIT-R  BT.1889</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B43" w:rsidRDefault="00316B43">
    <w:pPr>
      <w:pStyle w:val="Header"/>
    </w:pPr>
    <w:r>
      <w:tab/>
    </w:r>
    <w:fldSimple w:instr=" DOCPROPERTY &quot;Header&quot; \* MERGEFORMAT ">
      <w:r w:rsidR="00AD5703" w:rsidRPr="00AD570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D5703">
      <w:rPr>
        <w:b/>
        <w:bCs/>
        <w:noProof/>
      </w:rPr>
      <w:t>UIT-R  BT.1889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D5703">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D5703">
      <w:rPr>
        <w:rStyle w:val="PageNumber"/>
        <w:b/>
        <w:bCs/>
        <w:noProof/>
        <w:lang w:val="en-US"/>
      </w:rPr>
      <w:t>2</w:t>
    </w:r>
    <w:r>
      <w:rPr>
        <w:rStyle w:val="PageNumber"/>
        <w:b/>
        <w:bCs/>
      </w:rPr>
      <w:fldChar w:fldCharType="end"/>
    </w:r>
    <w:r>
      <w:rPr>
        <w:lang w:val="en-US"/>
      </w:rPr>
      <w:tab/>
    </w:r>
    <w:r w:rsidR="00AD5703">
      <w:fldChar w:fldCharType="begin"/>
    </w:r>
    <w:r w:rsidR="00AD5703">
      <w:instrText xml:space="preserve"> DOCPROPERTY "Header" \* MERGEFORMAT </w:instrText>
    </w:r>
    <w:r w:rsidR="00AD5703">
      <w:fldChar w:fldCharType="separate"/>
    </w:r>
    <w:r w:rsidR="00AD5703" w:rsidRPr="00AD5703">
      <w:rPr>
        <w:b/>
        <w:bCs/>
        <w:lang w:val="en-US"/>
      </w:rPr>
      <w:t xml:space="preserve">Rec. </w:t>
    </w:r>
    <w:r w:rsidR="00AD5703">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AD5703">
      <w:rPr>
        <w:b/>
        <w:bCs/>
        <w:noProof/>
      </w:rPr>
      <w:t>UIT-R  BT.1889</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r w:rsidR="00AD5703">
      <w:fldChar w:fldCharType="begin"/>
    </w:r>
    <w:r w:rsidR="00AD5703">
      <w:instrText xml:space="preserve"> DOCPROPERTY "Header" \* MERGEFORMAT </w:instrText>
    </w:r>
    <w:r w:rsidR="00AD5703">
      <w:fldChar w:fldCharType="separate"/>
    </w:r>
    <w:r w:rsidR="00AD5703" w:rsidRPr="00AD5703">
      <w:rPr>
        <w:b/>
        <w:bCs/>
      </w:rPr>
      <w:t xml:space="preserve">Rec. </w:t>
    </w:r>
    <w:r w:rsidR="00AD5703">
      <w:rPr>
        <w:b/>
        <w:bCs/>
      </w:rPr>
      <w:fldChar w:fldCharType="end"/>
    </w:r>
    <w:r>
      <w:rPr>
        <w:b/>
        <w:bCs/>
      </w:rPr>
      <w:t xml:space="preserve"> </w:t>
    </w:r>
    <w:r>
      <w:rPr>
        <w:b/>
        <w:bCs/>
      </w:rPr>
      <w:fldChar w:fldCharType="begin"/>
    </w:r>
    <w:r>
      <w:rPr>
        <w:b/>
        <w:bCs/>
      </w:rPr>
      <w:instrText>styleref href</w:instrText>
    </w:r>
    <w:r>
      <w:rPr>
        <w:b/>
        <w:bCs/>
      </w:rPr>
      <w:fldChar w:fldCharType="separate"/>
    </w:r>
    <w:r w:rsidR="00AD5703">
      <w:rPr>
        <w:b/>
        <w:bCs/>
        <w:noProof/>
      </w:rPr>
      <w:t>UIT-R  BT.1889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D5703">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B43"/>
    <w:rsid w:val="00011142"/>
    <w:rsid w:val="00195C40"/>
    <w:rsid w:val="00217EBF"/>
    <w:rsid w:val="002D76C4"/>
    <w:rsid w:val="00316B43"/>
    <w:rsid w:val="005274F9"/>
    <w:rsid w:val="00607D68"/>
    <w:rsid w:val="006A66BC"/>
    <w:rsid w:val="007468DA"/>
    <w:rsid w:val="009E7B81"/>
    <w:rsid w:val="00A6617B"/>
    <w:rsid w:val="00AB0DC8"/>
    <w:rsid w:val="00AD5703"/>
    <w:rsid w:val="00B44E24"/>
    <w:rsid w:val="00C90EC3"/>
    <w:rsid w:val="00DF4176"/>
    <w:rsid w:val="00DF741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uiPriority w:val="99"/>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316B43"/>
    <w:rPr>
      <w:color w:val="0000FF"/>
      <w:u w:val="single"/>
    </w:rPr>
  </w:style>
  <w:style w:type="character" w:customStyle="1" w:styleId="Heading1Char">
    <w:name w:val="Heading 1 Char"/>
    <w:basedOn w:val="DefaultParagraphFont"/>
    <w:link w:val="Heading1"/>
    <w:rsid w:val="00316B43"/>
    <w:rPr>
      <w:b/>
      <w:sz w:val="24"/>
      <w:lang w:val="fr-FR" w:eastAsia="en-US"/>
    </w:rPr>
  </w:style>
  <w:style w:type="character" w:customStyle="1" w:styleId="RectitleChar">
    <w:name w:val="Rec_title Char"/>
    <w:basedOn w:val="DefaultParagraphFont"/>
    <w:link w:val="Rectitle"/>
    <w:uiPriority w:val="99"/>
    <w:rsid w:val="00316B43"/>
    <w:rPr>
      <w:b/>
      <w:sz w:val="28"/>
      <w:lang w:val="fr-FR" w:eastAsia="en-US"/>
    </w:rPr>
  </w:style>
  <w:style w:type="paragraph" w:styleId="EndnoteText">
    <w:name w:val="endnote text"/>
    <w:basedOn w:val="Normal"/>
    <w:link w:val="EndnoteTextChar"/>
    <w:rsid w:val="00195C40"/>
    <w:pPr>
      <w:spacing w:before="0"/>
    </w:pPr>
    <w:rPr>
      <w:sz w:val="20"/>
    </w:rPr>
  </w:style>
  <w:style w:type="character" w:customStyle="1" w:styleId="EndnoteTextChar">
    <w:name w:val="Endnote Text Char"/>
    <w:basedOn w:val="DefaultParagraphFont"/>
    <w:link w:val="EndnoteText"/>
    <w:rsid w:val="00195C40"/>
    <w:rPr>
      <w:lang w:val="fr-FR" w:eastAsia="en-US"/>
    </w:rPr>
  </w:style>
  <w:style w:type="character" w:styleId="EndnoteReference">
    <w:name w:val="endnote reference"/>
    <w:basedOn w:val="DefaultParagraphFont"/>
    <w:rsid w:val="00195C4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uiPriority w:val="99"/>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316B43"/>
    <w:rPr>
      <w:color w:val="0000FF"/>
      <w:u w:val="single"/>
    </w:rPr>
  </w:style>
  <w:style w:type="character" w:customStyle="1" w:styleId="Heading1Char">
    <w:name w:val="Heading 1 Char"/>
    <w:basedOn w:val="DefaultParagraphFont"/>
    <w:link w:val="Heading1"/>
    <w:rsid w:val="00316B43"/>
    <w:rPr>
      <w:b/>
      <w:sz w:val="24"/>
      <w:lang w:val="fr-FR" w:eastAsia="en-US"/>
    </w:rPr>
  </w:style>
  <w:style w:type="character" w:customStyle="1" w:styleId="RectitleChar">
    <w:name w:val="Rec_title Char"/>
    <w:basedOn w:val="DefaultParagraphFont"/>
    <w:link w:val="Rectitle"/>
    <w:uiPriority w:val="99"/>
    <w:rsid w:val="00316B43"/>
    <w:rPr>
      <w:b/>
      <w:sz w:val="28"/>
      <w:lang w:val="fr-FR" w:eastAsia="en-US"/>
    </w:rPr>
  </w:style>
  <w:style w:type="paragraph" w:styleId="EndnoteText">
    <w:name w:val="endnote text"/>
    <w:basedOn w:val="Normal"/>
    <w:link w:val="EndnoteTextChar"/>
    <w:rsid w:val="00195C40"/>
    <w:pPr>
      <w:spacing w:before="0"/>
    </w:pPr>
    <w:rPr>
      <w:sz w:val="20"/>
    </w:rPr>
  </w:style>
  <w:style w:type="character" w:customStyle="1" w:styleId="EndnoteTextChar">
    <w:name w:val="Endnote Text Char"/>
    <w:basedOn w:val="DefaultParagraphFont"/>
    <w:link w:val="EndnoteText"/>
    <w:rsid w:val="00195C40"/>
    <w:rPr>
      <w:lang w:val="fr-FR" w:eastAsia="en-US"/>
    </w:rPr>
  </w:style>
  <w:style w:type="character" w:styleId="EndnoteReference">
    <w:name w:val="endnote reference"/>
    <w:basedOn w:val="DefaultParagraphFont"/>
    <w:rsid w:val="00195C4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3" Type="http://schemas.microsoft.com/office/2007/relationships/stylesWithEffects" Target="stylesWithEffect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3D391E-3B47-411C-B38C-4CCADBC54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176</TotalTime>
  <Pages>7</Pages>
  <Words>1637</Words>
  <Characters>10040</Characters>
  <Application>Microsoft Office Word</Application>
  <DocSecurity>0</DocSecurity>
  <Lines>590</Lines>
  <Paragraphs>110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9</cp:revision>
  <cp:lastPrinted>2011-06-21T12:23:00Z</cp:lastPrinted>
  <dcterms:created xsi:type="dcterms:W3CDTF">2011-05-24T08:26:00Z</dcterms:created>
  <dcterms:modified xsi:type="dcterms:W3CDTF">2011-06-21T12:25:00Z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