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C54" w:rsidRDefault="00934C54">
      <w:bookmarkStart w:id="0" w:name="Doc_title"/>
      <w:bookmarkStart w:id="1" w:name="_GoBack"/>
      <w:bookmarkEnd w:id="1"/>
    </w:p>
    <w:p w:rsidR="00934C54" w:rsidRDefault="00934C54"/>
    <w:p w:rsidR="00934C54" w:rsidRDefault="00934C54"/>
    <w:p w:rsidR="00934C54" w:rsidRDefault="00934C54"/>
    <w:p w:rsidR="00934C54" w:rsidRDefault="00934C54"/>
    <w:p w:rsidR="00934C54" w:rsidRDefault="00934C54"/>
    <w:p w:rsidR="00934C54" w:rsidRDefault="00934C54"/>
    <w:p w:rsidR="00934C54" w:rsidRDefault="00934C54"/>
    <w:p w:rsidR="00934C54" w:rsidRDefault="00934C54"/>
    <w:p w:rsidR="00934C54" w:rsidRDefault="00934C54"/>
    <w:p w:rsidR="00934C54" w:rsidRDefault="00934C54"/>
    <w:p w:rsidR="00934C54" w:rsidRDefault="00934C54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34C54" w:rsidRPr="00A443C2">
        <w:tc>
          <w:tcPr>
            <w:tcW w:w="10089" w:type="dxa"/>
          </w:tcPr>
          <w:p w:rsidR="00934C54" w:rsidRPr="00B033C8" w:rsidRDefault="00934C54" w:rsidP="0014322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934C54" w:rsidRPr="00A443C2" w:rsidRDefault="00934C54" w:rsidP="00934C5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1870</w:t>
            </w:r>
            <w:r w:rsidR="00B45AB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-1</w:t>
            </w:r>
          </w:p>
          <w:p w:rsidR="00934C54" w:rsidRPr="00A443C2" w:rsidRDefault="00934C54" w:rsidP="00934C5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B45AB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02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B45AB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2015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934C54" w:rsidRPr="00F54FBD">
        <w:tc>
          <w:tcPr>
            <w:tcW w:w="10089" w:type="dxa"/>
          </w:tcPr>
          <w:p w:rsidR="00934C54" w:rsidRPr="0043089F" w:rsidRDefault="00934C54" w:rsidP="0014322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934C54" w:rsidRDefault="00934C54" w:rsidP="0014322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</w:pPr>
            <w:r w:rsidRPr="0026006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fr-CH"/>
              </w:rPr>
              <w:t>Codage vidéo pour les émissions de radiodiffusion télévisuelle numérique</w:t>
            </w:r>
          </w:p>
          <w:p w:rsidR="00934C54" w:rsidRPr="0043089F" w:rsidRDefault="00934C54" w:rsidP="0014322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43089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</w:p>
        </w:tc>
      </w:tr>
      <w:tr w:rsidR="00934C54" w:rsidRPr="00F54FBD">
        <w:tc>
          <w:tcPr>
            <w:tcW w:w="10089" w:type="dxa"/>
          </w:tcPr>
          <w:p w:rsidR="00934C54" w:rsidRPr="00F54FBD" w:rsidRDefault="00934C54" w:rsidP="0014322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934C54" w:rsidRPr="00F54FBD" w:rsidRDefault="00934C54" w:rsidP="0014322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934C54" w:rsidRPr="00F54FBD" w:rsidRDefault="00934C54" w:rsidP="0014322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934C54" w:rsidRPr="00F54FBD" w:rsidRDefault="00934C54" w:rsidP="0014322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</w:p>
          <w:p w:rsidR="00934C54" w:rsidRPr="0043089F" w:rsidRDefault="00934C54" w:rsidP="0014322C">
            <w:pPr>
              <w:spacing w:before="80" w:line="420" w:lineRule="exact"/>
              <w:jc w:val="right"/>
              <w:rPr>
                <w:rFonts w:ascii="Tahoma" w:hAnsi="Tahoma" w:cs="Tahoma"/>
                <w:b/>
                <w:iCs/>
                <w:color w:val="243285"/>
                <w:sz w:val="36"/>
                <w:szCs w:val="36"/>
              </w:rPr>
            </w:pPr>
            <w:r w:rsidRPr="0043089F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Service de radiodiffusion télévisuelle</w:t>
            </w:r>
          </w:p>
        </w:tc>
      </w:tr>
    </w:tbl>
    <w:p w:rsidR="00934C54" w:rsidRPr="00F54FBD" w:rsidRDefault="00934C54" w:rsidP="0014322C">
      <w:pPr>
        <w:spacing w:before="80"/>
        <w:rPr>
          <w:i/>
          <w:sz w:val="22"/>
        </w:rPr>
      </w:pPr>
    </w:p>
    <w:p w:rsidR="00934C54" w:rsidRPr="00F54FBD" w:rsidRDefault="00934C54" w:rsidP="0014322C">
      <w:pPr>
        <w:spacing w:before="80"/>
        <w:rPr>
          <w:i/>
          <w:sz w:val="22"/>
        </w:rPr>
      </w:pPr>
    </w:p>
    <w:p w:rsidR="00934C54" w:rsidRPr="00F54FBD" w:rsidRDefault="00934C54" w:rsidP="0014322C">
      <w:pPr>
        <w:spacing w:before="80"/>
        <w:rPr>
          <w:i/>
          <w:sz w:val="22"/>
        </w:rPr>
      </w:pPr>
    </w:p>
    <w:p w:rsidR="00934C54" w:rsidRPr="00F54FBD" w:rsidRDefault="00934C54" w:rsidP="0014322C">
      <w:pPr>
        <w:spacing w:before="80"/>
        <w:rPr>
          <w:i/>
          <w:sz w:val="22"/>
        </w:rPr>
      </w:pPr>
    </w:p>
    <w:p w:rsidR="00934C54" w:rsidRPr="00F54FBD" w:rsidRDefault="00934C54" w:rsidP="0014322C">
      <w:pPr>
        <w:spacing w:before="80"/>
        <w:rPr>
          <w:i/>
          <w:sz w:val="22"/>
        </w:rPr>
      </w:pPr>
    </w:p>
    <w:p w:rsidR="00934C54" w:rsidRPr="00F54FBD" w:rsidRDefault="00934C54" w:rsidP="0014322C">
      <w:pPr>
        <w:spacing w:before="80"/>
        <w:rPr>
          <w:i/>
          <w:sz w:val="22"/>
        </w:rPr>
      </w:pPr>
    </w:p>
    <w:p w:rsidR="00934C54" w:rsidRPr="00F54FBD" w:rsidRDefault="00934C54" w:rsidP="0014322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934C54" w:rsidRPr="00F54FBD" w:rsidSect="00A02DC2">
          <w:headerReference w:type="even" r:id="rId6"/>
          <w:headerReference w:type="default" r:id="rId7"/>
          <w:pgSz w:w="11907" w:h="16834" w:code="9"/>
          <w:pgMar w:top="1089" w:right="1089" w:bottom="284" w:left="1089" w:header="567" w:footer="284" w:gutter="0"/>
          <w:paperSrc w:first="15" w:other="15"/>
          <w:cols w:space="720"/>
        </w:sectPr>
      </w:pPr>
    </w:p>
    <w:p w:rsidR="00934C54" w:rsidRPr="00F54FBD" w:rsidRDefault="00934C54" w:rsidP="0014322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2" w:name="c2tope"/>
      <w:bookmarkEnd w:id="2"/>
      <w:r w:rsidRPr="00F54FBD">
        <w:rPr>
          <w:bCs/>
          <w:sz w:val="24"/>
          <w:szCs w:val="24"/>
        </w:rPr>
        <w:lastRenderedPageBreak/>
        <w:t>Avant-propos</w:t>
      </w:r>
    </w:p>
    <w:p w:rsidR="00934C54" w:rsidRPr="00F54FBD" w:rsidRDefault="00934C54" w:rsidP="0014322C">
      <w:pPr>
        <w:spacing w:before="240"/>
        <w:rPr>
          <w:sz w:val="20"/>
        </w:rPr>
      </w:pPr>
      <w:r w:rsidRPr="00F54FBD">
        <w:rPr>
          <w:sz w:val="20"/>
        </w:rPr>
        <w:t>Le rôle du Secteur des radiocommunications est d</w:t>
      </w:r>
      <w:r w:rsidR="00110C9D">
        <w:rPr>
          <w:sz w:val="20"/>
        </w:rPr>
        <w:t>'</w:t>
      </w:r>
      <w:r w:rsidRPr="00F54FBD">
        <w:rPr>
          <w:sz w:val="20"/>
        </w:rPr>
        <w:t>assurer l</w:t>
      </w:r>
      <w:r w:rsidR="00110C9D">
        <w:rPr>
          <w:sz w:val="20"/>
        </w:rPr>
        <w:t>'</w:t>
      </w:r>
      <w:r w:rsidRPr="00F54FBD">
        <w:rPr>
          <w:sz w:val="20"/>
        </w:rPr>
        <w:t xml:space="preserve">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934C54" w:rsidRPr="00F54FBD" w:rsidRDefault="00934C54" w:rsidP="0014322C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</w:t>
      </w:r>
      <w:r w:rsidR="00110C9D">
        <w:rPr>
          <w:sz w:val="20"/>
        </w:rPr>
        <w:t>'</w:t>
      </w:r>
      <w:r>
        <w:rPr>
          <w:sz w:val="20"/>
        </w:rPr>
        <w:t>études.</w:t>
      </w:r>
    </w:p>
    <w:p w:rsidR="00934C54" w:rsidRPr="00E44CBB" w:rsidRDefault="00934C54" w:rsidP="0014322C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934C54" w:rsidRPr="00E44CBB" w:rsidRDefault="00934C54" w:rsidP="0014322C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8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934C54" w:rsidRPr="00934C54" w:rsidRDefault="00934C54" w:rsidP="0014322C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934C54" w:rsidRPr="009454F8">
        <w:tc>
          <w:tcPr>
            <w:tcW w:w="9360" w:type="dxa"/>
            <w:gridSpan w:val="2"/>
          </w:tcPr>
          <w:p w:rsidR="00934C54" w:rsidRPr="009454F8" w:rsidRDefault="00934C54" w:rsidP="0014322C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934C54" w:rsidRPr="009454F8" w:rsidRDefault="00934C54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934C54" w:rsidRPr="00036EE3">
        <w:tc>
          <w:tcPr>
            <w:tcW w:w="1140" w:type="dxa"/>
          </w:tcPr>
          <w:p w:rsidR="00934C54" w:rsidRPr="00614CC6" w:rsidRDefault="00934C54" w:rsidP="0014322C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934C54" w:rsidRPr="00036EE3" w:rsidTr="0014322C">
        <w:tc>
          <w:tcPr>
            <w:tcW w:w="1140" w:type="dxa"/>
            <w:tcBorders>
              <w:bottom w:val="nil"/>
            </w:tcBorders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934C54" w:rsidRPr="00614CC6" w:rsidRDefault="00934C54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934C54" w:rsidRPr="009454F8" w:rsidTr="0014322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34C54" w:rsidRPr="0014322C" w:rsidRDefault="00934C54" w:rsidP="0014322C">
            <w:pPr>
              <w:spacing w:before="30" w:after="30"/>
              <w:ind w:left="57"/>
              <w:rPr>
                <w:rFonts w:ascii="Times New Roman Bold" w:hAnsi="Times New Roman Bold" w:cs="Times New Roman Bold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34C54" w:rsidRPr="0014322C" w:rsidRDefault="00934C54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</w:rPr>
            </w:pPr>
            <w:r w:rsidRPr="0014322C">
              <w:rPr>
                <w:rFonts w:hAnsi="Times New Roman Bold"/>
                <w:b w:val="0"/>
                <w:sz w:val="20"/>
              </w:rPr>
              <w:t>Enregistrement pour la production, l'archivage et la diffusion; films pour la t</w:t>
            </w:r>
            <w:r w:rsidRPr="0014322C">
              <w:rPr>
                <w:rFonts w:hAnsi="Times New Roman Bold"/>
                <w:b w:val="0"/>
                <w:sz w:val="20"/>
              </w:rPr>
              <w:t>é</w:t>
            </w:r>
            <w:r w:rsidRPr="0014322C">
              <w:rPr>
                <w:rFonts w:hAnsi="Times New Roman Bold"/>
                <w:b w:val="0"/>
                <w:sz w:val="20"/>
              </w:rPr>
              <w:t>l</w:t>
            </w:r>
            <w:r w:rsidRPr="0014322C">
              <w:rPr>
                <w:rFonts w:hAnsi="Times New Roman Bold"/>
                <w:b w:val="0"/>
                <w:sz w:val="20"/>
              </w:rPr>
              <w:t>é</w:t>
            </w:r>
            <w:r w:rsidRPr="0014322C">
              <w:rPr>
                <w:rFonts w:hAnsi="Times New Roman Bold"/>
                <w:b w:val="0"/>
                <w:sz w:val="20"/>
              </w:rPr>
              <w:t>vision</w:t>
            </w:r>
          </w:p>
        </w:tc>
      </w:tr>
      <w:tr w:rsidR="00934C54" w:rsidRPr="00036EE3" w:rsidTr="0014322C">
        <w:tc>
          <w:tcPr>
            <w:tcW w:w="1140" w:type="dxa"/>
            <w:tcBorders>
              <w:top w:val="nil"/>
              <w:bottom w:val="nil"/>
            </w:tcBorders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934C54" w:rsidRPr="00614CC6" w:rsidRDefault="00934C54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934C54" w:rsidRPr="00ED2695" w:rsidTr="0014322C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934C54" w:rsidRPr="0014322C" w:rsidRDefault="00934C54" w:rsidP="0014322C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934C54" w:rsidRPr="0014322C" w:rsidRDefault="00934C54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243285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bCs/>
                <w:color w:val="243285"/>
                <w:sz w:val="20"/>
              </w:rPr>
              <w:t>Service de radiodiffusion télévisuelle</w:t>
            </w:r>
          </w:p>
        </w:tc>
      </w:tr>
      <w:tr w:rsidR="00934C54" w:rsidRPr="00036EE3" w:rsidTr="0014322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34C54" w:rsidRPr="00614CC6" w:rsidRDefault="00934C54" w:rsidP="001432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934C54" w:rsidRPr="00592F9F" w:rsidTr="0014322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34C54" w:rsidRPr="00766861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766861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34C54" w:rsidRPr="00766861" w:rsidRDefault="00934C54" w:rsidP="001432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766861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934C54" w:rsidRPr="00036EE3" w:rsidTr="0014322C">
        <w:tc>
          <w:tcPr>
            <w:tcW w:w="1140" w:type="dxa"/>
            <w:tcBorders>
              <w:top w:val="nil"/>
            </w:tcBorders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934C54" w:rsidRPr="00614CC6" w:rsidRDefault="00934C54" w:rsidP="0014322C">
            <w:pPr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934C54" w:rsidRPr="00036EE3">
        <w:tc>
          <w:tcPr>
            <w:tcW w:w="1140" w:type="dxa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934C54" w:rsidRPr="00036EE3">
        <w:tc>
          <w:tcPr>
            <w:tcW w:w="1140" w:type="dxa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934C54" w:rsidRPr="00036EE3">
        <w:tc>
          <w:tcPr>
            <w:tcW w:w="1140" w:type="dxa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934C54" w:rsidRPr="00036EE3">
        <w:tc>
          <w:tcPr>
            <w:tcW w:w="1140" w:type="dxa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934C54" w:rsidRPr="00614CC6">
        <w:tc>
          <w:tcPr>
            <w:tcW w:w="1140" w:type="dxa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934C54" w:rsidRPr="00036EE3">
        <w:tc>
          <w:tcPr>
            <w:tcW w:w="1140" w:type="dxa"/>
            <w:shd w:val="clear" w:color="auto" w:fill="auto"/>
          </w:tcPr>
          <w:p w:rsidR="00934C54" w:rsidRPr="00592F9F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934C54" w:rsidRPr="00592F9F" w:rsidRDefault="00934C54" w:rsidP="0014322C">
            <w:pPr>
              <w:spacing w:before="30" w:after="30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934C54" w:rsidRPr="00036EE3">
        <w:tc>
          <w:tcPr>
            <w:tcW w:w="1140" w:type="dxa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934C54" w:rsidRPr="00614CC6">
        <w:tc>
          <w:tcPr>
            <w:tcW w:w="1140" w:type="dxa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934C54" w:rsidRPr="00036EE3">
        <w:tc>
          <w:tcPr>
            <w:tcW w:w="1140" w:type="dxa"/>
          </w:tcPr>
          <w:p w:rsidR="00934C54" w:rsidRPr="00614CC6" w:rsidRDefault="00934C54" w:rsidP="0014322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934C54" w:rsidRPr="00614CC6" w:rsidRDefault="00934C54" w:rsidP="0014322C">
            <w:pPr>
              <w:spacing w:before="30" w:after="14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934C54" w:rsidRPr="00036EE3" w:rsidRDefault="00934C54" w:rsidP="0014322C">
      <w:pPr>
        <w:spacing w:before="0"/>
        <w:jc w:val="center"/>
        <w:rPr>
          <w:sz w:val="20"/>
          <w:lang w:val="en-US"/>
        </w:rPr>
      </w:pPr>
    </w:p>
    <w:p w:rsidR="00934C54" w:rsidRPr="00036EE3" w:rsidRDefault="00934C54" w:rsidP="0014322C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934C54" w:rsidRPr="00756B4D">
        <w:tc>
          <w:tcPr>
            <w:tcW w:w="9360" w:type="dxa"/>
          </w:tcPr>
          <w:p w:rsidR="00934C54" w:rsidRPr="00756B4D" w:rsidRDefault="00934C54" w:rsidP="0014322C">
            <w:pPr>
              <w:spacing w:before="80" w:after="80"/>
              <w:jc w:val="left"/>
              <w:rPr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 xml:space="preserve">    </w:t>
            </w: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  <w:t xml:space="preserve"> </w:t>
            </w:r>
            <w:r w:rsidRPr="00756B4D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 xml:space="preserve"> </w:t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934C54" w:rsidRPr="00756B4D" w:rsidRDefault="00934C54" w:rsidP="0014322C">
      <w:pPr>
        <w:spacing w:before="0"/>
        <w:jc w:val="center"/>
        <w:rPr>
          <w:sz w:val="22"/>
        </w:rPr>
      </w:pPr>
    </w:p>
    <w:p w:rsidR="00934C54" w:rsidRPr="00614CC6" w:rsidRDefault="00934C54" w:rsidP="0014322C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934C54" w:rsidRPr="00614CC6" w:rsidRDefault="00934C54" w:rsidP="00CE3254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 w:rsidR="00B45AB0">
        <w:rPr>
          <w:sz w:val="20"/>
        </w:rPr>
        <w:t>1</w:t>
      </w:r>
      <w:r w:rsidR="00CE3254">
        <w:rPr>
          <w:sz w:val="20"/>
        </w:rPr>
        <w:t>6</w:t>
      </w:r>
    </w:p>
    <w:p w:rsidR="00934C54" w:rsidRPr="00614CC6" w:rsidRDefault="00934C54" w:rsidP="00CE3254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3" w:name="iiannee"/>
      <w:bookmarkEnd w:id="3"/>
      <w:r w:rsidRPr="00614CC6">
        <w:rPr>
          <w:sz w:val="20"/>
        </w:rPr>
        <w:t>20</w:t>
      </w:r>
      <w:r w:rsidR="00B45AB0">
        <w:rPr>
          <w:sz w:val="20"/>
        </w:rPr>
        <w:t>1</w:t>
      </w:r>
      <w:r w:rsidR="00CE3254">
        <w:rPr>
          <w:sz w:val="20"/>
        </w:rPr>
        <w:t>6</w:t>
      </w:r>
    </w:p>
    <w:p w:rsidR="00934C54" w:rsidRPr="00614CC6" w:rsidRDefault="00934C54" w:rsidP="0014322C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</w:t>
      </w:r>
      <w:r w:rsidR="00110C9D">
        <w:rPr>
          <w:sz w:val="18"/>
          <w:szCs w:val="18"/>
        </w:rPr>
        <w:t>'</w:t>
      </w:r>
      <w:r>
        <w:rPr>
          <w:sz w:val="18"/>
          <w:szCs w:val="18"/>
        </w:rPr>
        <w:t>accord écrit préalable de l</w:t>
      </w:r>
      <w:r w:rsidR="00110C9D">
        <w:rPr>
          <w:sz w:val="18"/>
          <w:szCs w:val="18"/>
        </w:rPr>
        <w:t>'</w:t>
      </w:r>
      <w:r>
        <w:rPr>
          <w:sz w:val="18"/>
          <w:szCs w:val="18"/>
        </w:rPr>
        <w:t>UIT</w:t>
      </w:r>
      <w:r w:rsidRPr="00614CC6">
        <w:rPr>
          <w:sz w:val="18"/>
          <w:szCs w:val="18"/>
        </w:rPr>
        <w:t>.</w:t>
      </w:r>
    </w:p>
    <w:p w:rsidR="00934C54" w:rsidRPr="00614CC6" w:rsidRDefault="00934C54" w:rsidP="0014322C">
      <w:pPr>
        <w:spacing w:before="160"/>
        <w:rPr>
          <w:i/>
          <w:sz w:val="20"/>
          <w:highlight w:val="yellow"/>
        </w:rPr>
        <w:sectPr w:rsidR="00934C54" w:rsidRPr="00614CC6" w:rsidSect="0014322C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934C54" w:rsidRDefault="00934C54" w:rsidP="00866C77">
      <w:pPr>
        <w:pStyle w:val="RecNo"/>
      </w:pPr>
      <w:bookmarkStart w:id="4" w:name="irecnoe"/>
      <w:bookmarkEnd w:id="4"/>
      <w:r w:rsidRPr="00866C77">
        <w:lastRenderedPageBreak/>
        <w:t>RECOMMANDATION</w:t>
      </w:r>
      <w:r>
        <w:t xml:space="preserve">  </w:t>
      </w:r>
      <w:r>
        <w:rPr>
          <w:rStyle w:val="href"/>
        </w:rPr>
        <w:t>UIT-R  BT</w:t>
      </w:r>
      <w:bookmarkEnd w:id="0"/>
      <w:r>
        <w:rPr>
          <w:rStyle w:val="href"/>
        </w:rPr>
        <w:t>.1870</w:t>
      </w:r>
      <w:r w:rsidR="00CD6E7B">
        <w:rPr>
          <w:rStyle w:val="href"/>
        </w:rPr>
        <w:t>-1</w:t>
      </w:r>
    </w:p>
    <w:p w:rsidR="00934C54" w:rsidRPr="0026006A" w:rsidRDefault="00934C54" w:rsidP="00866C77">
      <w:pPr>
        <w:pStyle w:val="Rectitle"/>
        <w:rPr>
          <w:lang w:val="fr-CH"/>
        </w:rPr>
      </w:pPr>
      <w:r w:rsidRPr="0026006A">
        <w:rPr>
          <w:lang w:val="fr-CH"/>
        </w:rPr>
        <w:t xml:space="preserve">Codage </w:t>
      </w:r>
      <w:r w:rsidRPr="00866C77">
        <w:t>vidéo</w:t>
      </w:r>
      <w:r w:rsidRPr="0026006A">
        <w:rPr>
          <w:lang w:val="fr-CH"/>
        </w:rPr>
        <w:t xml:space="preserve"> pour les émissions de radiodiffusion télévisuelle numérique</w:t>
      </w:r>
    </w:p>
    <w:p w:rsidR="00934C54" w:rsidRPr="0026006A" w:rsidRDefault="00934C54" w:rsidP="00934C54">
      <w:pPr>
        <w:pStyle w:val="Recref"/>
        <w:rPr>
          <w:lang w:val="fr-CH"/>
        </w:rPr>
      </w:pPr>
      <w:r w:rsidRPr="0026006A">
        <w:rPr>
          <w:lang w:val="fr-CH"/>
        </w:rPr>
        <w:t>(Question UIT-R 12/6)</w:t>
      </w:r>
    </w:p>
    <w:p w:rsidR="00934C54" w:rsidRPr="0026006A" w:rsidRDefault="00934C54" w:rsidP="00934C54">
      <w:pPr>
        <w:pStyle w:val="Recdate"/>
        <w:rPr>
          <w:lang w:val="fr-CH"/>
        </w:rPr>
      </w:pPr>
      <w:r w:rsidRPr="0026006A">
        <w:rPr>
          <w:lang w:val="fr-CH"/>
        </w:rPr>
        <w:t>(1995-1997-2010</w:t>
      </w:r>
      <w:r w:rsidR="00B45AB0">
        <w:rPr>
          <w:lang w:val="fr-CH"/>
        </w:rPr>
        <w:t>-2015</w:t>
      </w:r>
      <w:r w:rsidRPr="0026006A">
        <w:rPr>
          <w:lang w:val="fr-CH"/>
        </w:rPr>
        <w:t>)</w:t>
      </w:r>
    </w:p>
    <w:p w:rsidR="00934C54" w:rsidRPr="00812F34" w:rsidRDefault="00934C54" w:rsidP="008C34C1">
      <w:pPr>
        <w:pStyle w:val="HeadingSum"/>
        <w:rPr>
          <w:lang w:val="fr-FR"/>
        </w:rPr>
      </w:pPr>
      <w:r w:rsidRPr="00812F34">
        <w:rPr>
          <w:lang w:val="fr-FR"/>
        </w:rPr>
        <w:t>Domaine d'application</w:t>
      </w:r>
    </w:p>
    <w:p w:rsidR="00934C54" w:rsidRDefault="00934C54" w:rsidP="008C34C1">
      <w:pPr>
        <w:pStyle w:val="Summary"/>
        <w:rPr>
          <w:lang w:val="fr-FR"/>
        </w:rPr>
      </w:pPr>
      <w:r w:rsidRPr="00812F34">
        <w:rPr>
          <w:lang w:val="fr-FR"/>
        </w:rPr>
        <w:t xml:space="preserve">La présente Recommandation </w:t>
      </w:r>
      <w:r w:rsidR="00110C9D">
        <w:rPr>
          <w:lang w:val="fr-FR"/>
        </w:rPr>
        <w:t>indique</w:t>
      </w:r>
      <w:r w:rsidRPr="00812F34">
        <w:rPr>
          <w:lang w:val="fr-FR"/>
        </w:rPr>
        <w:t xml:space="preserve"> les normes de codage vidéo à utiliser pour les émissions de </w:t>
      </w:r>
      <w:r w:rsidRPr="00CE3254">
        <w:rPr>
          <w:lang w:val="fr-CH"/>
        </w:rPr>
        <w:t>radiodiffusion</w:t>
      </w:r>
      <w:r w:rsidRPr="00812F34">
        <w:rPr>
          <w:lang w:val="fr-FR"/>
        </w:rPr>
        <w:t xml:space="preserve"> numérique.</w:t>
      </w:r>
    </w:p>
    <w:p w:rsidR="00B45AB0" w:rsidRPr="00CD6E7B" w:rsidRDefault="00B45AB0" w:rsidP="00110C9D">
      <w:pPr>
        <w:pStyle w:val="Headingb"/>
      </w:pPr>
      <w:r w:rsidRPr="00CD6E7B">
        <w:t>Mots clés</w:t>
      </w:r>
    </w:p>
    <w:p w:rsidR="00B45AB0" w:rsidRPr="00B45AB0" w:rsidRDefault="00B45AB0" w:rsidP="00866C77">
      <w:r>
        <w:t xml:space="preserve">Réduction du débit binaire vidéo, </w:t>
      </w:r>
      <w:r w:rsidRPr="00FE45E3">
        <w:rPr>
          <w:lang w:val="fr-CH"/>
        </w:rPr>
        <w:t>codage vidéo à la source</w:t>
      </w:r>
    </w:p>
    <w:p w:rsidR="00934C54" w:rsidRPr="0026006A" w:rsidRDefault="00934C54" w:rsidP="00866C77">
      <w:pPr>
        <w:pStyle w:val="Normalaftertitle"/>
        <w:rPr>
          <w:lang w:val="fr-CH"/>
        </w:rPr>
      </w:pPr>
      <w:r w:rsidRPr="0026006A">
        <w:rPr>
          <w:lang w:val="fr-CH"/>
        </w:rPr>
        <w:t>L'Assemblée des radiocommunications de l'UIT,</w:t>
      </w:r>
    </w:p>
    <w:p w:rsidR="00934C54" w:rsidRPr="0026006A" w:rsidRDefault="00934C54" w:rsidP="00866C77">
      <w:pPr>
        <w:pStyle w:val="Call"/>
        <w:rPr>
          <w:lang w:val="fr-CH"/>
        </w:rPr>
      </w:pPr>
      <w:r w:rsidRPr="0026006A">
        <w:rPr>
          <w:lang w:val="fr-CH"/>
        </w:rPr>
        <w:t>considérant</w:t>
      </w:r>
    </w:p>
    <w:p w:rsidR="00934C54" w:rsidRPr="00FF1D13" w:rsidRDefault="00934C54" w:rsidP="00C66BB9">
      <w:pPr>
        <w:rPr>
          <w:lang w:val="fr-CH" w:eastAsia="zh-CN"/>
        </w:rPr>
      </w:pPr>
      <w:r w:rsidRPr="00110C9D">
        <w:rPr>
          <w:i/>
          <w:iCs/>
          <w:lang w:val="fr-CH" w:eastAsia="zh-CN"/>
        </w:rPr>
        <w:t>a)</w:t>
      </w:r>
      <w:r w:rsidRPr="00FF1D13">
        <w:rPr>
          <w:lang w:val="fr-CH" w:eastAsia="zh-CN"/>
        </w:rPr>
        <w:tab/>
        <w:t>que l</w:t>
      </w:r>
      <w:r>
        <w:rPr>
          <w:lang w:val="fr-CH" w:eastAsia="zh-CN"/>
        </w:rPr>
        <w:t>e</w:t>
      </w:r>
      <w:r w:rsidRPr="00FF1D13">
        <w:rPr>
          <w:lang w:val="fr-CH" w:eastAsia="zh-CN"/>
        </w:rPr>
        <w:t xml:space="preserve"> </w:t>
      </w:r>
      <w:r>
        <w:rPr>
          <w:lang w:val="fr-CH" w:eastAsia="zh-CN"/>
        </w:rPr>
        <w:t>passage</w:t>
      </w:r>
      <w:r w:rsidRPr="00FF1D13">
        <w:rPr>
          <w:lang w:val="fr-CH" w:eastAsia="zh-CN"/>
        </w:rPr>
        <w:t xml:space="preserve"> de la radiodiffusion analogique </w:t>
      </w:r>
      <w:r>
        <w:rPr>
          <w:lang w:val="fr-CH" w:eastAsia="zh-CN"/>
        </w:rPr>
        <w:t>à</w:t>
      </w:r>
      <w:r w:rsidRPr="00FF1D13">
        <w:rPr>
          <w:lang w:val="fr-CH" w:eastAsia="zh-CN"/>
        </w:rPr>
        <w:t xml:space="preserve"> la radiodiffusion numérique est en cours dans le monde entier;</w:t>
      </w:r>
    </w:p>
    <w:p w:rsidR="00934C54" w:rsidRPr="00FF1D13" w:rsidRDefault="00934C54" w:rsidP="00C66BB9">
      <w:pPr>
        <w:rPr>
          <w:lang w:val="fr-CH" w:eastAsia="zh-CN"/>
        </w:rPr>
      </w:pPr>
      <w:r w:rsidRPr="00110C9D">
        <w:rPr>
          <w:i/>
          <w:iCs/>
          <w:lang w:val="fr-CH" w:eastAsia="zh-CN"/>
        </w:rPr>
        <w:t>b)</w:t>
      </w:r>
      <w:r w:rsidRPr="00FF1D13">
        <w:rPr>
          <w:lang w:val="fr-CH" w:eastAsia="zh-CN"/>
        </w:rPr>
        <w:tab/>
        <w:t>qu'il est souhaitable d'avoir une similitude maximale entre les systèmes numériques pour des supports d'émission et de distribution secondaire différents (par exemple, à</w:t>
      </w:r>
      <w:r>
        <w:rPr>
          <w:lang w:val="fr-CH" w:eastAsia="zh-CN"/>
        </w:rPr>
        <w:t xml:space="preserve"> </w:t>
      </w:r>
      <w:r w:rsidRPr="00FF1D13">
        <w:rPr>
          <w:lang w:val="fr-CH" w:eastAsia="zh-CN"/>
        </w:rPr>
        <w:t>destination des récepteurs à usage domestique);</w:t>
      </w:r>
    </w:p>
    <w:p w:rsidR="00934C54" w:rsidRPr="00FF1D13" w:rsidRDefault="00934C54" w:rsidP="00C66BB9">
      <w:pPr>
        <w:rPr>
          <w:lang w:val="fr-CH" w:eastAsia="zh-CN"/>
        </w:rPr>
      </w:pPr>
      <w:r w:rsidRPr="00110C9D">
        <w:rPr>
          <w:i/>
          <w:iCs/>
          <w:lang w:val="fr-CH" w:eastAsia="zh-CN"/>
        </w:rPr>
        <w:t>c)</w:t>
      </w:r>
      <w:r w:rsidRPr="00FF1D13">
        <w:rPr>
          <w:lang w:val="fr-CH" w:eastAsia="zh-CN"/>
        </w:rPr>
        <w:tab/>
        <w:t xml:space="preserve">que la Recommandation UIT-R BT.1203 </w:t>
      </w:r>
      <w:r>
        <w:rPr>
          <w:lang w:val="fr-CH" w:eastAsia="zh-CN"/>
        </w:rPr>
        <w:t xml:space="preserve">donne les </w:t>
      </w:r>
      <w:r w:rsidRPr="00FF1D13">
        <w:rPr>
          <w:lang w:val="fr-CH" w:eastAsia="zh-CN"/>
        </w:rPr>
        <w:t>besoins des usagers en matière de systèmes de codage vidéo à réduction de débit binaire des signaux de télévision numérique pour un systèm</w:t>
      </w:r>
      <w:r w:rsidR="00B45AB0">
        <w:rPr>
          <w:lang w:val="fr-CH" w:eastAsia="zh-CN"/>
        </w:rPr>
        <w:t>e de télévision de bout en bout;</w:t>
      </w:r>
    </w:p>
    <w:p w:rsidR="00934C54" w:rsidRDefault="00934C54" w:rsidP="00C66BB9">
      <w:pPr>
        <w:rPr>
          <w:lang w:val="fr-CH" w:eastAsia="zh-CN"/>
        </w:rPr>
      </w:pPr>
      <w:r w:rsidRPr="00110C9D">
        <w:rPr>
          <w:i/>
          <w:iCs/>
          <w:lang w:val="fr-CH" w:eastAsia="zh-CN"/>
        </w:rPr>
        <w:t>d)</w:t>
      </w:r>
      <w:r w:rsidRPr="00216EBA">
        <w:rPr>
          <w:lang w:val="fr-CH" w:eastAsia="zh-CN"/>
        </w:rPr>
        <w:tab/>
        <w:t>que la Recommandation UIT-R BT.1737 définit l'utilisation de la méthode de c</w:t>
      </w:r>
      <w:r w:rsidR="00110C9D">
        <w:rPr>
          <w:lang w:val="fr-CH" w:eastAsia="zh-CN"/>
        </w:rPr>
        <w:t>odage vidéo à la source conformément</w:t>
      </w:r>
      <w:r w:rsidRPr="00216EBA">
        <w:rPr>
          <w:lang w:val="fr-CH" w:eastAsia="zh-CN"/>
        </w:rPr>
        <w:t xml:space="preserve"> à la Recommandation</w:t>
      </w:r>
      <w:r w:rsidR="00B45AB0">
        <w:rPr>
          <w:lang w:val="fr-CH" w:eastAsia="zh-CN"/>
        </w:rPr>
        <w:t xml:space="preserve"> UIT-T H.264</w:t>
      </w:r>
      <w:r w:rsidR="00110C9D">
        <w:rPr>
          <w:lang w:eastAsia="ja-JP"/>
        </w:rPr>
        <w:t> </w:t>
      </w:r>
      <w:r w:rsidR="00110C9D" w:rsidRPr="00F47FC1">
        <w:rPr>
          <w:rFonts w:hint="eastAsia"/>
          <w:lang w:eastAsia="ja-JP"/>
        </w:rPr>
        <w:t>|</w:t>
      </w:r>
      <w:r w:rsidR="00110C9D">
        <w:rPr>
          <w:lang w:eastAsia="ja-JP"/>
        </w:rPr>
        <w:t> </w:t>
      </w:r>
      <w:r>
        <w:rPr>
          <w:lang w:val="fr-CH" w:eastAsia="zh-CN"/>
        </w:rPr>
        <w:t>norme ISO/CEI 14496-10</w:t>
      </w:r>
      <w:r w:rsidRPr="00216EBA">
        <w:rPr>
          <w:lang w:val="fr-CH" w:eastAsia="zh-CN"/>
        </w:rPr>
        <w:t xml:space="preserve"> pour le transport de programmes de TVHD destinés à diverses</w:t>
      </w:r>
      <w:r w:rsidR="00B45AB0">
        <w:rPr>
          <w:lang w:val="fr-CH" w:eastAsia="zh-CN"/>
        </w:rPr>
        <w:t xml:space="preserve"> applications de radiodiffusion;</w:t>
      </w:r>
    </w:p>
    <w:p w:rsidR="00B45AB0" w:rsidRPr="00216EBA" w:rsidRDefault="00B45AB0" w:rsidP="00CE3254">
      <w:pPr>
        <w:rPr>
          <w:lang w:val="fr-CH" w:eastAsia="zh-CN"/>
        </w:rPr>
      </w:pPr>
      <w:r w:rsidRPr="00110C9D">
        <w:rPr>
          <w:i/>
          <w:iCs/>
          <w:lang w:val="fr-CH" w:eastAsia="zh-CN"/>
        </w:rPr>
        <w:t>e)</w:t>
      </w:r>
      <w:r>
        <w:rPr>
          <w:lang w:val="fr-CH" w:eastAsia="zh-CN"/>
        </w:rPr>
        <w:tab/>
      </w:r>
      <w:r w:rsidRPr="00216EBA">
        <w:rPr>
          <w:lang w:val="fr-CH" w:eastAsia="zh-CN"/>
        </w:rPr>
        <w:t>que</w:t>
      </w:r>
      <w:r>
        <w:rPr>
          <w:lang w:val="fr-CH" w:eastAsia="zh-CN"/>
        </w:rPr>
        <w:t xml:space="preserve"> la Recommandation UIT-R BT.2073</w:t>
      </w:r>
      <w:r w:rsidRPr="00216EBA">
        <w:rPr>
          <w:lang w:val="fr-CH" w:eastAsia="zh-CN"/>
        </w:rPr>
        <w:t xml:space="preserve"> définit l'utilisation d</w:t>
      </w:r>
      <w:r w:rsidR="00110C9D">
        <w:rPr>
          <w:lang w:val="fr-CH" w:eastAsia="zh-CN"/>
        </w:rPr>
        <w:t>'une</w:t>
      </w:r>
      <w:r w:rsidRPr="00216EBA">
        <w:rPr>
          <w:lang w:val="fr-CH" w:eastAsia="zh-CN"/>
        </w:rPr>
        <w:t xml:space="preserve"> méthode de codage vidéo à la source conforme à la Recommandation</w:t>
      </w:r>
      <w:r>
        <w:rPr>
          <w:lang w:val="fr-CH" w:eastAsia="zh-CN"/>
        </w:rPr>
        <w:t xml:space="preserve"> UIT-T H.26</w:t>
      </w:r>
      <w:r w:rsidR="00CE3254">
        <w:rPr>
          <w:lang w:val="fr-CH" w:eastAsia="zh-CN"/>
        </w:rPr>
        <w:t>5</w:t>
      </w:r>
      <w:r w:rsidR="00110C9D">
        <w:rPr>
          <w:lang w:eastAsia="ja-JP"/>
        </w:rPr>
        <w:t> </w:t>
      </w:r>
      <w:r w:rsidR="00110C9D" w:rsidRPr="00F47FC1">
        <w:rPr>
          <w:rFonts w:hint="eastAsia"/>
          <w:lang w:eastAsia="ja-JP"/>
        </w:rPr>
        <w:t>|</w:t>
      </w:r>
      <w:r w:rsidR="00110C9D">
        <w:rPr>
          <w:lang w:eastAsia="ja-JP"/>
        </w:rPr>
        <w:t> </w:t>
      </w:r>
      <w:r>
        <w:rPr>
          <w:lang w:val="fr-CH" w:eastAsia="zh-CN"/>
        </w:rPr>
        <w:t>norme ISO/CEI 23008-2</w:t>
      </w:r>
      <w:r w:rsidRPr="00216EBA">
        <w:rPr>
          <w:lang w:val="fr-CH" w:eastAsia="zh-CN"/>
        </w:rPr>
        <w:t xml:space="preserve"> pour le transport de programmes de </w:t>
      </w:r>
      <w:r>
        <w:rPr>
          <w:lang w:val="fr-CH" w:eastAsia="zh-CN"/>
        </w:rPr>
        <w:t>TVUHD et de TVHD dans le domaine de la radiodiffusion,</w:t>
      </w:r>
    </w:p>
    <w:p w:rsidR="00934C54" w:rsidRPr="0026006A" w:rsidRDefault="00934C54" w:rsidP="00934C54">
      <w:pPr>
        <w:pStyle w:val="Call"/>
        <w:rPr>
          <w:lang w:val="fr-CH"/>
        </w:rPr>
      </w:pPr>
      <w:r w:rsidRPr="0026006A">
        <w:rPr>
          <w:lang w:val="fr-CH"/>
        </w:rPr>
        <w:t>recommande</w:t>
      </w:r>
    </w:p>
    <w:p w:rsidR="00934C54" w:rsidRPr="0026006A" w:rsidRDefault="00934C54" w:rsidP="00A02097">
      <w:pPr>
        <w:rPr>
          <w:lang w:val="fr-CH" w:eastAsia="zh-CN"/>
        </w:rPr>
      </w:pPr>
      <w:r w:rsidRPr="00FF1D13">
        <w:rPr>
          <w:b/>
          <w:bCs/>
          <w:lang w:val="fr-CH" w:eastAsia="zh-CN"/>
        </w:rPr>
        <w:t>1</w:t>
      </w:r>
      <w:r w:rsidRPr="00FF1D13">
        <w:rPr>
          <w:lang w:val="fr-CH" w:eastAsia="zh-CN"/>
        </w:rPr>
        <w:tab/>
        <w:t>que les systèmes d'émission de radiodiffusion télé</w:t>
      </w:r>
      <w:r w:rsidR="00B45AB0">
        <w:rPr>
          <w:lang w:val="fr-CH" w:eastAsia="zh-CN"/>
        </w:rPr>
        <w:t>visuelle numérique utilisent l</w:t>
      </w:r>
      <w:r w:rsidR="00110C9D">
        <w:rPr>
          <w:lang w:val="fr-CH" w:eastAsia="zh-CN"/>
        </w:rPr>
        <w:t>'</w:t>
      </w:r>
      <w:r w:rsidR="00B45AB0">
        <w:rPr>
          <w:lang w:val="fr-CH" w:eastAsia="zh-CN"/>
        </w:rPr>
        <w:t>une des</w:t>
      </w:r>
      <w:r w:rsidRPr="00FF1D13">
        <w:rPr>
          <w:lang w:val="fr-CH" w:eastAsia="zh-CN"/>
        </w:rPr>
        <w:t xml:space="preserve"> normes de codage vidéo </w:t>
      </w:r>
      <w:r>
        <w:rPr>
          <w:lang w:val="fr-CH" w:eastAsia="zh-CN"/>
        </w:rPr>
        <w:t>exposé</w:t>
      </w:r>
      <w:r w:rsidRPr="00FF1D13">
        <w:rPr>
          <w:lang w:val="fr-CH" w:eastAsia="zh-CN"/>
        </w:rPr>
        <w:t>es dans la Recommandation U</w:t>
      </w:r>
      <w:r w:rsidR="00B45AB0">
        <w:rPr>
          <w:lang w:val="fr-CH" w:eastAsia="zh-CN"/>
        </w:rPr>
        <w:t>IT-T H.262</w:t>
      </w:r>
      <w:r w:rsidR="00110C9D">
        <w:rPr>
          <w:lang w:eastAsia="ja-JP"/>
        </w:rPr>
        <w:t> </w:t>
      </w:r>
      <w:r w:rsidR="00110C9D" w:rsidRPr="00F47FC1">
        <w:rPr>
          <w:rFonts w:hint="eastAsia"/>
          <w:lang w:eastAsia="ja-JP"/>
        </w:rPr>
        <w:t>|</w:t>
      </w:r>
      <w:r w:rsidR="00110C9D">
        <w:rPr>
          <w:lang w:eastAsia="ja-JP"/>
        </w:rPr>
        <w:t> </w:t>
      </w:r>
      <w:r>
        <w:rPr>
          <w:lang w:val="fr-CH" w:eastAsia="zh-CN"/>
        </w:rPr>
        <w:t>norme ISO/CEI </w:t>
      </w:r>
      <w:r w:rsidR="00B45AB0">
        <w:rPr>
          <w:lang w:val="fr-CH" w:eastAsia="zh-CN"/>
        </w:rPr>
        <w:t>13818-2 (MPEG-2 Vidéo),</w:t>
      </w:r>
      <w:r w:rsidRPr="00FF1D13">
        <w:rPr>
          <w:lang w:val="fr-CH" w:eastAsia="zh-CN"/>
        </w:rPr>
        <w:t xml:space="preserve"> dans la Recommandatio</w:t>
      </w:r>
      <w:r w:rsidR="00B45AB0">
        <w:rPr>
          <w:lang w:val="fr-CH" w:eastAsia="zh-CN"/>
        </w:rPr>
        <w:t>n UIT-T H.264</w:t>
      </w:r>
      <w:r w:rsidR="00110C9D">
        <w:rPr>
          <w:lang w:eastAsia="ja-JP"/>
        </w:rPr>
        <w:t> </w:t>
      </w:r>
      <w:r w:rsidR="00110C9D" w:rsidRPr="00F47FC1">
        <w:rPr>
          <w:rFonts w:hint="eastAsia"/>
          <w:lang w:eastAsia="ja-JP"/>
        </w:rPr>
        <w:t>|</w:t>
      </w:r>
      <w:r w:rsidR="00110C9D">
        <w:rPr>
          <w:lang w:eastAsia="ja-JP"/>
        </w:rPr>
        <w:t> </w:t>
      </w:r>
      <w:r>
        <w:rPr>
          <w:lang w:val="fr-CH" w:eastAsia="zh-CN"/>
        </w:rPr>
        <w:t>n</w:t>
      </w:r>
      <w:r w:rsidRPr="00FF1D13">
        <w:rPr>
          <w:lang w:val="fr-CH" w:eastAsia="zh-CN"/>
        </w:rPr>
        <w:t xml:space="preserve">orme ISO/CEI </w:t>
      </w:r>
      <w:r w:rsidRPr="0026006A">
        <w:rPr>
          <w:lang w:val="fr-CH" w:eastAsia="zh-CN"/>
        </w:rPr>
        <w:t>14496-10 (MPEG</w:t>
      </w:r>
      <w:r w:rsidR="00A02097">
        <w:rPr>
          <w:lang w:val="fr-CH" w:eastAsia="zh-CN"/>
        </w:rPr>
        <w:noBreakHyphen/>
      </w:r>
      <w:r w:rsidRPr="0026006A">
        <w:rPr>
          <w:lang w:val="fr-CH" w:eastAsia="zh-CN"/>
        </w:rPr>
        <w:t>4</w:t>
      </w:r>
      <w:r w:rsidR="00A02097">
        <w:rPr>
          <w:lang w:val="fr-CH" w:eastAsia="zh-CN"/>
        </w:rPr>
        <w:t> </w:t>
      </w:r>
      <w:r w:rsidRPr="0026006A">
        <w:rPr>
          <w:lang w:val="fr-CH" w:eastAsia="zh-CN"/>
        </w:rPr>
        <w:t>AVC)</w:t>
      </w:r>
      <w:r w:rsidR="00B45AB0">
        <w:rPr>
          <w:lang w:val="fr-CH" w:eastAsia="zh-CN"/>
        </w:rPr>
        <w:t xml:space="preserve"> et dans la Recommandation UIT-T H.265</w:t>
      </w:r>
      <w:r w:rsidR="00110C9D">
        <w:rPr>
          <w:lang w:eastAsia="ja-JP"/>
        </w:rPr>
        <w:t> </w:t>
      </w:r>
      <w:r w:rsidR="00110C9D" w:rsidRPr="00F47FC1">
        <w:rPr>
          <w:rFonts w:hint="eastAsia"/>
          <w:lang w:eastAsia="ja-JP"/>
        </w:rPr>
        <w:t>|</w:t>
      </w:r>
      <w:r w:rsidR="00110C9D">
        <w:rPr>
          <w:lang w:eastAsia="ja-JP"/>
        </w:rPr>
        <w:t> </w:t>
      </w:r>
      <w:r w:rsidR="00B45AB0">
        <w:rPr>
          <w:lang w:val="fr-CH" w:eastAsia="zh-CN"/>
        </w:rPr>
        <w:t>norme ISO/CEI 23008-2 (MPEG</w:t>
      </w:r>
      <w:r w:rsidR="00A02097">
        <w:rPr>
          <w:lang w:val="fr-CH" w:eastAsia="zh-CN"/>
        </w:rPr>
        <w:noBreakHyphen/>
      </w:r>
      <w:r w:rsidR="00B45AB0">
        <w:rPr>
          <w:lang w:val="fr-CH" w:eastAsia="zh-CN"/>
        </w:rPr>
        <w:t>H</w:t>
      </w:r>
      <w:r w:rsidR="00A02097">
        <w:rPr>
          <w:lang w:val="fr-CH" w:eastAsia="zh-CN"/>
        </w:rPr>
        <w:t> </w:t>
      </w:r>
      <w:r w:rsidR="00B45AB0">
        <w:rPr>
          <w:lang w:val="fr-CH" w:eastAsia="zh-CN"/>
        </w:rPr>
        <w:t>HEVC)</w:t>
      </w:r>
      <w:r w:rsidRPr="0026006A">
        <w:rPr>
          <w:lang w:val="fr-CH" w:eastAsia="zh-CN"/>
        </w:rPr>
        <w:t>;</w:t>
      </w:r>
    </w:p>
    <w:p w:rsidR="00934C54" w:rsidRPr="00FF1D13" w:rsidRDefault="00934C54" w:rsidP="00AB46E0">
      <w:pPr>
        <w:rPr>
          <w:lang w:val="fr-CH" w:eastAsia="zh-CN"/>
        </w:rPr>
      </w:pPr>
      <w:r w:rsidRPr="00FF1D13">
        <w:rPr>
          <w:b/>
          <w:bCs/>
          <w:lang w:val="fr-CH" w:eastAsia="zh-CN"/>
        </w:rPr>
        <w:t>2</w:t>
      </w:r>
      <w:r w:rsidRPr="00FF1D13">
        <w:rPr>
          <w:lang w:val="fr-CH" w:eastAsia="zh-CN"/>
        </w:rPr>
        <w:tab/>
        <w:t xml:space="preserve">que la norme de codage vidéo </w:t>
      </w:r>
      <w:r w:rsidR="00B45AB0">
        <w:rPr>
          <w:lang w:val="fr-CH" w:eastAsia="zh-CN"/>
        </w:rPr>
        <w:t>de la Recommandation UIT-T H.265</w:t>
      </w:r>
      <w:r w:rsidRPr="00FF1D13">
        <w:rPr>
          <w:lang w:val="fr-CH" w:eastAsia="zh-CN"/>
        </w:rPr>
        <w:t xml:space="preserve"> ait la préférence pour les nouvelles mises en œuvre de systèmes d'émission de radiodiffusion télévisuelle numérique;</w:t>
      </w:r>
    </w:p>
    <w:p w:rsidR="00C1763B" w:rsidRDefault="00934C54" w:rsidP="00C1763B">
      <w:pPr>
        <w:rPr>
          <w:lang w:val="fr-CH" w:eastAsia="zh-CN"/>
        </w:rPr>
      </w:pPr>
      <w:r w:rsidRPr="00FF1D13">
        <w:rPr>
          <w:b/>
          <w:bCs/>
          <w:lang w:val="fr-CH" w:eastAsia="zh-CN"/>
        </w:rPr>
        <w:t>3</w:t>
      </w:r>
      <w:r w:rsidRPr="00FF1D13">
        <w:rPr>
          <w:lang w:val="fr-CH" w:eastAsia="zh-CN"/>
        </w:rPr>
        <w:tab/>
        <w:t xml:space="preserve">que la Recommandation UIT-R BT.1203 soit dûment prise en compte lors de la sélection des outils et paramètres </w:t>
      </w:r>
      <w:r>
        <w:rPr>
          <w:lang w:val="fr-CH" w:eastAsia="zh-CN"/>
        </w:rPr>
        <w:t xml:space="preserve">définis dans </w:t>
      </w:r>
      <w:r w:rsidRPr="00FF1D13">
        <w:rPr>
          <w:lang w:val="fr-CH" w:eastAsia="zh-CN"/>
        </w:rPr>
        <w:t>les normes de codage vidéo,</w:t>
      </w:r>
    </w:p>
    <w:p w:rsidR="00934C54" w:rsidRPr="00FF1D13" w:rsidRDefault="00C1763B" w:rsidP="00C1763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fr-CH" w:eastAsia="zh-CN"/>
        </w:rPr>
      </w:pPr>
      <w:r>
        <w:rPr>
          <w:lang w:val="fr-CH" w:eastAsia="zh-CN"/>
        </w:rPr>
        <w:br w:type="page"/>
      </w:r>
    </w:p>
    <w:p w:rsidR="00934C54" w:rsidRPr="0026006A" w:rsidRDefault="00934C54" w:rsidP="008C34C1">
      <w:pPr>
        <w:pStyle w:val="Call"/>
        <w:rPr>
          <w:lang w:val="fr-CH"/>
        </w:rPr>
      </w:pPr>
      <w:r w:rsidRPr="008C34C1">
        <w:lastRenderedPageBreak/>
        <w:t>recommande</w:t>
      </w:r>
      <w:r w:rsidRPr="0026006A">
        <w:rPr>
          <w:lang w:val="fr-CH"/>
        </w:rPr>
        <w:t xml:space="preserve"> en outre</w:t>
      </w:r>
    </w:p>
    <w:p w:rsidR="00110C9D" w:rsidRPr="005C7528" w:rsidRDefault="00934C54" w:rsidP="008C34C1">
      <w:pPr>
        <w:rPr>
          <w:lang w:val="fr-CH" w:eastAsia="zh-CN"/>
        </w:rPr>
      </w:pPr>
      <w:r w:rsidRPr="00FF1D13">
        <w:rPr>
          <w:lang w:val="fr-CH" w:eastAsia="zh-CN"/>
        </w:rPr>
        <w:t xml:space="preserve">que, lorsque de nouvelles normes de codage vidéo sont </w:t>
      </w:r>
      <w:r>
        <w:rPr>
          <w:lang w:val="fr-CH" w:eastAsia="zh-CN"/>
        </w:rPr>
        <w:t>élaboré</w:t>
      </w:r>
      <w:r w:rsidRPr="00FF1D13">
        <w:rPr>
          <w:lang w:val="fr-CH" w:eastAsia="zh-CN"/>
        </w:rPr>
        <w:t xml:space="preserve">es par les organismes internationaux de normalisation, la possibilité de les appliquer aux systèmes d'émission de radiodiffusion télévisuelle numérique soit envisagée moyennant la </w:t>
      </w:r>
      <w:r>
        <w:rPr>
          <w:lang w:val="fr-CH" w:eastAsia="zh-CN"/>
        </w:rPr>
        <w:t xml:space="preserve">réalisation de tests </w:t>
      </w:r>
      <w:r w:rsidRPr="00FF1D13">
        <w:rPr>
          <w:lang w:val="fr-CH" w:eastAsia="zh-CN"/>
        </w:rPr>
        <w:t xml:space="preserve">et d'analyses de </w:t>
      </w:r>
      <w:r>
        <w:rPr>
          <w:lang w:val="fr-CH" w:eastAsia="zh-CN"/>
        </w:rPr>
        <w:t>la performance et de la fonctionnalité.</w:t>
      </w:r>
      <w:r w:rsidRPr="00FF1D13">
        <w:rPr>
          <w:lang w:val="fr-CH" w:eastAsia="zh-CN"/>
        </w:rPr>
        <w:t xml:space="preserve"> </w:t>
      </w:r>
    </w:p>
    <w:p w:rsidR="00110C9D" w:rsidRPr="00832336" w:rsidRDefault="00110C9D" w:rsidP="00832336">
      <w:pPr>
        <w:pStyle w:val="Line"/>
        <w:rPr>
          <w:lang w:val="fr-CH"/>
        </w:rPr>
      </w:pPr>
    </w:p>
    <w:p w:rsidR="00110C9D" w:rsidRPr="00934C54" w:rsidRDefault="00110C9D" w:rsidP="00A6617B">
      <w:pPr>
        <w:rPr>
          <w:lang w:val="fr-CH"/>
        </w:rPr>
      </w:pPr>
    </w:p>
    <w:sectPr w:rsidR="00110C9D" w:rsidRPr="00934C54" w:rsidSect="00DF7B51">
      <w:headerReference w:type="even" r:id="rId12"/>
      <w:headerReference w:type="default" r:id="rId13"/>
      <w:footerReference w:type="even" r:id="rId14"/>
      <w:type w:val="oddPage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C54" w:rsidRDefault="00934C54">
      <w:r>
        <w:separator/>
      </w:r>
    </w:p>
  </w:endnote>
  <w:endnote w:type="continuationSeparator" w:id="0">
    <w:p w:rsidR="00934C54" w:rsidRDefault="00934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C9D" w:rsidRPr="005C7528" w:rsidRDefault="00110C9D" w:rsidP="00110C9D">
    <w:pPr>
      <w:pStyle w:val="Footer"/>
      <w:rPr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C54" w:rsidRDefault="00934C54">
      <w:r>
        <w:separator/>
      </w:r>
    </w:p>
  </w:footnote>
  <w:footnote w:type="continuationSeparator" w:id="0">
    <w:p w:rsidR="00934C54" w:rsidRDefault="00934C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C54" w:rsidRDefault="00934C5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C54" w:rsidRDefault="00934C54" w:rsidP="0014322C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2796264" wp14:editId="35C07F4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C54" w:rsidRPr="00934C54" w:rsidRDefault="00044D74">
    <w:pPr>
      <w:pStyle w:val="Header"/>
      <w:jc w:val="left"/>
      <w:rPr>
        <w:lang w:val="fr-CH"/>
      </w:rPr>
    </w:pPr>
    <w:r>
      <w:rPr>
        <w:rStyle w:val="PageNumber"/>
        <w:b/>
        <w:bCs/>
      </w:rPr>
      <w:fldChar w:fldCharType="begin"/>
    </w:r>
    <w:r w:rsidR="00934C54" w:rsidRPr="00934C54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3173E7">
      <w:rPr>
        <w:rStyle w:val="PageNumber"/>
        <w:b/>
        <w:bCs/>
        <w:noProof/>
        <w:lang w:val="fr-CH"/>
      </w:rPr>
      <w:t>ii</w:t>
    </w:r>
    <w:r>
      <w:rPr>
        <w:rStyle w:val="PageNumber"/>
        <w:b/>
        <w:bCs/>
      </w:rPr>
      <w:fldChar w:fldCharType="end"/>
    </w:r>
    <w:r w:rsidR="00934C54" w:rsidRPr="00934C54">
      <w:rPr>
        <w:lang w:val="fr-CH"/>
      </w:rPr>
      <w:tab/>
    </w:r>
    <w:fldSimple w:instr=" DOCPROPERTY &quot;Header&quot; \* MERGEFORMAT ">
      <w:r w:rsidR="003173E7" w:rsidRPr="003173E7">
        <w:rPr>
          <w:b/>
          <w:bCs/>
          <w:lang w:val="fr-CH"/>
        </w:rPr>
        <w:t xml:space="preserve">Rec. </w:t>
      </w:r>
    </w:fldSimple>
    <w:r w:rsidR="00934C54">
      <w:rPr>
        <w:b/>
        <w:bCs/>
      </w:rPr>
      <w:t xml:space="preserve"> </w:t>
    </w:r>
    <w:r>
      <w:rPr>
        <w:b/>
        <w:bCs/>
      </w:rPr>
      <w:fldChar w:fldCharType="begin"/>
    </w:r>
    <w:r w:rsidR="00934C54" w:rsidRPr="00934C54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3173E7">
      <w:rPr>
        <w:b/>
        <w:bCs/>
        <w:noProof/>
      </w:rPr>
      <w:t>UIT-R  BT.1870-1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C54" w:rsidRDefault="00934C54">
    <w:pPr>
      <w:pStyle w:val="Header"/>
    </w:pPr>
    <w:r>
      <w:tab/>
    </w:r>
    <w:fldSimple w:instr=" DOCPROPERTY &quot;Header&quot; \* MERGEFORMAT ">
      <w:r w:rsidR="003173E7" w:rsidRPr="003173E7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044D74">
      <w:rPr>
        <w:b/>
        <w:bCs/>
      </w:rPr>
      <w:fldChar w:fldCharType="begin"/>
    </w:r>
    <w:r>
      <w:rPr>
        <w:b/>
        <w:bCs/>
      </w:rPr>
      <w:instrText>styleref href</w:instrText>
    </w:r>
    <w:r w:rsidR="00044D74">
      <w:rPr>
        <w:b/>
        <w:bCs/>
      </w:rPr>
      <w:fldChar w:fldCharType="separate"/>
    </w:r>
    <w:r w:rsidR="003173E7">
      <w:rPr>
        <w:b/>
        <w:bCs/>
        <w:noProof/>
      </w:rPr>
      <w:t>UIT-R  BT.1870-1</w:t>
    </w:r>
    <w:r w:rsidR="00044D74">
      <w:rPr>
        <w:b/>
        <w:bCs/>
      </w:rPr>
      <w:fldChar w:fldCharType="end"/>
    </w:r>
    <w:r>
      <w:tab/>
    </w:r>
    <w:r w:rsidR="00044D74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044D74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044D74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044D7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607D6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173E7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607D68">
      <w:rPr>
        <w:lang w:val="en-US"/>
      </w:rPr>
      <w:tab/>
    </w:r>
    <w:fldSimple w:instr=" DOCPROPERTY &quot;Header&quot; \* MERGEFORMAT ">
      <w:r w:rsidR="003173E7" w:rsidRPr="003173E7">
        <w:rPr>
          <w:b/>
          <w:bCs/>
          <w:lang w:val="en-US"/>
        </w:rPr>
        <w:t xml:space="preserve">Rec. </w:t>
      </w:r>
    </w:fldSimple>
    <w:r w:rsidR="00607D68">
      <w:rPr>
        <w:b/>
        <w:bCs/>
      </w:rPr>
      <w:t xml:space="preserve"> </w:t>
    </w:r>
    <w:r>
      <w:rPr>
        <w:b/>
        <w:bCs/>
      </w:rPr>
      <w:fldChar w:fldCharType="begin"/>
    </w:r>
    <w:r w:rsidR="00607D68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3173E7">
      <w:rPr>
        <w:b/>
        <w:bCs/>
        <w:noProof/>
      </w:rPr>
      <w:t>UIT-R  BT.1870-1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3173E7" w:rsidRPr="003173E7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044D74">
      <w:rPr>
        <w:b/>
        <w:bCs/>
      </w:rPr>
      <w:fldChar w:fldCharType="begin"/>
    </w:r>
    <w:r>
      <w:rPr>
        <w:b/>
        <w:bCs/>
      </w:rPr>
      <w:instrText>styleref href</w:instrText>
    </w:r>
    <w:r w:rsidR="00044D74">
      <w:rPr>
        <w:b/>
        <w:bCs/>
      </w:rPr>
      <w:fldChar w:fldCharType="separate"/>
    </w:r>
    <w:r w:rsidR="003173E7">
      <w:rPr>
        <w:b/>
        <w:bCs/>
        <w:noProof/>
      </w:rPr>
      <w:t>UIT-R  BT.1870-1</w:t>
    </w:r>
    <w:r w:rsidR="00044D74">
      <w:rPr>
        <w:b/>
        <w:bCs/>
      </w:rPr>
      <w:fldChar w:fldCharType="end"/>
    </w:r>
    <w:r>
      <w:tab/>
    </w:r>
    <w:r w:rsidR="00044D74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044D74">
      <w:rPr>
        <w:rStyle w:val="PageNumber"/>
        <w:b/>
        <w:bCs/>
      </w:rPr>
      <w:fldChar w:fldCharType="separate"/>
    </w:r>
    <w:r w:rsidR="003173E7">
      <w:rPr>
        <w:rStyle w:val="PageNumber"/>
        <w:b/>
        <w:bCs/>
        <w:noProof/>
      </w:rPr>
      <w:t>1</w:t>
    </w:r>
    <w:r w:rsidR="00044D74"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6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618"/>
    <w:rsid w:val="00016965"/>
    <w:rsid w:val="00044D74"/>
    <w:rsid w:val="00090618"/>
    <w:rsid w:val="000D5FB9"/>
    <w:rsid w:val="00110C9D"/>
    <w:rsid w:val="00124235"/>
    <w:rsid w:val="001405BD"/>
    <w:rsid w:val="001F75AB"/>
    <w:rsid w:val="00217EBF"/>
    <w:rsid w:val="002A6D14"/>
    <w:rsid w:val="002B0DE3"/>
    <w:rsid w:val="002D76C4"/>
    <w:rsid w:val="003173E7"/>
    <w:rsid w:val="003F3122"/>
    <w:rsid w:val="0046255D"/>
    <w:rsid w:val="00484B64"/>
    <w:rsid w:val="004A2C66"/>
    <w:rsid w:val="004B22F5"/>
    <w:rsid w:val="005C7528"/>
    <w:rsid w:val="00607D68"/>
    <w:rsid w:val="006F2DBC"/>
    <w:rsid w:val="00730183"/>
    <w:rsid w:val="007468DA"/>
    <w:rsid w:val="00812F34"/>
    <w:rsid w:val="00832336"/>
    <w:rsid w:val="00866C77"/>
    <w:rsid w:val="008C34C1"/>
    <w:rsid w:val="00934C54"/>
    <w:rsid w:val="00941FF5"/>
    <w:rsid w:val="0095273B"/>
    <w:rsid w:val="00A02097"/>
    <w:rsid w:val="00A02DC2"/>
    <w:rsid w:val="00A6617B"/>
    <w:rsid w:val="00AB0DC8"/>
    <w:rsid w:val="00AB46E0"/>
    <w:rsid w:val="00B44E24"/>
    <w:rsid w:val="00B45AB0"/>
    <w:rsid w:val="00C1763B"/>
    <w:rsid w:val="00C66BB9"/>
    <w:rsid w:val="00CD6E7B"/>
    <w:rsid w:val="00CE3254"/>
    <w:rsid w:val="00DF4176"/>
    <w:rsid w:val="00DF7B51"/>
    <w:rsid w:val="00E14112"/>
    <w:rsid w:val="00E27FF4"/>
    <w:rsid w:val="00FE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  <w15:docId w15:val="{6F029C74-9ABC-47CE-B24A-6DF95EB0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4D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FE64D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E64D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E64D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E64D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E64D0"/>
    <w:pPr>
      <w:outlineLvl w:val="4"/>
    </w:pPr>
  </w:style>
  <w:style w:type="paragraph" w:styleId="Heading6">
    <w:name w:val="heading 6"/>
    <w:basedOn w:val="Heading4"/>
    <w:next w:val="Normal"/>
    <w:qFormat/>
    <w:rsid w:val="00FE64D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E64D0"/>
    <w:pPr>
      <w:outlineLvl w:val="6"/>
    </w:pPr>
  </w:style>
  <w:style w:type="paragraph" w:styleId="Heading8">
    <w:name w:val="heading 8"/>
    <w:basedOn w:val="Heading6"/>
    <w:next w:val="Normal"/>
    <w:qFormat/>
    <w:rsid w:val="00FE64D0"/>
    <w:pPr>
      <w:outlineLvl w:val="7"/>
    </w:pPr>
  </w:style>
  <w:style w:type="paragraph" w:styleId="Heading9">
    <w:name w:val="heading 9"/>
    <w:basedOn w:val="Heading6"/>
    <w:next w:val="Normal"/>
    <w:qFormat/>
    <w:rsid w:val="00FE64D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E64D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E64D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E64D0"/>
  </w:style>
  <w:style w:type="paragraph" w:customStyle="1" w:styleId="Headingb">
    <w:name w:val="Heading_b"/>
    <w:basedOn w:val="Heading3"/>
    <w:next w:val="Normal"/>
    <w:rsid w:val="00FE64D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E64D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E64D0"/>
  </w:style>
  <w:style w:type="paragraph" w:customStyle="1" w:styleId="enumlev1">
    <w:name w:val="enumlev1"/>
    <w:basedOn w:val="Normal"/>
    <w:rsid w:val="00FE64D0"/>
    <w:pPr>
      <w:spacing w:before="80"/>
      <w:ind w:left="794" w:hanging="794"/>
    </w:pPr>
  </w:style>
  <w:style w:type="paragraph" w:customStyle="1" w:styleId="enumlev2">
    <w:name w:val="enumlev2"/>
    <w:basedOn w:val="enumlev1"/>
    <w:rsid w:val="00FE64D0"/>
    <w:pPr>
      <w:ind w:left="1191" w:hanging="397"/>
    </w:pPr>
  </w:style>
  <w:style w:type="paragraph" w:customStyle="1" w:styleId="enumlev3">
    <w:name w:val="enumlev3"/>
    <w:basedOn w:val="enumlev2"/>
    <w:rsid w:val="00FE64D0"/>
    <w:pPr>
      <w:ind w:left="1588"/>
    </w:pPr>
  </w:style>
  <w:style w:type="paragraph" w:customStyle="1" w:styleId="Normalaftertitle">
    <w:name w:val="Normal_after_title"/>
    <w:basedOn w:val="Normal"/>
    <w:next w:val="Normal"/>
    <w:rsid w:val="00FE64D0"/>
    <w:pPr>
      <w:spacing w:before="320"/>
    </w:pPr>
  </w:style>
  <w:style w:type="paragraph" w:customStyle="1" w:styleId="Note">
    <w:name w:val="Note"/>
    <w:basedOn w:val="Normal"/>
    <w:rsid w:val="00FE64D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FE64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FE64D0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FE64D0"/>
    <w:pPr>
      <w:jc w:val="center"/>
    </w:pPr>
  </w:style>
  <w:style w:type="paragraph" w:customStyle="1" w:styleId="Recdate">
    <w:name w:val="Rec_date"/>
    <w:basedOn w:val="Recref"/>
    <w:next w:val="Normalaftertitle"/>
    <w:rsid w:val="00FE64D0"/>
    <w:pPr>
      <w:jc w:val="right"/>
    </w:pPr>
  </w:style>
  <w:style w:type="paragraph" w:customStyle="1" w:styleId="AnnexNoTitle">
    <w:name w:val="Annex_NoTitle"/>
    <w:basedOn w:val="Normal"/>
    <w:next w:val="Normalaftertitle"/>
    <w:rsid w:val="00FE64D0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FE64D0"/>
  </w:style>
  <w:style w:type="paragraph" w:customStyle="1" w:styleId="Tablefin">
    <w:name w:val="Table_fin"/>
    <w:basedOn w:val="Normal"/>
    <w:next w:val="Normal"/>
    <w:rsid w:val="00FE64D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E64D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FE64D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FE64D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E64D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FE64D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E64D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E64D0"/>
    <w:pPr>
      <w:ind w:left="794"/>
    </w:pPr>
  </w:style>
  <w:style w:type="paragraph" w:customStyle="1" w:styleId="Figurelegend">
    <w:name w:val="Figure_legend"/>
    <w:basedOn w:val="Normal"/>
    <w:rsid w:val="00FE64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FE64D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E64D0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E64D0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E64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E64D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E64D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E64D0"/>
    <w:rPr>
      <w:b/>
    </w:rPr>
  </w:style>
  <w:style w:type="paragraph" w:customStyle="1" w:styleId="Chaptitle">
    <w:name w:val="Chap_title"/>
    <w:basedOn w:val="Arttitle"/>
    <w:next w:val="Normalaftertitle"/>
    <w:rsid w:val="00FE64D0"/>
  </w:style>
  <w:style w:type="character" w:styleId="FootnoteReference">
    <w:name w:val="footnote reference"/>
    <w:basedOn w:val="DefaultParagraphFont"/>
    <w:semiHidden/>
    <w:rsid w:val="00FE64D0"/>
    <w:rPr>
      <w:position w:val="6"/>
      <w:sz w:val="18"/>
    </w:rPr>
  </w:style>
  <w:style w:type="paragraph" w:styleId="FootnoteText">
    <w:name w:val="footnote text"/>
    <w:basedOn w:val="Normal"/>
    <w:semiHidden/>
    <w:rsid w:val="00FE64D0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FE64D0"/>
  </w:style>
  <w:style w:type="paragraph" w:styleId="Index2">
    <w:name w:val="index 2"/>
    <w:basedOn w:val="Normal"/>
    <w:next w:val="Normal"/>
    <w:semiHidden/>
    <w:rsid w:val="00FE64D0"/>
    <w:pPr>
      <w:ind w:left="283"/>
    </w:pPr>
  </w:style>
  <w:style w:type="paragraph" w:styleId="Index3">
    <w:name w:val="index 3"/>
    <w:basedOn w:val="Normal"/>
    <w:next w:val="Normal"/>
    <w:semiHidden/>
    <w:rsid w:val="00FE64D0"/>
    <w:pPr>
      <w:ind w:left="566"/>
    </w:pPr>
  </w:style>
  <w:style w:type="paragraph" w:styleId="IndexHeading">
    <w:name w:val="index heading"/>
    <w:basedOn w:val="Normal"/>
    <w:next w:val="Index1"/>
    <w:semiHidden/>
    <w:rsid w:val="00FE64D0"/>
  </w:style>
  <w:style w:type="paragraph" w:customStyle="1" w:styleId="Line">
    <w:name w:val="Line"/>
    <w:basedOn w:val="Normal"/>
    <w:next w:val="Normal"/>
    <w:rsid w:val="00FE64D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E64D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E64D0"/>
  </w:style>
  <w:style w:type="paragraph" w:customStyle="1" w:styleId="Partref">
    <w:name w:val="Part_ref"/>
    <w:basedOn w:val="Normal"/>
    <w:next w:val="Normal"/>
    <w:rsid w:val="00FE64D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E64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E64D0"/>
  </w:style>
  <w:style w:type="paragraph" w:customStyle="1" w:styleId="QuestionNo">
    <w:name w:val="Question_No"/>
    <w:basedOn w:val="RecNo"/>
    <w:next w:val="Normal"/>
    <w:rsid w:val="00FE64D0"/>
  </w:style>
  <w:style w:type="paragraph" w:customStyle="1" w:styleId="Questionref">
    <w:name w:val="Question_ref"/>
    <w:basedOn w:val="Recref"/>
    <w:next w:val="Questiondate"/>
    <w:rsid w:val="00FE64D0"/>
  </w:style>
  <w:style w:type="paragraph" w:customStyle="1" w:styleId="Questiontitle">
    <w:name w:val="Question_title"/>
    <w:basedOn w:val="Normal"/>
    <w:next w:val="Questionref"/>
    <w:rsid w:val="00FE64D0"/>
  </w:style>
  <w:style w:type="paragraph" w:customStyle="1" w:styleId="Reftext">
    <w:name w:val="Ref_text"/>
    <w:basedOn w:val="Normal"/>
    <w:rsid w:val="00FE64D0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FE64D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E64D0"/>
  </w:style>
  <w:style w:type="paragraph" w:customStyle="1" w:styleId="RepNo">
    <w:name w:val="Rep_No"/>
    <w:basedOn w:val="RecNo"/>
    <w:next w:val="Reptitle"/>
    <w:rsid w:val="00FE64D0"/>
  </w:style>
  <w:style w:type="paragraph" w:customStyle="1" w:styleId="Repref">
    <w:name w:val="Rep_ref"/>
    <w:basedOn w:val="Recref"/>
    <w:next w:val="Repdate"/>
    <w:rsid w:val="00FE64D0"/>
  </w:style>
  <w:style w:type="paragraph" w:customStyle="1" w:styleId="Reptitle">
    <w:name w:val="Rep_title"/>
    <w:basedOn w:val="Rectitle"/>
    <w:next w:val="Repref"/>
    <w:rsid w:val="00FE64D0"/>
  </w:style>
  <w:style w:type="paragraph" w:customStyle="1" w:styleId="Resdate">
    <w:name w:val="Res_date"/>
    <w:basedOn w:val="Recdate"/>
    <w:next w:val="Normalaftertitle"/>
    <w:rsid w:val="00FE64D0"/>
  </w:style>
  <w:style w:type="paragraph" w:customStyle="1" w:styleId="ResNo">
    <w:name w:val="Res_No"/>
    <w:basedOn w:val="RecNo"/>
    <w:next w:val="Restitle"/>
    <w:rsid w:val="00FE64D0"/>
  </w:style>
  <w:style w:type="paragraph" w:customStyle="1" w:styleId="Resref">
    <w:name w:val="Res_ref"/>
    <w:basedOn w:val="Recref"/>
    <w:next w:val="Resdate"/>
    <w:rsid w:val="00FE64D0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FE64D0"/>
  </w:style>
  <w:style w:type="paragraph" w:customStyle="1" w:styleId="Sectiontitle">
    <w:name w:val="Section_title"/>
    <w:basedOn w:val="Normal"/>
    <w:next w:val="Normalaftertitle"/>
    <w:rsid w:val="00FE64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E64D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E64D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E64D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E64D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E64D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E64D0"/>
  </w:style>
  <w:style w:type="paragraph" w:styleId="TOC6">
    <w:name w:val="toc 6"/>
    <w:basedOn w:val="TOC4"/>
    <w:semiHidden/>
    <w:rsid w:val="00FE64D0"/>
  </w:style>
  <w:style w:type="paragraph" w:styleId="TOC7">
    <w:name w:val="toc 7"/>
    <w:basedOn w:val="TOC4"/>
    <w:semiHidden/>
    <w:rsid w:val="00FE64D0"/>
  </w:style>
  <w:style w:type="paragraph" w:styleId="TOC8">
    <w:name w:val="toc 8"/>
    <w:basedOn w:val="TOC4"/>
    <w:semiHidden/>
    <w:rsid w:val="00FE64D0"/>
  </w:style>
  <w:style w:type="paragraph" w:customStyle="1" w:styleId="Rectitle">
    <w:name w:val="Rec_title"/>
    <w:basedOn w:val="Normal"/>
    <w:next w:val="Recref"/>
    <w:rsid w:val="00FE64D0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FE64D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E64D0"/>
  </w:style>
  <w:style w:type="paragraph" w:customStyle="1" w:styleId="Figuretitle">
    <w:name w:val="Figure_title"/>
    <w:basedOn w:val="Normal"/>
    <w:next w:val="Figure"/>
    <w:rsid w:val="00FE64D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FE64D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E64D0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934C54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CD6E7B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D6E7B"/>
    <w:rPr>
      <w:rFonts w:ascii="Segoe UI" w:hAnsi="Segoe UI" w:cs="Segoe UI"/>
      <w:sz w:val="18"/>
      <w:szCs w:val="18"/>
      <w:lang w:val="fr-FR" w:eastAsia="en-US"/>
    </w:rPr>
  </w:style>
  <w:style w:type="paragraph" w:customStyle="1" w:styleId="Reasons">
    <w:name w:val="Reasons"/>
    <w:basedOn w:val="Normal"/>
    <w:qFormat/>
    <w:rsid w:val="00110C9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laroqu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36</TotalTime>
  <Pages>1</Pages>
  <Words>754</Words>
  <Characters>4617</Characters>
  <Application>Microsoft Office Word</Application>
  <DocSecurity>0</DocSecurity>
  <Lines>329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Gachet, Christelle</cp:lastModifiedBy>
  <cp:revision>27</cp:revision>
  <cp:lastPrinted>2016-05-09T09:06:00Z</cp:lastPrinted>
  <dcterms:created xsi:type="dcterms:W3CDTF">2016-05-09T07:02:00Z</dcterms:created>
  <dcterms:modified xsi:type="dcterms:W3CDTF">2016-05-09T09:07:00Z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